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word/theme/themeOverride4.xml" ContentType="application/vnd.openxmlformats-officedocument.themeOverride+xml"/>
  <Override PartName="/word/theme/themeOverride5.xml" ContentType="application/vnd.openxmlformats-officedocument.themeOverride+xml"/>
  <Default Extension="bin" ContentType="application/vnd.openxmlformats-officedocument.oleObject"/>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emf" ContentType="image/x-emf"/>
  <Default Extension="xls" ContentType="application/vnd.ms-excel"/>
  <Override PartName="/word/theme/themeOverride1.xml" ContentType="application/vnd.openxmlformats-officedocument.themeOverride+xml"/>
  <Default Extension="wmf" ContentType="image/x-wmf"/>
  <Default Extension="jpeg" ContentType="image/jpeg"/>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786B" w:rsidRPr="00C12613" w:rsidRDefault="0078786B" w:rsidP="0078786B">
      <w:pPr>
        <w:pStyle w:val="Ttulo"/>
      </w:pPr>
      <w:r w:rsidRPr="00C12613">
        <w:rPr>
          <w:rFonts w:ascii="Arial" w:hAnsi="Arial" w:cs="Arial"/>
        </w:rPr>
        <w:t>RELATÓRIO DAS ATIVIDADES DA ADMINISTRAÇÃO ESTADUAL EM 201</w:t>
      </w:r>
      <w:r>
        <w:rPr>
          <w:rFonts w:ascii="Arial" w:hAnsi="Arial" w:cs="Arial"/>
        </w:rPr>
        <w:t>4</w:t>
      </w:r>
    </w:p>
    <w:p w:rsidR="0078786B" w:rsidRDefault="0078786B" w:rsidP="0078786B">
      <w:pPr>
        <w:pStyle w:val="Ttulo"/>
      </w:pPr>
    </w:p>
    <w:p w:rsidR="0078786B" w:rsidRPr="00397A01" w:rsidRDefault="0078786B" w:rsidP="0078786B">
      <w:pPr>
        <w:pStyle w:val="Ttulo"/>
      </w:pPr>
      <w:r w:rsidRPr="00397A01">
        <w:t>MENSAGEM ANUAL À ASSEMBLEIA LEGISLATIVA</w:t>
      </w:r>
    </w:p>
    <w:p w:rsidR="0078786B" w:rsidRDefault="0078786B">
      <w:pPr>
        <w:pStyle w:val="Ttulo"/>
      </w:pPr>
    </w:p>
    <w:p w:rsidR="0078786B" w:rsidRPr="00335B02" w:rsidRDefault="0078786B" w:rsidP="0078786B">
      <w:pPr>
        <w:jc w:val="left"/>
        <w:rPr>
          <w:rFonts w:ascii="Arial" w:hAnsi="Arial" w:cs="Arial"/>
        </w:rPr>
      </w:pPr>
      <w:r w:rsidRPr="00335B02">
        <w:rPr>
          <w:rFonts w:ascii="Arial" w:hAnsi="Arial" w:cs="Arial"/>
        </w:rPr>
        <w:t>Senhor Presidente,</w:t>
      </w:r>
    </w:p>
    <w:p w:rsidR="0078786B" w:rsidRPr="00335B02" w:rsidRDefault="0078786B" w:rsidP="0078786B">
      <w:pPr>
        <w:jc w:val="left"/>
        <w:rPr>
          <w:rFonts w:ascii="Arial" w:hAnsi="Arial" w:cs="Arial"/>
        </w:rPr>
      </w:pPr>
      <w:r w:rsidRPr="00335B02">
        <w:rPr>
          <w:rFonts w:ascii="Arial" w:hAnsi="Arial" w:cs="Arial"/>
        </w:rPr>
        <w:t>Senhores Deputados,</w:t>
      </w:r>
    </w:p>
    <w:p w:rsidR="0078786B" w:rsidRPr="00335B02" w:rsidRDefault="0078786B" w:rsidP="0078786B">
      <w:pPr>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O início de uma nova legislatura é um dos momentos mais solenes da democracia. Nele é consagrada a vontade popular, com a composição de um novo parlamento. </w:t>
      </w:r>
    </w:p>
    <w:p w:rsidR="0078786B" w:rsidRPr="00335B02" w:rsidRDefault="0078786B" w:rsidP="0078786B">
      <w:pPr>
        <w:jc w:val="both"/>
        <w:rPr>
          <w:rFonts w:ascii="Arial" w:hAnsi="Arial" w:cs="Arial"/>
        </w:rPr>
      </w:pPr>
    </w:p>
    <w:p w:rsidR="0078786B" w:rsidRPr="00335B02" w:rsidRDefault="0078786B" w:rsidP="0078786B">
      <w:pPr>
        <w:ind w:firstLine="708"/>
        <w:jc w:val="both"/>
        <w:rPr>
          <w:rFonts w:ascii="Arial" w:hAnsi="Arial" w:cs="Arial"/>
        </w:rPr>
      </w:pPr>
      <w:r w:rsidRPr="00335B02">
        <w:rPr>
          <w:rFonts w:ascii="Arial" w:hAnsi="Arial" w:cs="Arial"/>
        </w:rPr>
        <w:t xml:space="preserve">                      Fórum privilegiado do debate, da crítica de ideias, da pluralidade de convicções, em suma, da própria liberdade, a Egrégia Assembleia Legislativa do Estado de São Paulo é igualmente o espaço da parceria entre os Poderes Executivo e Legislativo, na promoção do desenvolvimento e bem-estar dos paulistas.</w:t>
      </w:r>
    </w:p>
    <w:p w:rsidR="0078786B" w:rsidRPr="00335B02" w:rsidRDefault="0078786B" w:rsidP="0078786B">
      <w:pPr>
        <w:ind w:firstLine="708"/>
        <w:jc w:val="both"/>
        <w:rPr>
          <w:rFonts w:ascii="Arial" w:hAnsi="Arial" w:cs="Arial"/>
        </w:rPr>
      </w:pPr>
    </w:p>
    <w:p w:rsidR="0078786B" w:rsidRPr="00335B02" w:rsidRDefault="0078786B" w:rsidP="0078786B">
      <w:pPr>
        <w:ind w:firstLine="708"/>
        <w:jc w:val="both"/>
        <w:rPr>
          <w:rFonts w:ascii="Arial" w:hAnsi="Arial" w:cs="Arial"/>
        </w:rPr>
      </w:pPr>
      <w:r w:rsidRPr="00335B02">
        <w:rPr>
          <w:rFonts w:ascii="Arial" w:hAnsi="Arial" w:cs="Arial"/>
        </w:rPr>
        <w:t xml:space="preserve">                     Tendo a transparência como premissa, tudo nos une, nesses objetivos; nada nos separa – respeitados os princípios da autonomia, independência e harmonia entre os poderes, que fundamentam o estado democrático de direito.</w:t>
      </w:r>
    </w:p>
    <w:p w:rsidR="0078786B" w:rsidRPr="00335B02" w:rsidRDefault="0078786B" w:rsidP="0078786B">
      <w:pPr>
        <w:ind w:firstLine="708"/>
        <w:jc w:val="both"/>
        <w:rPr>
          <w:rFonts w:ascii="Arial" w:hAnsi="Arial" w:cs="Arial"/>
        </w:rPr>
      </w:pPr>
    </w:p>
    <w:p w:rsidR="0078786B" w:rsidRPr="00335B02" w:rsidRDefault="0078786B" w:rsidP="0078786B">
      <w:pPr>
        <w:ind w:firstLine="708"/>
        <w:jc w:val="both"/>
        <w:rPr>
          <w:rFonts w:ascii="Arial" w:hAnsi="Arial" w:cs="Arial"/>
        </w:rPr>
      </w:pPr>
      <w:r w:rsidRPr="00335B02">
        <w:rPr>
          <w:rFonts w:ascii="Arial" w:hAnsi="Arial" w:cs="Arial"/>
        </w:rPr>
        <w:tab/>
      </w:r>
      <w:r w:rsidRPr="00335B02">
        <w:rPr>
          <w:rFonts w:ascii="Arial" w:hAnsi="Arial" w:cs="Arial"/>
        </w:rPr>
        <w:tab/>
        <w:t>Atento ao artigo 47, inciso X, da Constituição paulista, e também ao imperativo ético de fazê-lo, encaminho ao excelentíssimo senhor presidente desse Ilustre Colegiado e, por seu intermédio, aos excelentíssimos senhores deputados estaduais, o Relatório Anual de Atividades do Governo do Estado de São Paulo, relativo ao ano de 2014, do qual esta mensagem é uma breve síntese.</w:t>
      </w:r>
    </w:p>
    <w:p w:rsidR="0078786B" w:rsidRPr="00335B02" w:rsidRDefault="0078786B" w:rsidP="0078786B">
      <w:pPr>
        <w:ind w:firstLine="708"/>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A educação tem sido uma das preocupações centrais do Governo Estadual. Com apoio desse Nobre Parlamento, entre 2011 e 2014, foi implantada uma política de aumento salarial progressivo com a reclassificação dos vencimentos dos integrantes do Quadro do Magistério e do Quadro de Apoio Escolar. No ano findo, o acréscimo de 7% completou o ciclo de aumento salarial escalonado, chegando a 45,1% – portanto, acima dos 42,25% originalmente previstos.</w:t>
      </w: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Prosseguiu-se a política de adequação dos quadros da área pedagógica, e 28.933 novos professores PEB II, aprovados em concurso público, entraram em exercício. Reconhecendo que o ensino exige uma formação contínua do professor, quase 100 mil servidores do Quadro do Magistério fizeram aperfeiçoamento na EFAP – Escola de Formação e Aperfeiçoamento do Estado de São Paulo “Paulo Renato Costa Souza”. Ao mesmo tempo, aprofundaram-se as ações do Programa “Ler e Escrever”, que passou a abranger 1,5 milhão de alunos.  </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Visando ao maior conhecimento da realidade da sala de aula, para orientar professores e gestores na melhoria da qualidade educacional, a avaliação externa </w:t>
      </w:r>
      <w:r w:rsidRPr="00335B02">
        <w:rPr>
          <w:rFonts w:ascii="Arial" w:hAnsi="Arial" w:cs="Arial"/>
        </w:rPr>
        <w:lastRenderedPageBreak/>
        <w:t>do sistema do ensino, feita pelo SARESP, vem sendo gradativamente ampliada. O Saresp 2014 registrou dois marcos expressivos: teve uma participação recorde de alunos e apresentou melhoras significativas nas médias obtidas. Assim, em Língua Portuguesa, no 5º e 9º anos do Ensino Fundamental e no Ensino Médio, as médias foram bastante superiores às de 2013. O mesmo ocorreu em Matemática, relativamente ao 5º ano do Ensino Fundamental e ao Ensino Médio, embora no 9º ano a média tenha sido ligeiramente menor – situação, aliás, que nos empenharemos em reverter.</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Buscando articular o Ensino Médio e a EJA – Educação de Jovens e Adultos à educação profissional, assegurando ao jovem formação humanística, científica e tecnológica, preparando-o para a inserção no mundo do trabalho, foi criado o Programa “Vence”. Nas duas modalidades em que é oferecido, o Programa fechou o ano com quase 100 mil alunos. </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Profissionalizar, formar técnicos e tecnólogos é uma preocupação contínua do Governo Estadual. Por essa razão, no ano passado foram criadas sete novas Etecs, implantadas 22 classes descentralizadas e sete Fatecs. </w:t>
      </w:r>
      <w:r w:rsidRPr="00335B02">
        <w:rPr>
          <w:rFonts w:ascii="Arial" w:hAnsi="Arial" w:cs="Arial"/>
        </w:rPr>
        <w:tab/>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Mas não é apenas pela educação formal e regular que o Governo Paulista prepara as pessoas para o trabalho. O Programa “Via Rápida Emprego” é também um caminho para isso. Propiciando aos participantes cursos presenciais gratuitos (com carga horária de cerca de 230 horas), subsídio ao transporte e à alimentação, além de bolsa-auxílio mensal, é voltado, prioritariamente, a desempregados. Em 2014, ofertou vagas em 645 municípios, qualificando cerca de 60 mil trabalhadores.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Dentro do mesmo espírito estão os cursos das Escolas e dos Polos de Moda, de Beleza e de Construção Civil do Fundo Social de Solidariedade do Estado. Durante dois meses, têm carga horária de três horas, nos cinco dias úteis da semana. Os alunos também recebem material didático, uniforme, auxílio-transporte e bolsa-auxílio – no caso de desempregados que não recebam seguro desemprego. As Escolas e Polos do Fussesp formaram quase 22 mil pessoas, em 2014. Também pelo Fussesp, foram formadas 6.390 pessoas no Programa “Padarias Artesanais”. </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  No âmbito da cultura, foram feitos inúmeros avanços. Com a inauguração da unidade da Brasilândia, concluiu-se a primeira etapa do Programa “Fábrica de Cultura”. Outro equipamento cultural inaugurado foi a Biblioteca do Parque Villa-Lobos, que desenvolve intensa programação cultural e oferece um rico acervo multimídia.</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A preservação do patrimônio histórico paulista teve um notável avanço, com a entrega dos restauros do Museu da Imigração, do Museu Casa Portinari, em Brodowski, da Ponte Euclydes da Cunha, em São José do Rio Pardo, do acervo de Portinari, na Igreja Matriz Bom Jesus da Cana Verde, em Batatais, da Igreja da Ordem Terceira de São Francisco, da Capital, e da Igreja Matriz de São Luís do Paraitinga, além do Mausoléu do </w:t>
      </w:r>
      <w:r w:rsidRPr="00335B02">
        <w:rPr>
          <w:rFonts w:ascii="Arial" w:hAnsi="Arial" w:cs="Arial"/>
        </w:rPr>
        <w:lastRenderedPageBreak/>
        <w:t>Soldado Constitucionalista de 32, no Ibirapuera. Na área de fomento à cultura, foram investidos cerca de R$ 205 milhões no apoio a mais de 1.800 projetos dos mais diversos segmentos.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São Paulo vem desenvolvendo o maior programa de investimentos do País no sentido de garantir o atendimento humanizado aos jovens em conflito com a lei. De 2005 a 2014, foram entregues 71 novos e pequenos centros socioeducativos. Apenas em 2014, foram concluídas as obras de cinco desses centros: Santos, Ribeirão Preto, Bauru, Vila Mariana e Guarujá. No ano em curso, as obras de mais quatro unidades estão em andamento. Também no ano passado, a Escola para Formação e Capacitação Profissional da Fundação CASA capacitou 3.740 dos seus aproximadamente 13 mil servidores. Cabe lembrar que, em 2011, o Conselho Nacional de Justiça considerou essa instituição como modelo para o País.</w:t>
      </w:r>
      <w:r w:rsidRPr="00335B02">
        <w:rPr>
          <w:rFonts w:ascii="Arial" w:hAnsi="Arial" w:cs="Arial"/>
        </w:rPr>
        <w:tab/>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Diretamente, ou em parceria com municípios e entidades, o Governo do Estado desenvolve uma intensa política social. Compõem a rede socioassistencial de Proteção Social Básica do Estado, cerca de 7.500 executoras, entre públicas e privadas, que desenvolvem serviços de caráter preventivo e proativo. São atendidos por ela cerca de 6,8 milhões de usuários entre famílias, crianças, adolescentes, idosos e pessoas com deficiência. O apoio financeiro aos municípios se dá pelo repasse direto de recursos, no sistema Fundo a Fundo, do Fundo Estadual – FEAS para os Fundos Municipais – FMAS. Em 2014, o valor total repassado superou R$ 86 milhões.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O Governo de São Paulo desenvolve importantes programas de transferência de renda para pessoas com renda familiar “per capita” de até meio salário mínimo nacional. O Programa “Ação Jovem”, por exemplo, objetiva promover a inclusão social de jovens entre 15 e 24 anos, pertencentes a famílias nessas condições, fornecendo auxílio financeiro temporário para estimular a conclusão da escolaridade básica, e apoio à iniciação profissional. No ano findo, foram beneficiados cerca de 110 mil jovens. Já o Programa “Renda Cidadã” atendeu 186 mil famílias e o “Renda Cidadã – Benefício Idoso”, 4.337 idosos. </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Com relação à segurança alimentar, foi dado prosseguimento ao Programa “Vivaleite” de distribuição gratuita mensal do produto, com o atendimento de cerca de 620 mil pessoas, entre crianças e idosos. A Rede Bom Prato, por sua vez, ganhou mais seis unidades. </w:t>
      </w: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 xml:space="preserve">O empreendedorismo é uma marca do povo de São Paulo. Para fortalecê-lo ainda mais, foi criada a Escola do Empreendedor Paulista que, em 2014, recebeu 22.537 alunos, em seus dez cursos básicos. De seu lado, o Banco do Povo, que é um dos parceiros da Escola, realizou mais de 37 mil operações, em 2014, emprestando recursos que ultrapassaram R$ 222 milhões. Em apoio, também, à atividade empresarial, a Desenvolve SP – Agência de Desenvolvimento Paulista realizou, no mesmo ano, 702 operações de </w:t>
      </w:r>
      <w:r w:rsidRPr="00335B02">
        <w:rPr>
          <w:rFonts w:ascii="Arial" w:hAnsi="Arial" w:cs="Arial"/>
        </w:rPr>
        <w:lastRenderedPageBreak/>
        <w:t>crédito no valor de R$ 464 milhões, para a expansão e modernização de pequenas e médias empresas e para obras de infraestrutura dos municípios, beneficiando 115 cidades.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A geração de emprego e renda foi também estimulada por meio do Fundo de Expansão do Agronegócio Paulista – FEAP, com a liberação de mais de R$ 50 milhões de recursos do FEAP/BANAGRO, em 604 contratos, até outubro de 2014. Até o mesmo mês, foram pagas 15.038 subvenções do Prêmio do Seguro do Agronegócio Paulista. Pelo FEAP/BANAGRO, também, foram beneficiadas 5.328 pessoas, no Programa “Pró Trator”, e mais 4.132, no Programa “Pró Implemento”. Já pelo Programa Nacional de Fortalecimento da Agricultura Familiar – PRONAF, foram celebrados 35.498 contratos, totalizando créditos de aproximadamente R$ 912 milhões.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A cidadania tem feito contínuos avanços em nosso estado. Em 2014, trinta novas unidades do Poupatempo foram inauguradas e seis novas unidades móveis passaram a atuar: cinco no interior e uma na Grande São Paulo, realizando cerca de 40 milhões de atendimentos. O Acessa São Paulo ganhou mais 128 postos, atingindo 832 unidades em funcionamento. Mais quatro Centros de Integração de Cidadania – CICs foram inaugurados, um deles, o CIC do Imigrante, orientado, especificamente, para o público estrangeiro em situação de vulnerabilidade. Em parceria com o Poupatempo, foram implantadas, também, 32 unidades do Detran.SP, além de 12 unidades próprias, dois postos avançados e oito seções de trânsito. No início do ano, foi criada a primeira delegacia de polícia da pessoa com deficiência, no estado.</w:t>
      </w:r>
    </w:p>
    <w:p w:rsidR="0078786B" w:rsidRPr="00335B02" w:rsidRDefault="0078786B" w:rsidP="0078786B">
      <w:pPr>
        <w:jc w:val="both"/>
        <w:rPr>
          <w:rFonts w:ascii="Arial" w:hAnsi="Arial" w:cs="Arial"/>
        </w:rPr>
      </w:pPr>
    </w:p>
    <w:p w:rsidR="0078786B" w:rsidRPr="00335B02" w:rsidRDefault="0078786B" w:rsidP="0078786B">
      <w:pPr>
        <w:ind w:firstLine="708"/>
        <w:jc w:val="both"/>
        <w:rPr>
          <w:rFonts w:ascii="Arial" w:hAnsi="Arial" w:cs="Arial"/>
        </w:rPr>
      </w:pPr>
      <w:r w:rsidRPr="00335B02">
        <w:rPr>
          <w:rFonts w:ascii="Arial" w:hAnsi="Arial" w:cs="Arial"/>
        </w:rPr>
        <w:t xml:space="preserve">                    Em apoio ao Poder Judiciário, com investimento de R$ 73,2 milhões, foram entregues obras de construção de seis fóruns, de ampliação e reforma de dois outros, e de acessibilidade para pessoas com deficiência em 24 edifícios.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Para garantir a qualidade dos serviços à população, a rede estadual de hospitais e ambulatórios exige um contínuo processo de investimentos em ampliação do atendimento, modernização e reforma. Nesse sentido, os principais investimentos em equipamentos e obras concluídas ou em andamento, em 2014, foram da ordem de R$ 147,3 milhões, além de R$ 80,7 milhões em ações rotineiras de manutenção de hospitais.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O Programa “Pró Santa Casa”, por sua vez, contemplou 119 instituições com repasses de R$ 248 milhões. Pelo Programa “Santa Casa SUStentável”, instituído no exercício findo, foram repassados R$ 400,9 milhões a 124 instituições, consideradas como hospitais estruturantes, estratégicos e de apoio regional, entre outros aspectos.</w:t>
      </w:r>
    </w:p>
    <w:p w:rsidR="0078786B" w:rsidRPr="00335B02" w:rsidRDefault="0078786B" w:rsidP="0078786B">
      <w:pPr>
        <w:jc w:val="both"/>
        <w:rPr>
          <w:rFonts w:ascii="Arial" w:hAnsi="Arial" w:cs="Arial"/>
        </w:rPr>
      </w:pPr>
    </w:p>
    <w:p w:rsidR="0078786B" w:rsidRPr="00335B02" w:rsidRDefault="0078786B" w:rsidP="0078786B">
      <w:pPr>
        <w:jc w:val="both"/>
        <w:rPr>
          <w:rFonts w:ascii="Arial" w:hAnsi="Arial" w:cs="Arial"/>
        </w:rPr>
      </w:pPr>
      <w:r w:rsidRPr="00335B02">
        <w:rPr>
          <w:rFonts w:ascii="Arial" w:hAnsi="Arial" w:cs="Arial"/>
        </w:rPr>
        <w:tab/>
      </w:r>
      <w:r w:rsidRPr="00335B02">
        <w:rPr>
          <w:rFonts w:ascii="Arial" w:hAnsi="Arial" w:cs="Arial"/>
        </w:rPr>
        <w:tab/>
      </w:r>
      <w:r w:rsidRPr="00335B02">
        <w:rPr>
          <w:rFonts w:ascii="Arial" w:hAnsi="Arial" w:cs="Arial"/>
        </w:rPr>
        <w:tab/>
        <w:t>Com o objetivo de dar suporte às unidades de pronto atendimento e prontos-socorros, por meio de videoconferência entre equipe médica da Central de Regulação e, quando necessário, de hospitais iniciais, começou a ser desenvolvido o projeto de  telemedicina, contemplando, de início, 28 unidades na Região da Baixada Santista.</w:t>
      </w:r>
    </w:p>
    <w:p w:rsidR="0078786B" w:rsidRPr="00335B02" w:rsidRDefault="0078786B" w:rsidP="0078786B">
      <w:pPr>
        <w:jc w:val="both"/>
        <w:rPr>
          <w:rFonts w:ascii="Arial" w:hAnsi="Arial" w:cs="Arial"/>
        </w:rPr>
      </w:pPr>
    </w:p>
    <w:p w:rsidR="0078786B" w:rsidRPr="0078786B" w:rsidRDefault="0078786B" w:rsidP="0078786B">
      <w:pPr>
        <w:pStyle w:val="Ttulo"/>
        <w:jc w:val="both"/>
        <w:rPr>
          <w:rFonts w:ascii="Arial" w:hAnsi="Arial" w:cs="Arial"/>
          <w:b w:val="0"/>
        </w:rPr>
      </w:pPr>
      <w:r w:rsidRPr="00335B02">
        <w:lastRenderedPageBreak/>
        <w:tab/>
      </w:r>
      <w:r w:rsidRPr="00335B02">
        <w:tab/>
      </w:r>
      <w:r w:rsidRPr="00335B02">
        <w:tab/>
      </w:r>
      <w:r w:rsidRPr="0078786B">
        <w:rPr>
          <w:rFonts w:ascii="Arial" w:hAnsi="Arial" w:cs="Arial"/>
          <w:b w:val="0"/>
        </w:rPr>
        <w:t>O Programa Mulheres de Peito, para o rastreamento do câncer de mama em todo o estado de São Paulo, prevê exames de mamografia e complementares para mulheres de 50 a 69 anos, realizados em unidades móveis ou – mediante agendamento prévio, por telefone – nas unidades de saúde. Considerado o período de fevereiro de 2014 a fevereiro deste ano, foram realizados 41.413 exames de mamografia, 1.860 ultrassonografias, 285 biopsias e 512 encaminhamentos.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Foram também inaugurados mais dois Ambulatórios Médicos de Especialidades e três unidades fixas da Rede Lucy Montoro, em Santos, Marília e Pariquera-Açu.</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ind w:firstLine="708"/>
        <w:jc w:val="both"/>
        <w:rPr>
          <w:rFonts w:ascii="Arial" w:hAnsi="Arial" w:cs="Arial"/>
          <w:b w:val="0"/>
        </w:rPr>
      </w:pPr>
      <w:r w:rsidRPr="0078786B">
        <w:rPr>
          <w:rFonts w:ascii="Arial" w:hAnsi="Arial" w:cs="Arial"/>
          <w:b w:val="0"/>
        </w:rPr>
        <w:t xml:space="preserve">                     O saneamento básico tem uma relação direta com a saúde da população. Por isso mesmo, o Governo Estadual investiu cerca de R$ 7,2 bilhões no setor, dos quais R$ 6 bilhões por intermédio da Sabesp. Em 2014 os investimentos foram de aproximadamente R$ 3 bilhões, sendo R$ 2,5 bilhões oriundos daquela companhia.</w:t>
      </w:r>
    </w:p>
    <w:p w:rsidR="0078786B" w:rsidRPr="0078786B" w:rsidRDefault="0078786B" w:rsidP="0078786B">
      <w:pPr>
        <w:pStyle w:val="Ttulo"/>
        <w:ind w:firstLine="708"/>
        <w:jc w:val="both"/>
        <w:rPr>
          <w:rFonts w:ascii="Arial" w:hAnsi="Arial" w:cs="Arial"/>
          <w:b w:val="0"/>
        </w:rPr>
      </w:pPr>
    </w:p>
    <w:p w:rsidR="0078786B" w:rsidRPr="0078786B" w:rsidRDefault="0078786B" w:rsidP="0078786B">
      <w:pPr>
        <w:pStyle w:val="Ttulo"/>
        <w:ind w:firstLine="708"/>
        <w:jc w:val="both"/>
        <w:rPr>
          <w:rFonts w:ascii="Arial" w:hAnsi="Arial" w:cs="Arial"/>
          <w:b w:val="0"/>
        </w:rPr>
      </w:pPr>
      <w:r w:rsidRPr="0078786B">
        <w:rPr>
          <w:rFonts w:ascii="Arial" w:hAnsi="Arial" w:cs="Arial"/>
          <w:b w:val="0"/>
        </w:rPr>
        <w:t xml:space="preserve">                     Vários programas e iniciativas têm sido desenvolvidos, entre os quais a conclusão de 15 Estações de Tratamento de Esgoto, no ano passado, o Programa de Saneamento Ambiental dos Mananciais do Alto Tietê e o Programa de Recuperação Ambiental, Urbanização de Favelas e Melhorias, em Guarapiranga e na Billings, entre outros.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Problema em que Governo de São Paulo tem se empenhado particularmente é o do abastecimento de água. Como é sabido, o ciclo de chuvas 2013/2014 registrou precipitações abaixo da média histórica para as bacias hídricas da região sudeste do País, afetando, com severidade, o território paulista. Entre as diversas obras e ações realizadas, para enfrentar a escassez, destacam-se a ampliação do sistema Rio Grande em mais 0,5 m</w:t>
      </w:r>
      <w:r w:rsidRPr="0078786B">
        <w:rPr>
          <w:rFonts w:ascii="Arial" w:hAnsi="Arial" w:cs="Arial"/>
          <w:b w:val="0"/>
          <w:vertAlign w:val="superscript"/>
        </w:rPr>
        <w:t>3</w:t>
      </w:r>
      <w:r w:rsidRPr="0078786B">
        <w:rPr>
          <w:rFonts w:ascii="Arial" w:hAnsi="Arial" w:cs="Arial"/>
          <w:b w:val="0"/>
        </w:rPr>
        <w:t>/s, o início do bombeamento da segunda reserva técnica do Cantareira, a ampliação da produção de água do sistema Guarapiranga em mais 1m</w:t>
      </w:r>
      <w:r w:rsidRPr="0078786B">
        <w:rPr>
          <w:rFonts w:ascii="Arial" w:hAnsi="Arial" w:cs="Arial"/>
          <w:b w:val="0"/>
          <w:vertAlign w:val="superscript"/>
        </w:rPr>
        <w:t>3</w:t>
      </w:r>
      <w:r w:rsidRPr="0078786B">
        <w:rPr>
          <w:rFonts w:ascii="Arial" w:hAnsi="Arial" w:cs="Arial"/>
          <w:b w:val="0"/>
        </w:rPr>
        <w:t>/s e o aumento da produção no Alto Tietê em mais 0,5m</w:t>
      </w:r>
      <w:r w:rsidRPr="0078786B">
        <w:rPr>
          <w:rFonts w:ascii="Arial" w:hAnsi="Arial" w:cs="Arial"/>
          <w:b w:val="0"/>
          <w:vertAlign w:val="superscript"/>
        </w:rPr>
        <w:t>3</w:t>
      </w:r>
      <w:r w:rsidRPr="0078786B">
        <w:rPr>
          <w:rFonts w:ascii="Arial" w:hAnsi="Arial" w:cs="Arial"/>
          <w:b w:val="0"/>
        </w:rPr>
        <w:t>/s (esta, a partir de janeiro do ano em curso). Ou seja, desde então, a produção de água aumentou em 2 m</w:t>
      </w:r>
      <w:r w:rsidRPr="0078786B">
        <w:rPr>
          <w:rFonts w:ascii="Arial" w:hAnsi="Arial" w:cs="Arial"/>
          <w:b w:val="0"/>
          <w:vertAlign w:val="superscript"/>
        </w:rPr>
        <w:t>3</w:t>
      </w:r>
      <w:r w:rsidRPr="0078786B">
        <w:rPr>
          <w:rFonts w:ascii="Arial" w:hAnsi="Arial" w:cs="Arial"/>
          <w:b w:val="0"/>
        </w:rPr>
        <w:t>/s, na Grande São Paulo. Somando o que já foi feito às obras futuras, serão 25,8 m</w:t>
      </w:r>
      <w:r w:rsidRPr="0078786B">
        <w:rPr>
          <w:rFonts w:ascii="Arial" w:hAnsi="Arial" w:cs="Arial"/>
          <w:b w:val="0"/>
          <w:vertAlign w:val="superscript"/>
        </w:rPr>
        <w:t>3</w:t>
      </w:r>
      <w:r w:rsidRPr="0078786B">
        <w:rPr>
          <w:rFonts w:ascii="Arial" w:hAnsi="Arial" w:cs="Arial"/>
          <w:b w:val="0"/>
        </w:rPr>
        <w:t>/s a mais, na produção de água, a partir do início da crise hídrica, beneficiando 7,7 milhões de pessoas, entre 2014 e 2017.</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ind w:firstLine="708"/>
        <w:jc w:val="both"/>
        <w:rPr>
          <w:rFonts w:ascii="Arial" w:hAnsi="Arial" w:cs="Arial"/>
          <w:b w:val="0"/>
        </w:rPr>
      </w:pPr>
      <w:r w:rsidRPr="0078786B">
        <w:rPr>
          <w:rFonts w:ascii="Arial" w:hAnsi="Arial" w:cs="Arial"/>
          <w:b w:val="0"/>
        </w:rPr>
        <w:t xml:space="preserve">                     No esforço para superar as dificuldades, ressalte-se o espírito solidário e cooperativo da população que, maciçamente, passou a economizar água, como é atestado pela adesão de 78% dos usuários da Região Metropolitana de São Paulo ao Programa de Incentivo à Redução do Consumo desse bem.</w:t>
      </w:r>
      <w:r w:rsidRPr="0078786B">
        <w:rPr>
          <w:rFonts w:ascii="Arial" w:hAnsi="Arial" w:cs="Arial"/>
          <w:b w:val="0"/>
        </w:rPr>
        <w:tab/>
      </w: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r>
      <w:r w:rsidRPr="0078786B">
        <w:rPr>
          <w:rFonts w:ascii="Arial" w:hAnsi="Arial" w:cs="Arial"/>
          <w:b w:val="0"/>
        </w:rPr>
        <w:tab/>
      </w: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 Nas últimas décadas, o estado de São Paulo passou por um intenso processo de urbanização. Segundo o último Censo, 95,94% da população paulista mora nas cidades – uma taxa bem superior ao índice nacional, que é de 84,36%. Entre os principais desafios trazidos por essa realidade está a questão habitacional. Para enfrentá-la, o Governo do Estado tem desenvolvido diversas iniciativas. Assim, em 2014, a CDHU realizou 62.734 </w:t>
      </w:r>
      <w:r w:rsidRPr="0078786B">
        <w:rPr>
          <w:rFonts w:ascii="Arial" w:hAnsi="Arial" w:cs="Arial"/>
          <w:b w:val="0"/>
        </w:rPr>
        <w:lastRenderedPageBreak/>
        <w:t>atendimentos e entregou 10.897 unidades habitacionais, concedeu 15.729 auxílios-moradia e 156 cartas de crédito. Ao final do ano, havia 35.895 unidades habitacionais em obras, sendo 31.332 em construção e 4.563 atendimentos em urbanizações.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Com investimento de R$ 17,8 milhões, o Programa “Cidade Legal” levou à regularização fundiária de 173 núcleos habitacionais de interesse social, beneficiando cerca de 27 mil famílias. Já pelo Programa “Especial de Melhorias”, foram firmados 127 convênios, representando o atendimento de 167 núcleos habitacionais em 113 municípios.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O Programa “Casa Paulista”, por sua vez, dentro da parceria entre os Governos Estadual e Federal no Programa “Minha Casa – Minha Vida”, entregou 8.192 unidades habitacionais e contratou mais 25.961. Destaquem-se, por fim, o Programa “Servidor Público”, com 2.148 contratos assinados, e o Programa “Lotes Urbanizados”, que viabilizou 1.710 lotes.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O Governo de São Paulo vem travando uma luta incessante contra a criminalidade, contando sempre com o apoio dessa Ilustre Assembleia. O fato pode ser exemplificado pela aprovação, por esse Egrégio Parlamento, dos projetos que resultaram nas leis n. 15 276 e n. 15.315, ambas de janeiro de 2014. O primeiro diploma legal mencionado dispõe sobre veículos terrestres em fim de vida útil, determinando que somente poderão ser destinados a estabelecimentos credenciados pelo Detran-SP, vedada a comercialização de partes ou peças resultantes da sua desmontagem por empresas não credenciadas pelo órgão. É a chamada Lei do Desmanche.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ind w:firstLine="708"/>
        <w:jc w:val="both"/>
        <w:rPr>
          <w:rFonts w:ascii="Arial" w:hAnsi="Arial" w:cs="Arial"/>
          <w:b w:val="0"/>
        </w:rPr>
      </w:pPr>
      <w:r w:rsidRPr="0078786B">
        <w:rPr>
          <w:rFonts w:ascii="Arial" w:hAnsi="Arial" w:cs="Arial"/>
          <w:b w:val="0"/>
        </w:rPr>
        <w:t xml:space="preserve">                    Já a segunda lei referida dispõe sobre a cassação de inscrição, no cadastro do ICMS, do estabelecimento que adquirir, distribuir, estocar ou vender qualquer bem fruto de roubo, independentemente de ficar ou não caracterizada a receptação.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No ano de 2014, a segurança pública recebeu significativos investimentos para a aquisição de viaturas, equipamentos e, no caso da PM, uniformes e EPI. Para a Polícia Militar, os investimentos superaram R$ 162 milhões, destacando-se a aquisição de 525 fuzis. Para a Polícia Civil, eles alcançaram R$ 212,1 milhões, inclusive para a compra de 9.312 pistolas ponto 40.  Já para a Polícia Técnico-Científica, eles foram de R$ 2,4 milhões, com destaque para o equipamento termociclador de PCR em tempo real, para quantificação de DNA. O Corpo de Bombeiros também foi beneficiado, com R$ 51,3 milhões em viaturas e barcos, e R$ 6 milhões em equipamentos diversos, entre os quais 110 desencarceradores hidráulicos.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Ressalte-se, ainda, o importante papel que o Centro Integrado de Comando e Controle da Secretaria da Segurança teve na Copa do Mundo, como o principal espaço de gestão das atividades de segurança do estado durante os jogos aqui realizados.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lastRenderedPageBreak/>
        <w:tab/>
      </w:r>
      <w:r w:rsidRPr="0078786B">
        <w:rPr>
          <w:rFonts w:ascii="Arial" w:hAnsi="Arial" w:cs="Arial"/>
          <w:b w:val="0"/>
        </w:rPr>
        <w:tab/>
      </w:r>
      <w:r w:rsidRPr="0078786B">
        <w:rPr>
          <w:rFonts w:ascii="Arial" w:hAnsi="Arial" w:cs="Arial"/>
          <w:b w:val="0"/>
        </w:rPr>
        <w:tab/>
        <w:t>A luta contra a criminalidade repercute diretamente na questão prisional. Daí o Programa de Expansão e Modernização do Sistema Prisional Paulista, que, no exercício passado, finalizou três unidades prisionais, que geraram 768 vagas nas penitenciárias masculinas de Bernardino de Campos e de Taquarituba, e 1.048 para o Centro de Progressão Penitenciária de Porto Feliz. Mais oito unidades prisionais estão em construção, devendo gerar 6.144 novas vagas.</w:t>
      </w:r>
      <w:r w:rsidRPr="0078786B">
        <w:rPr>
          <w:rFonts w:ascii="Arial" w:hAnsi="Arial" w:cs="Arial"/>
          <w:b w:val="0"/>
        </w:rPr>
        <w:tab/>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São Paulo conta com 6,4 mil km de rodovias sob o regime de concessão. De 1998 a 2014, mais de R$ 60 bilhões, em valores corrigidos, foram investidos, pelas concessionárias, em obras, conservação e melhorias nas estradas paulistas. Somente no ano de 2014, até novembro, foram mais de R$ 5 bilhões aplicados entre despesas operacionais e investimentos.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As concessionárias concluíram 557 obras, nas quais foram investidos R$ 993 milhões, em 2014. Foram duplicados 118,03 km de rodovias, implantados 15,60 km de faixas adicionais, 38,70 km de marginais, 38,42 km de novas pistas e recapeados 661,55 km de rodovias, entre outras obras e serviços.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O Programa de Concessões de Rodovias repassa aos municípios o ISS que incide sobre as tarifas de pedágio. De janeiro a novembro de 2014, foram repassados mais de R$ 390 milhões para 260 prefeituras, incrementando suas receitas.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 O DER – Departamento de Estradas de Rodagem também fortaleceu o sistema de estradas paulistas, investindo R$ 2,3 bilhões em pavimentação, duplicação e recuperação de 1.731 km de rodovias estaduais e R$ 94,01 milhões em 66,07 km da Rede Vicinal, além de R$ 1,7 milhão, com Patrulha Rodoviária em 16,54 km e R$ 3,9 milhões, na construção e reforma de 26 terminais rodoviários.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Com o apoio dessa Ilustre Assembleia, a Lei n. 15.179/13 instituiu a gratuidade de até duas passagens, por viagem, para idosos com mais de 60 anos de idade. Desde sua regulamentação, em 2014, mais de 1 milhão de passagens já foram concedidas.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Em novembro de 2014, o sistema metroferroviário superou a marca de 7,6 milhões de usuários nos dias úteis, registrando um crescimento de 28%, quando comparado ao ano de 2010. Relativamente a 2013, o aumento foi de 3%.</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Para atender ao crescimento da demanda, foram desenvolvidas várias estratégias. Em 2014, quatro grandes empreendimentos do Metrô estavam com obras em andamento: a Linha 4 – Amarela, Luz – Largo de Taboão; a Linha 5 – Lilás, trecho Capão Redondo – Chácara Klabin; a Linha 15 – Prata, Ipiranga – Cidade Tiradentes; e a Linha 17 – Ouro, Jabaquara – São Paulo Morumbi.</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lastRenderedPageBreak/>
        <w:tab/>
      </w:r>
      <w:r w:rsidRPr="0078786B">
        <w:rPr>
          <w:rFonts w:ascii="Arial" w:hAnsi="Arial" w:cs="Arial"/>
          <w:b w:val="0"/>
        </w:rPr>
        <w:tab/>
      </w:r>
      <w:r w:rsidRPr="0078786B">
        <w:rPr>
          <w:rFonts w:ascii="Arial" w:hAnsi="Arial" w:cs="Arial"/>
          <w:b w:val="0"/>
        </w:rPr>
        <w:tab/>
        <w:t xml:space="preserve">A Linha 4 – Amarela está sendo implantada em três fases. A A Fase 1, com 12,8 km e pátio de manutenção na Vila Sônia. Na Fase 2, estão sendo executadas obras de complementação em três estações: São Paulo-Morumbi, Oscar Freire e Higienópolis-Mackenzie, além da complementação do Pátio e do Terminal Vila Sônia. Em novembro do ano findo, foi inaugurada a estação Fradique Coutinho, na mesma linha. Na Fase 3, trecho Vila Sônia – Largo Taboão, serão implantadas duas novas estações: Chácara do Jóquei e Largo do Taboão.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Na Linha 5 – Lilás, prosseguiu a execução  das obras civis das estações e túneis, no trecho Adolfo Pinheiro – Chácara Klabin. Em agosto de 2014, o trecho Largo Treze – Adolfo Pinheiro entrou em operação comercial.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Estão sendo implantados, em sistema de monotrilho, os 26,7 km da Linha Prata. Em 2014, os 2,9 km do trecho Vila Prudente – Oratório iniciou o processo de visita controlada. Também pelo mesmo sistema, está sendo implantada a Linha 17 – Ouro, que, quando concluída, terá 17,7 km e 18 estações, tendo como principal característica a interligação com o Aeroporto de Congonhas.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Destaque-se que todas as linhas do Metrô mencionadas fazem conexão com outras linhas da empresa e da CPTM.</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Com contratos de Parceria Público Privada já firmados, serão executadas a Linha  6 – Laranja: trecho Brasilândia – São Joaquim e, em sistema de monotrilho, a 18 – Bronze, que fará a ligação direta entre a zona leste da Capital e a estação Djalma Dutra, em São Bernardo do Campo.</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A Companhia Paulista de Trens Metropolitanos – CPTM aumentou em 5% o volume de viagens de usuários, em relação a 2013.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Entre o mais, em 2014, na CPTM, foi dado prosseguimento às obras de: extensão de 5,4 km da Linha 9; implantação da Linha 13 – Jade, que ligará São Paulo a Guarulhos, com acesso ao aeroporto; reconstrução das estações Jaraguá (Linha 7 – Rubi), Osasco (Linha 9 – Esmeralda), Suzano, Ferraz de Vasconcelos e Poá (Linha 11 – Coral), edificações que contarão também com diversos itens de acessibilidade para pessoas com deficiência.</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 xml:space="preserve">Na esfera de atuação da Empresa Metropolitana de Transportes Urbanos – EMTU foi entregue o Terminal Vila Galvão, do Corredor Metropolitano ABD; em janeiro de 2014, começaram as obras do Corredor Metropolitano Noroeste – RMC, no trecho que abrange os municípios de Nova Odessa, Americana e Santa Bárbara d’Oeste; e as obras de acessibilidade nos Terminais Metropolitanos Piraporinha e São Mateus, do Corredor Metropolitano ABD. </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lastRenderedPageBreak/>
        <w:tab/>
      </w:r>
      <w:r w:rsidRPr="0078786B">
        <w:rPr>
          <w:rFonts w:ascii="Arial" w:hAnsi="Arial" w:cs="Arial"/>
          <w:b w:val="0"/>
        </w:rPr>
        <w:tab/>
      </w:r>
      <w:r w:rsidRPr="0078786B">
        <w:rPr>
          <w:rFonts w:ascii="Arial" w:hAnsi="Arial" w:cs="Arial"/>
          <w:b w:val="0"/>
        </w:rPr>
        <w:tab/>
        <w:t>Prosseguiram também as obras civis para implantação do Sistema Integrado da Região Metropolitana da Baixada Santista, o SIM, sendo que a primeira composição do VLT chegou ao Brasil em maio e permaneceu em operação por meio de visita controlada entre as estações Mascarenhas de Moraes e José Monteiro, em São Vicente, durante os meses de novembro e dezembro.</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Três eventos de 2014, por fim, podem sintetizar o dinamismo da sociedade paulista, seu apreço pelo conhecimento e pelo progresso tecnológico: a realização do primeiro vestibular da Univesp – Universidade Virtual do Estado de São Paulo, que ofereceu 3.330 vagas em cursos para a formação de professores de Ciências Naturais e Matemática, além de cursos de Engenharia de Produção e de Computação; a inauguração do Parque Tecnológico de Ribeirão Preto, para, entre o mais, estimular a cooperação universidade-empresa, incentivar e promover a criação e o crescimento de empresas de base tecnológica; e, finalmente, com o apoio desse Nobre Parlamento, a instituição, por lei complementar, da Região Metropolitana de Sorocaba, que facilitará o planejamento regional para o seu desenvolvimento socioeconômico, e fortalecerá a cooperação das prefeituras, entre si e com as diferentes instâncias de governo, fazendo avançar a qualidade de vida nos 26 municípios que a integram.</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Três princípios fundamentais têm norteado o Governo do Estado, sendo o fiel da sua atuação: o rigor ético, o uso criterioso dos recursos públicos e a transparência na gestão – valores, aliás, altamente prezados em nosso estado.</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r w:rsidRPr="0078786B">
        <w:rPr>
          <w:rFonts w:ascii="Arial" w:hAnsi="Arial" w:cs="Arial"/>
          <w:b w:val="0"/>
        </w:rPr>
        <w:tab/>
      </w:r>
      <w:r w:rsidRPr="0078786B">
        <w:rPr>
          <w:rFonts w:ascii="Arial" w:hAnsi="Arial" w:cs="Arial"/>
          <w:b w:val="0"/>
        </w:rPr>
        <w:tab/>
      </w:r>
      <w:r w:rsidRPr="0078786B">
        <w:rPr>
          <w:rFonts w:ascii="Arial" w:hAnsi="Arial" w:cs="Arial"/>
          <w:b w:val="0"/>
        </w:rPr>
        <w:tab/>
        <w:t>Com eles, São Paulo tem feito progressos contínuos. E continuará a fazê-los. Não apenas pelas iniciativas e ações do Governo Estadual, mas também pela atuação dessa Egrégia Assembleia Legislativa e pelo empenho e trabalho de todos os paulistas.</w:t>
      </w:r>
    </w:p>
    <w:p w:rsidR="0078786B" w:rsidRPr="0078786B" w:rsidRDefault="0078786B" w:rsidP="0078786B">
      <w:pPr>
        <w:pStyle w:val="Ttulo"/>
        <w:jc w:val="both"/>
        <w:rPr>
          <w:rFonts w:ascii="Arial" w:hAnsi="Arial" w:cs="Arial"/>
          <w:b w:val="0"/>
        </w:rPr>
      </w:pPr>
    </w:p>
    <w:p w:rsidR="0078786B" w:rsidRPr="0078786B" w:rsidRDefault="0078786B" w:rsidP="0078786B">
      <w:pPr>
        <w:pStyle w:val="Ttulo"/>
        <w:jc w:val="both"/>
        <w:rPr>
          <w:rFonts w:ascii="Arial" w:hAnsi="Arial" w:cs="Arial"/>
          <w:b w:val="0"/>
        </w:rPr>
      </w:pPr>
    </w:p>
    <w:p w:rsidR="0078786B" w:rsidRPr="0078786B" w:rsidRDefault="0078786B" w:rsidP="0078786B">
      <w:pPr>
        <w:pStyle w:val="Ttulo"/>
        <w:rPr>
          <w:rFonts w:ascii="Arial" w:hAnsi="Arial" w:cs="Arial"/>
          <w:b w:val="0"/>
        </w:rPr>
      </w:pPr>
      <w:r w:rsidRPr="0078786B">
        <w:rPr>
          <w:rFonts w:ascii="Arial" w:hAnsi="Arial" w:cs="Arial"/>
          <w:b w:val="0"/>
        </w:rPr>
        <w:t>Palácio dos Bandeirantes, aos 15 de março de 2015</w:t>
      </w:r>
    </w:p>
    <w:p w:rsidR="0078786B" w:rsidRPr="0078786B" w:rsidRDefault="0078786B" w:rsidP="0078786B">
      <w:pPr>
        <w:pStyle w:val="Ttulo"/>
        <w:rPr>
          <w:rFonts w:ascii="Arial" w:hAnsi="Arial" w:cs="Arial"/>
          <w:b w:val="0"/>
        </w:rPr>
      </w:pPr>
    </w:p>
    <w:p w:rsidR="0078786B" w:rsidRPr="0078786B" w:rsidRDefault="0078786B" w:rsidP="0078786B">
      <w:pPr>
        <w:pStyle w:val="Ttulo"/>
        <w:rPr>
          <w:rFonts w:ascii="Arial" w:hAnsi="Arial" w:cs="Arial"/>
          <w:b w:val="0"/>
        </w:rPr>
      </w:pPr>
    </w:p>
    <w:p w:rsidR="0078786B" w:rsidRPr="0078786B" w:rsidRDefault="0078786B" w:rsidP="0078786B">
      <w:pPr>
        <w:pStyle w:val="Ttulo"/>
        <w:rPr>
          <w:rFonts w:ascii="Arial" w:hAnsi="Arial" w:cs="Arial"/>
          <w:b w:val="0"/>
        </w:rPr>
      </w:pPr>
    </w:p>
    <w:p w:rsidR="0078786B" w:rsidRPr="0078786B" w:rsidRDefault="0078786B" w:rsidP="0078786B">
      <w:pPr>
        <w:pStyle w:val="Ttulo"/>
        <w:rPr>
          <w:rFonts w:ascii="Arial" w:hAnsi="Arial" w:cs="Arial"/>
          <w:b w:val="0"/>
        </w:rPr>
      </w:pPr>
      <w:r w:rsidRPr="0078786B">
        <w:rPr>
          <w:rFonts w:ascii="Arial" w:hAnsi="Arial" w:cs="Arial"/>
          <w:b w:val="0"/>
        </w:rPr>
        <w:t>Geraldo Alckmin</w:t>
      </w:r>
    </w:p>
    <w:p w:rsidR="0078786B" w:rsidRPr="0078786B" w:rsidRDefault="0078786B" w:rsidP="0078786B">
      <w:pPr>
        <w:pStyle w:val="Ttulo"/>
        <w:rPr>
          <w:rFonts w:ascii="Arial" w:hAnsi="Arial" w:cs="Arial"/>
          <w:b w:val="0"/>
        </w:rPr>
      </w:pPr>
      <w:r w:rsidRPr="0078786B">
        <w:rPr>
          <w:rFonts w:ascii="Arial" w:hAnsi="Arial" w:cs="Arial"/>
          <w:b w:val="0"/>
        </w:rPr>
        <w:t>Governador do Estado de São Paulo</w:t>
      </w:r>
    </w:p>
    <w:p w:rsidR="0078786B" w:rsidRDefault="0078786B">
      <w:pPr>
        <w:pStyle w:val="Ttulo"/>
      </w:pPr>
    </w:p>
    <w:p w:rsidR="0078786B" w:rsidRDefault="0078786B">
      <w:pPr>
        <w:pStyle w:val="Ttulo"/>
      </w:pPr>
    </w:p>
    <w:p w:rsidR="0078786B" w:rsidRDefault="0078786B">
      <w:pPr>
        <w:pStyle w:val="Ttulo"/>
      </w:pPr>
    </w:p>
    <w:p w:rsidR="0078786B" w:rsidRDefault="0078786B">
      <w:pPr>
        <w:pStyle w:val="Ttulo"/>
      </w:pPr>
    </w:p>
    <w:p w:rsidR="0078786B" w:rsidRDefault="0078786B">
      <w:pPr>
        <w:pStyle w:val="Ttulo"/>
      </w:pPr>
    </w:p>
    <w:p w:rsidR="0078786B" w:rsidRDefault="0078786B">
      <w:pPr>
        <w:pStyle w:val="Ttulo"/>
      </w:pPr>
    </w:p>
    <w:p w:rsidR="003E6588" w:rsidRDefault="0078786B">
      <w:pPr>
        <w:pStyle w:val="Ttulo"/>
      </w:pPr>
      <w:r>
        <w:br w:type="page"/>
      </w:r>
      <w:r w:rsidR="003E6588">
        <w:lastRenderedPageBreak/>
        <w:t>CASA CIVIL</w:t>
      </w:r>
    </w:p>
    <w:p w:rsidR="003E6588" w:rsidRDefault="003E6588"/>
    <w:p w:rsidR="003E6588" w:rsidRDefault="003E6588"/>
    <w:p w:rsidR="003E6588" w:rsidRDefault="003E6588">
      <w:pPr>
        <w:ind w:firstLine="1134"/>
        <w:jc w:val="both"/>
      </w:pPr>
      <w:r>
        <w:rPr>
          <w:b/>
        </w:rPr>
        <w:t>Corregedoria Geral da Administração</w:t>
      </w:r>
      <w:r>
        <w:t xml:space="preserve"> - A Corregedoria Geral da Administração do Estado de São Paulo - CGA manteve a</w:t>
      </w:r>
      <w:r w:rsidR="00D85D4B">
        <w:t>s</w:t>
      </w:r>
      <w:r>
        <w:t xml:space="preserve"> </w:t>
      </w:r>
      <w:r w:rsidR="00D85D4B">
        <w:t>atividades</w:t>
      </w:r>
      <w:r>
        <w:t xml:space="preserve"> de correição, inspeção e apuração, aliadas a ações preventivas e de orientação e fortalecimento às atividades de combate à corrupção, por meio de 10 Departamentos (Instrução Processual, Monitoramento de Contratos Terceirizados, Apuração em Licitações, Contratos e Indenizações, Inspeção em Obras, Inteligência e Combate à Corrupção, Prevenção e Transparência, Assuntos Jurídicos e Disciplinares, Controle de Absenteísmo, Controle Estratégico, Análise de Prestação de Contas e Diárias), 6 Setoriais (Educação, Saúde, Meio Ambiente, Habitação, Gestão Pública e Planejamento), Centro Administrativo, Ouvidoria Geral, Auditoria Geral, Conselho de Transparência, Comissão Geral de Ética, Assistência Policial Civil e Assessoria Policial Militar.</w:t>
      </w:r>
    </w:p>
    <w:p w:rsidR="003E6588" w:rsidRDefault="003E6588">
      <w:pPr>
        <w:jc w:val="both"/>
      </w:pPr>
    </w:p>
    <w:p w:rsidR="003E6588" w:rsidRDefault="003E6588">
      <w:pPr>
        <w:ind w:firstLine="1134"/>
        <w:jc w:val="both"/>
      </w:pPr>
      <w:r>
        <w:rPr>
          <w:b/>
        </w:rPr>
        <w:t xml:space="preserve">Combate à impunidade no serviço público - </w:t>
      </w:r>
      <w:r>
        <w:t>Instaurados 340 procedimentos correcionais e 1.051 protocolados; concluídos 1.068 expedientes e 2.168 apurações encontram-se em andamento. Foram realizadas</w:t>
      </w:r>
      <w:r w:rsidR="00D85D4B">
        <w:t>, 232 diligências e 243 oitivas;</w:t>
      </w:r>
    </w:p>
    <w:p w:rsidR="003E6588" w:rsidRDefault="003E6588">
      <w:pPr>
        <w:ind w:firstLine="1134"/>
        <w:jc w:val="both"/>
      </w:pPr>
    </w:p>
    <w:p w:rsidR="003E6588" w:rsidRDefault="003E6588">
      <w:pPr>
        <w:ind w:firstLine="1134"/>
        <w:jc w:val="both"/>
      </w:pPr>
      <w:r w:rsidRPr="00D85D4B">
        <w:t>Recomendação de punição em face de 180 agentes públicos</w:t>
      </w:r>
      <w:r>
        <w:t xml:space="preserve"> por diversas irregularidades constatadas</w:t>
      </w:r>
      <w:r w:rsidR="00D85D4B">
        <w:t>;</w:t>
      </w:r>
    </w:p>
    <w:p w:rsidR="003E6588" w:rsidRDefault="003E6588">
      <w:pPr>
        <w:ind w:firstLine="1134"/>
        <w:jc w:val="both"/>
      </w:pPr>
    </w:p>
    <w:p w:rsidR="003E6588" w:rsidRDefault="003E6588">
      <w:pPr>
        <w:ind w:firstLine="1134"/>
        <w:jc w:val="both"/>
      </w:pPr>
      <w:r>
        <w:t xml:space="preserve">Funcionamento do </w:t>
      </w:r>
      <w:r>
        <w:rPr>
          <w:b/>
        </w:rPr>
        <w:t xml:space="preserve">Denúncia </w:t>
      </w:r>
      <w:r>
        <w:rPr>
          <w:b/>
          <w:i/>
        </w:rPr>
        <w:t>On line</w:t>
      </w:r>
      <w:r>
        <w:rPr>
          <w:b/>
        </w:rPr>
        <w:t xml:space="preserve"> - </w:t>
      </w:r>
      <w:r w:rsidR="00D85D4B">
        <w:t xml:space="preserve">Pelo </w:t>
      </w:r>
      <w:r>
        <w:t xml:space="preserve">formulário eletrônico disponível no </w:t>
      </w:r>
      <w:r>
        <w:rPr>
          <w:i/>
        </w:rPr>
        <w:t>site</w:t>
      </w:r>
      <w:r w:rsidR="00D85D4B">
        <w:rPr>
          <w:i/>
        </w:rPr>
        <w:t>,</w:t>
      </w:r>
      <w:r>
        <w:rPr>
          <w:i/>
        </w:rPr>
        <w:t xml:space="preserve"> </w:t>
      </w:r>
      <w:r>
        <w:t>que registrou 732 manifestações pelo “Fale Conosco”, com atendimento de 1.850 usuários.</w:t>
      </w:r>
    </w:p>
    <w:p w:rsidR="003E6588" w:rsidRDefault="003E6588">
      <w:pPr>
        <w:ind w:firstLine="1134"/>
        <w:jc w:val="both"/>
      </w:pPr>
    </w:p>
    <w:p w:rsidR="003E6588" w:rsidRDefault="003E6588">
      <w:pPr>
        <w:ind w:firstLine="1134"/>
        <w:jc w:val="both"/>
      </w:pPr>
      <w:r>
        <w:rPr>
          <w:b/>
        </w:rPr>
        <w:t>Operações correcionais</w:t>
      </w:r>
      <w:r>
        <w:t xml:space="preserve"> - Além das apurações rotineiras, algumas situações demanda</w:t>
      </w:r>
      <w:r w:rsidR="00D85D4B">
        <w:t>ra</w:t>
      </w:r>
      <w:r>
        <w:t>m ação conjunta com outros órgãos, como Polícia</w:t>
      </w:r>
      <w:r w:rsidR="00D85D4B">
        <w:t>s</w:t>
      </w:r>
      <w:r>
        <w:t xml:space="preserve"> e Ministério Público, das quais mencionam-se operações realizadas em Circunscrições Regionais de Trânsito - Ciretrans, resultando na constatação de irregularidades diversas, gerando procedimentos punitivos e descredenciamento de autoescolas, bem como em unidades de fiscalização tributária, com apreensão de documentos e numerário em espécie sem justificativas.</w:t>
      </w:r>
    </w:p>
    <w:p w:rsidR="003E6588" w:rsidRDefault="003E6588">
      <w:pPr>
        <w:ind w:firstLine="1134"/>
        <w:jc w:val="both"/>
      </w:pPr>
    </w:p>
    <w:p w:rsidR="003E6588" w:rsidRDefault="003E6588">
      <w:pPr>
        <w:ind w:firstLine="1134"/>
        <w:jc w:val="both"/>
      </w:pPr>
      <w:r>
        <w:rPr>
          <w:b/>
        </w:rPr>
        <w:t xml:space="preserve">Economia de Recursos Públicos - </w:t>
      </w:r>
      <w:r>
        <w:t>Economia de R$ 36.509.494,43</w:t>
      </w:r>
      <w:r>
        <w:rPr>
          <w:b/>
        </w:rPr>
        <w:t xml:space="preserve"> </w:t>
      </w:r>
      <w:r>
        <w:t>em decorrência do monitoramento dos contratos de serviços terceirizados, com a adoção dos parâmetros divulgados no Cadernos Técnicos de Serviços Terceirizados - CADTERC.</w:t>
      </w:r>
    </w:p>
    <w:p w:rsidR="003E6588" w:rsidRDefault="003E6588">
      <w:pPr>
        <w:ind w:firstLine="1134"/>
        <w:jc w:val="both"/>
      </w:pPr>
    </w:p>
    <w:p w:rsidR="003E6588" w:rsidRDefault="003E6588">
      <w:pPr>
        <w:ind w:firstLine="1134"/>
        <w:jc w:val="both"/>
      </w:pPr>
      <w:r>
        <w:t>Após proposta da CGA, a Fundação para o Desenvolvimento da Educação - FDE instaurou processo administrativo e aplicou multa a empresa no valor de R$ 907.428,90, por descumprimento contratual.</w:t>
      </w:r>
    </w:p>
    <w:p w:rsidR="003E6588" w:rsidRDefault="003E6588">
      <w:pPr>
        <w:ind w:firstLine="1134"/>
        <w:jc w:val="both"/>
      </w:pPr>
    </w:p>
    <w:p w:rsidR="003E6588" w:rsidRDefault="003E6588">
      <w:pPr>
        <w:ind w:firstLine="1134"/>
        <w:jc w:val="both"/>
      </w:pPr>
      <w:r>
        <w:t>A inspeção em obras resultou na economia de R$ 3.635.571,30, decorrentes da apuração de planilhas de medição, mediante 187 diligências em todas as regiões do Estado. Dois casos originaram procedimentos correcionais específicos.</w:t>
      </w:r>
    </w:p>
    <w:p w:rsidR="003E6588" w:rsidRDefault="003E6588">
      <w:pPr>
        <w:ind w:firstLine="1134"/>
        <w:jc w:val="both"/>
      </w:pPr>
    </w:p>
    <w:p w:rsidR="003E6588" w:rsidRDefault="003E6588">
      <w:pPr>
        <w:ind w:firstLine="1134"/>
        <w:jc w:val="both"/>
      </w:pPr>
      <w:r>
        <w:lastRenderedPageBreak/>
        <w:t xml:space="preserve">A utilização da modalidade </w:t>
      </w:r>
      <w:r>
        <w:rPr>
          <w:b/>
        </w:rPr>
        <w:t>Pregão Eletrônico</w:t>
      </w:r>
      <w:r>
        <w:t>, fiscalizada pela CGA, gerou economia de R$ 3.595.807.417,81, decorrente do cálculo da diferença entre o montante inicialmente previsto nas licitações e o valor final obtido.</w:t>
      </w:r>
    </w:p>
    <w:p w:rsidR="003E6588" w:rsidRDefault="003E6588">
      <w:pPr>
        <w:ind w:firstLine="1134"/>
        <w:jc w:val="both"/>
      </w:pPr>
    </w:p>
    <w:p w:rsidR="003E6588" w:rsidRDefault="003E6588">
      <w:pPr>
        <w:ind w:firstLine="1134"/>
        <w:jc w:val="both"/>
      </w:pPr>
      <w:r>
        <w:t>Das apurações realizadas na área da saúde</w:t>
      </w:r>
      <w:r w:rsidR="00D85D4B">
        <w:t>,</w:t>
      </w:r>
      <w:r>
        <w:t xml:space="preserve"> houve cobrança para ressarcimento ao erário de R$ 1.664.121,11, cujos processos estão em trâmite na Secretaria da Saúde.</w:t>
      </w:r>
    </w:p>
    <w:p w:rsidR="003E6588" w:rsidRDefault="003E6588">
      <w:pPr>
        <w:ind w:firstLine="1134"/>
        <w:jc w:val="both"/>
      </w:pPr>
    </w:p>
    <w:p w:rsidR="003E6588" w:rsidRDefault="003E6588">
      <w:pPr>
        <w:ind w:firstLine="1134"/>
        <w:jc w:val="both"/>
        <w:rPr>
          <w:b/>
        </w:rPr>
      </w:pPr>
      <w:r>
        <w:rPr>
          <w:b/>
        </w:rPr>
        <w:t xml:space="preserve">Portal da Transparência Estadual - </w:t>
      </w:r>
      <w:r>
        <w:t xml:space="preserve">Considerado um dos melhores do Brasil pela entidade Contas Abertas, </w:t>
      </w:r>
      <w:r w:rsidR="00D85D4B">
        <w:t xml:space="preserve">o Portal </w:t>
      </w:r>
      <w:r>
        <w:t>foi reformulado para facilitar seu uso e obtenção de dados, tendo registrado no ano 925.241 visitas, com 14,4 milhões de páginas acessadas</w:t>
      </w:r>
      <w:r>
        <w:rPr>
          <w:b/>
        </w:rPr>
        <w:t>.</w:t>
      </w:r>
    </w:p>
    <w:p w:rsidR="003E6588" w:rsidRDefault="003E6588">
      <w:pPr>
        <w:ind w:firstLine="1134"/>
        <w:jc w:val="both"/>
        <w:rPr>
          <w:b/>
        </w:rPr>
      </w:pPr>
    </w:p>
    <w:p w:rsidR="003E6588" w:rsidRDefault="003E6588">
      <w:pPr>
        <w:ind w:firstLine="1134"/>
        <w:jc w:val="both"/>
      </w:pPr>
      <w:r>
        <w:rPr>
          <w:b/>
        </w:rPr>
        <w:t xml:space="preserve">Programa Transparência Paulista - </w:t>
      </w:r>
      <w:r>
        <w:t>Criado para fomentar a transparência da gestão pública municipal, registra 230 municípios paulistas com convênios celebrados com o Estado, os quais receberam gratuitamente um Portal de Transparência Municipal para publicação das receitas e despesas, repasses estaduais, salários do funcionalismo, recebimento de denúncias, serviço de informação ao cidadão e outras funcionalidades. O Programa capacitou 696 agentes públicos municipais, por meio de videoconferências, e auxilia, principalmente</w:t>
      </w:r>
      <w:r w:rsidR="002C38A8">
        <w:t>,</w:t>
      </w:r>
      <w:r>
        <w:t xml:space="preserve"> as pequenas cidades paulistas, com vistas ao cumprimento da Lei da Transparência - Lei Complementar nº 131/2009.</w:t>
      </w:r>
    </w:p>
    <w:p w:rsidR="003E6588" w:rsidRDefault="003E6588">
      <w:pPr>
        <w:ind w:firstLine="1134"/>
        <w:jc w:val="both"/>
      </w:pPr>
    </w:p>
    <w:p w:rsidR="003E6588" w:rsidRDefault="003E6588">
      <w:pPr>
        <w:ind w:firstLine="1134"/>
        <w:jc w:val="both"/>
      </w:pPr>
      <w:r>
        <w:rPr>
          <w:b/>
        </w:rPr>
        <w:t xml:space="preserve">Cadastro Estadual de Entidades - CEE e Certificado de Regularidade de Entidades - CRCE - </w:t>
      </w:r>
      <w:r>
        <w:t xml:space="preserve">Novo instrumento de transparência, racionalização administrativa e controle preventivo das organizações não-governamentais sem fins lucrativos que queiram receber recursos públicos, conta com 6.500 entidades certificadas e 500 </w:t>
      </w:r>
      <w:r w:rsidR="002C38A8">
        <w:t>não aprovadas</w:t>
      </w:r>
      <w:r>
        <w:t xml:space="preserve"> desde a implantação.</w:t>
      </w:r>
    </w:p>
    <w:p w:rsidR="003E6588" w:rsidRDefault="003E6588">
      <w:pPr>
        <w:ind w:firstLine="1134"/>
        <w:jc w:val="both"/>
      </w:pPr>
    </w:p>
    <w:p w:rsidR="003E6588" w:rsidRDefault="003E6588">
      <w:pPr>
        <w:ind w:firstLine="1134"/>
        <w:jc w:val="both"/>
      </w:pPr>
      <w:r>
        <w:rPr>
          <w:b/>
        </w:rPr>
        <w:t xml:space="preserve">Monitoramento de Evolução Patrimonial - </w:t>
      </w:r>
      <w:r w:rsidR="002C38A8">
        <w:t xml:space="preserve">Publicadas </w:t>
      </w:r>
      <w:r>
        <w:t>no Diário Oficial 908 declarações de bens e valores das autoridades estaduais.</w:t>
      </w:r>
    </w:p>
    <w:p w:rsidR="003E6588" w:rsidRDefault="003E6588">
      <w:pPr>
        <w:ind w:firstLine="1134"/>
        <w:jc w:val="both"/>
      </w:pPr>
    </w:p>
    <w:p w:rsidR="003E6588" w:rsidRDefault="002C38A8">
      <w:pPr>
        <w:ind w:firstLine="1134"/>
        <w:jc w:val="both"/>
      </w:pPr>
      <w:r>
        <w:t xml:space="preserve">Instalada </w:t>
      </w:r>
      <w:r w:rsidR="003E6588">
        <w:t>a comissão prevista no Decreto nº 54.264/2009, composta por contadores indicados pelo Secretário da Fazenda, para realização da análise da evolução patrimonial conforme os dados compilados no sistema eletrônico da CGA.</w:t>
      </w:r>
      <w:r>
        <w:t xml:space="preserve"> </w:t>
      </w:r>
      <w:r w:rsidR="003E6588">
        <w:t xml:space="preserve">Foram prestados 910 atendimentos por telefone e 829 por </w:t>
      </w:r>
      <w:r w:rsidR="003E6588">
        <w:rPr>
          <w:i/>
        </w:rPr>
        <w:t>e-mail</w:t>
      </w:r>
      <w:r w:rsidR="003E6588">
        <w:t>.</w:t>
      </w:r>
    </w:p>
    <w:p w:rsidR="003E6588" w:rsidRDefault="003E6588">
      <w:pPr>
        <w:ind w:firstLine="1134"/>
        <w:jc w:val="both"/>
      </w:pPr>
    </w:p>
    <w:p w:rsidR="003E6588" w:rsidRDefault="003E6588">
      <w:pPr>
        <w:ind w:firstLine="1134"/>
        <w:jc w:val="both"/>
      </w:pPr>
      <w:r>
        <w:rPr>
          <w:b/>
        </w:rPr>
        <w:t xml:space="preserve">Enfrentamento da denúncia de cartel no sistema metroferroviário - </w:t>
      </w:r>
      <w:r>
        <w:t xml:space="preserve">Elaboração de relatórios e despachos, com expedições e juntadas de ofícios e documentos complementares; conclusão das análises patrimoniais com encaminhamento do resultado do trabalho à Secretaria dos Transportes Metropolitanos e ao Ministério Público; </w:t>
      </w:r>
      <w:r w:rsidRPr="00C70469">
        <w:t>na esfera administrativa; solicitação de documentos complementares às companhias públicas.</w:t>
      </w:r>
    </w:p>
    <w:p w:rsidR="003E6588" w:rsidRDefault="003E6588">
      <w:pPr>
        <w:ind w:firstLine="1134"/>
        <w:jc w:val="both"/>
      </w:pPr>
    </w:p>
    <w:p w:rsidR="003E6588" w:rsidRDefault="003E6588">
      <w:pPr>
        <w:ind w:firstLine="1134"/>
        <w:jc w:val="both"/>
      </w:pPr>
      <w:r>
        <w:rPr>
          <w:b/>
        </w:rPr>
        <w:t xml:space="preserve">Prevenção e combate à corrupção - </w:t>
      </w:r>
      <w:r>
        <w:t xml:space="preserve">Regulamentação da </w:t>
      </w:r>
      <w:r w:rsidRPr="002C38A8">
        <w:t>Lei Anticorrupção</w:t>
      </w:r>
      <w:r>
        <w:t>, por meio do Decreto nº 60.106/</w:t>
      </w:r>
      <w:r w:rsidR="002C38A8">
        <w:t xml:space="preserve">2014, com </w:t>
      </w:r>
      <w:r>
        <w:t>previsão de que os processos administrativos de responsabilização de pessoa jurídica por</w:t>
      </w:r>
      <w:r>
        <w:rPr>
          <w:b/>
        </w:rPr>
        <w:t xml:space="preserve"> </w:t>
      </w:r>
      <w:r>
        <w:t xml:space="preserve">ato de corrupção serão conduzidos por integrantes da CGA, </w:t>
      </w:r>
      <w:r w:rsidR="002C38A8">
        <w:t xml:space="preserve">para </w:t>
      </w:r>
      <w:r>
        <w:t>an</w:t>
      </w:r>
      <w:r w:rsidR="002C38A8">
        <w:t>á</w:t>
      </w:r>
      <w:r>
        <w:t>lis</w:t>
      </w:r>
      <w:r w:rsidR="002C38A8">
        <w:t xml:space="preserve">e de </w:t>
      </w:r>
      <w:r>
        <w:t>proposta</w:t>
      </w:r>
      <w:r w:rsidR="002C38A8">
        <w:t>s</w:t>
      </w:r>
      <w:r>
        <w:t xml:space="preserve"> de Acordo de Leniência.</w:t>
      </w:r>
    </w:p>
    <w:p w:rsidR="00262157" w:rsidRDefault="00262157">
      <w:pPr>
        <w:ind w:firstLine="1134"/>
        <w:jc w:val="both"/>
      </w:pPr>
    </w:p>
    <w:p w:rsidR="003E6588" w:rsidRDefault="003E6588">
      <w:pPr>
        <w:ind w:firstLine="1134"/>
        <w:jc w:val="both"/>
      </w:pPr>
      <w:r>
        <w:lastRenderedPageBreak/>
        <w:t xml:space="preserve">Participação </w:t>
      </w:r>
      <w:r w:rsidRPr="002C38A8">
        <w:t>no Fórum de Combate à Corrupção no Estado de São Paulo - FOCCOSP,</w:t>
      </w:r>
      <w:r>
        <w:t xml:space="preserve"> com ações como o seminário organizado pela CGA para empresas estatais e fundações para implementação do controle interno.</w:t>
      </w:r>
    </w:p>
    <w:p w:rsidR="003E6588" w:rsidRDefault="003E6588">
      <w:pPr>
        <w:ind w:firstLine="1134"/>
        <w:jc w:val="both"/>
      </w:pPr>
    </w:p>
    <w:p w:rsidR="003E6588" w:rsidRDefault="003E6588">
      <w:pPr>
        <w:ind w:firstLine="1134"/>
        <w:jc w:val="both"/>
      </w:pPr>
      <w:r>
        <w:t>Aprovação de projeto junto ao</w:t>
      </w:r>
      <w:r>
        <w:rPr>
          <w:b/>
        </w:rPr>
        <w:t xml:space="preserve"> </w:t>
      </w:r>
      <w:r w:rsidRPr="002C38A8">
        <w:t>Fundo Britânico</w:t>
      </w:r>
      <w:r>
        <w:rPr>
          <w:b/>
        </w:rPr>
        <w:t xml:space="preserve"> </w:t>
      </w:r>
      <w:r>
        <w:rPr>
          <w:i/>
        </w:rPr>
        <w:t>(Prosperity Fund</w:t>
      </w:r>
      <w:r>
        <w:t>)</w:t>
      </w:r>
      <w:r w:rsidR="002C38A8">
        <w:t>,</w:t>
      </w:r>
      <w:r>
        <w:t xml:space="preserve"> para intercâmbio entre representantes do Governo Paulista e do Governo Britânico, com vistas à promoção de dados abertos e de implementação de normas anticorrupção</w:t>
      </w:r>
      <w:r>
        <w:rPr>
          <w:b/>
        </w:rPr>
        <w:t>.</w:t>
      </w:r>
    </w:p>
    <w:p w:rsidR="003E6588" w:rsidRDefault="003E6588">
      <w:pPr>
        <w:ind w:firstLine="1134"/>
        <w:jc w:val="both"/>
      </w:pPr>
    </w:p>
    <w:p w:rsidR="003E6588" w:rsidRDefault="003E6588">
      <w:pPr>
        <w:ind w:firstLine="1134"/>
        <w:jc w:val="both"/>
      </w:pPr>
      <w:r>
        <w:t xml:space="preserve">Difusão da </w:t>
      </w:r>
      <w:r w:rsidRPr="002C38A8">
        <w:t>Transparência e Prevenção da Corrupção</w:t>
      </w:r>
      <w:r w:rsidR="002C38A8">
        <w:t>,</w:t>
      </w:r>
      <w:r>
        <w:t xml:space="preserve"> com promoção e participação em palestras, debates, fóruns e seminários apresentados a órgãos públicos, faculdades, OAB, entidades do Terceiro Setor, associações de classe, totalizando 62 eventos.</w:t>
      </w:r>
    </w:p>
    <w:p w:rsidR="003E6588" w:rsidRDefault="003E6588">
      <w:pPr>
        <w:ind w:firstLine="1134"/>
        <w:jc w:val="both"/>
      </w:pPr>
    </w:p>
    <w:p w:rsidR="003E6588" w:rsidRDefault="003E6588">
      <w:pPr>
        <w:ind w:firstLine="1134"/>
        <w:jc w:val="both"/>
      </w:pPr>
      <w:r>
        <w:rPr>
          <w:b/>
        </w:rPr>
        <w:t xml:space="preserve">Ouvidoria Geral - </w:t>
      </w:r>
      <w:r>
        <w:t xml:space="preserve">Realização do </w:t>
      </w:r>
      <w:r w:rsidR="002C38A8">
        <w:t>“</w:t>
      </w:r>
      <w:r>
        <w:t>II Encontro de Ouvidores do Estado, com mais de 500 participantes</w:t>
      </w:r>
      <w:r w:rsidR="002C38A8">
        <w:t>”;</w:t>
      </w:r>
      <w:r w:rsidR="000D2F90">
        <w:t xml:space="preserve"> edição </w:t>
      </w:r>
      <w:r>
        <w:t>do Decreto nº 60.399/2014, que renovou o Decreto nº 44.074/1999, valorizando a</w:t>
      </w:r>
      <w:r w:rsidR="002C38A8">
        <w:t>s ouvidorias públicas estaduais;</w:t>
      </w:r>
      <w:r w:rsidR="000D2F90">
        <w:t xml:space="preserve"> atendimento </w:t>
      </w:r>
      <w:r>
        <w:t>a 672 usuários</w:t>
      </w:r>
      <w:r w:rsidR="002C38A8">
        <w:t>.</w:t>
      </w:r>
    </w:p>
    <w:p w:rsidR="003E6588" w:rsidRDefault="003E6588">
      <w:pPr>
        <w:ind w:firstLine="1134"/>
        <w:jc w:val="both"/>
      </w:pPr>
    </w:p>
    <w:p w:rsidR="003E6588" w:rsidRDefault="003E6588">
      <w:pPr>
        <w:ind w:firstLine="1134"/>
        <w:jc w:val="both"/>
      </w:pPr>
      <w:r>
        <w:rPr>
          <w:b/>
        </w:rPr>
        <w:t xml:space="preserve">Auditoria Geral - </w:t>
      </w:r>
      <w:r>
        <w:t>Recebimento de relatórios sintéticos dos trabalhos efetuados pelo Departamento de Controle e Avaliação, da Secretaria da Fazenda, e pelas auditorias da Administração Indireta.</w:t>
      </w:r>
    </w:p>
    <w:p w:rsidR="003E6588" w:rsidRDefault="003E6588">
      <w:pPr>
        <w:ind w:firstLine="1134"/>
        <w:jc w:val="both"/>
      </w:pPr>
    </w:p>
    <w:p w:rsidR="003E6588" w:rsidRDefault="003E6588">
      <w:pPr>
        <w:ind w:firstLine="1134"/>
        <w:jc w:val="both"/>
        <w:rPr>
          <w:b/>
        </w:rPr>
      </w:pPr>
      <w:r>
        <w:t xml:space="preserve">Elaboração pela Comissão Geral de Ética e </w:t>
      </w:r>
      <w:r w:rsidRPr="003165F3">
        <w:t>aprovação do</w:t>
      </w:r>
      <w:r>
        <w:rPr>
          <w:b/>
        </w:rPr>
        <w:t xml:space="preserve"> </w:t>
      </w:r>
      <w:r w:rsidRPr="000D2F90">
        <w:t>Código de Ética da Administração Pública Estadual</w:t>
      </w:r>
      <w:r>
        <w:rPr>
          <w:b/>
        </w:rPr>
        <w:t xml:space="preserve"> </w:t>
      </w:r>
      <w:r>
        <w:t>(Decreto nº 60.428/2014).</w:t>
      </w:r>
    </w:p>
    <w:p w:rsidR="003E6588" w:rsidRDefault="003E6588">
      <w:pPr>
        <w:ind w:firstLine="1134"/>
        <w:jc w:val="both"/>
        <w:rPr>
          <w:b/>
        </w:rPr>
      </w:pPr>
    </w:p>
    <w:p w:rsidR="003E6588" w:rsidRDefault="003E6588">
      <w:pPr>
        <w:ind w:firstLine="1134"/>
        <w:jc w:val="both"/>
      </w:pPr>
      <w:r w:rsidRPr="000D2F90">
        <w:t>Instalação da Comissão Estadual de Acesso à Informação - CEAI</w:t>
      </w:r>
      <w:r>
        <w:rPr>
          <w:b/>
        </w:rPr>
        <w:t xml:space="preserve">, </w:t>
      </w:r>
      <w:r>
        <w:t>com participação de representante da CGA (Decreto nº 60.144/2014).</w:t>
      </w:r>
    </w:p>
    <w:p w:rsidR="003E6588" w:rsidRDefault="003E6588">
      <w:pPr>
        <w:ind w:firstLine="1134"/>
        <w:jc w:val="both"/>
      </w:pPr>
    </w:p>
    <w:p w:rsidR="003E6588" w:rsidRDefault="003E6588">
      <w:pPr>
        <w:ind w:firstLine="1134"/>
        <w:jc w:val="both"/>
        <w:rPr>
          <w:b/>
        </w:rPr>
      </w:pPr>
      <w:r w:rsidRPr="000D2F90">
        <w:t>Curso FGV - Escola de Direito de São Paulo</w:t>
      </w:r>
      <w:r>
        <w:rPr>
          <w:b/>
        </w:rPr>
        <w:t xml:space="preserve"> - </w:t>
      </w:r>
      <w:r>
        <w:t>Realizado o curso “Controle Interno da Probidade Administrativa”</w:t>
      </w:r>
      <w:r w:rsidR="002C38A8">
        <w:t>,</w:t>
      </w:r>
      <w:r>
        <w:t xml:space="preserve"> envolveu 30 alunos da CGA, em 100 horas/aula.</w:t>
      </w:r>
    </w:p>
    <w:p w:rsidR="003E6588" w:rsidRDefault="003E6588">
      <w:pPr>
        <w:ind w:firstLine="1134"/>
        <w:contextualSpacing/>
        <w:jc w:val="both"/>
      </w:pPr>
    </w:p>
    <w:p w:rsidR="003E6588" w:rsidRDefault="003E6588">
      <w:pPr>
        <w:ind w:firstLine="1134"/>
        <w:contextualSpacing/>
        <w:jc w:val="both"/>
      </w:pPr>
      <w:r w:rsidRPr="000D2F90">
        <w:t>Lançamento do livro “Controle da Administração Pública”,</w:t>
      </w:r>
      <w:r>
        <w:rPr>
          <w:b/>
        </w:rPr>
        <w:t xml:space="preserve"> </w:t>
      </w:r>
      <w:r>
        <w:t xml:space="preserve">coletânea de artigos escritos por agentes públicos da CGA que participaram do Programa de Pós-Graduação </w:t>
      </w:r>
      <w:r w:rsidRPr="002C38A8">
        <w:rPr>
          <w:i/>
        </w:rPr>
        <w:t>latu sensu</w:t>
      </w:r>
      <w:r>
        <w:t>, em parceria com a FGV Direito SP.</w:t>
      </w:r>
    </w:p>
    <w:p w:rsidR="003E6588" w:rsidRDefault="003E6588">
      <w:pPr>
        <w:ind w:firstLine="1134"/>
        <w:contextualSpacing/>
        <w:jc w:val="both"/>
        <w:rPr>
          <w:b/>
        </w:rPr>
      </w:pPr>
    </w:p>
    <w:p w:rsidR="003E6588" w:rsidRDefault="002C38A8">
      <w:pPr>
        <w:ind w:firstLine="1134"/>
        <w:contextualSpacing/>
        <w:jc w:val="both"/>
      </w:pPr>
      <w:r w:rsidRPr="000D2F90">
        <w:t xml:space="preserve">Conaci - </w:t>
      </w:r>
      <w:r w:rsidR="003E6588" w:rsidRPr="000D2F90">
        <w:t>Conselho Nacional de Controle Interno</w:t>
      </w:r>
      <w:r w:rsidR="003E6588">
        <w:rPr>
          <w:b/>
        </w:rPr>
        <w:t xml:space="preserve"> - </w:t>
      </w:r>
      <w:r w:rsidR="003E6588">
        <w:t>CGA assumiu a presidência do órgão para o biênio 2014-2015, colegiado que reúne os órgãos de controle interno da União, dos Estados e das Capitais.</w:t>
      </w:r>
    </w:p>
    <w:p w:rsidR="003E6588" w:rsidRDefault="003E6588">
      <w:pPr>
        <w:ind w:firstLine="1134"/>
        <w:contextualSpacing/>
        <w:jc w:val="both"/>
      </w:pPr>
    </w:p>
    <w:p w:rsidR="003E6588" w:rsidRDefault="00E0465D">
      <w:pPr>
        <w:ind w:firstLine="1134"/>
        <w:contextualSpacing/>
        <w:jc w:val="both"/>
      </w:pPr>
      <w:r w:rsidRPr="000D2F90">
        <w:t xml:space="preserve">PNUD - </w:t>
      </w:r>
      <w:r w:rsidR="003E6588" w:rsidRPr="000D2F90">
        <w:t>Programa das Nações Unidas para o Desenvolvimento</w:t>
      </w:r>
      <w:r w:rsidR="003E6588">
        <w:rPr>
          <w:b/>
        </w:rPr>
        <w:t xml:space="preserve"> - </w:t>
      </w:r>
      <w:r w:rsidR="003E6588">
        <w:t>Conclusão do projeto</w:t>
      </w:r>
      <w:r>
        <w:t>,</w:t>
      </w:r>
      <w:r w:rsidR="003E6588">
        <w:t xml:space="preserve"> em parceria com o PNUD, de prevenção à corrupção na saúde, resultando em </w:t>
      </w:r>
      <w:r w:rsidR="003E6588" w:rsidRPr="00E0465D">
        <w:rPr>
          <w:i/>
        </w:rPr>
        <w:t>site</w:t>
      </w:r>
      <w:r w:rsidR="003E6588">
        <w:t xml:space="preserve"> disponível na página da CGA na </w:t>
      </w:r>
      <w:r w:rsidR="003E6588">
        <w:rPr>
          <w:i/>
        </w:rPr>
        <w:t>internet</w:t>
      </w:r>
      <w:r w:rsidR="003E6588">
        <w:t>, em vídeo institucional e na cartilha “Prevenção à Corrupção no Setor da Saúde”, em edição pela Imprensa Oficial.</w:t>
      </w:r>
    </w:p>
    <w:p w:rsidR="003E6588" w:rsidRDefault="003E6588">
      <w:pPr>
        <w:ind w:firstLine="1134"/>
        <w:contextualSpacing/>
        <w:jc w:val="both"/>
      </w:pPr>
    </w:p>
    <w:p w:rsidR="003E6588" w:rsidRDefault="003E6588">
      <w:pPr>
        <w:ind w:right="49" w:firstLine="1134"/>
        <w:jc w:val="both"/>
        <w:rPr>
          <w:b/>
        </w:rPr>
      </w:pPr>
      <w:r>
        <w:rPr>
          <w:b/>
        </w:rPr>
        <w:lastRenderedPageBreak/>
        <w:t xml:space="preserve">Parcerias - </w:t>
      </w:r>
      <w:r>
        <w:t xml:space="preserve">Conselho Nacional de Controle Interno - Conaci, Fundação Getúlio Vargas de São Paulo, Associação Paulista de Fundações, Controladoria Geral da União, Tribunal </w:t>
      </w:r>
      <w:r>
        <w:rPr>
          <w:rFonts w:eastAsia="Calibri"/>
        </w:rPr>
        <w:t>de Justiça do Estado, Ministério Público Estadual, Tribunal de Contas do Estado e Controladoria Geral do Município de São Paulo.</w:t>
      </w:r>
    </w:p>
    <w:p w:rsidR="003E6588" w:rsidRDefault="003E6588">
      <w:pPr>
        <w:ind w:right="49" w:firstLine="1134"/>
        <w:jc w:val="both"/>
        <w:rPr>
          <w:b/>
        </w:rPr>
      </w:pPr>
    </w:p>
    <w:p w:rsidR="003E6588" w:rsidRDefault="003E6588">
      <w:pPr>
        <w:ind w:right="49" w:firstLine="1134"/>
        <w:jc w:val="both"/>
        <w:rPr>
          <w:b/>
        </w:rPr>
      </w:pPr>
      <w:r>
        <w:rPr>
          <w:b/>
        </w:rPr>
        <w:t>Subsecretaria de Assuntos Parlamentares</w:t>
      </w:r>
    </w:p>
    <w:p w:rsidR="003E6588" w:rsidRDefault="003E6588">
      <w:pPr>
        <w:ind w:right="49" w:firstLine="1134"/>
        <w:jc w:val="both"/>
        <w:rPr>
          <w:b/>
        </w:rPr>
      </w:pPr>
    </w:p>
    <w:p w:rsidR="003E6588" w:rsidRDefault="003E6588">
      <w:pPr>
        <w:ind w:firstLine="1134"/>
        <w:jc w:val="both"/>
        <w:outlineLvl w:val="0"/>
        <w:rPr>
          <w:color w:val="000000"/>
        </w:rPr>
      </w:pPr>
      <w:r>
        <w:rPr>
          <w:b/>
          <w:bCs/>
        </w:rPr>
        <w:t xml:space="preserve">Principais Ações - </w:t>
      </w:r>
      <w:r>
        <w:t xml:space="preserve">Através da Resoluções CC nº 1/2012, foi criado Grupo Técnico </w:t>
      </w:r>
      <w:r>
        <w:rPr>
          <w:color w:val="000000"/>
        </w:rPr>
        <w:t>com objetivo de criar medidas de controle e transparência e propor programas específicos para as Emendas Parlamentares.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O Grupo Técnico, composto por representes da Casa Civil, Secretaria de Planejamento e Desenvolvimento Regional, Secretaria da Fazenda, Secretaria de Gestão Pública e Procuradoria Geral do Estado.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xml:space="preserve">O resultado desse trabalho foi o desenvolvimento de novo Sistema de Demandas Parlamentares, de forma que todas as partes interessadas se comuniquem e se interajam desde o início até a finalização do convênio, </w:t>
      </w:r>
      <w:r w:rsidR="00E0465D">
        <w:t xml:space="preserve">por meio </w:t>
      </w:r>
      <w:r>
        <w:t xml:space="preserve">de acompanhamento </w:t>
      </w:r>
      <w:r>
        <w:rPr>
          <w:i/>
        </w:rPr>
        <w:t>on line</w:t>
      </w:r>
      <w:r>
        <w:t>, pelos usuários cadastrados e habilitados.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O processo iníci</w:t>
      </w:r>
      <w:r w:rsidR="00E0465D">
        <w:t>a</w:t>
      </w:r>
      <w:r>
        <w:t xml:space="preserve"> com cadastramento das indicações pelo Parlamentar, validada pela Casa Civil, após análise e autorização superior e após liberação para Secretarias, o acompanhamento de todo procedimento até o pagamento do convênio, podendo desta forma, qualquer das partes interessadas consultar</w:t>
      </w:r>
      <w:r w:rsidR="00E0465D">
        <w:t>,</w:t>
      </w:r>
      <w:r>
        <w:t xml:space="preserve"> via Sistema de Demandas Parlamentares - SDP, a situação real da indicação.</w:t>
      </w:r>
    </w:p>
    <w:p w:rsidR="003E6588" w:rsidRDefault="003E6588">
      <w:pPr>
        <w:autoSpaceDE w:val="0"/>
        <w:autoSpaceDN w:val="0"/>
        <w:adjustRightInd w:val="0"/>
        <w:ind w:firstLine="1134"/>
        <w:jc w:val="both"/>
      </w:pPr>
    </w:p>
    <w:p w:rsidR="003E6588" w:rsidRDefault="00E0465D">
      <w:pPr>
        <w:autoSpaceDE w:val="0"/>
        <w:autoSpaceDN w:val="0"/>
        <w:adjustRightInd w:val="0"/>
        <w:ind w:firstLine="1134"/>
        <w:jc w:val="both"/>
      </w:pPr>
      <w:r>
        <w:t xml:space="preserve">Uma </w:t>
      </w:r>
      <w:r w:rsidR="003E6588">
        <w:t>vez por semana o expediente da Subsecretaria de Assuntos Parlamentares foi realizado na Assembléia Legislativa para maior agilidade e interação entre Casa Civil e Parlamentares, buscando soluções de forma mais rápida e eficaz.</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Foram realizados 3 grandes eventos, para a</w:t>
      </w:r>
      <w:r w:rsidR="00E0465D">
        <w:t>ssinatura coletiva de convênios. Número de convênios - 1.788; Municípios contemplados - 744.</w:t>
      </w:r>
    </w:p>
    <w:p w:rsidR="003E6588" w:rsidRDefault="003E6588">
      <w:pPr>
        <w:autoSpaceDE w:val="0"/>
        <w:autoSpaceDN w:val="0"/>
        <w:adjustRightInd w:val="0"/>
        <w:jc w:val="both"/>
      </w:pPr>
    </w:p>
    <w:tbl>
      <w:tblPr>
        <w:tblW w:w="8785" w:type="dxa"/>
        <w:jc w:val="center"/>
        <w:tblInd w:w="67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tblPr>
      <w:tblGrid>
        <w:gridCol w:w="5503"/>
        <w:gridCol w:w="1842"/>
        <w:gridCol w:w="1440"/>
      </w:tblGrid>
      <w:tr w:rsidR="003E6588" w:rsidTr="00D5505F">
        <w:trPr>
          <w:trHeight w:val="148"/>
          <w:jc w:val="center"/>
        </w:trPr>
        <w:tc>
          <w:tcPr>
            <w:tcW w:w="5503" w:type="dxa"/>
            <w:shd w:val="clear" w:color="auto" w:fill="auto"/>
          </w:tcPr>
          <w:p w:rsidR="003E6588" w:rsidRDefault="003E6588" w:rsidP="000D2F90">
            <w:pPr>
              <w:rPr>
                <w:b/>
                <w:bCs/>
                <w:sz w:val="20"/>
                <w:szCs w:val="20"/>
              </w:rPr>
            </w:pPr>
            <w:r>
              <w:rPr>
                <w:b/>
                <w:bCs/>
                <w:sz w:val="20"/>
                <w:szCs w:val="20"/>
              </w:rPr>
              <w:t>SECRETARIAS</w:t>
            </w:r>
          </w:p>
        </w:tc>
        <w:tc>
          <w:tcPr>
            <w:tcW w:w="1842" w:type="dxa"/>
            <w:shd w:val="clear" w:color="auto" w:fill="auto"/>
          </w:tcPr>
          <w:p w:rsidR="003E6588" w:rsidRDefault="003E6588" w:rsidP="000D2F90">
            <w:pPr>
              <w:rPr>
                <w:b/>
                <w:bCs/>
                <w:sz w:val="20"/>
                <w:szCs w:val="20"/>
              </w:rPr>
            </w:pPr>
            <w:r>
              <w:rPr>
                <w:b/>
                <w:bCs/>
                <w:sz w:val="20"/>
                <w:szCs w:val="20"/>
              </w:rPr>
              <w:t>CADASTRADAS</w:t>
            </w:r>
          </w:p>
        </w:tc>
        <w:tc>
          <w:tcPr>
            <w:tcW w:w="1440" w:type="dxa"/>
            <w:shd w:val="clear" w:color="auto" w:fill="auto"/>
          </w:tcPr>
          <w:p w:rsidR="003E6588" w:rsidRDefault="003E6588" w:rsidP="000D2F90">
            <w:pPr>
              <w:rPr>
                <w:b/>
                <w:bCs/>
                <w:sz w:val="20"/>
                <w:szCs w:val="20"/>
              </w:rPr>
            </w:pPr>
            <w:r>
              <w:rPr>
                <w:b/>
                <w:bCs/>
                <w:sz w:val="20"/>
                <w:szCs w:val="20"/>
              </w:rPr>
              <w:t>LIBERADAS</w:t>
            </w:r>
          </w:p>
        </w:tc>
      </w:tr>
      <w:tr w:rsidR="003E6588" w:rsidTr="00D5505F">
        <w:trPr>
          <w:trHeight w:val="52"/>
          <w:jc w:val="center"/>
        </w:trPr>
        <w:tc>
          <w:tcPr>
            <w:tcW w:w="5503" w:type="dxa"/>
            <w:shd w:val="clear" w:color="auto" w:fill="auto"/>
          </w:tcPr>
          <w:p w:rsidR="003E6588" w:rsidRDefault="003E6588" w:rsidP="00E0465D">
            <w:pPr>
              <w:jc w:val="left"/>
              <w:rPr>
                <w:bCs/>
                <w:sz w:val="20"/>
                <w:szCs w:val="20"/>
              </w:rPr>
            </w:pPr>
            <w:r>
              <w:rPr>
                <w:bCs/>
                <w:sz w:val="20"/>
                <w:szCs w:val="20"/>
                <w:lang w:val="en-US"/>
              </w:rPr>
              <w:t>Agricultura e Abastecimento</w:t>
            </w:r>
          </w:p>
        </w:tc>
        <w:tc>
          <w:tcPr>
            <w:tcW w:w="1842" w:type="dxa"/>
            <w:shd w:val="clear" w:color="auto" w:fill="auto"/>
          </w:tcPr>
          <w:p w:rsidR="003E6588" w:rsidRDefault="003E6588">
            <w:pPr>
              <w:rPr>
                <w:sz w:val="20"/>
                <w:szCs w:val="20"/>
                <w:lang w:val="en-US"/>
              </w:rPr>
            </w:pPr>
            <w:r>
              <w:rPr>
                <w:sz w:val="20"/>
                <w:szCs w:val="20"/>
                <w:lang w:val="en-US"/>
              </w:rPr>
              <w:t>103</w:t>
            </w:r>
          </w:p>
        </w:tc>
        <w:tc>
          <w:tcPr>
            <w:tcW w:w="1440" w:type="dxa"/>
            <w:shd w:val="clear" w:color="auto" w:fill="auto"/>
          </w:tcPr>
          <w:p w:rsidR="003E6588" w:rsidRDefault="003E6588">
            <w:pPr>
              <w:rPr>
                <w:sz w:val="20"/>
                <w:szCs w:val="20"/>
              </w:rPr>
            </w:pPr>
            <w:r>
              <w:rPr>
                <w:sz w:val="20"/>
                <w:szCs w:val="20"/>
              </w:rPr>
              <w:t>103</w:t>
            </w:r>
          </w:p>
        </w:tc>
      </w:tr>
      <w:tr w:rsidR="003E6588" w:rsidTr="00D5505F">
        <w:trPr>
          <w:trHeight w:val="84"/>
          <w:jc w:val="center"/>
        </w:trPr>
        <w:tc>
          <w:tcPr>
            <w:tcW w:w="5503" w:type="dxa"/>
            <w:shd w:val="clear" w:color="auto" w:fill="auto"/>
          </w:tcPr>
          <w:p w:rsidR="003E6588" w:rsidRDefault="003E6588" w:rsidP="00E0465D">
            <w:pPr>
              <w:jc w:val="left"/>
              <w:rPr>
                <w:bCs/>
                <w:sz w:val="20"/>
                <w:szCs w:val="20"/>
              </w:rPr>
            </w:pPr>
            <w:r>
              <w:rPr>
                <w:bCs/>
                <w:sz w:val="20"/>
                <w:szCs w:val="20"/>
              </w:rPr>
              <w:t>Desenvolvimento Social</w:t>
            </w:r>
          </w:p>
        </w:tc>
        <w:tc>
          <w:tcPr>
            <w:tcW w:w="1842" w:type="dxa"/>
            <w:shd w:val="clear" w:color="auto" w:fill="auto"/>
          </w:tcPr>
          <w:p w:rsidR="003E6588" w:rsidRDefault="003E6588">
            <w:pPr>
              <w:rPr>
                <w:sz w:val="20"/>
                <w:szCs w:val="20"/>
              </w:rPr>
            </w:pPr>
            <w:r>
              <w:rPr>
                <w:sz w:val="20"/>
                <w:szCs w:val="20"/>
              </w:rPr>
              <w:t>1.603</w:t>
            </w:r>
          </w:p>
        </w:tc>
        <w:tc>
          <w:tcPr>
            <w:tcW w:w="1440" w:type="dxa"/>
            <w:shd w:val="clear" w:color="auto" w:fill="auto"/>
          </w:tcPr>
          <w:p w:rsidR="003E6588" w:rsidRDefault="003E6588">
            <w:pPr>
              <w:rPr>
                <w:sz w:val="20"/>
                <w:szCs w:val="20"/>
              </w:rPr>
            </w:pPr>
            <w:r>
              <w:rPr>
                <w:sz w:val="20"/>
                <w:szCs w:val="20"/>
              </w:rPr>
              <w:t>1.423</w:t>
            </w:r>
          </w:p>
        </w:tc>
      </w:tr>
      <w:tr w:rsidR="003E6588" w:rsidTr="00D5505F">
        <w:trPr>
          <w:trHeight w:val="130"/>
          <w:jc w:val="center"/>
        </w:trPr>
        <w:tc>
          <w:tcPr>
            <w:tcW w:w="5503" w:type="dxa"/>
            <w:shd w:val="clear" w:color="auto" w:fill="auto"/>
          </w:tcPr>
          <w:p w:rsidR="003E6588" w:rsidRDefault="003E6588" w:rsidP="00E0465D">
            <w:pPr>
              <w:jc w:val="left"/>
              <w:rPr>
                <w:bCs/>
                <w:sz w:val="20"/>
                <w:szCs w:val="20"/>
              </w:rPr>
            </w:pPr>
            <w:r>
              <w:rPr>
                <w:bCs/>
                <w:sz w:val="20"/>
                <w:szCs w:val="20"/>
              </w:rPr>
              <w:t>Cultura</w:t>
            </w:r>
          </w:p>
        </w:tc>
        <w:tc>
          <w:tcPr>
            <w:tcW w:w="1842" w:type="dxa"/>
            <w:shd w:val="clear" w:color="auto" w:fill="auto"/>
          </w:tcPr>
          <w:p w:rsidR="003E6588" w:rsidRDefault="003E6588">
            <w:pPr>
              <w:rPr>
                <w:sz w:val="20"/>
                <w:szCs w:val="20"/>
              </w:rPr>
            </w:pPr>
            <w:r>
              <w:rPr>
                <w:sz w:val="20"/>
                <w:szCs w:val="20"/>
              </w:rPr>
              <w:t>245</w:t>
            </w:r>
          </w:p>
        </w:tc>
        <w:tc>
          <w:tcPr>
            <w:tcW w:w="1440" w:type="dxa"/>
            <w:shd w:val="clear" w:color="auto" w:fill="auto"/>
          </w:tcPr>
          <w:p w:rsidR="003E6588" w:rsidRDefault="003E6588">
            <w:pPr>
              <w:rPr>
                <w:sz w:val="20"/>
                <w:szCs w:val="20"/>
              </w:rPr>
            </w:pPr>
            <w:r>
              <w:rPr>
                <w:sz w:val="20"/>
                <w:szCs w:val="20"/>
              </w:rPr>
              <w:t>234</w:t>
            </w:r>
          </w:p>
        </w:tc>
      </w:tr>
      <w:tr w:rsidR="003E6588" w:rsidTr="00D5505F">
        <w:trPr>
          <w:trHeight w:val="44"/>
          <w:jc w:val="center"/>
        </w:trPr>
        <w:tc>
          <w:tcPr>
            <w:tcW w:w="5503" w:type="dxa"/>
            <w:shd w:val="clear" w:color="auto" w:fill="auto"/>
          </w:tcPr>
          <w:p w:rsidR="003E6588" w:rsidRDefault="003E6588" w:rsidP="00E0465D">
            <w:pPr>
              <w:jc w:val="left"/>
              <w:rPr>
                <w:bCs/>
                <w:sz w:val="20"/>
                <w:szCs w:val="20"/>
              </w:rPr>
            </w:pPr>
            <w:r>
              <w:rPr>
                <w:bCs/>
                <w:sz w:val="20"/>
                <w:szCs w:val="20"/>
              </w:rPr>
              <w:t>Desenvolvimento Econômico, Ciência, Tecnologia e Inovação</w:t>
            </w:r>
          </w:p>
        </w:tc>
        <w:tc>
          <w:tcPr>
            <w:tcW w:w="1842" w:type="dxa"/>
            <w:shd w:val="clear" w:color="auto" w:fill="auto"/>
          </w:tcPr>
          <w:p w:rsidR="003E6588" w:rsidRDefault="003E6588">
            <w:pPr>
              <w:rPr>
                <w:sz w:val="20"/>
                <w:szCs w:val="20"/>
              </w:rPr>
            </w:pPr>
            <w:r>
              <w:rPr>
                <w:sz w:val="20"/>
                <w:szCs w:val="20"/>
              </w:rPr>
              <w:t>4</w:t>
            </w:r>
          </w:p>
        </w:tc>
        <w:tc>
          <w:tcPr>
            <w:tcW w:w="1440" w:type="dxa"/>
            <w:shd w:val="clear" w:color="auto" w:fill="auto"/>
          </w:tcPr>
          <w:p w:rsidR="003E6588" w:rsidRDefault="003E6588">
            <w:pPr>
              <w:rPr>
                <w:sz w:val="20"/>
                <w:szCs w:val="20"/>
              </w:rPr>
            </w:pPr>
            <w:r>
              <w:rPr>
                <w:sz w:val="20"/>
                <w:szCs w:val="20"/>
              </w:rPr>
              <w:t>4</w:t>
            </w:r>
          </w:p>
        </w:tc>
      </w:tr>
      <w:tr w:rsidR="003E6588" w:rsidTr="00D5505F">
        <w:trPr>
          <w:trHeight w:val="80"/>
          <w:jc w:val="center"/>
        </w:trPr>
        <w:tc>
          <w:tcPr>
            <w:tcW w:w="5503" w:type="dxa"/>
            <w:shd w:val="clear" w:color="auto" w:fill="auto"/>
          </w:tcPr>
          <w:p w:rsidR="003E6588" w:rsidRDefault="003E6588" w:rsidP="00E0465D">
            <w:pPr>
              <w:jc w:val="left"/>
              <w:rPr>
                <w:bCs/>
                <w:sz w:val="20"/>
                <w:szCs w:val="20"/>
              </w:rPr>
            </w:pPr>
            <w:r>
              <w:rPr>
                <w:bCs/>
                <w:sz w:val="20"/>
                <w:szCs w:val="20"/>
              </w:rPr>
              <w:t>Direitos da Pessoa com Deficiência</w:t>
            </w:r>
          </w:p>
        </w:tc>
        <w:tc>
          <w:tcPr>
            <w:tcW w:w="1842" w:type="dxa"/>
            <w:shd w:val="clear" w:color="auto" w:fill="auto"/>
          </w:tcPr>
          <w:p w:rsidR="003E6588" w:rsidRDefault="003E6588">
            <w:pPr>
              <w:rPr>
                <w:sz w:val="20"/>
                <w:szCs w:val="20"/>
              </w:rPr>
            </w:pPr>
            <w:r>
              <w:rPr>
                <w:sz w:val="20"/>
                <w:szCs w:val="20"/>
              </w:rPr>
              <w:t>31</w:t>
            </w:r>
          </w:p>
        </w:tc>
        <w:tc>
          <w:tcPr>
            <w:tcW w:w="1440" w:type="dxa"/>
            <w:shd w:val="clear" w:color="auto" w:fill="auto"/>
          </w:tcPr>
          <w:p w:rsidR="003E6588" w:rsidRDefault="003E6588">
            <w:pPr>
              <w:rPr>
                <w:sz w:val="20"/>
                <w:szCs w:val="20"/>
              </w:rPr>
            </w:pPr>
            <w:r>
              <w:rPr>
                <w:sz w:val="20"/>
                <w:szCs w:val="20"/>
              </w:rPr>
              <w:t>30</w:t>
            </w:r>
          </w:p>
        </w:tc>
      </w:tr>
      <w:tr w:rsidR="003E6588" w:rsidTr="00D5505F">
        <w:trPr>
          <w:trHeight w:val="126"/>
          <w:jc w:val="center"/>
        </w:trPr>
        <w:tc>
          <w:tcPr>
            <w:tcW w:w="5503" w:type="dxa"/>
            <w:shd w:val="clear" w:color="auto" w:fill="auto"/>
          </w:tcPr>
          <w:p w:rsidR="003E6588" w:rsidRDefault="003E6588" w:rsidP="00E0465D">
            <w:pPr>
              <w:jc w:val="left"/>
              <w:rPr>
                <w:bCs/>
                <w:sz w:val="20"/>
                <w:szCs w:val="20"/>
              </w:rPr>
            </w:pPr>
            <w:r>
              <w:rPr>
                <w:bCs/>
                <w:sz w:val="20"/>
                <w:szCs w:val="20"/>
              </w:rPr>
              <w:t>Educação</w:t>
            </w:r>
          </w:p>
        </w:tc>
        <w:tc>
          <w:tcPr>
            <w:tcW w:w="1842" w:type="dxa"/>
            <w:shd w:val="clear" w:color="auto" w:fill="auto"/>
          </w:tcPr>
          <w:p w:rsidR="003E6588" w:rsidRDefault="003E6588">
            <w:pPr>
              <w:rPr>
                <w:sz w:val="20"/>
                <w:szCs w:val="20"/>
              </w:rPr>
            </w:pPr>
            <w:r>
              <w:rPr>
                <w:sz w:val="20"/>
                <w:szCs w:val="20"/>
              </w:rPr>
              <w:t>54</w:t>
            </w:r>
          </w:p>
        </w:tc>
        <w:tc>
          <w:tcPr>
            <w:tcW w:w="1440" w:type="dxa"/>
            <w:shd w:val="clear" w:color="auto" w:fill="auto"/>
          </w:tcPr>
          <w:p w:rsidR="003E6588" w:rsidRDefault="003E6588">
            <w:pPr>
              <w:rPr>
                <w:sz w:val="20"/>
                <w:szCs w:val="20"/>
              </w:rPr>
            </w:pPr>
            <w:r>
              <w:rPr>
                <w:sz w:val="20"/>
                <w:szCs w:val="20"/>
              </w:rPr>
              <w:t>46</w:t>
            </w:r>
          </w:p>
        </w:tc>
      </w:tr>
      <w:tr w:rsidR="003E6588" w:rsidTr="00D5505F">
        <w:trPr>
          <w:trHeight w:val="44"/>
          <w:jc w:val="center"/>
        </w:trPr>
        <w:tc>
          <w:tcPr>
            <w:tcW w:w="5503" w:type="dxa"/>
            <w:shd w:val="clear" w:color="auto" w:fill="auto"/>
          </w:tcPr>
          <w:p w:rsidR="003E6588" w:rsidRDefault="003E6588" w:rsidP="00E0465D">
            <w:pPr>
              <w:jc w:val="left"/>
              <w:rPr>
                <w:bCs/>
                <w:sz w:val="20"/>
                <w:szCs w:val="20"/>
              </w:rPr>
            </w:pPr>
            <w:r>
              <w:rPr>
                <w:bCs/>
                <w:sz w:val="20"/>
                <w:szCs w:val="20"/>
              </w:rPr>
              <w:t>Esporte, Lazer e Juventude</w:t>
            </w:r>
          </w:p>
        </w:tc>
        <w:tc>
          <w:tcPr>
            <w:tcW w:w="1842" w:type="dxa"/>
            <w:shd w:val="clear" w:color="auto" w:fill="auto"/>
          </w:tcPr>
          <w:p w:rsidR="003E6588" w:rsidRDefault="003E6588">
            <w:pPr>
              <w:rPr>
                <w:sz w:val="20"/>
                <w:szCs w:val="20"/>
              </w:rPr>
            </w:pPr>
            <w:r>
              <w:rPr>
                <w:sz w:val="20"/>
                <w:szCs w:val="20"/>
              </w:rPr>
              <w:t>491</w:t>
            </w:r>
          </w:p>
        </w:tc>
        <w:tc>
          <w:tcPr>
            <w:tcW w:w="1440" w:type="dxa"/>
            <w:shd w:val="clear" w:color="auto" w:fill="auto"/>
          </w:tcPr>
          <w:p w:rsidR="003E6588" w:rsidRDefault="003E6588">
            <w:pPr>
              <w:rPr>
                <w:sz w:val="20"/>
                <w:szCs w:val="20"/>
              </w:rPr>
            </w:pPr>
            <w:r>
              <w:rPr>
                <w:sz w:val="20"/>
                <w:szCs w:val="20"/>
              </w:rPr>
              <w:t>455</w:t>
            </w:r>
          </w:p>
        </w:tc>
      </w:tr>
      <w:tr w:rsidR="003E6588" w:rsidTr="00D5505F">
        <w:trPr>
          <w:trHeight w:val="62"/>
          <w:jc w:val="center"/>
        </w:trPr>
        <w:tc>
          <w:tcPr>
            <w:tcW w:w="5503" w:type="dxa"/>
            <w:shd w:val="clear" w:color="auto" w:fill="auto"/>
          </w:tcPr>
          <w:p w:rsidR="003E6588" w:rsidRDefault="003E6588" w:rsidP="00E0465D">
            <w:pPr>
              <w:jc w:val="left"/>
              <w:rPr>
                <w:bCs/>
                <w:sz w:val="20"/>
                <w:szCs w:val="20"/>
              </w:rPr>
            </w:pPr>
            <w:r>
              <w:rPr>
                <w:bCs/>
                <w:sz w:val="20"/>
                <w:szCs w:val="20"/>
              </w:rPr>
              <w:t>Gestão Pública</w:t>
            </w:r>
          </w:p>
        </w:tc>
        <w:tc>
          <w:tcPr>
            <w:tcW w:w="1842" w:type="dxa"/>
            <w:shd w:val="clear" w:color="auto" w:fill="auto"/>
          </w:tcPr>
          <w:p w:rsidR="003E6588" w:rsidRDefault="003E6588">
            <w:pPr>
              <w:rPr>
                <w:sz w:val="20"/>
                <w:szCs w:val="20"/>
              </w:rPr>
            </w:pPr>
            <w:r>
              <w:rPr>
                <w:sz w:val="20"/>
                <w:szCs w:val="20"/>
              </w:rPr>
              <w:t>2</w:t>
            </w:r>
          </w:p>
        </w:tc>
        <w:tc>
          <w:tcPr>
            <w:tcW w:w="1440" w:type="dxa"/>
            <w:shd w:val="clear" w:color="auto" w:fill="auto"/>
          </w:tcPr>
          <w:p w:rsidR="003E6588" w:rsidRDefault="003E6588">
            <w:pPr>
              <w:rPr>
                <w:sz w:val="20"/>
                <w:szCs w:val="20"/>
              </w:rPr>
            </w:pPr>
            <w:r>
              <w:rPr>
                <w:sz w:val="20"/>
                <w:szCs w:val="20"/>
              </w:rPr>
              <w:t>2</w:t>
            </w:r>
          </w:p>
        </w:tc>
      </w:tr>
      <w:tr w:rsidR="003E6588" w:rsidTr="00D5505F">
        <w:trPr>
          <w:trHeight w:val="44"/>
          <w:jc w:val="center"/>
        </w:trPr>
        <w:tc>
          <w:tcPr>
            <w:tcW w:w="5503" w:type="dxa"/>
            <w:shd w:val="clear" w:color="auto" w:fill="auto"/>
          </w:tcPr>
          <w:p w:rsidR="003E6588" w:rsidRDefault="003E6588" w:rsidP="00E0465D">
            <w:pPr>
              <w:jc w:val="left"/>
              <w:rPr>
                <w:bCs/>
                <w:sz w:val="20"/>
                <w:szCs w:val="20"/>
              </w:rPr>
            </w:pPr>
            <w:r>
              <w:rPr>
                <w:bCs/>
                <w:sz w:val="20"/>
                <w:szCs w:val="20"/>
              </w:rPr>
              <w:t>Habitação</w:t>
            </w:r>
          </w:p>
        </w:tc>
        <w:tc>
          <w:tcPr>
            <w:tcW w:w="1842" w:type="dxa"/>
            <w:shd w:val="clear" w:color="auto" w:fill="auto"/>
          </w:tcPr>
          <w:p w:rsidR="003E6588" w:rsidRDefault="003E6588">
            <w:pPr>
              <w:rPr>
                <w:sz w:val="20"/>
                <w:szCs w:val="20"/>
              </w:rPr>
            </w:pPr>
            <w:r>
              <w:rPr>
                <w:sz w:val="20"/>
                <w:szCs w:val="20"/>
              </w:rPr>
              <w:t>2</w:t>
            </w:r>
          </w:p>
        </w:tc>
        <w:tc>
          <w:tcPr>
            <w:tcW w:w="1440" w:type="dxa"/>
            <w:shd w:val="clear" w:color="auto" w:fill="auto"/>
          </w:tcPr>
          <w:p w:rsidR="003E6588" w:rsidRDefault="003E6588">
            <w:pPr>
              <w:rPr>
                <w:sz w:val="20"/>
                <w:szCs w:val="20"/>
              </w:rPr>
            </w:pPr>
            <w:r>
              <w:rPr>
                <w:sz w:val="20"/>
                <w:szCs w:val="20"/>
              </w:rPr>
              <w:t>2</w:t>
            </w:r>
          </w:p>
        </w:tc>
      </w:tr>
      <w:tr w:rsidR="003E6588" w:rsidTr="00D5505F">
        <w:trPr>
          <w:trHeight w:val="154"/>
          <w:jc w:val="center"/>
        </w:trPr>
        <w:tc>
          <w:tcPr>
            <w:tcW w:w="5503" w:type="dxa"/>
            <w:shd w:val="clear" w:color="auto" w:fill="auto"/>
          </w:tcPr>
          <w:p w:rsidR="003E6588" w:rsidRDefault="003E6588" w:rsidP="00E0465D">
            <w:pPr>
              <w:jc w:val="left"/>
              <w:rPr>
                <w:bCs/>
                <w:sz w:val="20"/>
                <w:szCs w:val="20"/>
              </w:rPr>
            </w:pPr>
            <w:r>
              <w:rPr>
                <w:bCs/>
                <w:sz w:val="20"/>
                <w:szCs w:val="20"/>
              </w:rPr>
              <w:t>Justiça e da Defesa da Cidadania</w:t>
            </w:r>
          </w:p>
        </w:tc>
        <w:tc>
          <w:tcPr>
            <w:tcW w:w="1842" w:type="dxa"/>
            <w:shd w:val="clear" w:color="auto" w:fill="auto"/>
          </w:tcPr>
          <w:p w:rsidR="003E6588" w:rsidRDefault="003E6588">
            <w:pPr>
              <w:rPr>
                <w:sz w:val="20"/>
                <w:szCs w:val="20"/>
              </w:rPr>
            </w:pPr>
            <w:r>
              <w:rPr>
                <w:sz w:val="20"/>
                <w:szCs w:val="20"/>
              </w:rPr>
              <w:t>8</w:t>
            </w:r>
          </w:p>
        </w:tc>
        <w:tc>
          <w:tcPr>
            <w:tcW w:w="1440" w:type="dxa"/>
            <w:shd w:val="clear" w:color="auto" w:fill="auto"/>
          </w:tcPr>
          <w:p w:rsidR="003E6588" w:rsidRDefault="003E6588">
            <w:pPr>
              <w:rPr>
                <w:sz w:val="20"/>
                <w:szCs w:val="20"/>
              </w:rPr>
            </w:pPr>
            <w:r>
              <w:rPr>
                <w:sz w:val="20"/>
                <w:szCs w:val="20"/>
              </w:rPr>
              <w:t>8</w:t>
            </w:r>
          </w:p>
        </w:tc>
      </w:tr>
      <w:tr w:rsidR="003E6588" w:rsidTr="00D5505F">
        <w:trPr>
          <w:trHeight w:val="58"/>
          <w:jc w:val="center"/>
        </w:trPr>
        <w:tc>
          <w:tcPr>
            <w:tcW w:w="5503" w:type="dxa"/>
            <w:shd w:val="clear" w:color="auto" w:fill="auto"/>
          </w:tcPr>
          <w:p w:rsidR="003E6588" w:rsidRDefault="003E6588" w:rsidP="00E0465D">
            <w:pPr>
              <w:jc w:val="left"/>
              <w:rPr>
                <w:bCs/>
                <w:sz w:val="20"/>
                <w:szCs w:val="20"/>
              </w:rPr>
            </w:pPr>
            <w:r>
              <w:rPr>
                <w:bCs/>
                <w:sz w:val="20"/>
                <w:szCs w:val="20"/>
              </w:rPr>
              <w:t>Meio Ambiente</w:t>
            </w:r>
          </w:p>
        </w:tc>
        <w:tc>
          <w:tcPr>
            <w:tcW w:w="1842" w:type="dxa"/>
            <w:shd w:val="clear" w:color="auto" w:fill="auto"/>
          </w:tcPr>
          <w:p w:rsidR="003E6588" w:rsidRDefault="003E6588">
            <w:pPr>
              <w:rPr>
                <w:sz w:val="20"/>
                <w:szCs w:val="20"/>
              </w:rPr>
            </w:pPr>
            <w:r>
              <w:rPr>
                <w:sz w:val="20"/>
                <w:szCs w:val="20"/>
              </w:rPr>
              <w:t>68</w:t>
            </w:r>
          </w:p>
        </w:tc>
        <w:tc>
          <w:tcPr>
            <w:tcW w:w="1440" w:type="dxa"/>
            <w:shd w:val="clear" w:color="auto" w:fill="auto"/>
          </w:tcPr>
          <w:p w:rsidR="003E6588" w:rsidRDefault="003E6588">
            <w:pPr>
              <w:rPr>
                <w:sz w:val="20"/>
                <w:szCs w:val="20"/>
              </w:rPr>
            </w:pPr>
            <w:r>
              <w:rPr>
                <w:sz w:val="20"/>
                <w:szCs w:val="20"/>
              </w:rPr>
              <w:t>68</w:t>
            </w:r>
          </w:p>
        </w:tc>
      </w:tr>
      <w:tr w:rsidR="003E6588" w:rsidTr="00D5505F">
        <w:trPr>
          <w:trHeight w:val="193"/>
          <w:jc w:val="center"/>
        </w:trPr>
        <w:tc>
          <w:tcPr>
            <w:tcW w:w="5503" w:type="dxa"/>
            <w:shd w:val="clear" w:color="auto" w:fill="auto"/>
          </w:tcPr>
          <w:p w:rsidR="003E6588" w:rsidRDefault="003E6588" w:rsidP="00E0465D">
            <w:pPr>
              <w:jc w:val="left"/>
              <w:rPr>
                <w:bCs/>
                <w:sz w:val="20"/>
                <w:szCs w:val="20"/>
              </w:rPr>
            </w:pPr>
            <w:r>
              <w:rPr>
                <w:bCs/>
                <w:sz w:val="20"/>
                <w:szCs w:val="20"/>
              </w:rPr>
              <w:lastRenderedPageBreak/>
              <w:t>Planejamento e Desenvolvimento Regional</w:t>
            </w:r>
          </w:p>
        </w:tc>
        <w:tc>
          <w:tcPr>
            <w:tcW w:w="1842" w:type="dxa"/>
            <w:shd w:val="clear" w:color="auto" w:fill="auto"/>
          </w:tcPr>
          <w:p w:rsidR="003E6588" w:rsidRDefault="003E6588">
            <w:pPr>
              <w:rPr>
                <w:sz w:val="20"/>
                <w:szCs w:val="20"/>
              </w:rPr>
            </w:pPr>
            <w:r>
              <w:rPr>
                <w:sz w:val="20"/>
                <w:szCs w:val="20"/>
              </w:rPr>
              <w:t>1.306</w:t>
            </w:r>
          </w:p>
        </w:tc>
        <w:tc>
          <w:tcPr>
            <w:tcW w:w="1440" w:type="dxa"/>
            <w:shd w:val="clear" w:color="auto" w:fill="auto"/>
          </w:tcPr>
          <w:p w:rsidR="003E6588" w:rsidRDefault="003E6588">
            <w:pPr>
              <w:rPr>
                <w:sz w:val="20"/>
                <w:szCs w:val="20"/>
              </w:rPr>
            </w:pPr>
            <w:r>
              <w:rPr>
                <w:sz w:val="20"/>
                <w:szCs w:val="20"/>
              </w:rPr>
              <w:t>1.092</w:t>
            </w:r>
          </w:p>
        </w:tc>
      </w:tr>
      <w:tr w:rsidR="003E6588" w:rsidTr="00D5505F">
        <w:trPr>
          <w:trHeight w:val="83"/>
          <w:jc w:val="center"/>
        </w:trPr>
        <w:tc>
          <w:tcPr>
            <w:tcW w:w="5503" w:type="dxa"/>
            <w:shd w:val="clear" w:color="auto" w:fill="auto"/>
          </w:tcPr>
          <w:p w:rsidR="003E6588" w:rsidRDefault="003E6588" w:rsidP="00E0465D">
            <w:pPr>
              <w:jc w:val="left"/>
              <w:rPr>
                <w:bCs/>
                <w:sz w:val="20"/>
                <w:szCs w:val="20"/>
              </w:rPr>
            </w:pPr>
            <w:r>
              <w:rPr>
                <w:bCs/>
                <w:sz w:val="20"/>
                <w:szCs w:val="20"/>
              </w:rPr>
              <w:t>Saneamento e Recursos Hídricos</w:t>
            </w:r>
          </w:p>
        </w:tc>
        <w:tc>
          <w:tcPr>
            <w:tcW w:w="1842" w:type="dxa"/>
            <w:shd w:val="clear" w:color="auto" w:fill="auto"/>
          </w:tcPr>
          <w:p w:rsidR="003E6588" w:rsidRDefault="003E6588">
            <w:pPr>
              <w:rPr>
                <w:sz w:val="20"/>
                <w:szCs w:val="20"/>
              </w:rPr>
            </w:pPr>
            <w:r>
              <w:rPr>
                <w:sz w:val="20"/>
                <w:szCs w:val="20"/>
              </w:rPr>
              <w:t>11</w:t>
            </w:r>
          </w:p>
        </w:tc>
        <w:tc>
          <w:tcPr>
            <w:tcW w:w="1440" w:type="dxa"/>
            <w:shd w:val="clear" w:color="auto" w:fill="auto"/>
          </w:tcPr>
          <w:p w:rsidR="003E6588" w:rsidRDefault="003E6588">
            <w:pPr>
              <w:rPr>
                <w:sz w:val="20"/>
                <w:szCs w:val="20"/>
              </w:rPr>
            </w:pPr>
            <w:r>
              <w:rPr>
                <w:sz w:val="20"/>
                <w:szCs w:val="20"/>
              </w:rPr>
              <w:t>9</w:t>
            </w:r>
          </w:p>
        </w:tc>
      </w:tr>
      <w:tr w:rsidR="003E6588" w:rsidTr="00D5505F">
        <w:trPr>
          <w:trHeight w:val="129"/>
          <w:jc w:val="center"/>
        </w:trPr>
        <w:tc>
          <w:tcPr>
            <w:tcW w:w="5503" w:type="dxa"/>
            <w:shd w:val="clear" w:color="auto" w:fill="auto"/>
          </w:tcPr>
          <w:p w:rsidR="003E6588" w:rsidRDefault="003E6588" w:rsidP="00E0465D">
            <w:pPr>
              <w:jc w:val="left"/>
              <w:rPr>
                <w:bCs/>
                <w:sz w:val="20"/>
                <w:szCs w:val="20"/>
              </w:rPr>
            </w:pPr>
            <w:r>
              <w:rPr>
                <w:bCs/>
                <w:sz w:val="20"/>
                <w:szCs w:val="20"/>
              </w:rPr>
              <w:t>Saúde</w:t>
            </w:r>
          </w:p>
        </w:tc>
        <w:tc>
          <w:tcPr>
            <w:tcW w:w="1842" w:type="dxa"/>
            <w:shd w:val="clear" w:color="auto" w:fill="auto"/>
          </w:tcPr>
          <w:p w:rsidR="003E6588" w:rsidRDefault="003E6588">
            <w:pPr>
              <w:rPr>
                <w:sz w:val="20"/>
                <w:szCs w:val="20"/>
              </w:rPr>
            </w:pPr>
            <w:r>
              <w:rPr>
                <w:sz w:val="20"/>
                <w:szCs w:val="20"/>
              </w:rPr>
              <w:t>1.189</w:t>
            </w:r>
          </w:p>
        </w:tc>
        <w:tc>
          <w:tcPr>
            <w:tcW w:w="1440" w:type="dxa"/>
            <w:shd w:val="clear" w:color="auto" w:fill="auto"/>
          </w:tcPr>
          <w:p w:rsidR="003E6588" w:rsidRDefault="003E6588">
            <w:pPr>
              <w:rPr>
                <w:sz w:val="20"/>
                <w:szCs w:val="20"/>
              </w:rPr>
            </w:pPr>
            <w:r>
              <w:rPr>
                <w:sz w:val="20"/>
                <w:szCs w:val="20"/>
              </w:rPr>
              <w:t>1.069</w:t>
            </w:r>
          </w:p>
        </w:tc>
      </w:tr>
      <w:tr w:rsidR="003E6588" w:rsidTr="00D5505F">
        <w:trPr>
          <w:trHeight w:val="44"/>
          <w:jc w:val="center"/>
        </w:trPr>
        <w:tc>
          <w:tcPr>
            <w:tcW w:w="5503" w:type="dxa"/>
            <w:shd w:val="clear" w:color="auto" w:fill="auto"/>
          </w:tcPr>
          <w:p w:rsidR="003E6588" w:rsidRDefault="003E6588" w:rsidP="00E0465D">
            <w:pPr>
              <w:jc w:val="left"/>
              <w:rPr>
                <w:bCs/>
                <w:sz w:val="20"/>
                <w:szCs w:val="20"/>
              </w:rPr>
            </w:pPr>
            <w:r>
              <w:rPr>
                <w:bCs/>
                <w:sz w:val="20"/>
                <w:szCs w:val="20"/>
              </w:rPr>
              <w:t>Segurança Pública</w:t>
            </w:r>
          </w:p>
        </w:tc>
        <w:tc>
          <w:tcPr>
            <w:tcW w:w="1842" w:type="dxa"/>
            <w:shd w:val="clear" w:color="auto" w:fill="auto"/>
          </w:tcPr>
          <w:p w:rsidR="003E6588" w:rsidRDefault="003E6588">
            <w:pPr>
              <w:rPr>
                <w:sz w:val="20"/>
                <w:szCs w:val="20"/>
              </w:rPr>
            </w:pPr>
            <w:r>
              <w:rPr>
                <w:sz w:val="20"/>
                <w:szCs w:val="20"/>
              </w:rPr>
              <w:t>6</w:t>
            </w:r>
          </w:p>
        </w:tc>
        <w:tc>
          <w:tcPr>
            <w:tcW w:w="1440" w:type="dxa"/>
            <w:shd w:val="clear" w:color="auto" w:fill="auto"/>
          </w:tcPr>
          <w:p w:rsidR="003E6588" w:rsidRDefault="003E6588">
            <w:pPr>
              <w:rPr>
                <w:sz w:val="20"/>
                <w:szCs w:val="20"/>
              </w:rPr>
            </w:pPr>
            <w:r>
              <w:rPr>
                <w:sz w:val="20"/>
                <w:szCs w:val="20"/>
              </w:rPr>
              <w:t>5</w:t>
            </w:r>
          </w:p>
        </w:tc>
      </w:tr>
      <w:tr w:rsidR="003E6588" w:rsidTr="00D5505F">
        <w:trPr>
          <w:trHeight w:val="78"/>
          <w:jc w:val="center"/>
        </w:trPr>
        <w:tc>
          <w:tcPr>
            <w:tcW w:w="5503" w:type="dxa"/>
            <w:shd w:val="clear" w:color="auto" w:fill="auto"/>
          </w:tcPr>
          <w:p w:rsidR="003E6588" w:rsidRDefault="003E6588" w:rsidP="00E0465D">
            <w:pPr>
              <w:jc w:val="left"/>
              <w:rPr>
                <w:bCs/>
                <w:sz w:val="20"/>
                <w:szCs w:val="20"/>
              </w:rPr>
            </w:pPr>
            <w:r>
              <w:rPr>
                <w:bCs/>
                <w:sz w:val="20"/>
                <w:szCs w:val="20"/>
              </w:rPr>
              <w:t>Emprego e Relações do Trabalho</w:t>
            </w:r>
          </w:p>
        </w:tc>
        <w:tc>
          <w:tcPr>
            <w:tcW w:w="1842" w:type="dxa"/>
            <w:shd w:val="clear" w:color="auto" w:fill="auto"/>
          </w:tcPr>
          <w:p w:rsidR="003E6588" w:rsidRDefault="003E6588">
            <w:pPr>
              <w:rPr>
                <w:sz w:val="20"/>
                <w:szCs w:val="20"/>
              </w:rPr>
            </w:pPr>
            <w:r>
              <w:rPr>
                <w:sz w:val="20"/>
                <w:szCs w:val="20"/>
              </w:rPr>
              <w:t>2</w:t>
            </w:r>
          </w:p>
        </w:tc>
        <w:tc>
          <w:tcPr>
            <w:tcW w:w="1440" w:type="dxa"/>
            <w:shd w:val="clear" w:color="auto" w:fill="auto"/>
          </w:tcPr>
          <w:p w:rsidR="003E6588" w:rsidRDefault="003E6588">
            <w:pPr>
              <w:rPr>
                <w:sz w:val="20"/>
                <w:szCs w:val="20"/>
              </w:rPr>
            </w:pPr>
            <w:r>
              <w:rPr>
                <w:sz w:val="20"/>
                <w:szCs w:val="20"/>
              </w:rPr>
              <w:t>2</w:t>
            </w:r>
          </w:p>
        </w:tc>
      </w:tr>
      <w:tr w:rsidR="003E6588" w:rsidTr="00D5505F">
        <w:trPr>
          <w:trHeight w:val="44"/>
          <w:jc w:val="center"/>
        </w:trPr>
        <w:tc>
          <w:tcPr>
            <w:tcW w:w="5503" w:type="dxa"/>
            <w:shd w:val="clear" w:color="auto" w:fill="auto"/>
          </w:tcPr>
          <w:p w:rsidR="003E6588" w:rsidRDefault="003E6588" w:rsidP="00E0465D">
            <w:pPr>
              <w:jc w:val="left"/>
              <w:rPr>
                <w:bCs/>
                <w:sz w:val="20"/>
                <w:szCs w:val="20"/>
              </w:rPr>
            </w:pPr>
            <w:r>
              <w:rPr>
                <w:bCs/>
                <w:sz w:val="20"/>
                <w:szCs w:val="20"/>
              </w:rPr>
              <w:t>Turismo</w:t>
            </w:r>
          </w:p>
        </w:tc>
        <w:tc>
          <w:tcPr>
            <w:tcW w:w="1842" w:type="dxa"/>
            <w:shd w:val="clear" w:color="auto" w:fill="auto"/>
          </w:tcPr>
          <w:p w:rsidR="003E6588" w:rsidRDefault="003E6588">
            <w:pPr>
              <w:rPr>
                <w:sz w:val="20"/>
                <w:szCs w:val="20"/>
              </w:rPr>
            </w:pPr>
            <w:r>
              <w:rPr>
                <w:sz w:val="20"/>
                <w:szCs w:val="20"/>
              </w:rPr>
              <w:t>26</w:t>
            </w:r>
          </w:p>
        </w:tc>
        <w:tc>
          <w:tcPr>
            <w:tcW w:w="1440" w:type="dxa"/>
            <w:shd w:val="clear" w:color="auto" w:fill="auto"/>
          </w:tcPr>
          <w:p w:rsidR="003E6588" w:rsidRDefault="003E6588">
            <w:pPr>
              <w:rPr>
                <w:sz w:val="20"/>
                <w:szCs w:val="20"/>
              </w:rPr>
            </w:pPr>
            <w:r>
              <w:rPr>
                <w:sz w:val="20"/>
                <w:szCs w:val="20"/>
              </w:rPr>
              <w:t>25</w:t>
            </w:r>
          </w:p>
        </w:tc>
      </w:tr>
      <w:tr w:rsidR="003E6588" w:rsidTr="00D5505F">
        <w:trPr>
          <w:trHeight w:val="44"/>
          <w:jc w:val="center"/>
        </w:trPr>
        <w:tc>
          <w:tcPr>
            <w:tcW w:w="5503" w:type="dxa"/>
            <w:shd w:val="clear" w:color="auto" w:fill="auto"/>
          </w:tcPr>
          <w:p w:rsidR="003E6588" w:rsidRDefault="003E6588" w:rsidP="00E0465D">
            <w:pPr>
              <w:jc w:val="left"/>
              <w:rPr>
                <w:b/>
                <w:bCs/>
                <w:sz w:val="20"/>
                <w:szCs w:val="20"/>
              </w:rPr>
            </w:pPr>
            <w:r>
              <w:rPr>
                <w:b/>
                <w:bCs/>
                <w:sz w:val="20"/>
                <w:szCs w:val="20"/>
              </w:rPr>
              <w:t>TOTAL</w:t>
            </w:r>
          </w:p>
        </w:tc>
        <w:tc>
          <w:tcPr>
            <w:tcW w:w="1842" w:type="dxa"/>
            <w:shd w:val="clear" w:color="auto" w:fill="auto"/>
          </w:tcPr>
          <w:p w:rsidR="003E6588" w:rsidRDefault="003E6588">
            <w:pPr>
              <w:rPr>
                <w:b/>
                <w:sz w:val="20"/>
                <w:szCs w:val="20"/>
              </w:rPr>
            </w:pPr>
            <w:r>
              <w:rPr>
                <w:b/>
                <w:sz w:val="20"/>
                <w:szCs w:val="20"/>
              </w:rPr>
              <w:t>5.149</w:t>
            </w:r>
          </w:p>
        </w:tc>
        <w:tc>
          <w:tcPr>
            <w:tcW w:w="1440" w:type="dxa"/>
            <w:shd w:val="clear" w:color="auto" w:fill="auto"/>
          </w:tcPr>
          <w:p w:rsidR="003E6588" w:rsidRDefault="003E6588">
            <w:pPr>
              <w:rPr>
                <w:b/>
                <w:sz w:val="20"/>
                <w:szCs w:val="20"/>
              </w:rPr>
            </w:pPr>
            <w:r>
              <w:rPr>
                <w:b/>
                <w:sz w:val="20"/>
                <w:szCs w:val="20"/>
              </w:rPr>
              <w:t>4.575</w:t>
            </w:r>
          </w:p>
        </w:tc>
      </w:tr>
    </w:tbl>
    <w:p w:rsidR="003E6588" w:rsidRDefault="003E6588" w:rsidP="000D2F90">
      <w:pPr>
        <w:autoSpaceDE w:val="0"/>
        <w:autoSpaceDN w:val="0"/>
        <w:adjustRightInd w:val="0"/>
        <w:jc w:val="both"/>
      </w:pPr>
    </w:p>
    <w:p w:rsidR="003E6588" w:rsidRDefault="00E0465D" w:rsidP="000D2F90">
      <w:pPr>
        <w:autoSpaceDE w:val="0"/>
        <w:autoSpaceDN w:val="0"/>
        <w:adjustRightInd w:val="0"/>
        <w:ind w:firstLine="1134"/>
        <w:jc w:val="both"/>
      </w:pPr>
      <w:r>
        <w:t>Cabe à</w:t>
      </w:r>
      <w:r w:rsidR="003E6588">
        <w:t xml:space="preserve"> Subsecretaria de Assuntos Parlamentares, gerenciar o Sistema de Acompanhamento Legislativo - SIALE, desenvolvido para monitorar eletronicamente e </w:t>
      </w:r>
      <w:r w:rsidR="003E6588">
        <w:rPr>
          <w:i/>
        </w:rPr>
        <w:t>on line</w:t>
      </w:r>
      <w:r w:rsidR="003E6588">
        <w:t xml:space="preserve"> o acompanhamento de informações. Visa administrar o retorno das solicitações formuladas às diversas Secretarias e demais órgãos públicos do Estado a respeito das matérias, de modo que a Casa Civil tenha controle de prazos encaminhados à Assembléia Legislativa.</w:t>
      </w:r>
      <w:r>
        <w:t xml:space="preserve"> </w:t>
      </w:r>
      <w:r w:rsidR="003E6588">
        <w:t>Foram recebidas 2.400 in</w:t>
      </w:r>
      <w:r>
        <w:t>form</w:t>
      </w:r>
      <w:r w:rsidR="003E6588">
        <w:t>ações.</w:t>
      </w:r>
    </w:p>
    <w:p w:rsidR="003E6588" w:rsidRDefault="003E6588">
      <w:pPr>
        <w:autoSpaceDE w:val="0"/>
        <w:autoSpaceDN w:val="0"/>
        <w:adjustRightInd w:val="0"/>
        <w:ind w:firstLine="1134"/>
        <w:jc w:val="both"/>
      </w:pPr>
    </w:p>
    <w:p w:rsidR="003E6588" w:rsidRDefault="003E6588" w:rsidP="00E0465D">
      <w:pPr>
        <w:ind w:right="49" w:firstLine="1134"/>
        <w:jc w:val="both"/>
      </w:pPr>
      <w:r>
        <w:rPr>
          <w:b/>
        </w:rPr>
        <w:t xml:space="preserve">Subsecretaria de Assessoramento para Ações de Governo </w:t>
      </w:r>
      <w:r w:rsidR="00E0465D">
        <w:rPr>
          <w:b/>
        </w:rPr>
        <w:t>(</w:t>
      </w:r>
      <w:r>
        <w:rPr>
          <w:sz w:val="22"/>
          <w:szCs w:val="22"/>
        </w:rPr>
        <w:t>Reorganizada pelo Decreto nº 59.867/2013</w:t>
      </w:r>
      <w:r w:rsidR="00E0465D">
        <w:rPr>
          <w:sz w:val="22"/>
          <w:szCs w:val="22"/>
        </w:rPr>
        <w:t xml:space="preserve">) - </w:t>
      </w:r>
      <w:r>
        <w:t xml:space="preserve">No rol de atribuições desta Subsecretaria, destaca-se o acompanhamento sistemático das obras e ações desenvolvidas pelo Governo </w:t>
      </w:r>
      <w:r w:rsidR="00E0465D">
        <w:t>n</w:t>
      </w:r>
      <w:r>
        <w:t>o Estado, com a finalidade de produzir relatórios de apoio ao Governador em audiências, eventos e viagens</w:t>
      </w:r>
      <w:r w:rsidR="00733B6F">
        <w:t>,</w:t>
      </w:r>
      <w:r>
        <w:t xml:space="preserve"> </w:t>
      </w:r>
      <w:r w:rsidR="00733B6F">
        <w:t xml:space="preserve">além </w:t>
      </w:r>
      <w:r>
        <w:t>da análise e tratamento de informações para produção de relatórios contendo informações de caráter estratégico. A Subsecretaria possui como atribuições:</w:t>
      </w:r>
    </w:p>
    <w:p w:rsidR="003E6588" w:rsidRDefault="003E6588">
      <w:pPr>
        <w:ind w:right="-568" w:firstLine="1134"/>
        <w:jc w:val="both"/>
      </w:pPr>
    </w:p>
    <w:p w:rsidR="003E6588" w:rsidRDefault="003E6588">
      <w:pPr>
        <w:ind w:right="49" w:firstLine="1134"/>
        <w:contextualSpacing/>
        <w:jc w:val="both"/>
      </w:pPr>
      <w:r>
        <w:rPr>
          <w:b/>
        </w:rPr>
        <w:t xml:space="preserve">Apoio ao Comitê de Qualidade da Gestão Pública - </w:t>
      </w:r>
      <w:r>
        <w:t>A Subsecretaria exerce função de Secret</w:t>
      </w:r>
      <w:r w:rsidR="00733B6F">
        <w:t>a</w:t>
      </w:r>
      <w:r>
        <w:t>ria Executiva do CQGP, constituído pelos Secretários</w:t>
      </w:r>
      <w:r w:rsidR="00733B6F">
        <w:t xml:space="preserve"> da</w:t>
      </w:r>
      <w:r>
        <w:t xml:space="preserve"> Casa Civil (presidente), Fazenda, Planejamento e Desenvolvimento Regional, Gestão Pública, Procurador Geral do Estado e Assessor Especial de Assuntos Estratégicos. Foram realizadas 3 reuniões ordinárias e instituídos 4 Grupos Técnicos.</w:t>
      </w:r>
    </w:p>
    <w:p w:rsidR="003E6588" w:rsidRDefault="003E6588">
      <w:pPr>
        <w:ind w:right="49" w:firstLine="1134"/>
        <w:contextualSpacing/>
        <w:jc w:val="both"/>
      </w:pPr>
    </w:p>
    <w:p w:rsidR="003E6588" w:rsidRDefault="003E6588">
      <w:pPr>
        <w:ind w:firstLine="1134"/>
        <w:jc w:val="both"/>
      </w:pPr>
      <w:r>
        <w:t xml:space="preserve">Sítio na </w:t>
      </w:r>
      <w:r>
        <w:rPr>
          <w:i/>
        </w:rPr>
        <w:t>internet</w:t>
      </w:r>
      <w:r>
        <w:t xml:space="preserve"> realiza acompanhamento dos grupos e arquiva documentos: </w:t>
      </w:r>
      <w:hyperlink r:id="rId8" w:history="1">
        <w:r>
          <w:rPr>
            <w:color w:val="0000FF"/>
            <w:u w:val="single"/>
          </w:rPr>
          <w:t>www.cqgp.sp.gov.br</w:t>
        </w:r>
      </w:hyperlink>
      <w:r>
        <w:t>.</w:t>
      </w:r>
    </w:p>
    <w:p w:rsidR="003E6588" w:rsidRDefault="003E6588">
      <w:pPr>
        <w:ind w:right="-568" w:firstLine="1134"/>
        <w:jc w:val="both"/>
      </w:pPr>
    </w:p>
    <w:p w:rsidR="003E6588" w:rsidRDefault="003E6588">
      <w:pPr>
        <w:ind w:right="49" w:firstLine="1134"/>
        <w:contextualSpacing/>
        <w:jc w:val="both"/>
      </w:pPr>
      <w:r>
        <w:rPr>
          <w:b/>
        </w:rPr>
        <w:t xml:space="preserve">Grupos de Sistematização e Apoio às Ações de Comunicação - </w:t>
      </w:r>
      <w:r w:rsidR="00733B6F">
        <w:t xml:space="preserve">Finalidade </w:t>
      </w:r>
      <w:r>
        <w:t xml:space="preserve">de manter informações organizadas de maneira a auxiliar o Governo do Estado em suas ações de divulgação e publicidade. </w:t>
      </w:r>
      <w:r w:rsidR="00733B6F">
        <w:t xml:space="preserve">Foi </w:t>
      </w:r>
      <w:r>
        <w:t xml:space="preserve">organizado o Painel de Informações Estratégicas: </w:t>
      </w:r>
      <w:hyperlink r:id="rId9" w:history="1">
        <w:r>
          <w:rPr>
            <w:color w:val="0000FF"/>
            <w:u w:val="single"/>
          </w:rPr>
          <w:t>www.casacivil.sp.gov.br/painel-info/login.htm</w:t>
        </w:r>
      </w:hyperlink>
      <w:r>
        <w:t xml:space="preserve">. Acessível em ambiente </w:t>
      </w:r>
      <w:r>
        <w:rPr>
          <w:i/>
        </w:rPr>
        <w:t>intragov</w:t>
      </w:r>
      <w:r>
        <w:t xml:space="preserve"> a todos os dirigentes governamentais, monitora as "Medalhas" e projetos considerados prioritários na agenda do Governo. Trata- se de "arquivo eletrônico" de divulgação dos projetos.</w:t>
      </w:r>
    </w:p>
    <w:p w:rsidR="003E6588" w:rsidRDefault="003E6588">
      <w:pPr>
        <w:ind w:right="-568" w:firstLine="1134"/>
        <w:jc w:val="both"/>
      </w:pPr>
    </w:p>
    <w:p w:rsidR="003E6588" w:rsidRDefault="003E6588">
      <w:pPr>
        <w:ind w:right="49" w:firstLine="1134"/>
        <w:contextualSpacing/>
        <w:jc w:val="both"/>
      </w:pPr>
      <w:r>
        <w:rPr>
          <w:b/>
        </w:rPr>
        <w:t xml:space="preserve">Grupo de Produção de Informações - </w:t>
      </w:r>
      <w:r>
        <w:t>Elaboração de relatórios contendo as principais ações do Governo, com vistas a subsidiar o Governador em audiências, eventos e viagens. Foram confeccionados 692 Boletins Estratégicos e 181 Cenários Políticos, dos quais:</w:t>
      </w:r>
    </w:p>
    <w:p w:rsidR="000D2F90" w:rsidRDefault="000D2F90" w:rsidP="003165F3">
      <w:pPr>
        <w:ind w:right="49" w:firstLine="1134"/>
        <w:jc w:val="both"/>
      </w:pPr>
    </w:p>
    <w:p w:rsidR="007C47BA" w:rsidRDefault="000D2F90" w:rsidP="003165F3">
      <w:pPr>
        <w:ind w:right="49" w:firstLine="1134"/>
        <w:jc w:val="both"/>
      </w:pPr>
      <w:r>
        <w:t xml:space="preserve">- </w:t>
      </w:r>
      <w:r w:rsidR="003E6588">
        <w:t xml:space="preserve">291 para visitas ao </w:t>
      </w:r>
      <w:r w:rsidR="00733B6F">
        <w:t xml:space="preserve">Interior </w:t>
      </w:r>
      <w:r w:rsidR="003E6588">
        <w:t>e 95 para eventos na Capital;</w:t>
      </w:r>
    </w:p>
    <w:p w:rsidR="007C47BA" w:rsidRDefault="007C47BA" w:rsidP="003165F3">
      <w:pPr>
        <w:ind w:right="49" w:firstLine="1134"/>
        <w:jc w:val="both"/>
      </w:pPr>
    </w:p>
    <w:p w:rsidR="007C47BA" w:rsidRDefault="000D2F90" w:rsidP="003165F3">
      <w:pPr>
        <w:ind w:right="49" w:firstLine="1134"/>
        <w:jc w:val="both"/>
      </w:pPr>
      <w:r>
        <w:lastRenderedPageBreak/>
        <w:t xml:space="preserve">- </w:t>
      </w:r>
      <w:r w:rsidR="003165F3">
        <w:t>116 boletins temáticos</w:t>
      </w:r>
      <w:r w:rsidR="007C47BA">
        <w:t>;</w:t>
      </w:r>
    </w:p>
    <w:p w:rsidR="00D5505F" w:rsidRDefault="00D5505F" w:rsidP="003165F3">
      <w:pPr>
        <w:ind w:right="49" w:firstLine="1134"/>
        <w:jc w:val="both"/>
      </w:pPr>
    </w:p>
    <w:p w:rsidR="003E6588" w:rsidRDefault="000D2F90" w:rsidP="003165F3">
      <w:pPr>
        <w:ind w:right="49" w:firstLine="1134"/>
        <w:jc w:val="both"/>
      </w:pPr>
      <w:r>
        <w:t xml:space="preserve">- </w:t>
      </w:r>
      <w:r w:rsidR="003E6588">
        <w:t>190 Destaques Regionais.</w:t>
      </w:r>
    </w:p>
    <w:p w:rsidR="003E6588" w:rsidRDefault="003E6588">
      <w:pPr>
        <w:ind w:right="-568" w:firstLine="1854"/>
        <w:jc w:val="both"/>
      </w:pPr>
    </w:p>
    <w:p w:rsidR="003E6588" w:rsidRDefault="003E6588">
      <w:pPr>
        <w:ind w:right="49" w:firstLine="1134"/>
        <w:contextualSpacing/>
        <w:jc w:val="both"/>
      </w:pPr>
      <w:r>
        <w:rPr>
          <w:b/>
        </w:rPr>
        <w:t xml:space="preserve">Grupo de Assessoramento Técnico - </w:t>
      </w:r>
      <w:r>
        <w:t>Tem por finalidade assessorar o Governador e o Secretário-Chefe da Casa Civil. É respons</w:t>
      </w:r>
      <w:r w:rsidR="00733B6F">
        <w:t>á</w:t>
      </w:r>
      <w:r>
        <w:t xml:space="preserve">vel pelo levantamento e tratamento de informações para auxiliar na tomada de decisões. Realiza o acompanhamento das obras e ações relevantes da Administração Estadual. Produziu </w:t>
      </w:r>
      <w:r>
        <w:rPr>
          <w:color w:val="000000"/>
        </w:rPr>
        <w:t>16.259 relatórios</w:t>
      </w:r>
      <w:r>
        <w:t>:</w:t>
      </w:r>
    </w:p>
    <w:p w:rsidR="003E6588" w:rsidRDefault="003E6588">
      <w:pPr>
        <w:ind w:right="49" w:firstLine="1854"/>
        <w:contextualSpacing/>
        <w:jc w:val="both"/>
      </w:pPr>
    </w:p>
    <w:p w:rsidR="003E6588" w:rsidRDefault="000C3615">
      <w:pPr>
        <w:ind w:right="-41" w:firstLine="1134"/>
        <w:jc w:val="both"/>
      </w:pPr>
      <w:r>
        <w:t xml:space="preserve">- </w:t>
      </w:r>
      <w:r w:rsidR="00733B6F">
        <w:t>1</w:t>
      </w:r>
      <w:r w:rsidR="003E6588">
        <w:t>5.916 informativos para boletins (material compilado por assunto, pelos assessores para os 692 boletins produzidos pelo núcleo).</w:t>
      </w:r>
    </w:p>
    <w:p w:rsidR="003E6588" w:rsidRDefault="003E6588">
      <w:pPr>
        <w:ind w:right="-41" w:firstLine="1134"/>
        <w:jc w:val="both"/>
      </w:pPr>
    </w:p>
    <w:p w:rsidR="003E6588" w:rsidRDefault="000C3615">
      <w:pPr>
        <w:ind w:right="-41" w:firstLine="1134"/>
        <w:jc w:val="both"/>
      </w:pPr>
      <w:r>
        <w:t xml:space="preserve">- </w:t>
      </w:r>
      <w:r w:rsidR="003E6588">
        <w:t>343 relatórios - 21 balanços do Programa de Governo/2010; 46 balanços (23 por semestre); 276 relatórios de atualização para o Painel (23 por mês).</w:t>
      </w:r>
    </w:p>
    <w:p w:rsidR="003E6588" w:rsidRDefault="003E6588">
      <w:pPr>
        <w:ind w:firstLine="1134"/>
        <w:jc w:val="both"/>
      </w:pPr>
    </w:p>
    <w:p w:rsidR="003E6588" w:rsidRDefault="003E6588">
      <w:pPr>
        <w:ind w:right="49" w:firstLine="1134"/>
        <w:contextualSpacing/>
        <w:jc w:val="both"/>
      </w:pPr>
      <w:r>
        <w:rPr>
          <w:b/>
        </w:rPr>
        <w:t xml:space="preserve">Grupo de Acompanhamento de Obras e Ações do Governo - </w:t>
      </w:r>
      <w:r>
        <w:t>O banco de dados (Cadastro de Obras e Ações do Governo - COAG) vem sendo atualizado em nova plataforma de dados</w:t>
      </w:r>
      <w:r w:rsidR="00733B6F">
        <w:t xml:space="preserve"> e</w:t>
      </w:r>
      <w:r>
        <w:t xml:space="preserve"> </w:t>
      </w:r>
      <w:r w:rsidR="00733B6F">
        <w:t>a</w:t>
      </w:r>
      <w:r>
        <w:t>presentou os seguintes resultados:</w:t>
      </w:r>
    </w:p>
    <w:p w:rsidR="003E6588" w:rsidRDefault="003E6588">
      <w:pPr>
        <w:ind w:right="49" w:firstLine="1134"/>
        <w:contextualSpacing/>
        <w:jc w:val="both"/>
      </w:pPr>
    </w:p>
    <w:p w:rsidR="003E6588" w:rsidRDefault="000C3615">
      <w:pPr>
        <w:ind w:right="-568" w:firstLine="1134"/>
        <w:jc w:val="both"/>
      </w:pPr>
      <w:r>
        <w:t xml:space="preserve">- </w:t>
      </w:r>
      <w:r w:rsidR="003E6588">
        <w:t>9.230 registros de obras/ações da Gestão;</w:t>
      </w:r>
    </w:p>
    <w:p w:rsidR="003E6588" w:rsidRDefault="003E6588">
      <w:pPr>
        <w:ind w:right="-568" w:firstLine="1134"/>
        <w:jc w:val="both"/>
      </w:pPr>
    </w:p>
    <w:p w:rsidR="003E6588" w:rsidRDefault="000C3615">
      <w:pPr>
        <w:ind w:right="-41" w:firstLine="1134"/>
        <w:jc w:val="both"/>
      </w:pPr>
      <w:r>
        <w:t xml:space="preserve">- </w:t>
      </w:r>
      <w:r w:rsidR="003E6588">
        <w:t>10.602 relatórios de Secretarias para confecção do Boletim Estratégico ou informes ao Governador e Secretário-Chefe e 589 atualizações de fichas;</w:t>
      </w:r>
    </w:p>
    <w:p w:rsidR="003E6588" w:rsidRDefault="003E6588">
      <w:pPr>
        <w:ind w:right="-41" w:firstLine="1134"/>
        <w:jc w:val="both"/>
      </w:pPr>
    </w:p>
    <w:p w:rsidR="000D2F90" w:rsidRDefault="000C3615">
      <w:pPr>
        <w:ind w:right="-41" w:firstLine="1134"/>
        <w:jc w:val="both"/>
      </w:pPr>
      <w:r>
        <w:t xml:space="preserve">- </w:t>
      </w:r>
      <w:r w:rsidR="003E6588">
        <w:t xml:space="preserve">5 órgãos integrados ao COAG via </w:t>
      </w:r>
      <w:r w:rsidR="003E6588">
        <w:rPr>
          <w:i/>
        </w:rPr>
        <w:t>web</w:t>
      </w:r>
      <w:r w:rsidR="003E6588">
        <w:t>: CDHU, Casa Paulista, DERSA, FDE, Planejamento;</w:t>
      </w:r>
    </w:p>
    <w:p w:rsidR="000D2F90" w:rsidRDefault="000D2F90">
      <w:pPr>
        <w:ind w:right="-41" w:firstLine="1134"/>
        <w:jc w:val="both"/>
      </w:pPr>
    </w:p>
    <w:p w:rsidR="003E6588" w:rsidRDefault="000D2F90">
      <w:pPr>
        <w:ind w:right="-41" w:firstLine="1134"/>
        <w:jc w:val="both"/>
      </w:pPr>
      <w:r>
        <w:t>- 3</w:t>
      </w:r>
      <w:r w:rsidR="003E6588">
        <w:t xml:space="preserve"> órgãos em integração: DADE, Guri (SC), viaturas policiais (SSP);</w:t>
      </w:r>
    </w:p>
    <w:p w:rsidR="003E6588" w:rsidRDefault="003E6588">
      <w:pPr>
        <w:ind w:right="-41" w:firstLine="1134"/>
        <w:jc w:val="both"/>
      </w:pPr>
    </w:p>
    <w:p w:rsidR="003E6588" w:rsidRDefault="000C3615">
      <w:pPr>
        <w:ind w:right="-41" w:firstLine="1134"/>
        <w:jc w:val="both"/>
      </w:pPr>
      <w:r>
        <w:t xml:space="preserve">- </w:t>
      </w:r>
      <w:r w:rsidR="003E6588">
        <w:t>3 Secretarias ainda não integradas no sistema: SDPD, SEFAZ e PGE;</w:t>
      </w:r>
    </w:p>
    <w:p w:rsidR="003E6588" w:rsidRDefault="003E6588">
      <w:pPr>
        <w:ind w:right="-41" w:firstLine="1134"/>
        <w:jc w:val="both"/>
      </w:pPr>
    </w:p>
    <w:p w:rsidR="003E6588" w:rsidRDefault="003E6588">
      <w:pPr>
        <w:ind w:left="1134" w:right="-41"/>
        <w:jc w:val="both"/>
      </w:pPr>
      <w:r>
        <w:t>Demais órgãos integrados no sistema de forma manual;</w:t>
      </w:r>
    </w:p>
    <w:p w:rsidR="003E6588" w:rsidRDefault="003E6588">
      <w:pPr>
        <w:ind w:right="-41"/>
        <w:jc w:val="both"/>
      </w:pPr>
    </w:p>
    <w:p w:rsidR="003E6588" w:rsidRDefault="000C3615">
      <w:pPr>
        <w:ind w:left="1134" w:right="-41"/>
        <w:jc w:val="both"/>
      </w:pPr>
      <w:r>
        <w:t xml:space="preserve">- </w:t>
      </w:r>
      <w:r w:rsidR="003E6588">
        <w:t>491 editores e 64 visualizadores registrados no sistema;</w:t>
      </w:r>
    </w:p>
    <w:p w:rsidR="003E6588" w:rsidRDefault="003E6588">
      <w:pPr>
        <w:ind w:right="-41"/>
        <w:jc w:val="both"/>
      </w:pPr>
    </w:p>
    <w:p w:rsidR="003E6588" w:rsidRDefault="000C3615">
      <w:pPr>
        <w:ind w:left="1134" w:right="-41"/>
        <w:jc w:val="both"/>
      </w:pPr>
      <w:r>
        <w:t xml:space="preserve">- </w:t>
      </w:r>
      <w:r w:rsidR="003E6588">
        <w:t>265 treinamentos realizados com editores e visualizadores.</w:t>
      </w:r>
    </w:p>
    <w:p w:rsidR="003E6588" w:rsidRDefault="003E6588">
      <w:pPr>
        <w:ind w:firstLine="1134"/>
        <w:jc w:val="both"/>
      </w:pPr>
    </w:p>
    <w:p w:rsidR="003E6588" w:rsidRDefault="003E6588">
      <w:pPr>
        <w:ind w:right="49" w:firstLine="1134"/>
        <w:contextualSpacing/>
        <w:jc w:val="both"/>
      </w:pPr>
      <w:r>
        <w:rPr>
          <w:b/>
        </w:rPr>
        <w:t xml:space="preserve">Apoio à Agenda do Governador - </w:t>
      </w:r>
      <w:r>
        <w:t>Objetiva colaborar na proposição de eventos de interesse do Governador e nas decisões sobre sua agenda. Realiza levantamento prévio de obras e ações segundo cronograma de início ou entrega/inaugurações, por Secret</w:t>
      </w:r>
      <w:r w:rsidR="00733B6F">
        <w:t>a</w:t>
      </w:r>
      <w:r>
        <w:t>r</w:t>
      </w:r>
      <w:r w:rsidR="00733B6F">
        <w:t>ia e por Região Administrativas.</w:t>
      </w:r>
      <w:r>
        <w:t xml:space="preserve"> Foram organizadas:</w:t>
      </w:r>
    </w:p>
    <w:p w:rsidR="003E6588" w:rsidRDefault="003E6588">
      <w:pPr>
        <w:ind w:right="49" w:firstLine="1134"/>
        <w:contextualSpacing/>
        <w:jc w:val="both"/>
      </w:pPr>
    </w:p>
    <w:p w:rsidR="003E6588" w:rsidRDefault="000C3615">
      <w:pPr>
        <w:ind w:right="-568" w:firstLine="1134"/>
        <w:jc w:val="both"/>
      </w:pPr>
      <w:r>
        <w:t xml:space="preserve">- </w:t>
      </w:r>
      <w:r w:rsidR="00733B6F">
        <w:t>52 matrizes de informações,</w:t>
      </w:r>
    </w:p>
    <w:p w:rsidR="003E6588" w:rsidRDefault="000C3615">
      <w:pPr>
        <w:ind w:right="-568" w:firstLine="1134"/>
        <w:jc w:val="both"/>
      </w:pPr>
      <w:r>
        <w:lastRenderedPageBreak/>
        <w:t xml:space="preserve">- </w:t>
      </w:r>
      <w:r w:rsidR="00733B6F">
        <w:t>156 mapas de visitas,</w:t>
      </w:r>
    </w:p>
    <w:p w:rsidR="00D5505F" w:rsidRDefault="00D5505F">
      <w:pPr>
        <w:ind w:right="-568" w:firstLine="1134"/>
        <w:jc w:val="both"/>
      </w:pPr>
    </w:p>
    <w:p w:rsidR="003E6588" w:rsidRDefault="000C3615">
      <w:pPr>
        <w:ind w:right="-568" w:firstLine="1134"/>
        <w:jc w:val="both"/>
      </w:pPr>
      <w:r>
        <w:t xml:space="preserve">- </w:t>
      </w:r>
      <w:r w:rsidR="00733B6F">
        <w:t>376 vistorias a obras,</w:t>
      </w:r>
    </w:p>
    <w:p w:rsidR="003E6588" w:rsidRDefault="003E6588">
      <w:pPr>
        <w:ind w:right="-568" w:firstLine="1134"/>
        <w:jc w:val="both"/>
      </w:pPr>
    </w:p>
    <w:p w:rsidR="003E6588" w:rsidRDefault="000C3615">
      <w:pPr>
        <w:ind w:right="-568" w:firstLine="1134"/>
        <w:jc w:val="both"/>
      </w:pPr>
      <w:r>
        <w:t xml:space="preserve">- </w:t>
      </w:r>
      <w:r w:rsidR="003E6588">
        <w:t>210 cidades vistoriadas pela equipe.</w:t>
      </w:r>
    </w:p>
    <w:p w:rsidR="003E6588" w:rsidRDefault="003E6588">
      <w:pPr>
        <w:ind w:right="-568" w:firstLine="1134"/>
        <w:jc w:val="both"/>
      </w:pPr>
    </w:p>
    <w:p w:rsidR="003E6588" w:rsidRDefault="003E6588">
      <w:pPr>
        <w:ind w:right="-568" w:firstLine="1134"/>
        <w:jc w:val="both"/>
      </w:pPr>
      <w:r>
        <w:t>O Governador realizou:</w:t>
      </w:r>
    </w:p>
    <w:p w:rsidR="003E6588" w:rsidRDefault="003E6588">
      <w:pPr>
        <w:ind w:right="-568" w:firstLine="1134"/>
        <w:jc w:val="both"/>
      </w:pPr>
    </w:p>
    <w:p w:rsidR="003E6588" w:rsidRDefault="000C3615">
      <w:pPr>
        <w:ind w:left="1134" w:right="-568"/>
        <w:jc w:val="both"/>
      </w:pPr>
      <w:r>
        <w:rPr>
          <w:b/>
        </w:rPr>
        <w:t xml:space="preserve">- </w:t>
      </w:r>
      <w:r w:rsidR="003E6588" w:rsidRPr="000D2F90">
        <w:t xml:space="preserve">No </w:t>
      </w:r>
      <w:r w:rsidR="00733B6F" w:rsidRPr="000D2F90">
        <w:t>Interior</w:t>
      </w:r>
      <w:r w:rsidR="00733B6F">
        <w:t xml:space="preserve"> </w:t>
      </w:r>
      <w:r w:rsidR="003E6588">
        <w:t>- 268 visitas, para 181 municípios.</w:t>
      </w:r>
    </w:p>
    <w:p w:rsidR="003E6588" w:rsidRDefault="003E6588">
      <w:pPr>
        <w:ind w:left="1134" w:right="-568"/>
        <w:jc w:val="both"/>
      </w:pPr>
    </w:p>
    <w:p w:rsidR="003E6588" w:rsidRDefault="000C3615">
      <w:pPr>
        <w:ind w:right="101" w:firstLine="1134"/>
        <w:jc w:val="both"/>
      </w:pPr>
      <w:r>
        <w:rPr>
          <w:b/>
        </w:rPr>
        <w:t xml:space="preserve">- </w:t>
      </w:r>
      <w:r w:rsidR="003E6588" w:rsidRPr="000D2F90">
        <w:t>Na Capital -</w:t>
      </w:r>
      <w:r w:rsidR="003E6588">
        <w:t xml:space="preserve"> Presente em 145 eventos, realizados em 45 distritos.</w:t>
      </w:r>
    </w:p>
    <w:p w:rsidR="003E6588" w:rsidRDefault="003E6588">
      <w:pPr>
        <w:ind w:right="-568" w:firstLine="1134"/>
        <w:jc w:val="both"/>
      </w:pPr>
    </w:p>
    <w:p w:rsidR="003E6588" w:rsidRDefault="003E6588">
      <w:pPr>
        <w:ind w:right="49" w:firstLine="1134"/>
        <w:contextualSpacing/>
        <w:jc w:val="both"/>
      </w:pPr>
      <w:r>
        <w:rPr>
          <w:b/>
        </w:rPr>
        <w:t xml:space="preserve">Coordenação do Programa de Melhoria do Gasto Público - Desperdício Zero - </w:t>
      </w:r>
      <w:r>
        <w:t>Instituído pelo Decreto nº 57.829/2012, é implementado nos órgãos públicos estaduais por meio dos 103 Guardiões da Economia.</w:t>
      </w:r>
    </w:p>
    <w:p w:rsidR="003E6588" w:rsidRDefault="003E6588">
      <w:pPr>
        <w:ind w:right="49" w:firstLine="1134"/>
        <w:contextualSpacing/>
        <w:jc w:val="both"/>
      </w:pPr>
    </w:p>
    <w:p w:rsidR="003E6588" w:rsidRDefault="003E6588">
      <w:pPr>
        <w:ind w:firstLine="1134"/>
        <w:jc w:val="both"/>
      </w:pPr>
      <w:r>
        <w:t>Houve o estabelecimento de metas para economia nas áreas de utilidade pública (energia, telefonia, água, celular), deslocamentos (transporte, diárias, passagens); gêneros alimentícios; saúde; suprimentos; prestação de serviços e mudanças de procedimentos nas contratações.</w:t>
      </w:r>
    </w:p>
    <w:p w:rsidR="003E6588" w:rsidRDefault="003E6588">
      <w:pPr>
        <w:ind w:firstLine="1134"/>
        <w:jc w:val="both"/>
      </w:pPr>
    </w:p>
    <w:p w:rsidR="003E6588" w:rsidRDefault="003E6588">
      <w:pPr>
        <w:ind w:firstLine="1134"/>
        <w:jc w:val="both"/>
      </w:pPr>
      <w:r>
        <w:t xml:space="preserve">A economia atingida </w:t>
      </w:r>
      <w:r w:rsidR="000C3615">
        <w:t>foi de R$ 1,1 bilhão.</w:t>
      </w:r>
    </w:p>
    <w:p w:rsidR="003E6588" w:rsidRDefault="003E6588">
      <w:pPr>
        <w:ind w:firstLine="1134"/>
        <w:jc w:val="both"/>
      </w:pPr>
    </w:p>
    <w:p w:rsidR="003E6588" w:rsidRDefault="003E6588">
      <w:pPr>
        <w:ind w:right="-568" w:firstLine="1134"/>
        <w:jc w:val="both"/>
      </w:pPr>
      <w:r>
        <w:t>70 reuniões realizadas com os Guardiões da Economia ou com os setoriais;</w:t>
      </w:r>
    </w:p>
    <w:p w:rsidR="003E6588" w:rsidRDefault="003E6588">
      <w:pPr>
        <w:ind w:right="-568" w:firstLine="1134"/>
        <w:jc w:val="both"/>
      </w:pPr>
    </w:p>
    <w:p w:rsidR="003E6588" w:rsidRDefault="003E6588">
      <w:pPr>
        <w:ind w:right="-568" w:firstLine="1134"/>
        <w:jc w:val="both"/>
      </w:pPr>
      <w:r>
        <w:t>60 relatórios confeccionados (monitoramento e prestação de contas).</w:t>
      </w:r>
    </w:p>
    <w:p w:rsidR="003E6588" w:rsidRDefault="003E6588">
      <w:pPr>
        <w:ind w:right="-568" w:firstLine="1134"/>
        <w:jc w:val="both"/>
      </w:pPr>
    </w:p>
    <w:p w:rsidR="003E6588" w:rsidRDefault="003E6588" w:rsidP="00733B6F">
      <w:pPr>
        <w:ind w:right="-568" w:firstLine="1134"/>
        <w:contextualSpacing/>
        <w:jc w:val="both"/>
        <w:rPr>
          <w:b/>
        </w:rPr>
      </w:pPr>
      <w:r>
        <w:rPr>
          <w:b/>
        </w:rPr>
        <w:t>Outras Atividades</w:t>
      </w:r>
    </w:p>
    <w:p w:rsidR="003E6588" w:rsidRDefault="003E6588" w:rsidP="00733B6F">
      <w:pPr>
        <w:ind w:right="-568" w:firstLine="1134"/>
        <w:contextualSpacing/>
        <w:jc w:val="both"/>
        <w:rPr>
          <w:b/>
        </w:rPr>
      </w:pPr>
    </w:p>
    <w:p w:rsidR="003E6588" w:rsidRDefault="003E6588">
      <w:pPr>
        <w:ind w:right="101" w:firstLine="1134"/>
        <w:jc w:val="both"/>
      </w:pPr>
      <w:r>
        <w:t xml:space="preserve">Monitoramento e Participação enquanto representante da Casa Civil no Programa Estadual de Enfrentamento ao </w:t>
      </w:r>
      <w:r>
        <w:rPr>
          <w:i/>
        </w:rPr>
        <w:t>crack</w:t>
      </w:r>
      <w:r>
        <w:t>.</w:t>
      </w:r>
    </w:p>
    <w:p w:rsidR="003E6588" w:rsidRDefault="003E6588">
      <w:pPr>
        <w:ind w:right="101" w:firstLine="1134"/>
        <w:jc w:val="both"/>
      </w:pPr>
    </w:p>
    <w:p w:rsidR="003E6588" w:rsidRDefault="003E6588">
      <w:pPr>
        <w:ind w:right="-568" w:firstLine="1134"/>
        <w:jc w:val="both"/>
      </w:pPr>
      <w:r>
        <w:t>Monitoramento do Programa Estadual do Idoso.</w:t>
      </w:r>
    </w:p>
    <w:p w:rsidR="003E6588" w:rsidRDefault="003E6588">
      <w:pPr>
        <w:ind w:right="-568" w:firstLine="1134"/>
        <w:jc w:val="both"/>
      </w:pPr>
    </w:p>
    <w:p w:rsidR="003E6588" w:rsidRDefault="003E6588">
      <w:pPr>
        <w:ind w:right="-568" w:firstLine="1134"/>
        <w:jc w:val="both"/>
      </w:pPr>
      <w:r>
        <w:t>Acompanhamento das ações intersetoriais do Parque Jequitibá.</w:t>
      </w:r>
    </w:p>
    <w:p w:rsidR="003E6588" w:rsidRDefault="003E6588">
      <w:pPr>
        <w:ind w:left="284" w:right="-568" w:firstLine="1134"/>
        <w:jc w:val="both"/>
      </w:pPr>
    </w:p>
    <w:p w:rsidR="003E6588" w:rsidRDefault="003E6588">
      <w:pPr>
        <w:ind w:firstLine="1134"/>
        <w:jc w:val="both"/>
      </w:pPr>
      <w:r>
        <w:rPr>
          <w:b/>
        </w:rPr>
        <w:t xml:space="preserve">Subsecretaria de Comunicação - </w:t>
      </w:r>
      <w:r>
        <w:t xml:space="preserve">O Decreto nº 56.640/2011 criou a Subsecretaria de Comunicação, fazendo-a integrar a estrutura administrativa da Casa Civil, com a função de coordenar as relações do Governo com seus cidadãos, no âmbito da comunicação, além de supervisionar as ações relativas à esfera de publicidade, comunicação e </w:t>
      </w:r>
      <w:r>
        <w:rPr>
          <w:i/>
        </w:rPr>
        <w:t>marketing</w:t>
      </w:r>
      <w:r>
        <w:t xml:space="preserve">, desenvolvidas pelos órgãos e entidades da </w:t>
      </w:r>
      <w:r w:rsidR="00733B6F">
        <w:t xml:space="preserve">Administração Direta </w:t>
      </w:r>
      <w:r>
        <w:t xml:space="preserve">e </w:t>
      </w:r>
      <w:r w:rsidR="00733B6F">
        <w:t xml:space="preserve">Indireta </w:t>
      </w:r>
      <w:r>
        <w:t>do Estado.</w:t>
      </w:r>
    </w:p>
    <w:p w:rsidR="003E6588" w:rsidRDefault="003E6588">
      <w:pPr>
        <w:ind w:firstLine="1134"/>
        <w:jc w:val="both"/>
      </w:pPr>
    </w:p>
    <w:p w:rsidR="003E6588" w:rsidRDefault="003E6588">
      <w:pPr>
        <w:ind w:firstLine="1134"/>
        <w:jc w:val="both"/>
      </w:pPr>
      <w:r>
        <w:t xml:space="preserve">A Subsecretaria de Comunicação, por força das disposições dos Decretos nº 43.833/1999 e nº 43.834/1999, atualizados pelos Decretos nº 52.040/2007 e nº 56.641/2011, atua como órgão central </w:t>
      </w:r>
      <w:r>
        <w:lastRenderedPageBreak/>
        <w:t xml:space="preserve">do Sistema de Comunicação do Estado de São Paulo - SICOM, tendo como órgãos setoriais do referido Sistema toda a </w:t>
      </w:r>
      <w:r w:rsidR="00733B6F">
        <w:t xml:space="preserve">Administração Pública Estadual Direta </w:t>
      </w:r>
      <w:r>
        <w:t xml:space="preserve">e </w:t>
      </w:r>
      <w:r w:rsidR="00733B6F">
        <w:t xml:space="preserve">Indireta </w:t>
      </w:r>
      <w:r>
        <w:t>do Estado, sendo seus objetivos:</w:t>
      </w:r>
    </w:p>
    <w:p w:rsidR="00D5505F" w:rsidRDefault="00D5505F">
      <w:pPr>
        <w:ind w:firstLine="1134"/>
        <w:jc w:val="both"/>
      </w:pPr>
    </w:p>
    <w:p w:rsidR="003E6588" w:rsidRDefault="003C4CFC">
      <w:pPr>
        <w:ind w:firstLine="1134"/>
        <w:jc w:val="both"/>
      </w:pPr>
      <w:r>
        <w:t xml:space="preserve">- </w:t>
      </w:r>
      <w:r w:rsidR="003E6588">
        <w:t>Difundir amplamente informações sobre os direitos dos cidadãos e os serviços públicos;</w:t>
      </w:r>
    </w:p>
    <w:p w:rsidR="003E6588" w:rsidRDefault="003E6588">
      <w:pPr>
        <w:ind w:firstLine="1134"/>
        <w:jc w:val="both"/>
      </w:pPr>
    </w:p>
    <w:p w:rsidR="003E6588" w:rsidRDefault="003C4CFC">
      <w:pPr>
        <w:ind w:firstLine="1134"/>
        <w:jc w:val="both"/>
      </w:pPr>
      <w:r>
        <w:t xml:space="preserve">- </w:t>
      </w:r>
      <w:r w:rsidR="003E6588">
        <w:t>Divulgar, de forma clara e objetiva, os projetos e ações desenvolvidos pelo Estado nas diversas áreas de interesse da sociedade, de maneira a facilitar seu entendimento;</w:t>
      </w:r>
    </w:p>
    <w:p w:rsidR="003E6588" w:rsidRDefault="003E6588">
      <w:pPr>
        <w:ind w:firstLine="1134"/>
        <w:jc w:val="both"/>
      </w:pPr>
    </w:p>
    <w:p w:rsidR="003E6588" w:rsidRDefault="003C4CFC">
      <w:pPr>
        <w:ind w:firstLine="1134"/>
        <w:jc w:val="both"/>
      </w:pPr>
      <w:r>
        <w:t xml:space="preserve">- </w:t>
      </w:r>
      <w:r w:rsidR="003E6588">
        <w:t>Estimular a sociedade a participar do debate e do aprimoramento das políticas públicas do Estado;</w:t>
      </w:r>
    </w:p>
    <w:p w:rsidR="003E6588" w:rsidRDefault="003E6588">
      <w:pPr>
        <w:ind w:firstLine="1134"/>
        <w:jc w:val="both"/>
      </w:pPr>
    </w:p>
    <w:p w:rsidR="003E6588" w:rsidRDefault="003C4CFC">
      <w:pPr>
        <w:ind w:firstLine="1134"/>
        <w:jc w:val="both"/>
      </w:pPr>
      <w:r>
        <w:t xml:space="preserve">- </w:t>
      </w:r>
      <w:r w:rsidR="003E6588">
        <w:t>Adequar as mensagens aos segmentos sociais com os quais se pretenda comunicar, observado o caráter educativo, informativo ou de orientação social, obrigatório à divulgação dos programas e projetos da administração.</w:t>
      </w:r>
    </w:p>
    <w:p w:rsidR="003E6588" w:rsidRDefault="003E6588">
      <w:pPr>
        <w:ind w:firstLine="1134"/>
        <w:jc w:val="both"/>
      </w:pPr>
    </w:p>
    <w:p w:rsidR="003E6588" w:rsidRDefault="003E6588">
      <w:pPr>
        <w:ind w:firstLine="1134"/>
        <w:jc w:val="both"/>
      </w:pPr>
      <w:r>
        <w:t xml:space="preserve">Sua estrutura é composta pelo Gabinete do Subsecretário e pelas Unidades de </w:t>
      </w:r>
      <w:r>
        <w:rPr>
          <w:i/>
        </w:rPr>
        <w:t xml:space="preserve">Marketing </w:t>
      </w:r>
      <w:r>
        <w:t>e de Imprensa, além da Biblioteca Virtual do Governo do Estado, vinculada administrativamente.</w:t>
      </w:r>
    </w:p>
    <w:p w:rsidR="003E6588" w:rsidRDefault="003E6588">
      <w:pPr>
        <w:ind w:firstLine="1134"/>
        <w:jc w:val="both"/>
      </w:pPr>
    </w:p>
    <w:p w:rsidR="003E6588" w:rsidRDefault="003E6588">
      <w:pPr>
        <w:ind w:firstLine="1134"/>
        <w:jc w:val="both"/>
      </w:pPr>
      <w:r>
        <w:t>Seguem as ações realizadas:</w:t>
      </w:r>
    </w:p>
    <w:p w:rsidR="003E6588" w:rsidRDefault="003E6588">
      <w:pPr>
        <w:ind w:left="284" w:right="49" w:firstLine="1134"/>
        <w:jc w:val="both"/>
        <w:rPr>
          <w:b/>
        </w:rPr>
      </w:pPr>
    </w:p>
    <w:p w:rsidR="003E6588" w:rsidRDefault="00733B6F">
      <w:pPr>
        <w:ind w:right="49" w:firstLine="1134"/>
        <w:jc w:val="both"/>
      </w:pPr>
      <w:r>
        <w:rPr>
          <w:b/>
        </w:rPr>
        <w:t>Unidade de Imprensa</w:t>
      </w:r>
    </w:p>
    <w:p w:rsidR="003E6588" w:rsidRDefault="003E6588">
      <w:pPr>
        <w:ind w:left="284" w:right="49" w:firstLine="1134"/>
        <w:jc w:val="both"/>
        <w:rPr>
          <w:b/>
          <w:bCs/>
        </w:rPr>
      </w:pPr>
    </w:p>
    <w:p w:rsidR="003E6588" w:rsidRDefault="003E6588">
      <w:pPr>
        <w:ind w:right="49" w:firstLine="1134"/>
        <w:jc w:val="both"/>
      </w:pPr>
      <w:r w:rsidRPr="000D2F90">
        <w:rPr>
          <w:bCs/>
        </w:rPr>
        <w:t>Portal do Governo do Estado de São Paulo -</w:t>
      </w:r>
      <w:r>
        <w:rPr>
          <w:b/>
          <w:bCs/>
        </w:rPr>
        <w:t xml:space="preserve"> </w:t>
      </w:r>
      <w:r>
        <w:t>Principal acesso para a imprensa, formadores de opinião e público em busca de informações sobre o governo paulista, esse portal foi atualizado diariamente;</w:t>
      </w:r>
    </w:p>
    <w:p w:rsidR="003E6588" w:rsidRDefault="003E6588">
      <w:pPr>
        <w:ind w:right="49" w:firstLine="1134"/>
        <w:jc w:val="both"/>
        <w:rPr>
          <w:b/>
          <w:bCs/>
        </w:rPr>
      </w:pPr>
    </w:p>
    <w:p w:rsidR="003E6588" w:rsidRDefault="003E6588">
      <w:pPr>
        <w:ind w:right="49" w:firstLine="1134"/>
        <w:jc w:val="both"/>
      </w:pPr>
      <w:r w:rsidRPr="000D2F90">
        <w:rPr>
          <w:bCs/>
        </w:rPr>
        <w:t>Atualizações diárias em diversas Redes Sociais</w:t>
      </w:r>
      <w:r w:rsidR="00733B6F" w:rsidRPr="000D2F90">
        <w:rPr>
          <w:bCs/>
        </w:rPr>
        <w:t>,</w:t>
      </w:r>
      <w:r w:rsidRPr="000D2F90">
        <w:rPr>
          <w:bCs/>
        </w:rPr>
        <w:t xml:space="preserve"> permitindo</w:t>
      </w:r>
      <w:r>
        <w:rPr>
          <w:b/>
          <w:bCs/>
        </w:rPr>
        <w:t xml:space="preserve"> </w:t>
      </w:r>
      <w:r>
        <w:t xml:space="preserve">a interatividade entre os cidadãos e as </w:t>
      </w:r>
      <w:r w:rsidR="00624737">
        <w:t xml:space="preserve">Secretarias </w:t>
      </w:r>
      <w:r>
        <w:t>e entidades vinculadas ao Governo;</w:t>
      </w:r>
    </w:p>
    <w:p w:rsidR="003E6588" w:rsidRDefault="003E6588">
      <w:pPr>
        <w:ind w:right="49" w:firstLine="1134"/>
        <w:jc w:val="both"/>
        <w:rPr>
          <w:b/>
        </w:rPr>
      </w:pPr>
    </w:p>
    <w:p w:rsidR="003E6588" w:rsidRDefault="003E6588">
      <w:pPr>
        <w:ind w:right="49" w:firstLine="1134"/>
        <w:jc w:val="both"/>
      </w:pPr>
      <w:r w:rsidRPr="000D2F90">
        <w:t>Acompanhamento da agenda do Governador</w:t>
      </w:r>
      <w:r>
        <w:rPr>
          <w:b/>
        </w:rPr>
        <w:t xml:space="preserve"> </w:t>
      </w:r>
      <w:r w:rsidR="00624737">
        <w:rPr>
          <w:b/>
        </w:rPr>
        <w:t>-</w:t>
      </w:r>
      <w:r>
        <w:rPr>
          <w:b/>
        </w:rPr>
        <w:t xml:space="preserve"> </w:t>
      </w:r>
      <w:r w:rsidR="00624737">
        <w:t xml:space="preserve">Acompanhamento dos </w:t>
      </w:r>
      <w:r>
        <w:t xml:space="preserve">eventos da agenda pública do Governador. Repórteres produziram textos para publicação no Portal e envio para </w:t>
      </w:r>
      <w:r>
        <w:rPr>
          <w:i/>
        </w:rPr>
        <w:t>mailing</w:t>
      </w:r>
      <w:r>
        <w:t xml:space="preserve"> de jornalistas </w:t>
      </w:r>
      <w:r w:rsidR="00624737">
        <w:t>n</w:t>
      </w:r>
      <w:r>
        <w:t xml:space="preserve">o Estado. </w:t>
      </w:r>
      <w:r w:rsidR="00624737">
        <w:t xml:space="preserve">Foram </w:t>
      </w:r>
      <w:r>
        <w:t>organizadas e realizadas 491 coletivas de imprensa com o Governador;</w:t>
      </w:r>
    </w:p>
    <w:p w:rsidR="003E6588" w:rsidRDefault="003E6588">
      <w:pPr>
        <w:ind w:left="284" w:right="49" w:firstLine="1134"/>
        <w:jc w:val="both"/>
        <w:rPr>
          <w:b/>
        </w:rPr>
      </w:pPr>
    </w:p>
    <w:p w:rsidR="003E6588" w:rsidRDefault="003E6588">
      <w:pPr>
        <w:ind w:right="49" w:firstLine="1134"/>
        <w:jc w:val="both"/>
      </w:pPr>
      <w:r>
        <w:rPr>
          <w:b/>
        </w:rPr>
        <w:t xml:space="preserve">Assessoria de imprensa do representante do Governo do Estado - </w:t>
      </w:r>
      <w:r w:rsidR="00624737" w:rsidRPr="00624737">
        <w:t>N</w:t>
      </w:r>
      <w:r>
        <w:t>as agendas públicas, o Governador é acompanhado por assessor de imprensa direto, que é vinculado à Subsecretaria de Comunicação;</w:t>
      </w:r>
    </w:p>
    <w:p w:rsidR="003E6588" w:rsidRDefault="003E6588">
      <w:pPr>
        <w:ind w:left="284" w:right="49" w:firstLine="1134"/>
        <w:jc w:val="both"/>
        <w:rPr>
          <w:b/>
        </w:rPr>
      </w:pPr>
    </w:p>
    <w:p w:rsidR="003E6588" w:rsidRDefault="003C4CFC">
      <w:pPr>
        <w:ind w:right="49" w:firstLine="1134"/>
        <w:jc w:val="both"/>
      </w:pPr>
      <w:r>
        <w:t xml:space="preserve">- </w:t>
      </w:r>
      <w:r w:rsidR="003E6588">
        <w:t xml:space="preserve">Envio de avisos, </w:t>
      </w:r>
      <w:r w:rsidR="003E6588">
        <w:rPr>
          <w:i/>
        </w:rPr>
        <w:t>releases</w:t>
      </w:r>
      <w:r w:rsidR="003E6588">
        <w:t xml:space="preserve"> e boletins;</w:t>
      </w:r>
    </w:p>
    <w:p w:rsidR="003C4CFC" w:rsidRDefault="003C4CFC">
      <w:pPr>
        <w:ind w:right="49" w:firstLine="1134"/>
        <w:jc w:val="both"/>
      </w:pPr>
    </w:p>
    <w:p w:rsidR="003E6588" w:rsidRDefault="003C4CFC">
      <w:pPr>
        <w:ind w:right="49" w:firstLine="1134"/>
        <w:jc w:val="both"/>
      </w:pPr>
      <w:r>
        <w:t xml:space="preserve">- </w:t>
      </w:r>
      <w:r w:rsidR="003E6588">
        <w:t>Atendimento à imprensa;</w:t>
      </w:r>
    </w:p>
    <w:p w:rsidR="003E6588" w:rsidRDefault="003E6588">
      <w:pPr>
        <w:ind w:right="49" w:firstLine="1134"/>
        <w:jc w:val="both"/>
      </w:pPr>
    </w:p>
    <w:p w:rsidR="003E6588" w:rsidRDefault="003C4CFC">
      <w:pPr>
        <w:ind w:right="49" w:firstLine="1134"/>
        <w:jc w:val="both"/>
      </w:pPr>
      <w:r>
        <w:t xml:space="preserve">- </w:t>
      </w:r>
      <w:r w:rsidR="003E6588">
        <w:t>Monitoramento de mídia;</w:t>
      </w:r>
    </w:p>
    <w:p w:rsidR="003E6588" w:rsidRDefault="003E6588">
      <w:pPr>
        <w:ind w:right="49" w:firstLine="1134"/>
        <w:jc w:val="both"/>
      </w:pPr>
    </w:p>
    <w:p w:rsidR="003E6588" w:rsidRDefault="003C4CFC">
      <w:pPr>
        <w:ind w:right="49" w:firstLine="1134"/>
        <w:jc w:val="both"/>
      </w:pPr>
      <w:r>
        <w:lastRenderedPageBreak/>
        <w:t xml:space="preserve">- </w:t>
      </w:r>
      <w:r w:rsidR="003E6588">
        <w:t>Transcrições das falas do Governador e</w:t>
      </w:r>
    </w:p>
    <w:p w:rsidR="003E6588" w:rsidRDefault="003E6588">
      <w:pPr>
        <w:ind w:right="49" w:firstLine="1134"/>
        <w:jc w:val="both"/>
      </w:pPr>
    </w:p>
    <w:p w:rsidR="003E6588" w:rsidRDefault="003C4CFC">
      <w:pPr>
        <w:ind w:right="49" w:firstLine="1134"/>
        <w:jc w:val="both"/>
      </w:pPr>
      <w:r>
        <w:t xml:space="preserve">- </w:t>
      </w:r>
      <w:r w:rsidR="003E6588">
        <w:t xml:space="preserve">Produção de </w:t>
      </w:r>
      <w:r w:rsidR="003E6588">
        <w:rPr>
          <w:i/>
        </w:rPr>
        <w:t>papers</w:t>
      </w:r>
      <w:r w:rsidR="003E6588">
        <w:t xml:space="preserve"> para o Governador.</w:t>
      </w:r>
    </w:p>
    <w:p w:rsidR="000D2F90" w:rsidRDefault="000D2F90">
      <w:pPr>
        <w:ind w:firstLine="1134"/>
        <w:jc w:val="both"/>
        <w:rPr>
          <w:b/>
        </w:rPr>
      </w:pPr>
    </w:p>
    <w:p w:rsidR="003E6588" w:rsidRDefault="003E6588">
      <w:pPr>
        <w:ind w:firstLine="1134"/>
        <w:jc w:val="both"/>
      </w:pPr>
      <w:r>
        <w:rPr>
          <w:b/>
        </w:rPr>
        <w:t xml:space="preserve">Unidade de </w:t>
      </w:r>
      <w:r w:rsidRPr="003C4CFC">
        <w:rPr>
          <w:b/>
          <w:i/>
        </w:rPr>
        <w:t xml:space="preserve">Marketing </w:t>
      </w:r>
      <w:r w:rsidR="003C4CFC">
        <w:rPr>
          <w:b/>
          <w:i/>
        </w:rPr>
        <w:t>-</w:t>
      </w:r>
      <w:r>
        <w:rPr>
          <w:b/>
        </w:rPr>
        <w:t xml:space="preserve"> </w:t>
      </w:r>
      <w:r>
        <w:t>Destacam-se</w:t>
      </w:r>
      <w:r w:rsidR="00624737">
        <w:t xml:space="preserve"> as seguintes campanhas realizadas</w:t>
      </w:r>
      <w:r>
        <w:t>:</w:t>
      </w:r>
    </w:p>
    <w:p w:rsidR="003E6588" w:rsidRDefault="003E6588">
      <w:pPr>
        <w:ind w:firstLine="1134"/>
        <w:jc w:val="both"/>
      </w:pPr>
    </w:p>
    <w:p w:rsidR="003E6588" w:rsidRDefault="003E6588" w:rsidP="00624737">
      <w:pPr>
        <w:ind w:firstLine="1134"/>
        <w:jc w:val="both"/>
        <w:rPr>
          <w:b/>
        </w:rPr>
      </w:pPr>
      <w:r>
        <w:rPr>
          <w:b/>
        </w:rPr>
        <w:t>Para a Administração Direta</w:t>
      </w:r>
    </w:p>
    <w:p w:rsidR="003E6588" w:rsidRDefault="003E6588" w:rsidP="003C4CFC">
      <w:pPr>
        <w:ind w:firstLine="1134"/>
        <w:jc w:val="both"/>
        <w:rPr>
          <w:b/>
        </w:rPr>
      </w:pPr>
    </w:p>
    <w:p w:rsidR="003E6588" w:rsidRDefault="003E6588">
      <w:pPr>
        <w:ind w:firstLine="1134"/>
        <w:jc w:val="both"/>
      </w:pPr>
      <w:r>
        <w:rPr>
          <w:b/>
        </w:rPr>
        <w:t xml:space="preserve">Casa Civil - </w:t>
      </w:r>
      <w:r>
        <w:t>Entregas Osasco; Gestão de Recursos do Governo do Estado; Inovação no Estado; Lançamento do Programa São Paulo Cuida; Parques Tecnológicos; Regionais; Região Metropolitana.</w:t>
      </w:r>
    </w:p>
    <w:p w:rsidR="003E6588" w:rsidRDefault="003E6588">
      <w:pPr>
        <w:ind w:firstLine="1134"/>
        <w:jc w:val="both"/>
      </w:pPr>
    </w:p>
    <w:p w:rsidR="003E6588" w:rsidRDefault="003E6588">
      <w:pPr>
        <w:ind w:firstLine="1134"/>
        <w:jc w:val="both"/>
      </w:pPr>
      <w:r w:rsidRPr="000C3615">
        <w:t>Campanhas do Fundo de Solidariedade do Estado de São Paulo</w:t>
      </w:r>
      <w:r>
        <w:rPr>
          <w:b/>
        </w:rPr>
        <w:t xml:space="preserve"> -</w:t>
      </w:r>
      <w:r>
        <w:t xml:space="preserve"> Escola de Qualificação Profissional; Pólo Regional de Construção Civil;</w:t>
      </w:r>
    </w:p>
    <w:p w:rsidR="003E6588" w:rsidRDefault="003E6588">
      <w:pPr>
        <w:ind w:firstLine="1134"/>
        <w:jc w:val="both"/>
      </w:pPr>
    </w:p>
    <w:p w:rsidR="003E6588" w:rsidRDefault="003E6588">
      <w:pPr>
        <w:ind w:firstLine="1134"/>
        <w:jc w:val="both"/>
      </w:pPr>
      <w:r>
        <w:rPr>
          <w:b/>
        </w:rPr>
        <w:t xml:space="preserve">Secretaria da Cultura - </w:t>
      </w:r>
      <w:r>
        <w:t>Mês dos Museus; Patrimônios Públicos; Virada Cultural;</w:t>
      </w:r>
    </w:p>
    <w:p w:rsidR="003E6588" w:rsidRDefault="003E6588">
      <w:pPr>
        <w:ind w:firstLine="1134"/>
        <w:jc w:val="both"/>
        <w:rPr>
          <w:b/>
        </w:rPr>
      </w:pPr>
    </w:p>
    <w:p w:rsidR="003E6588" w:rsidRDefault="003E6588">
      <w:pPr>
        <w:ind w:firstLine="1134"/>
        <w:jc w:val="both"/>
      </w:pPr>
      <w:r>
        <w:rPr>
          <w:b/>
        </w:rPr>
        <w:t>Secretaria de Desenvolvimento Econômico Ciência, Tecnologia e Inovação -</w:t>
      </w:r>
      <w:r>
        <w:t xml:space="preserve"> ETEC; Identidade Visual - Novas Unidades FATEC e ETEC;</w:t>
      </w:r>
    </w:p>
    <w:p w:rsidR="003E6588" w:rsidRDefault="003E6588">
      <w:pPr>
        <w:ind w:firstLine="1134"/>
        <w:jc w:val="both"/>
      </w:pPr>
    </w:p>
    <w:p w:rsidR="003E6588" w:rsidRDefault="003E6588">
      <w:pPr>
        <w:ind w:firstLine="1134"/>
        <w:jc w:val="both"/>
      </w:pPr>
      <w:r>
        <w:rPr>
          <w:b/>
        </w:rPr>
        <w:t xml:space="preserve">Secretaria de Desenvolvimento Social - </w:t>
      </w:r>
      <w:r>
        <w:t>Dia Mundial da Alimentação; Identidade Visual Bom Prato; São Paulo Solidário; Selo de Acessibilidade Comunicacional;</w:t>
      </w:r>
    </w:p>
    <w:p w:rsidR="003E6588" w:rsidRDefault="003E6588">
      <w:pPr>
        <w:ind w:firstLine="1134"/>
        <w:jc w:val="both"/>
      </w:pPr>
    </w:p>
    <w:p w:rsidR="003E6588" w:rsidRDefault="003E6588">
      <w:pPr>
        <w:ind w:firstLine="1134"/>
        <w:jc w:val="both"/>
      </w:pPr>
      <w:r>
        <w:rPr>
          <w:b/>
        </w:rPr>
        <w:t xml:space="preserve">Secretaria da Educação - </w:t>
      </w:r>
      <w:r>
        <w:t>Entregas Educação; Escola de Tempo Integral; Identidade Visual Creche Escola; Vestibular UNIVESP;</w:t>
      </w:r>
    </w:p>
    <w:p w:rsidR="003E6588" w:rsidRDefault="003E6588">
      <w:pPr>
        <w:ind w:firstLine="1134"/>
        <w:jc w:val="both"/>
      </w:pPr>
    </w:p>
    <w:p w:rsidR="003E6588" w:rsidRDefault="003E6588">
      <w:pPr>
        <w:ind w:firstLine="1134"/>
        <w:jc w:val="both"/>
      </w:pPr>
      <w:r>
        <w:rPr>
          <w:b/>
        </w:rPr>
        <w:t>Secretaria da Justiça e da Defesa da Cidadania -</w:t>
      </w:r>
      <w:r>
        <w:t xml:space="preserve"> São Paulo Contra a Homofobia - Parada LGBT; São Paulo Contra o Racismo;</w:t>
      </w:r>
    </w:p>
    <w:p w:rsidR="003E6588" w:rsidRDefault="003E6588">
      <w:pPr>
        <w:ind w:firstLine="1134"/>
        <w:jc w:val="both"/>
      </w:pPr>
    </w:p>
    <w:p w:rsidR="003E6588" w:rsidRDefault="003E6588">
      <w:pPr>
        <w:ind w:firstLine="1134"/>
        <w:jc w:val="both"/>
        <w:rPr>
          <w:bCs/>
          <w:color w:val="000000"/>
        </w:rPr>
      </w:pPr>
      <w:r>
        <w:rPr>
          <w:b/>
          <w:color w:val="000000"/>
        </w:rPr>
        <w:t>Secretaria de Logística e Transportes -</w:t>
      </w:r>
      <w:r>
        <w:rPr>
          <w:color w:val="000000"/>
        </w:rPr>
        <w:t xml:space="preserve"> </w:t>
      </w:r>
      <w:r>
        <w:rPr>
          <w:bCs/>
          <w:color w:val="000000"/>
        </w:rPr>
        <w:t>Duplicação da Rodovia Tamoios;</w:t>
      </w:r>
    </w:p>
    <w:p w:rsidR="003E6588" w:rsidRDefault="003E6588">
      <w:pPr>
        <w:ind w:firstLine="1134"/>
        <w:jc w:val="both"/>
        <w:rPr>
          <w:bCs/>
          <w:color w:val="000000"/>
        </w:rPr>
      </w:pPr>
    </w:p>
    <w:p w:rsidR="003E6588" w:rsidRDefault="003E6588">
      <w:pPr>
        <w:ind w:firstLine="1134"/>
        <w:jc w:val="both"/>
        <w:rPr>
          <w:color w:val="000000"/>
        </w:rPr>
      </w:pPr>
      <w:r>
        <w:rPr>
          <w:b/>
          <w:bCs/>
          <w:color w:val="221E1F"/>
        </w:rPr>
        <w:t xml:space="preserve">Secretaria da Saúde - </w:t>
      </w:r>
      <w:r>
        <w:rPr>
          <w:color w:val="000000"/>
        </w:rPr>
        <w:t>Álcool para Menores é Proibido; Dengue;</w:t>
      </w:r>
      <w:r>
        <w:rPr>
          <w:b/>
          <w:color w:val="000000"/>
        </w:rPr>
        <w:t xml:space="preserve"> </w:t>
      </w:r>
      <w:r>
        <w:rPr>
          <w:color w:val="000000"/>
        </w:rPr>
        <w:t>Programa Estadual de DST/AIDS; Entregas Saúde; Mulheres de Peito; Novembro Azul; SOS Santa Casa;</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Secretaria da Segurança Pública - </w:t>
      </w:r>
      <w:r>
        <w:rPr>
          <w:color w:val="000000"/>
        </w:rPr>
        <w:t>Balanço; Disque Denúncia; ONU; Procurados; Entrega Segurança Pública;</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Secretaria do Turismo - </w:t>
      </w:r>
      <w:r>
        <w:rPr>
          <w:color w:val="000000"/>
        </w:rPr>
        <w:t>Destinos Paulistas.</w:t>
      </w:r>
    </w:p>
    <w:p w:rsidR="003E6588" w:rsidRDefault="003E6588" w:rsidP="003C4CFC">
      <w:pPr>
        <w:ind w:firstLine="1134"/>
        <w:jc w:val="both"/>
        <w:rPr>
          <w:b/>
        </w:rPr>
      </w:pPr>
    </w:p>
    <w:p w:rsidR="003E6588" w:rsidRDefault="003E6588" w:rsidP="00624737">
      <w:pPr>
        <w:ind w:firstLine="1134"/>
        <w:jc w:val="both"/>
        <w:rPr>
          <w:b/>
        </w:rPr>
      </w:pPr>
      <w:r>
        <w:rPr>
          <w:b/>
        </w:rPr>
        <w:t>Para a Administração Indireta</w:t>
      </w:r>
    </w:p>
    <w:p w:rsidR="003E6588" w:rsidRDefault="003E6588">
      <w:pPr>
        <w:ind w:firstLine="1134"/>
        <w:jc w:val="both"/>
        <w:rPr>
          <w:b/>
          <w:color w:val="000000"/>
        </w:rPr>
      </w:pPr>
    </w:p>
    <w:p w:rsidR="003E6588" w:rsidRDefault="003E6588">
      <w:pPr>
        <w:ind w:firstLine="1134"/>
        <w:jc w:val="both"/>
        <w:rPr>
          <w:b/>
        </w:rPr>
      </w:pPr>
      <w:r>
        <w:rPr>
          <w:b/>
          <w:color w:val="000000"/>
        </w:rPr>
        <w:t xml:space="preserve">EMTU - </w:t>
      </w:r>
      <w:r>
        <w:rPr>
          <w:color w:val="000000"/>
        </w:rPr>
        <w:t>Corredor Metropolitano; Divulgação VLT.</w:t>
      </w:r>
    </w:p>
    <w:p w:rsidR="003E6588" w:rsidRDefault="003E6588" w:rsidP="003C4CFC">
      <w:pPr>
        <w:ind w:firstLine="1134"/>
        <w:jc w:val="both"/>
        <w:rPr>
          <w:b/>
        </w:rPr>
      </w:pPr>
    </w:p>
    <w:p w:rsidR="003E6588" w:rsidRDefault="003E6588">
      <w:pPr>
        <w:ind w:firstLine="1134"/>
        <w:jc w:val="both"/>
        <w:rPr>
          <w:rFonts w:eastAsia="MS Mincho"/>
          <w:color w:val="000000"/>
        </w:rPr>
      </w:pPr>
      <w:r>
        <w:rPr>
          <w:b/>
        </w:rPr>
        <w:lastRenderedPageBreak/>
        <w:t xml:space="preserve">Biblioteca Virtual - </w:t>
      </w:r>
      <w:r>
        <w:t xml:space="preserve">A Biblioteca Virtual recebeu </w:t>
      </w:r>
      <w:r w:rsidR="00624737">
        <w:t xml:space="preserve">por meio </w:t>
      </w:r>
      <w:r>
        <w:t xml:space="preserve">do </w:t>
      </w:r>
      <w:r>
        <w:rPr>
          <w:rFonts w:eastAsia="MS Mincho"/>
          <w:color w:val="000000"/>
        </w:rPr>
        <w:t>FALE CONOSCO</w:t>
      </w:r>
      <w:r w:rsidR="00624737">
        <w:rPr>
          <w:rFonts w:eastAsia="MS Mincho"/>
          <w:color w:val="000000"/>
        </w:rPr>
        <w:t>,</w:t>
      </w:r>
      <w:r>
        <w:rPr>
          <w:rFonts w:eastAsia="MS Mincho"/>
          <w:color w:val="000000"/>
        </w:rPr>
        <w:t xml:space="preserve"> 130.000 </w:t>
      </w:r>
      <w:r>
        <w:rPr>
          <w:rFonts w:eastAsia="MS Mincho"/>
          <w:i/>
          <w:color w:val="000000"/>
        </w:rPr>
        <w:t>e-mails</w:t>
      </w:r>
      <w:r>
        <w:rPr>
          <w:rFonts w:eastAsia="MS Mincho"/>
          <w:color w:val="000000"/>
        </w:rPr>
        <w:t xml:space="preserve"> e 611.000 acessos à paginas do site. A BV deu continuidade ao movimento das redes sociais e continua divulgando informações de interesse dos cidadãos em todos os setores governamentais.</w:t>
      </w:r>
    </w:p>
    <w:p w:rsidR="00624737" w:rsidRDefault="00624737">
      <w:pPr>
        <w:ind w:firstLine="1134"/>
        <w:jc w:val="both"/>
        <w:rPr>
          <w:b/>
        </w:rPr>
      </w:pPr>
    </w:p>
    <w:p w:rsidR="003E6588" w:rsidRDefault="003E6588">
      <w:pPr>
        <w:ind w:firstLine="1134"/>
        <w:jc w:val="both"/>
      </w:pPr>
      <w:r>
        <w:rPr>
          <w:b/>
        </w:rPr>
        <w:t xml:space="preserve">Subsecretaria de Relacionamento com Municípios - </w:t>
      </w:r>
      <w:r>
        <w:t>Coordena as ações políticas do Governo junto aos municípios, interagindo essas ações com as Secretarias de Estado, buscando unificar as políticas públicas implementadas. As atividades são:</w:t>
      </w:r>
    </w:p>
    <w:p w:rsidR="003E6588" w:rsidRDefault="003E6588">
      <w:pPr>
        <w:ind w:firstLine="1134"/>
        <w:jc w:val="both"/>
      </w:pPr>
    </w:p>
    <w:p w:rsidR="003E6588" w:rsidRDefault="003E6588">
      <w:pPr>
        <w:ind w:firstLine="1134"/>
        <w:jc w:val="both"/>
      </w:pPr>
      <w:r>
        <w:t>Atendimento a Prefeitos, Vereadores e Deputados</w:t>
      </w:r>
    </w:p>
    <w:p w:rsidR="003E6588" w:rsidRDefault="003E6588">
      <w:pPr>
        <w:ind w:left="900" w:firstLine="1134"/>
        <w:jc w:val="both"/>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tblPr>
      <w:tblGrid>
        <w:gridCol w:w="2392"/>
        <w:gridCol w:w="2268"/>
      </w:tblGrid>
      <w:tr w:rsidR="003E6588" w:rsidTr="00D5505F">
        <w:trPr>
          <w:trHeight w:val="88"/>
          <w:jc w:val="center"/>
        </w:trPr>
        <w:tc>
          <w:tcPr>
            <w:tcW w:w="2392" w:type="dxa"/>
            <w:shd w:val="clear" w:color="auto" w:fill="auto"/>
          </w:tcPr>
          <w:p w:rsidR="003E6588" w:rsidRDefault="003E6588">
            <w:pPr>
              <w:autoSpaceDE w:val="0"/>
              <w:autoSpaceDN w:val="0"/>
              <w:adjustRightInd w:val="0"/>
              <w:jc w:val="both"/>
              <w:rPr>
                <w:sz w:val="20"/>
                <w:szCs w:val="20"/>
              </w:rPr>
            </w:pPr>
            <w:r>
              <w:rPr>
                <w:sz w:val="20"/>
                <w:szCs w:val="20"/>
              </w:rPr>
              <w:t>Prefeitos</w:t>
            </w:r>
          </w:p>
        </w:tc>
        <w:tc>
          <w:tcPr>
            <w:tcW w:w="2268" w:type="dxa"/>
            <w:shd w:val="clear" w:color="auto" w:fill="auto"/>
          </w:tcPr>
          <w:p w:rsidR="003E6588" w:rsidRDefault="003E6588">
            <w:pPr>
              <w:autoSpaceDE w:val="0"/>
              <w:autoSpaceDN w:val="0"/>
              <w:adjustRightInd w:val="0"/>
              <w:rPr>
                <w:sz w:val="20"/>
                <w:szCs w:val="20"/>
              </w:rPr>
            </w:pPr>
            <w:r>
              <w:rPr>
                <w:sz w:val="20"/>
                <w:szCs w:val="20"/>
              </w:rPr>
              <w:t>965 (406 municípios)</w:t>
            </w:r>
          </w:p>
        </w:tc>
      </w:tr>
      <w:tr w:rsidR="003E6588" w:rsidTr="00D5505F">
        <w:trPr>
          <w:jc w:val="center"/>
        </w:trPr>
        <w:tc>
          <w:tcPr>
            <w:tcW w:w="2392" w:type="dxa"/>
            <w:shd w:val="clear" w:color="auto" w:fill="auto"/>
          </w:tcPr>
          <w:p w:rsidR="003E6588" w:rsidRDefault="003E6588">
            <w:pPr>
              <w:autoSpaceDE w:val="0"/>
              <w:autoSpaceDN w:val="0"/>
              <w:adjustRightInd w:val="0"/>
              <w:jc w:val="both"/>
              <w:rPr>
                <w:sz w:val="20"/>
                <w:szCs w:val="20"/>
              </w:rPr>
            </w:pPr>
            <w:r>
              <w:rPr>
                <w:sz w:val="20"/>
                <w:szCs w:val="20"/>
              </w:rPr>
              <w:t>Vereadores</w:t>
            </w:r>
          </w:p>
        </w:tc>
        <w:tc>
          <w:tcPr>
            <w:tcW w:w="2268" w:type="dxa"/>
            <w:shd w:val="clear" w:color="auto" w:fill="auto"/>
          </w:tcPr>
          <w:p w:rsidR="003E6588" w:rsidRDefault="003E6588">
            <w:pPr>
              <w:autoSpaceDE w:val="0"/>
              <w:autoSpaceDN w:val="0"/>
              <w:adjustRightInd w:val="0"/>
              <w:rPr>
                <w:sz w:val="20"/>
                <w:szCs w:val="20"/>
              </w:rPr>
            </w:pPr>
            <w:r>
              <w:rPr>
                <w:sz w:val="20"/>
                <w:szCs w:val="20"/>
              </w:rPr>
              <w:t>128</w:t>
            </w:r>
          </w:p>
        </w:tc>
      </w:tr>
      <w:tr w:rsidR="003E6588" w:rsidTr="00D5505F">
        <w:trPr>
          <w:jc w:val="center"/>
        </w:trPr>
        <w:tc>
          <w:tcPr>
            <w:tcW w:w="2392" w:type="dxa"/>
            <w:shd w:val="clear" w:color="auto" w:fill="auto"/>
          </w:tcPr>
          <w:p w:rsidR="003E6588" w:rsidRDefault="003E6588">
            <w:pPr>
              <w:autoSpaceDE w:val="0"/>
              <w:autoSpaceDN w:val="0"/>
              <w:adjustRightInd w:val="0"/>
              <w:jc w:val="both"/>
              <w:rPr>
                <w:sz w:val="20"/>
                <w:szCs w:val="20"/>
              </w:rPr>
            </w:pPr>
            <w:r>
              <w:rPr>
                <w:sz w:val="20"/>
                <w:szCs w:val="20"/>
              </w:rPr>
              <w:t>Deputados</w:t>
            </w:r>
          </w:p>
        </w:tc>
        <w:tc>
          <w:tcPr>
            <w:tcW w:w="2268" w:type="dxa"/>
            <w:shd w:val="clear" w:color="auto" w:fill="auto"/>
          </w:tcPr>
          <w:p w:rsidR="003E6588" w:rsidRDefault="003E6588">
            <w:pPr>
              <w:autoSpaceDE w:val="0"/>
              <w:autoSpaceDN w:val="0"/>
              <w:adjustRightInd w:val="0"/>
              <w:rPr>
                <w:sz w:val="20"/>
                <w:szCs w:val="20"/>
              </w:rPr>
            </w:pPr>
            <w:r>
              <w:rPr>
                <w:sz w:val="20"/>
                <w:szCs w:val="20"/>
              </w:rPr>
              <w:t>100</w:t>
            </w:r>
          </w:p>
        </w:tc>
      </w:tr>
      <w:tr w:rsidR="003E6588" w:rsidTr="00D5505F">
        <w:trPr>
          <w:jc w:val="center"/>
        </w:trPr>
        <w:tc>
          <w:tcPr>
            <w:tcW w:w="2392" w:type="dxa"/>
            <w:shd w:val="clear" w:color="auto" w:fill="auto"/>
          </w:tcPr>
          <w:p w:rsidR="003E6588" w:rsidRDefault="003E6588">
            <w:pPr>
              <w:autoSpaceDE w:val="0"/>
              <w:autoSpaceDN w:val="0"/>
              <w:adjustRightInd w:val="0"/>
              <w:jc w:val="both"/>
              <w:rPr>
                <w:sz w:val="20"/>
                <w:szCs w:val="20"/>
              </w:rPr>
            </w:pPr>
            <w:r>
              <w:rPr>
                <w:sz w:val="20"/>
                <w:szCs w:val="20"/>
              </w:rPr>
              <w:t>Total de audiências</w:t>
            </w:r>
          </w:p>
        </w:tc>
        <w:tc>
          <w:tcPr>
            <w:tcW w:w="2268" w:type="dxa"/>
            <w:shd w:val="clear" w:color="auto" w:fill="auto"/>
          </w:tcPr>
          <w:p w:rsidR="003E6588" w:rsidRDefault="003E6588">
            <w:pPr>
              <w:autoSpaceDE w:val="0"/>
              <w:autoSpaceDN w:val="0"/>
              <w:adjustRightInd w:val="0"/>
              <w:rPr>
                <w:sz w:val="20"/>
                <w:szCs w:val="20"/>
              </w:rPr>
            </w:pPr>
            <w:r>
              <w:rPr>
                <w:sz w:val="20"/>
                <w:szCs w:val="20"/>
              </w:rPr>
              <w:t>1.193</w:t>
            </w:r>
          </w:p>
        </w:tc>
      </w:tr>
    </w:tbl>
    <w:p w:rsidR="003E6588" w:rsidRDefault="003E6588">
      <w:pPr>
        <w:ind w:left="900"/>
        <w:jc w:val="both"/>
      </w:pPr>
    </w:p>
    <w:p w:rsidR="003E6588" w:rsidRDefault="003E6588">
      <w:pPr>
        <w:ind w:firstLine="1134"/>
        <w:jc w:val="both"/>
      </w:pPr>
      <w:r>
        <w:rPr>
          <w:b/>
        </w:rPr>
        <w:t>Administração do Portal dos Municípios</w:t>
      </w:r>
      <w:r>
        <w:t xml:space="preserve"> - Esse aplicativo tem registrado dados dos executivos e legislativos municipais.</w:t>
      </w:r>
    </w:p>
    <w:p w:rsidR="003E6588" w:rsidRDefault="003E6588">
      <w:pPr>
        <w:ind w:left="900" w:firstLine="1134"/>
        <w:jc w:val="both"/>
      </w:pPr>
    </w:p>
    <w:p w:rsidR="003E6588" w:rsidRDefault="003E6588">
      <w:pPr>
        <w:ind w:firstLine="1134"/>
        <w:jc w:val="both"/>
      </w:pPr>
      <w:r>
        <w:t xml:space="preserve">Tratamento de demandas recebidas por Prefeituras, Câmaras Municipais, Deputados, Cidadãos e Terceiro Setor, </w:t>
      </w:r>
      <w:r w:rsidR="00624737">
        <w:t xml:space="preserve">por meio </w:t>
      </w:r>
      <w:r>
        <w:t>do aplicativo SDG - Demandas do Governador:</w:t>
      </w:r>
    </w:p>
    <w:p w:rsidR="003E6588" w:rsidRDefault="003E6588">
      <w:pPr>
        <w:jc w:val="both"/>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A0"/>
      </w:tblPr>
      <w:tblGrid>
        <w:gridCol w:w="5015"/>
        <w:gridCol w:w="1134"/>
      </w:tblGrid>
      <w:tr w:rsidR="003E6588" w:rsidTr="00D5505F">
        <w:trPr>
          <w:trHeight w:val="88"/>
          <w:jc w:val="center"/>
        </w:trPr>
        <w:tc>
          <w:tcPr>
            <w:tcW w:w="5015" w:type="dxa"/>
            <w:shd w:val="clear" w:color="auto" w:fill="auto"/>
          </w:tcPr>
          <w:p w:rsidR="003E6588" w:rsidRDefault="003E6588">
            <w:pPr>
              <w:autoSpaceDE w:val="0"/>
              <w:autoSpaceDN w:val="0"/>
              <w:adjustRightInd w:val="0"/>
              <w:jc w:val="both"/>
              <w:rPr>
                <w:sz w:val="20"/>
                <w:szCs w:val="20"/>
              </w:rPr>
            </w:pPr>
            <w:r>
              <w:rPr>
                <w:sz w:val="20"/>
                <w:szCs w:val="20"/>
              </w:rPr>
              <w:t>Demandas recebidas</w:t>
            </w:r>
          </w:p>
        </w:tc>
        <w:tc>
          <w:tcPr>
            <w:tcW w:w="1134" w:type="dxa"/>
            <w:shd w:val="clear" w:color="auto" w:fill="auto"/>
          </w:tcPr>
          <w:p w:rsidR="003E6588" w:rsidRDefault="003E6588">
            <w:pPr>
              <w:autoSpaceDE w:val="0"/>
              <w:autoSpaceDN w:val="0"/>
              <w:adjustRightInd w:val="0"/>
              <w:rPr>
                <w:sz w:val="20"/>
                <w:szCs w:val="20"/>
              </w:rPr>
            </w:pPr>
            <w:r>
              <w:rPr>
                <w:sz w:val="20"/>
                <w:szCs w:val="20"/>
              </w:rPr>
              <w:t>8.589</w:t>
            </w:r>
          </w:p>
        </w:tc>
      </w:tr>
      <w:tr w:rsidR="003E6588" w:rsidTr="00D5505F">
        <w:trPr>
          <w:jc w:val="center"/>
        </w:trPr>
        <w:tc>
          <w:tcPr>
            <w:tcW w:w="5015" w:type="dxa"/>
            <w:shd w:val="clear" w:color="auto" w:fill="auto"/>
          </w:tcPr>
          <w:p w:rsidR="003E6588" w:rsidRDefault="003E6588">
            <w:pPr>
              <w:autoSpaceDE w:val="0"/>
              <w:autoSpaceDN w:val="0"/>
              <w:adjustRightInd w:val="0"/>
              <w:jc w:val="both"/>
              <w:rPr>
                <w:sz w:val="20"/>
                <w:szCs w:val="20"/>
              </w:rPr>
            </w:pPr>
            <w:r>
              <w:rPr>
                <w:sz w:val="20"/>
                <w:szCs w:val="20"/>
              </w:rPr>
              <w:t>Demandas concluídas</w:t>
            </w:r>
          </w:p>
        </w:tc>
        <w:tc>
          <w:tcPr>
            <w:tcW w:w="1134" w:type="dxa"/>
            <w:shd w:val="clear" w:color="auto" w:fill="auto"/>
          </w:tcPr>
          <w:p w:rsidR="003E6588" w:rsidRDefault="003E6588">
            <w:pPr>
              <w:autoSpaceDE w:val="0"/>
              <w:autoSpaceDN w:val="0"/>
              <w:adjustRightInd w:val="0"/>
              <w:rPr>
                <w:sz w:val="20"/>
                <w:szCs w:val="20"/>
              </w:rPr>
            </w:pPr>
            <w:r>
              <w:rPr>
                <w:sz w:val="20"/>
                <w:szCs w:val="20"/>
              </w:rPr>
              <w:t>6.541</w:t>
            </w:r>
          </w:p>
        </w:tc>
      </w:tr>
      <w:tr w:rsidR="003E6588" w:rsidTr="00D5505F">
        <w:trPr>
          <w:jc w:val="center"/>
        </w:trPr>
        <w:tc>
          <w:tcPr>
            <w:tcW w:w="5015" w:type="dxa"/>
            <w:shd w:val="clear" w:color="auto" w:fill="auto"/>
          </w:tcPr>
          <w:p w:rsidR="003E6588" w:rsidRDefault="003E6588">
            <w:pPr>
              <w:autoSpaceDE w:val="0"/>
              <w:autoSpaceDN w:val="0"/>
              <w:adjustRightInd w:val="0"/>
              <w:jc w:val="both"/>
              <w:rPr>
                <w:sz w:val="20"/>
                <w:szCs w:val="20"/>
              </w:rPr>
            </w:pPr>
            <w:r>
              <w:rPr>
                <w:sz w:val="20"/>
                <w:szCs w:val="20"/>
              </w:rPr>
              <w:t>Demandas aguardando parecer das Secretarias de Estado</w:t>
            </w:r>
          </w:p>
        </w:tc>
        <w:tc>
          <w:tcPr>
            <w:tcW w:w="1134" w:type="dxa"/>
            <w:shd w:val="clear" w:color="auto" w:fill="auto"/>
          </w:tcPr>
          <w:p w:rsidR="003E6588" w:rsidRDefault="003E6588">
            <w:pPr>
              <w:autoSpaceDE w:val="0"/>
              <w:autoSpaceDN w:val="0"/>
              <w:adjustRightInd w:val="0"/>
              <w:rPr>
                <w:sz w:val="20"/>
                <w:szCs w:val="20"/>
              </w:rPr>
            </w:pPr>
            <w:r>
              <w:rPr>
                <w:sz w:val="20"/>
                <w:szCs w:val="20"/>
              </w:rPr>
              <w:t>1.671</w:t>
            </w:r>
          </w:p>
        </w:tc>
      </w:tr>
      <w:tr w:rsidR="003E6588" w:rsidTr="00D5505F">
        <w:trPr>
          <w:jc w:val="center"/>
        </w:trPr>
        <w:tc>
          <w:tcPr>
            <w:tcW w:w="5015" w:type="dxa"/>
            <w:shd w:val="clear" w:color="auto" w:fill="auto"/>
          </w:tcPr>
          <w:p w:rsidR="003E6588" w:rsidRDefault="003E6588">
            <w:pPr>
              <w:autoSpaceDE w:val="0"/>
              <w:autoSpaceDN w:val="0"/>
              <w:adjustRightInd w:val="0"/>
              <w:jc w:val="both"/>
              <w:rPr>
                <w:sz w:val="20"/>
                <w:szCs w:val="20"/>
              </w:rPr>
            </w:pPr>
            <w:r>
              <w:rPr>
                <w:sz w:val="20"/>
                <w:szCs w:val="20"/>
              </w:rPr>
              <w:t>Demandas em redação no setor</w:t>
            </w:r>
          </w:p>
        </w:tc>
        <w:tc>
          <w:tcPr>
            <w:tcW w:w="1134" w:type="dxa"/>
            <w:shd w:val="clear" w:color="auto" w:fill="auto"/>
          </w:tcPr>
          <w:p w:rsidR="003E6588" w:rsidRDefault="003E6588">
            <w:pPr>
              <w:autoSpaceDE w:val="0"/>
              <w:autoSpaceDN w:val="0"/>
              <w:adjustRightInd w:val="0"/>
              <w:rPr>
                <w:sz w:val="20"/>
                <w:szCs w:val="20"/>
              </w:rPr>
            </w:pPr>
            <w:r>
              <w:rPr>
                <w:sz w:val="20"/>
                <w:szCs w:val="20"/>
              </w:rPr>
              <w:t>377</w:t>
            </w:r>
          </w:p>
        </w:tc>
      </w:tr>
    </w:tbl>
    <w:p w:rsidR="003E6588" w:rsidRDefault="003E6588">
      <w:pPr>
        <w:ind w:left="900"/>
        <w:jc w:val="both"/>
      </w:pPr>
    </w:p>
    <w:p w:rsidR="003E6588" w:rsidRDefault="003E6588">
      <w:pPr>
        <w:ind w:firstLine="1134"/>
        <w:jc w:val="both"/>
      </w:pPr>
      <w:r>
        <w:t>Atendimento pessoal e telefônico realizado pelo Grupo de Relacionamento com Cidadão e Terceiro Setor</w:t>
      </w:r>
    </w:p>
    <w:p w:rsidR="003E6588" w:rsidRDefault="0033685F">
      <w:pPr>
        <w:ind w:firstLine="1134"/>
        <w:jc w:val="both"/>
      </w:pPr>
      <w:r>
        <w:rPr>
          <w:noProof/>
        </w:rPr>
        <w:pict>
          <v:shape id="_x0000_s1058" type="#_x0000_t75" style="position:absolute;left:0;text-align:left;margin-left:24.5pt;margin-top:18.7pt;width:458.9pt;height:160.45pt;z-index:251657728">
            <v:imagedata r:id="rId10" o:title=""/>
            <w10:wrap type="square" side="right"/>
          </v:shape>
          <o:OLEObject Type="Embed" ProgID="Excel.Sheet.8" ShapeID="_x0000_s1058" DrawAspect="Content" ObjectID="_1488630688" r:id="rId11"/>
        </w:pict>
      </w:r>
    </w:p>
    <w:p w:rsidR="003E6588" w:rsidRDefault="003E6588">
      <w:pPr>
        <w:ind w:firstLine="1134"/>
      </w:pPr>
    </w:p>
    <w:p w:rsidR="003E6588" w:rsidRDefault="003E6588">
      <w:pPr>
        <w:ind w:firstLine="1134"/>
        <w:jc w:val="both"/>
      </w:pPr>
      <w:r>
        <w:t>Administração do aplicativo Sistema de Autorização Governamental - SAG:</w:t>
      </w:r>
    </w:p>
    <w:bookmarkStart w:id="0" w:name="_MON_1451207768"/>
    <w:bookmarkEnd w:id="0"/>
    <w:p w:rsidR="003E6588" w:rsidRDefault="007C47BA">
      <w:r>
        <w:object w:dxaOrig="16871" w:dyaOrig="1398">
          <v:shape id="_x0000_i1027" type="#_x0000_t75" style="width:455.25pt;height:88.5pt" o:ole="">
            <v:imagedata r:id="rId12" o:title=""/>
          </v:shape>
          <o:OLEObject Type="Embed" ProgID="Excel.Sheet.8" ShapeID="_x0000_i1027" DrawAspect="Content" ObjectID="_1488630687" r:id="rId13"/>
        </w:object>
      </w:r>
    </w:p>
    <w:p w:rsidR="007C47BA" w:rsidRDefault="007C47BA" w:rsidP="00624737">
      <w:pPr>
        <w:ind w:right="-41" w:firstLine="1134"/>
        <w:jc w:val="both"/>
        <w:rPr>
          <w:b/>
        </w:rPr>
      </w:pPr>
    </w:p>
    <w:p w:rsidR="003E6588" w:rsidRDefault="003E6588" w:rsidP="00624737">
      <w:pPr>
        <w:ind w:right="-41" w:firstLine="1134"/>
        <w:jc w:val="both"/>
      </w:pPr>
      <w:r>
        <w:rPr>
          <w:b/>
        </w:rPr>
        <w:t xml:space="preserve">Subsecretaria de Desenvolvimento Metropolitano </w:t>
      </w:r>
      <w:r w:rsidR="00624737">
        <w:rPr>
          <w:b/>
        </w:rPr>
        <w:t>-</w:t>
      </w:r>
      <w:r>
        <w:rPr>
          <w:b/>
        </w:rPr>
        <w:t xml:space="preserve"> </w:t>
      </w:r>
      <w:r w:rsidR="00624737">
        <w:rPr>
          <w:b/>
        </w:rPr>
        <w:t xml:space="preserve">SSDM - </w:t>
      </w:r>
      <w:r w:rsidR="00624737" w:rsidRPr="00624737">
        <w:t>A</w:t>
      </w:r>
      <w:r>
        <w:rPr>
          <w:iCs/>
        </w:rPr>
        <w:t xml:space="preserve"> Subsecretaria de </w:t>
      </w:r>
      <w:r>
        <w:rPr>
          <w:rFonts w:eastAsia="Arial Unicode MS"/>
        </w:rPr>
        <w:t xml:space="preserve">Desenvolvimento Metropolitano </w:t>
      </w:r>
      <w:r>
        <w:t>integra e coordena o Sistema Estadual de Desenvolvimento Metropolitano, instituído para articular o planejamento metropolitano e a execução de funções públicas de interesse comum por órgãos e entidades estaduais atuantes no espaço da Macrometrópole.</w:t>
      </w:r>
    </w:p>
    <w:p w:rsidR="003E6588" w:rsidRDefault="003E6588">
      <w:pPr>
        <w:ind w:firstLine="1134"/>
        <w:outlineLvl w:val="0"/>
        <w:rPr>
          <w:rFonts w:eastAsia="Calibri"/>
          <w:b/>
          <w:u w:val="single"/>
          <w:lang w:eastAsia="en-US"/>
        </w:rPr>
      </w:pPr>
    </w:p>
    <w:p w:rsidR="003E6588" w:rsidRDefault="003E6588">
      <w:pPr>
        <w:ind w:firstLine="1134"/>
        <w:jc w:val="both"/>
        <w:outlineLvl w:val="0"/>
        <w:rPr>
          <w:rFonts w:eastAsia="Calibri"/>
          <w:lang w:eastAsia="en-US"/>
        </w:rPr>
      </w:pPr>
      <w:r>
        <w:rPr>
          <w:rFonts w:eastAsia="Calibri"/>
          <w:b/>
          <w:lang w:eastAsia="en-US"/>
        </w:rPr>
        <w:t xml:space="preserve">Gabinete e Núcleo de Administrativo - </w:t>
      </w:r>
      <w:r w:rsidR="00FA5079">
        <w:rPr>
          <w:rFonts w:eastAsia="Calibri"/>
          <w:lang w:eastAsia="en-US"/>
        </w:rPr>
        <w:t>Ao</w:t>
      </w:r>
      <w:r>
        <w:rPr>
          <w:rFonts w:eastAsia="Calibri"/>
          <w:lang w:eastAsia="en-US"/>
        </w:rPr>
        <w:t xml:space="preserve"> Núcleo de Apoio Administrativo c</w:t>
      </w:r>
      <w:r w:rsidR="00FA5079">
        <w:rPr>
          <w:rFonts w:eastAsia="Calibri"/>
          <w:lang w:eastAsia="en-US"/>
        </w:rPr>
        <w:t>a</w:t>
      </w:r>
      <w:r>
        <w:rPr>
          <w:rFonts w:eastAsia="Calibri"/>
          <w:lang w:eastAsia="en-US"/>
        </w:rPr>
        <w:t>be o acompanhamento dos pagamentos dos contratos em andamento, bem como ao apoio técnico administrativo e operacional na realização dos eventos, incluindo suporte ao setor de comunicação desta Subsecretaria e dos Conselhos de Desenvolvimento das Regiões M</w:t>
      </w:r>
      <w:r w:rsidR="003C4CFC">
        <w:rPr>
          <w:rFonts w:eastAsia="Calibri"/>
          <w:lang w:eastAsia="en-US"/>
        </w:rPr>
        <w:t>etropolitanas a ela vinculados.</w:t>
      </w:r>
    </w:p>
    <w:p w:rsidR="003E6588" w:rsidRDefault="003E6588">
      <w:pPr>
        <w:ind w:firstLine="1134"/>
        <w:jc w:val="both"/>
        <w:rPr>
          <w:rFonts w:eastAsia="Calibri"/>
          <w:b/>
          <w:lang w:eastAsia="en-US"/>
        </w:rPr>
      </w:pPr>
    </w:p>
    <w:p w:rsidR="003E6588" w:rsidRDefault="003E6588" w:rsidP="00054ADD">
      <w:pPr>
        <w:ind w:firstLine="1134"/>
        <w:jc w:val="both"/>
        <w:rPr>
          <w:rFonts w:eastAsia="Calibri"/>
          <w:b/>
          <w:lang w:eastAsia="en-US"/>
        </w:rPr>
      </w:pPr>
      <w:r>
        <w:rPr>
          <w:rFonts w:eastAsia="Calibri"/>
          <w:b/>
          <w:lang w:eastAsia="en-US"/>
        </w:rPr>
        <w:t>Contratos em andamento</w:t>
      </w:r>
      <w:r w:rsidR="003C4CFC">
        <w:rPr>
          <w:rFonts w:eastAsia="Calibri"/>
          <w:b/>
          <w:lang w:eastAsia="en-US"/>
        </w:rPr>
        <w:t xml:space="preserve"> -</w:t>
      </w:r>
      <w:r w:rsidR="00FA5079">
        <w:rPr>
          <w:rFonts w:eastAsia="Calibri"/>
          <w:b/>
          <w:lang w:eastAsia="en-US"/>
        </w:rPr>
        <w:t xml:space="preserve"> </w:t>
      </w:r>
      <w:r>
        <w:rPr>
          <w:rFonts w:eastAsia="Calibri"/>
          <w:color w:val="000000"/>
        </w:rPr>
        <w:t>Contratação de serviços de reprografia;</w:t>
      </w:r>
      <w:r w:rsidR="00FA5079">
        <w:rPr>
          <w:rFonts w:eastAsia="Calibri"/>
          <w:color w:val="000000"/>
        </w:rPr>
        <w:t xml:space="preserve"> </w:t>
      </w:r>
      <w:r>
        <w:rPr>
          <w:rFonts w:eastAsia="Calibri"/>
          <w:color w:val="000000"/>
        </w:rPr>
        <w:t>Contratação de serviços de correios e telégrafos; Fornecimento de suprimentos de informática e de escritório; Prestação de serviços de limpeza, asseio e conservação predial; Contratação de veículos com combustível e motorista;</w:t>
      </w:r>
      <w:r w:rsidR="00FA5079">
        <w:rPr>
          <w:rFonts w:eastAsia="Calibri"/>
          <w:color w:val="000000"/>
        </w:rPr>
        <w:t xml:space="preserve"> </w:t>
      </w:r>
      <w:r>
        <w:rPr>
          <w:rFonts w:eastAsia="Calibri"/>
          <w:color w:val="000000"/>
        </w:rPr>
        <w:t xml:space="preserve">Copeiragem; Telefonia fixa - Embratel;- Aquisição de </w:t>
      </w:r>
      <w:r>
        <w:rPr>
          <w:rFonts w:eastAsia="Calibri"/>
          <w:i/>
          <w:color w:val="000000"/>
        </w:rPr>
        <w:t>software</w:t>
      </w:r>
      <w:r>
        <w:rPr>
          <w:rFonts w:eastAsia="Calibri"/>
          <w:color w:val="000000"/>
        </w:rPr>
        <w:t xml:space="preserve">; Telefonia móvel;- </w:t>
      </w:r>
      <w:r>
        <w:rPr>
          <w:rFonts w:eastAsia="Calibri"/>
          <w:i/>
          <w:color w:val="000000"/>
        </w:rPr>
        <w:t>Clipping</w:t>
      </w:r>
      <w:r>
        <w:rPr>
          <w:rFonts w:eastAsia="Calibri"/>
          <w:color w:val="000000"/>
        </w:rPr>
        <w:t xml:space="preserve"> Digital (</w:t>
      </w:r>
      <w:r>
        <w:rPr>
          <w:rFonts w:eastAsia="Calibri"/>
          <w:i/>
          <w:color w:val="000000"/>
        </w:rPr>
        <w:t>Tablet</w:t>
      </w:r>
      <w:r>
        <w:rPr>
          <w:rFonts w:eastAsia="Calibri"/>
          <w:color w:val="000000"/>
        </w:rPr>
        <w:t xml:space="preserve">);- Contratação de licenças de </w:t>
      </w:r>
      <w:r>
        <w:rPr>
          <w:rFonts w:eastAsia="Calibri"/>
          <w:i/>
          <w:color w:val="000000"/>
        </w:rPr>
        <w:t>softwares</w:t>
      </w:r>
      <w:r>
        <w:rPr>
          <w:rFonts w:eastAsia="Calibri"/>
          <w:color w:val="000000"/>
        </w:rPr>
        <w:t xml:space="preserve"> e de dados;- Contratação de locação de equipamentos de audiovisual; Prestação de serviços de fornecimento de refeições aos funcionários/servidores.</w:t>
      </w:r>
    </w:p>
    <w:p w:rsidR="003E6588" w:rsidRDefault="003E6588" w:rsidP="00FA5079">
      <w:pPr>
        <w:ind w:firstLine="1134"/>
        <w:jc w:val="both"/>
        <w:rPr>
          <w:rFonts w:eastAsia="Calibri"/>
          <w:b/>
          <w:lang w:eastAsia="en-US"/>
        </w:rPr>
      </w:pPr>
    </w:p>
    <w:p w:rsidR="003E6588" w:rsidRDefault="003E6588">
      <w:pPr>
        <w:ind w:firstLine="1134"/>
        <w:jc w:val="both"/>
        <w:rPr>
          <w:rFonts w:eastAsia="Calibri"/>
          <w:lang w:eastAsia="en-US"/>
        </w:rPr>
      </w:pPr>
      <w:r>
        <w:rPr>
          <w:rFonts w:eastAsia="Calibri"/>
          <w:b/>
          <w:lang w:eastAsia="en-US"/>
        </w:rPr>
        <w:t xml:space="preserve">Contratos - aditamento - </w:t>
      </w:r>
      <w:r>
        <w:rPr>
          <w:rFonts w:eastAsia="Calibri"/>
          <w:lang w:eastAsia="en-US"/>
        </w:rPr>
        <w:t>Foi realizado aditamento do contrato 17/201 - G.N. Gerenciamento Nacional de Transportes e Serviços Gerais Ltda, representando redução do objeto contratual equivalente a 48,111% do valor inicial atualizado do contrato.</w:t>
      </w:r>
    </w:p>
    <w:p w:rsidR="003E6588" w:rsidRDefault="003E6588">
      <w:pPr>
        <w:ind w:firstLine="1134"/>
        <w:jc w:val="both"/>
        <w:rPr>
          <w:rFonts w:eastAsia="Calibri"/>
          <w:lang w:eastAsia="en-US"/>
        </w:rPr>
      </w:pPr>
    </w:p>
    <w:p w:rsidR="003E6588" w:rsidRDefault="003E6588">
      <w:pPr>
        <w:ind w:firstLine="1134"/>
        <w:jc w:val="both"/>
        <w:outlineLvl w:val="0"/>
        <w:rPr>
          <w:rFonts w:eastAsia="Calibri"/>
          <w:lang w:eastAsia="en-US"/>
        </w:rPr>
      </w:pPr>
      <w:r>
        <w:rPr>
          <w:rFonts w:eastAsia="Calibri"/>
          <w:b/>
          <w:lang w:eastAsia="en-US"/>
        </w:rPr>
        <w:t xml:space="preserve">Economicidade e melhoria do gasto público - </w:t>
      </w:r>
      <w:r w:rsidR="00ED24A1">
        <w:rPr>
          <w:rFonts w:eastAsia="Calibri"/>
          <w:lang w:eastAsia="en-US"/>
        </w:rPr>
        <w:t xml:space="preserve">Reestruturação </w:t>
      </w:r>
      <w:r>
        <w:rPr>
          <w:rFonts w:eastAsia="Calibri"/>
          <w:lang w:eastAsia="en-US"/>
        </w:rPr>
        <w:t>administrativa foi realizada</w:t>
      </w:r>
      <w:r w:rsidR="00ED24A1">
        <w:rPr>
          <w:rFonts w:eastAsia="Calibri"/>
          <w:lang w:eastAsia="en-US"/>
        </w:rPr>
        <w:t>,</w:t>
      </w:r>
      <w:r>
        <w:rPr>
          <w:rFonts w:eastAsia="Calibri"/>
          <w:lang w:eastAsia="en-US"/>
        </w:rPr>
        <w:t xml:space="preserve"> objetivando economia e eficiência para obtenção dos resultados. </w:t>
      </w:r>
      <w:r w:rsidR="00ED24A1">
        <w:rPr>
          <w:rFonts w:eastAsia="Calibri"/>
          <w:lang w:eastAsia="en-US"/>
        </w:rPr>
        <w:t xml:space="preserve">A </w:t>
      </w:r>
      <w:r>
        <w:rPr>
          <w:rFonts w:eastAsia="Calibri"/>
          <w:lang w:eastAsia="en-US"/>
        </w:rPr>
        <w:t>Subsecretaria reorganizou sua equipe</w:t>
      </w:r>
      <w:r w:rsidR="00ED24A1">
        <w:rPr>
          <w:rFonts w:eastAsia="Calibri"/>
          <w:lang w:eastAsia="en-US"/>
        </w:rPr>
        <w:t>,</w:t>
      </w:r>
      <w:r>
        <w:rPr>
          <w:rFonts w:eastAsia="Calibri"/>
          <w:lang w:eastAsia="en-US"/>
        </w:rPr>
        <w:t xml:space="preserve"> que passou a se dividir em nova estrutura funcional</w:t>
      </w:r>
      <w:r w:rsidR="00ED24A1">
        <w:rPr>
          <w:rFonts w:eastAsia="Calibri"/>
          <w:lang w:eastAsia="en-US"/>
        </w:rPr>
        <w:t>,</w:t>
      </w:r>
      <w:r>
        <w:rPr>
          <w:rFonts w:eastAsia="Calibri"/>
          <w:lang w:eastAsia="en-US"/>
        </w:rPr>
        <w:t xml:space="preserve"> aproximando os membros das equipes</w:t>
      </w:r>
      <w:r w:rsidR="00ED24A1">
        <w:rPr>
          <w:rFonts w:eastAsia="Calibri"/>
          <w:lang w:eastAsia="en-US"/>
        </w:rPr>
        <w:t>,</w:t>
      </w:r>
      <w:r>
        <w:rPr>
          <w:rFonts w:eastAsia="Calibri"/>
          <w:lang w:eastAsia="en-US"/>
        </w:rPr>
        <w:t xml:space="preserve"> otimizando equipamentos e espaços de trabalho.</w:t>
      </w:r>
    </w:p>
    <w:p w:rsidR="003E6588" w:rsidRDefault="003E6588">
      <w:pPr>
        <w:ind w:firstLine="1134"/>
        <w:jc w:val="both"/>
        <w:outlineLvl w:val="0"/>
        <w:rPr>
          <w:rFonts w:eastAsia="Calibri"/>
          <w:lang w:eastAsia="en-US"/>
        </w:rPr>
      </w:pPr>
    </w:p>
    <w:p w:rsidR="003E6588" w:rsidRDefault="003E6588">
      <w:pPr>
        <w:ind w:firstLine="1134"/>
        <w:jc w:val="both"/>
        <w:outlineLvl w:val="0"/>
        <w:rPr>
          <w:rFonts w:eastAsia="Calibri"/>
          <w:lang w:eastAsia="en-US"/>
        </w:rPr>
      </w:pPr>
      <w:r>
        <w:rPr>
          <w:rFonts w:eastAsia="Calibri"/>
          <w:lang w:eastAsia="en-US"/>
        </w:rPr>
        <w:t>A Subsecretaria vem cumprindo o determinado pelo Decreto nº</w:t>
      </w:r>
      <w:r>
        <w:rPr>
          <w:rFonts w:eastAsia="Calibri"/>
          <w:shd w:val="clear" w:color="auto" w:fill="FFFFFF"/>
          <w:lang w:eastAsia="en-US"/>
        </w:rPr>
        <w:t xml:space="preserve"> 57.829/2012, que instituiu o Programa de Melhoria do Gasto Público - Desperdício Zero</w:t>
      </w:r>
      <w:r w:rsidR="00ED24A1">
        <w:rPr>
          <w:rFonts w:eastAsia="Calibri"/>
          <w:shd w:val="clear" w:color="auto" w:fill="FFFFFF"/>
          <w:lang w:eastAsia="en-US"/>
        </w:rPr>
        <w:t>,</w:t>
      </w:r>
      <w:r>
        <w:rPr>
          <w:rFonts w:eastAsia="Calibri"/>
          <w:shd w:val="clear" w:color="auto" w:fill="FFFFFF"/>
          <w:lang w:eastAsia="en-US"/>
        </w:rPr>
        <w:t xml:space="preserve"> e </w:t>
      </w:r>
      <w:r>
        <w:rPr>
          <w:rFonts w:eastAsia="Calibri"/>
          <w:lang w:eastAsia="en-US"/>
        </w:rPr>
        <w:t>tem atuado efetivamente nessas ações, principalmente no uso racional dos r</w:t>
      </w:r>
      <w:r>
        <w:rPr>
          <w:rFonts w:eastAsia="Calibri"/>
          <w:shd w:val="clear" w:color="auto" w:fill="FFFFFF"/>
          <w:lang w:eastAsia="en-US"/>
        </w:rPr>
        <w:t xml:space="preserve">ecursos hídricos, instituído pelo </w:t>
      </w:r>
      <w:r>
        <w:rPr>
          <w:rFonts w:eastAsia="Calibri"/>
          <w:lang w:eastAsia="en-US"/>
        </w:rPr>
        <w:t xml:space="preserve">Decreto nº 60.154/2014. A SSDM é representada no Programa Guardiões da Economia, </w:t>
      </w:r>
      <w:r w:rsidR="00ED24A1">
        <w:rPr>
          <w:rFonts w:eastAsia="Calibri"/>
          <w:lang w:eastAsia="en-US"/>
        </w:rPr>
        <w:t>e que</w:t>
      </w:r>
      <w:r>
        <w:rPr>
          <w:rFonts w:eastAsia="Calibri"/>
          <w:lang w:eastAsia="en-US"/>
        </w:rPr>
        <w:t xml:space="preserve"> vem contribuindo positivamente na mudança cultural de seus colaboradores.</w:t>
      </w:r>
    </w:p>
    <w:p w:rsidR="003E6588" w:rsidRDefault="003E6588">
      <w:pPr>
        <w:ind w:firstLine="1134"/>
        <w:jc w:val="both"/>
        <w:outlineLvl w:val="0"/>
        <w:rPr>
          <w:rFonts w:eastAsia="Calibri"/>
          <w:shd w:val="clear" w:color="auto" w:fill="FFFFFF"/>
          <w:lang w:eastAsia="en-US"/>
        </w:rPr>
      </w:pPr>
    </w:p>
    <w:p w:rsidR="003E6588" w:rsidRDefault="00ED24A1">
      <w:pPr>
        <w:ind w:firstLine="1134"/>
        <w:jc w:val="both"/>
        <w:outlineLvl w:val="0"/>
        <w:rPr>
          <w:rFonts w:eastAsia="Calibri"/>
          <w:lang w:eastAsia="en-US"/>
        </w:rPr>
      </w:pPr>
      <w:r>
        <w:rPr>
          <w:rFonts w:eastAsia="Calibri"/>
          <w:lang w:eastAsia="en-US"/>
        </w:rPr>
        <w:t xml:space="preserve">Houve </w:t>
      </w:r>
      <w:r w:rsidR="003E6588">
        <w:rPr>
          <w:rFonts w:eastAsia="Calibri"/>
          <w:lang w:eastAsia="en-US"/>
        </w:rPr>
        <w:t xml:space="preserve">redução gradativa e considerável nos gastos </w:t>
      </w:r>
      <w:r>
        <w:rPr>
          <w:rFonts w:eastAsia="Calibri"/>
          <w:lang w:eastAsia="en-US"/>
        </w:rPr>
        <w:t xml:space="preserve">com reprografia, transportes e </w:t>
      </w:r>
      <w:r w:rsidR="003E6588">
        <w:rPr>
          <w:rFonts w:eastAsia="Calibri"/>
          <w:lang w:eastAsia="en-US"/>
        </w:rPr>
        <w:t xml:space="preserve">nos valores efetuados a título de adiantamento. Uma parte das salas, mobiliário e equipamentos de </w:t>
      </w:r>
      <w:r w:rsidR="003E6588">
        <w:rPr>
          <w:rFonts w:eastAsia="Calibri"/>
          <w:lang w:eastAsia="en-US"/>
        </w:rPr>
        <w:lastRenderedPageBreak/>
        <w:t>informática</w:t>
      </w:r>
      <w:r w:rsidR="00A54FD4">
        <w:rPr>
          <w:rFonts w:eastAsia="Calibri"/>
          <w:lang w:eastAsia="en-US"/>
        </w:rPr>
        <w:t>,</w:t>
      </w:r>
      <w:r w:rsidR="003E6588">
        <w:rPr>
          <w:rFonts w:eastAsia="Calibri"/>
          <w:lang w:eastAsia="en-US"/>
        </w:rPr>
        <w:t xml:space="preserve"> que estavam subutilizados</w:t>
      </w:r>
      <w:r w:rsidR="00A54FD4">
        <w:rPr>
          <w:rFonts w:eastAsia="Calibri"/>
          <w:lang w:eastAsia="en-US"/>
        </w:rPr>
        <w:t>,</w:t>
      </w:r>
      <w:r w:rsidR="003E6588">
        <w:rPr>
          <w:rFonts w:eastAsia="Calibri"/>
          <w:lang w:eastAsia="en-US"/>
        </w:rPr>
        <w:t xml:space="preserve"> foram redistribuídos ou entregues a outros setores do Governo</w:t>
      </w:r>
      <w:r w:rsidR="00A54FD4">
        <w:rPr>
          <w:rFonts w:eastAsia="Calibri"/>
          <w:lang w:eastAsia="en-US"/>
        </w:rPr>
        <w:t>,</w:t>
      </w:r>
      <w:r w:rsidR="003E6588">
        <w:rPr>
          <w:rFonts w:eastAsia="Calibri"/>
          <w:lang w:eastAsia="en-US"/>
        </w:rPr>
        <w:t xml:space="preserve"> gerando economia e melhor uso dos recursos.</w:t>
      </w:r>
    </w:p>
    <w:p w:rsidR="003E6588" w:rsidRDefault="003E6588">
      <w:pPr>
        <w:ind w:firstLine="1134"/>
        <w:jc w:val="both"/>
        <w:outlineLvl w:val="0"/>
        <w:rPr>
          <w:rFonts w:eastAsia="Calibri"/>
          <w:color w:val="000000"/>
        </w:rPr>
      </w:pPr>
    </w:p>
    <w:p w:rsidR="003E6588" w:rsidRDefault="003E6588">
      <w:pPr>
        <w:ind w:firstLine="1134"/>
        <w:jc w:val="both"/>
        <w:outlineLvl w:val="0"/>
        <w:rPr>
          <w:rFonts w:eastAsia="Calibri"/>
          <w:color w:val="000000"/>
        </w:rPr>
      </w:pPr>
      <w:r>
        <w:rPr>
          <w:rFonts w:eastAsia="Calibri"/>
          <w:color w:val="000000"/>
        </w:rPr>
        <w:t>Vistas e analisadas ações pertinentes a essa Unidade Gestora, constata-se que as metas estipuladas na Legislação orçamentária for</w:t>
      </w:r>
      <w:r w:rsidR="00A54FD4">
        <w:rPr>
          <w:rFonts w:eastAsia="Calibri"/>
          <w:color w:val="000000"/>
        </w:rPr>
        <w:t>a</w:t>
      </w:r>
      <w:r>
        <w:rPr>
          <w:rFonts w:eastAsia="Calibri"/>
          <w:color w:val="000000"/>
        </w:rPr>
        <w:t>m ati</w:t>
      </w:r>
      <w:r w:rsidR="00A54FD4">
        <w:rPr>
          <w:rFonts w:eastAsia="Calibri"/>
          <w:color w:val="000000"/>
        </w:rPr>
        <w:t>ngidas</w:t>
      </w:r>
      <w:r>
        <w:rPr>
          <w:rFonts w:eastAsia="Calibri"/>
          <w:color w:val="000000"/>
        </w:rPr>
        <w:t>.</w:t>
      </w:r>
    </w:p>
    <w:p w:rsidR="003C4CFC" w:rsidRDefault="003C4CFC">
      <w:pPr>
        <w:ind w:firstLine="1134"/>
        <w:jc w:val="both"/>
        <w:outlineLvl w:val="0"/>
        <w:rPr>
          <w:rFonts w:eastAsia="Calibri"/>
          <w:color w:val="000000"/>
        </w:rPr>
      </w:pPr>
    </w:p>
    <w:p w:rsidR="003E6588" w:rsidRDefault="003E6588">
      <w:pPr>
        <w:ind w:firstLine="1134"/>
        <w:jc w:val="both"/>
        <w:outlineLvl w:val="0"/>
        <w:rPr>
          <w:rFonts w:eastAsia="Calibri"/>
          <w:b/>
          <w:color w:val="000000"/>
        </w:rPr>
      </w:pPr>
      <w:r>
        <w:rPr>
          <w:rFonts w:eastAsia="Calibri"/>
          <w:b/>
          <w:color w:val="000000"/>
        </w:rPr>
        <w:t>Institucionalização das Unidades Territoriais da Macrometrópole Paulista - MMP</w:t>
      </w:r>
    </w:p>
    <w:p w:rsidR="003E6588" w:rsidRDefault="003E6588">
      <w:pPr>
        <w:ind w:firstLine="1134"/>
        <w:jc w:val="both"/>
        <w:outlineLvl w:val="0"/>
        <w:rPr>
          <w:rFonts w:eastAsia="Calibri"/>
          <w:b/>
          <w:color w:val="000000"/>
        </w:rPr>
      </w:pPr>
    </w:p>
    <w:p w:rsidR="003E6588" w:rsidRDefault="003E6588">
      <w:pPr>
        <w:ind w:firstLine="1134"/>
        <w:jc w:val="both"/>
        <w:outlineLvl w:val="0"/>
        <w:rPr>
          <w:rFonts w:eastAsia="Calibri"/>
          <w:color w:val="000000"/>
        </w:rPr>
      </w:pPr>
      <w:r>
        <w:rPr>
          <w:rFonts w:eastAsia="Calibri"/>
          <w:color w:val="000000"/>
        </w:rPr>
        <w:t xml:space="preserve">Apoio e acompanhamento do projeto de </w:t>
      </w:r>
      <w:r w:rsidR="00A54FD4">
        <w:rPr>
          <w:rFonts w:eastAsia="Calibri"/>
          <w:color w:val="000000"/>
        </w:rPr>
        <w:t xml:space="preserve">lei </w:t>
      </w:r>
      <w:r>
        <w:rPr>
          <w:rFonts w:eastAsia="Calibri"/>
          <w:color w:val="000000"/>
        </w:rPr>
        <w:t xml:space="preserve">complementar que cria a Agência Metropolitana da Região Metropolitana do Vale do Paraíba e Litoral Norte </w:t>
      </w:r>
      <w:r w:rsidR="00A54FD4">
        <w:rPr>
          <w:rFonts w:eastAsia="Calibri"/>
          <w:color w:val="000000"/>
        </w:rPr>
        <w:t xml:space="preserve">- </w:t>
      </w:r>
      <w:r>
        <w:rPr>
          <w:rFonts w:eastAsia="Calibri"/>
          <w:color w:val="000000"/>
        </w:rPr>
        <w:t>RMVPLN</w:t>
      </w:r>
      <w:r w:rsidR="00A54FD4">
        <w:rPr>
          <w:rFonts w:eastAsia="Calibri"/>
          <w:color w:val="000000"/>
        </w:rPr>
        <w:t xml:space="preserve"> e do Projeto de lei complementar que cria a Agência Metropolitana da Região Metropolitana de Sorocaba.</w:t>
      </w:r>
    </w:p>
    <w:p w:rsidR="003E6588" w:rsidRDefault="003E6588">
      <w:pPr>
        <w:ind w:firstLine="1134"/>
        <w:jc w:val="both"/>
        <w:outlineLvl w:val="0"/>
        <w:rPr>
          <w:rFonts w:eastAsia="Calibri"/>
          <w:color w:val="000000"/>
        </w:rPr>
      </w:pPr>
    </w:p>
    <w:p w:rsidR="003E6588" w:rsidRDefault="003E6588">
      <w:pPr>
        <w:ind w:firstLine="1134"/>
        <w:jc w:val="both"/>
        <w:outlineLvl w:val="0"/>
        <w:rPr>
          <w:rFonts w:eastAsia="Calibri"/>
          <w:color w:val="000000"/>
        </w:rPr>
      </w:pPr>
      <w:r>
        <w:rPr>
          <w:rFonts w:eastAsia="Calibri"/>
          <w:color w:val="000000"/>
        </w:rPr>
        <w:t xml:space="preserve">Apoio e acompanhamento da tramitação </w:t>
      </w:r>
      <w:r w:rsidR="00A54FD4">
        <w:rPr>
          <w:rFonts w:eastAsia="Calibri"/>
          <w:color w:val="000000"/>
        </w:rPr>
        <w:t xml:space="preserve">do </w:t>
      </w:r>
      <w:r>
        <w:rPr>
          <w:rFonts w:eastAsia="Calibri"/>
          <w:color w:val="000000"/>
        </w:rPr>
        <w:t xml:space="preserve">Decreto do Fundo de Desenvolvimento da Região Metropolitana de Sorocaba </w:t>
      </w:r>
      <w:r w:rsidR="00A54FD4">
        <w:rPr>
          <w:rFonts w:eastAsia="Calibri"/>
          <w:color w:val="000000"/>
        </w:rPr>
        <w:t xml:space="preserve">- </w:t>
      </w:r>
      <w:r>
        <w:rPr>
          <w:rFonts w:eastAsia="Calibri"/>
          <w:color w:val="000000"/>
        </w:rPr>
        <w:t>RMS</w:t>
      </w:r>
      <w:r w:rsidR="00A54FD4">
        <w:rPr>
          <w:rFonts w:eastAsia="Calibri"/>
          <w:color w:val="000000"/>
        </w:rPr>
        <w:t xml:space="preserve"> e do </w:t>
      </w:r>
      <w:r>
        <w:rPr>
          <w:rFonts w:eastAsia="Calibri"/>
          <w:color w:val="000000"/>
        </w:rPr>
        <w:t>Decreto do Fundo de Desenvolvimento das Aglomerações Urbanas;</w:t>
      </w:r>
    </w:p>
    <w:p w:rsidR="003E6588" w:rsidRDefault="003E6588">
      <w:pPr>
        <w:ind w:firstLine="1134"/>
        <w:jc w:val="both"/>
        <w:outlineLvl w:val="0"/>
        <w:rPr>
          <w:rFonts w:eastAsia="Calibri"/>
          <w:color w:val="000000"/>
        </w:rPr>
      </w:pPr>
    </w:p>
    <w:p w:rsidR="003E6588" w:rsidRDefault="003E6588">
      <w:pPr>
        <w:ind w:firstLine="1134"/>
        <w:jc w:val="both"/>
        <w:outlineLvl w:val="0"/>
        <w:rPr>
          <w:rFonts w:eastAsia="Calibri"/>
          <w:color w:val="000000"/>
        </w:rPr>
      </w:pPr>
      <w:r>
        <w:rPr>
          <w:rFonts w:eastAsia="Calibri"/>
          <w:color w:val="000000"/>
        </w:rPr>
        <w:t>Institucionalização da Região Metropolitana do Vale do Paraíba e Litoral Norte O projeto de lei complementar que institucionaliza a região está em tramitação na Assembléia Legislativa do Estado.</w:t>
      </w:r>
    </w:p>
    <w:p w:rsidR="003E6588" w:rsidRDefault="003E6588">
      <w:pPr>
        <w:ind w:firstLine="1134"/>
        <w:jc w:val="both"/>
        <w:outlineLvl w:val="0"/>
        <w:rPr>
          <w:rFonts w:eastAsia="Calibri"/>
          <w:color w:val="000000"/>
        </w:rPr>
      </w:pPr>
    </w:p>
    <w:p w:rsidR="003E6588" w:rsidRDefault="003E6588">
      <w:pPr>
        <w:ind w:firstLine="1134"/>
        <w:jc w:val="both"/>
        <w:outlineLvl w:val="0"/>
        <w:rPr>
          <w:rFonts w:eastAsia="Calibri"/>
          <w:color w:val="000000"/>
        </w:rPr>
      </w:pPr>
      <w:r w:rsidRPr="003A43FE">
        <w:rPr>
          <w:rFonts w:eastAsia="Calibri"/>
          <w:color w:val="000000"/>
        </w:rPr>
        <w:t>Foi instalada a Região Metropolitana do Vale do Paraíba e Litoral Norte</w:t>
      </w:r>
      <w:r w:rsidR="003A43FE">
        <w:rPr>
          <w:rFonts w:eastAsia="Calibri"/>
          <w:color w:val="000000"/>
        </w:rPr>
        <w:t>,</w:t>
      </w:r>
      <w:r w:rsidRPr="003A43FE">
        <w:rPr>
          <w:rFonts w:eastAsia="Calibri"/>
          <w:color w:val="000000"/>
        </w:rPr>
        <w:t xml:space="preserve"> com</w:t>
      </w:r>
      <w:r>
        <w:rPr>
          <w:rFonts w:eastAsia="Calibri"/>
          <w:color w:val="000000"/>
        </w:rPr>
        <w:t xml:space="preserve"> a posse do Conselho de Desenvolvimento. O Conselho é integrado pelos 39 prefeitos da região e por 17 secretários adjuntos, além de 2 parlamentares. Pela sua diversidade e dimensão territorial, a mesma foi dividida em cinco sub-regiões. Desde então</w:t>
      </w:r>
      <w:r w:rsidR="00A54FD4">
        <w:rPr>
          <w:rFonts w:eastAsia="Calibri"/>
          <w:color w:val="000000"/>
        </w:rPr>
        <w:t>,</w:t>
      </w:r>
      <w:r>
        <w:rPr>
          <w:rFonts w:eastAsia="Calibri"/>
          <w:color w:val="000000"/>
        </w:rPr>
        <w:t xml:space="preserve"> foram realizadas as reuniões do Conselho, onde foram detalhadas duas questões consideradas prioritárias pelos agentes públicos e cidadão, quais sejam as políticas de saúde e mobilidade inter-regional. Foram realizados pela Secretaria </w:t>
      </w:r>
      <w:r>
        <w:rPr>
          <w:rFonts w:eastAsia="Calibri"/>
          <w:i/>
          <w:color w:val="000000"/>
        </w:rPr>
        <w:t>workshops</w:t>
      </w:r>
      <w:r>
        <w:rPr>
          <w:rFonts w:eastAsia="Calibri"/>
          <w:color w:val="000000"/>
        </w:rPr>
        <w:t xml:space="preserve"> de capacitação nas cinco sub-regiões, para além de esclarecer o funcionamento do novo modelo de governança metropolitana, levantar as percepções dos participantes acerca dos principais desafios e potencialidades, bem como construir</w:t>
      </w:r>
      <w:r w:rsidR="00B6742C">
        <w:rPr>
          <w:rFonts w:eastAsia="Calibri"/>
          <w:color w:val="000000"/>
        </w:rPr>
        <w:t>,</w:t>
      </w:r>
      <w:r>
        <w:rPr>
          <w:rFonts w:eastAsia="Calibri"/>
          <w:color w:val="000000"/>
        </w:rPr>
        <w:t xml:space="preserve"> de forma compartilhada, as regras para o funcionamento dos conselhos Consultivos e Câmaras Temáticas.</w:t>
      </w:r>
    </w:p>
    <w:p w:rsidR="003E6588" w:rsidRDefault="003E6588">
      <w:pPr>
        <w:ind w:firstLine="1134"/>
        <w:jc w:val="both"/>
        <w:outlineLvl w:val="0"/>
        <w:rPr>
          <w:rFonts w:eastAsia="Calibri"/>
          <w:color w:val="000000"/>
        </w:rPr>
      </w:pPr>
    </w:p>
    <w:p w:rsidR="003E6588" w:rsidRDefault="003E6588">
      <w:pPr>
        <w:ind w:firstLine="1134"/>
        <w:jc w:val="both"/>
        <w:outlineLvl w:val="0"/>
        <w:rPr>
          <w:rFonts w:eastAsia="Calibri"/>
          <w:color w:val="000000"/>
        </w:rPr>
      </w:pPr>
      <w:r>
        <w:rPr>
          <w:rFonts w:eastAsia="Calibri"/>
          <w:color w:val="000000"/>
        </w:rPr>
        <w:t xml:space="preserve">Foi aprovado o </w:t>
      </w:r>
      <w:r w:rsidR="00B6742C">
        <w:rPr>
          <w:rFonts w:eastAsia="Calibri"/>
          <w:color w:val="000000"/>
        </w:rPr>
        <w:t>Proje</w:t>
      </w:r>
      <w:r>
        <w:rPr>
          <w:rFonts w:eastAsia="Calibri"/>
          <w:color w:val="000000"/>
        </w:rPr>
        <w:t xml:space="preserve">to de </w:t>
      </w:r>
      <w:r w:rsidR="00B6742C">
        <w:rPr>
          <w:rFonts w:eastAsia="Calibri"/>
          <w:color w:val="000000"/>
        </w:rPr>
        <w:t xml:space="preserve">Lei Complementar </w:t>
      </w:r>
      <w:r>
        <w:rPr>
          <w:rFonts w:eastAsia="Calibri"/>
          <w:color w:val="000000"/>
        </w:rPr>
        <w:t xml:space="preserve">que cria a AgemVale (Agência Metropolitana do Vale do Paraíba e Litoral Norte). A AgemVale será vinculada </w:t>
      </w:r>
      <w:r w:rsidR="00B6742C">
        <w:rPr>
          <w:rFonts w:eastAsia="Calibri"/>
          <w:color w:val="000000"/>
        </w:rPr>
        <w:t>à</w:t>
      </w:r>
      <w:r>
        <w:rPr>
          <w:rFonts w:eastAsia="Calibri"/>
          <w:color w:val="000000"/>
        </w:rPr>
        <w:t xml:space="preserve"> Subsecretaria de Desenvolvimento Metropolitano. </w:t>
      </w:r>
      <w:r w:rsidRPr="00B6742C">
        <w:rPr>
          <w:rFonts w:eastAsia="Calibri"/>
          <w:color w:val="000000"/>
        </w:rPr>
        <w:t>Sua sede será na cidade de São José dos Campos e terá a finalidade de integrar a organização, planejamento e execução das funções de interesse comum da região.</w:t>
      </w:r>
    </w:p>
    <w:p w:rsidR="003E6588" w:rsidRDefault="003E6588">
      <w:pPr>
        <w:ind w:firstLine="1134"/>
        <w:jc w:val="both"/>
        <w:outlineLvl w:val="0"/>
        <w:rPr>
          <w:rFonts w:eastAsia="Calibri"/>
          <w:color w:val="000000"/>
        </w:rPr>
      </w:pPr>
    </w:p>
    <w:p w:rsidR="003E6588" w:rsidRDefault="003E6588">
      <w:pPr>
        <w:ind w:firstLine="1134"/>
        <w:jc w:val="both"/>
        <w:outlineLvl w:val="0"/>
        <w:rPr>
          <w:rFonts w:eastAsia="Calibri"/>
          <w:color w:val="000000"/>
        </w:rPr>
      </w:pPr>
      <w:r>
        <w:rPr>
          <w:rFonts w:eastAsia="Calibri"/>
          <w:color w:val="000000"/>
        </w:rPr>
        <w:t xml:space="preserve">Apoio e acompanhamento a atuação </w:t>
      </w:r>
      <w:r w:rsidR="003C4CFC">
        <w:rPr>
          <w:rFonts w:eastAsia="Calibri"/>
          <w:color w:val="000000"/>
        </w:rPr>
        <w:t>das Agências de Desenvolvimento.</w:t>
      </w:r>
    </w:p>
    <w:p w:rsidR="00B6742C" w:rsidRDefault="00B6742C">
      <w:pPr>
        <w:ind w:firstLine="1134"/>
        <w:jc w:val="both"/>
        <w:outlineLvl w:val="0"/>
        <w:rPr>
          <w:rFonts w:eastAsia="Calibri"/>
          <w:color w:val="000000"/>
        </w:rPr>
      </w:pPr>
    </w:p>
    <w:p w:rsidR="003E6588" w:rsidRDefault="003E6588">
      <w:pPr>
        <w:ind w:left="1134"/>
        <w:jc w:val="both"/>
        <w:outlineLvl w:val="0"/>
        <w:rPr>
          <w:rFonts w:eastAsia="Calibri"/>
          <w:color w:val="000000"/>
        </w:rPr>
      </w:pPr>
      <w:r>
        <w:rPr>
          <w:rFonts w:eastAsia="Calibri"/>
          <w:color w:val="000000"/>
        </w:rPr>
        <w:t>Participação e liderança nos trabalhos dos Consel</w:t>
      </w:r>
      <w:r w:rsidR="00B6742C">
        <w:rPr>
          <w:rFonts w:eastAsia="Calibri"/>
          <w:color w:val="000000"/>
        </w:rPr>
        <w:t>hos de Desenvolvimento:</w:t>
      </w:r>
    </w:p>
    <w:p w:rsidR="003E6588" w:rsidRDefault="003E6588">
      <w:pPr>
        <w:ind w:left="360"/>
        <w:outlineLvl w:val="0"/>
        <w:rPr>
          <w:rFonts w:eastAsia="Calibri"/>
          <w:color w:val="000000"/>
        </w:rPr>
      </w:pPr>
    </w:p>
    <w:p w:rsidR="003E6588" w:rsidRDefault="00AD3B0F">
      <w:pPr>
        <w:outlineLvl w:val="0"/>
        <w:rPr>
          <w:rFonts w:eastAsia="Calibri"/>
          <w:color w:val="000000"/>
        </w:rPr>
      </w:pPr>
      <w:r>
        <w:rPr>
          <w:rFonts w:ascii="Calibri" w:eastAsia="Calibri" w:hAnsi="Calibri"/>
          <w:noProof/>
          <w:sz w:val="22"/>
          <w:szCs w:val="22"/>
        </w:rPr>
        <w:lastRenderedPageBreak/>
        <w:drawing>
          <wp:inline distT="0" distB="0" distL="0" distR="0">
            <wp:extent cx="5638800" cy="2152650"/>
            <wp:effectExtent l="1905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638800" cy="2152650"/>
                    </a:xfrm>
                    <a:prstGeom prst="rect">
                      <a:avLst/>
                    </a:prstGeom>
                    <a:noFill/>
                    <a:ln w="9525">
                      <a:noFill/>
                      <a:miter lim="800000"/>
                      <a:headEnd/>
                      <a:tailEnd/>
                    </a:ln>
                  </pic:spPr>
                </pic:pic>
              </a:graphicData>
            </a:graphic>
          </wp:inline>
        </w:drawing>
      </w:r>
    </w:p>
    <w:p w:rsidR="007C47BA" w:rsidRDefault="007C47BA">
      <w:pPr>
        <w:ind w:firstLine="1134"/>
        <w:jc w:val="both"/>
        <w:rPr>
          <w:b/>
        </w:rPr>
      </w:pPr>
    </w:p>
    <w:p w:rsidR="003E6588" w:rsidRDefault="003E6588">
      <w:pPr>
        <w:ind w:firstLine="1134"/>
        <w:jc w:val="both"/>
      </w:pPr>
      <w:r>
        <w:rPr>
          <w:b/>
        </w:rPr>
        <w:t xml:space="preserve">Planejamento e monitoramento da macrometrópole paulista </w:t>
      </w:r>
      <w:r>
        <w:t xml:space="preserve">- Apoio e acompanhamento </w:t>
      </w:r>
      <w:r w:rsidR="00B6742C">
        <w:t>da</w:t>
      </w:r>
      <w:r>
        <w:t xml:space="preserve"> criação dos Gabinetes Metropolitanos de Gestão Estratégica de Segu</w:t>
      </w:r>
      <w:r w:rsidR="00B6742C">
        <w:t xml:space="preserve">rança Pública - Gamesp da RMS. Foram </w:t>
      </w:r>
      <w:r>
        <w:t>implementados 7 gabinetes que envolvem as Polícias Estaduais, Federal e Guardas Municipais, Ministério Público e Poder Judiciário.</w:t>
      </w:r>
      <w:r>
        <w:rPr>
          <w:rFonts w:ascii="Calibri" w:eastAsia="Calibri" w:hAnsi="Calibri"/>
          <w:sz w:val="22"/>
          <w:szCs w:val="22"/>
          <w:lang w:eastAsia="en-US"/>
        </w:rPr>
        <w:t xml:space="preserve"> </w:t>
      </w:r>
      <w:r>
        <w:t xml:space="preserve">A iniciativa tem por finalidade implementar o Sistema Integrado de Comando e Controle Metropolitano - SICCM para a elaboração de planos estratégicos interligados de segurança, visando </w:t>
      </w:r>
      <w:r w:rsidR="00B6742C">
        <w:t>à</w:t>
      </w:r>
      <w:r>
        <w:t xml:space="preserve"> prevenção e redução da violência.</w:t>
      </w:r>
    </w:p>
    <w:p w:rsidR="003E6588" w:rsidRDefault="003E6588">
      <w:pPr>
        <w:ind w:firstLine="1134"/>
        <w:jc w:val="both"/>
      </w:pPr>
    </w:p>
    <w:p w:rsidR="003E6588" w:rsidRDefault="003E6588">
      <w:pPr>
        <w:ind w:firstLine="1134"/>
        <w:jc w:val="both"/>
      </w:pPr>
      <w:r>
        <w:t xml:space="preserve">Em parceria com a Secretaria da Segurança Pública, </w:t>
      </w:r>
      <w:r w:rsidR="00B6742C">
        <w:t>foi</w:t>
      </w:r>
      <w:r>
        <w:t xml:space="preserve"> implementado sistema de videomonitoramento nas unidades territoriais da Macrometropole Paulista</w:t>
      </w:r>
      <w:r w:rsidR="00B6742C">
        <w:t>,</w:t>
      </w:r>
      <w:r>
        <w:t xml:space="preserve"> com destaque as Regiões Metropolitana de Campinas e da Baixada Santista.</w:t>
      </w:r>
    </w:p>
    <w:p w:rsidR="003E6588" w:rsidRDefault="003E6588">
      <w:pPr>
        <w:ind w:firstLine="1134"/>
        <w:jc w:val="both"/>
      </w:pPr>
    </w:p>
    <w:p w:rsidR="003E6588" w:rsidRDefault="003E6588">
      <w:pPr>
        <w:ind w:firstLine="1134"/>
        <w:jc w:val="both"/>
      </w:pPr>
      <w:r>
        <w:t xml:space="preserve">Apoio </w:t>
      </w:r>
      <w:r w:rsidR="00B6742C">
        <w:t>à</w:t>
      </w:r>
      <w:r>
        <w:t xml:space="preserve"> montagem da exposição "Emplasa - Uma visão artística", com obras de Claudio Tozzi, Antonio Peticov, Ivald Granato, José Roberto Aguilar, Guto Lacaz, José Zaragoza, Gregório Gruber, Tomoshige Kusuno, Cacau de Freitas, Zélio Alves Pinto, Antonio Hélio Cabral e Fernando Durão, que fizeram releitura do trabalho desenvolvido pela Empresa, a partir de mapas e fotos aéreas produzidas pela Emplasa.</w:t>
      </w:r>
      <w:r>
        <w:rPr>
          <w:rFonts w:eastAsia="Calibri"/>
          <w:lang w:eastAsia="en-US"/>
        </w:rPr>
        <w:t xml:space="preserve"> </w:t>
      </w:r>
      <w:r w:rsidR="00B6742C">
        <w:rPr>
          <w:rFonts w:eastAsia="Calibri"/>
          <w:lang w:eastAsia="en-US"/>
        </w:rPr>
        <w:t xml:space="preserve">Foram </w:t>
      </w:r>
      <w:r>
        <w:t>comemorados os 40 anos EMPLASA.</w:t>
      </w:r>
    </w:p>
    <w:p w:rsidR="003E6588" w:rsidRDefault="003E6588">
      <w:pPr>
        <w:ind w:firstLine="1134"/>
        <w:jc w:val="both"/>
        <w:rPr>
          <w:b/>
        </w:rPr>
      </w:pPr>
    </w:p>
    <w:p w:rsidR="003E6588" w:rsidRDefault="003E6588">
      <w:pPr>
        <w:ind w:firstLine="1134"/>
        <w:jc w:val="both"/>
        <w:rPr>
          <w:b/>
        </w:rPr>
      </w:pPr>
      <w:r>
        <w:rPr>
          <w:b/>
        </w:rPr>
        <w:t>Unidade de Apoio aos Conselhos</w:t>
      </w:r>
    </w:p>
    <w:p w:rsidR="003E6588" w:rsidRDefault="003E6588">
      <w:pPr>
        <w:ind w:firstLine="1134"/>
        <w:jc w:val="both"/>
        <w:rPr>
          <w:b/>
        </w:rPr>
      </w:pPr>
    </w:p>
    <w:p w:rsidR="003E6588" w:rsidRDefault="003E6588">
      <w:pPr>
        <w:ind w:firstLine="1134"/>
        <w:jc w:val="both"/>
      </w:pPr>
      <w:r>
        <w:rPr>
          <w:b/>
        </w:rPr>
        <w:t xml:space="preserve">Ciclo de capacitações de membros dos </w:t>
      </w:r>
      <w:r w:rsidR="00B6742C">
        <w:rPr>
          <w:b/>
        </w:rPr>
        <w:t xml:space="preserve">Conselhos Consultivos </w:t>
      </w:r>
      <w:r>
        <w:rPr>
          <w:b/>
        </w:rPr>
        <w:t xml:space="preserve">e </w:t>
      </w:r>
      <w:r w:rsidR="00B6742C">
        <w:rPr>
          <w:b/>
        </w:rPr>
        <w:t xml:space="preserve">Câmaras Temáticas </w:t>
      </w:r>
      <w:r>
        <w:rPr>
          <w:b/>
        </w:rPr>
        <w:t xml:space="preserve">da </w:t>
      </w:r>
      <w:r w:rsidR="00B6742C">
        <w:rPr>
          <w:b/>
        </w:rPr>
        <w:t xml:space="preserve">Região Metropolitana </w:t>
      </w:r>
      <w:r>
        <w:rPr>
          <w:b/>
        </w:rPr>
        <w:t xml:space="preserve">de Sorocaba </w:t>
      </w:r>
      <w:r w:rsidR="00B6742C">
        <w:rPr>
          <w:b/>
        </w:rPr>
        <w:t>-</w:t>
      </w:r>
      <w:r>
        <w:rPr>
          <w:b/>
        </w:rPr>
        <w:t xml:space="preserve"> </w:t>
      </w:r>
      <w:r w:rsidR="00B6742C">
        <w:rPr>
          <w:b/>
        </w:rPr>
        <w:t xml:space="preserve">RMS - </w:t>
      </w:r>
      <w:r>
        <w:t>A Unidade de Apoio aos Conselhos esteve envolvida nos processos de articulação, mobilização e realização do “Ciclo de Capacitações de Membros dos Conselhos Consultivos e Câmaras Temáticas da Região Metropolitana de Sorocaba”.</w:t>
      </w:r>
    </w:p>
    <w:p w:rsidR="00B6742C" w:rsidRDefault="00B6742C">
      <w:pPr>
        <w:ind w:firstLine="1134"/>
        <w:jc w:val="both"/>
      </w:pPr>
    </w:p>
    <w:p w:rsidR="003E6588" w:rsidRDefault="003E6588">
      <w:pPr>
        <w:ind w:firstLine="1134"/>
        <w:jc w:val="both"/>
      </w:pPr>
      <w:r>
        <w:t xml:space="preserve">Foram realizadas 3 capacitações, atendendo às diferentes sub-regiões da unidade territorial, fornecendo subsídios teóricos e experiências positivas para fortalecimento e desenvolvimento dos trabalhos dos </w:t>
      </w:r>
      <w:r w:rsidR="00B6742C">
        <w:t xml:space="preserve">Conselhos Consultivos </w:t>
      </w:r>
      <w:r>
        <w:t xml:space="preserve">e </w:t>
      </w:r>
      <w:r w:rsidR="00B6742C">
        <w:t>Câmaras Temáticas</w:t>
      </w:r>
      <w:r>
        <w:t>.</w:t>
      </w:r>
    </w:p>
    <w:p w:rsidR="003E6588" w:rsidRDefault="003E6588">
      <w:pPr>
        <w:ind w:firstLine="1134"/>
        <w:jc w:val="both"/>
      </w:pPr>
    </w:p>
    <w:p w:rsidR="003E6588" w:rsidRDefault="003E6588">
      <w:pPr>
        <w:ind w:firstLine="1134"/>
        <w:jc w:val="both"/>
      </w:pPr>
      <w:r>
        <w:t>1ª Sub-região 3 - Município de Sorocaba.</w:t>
      </w:r>
    </w:p>
    <w:p w:rsidR="007C47BA" w:rsidRDefault="007C47BA">
      <w:pPr>
        <w:ind w:firstLine="1134"/>
        <w:jc w:val="both"/>
      </w:pPr>
    </w:p>
    <w:p w:rsidR="003E6588" w:rsidRDefault="003E6588">
      <w:pPr>
        <w:ind w:firstLine="1134"/>
        <w:jc w:val="both"/>
      </w:pPr>
      <w:r>
        <w:t>2ª Sub-região 2 - Município de Itu.</w:t>
      </w:r>
    </w:p>
    <w:p w:rsidR="003C4CFC" w:rsidRDefault="003C4CFC">
      <w:pPr>
        <w:ind w:firstLine="1134"/>
        <w:jc w:val="both"/>
      </w:pPr>
    </w:p>
    <w:p w:rsidR="003E6588" w:rsidRDefault="00B6742C">
      <w:pPr>
        <w:ind w:firstLine="1134"/>
        <w:jc w:val="both"/>
      </w:pPr>
      <w:r>
        <w:t xml:space="preserve">3ª Sub-região </w:t>
      </w:r>
      <w:r w:rsidR="003E6588">
        <w:t>1 - Município de Tatuí.</w:t>
      </w:r>
    </w:p>
    <w:p w:rsidR="003E6588" w:rsidRDefault="003E6588">
      <w:pPr>
        <w:ind w:firstLine="1134"/>
        <w:jc w:val="both"/>
      </w:pPr>
    </w:p>
    <w:p w:rsidR="003E6588" w:rsidRDefault="003E6588">
      <w:pPr>
        <w:ind w:firstLine="1134"/>
        <w:jc w:val="both"/>
      </w:pPr>
      <w:r>
        <w:rPr>
          <w:b/>
        </w:rPr>
        <w:t xml:space="preserve">Levantamento de programas/ações municipais exemplares - </w:t>
      </w:r>
      <w:r>
        <w:t xml:space="preserve">Realização do mapeamento e acompanhamento de programas e projetos inovadores e de interesse metropolitano dos 174 municípios que compõem a Macrometrópole Paulista, acompanhando seu desenvolvimento, recursos, problemas e execuções, disponibilizando esse conjunto de informações ao público, com acesso via </w:t>
      </w:r>
      <w:r>
        <w:rPr>
          <w:i/>
        </w:rPr>
        <w:t>internet</w:t>
      </w:r>
      <w:r>
        <w:t xml:space="preserve">, pelo </w:t>
      </w:r>
      <w:r>
        <w:rPr>
          <w:i/>
        </w:rPr>
        <w:t>site</w:t>
      </w:r>
      <w:r>
        <w:t xml:space="preserve"> da SSDM.</w:t>
      </w:r>
    </w:p>
    <w:p w:rsidR="003E6588" w:rsidRDefault="003E6588">
      <w:pPr>
        <w:ind w:firstLine="1134"/>
        <w:jc w:val="both"/>
      </w:pPr>
    </w:p>
    <w:p w:rsidR="003E6588" w:rsidRDefault="003E6588">
      <w:pPr>
        <w:ind w:firstLine="1134"/>
        <w:jc w:val="both"/>
      </w:pPr>
      <w:r>
        <w:t>Na primeira etapa deste trabalho</w:t>
      </w:r>
      <w:r w:rsidR="00B6742C">
        <w:t>,</w:t>
      </w:r>
      <w:r>
        <w:t xml:space="preserve"> foram visitadas as prefeituras municipais de 20 munícipios pertencentes à Aglomeração Urbana de Piracicaba, para realização de entrevistas com os prefeitos (as) e respectiva</w:t>
      </w:r>
      <w:r w:rsidR="00B6742C">
        <w:t>s</w:t>
      </w:r>
      <w:r>
        <w:t xml:space="preserve"> assessoria</w:t>
      </w:r>
      <w:r w:rsidR="00B6742C">
        <w:t>s</w:t>
      </w:r>
      <w:r>
        <w:t>, para a coleta de informações sobre programas e projetos executados pelos municípios.</w:t>
      </w:r>
    </w:p>
    <w:p w:rsidR="003E6588" w:rsidRDefault="003E6588">
      <w:pPr>
        <w:ind w:firstLine="1134"/>
        <w:jc w:val="both"/>
      </w:pPr>
    </w:p>
    <w:p w:rsidR="003E6588" w:rsidRDefault="003E6588">
      <w:pPr>
        <w:ind w:firstLine="1134"/>
        <w:jc w:val="both"/>
      </w:pPr>
      <w:r>
        <w:rPr>
          <w:b/>
        </w:rPr>
        <w:t xml:space="preserve">Unidade de Articulação de Políticas Setoriais - </w:t>
      </w:r>
      <w:r w:rsidR="00B6742C">
        <w:t xml:space="preserve">A </w:t>
      </w:r>
      <w:r>
        <w:t xml:space="preserve">unidade </w:t>
      </w:r>
      <w:r w:rsidR="00B6742C">
        <w:t>prestou</w:t>
      </w:r>
      <w:r>
        <w:t xml:space="preserve"> apoio e </w:t>
      </w:r>
      <w:r w:rsidR="00B6742C">
        <w:t>acompanhamento à</w:t>
      </w:r>
      <w:r>
        <w:t xml:space="preserve"> atuação das Agências de Desenvolvimento</w:t>
      </w:r>
      <w:r w:rsidR="00B6742C">
        <w:t>,</w:t>
      </w:r>
      <w:r>
        <w:t xml:space="preserve"> bem como das reuniões e ações dos Conselhos de Desenvolvimento.</w:t>
      </w:r>
      <w:r>
        <w:rPr>
          <w:rFonts w:ascii="Calibri" w:eastAsia="Calibri" w:hAnsi="Calibri"/>
          <w:sz w:val="22"/>
          <w:szCs w:val="22"/>
          <w:lang w:eastAsia="en-US"/>
        </w:rPr>
        <w:t xml:space="preserve"> </w:t>
      </w:r>
      <w:r w:rsidR="00B6742C" w:rsidRPr="00B6742C">
        <w:rPr>
          <w:rFonts w:eastAsia="Calibri"/>
          <w:lang w:eastAsia="en-US"/>
        </w:rPr>
        <w:t>Cuidou d</w:t>
      </w:r>
      <w:r w:rsidRPr="00B6742C">
        <w:t>o</w:t>
      </w:r>
      <w:r>
        <w:t xml:space="preserve"> relacionamento com os diversos setores do Governo perante as administrações municipais das regiões metropolitanas e aglomerações urbanas e a sociedade civil organizada, objetivando articular e integrar propostas e soluções para as demandas apresentadas.</w:t>
      </w:r>
    </w:p>
    <w:p w:rsidR="003E6588" w:rsidRDefault="003E6588">
      <w:pPr>
        <w:ind w:firstLine="1134"/>
        <w:jc w:val="both"/>
        <w:rPr>
          <w:b/>
          <w:u w:val="single"/>
        </w:rPr>
      </w:pPr>
    </w:p>
    <w:p w:rsidR="003E6588" w:rsidRDefault="003E6588">
      <w:pPr>
        <w:ind w:firstLine="1134"/>
        <w:jc w:val="both"/>
        <w:rPr>
          <w:rFonts w:eastAsia="Calibri"/>
          <w:lang w:eastAsia="en-US"/>
        </w:rPr>
      </w:pPr>
      <w:r>
        <w:rPr>
          <w:b/>
        </w:rPr>
        <w:t xml:space="preserve">Fundo Metropolitano de Financiamento e Investimento - </w:t>
      </w:r>
      <w:r>
        <w:rPr>
          <w:rFonts w:eastAsia="Calibri"/>
          <w:lang w:eastAsia="en-US"/>
        </w:rPr>
        <w:t>O Fundo Metropolitano de Financiamento e Investimento - FUMEFI, tem por finalidade financiar e investir em projetos de interesse da Região Metropolitana de São Paulo.</w:t>
      </w:r>
    </w:p>
    <w:p w:rsidR="003E6588" w:rsidRDefault="003E6588">
      <w:pPr>
        <w:ind w:firstLine="1134"/>
        <w:jc w:val="both"/>
        <w:rPr>
          <w:rFonts w:eastAsia="Calibri"/>
          <w:lang w:eastAsia="en-US"/>
        </w:rPr>
      </w:pPr>
    </w:p>
    <w:p w:rsidR="003E6588" w:rsidRDefault="003E6588">
      <w:pPr>
        <w:ind w:firstLine="1134"/>
        <w:jc w:val="both"/>
        <w:rPr>
          <w:rFonts w:eastAsia="Calibri"/>
          <w:lang w:eastAsia="en-US"/>
        </w:rPr>
      </w:pPr>
      <w:r>
        <w:rPr>
          <w:rFonts w:eastAsia="Calibri"/>
          <w:lang w:eastAsia="en-US"/>
        </w:rPr>
        <w:t>Suas operações são formalizadas por Instrumentos de Liberação de Crédito (ILC - contratos BB/FUMEFI), celebrados pelo Agente Financeiro, o Banco do Brasil, com as Prefeituras Municipais Beneficiárias das aplicações, sempre em nome da Casa Civil, seu Agente Promotor, a que está vinculado.</w:t>
      </w:r>
    </w:p>
    <w:p w:rsidR="003E6588" w:rsidRDefault="003E6588">
      <w:pPr>
        <w:ind w:firstLine="1134"/>
        <w:jc w:val="both"/>
        <w:rPr>
          <w:rFonts w:eastAsia="Calibri"/>
          <w:lang w:eastAsia="en-US"/>
        </w:rPr>
      </w:pPr>
    </w:p>
    <w:p w:rsidR="003E6588" w:rsidRDefault="003E6588">
      <w:pPr>
        <w:ind w:firstLine="1134"/>
        <w:jc w:val="both"/>
        <w:rPr>
          <w:rFonts w:eastAsia="Calibri"/>
          <w:lang w:eastAsia="en-US"/>
        </w:rPr>
      </w:pPr>
      <w:r>
        <w:rPr>
          <w:rFonts w:eastAsia="Calibri"/>
          <w:lang w:eastAsia="en-US"/>
        </w:rPr>
        <w:t>Os repasses financeiros decorrentes dos contratos BB/FUMEFI são realizados parceladamente, mediante Parecer Conclusivo da EMPLASA, na qualidade de Agente Técnico, emitidos a partir de valores documentalmente apresentados pelas beneficiárias, correspondentes aos serviços efetivamente executados, mensalmente medidos.</w:t>
      </w:r>
    </w:p>
    <w:p w:rsidR="003E6588" w:rsidRDefault="003E6588">
      <w:pPr>
        <w:ind w:firstLine="1134"/>
        <w:jc w:val="both"/>
        <w:rPr>
          <w:rFonts w:eastAsia="Calibri"/>
          <w:lang w:eastAsia="en-US"/>
        </w:rPr>
      </w:pPr>
    </w:p>
    <w:p w:rsidR="003E6588" w:rsidRDefault="003E6588">
      <w:pPr>
        <w:ind w:firstLine="1134"/>
        <w:jc w:val="both"/>
        <w:rPr>
          <w:lang w:val="pt-PT"/>
        </w:rPr>
      </w:pPr>
      <w:r>
        <w:rPr>
          <w:b/>
          <w:lang w:val="pt-PT"/>
        </w:rPr>
        <w:t xml:space="preserve">26 novos Contratos e 6 Termos de Aditamento assinados - </w:t>
      </w:r>
      <w:r>
        <w:rPr>
          <w:lang w:val="pt-PT"/>
        </w:rPr>
        <w:t xml:space="preserve">Compromisso formal de Investimento Líquido de R$ </w:t>
      </w:r>
      <w:r>
        <w:rPr>
          <w:bCs/>
        </w:rPr>
        <w:t>132.298.919,11/Bruto de R$ 136.267.886,68 (incluindo despesas automáticas de 3%, com Agentes Técnico e Financeiro)</w:t>
      </w:r>
      <w:r>
        <w:rPr>
          <w:lang w:val="pt-PT"/>
        </w:rPr>
        <w:t>.</w:t>
      </w:r>
    </w:p>
    <w:p w:rsidR="003E6588" w:rsidRDefault="003E6588">
      <w:pPr>
        <w:ind w:firstLine="1134"/>
        <w:jc w:val="both"/>
        <w:rPr>
          <w:b/>
          <w:lang w:val="pt-PT"/>
        </w:rPr>
      </w:pPr>
    </w:p>
    <w:tbl>
      <w:tblPr>
        <w:tblpPr w:leftFromText="141" w:rightFromText="141" w:vertAnchor="text" w:horzAnchor="margin" w:tblpXSpec="center" w:tblpY="-59"/>
        <w:tblW w:w="10390" w:type="dxa"/>
        <w:tblBorders>
          <w:top w:val="single" w:sz="8" w:space="0" w:color="auto"/>
          <w:left w:val="single" w:sz="8" w:space="0" w:color="auto"/>
          <w:bottom w:val="single" w:sz="4" w:space="0" w:color="auto"/>
          <w:right w:val="single" w:sz="8" w:space="0" w:color="auto"/>
          <w:insideH w:val="single" w:sz="4" w:space="0" w:color="auto"/>
          <w:insideV w:val="single" w:sz="4" w:space="0" w:color="auto"/>
        </w:tblBorders>
        <w:tblCellMar>
          <w:left w:w="70" w:type="dxa"/>
          <w:right w:w="70" w:type="dxa"/>
        </w:tblCellMar>
        <w:tblLook w:val="04A0"/>
      </w:tblPr>
      <w:tblGrid>
        <w:gridCol w:w="1880"/>
        <w:gridCol w:w="1159"/>
        <w:gridCol w:w="6079"/>
        <w:gridCol w:w="1272"/>
      </w:tblGrid>
      <w:tr w:rsidR="00B6742C" w:rsidTr="00D5505F">
        <w:trPr>
          <w:trHeight w:val="132"/>
        </w:trPr>
        <w:tc>
          <w:tcPr>
            <w:tcW w:w="1880" w:type="dxa"/>
            <w:shd w:val="clear" w:color="auto" w:fill="auto"/>
            <w:noWrap/>
            <w:vAlign w:val="bottom"/>
            <w:hideMark/>
          </w:tcPr>
          <w:p w:rsidR="00B6742C" w:rsidRDefault="00B6742C">
            <w:pPr>
              <w:ind w:left="-142" w:firstLine="142"/>
              <w:rPr>
                <w:b/>
                <w:bCs/>
                <w:color w:val="000000"/>
                <w:sz w:val="18"/>
                <w:szCs w:val="18"/>
              </w:rPr>
            </w:pPr>
            <w:r>
              <w:rPr>
                <w:b/>
                <w:bCs/>
                <w:color w:val="000000"/>
                <w:sz w:val="18"/>
                <w:szCs w:val="18"/>
              </w:rPr>
              <w:lastRenderedPageBreak/>
              <w:t>Município</w:t>
            </w:r>
          </w:p>
        </w:tc>
        <w:tc>
          <w:tcPr>
            <w:tcW w:w="1159" w:type="dxa"/>
            <w:shd w:val="clear" w:color="auto" w:fill="auto"/>
            <w:noWrap/>
            <w:vAlign w:val="bottom"/>
            <w:hideMark/>
          </w:tcPr>
          <w:p w:rsidR="00B6742C" w:rsidRDefault="00B6742C">
            <w:pPr>
              <w:rPr>
                <w:b/>
                <w:bCs/>
                <w:color w:val="000000"/>
                <w:sz w:val="18"/>
                <w:szCs w:val="18"/>
              </w:rPr>
            </w:pPr>
            <w:r>
              <w:rPr>
                <w:b/>
                <w:bCs/>
                <w:color w:val="000000"/>
                <w:sz w:val="18"/>
                <w:szCs w:val="18"/>
              </w:rPr>
              <w:t>Contrato BB/FUMEFI</w:t>
            </w:r>
          </w:p>
        </w:tc>
        <w:tc>
          <w:tcPr>
            <w:tcW w:w="6079" w:type="dxa"/>
            <w:shd w:val="clear" w:color="auto" w:fill="auto"/>
            <w:noWrap/>
            <w:vAlign w:val="bottom"/>
            <w:hideMark/>
          </w:tcPr>
          <w:p w:rsidR="00B6742C" w:rsidRDefault="00B6742C">
            <w:pPr>
              <w:rPr>
                <w:b/>
                <w:bCs/>
                <w:color w:val="000000"/>
                <w:sz w:val="18"/>
                <w:szCs w:val="18"/>
              </w:rPr>
            </w:pPr>
            <w:r>
              <w:rPr>
                <w:b/>
                <w:bCs/>
                <w:color w:val="000000"/>
                <w:sz w:val="18"/>
                <w:szCs w:val="18"/>
              </w:rPr>
              <w:t>Projeto</w:t>
            </w:r>
          </w:p>
        </w:tc>
        <w:tc>
          <w:tcPr>
            <w:tcW w:w="1272" w:type="dxa"/>
            <w:shd w:val="clear" w:color="auto" w:fill="auto"/>
            <w:noWrap/>
            <w:vAlign w:val="bottom"/>
            <w:hideMark/>
          </w:tcPr>
          <w:p w:rsidR="00B6742C" w:rsidRDefault="00B6742C">
            <w:pPr>
              <w:rPr>
                <w:b/>
                <w:bCs/>
                <w:color w:val="000000"/>
                <w:sz w:val="18"/>
                <w:szCs w:val="18"/>
              </w:rPr>
            </w:pPr>
            <w:r>
              <w:rPr>
                <w:b/>
                <w:bCs/>
                <w:color w:val="000000"/>
                <w:sz w:val="18"/>
                <w:szCs w:val="18"/>
              </w:rPr>
              <w:t>Valor Líquido</w:t>
            </w:r>
          </w:p>
        </w:tc>
      </w:tr>
      <w:tr w:rsidR="00B6742C" w:rsidTr="00D5505F">
        <w:trPr>
          <w:trHeight w:val="51"/>
        </w:trPr>
        <w:tc>
          <w:tcPr>
            <w:tcW w:w="1880" w:type="dxa"/>
            <w:shd w:val="clear" w:color="auto" w:fill="auto"/>
            <w:noWrap/>
            <w:vAlign w:val="center"/>
            <w:hideMark/>
          </w:tcPr>
          <w:p w:rsidR="00B6742C" w:rsidRDefault="00B6742C">
            <w:pPr>
              <w:jc w:val="both"/>
              <w:rPr>
                <w:bCs/>
                <w:sz w:val="18"/>
                <w:szCs w:val="18"/>
              </w:rPr>
            </w:pPr>
            <w:r>
              <w:rPr>
                <w:bCs/>
                <w:sz w:val="18"/>
                <w:szCs w:val="18"/>
              </w:rPr>
              <w:t>Biritiba Mirim</w:t>
            </w:r>
          </w:p>
        </w:tc>
        <w:tc>
          <w:tcPr>
            <w:tcW w:w="1159" w:type="dxa"/>
            <w:shd w:val="clear" w:color="auto" w:fill="auto"/>
            <w:noWrap/>
            <w:vAlign w:val="center"/>
            <w:hideMark/>
          </w:tcPr>
          <w:p w:rsidR="00B6742C" w:rsidRDefault="00B6742C">
            <w:pPr>
              <w:rPr>
                <w:sz w:val="18"/>
                <w:szCs w:val="18"/>
              </w:rPr>
            </w:pPr>
            <w:r>
              <w:rPr>
                <w:sz w:val="18"/>
                <w:szCs w:val="18"/>
              </w:rPr>
              <w:t>007/14</w:t>
            </w:r>
          </w:p>
        </w:tc>
        <w:tc>
          <w:tcPr>
            <w:tcW w:w="6079" w:type="dxa"/>
            <w:shd w:val="clear" w:color="auto" w:fill="auto"/>
            <w:noWrap/>
            <w:vAlign w:val="bottom"/>
            <w:hideMark/>
          </w:tcPr>
          <w:p w:rsidR="00B6742C" w:rsidRDefault="00B6742C">
            <w:pPr>
              <w:jc w:val="both"/>
              <w:rPr>
                <w:sz w:val="18"/>
                <w:szCs w:val="18"/>
              </w:rPr>
            </w:pPr>
            <w:r>
              <w:rPr>
                <w:sz w:val="18"/>
                <w:szCs w:val="18"/>
              </w:rPr>
              <w:t>Pavimentação e Drenagem da Estrada Santa Catarina - Trecho 01</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1.046.112,08</w:t>
            </w:r>
          </w:p>
        </w:tc>
      </w:tr>
      <w:tr w:rsidR="00B6742C" w:rsidTr="00D5505F">
        <w:trPr>
          <w:trHeight w:val="105"/>
        </w:trPr>
        <w:tc>
          <w:tcPr>
            <w:tcW w:w="1880" w:type="dxa"/>
            <w:shd w:val="clear" w:color="auto" w:fill="auto"/>
            <w:noWrap/>
            <w:vAlign w:val="center"/>
            <w:hideMark/>
          </w:tcPr>
          <w:p w:rsidR="00B6742C" w:rsidRDefault="00B6742C">
            <w:pPr>
              <w:jc w:val="both"/>
              <w:rPr>
                <w:bCs/>
                <w:sz w:val="18"/>
                <w:szCs w:val="18"/>
              </w:rPr>
            </w:pPr>
            <w:r>
              <w:rPr>
                <w:bCs/>
                <w:sz w:val="18"/>
                <w:szCs w:val="18"/>
              </w:rPr>
              <w:t>Biritiba Mirim</w:t>
            </w:r>
          </w:p>
        </w:tc>
        <w:tc>
          <w:tcPr>
            <w:tcW w:w="1159" w:type="dxa"/>
            <w:shd w:val="clear" w:color="auto" w:fill="auto"/>
            <w:noWrap/>
            <w:vAlign w:val="center"/>
            <w:hideMark/>
          </w:tcPr>
          <w:p w:rsidR="00B6742C" w:rsidRDefault="00B6742C">
            <w:pPr>
              <w:rPr>
                <w:sz w:val="18"/>
                <w:szCs w:val="18"/>
              </w:rPr>
            </w:pPr>
            <w:r>
              <w:rPr>
                <w:sz w:val="18"/>
                <w:szCs w:val="18"/>
              </w:rPr>
              <w:t>020/14</w:t>
            </w:r>
          </w:p>
        </w:tc>
        <w:tc>
          <w:tcPr>
            <w:tcW w:w="6079" w:type="dxa"/>
            <w:shd w:val="clear" w:color="auto" w:fill="auto"/>
            <w:noWrap/>
            <w:vAlign w:val="bottom"/>
            <w:hideMark/>
          </w:tcPr>
          <w:p w:rsidR="00B6742C" w:rsidRDefault="00B6742C">
            <w:pPr>
              <w:jc w:val="both"/>
              <w:rPr>
                <w:sz w:val="18"/>
                <w:szCs w:val="18"/>
              </w:rPr>
            </w:pPr>
            <w:r>
              <w:rPr>
                <w:sz w:val="18"/>
                <w:szCs w:val="18"/>
              </w:rPr>
              <w:t>Pavimentação e Drenagem de vias nos Jardins Rosicler e dos Eucaliptos.</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698.147,95</w:t>
            </w:r>
          </w:p>
        </w:tc>
      </w:tr>
      <w:tr w:rsidR="00B6742C" w:rsidTr="00D5505F">
        <w:trPr>
          <w:trHeight w:val="51"/>
        </w:trPr>
        <w:tc>
          <w:tcPr>
            <w:tcW w:w="1880" w:type="dxa"/>
            <w:shd w:val="clear" w:color="auto" w:fill="auto"/>
            <w:noWrap/>
            <w:vAlign w:val="center"/>
            <w:hideMark/>
          </w:tcPr>
          <w:p w:rsidR="00B6742C" w:rsidRDefault="00B6742C">
            <w:pPr>
              <w:jc w:val="both"/>
              <w:rPr>
                <w:bCs/>
                <w:sz w:val="18"/>
                <w:szCs w:val="18"/>
              </w:rPr>
            </w:pPr>
            <w:r>
              <w:rPr>
                <w:bCs/>
                <w:sz w:val="18"/>
                <w:szCs w:val="18"/>
              </w:rPr>
              <w:t>Carapicuíba</w:t>
            </w:r>
          </w:p>
        </w:tc>
        <w:tc>
          <w:tcPr>
            <w:tcW w:w="1159" w:type="dxa"/>
            <w:shd w:val="clear" w:color="auto" w:fill="auto"/>
            <w:noWrap/>
            <w:vAlign w:val="center"/>
            <w:hideMark/>
          </w:tcPr>
          <w:p w:rsidR="00B6742C" w:rsidRDefault="00B6742C">
            <w:pPr>
              <w:rPr>
                <w:sz w:val="18"/>
                <w:szCs w:val="18"/>
              </w:rPr>
            </w:pPr>
            <w:r>
              <w:rPr>
                <w:sz w:val="18"/>
                <w:szCs w:val="18"/>
              </w:rPr>
              <w:t>009/14</w:t>
            </w:r>
          </w:p>
        </w:tc>
        <w:tc>
          <w:tcPr>
            <w:tcW w:w="6079" w:type="dxa"/>
            <w:shd w:val="clear" w:color="auto" w:fill="auto"/>
            <w:vAlign w:val="bottom"/>
            <w:hideMark/>
          </w:tcPr>
          <w:p w:rsidR="00B6742C" w:rsidRDefault="00B6742C">
            <w:pPr>
              <w:jc w:val="both"/>
              <w:rPr>
                <w:sz w:val="18"/>
                <w:szCs w:val="18"/>
              </w:rPr>
            </w:pPr>
            <w:r>
              <w:rPr>
                <w:sz w:val="18"/>
                <w:szCs w:val="18"/>
              </w:rPr>
              <w:t>Recuperação/Recapeamento da Avenida Inocêncio Seráfico.</w:t>
            </w:r>
          </w:p>
        </w:tc>
        <w:tc>
          <w:tcPr>
            <w:tcW w:w="1272" w:type="dxa"/>
            <w:shd w:val="clear" w:color="auto" w:fill="auto"/>
            <w:noWrap/>
            <w:vAlign w:val="bottom"/>
            <w:hideMark/>
          </w:tcPr>
          <w:p w:rsidR="00B6742C" w:rsidRDefault="00B6742C">
            <w:pPr>
              <w:jc w:val="right"/>
              <w:rPr>
                <w:bCs/>
                <w:sz w:val="18"/>
                <w:szCs w:val="18"/>
              </w:rPr>
            </w:pPr>
            <w:r>
              <w:rPr>
                <w:bCs/>
                <w:sz w:val="18"/>
                <w:szCs w:val="18"/>
              </w:rPr>
              <w:t>20.425.617,35</w:t>
            </w:r>
          </w:p>
        </w:tc>
      </w:tr>
      <w:tr w:rsidR="00B6742C" w:rsidTr="00D5505F">
        <w:trPr>
          <w:trHeight w:val="51"/>
        </w:trPr>
        <w:tc>
          <w:tcPr>
            <w:tcW w:w="1880" w:type="dxa"/>
            <w:shd w:val="clear" w:color="auto" w:fill="auto"/>
            <w:noWrap/>
            <w:vAlign w:val="center"/>
            <w:hideMark/>
          </w:tcPr>
          <w:p w:rsidR="00B6742C" w:rsidRDefault="00B6742C">
            <w:pPr>
              <w:jc w:val="both"/>
              <w:rPr>
                <w:bCs/>
                <w:sz w:val="18"/>
                <w:szCs w:val="18"/>
              </w:rPr>
            </w:pPr>
            <w:r>
              <w:rPr>
                <w:bCs/>
                <w:sz w:val="18"/>
                <w:szCs w:val="18"/>
              </w:rPr>
              <w:t>Carapicuíba</w:t>
            </w:r>
          </w:p>
        </w:tc>
        <w:tc>
          <w:tcPr>
            <w:tcW w:w="1159" w:type="dxa"/>
            <w:shd w:val="clear" w:color="auto" w:fill="auto"/>
            <w:noWrap/>
            <w:vAlign w:val="center"/>
            <w:hideMark/>
          </w:tcPr>
          <w:p w:rsidR="00B6742C" w:rsidRDefault="00B6742C">
            <w:pPr>
              <w:rPr>
                <w:sz w:val="18"/>
                <w:szCs w:val="18"/>
              </w:rPr>
            </w:pPr>
            <w:r>
              <w:rPr>
                <w:sz w:val="18"/>
                <w:szCs w:val="18"/>
              </w:rPr>
              <w:t>014/14</w:t>
            </w:r>
          </w:p>
        </w:tc>
        <w:tc>
          <w:tcPr>
            <w:tcW w:w="6079" w:type="dxa"/>
            <w:shd w:val="clear" w:color="auto" w:fill="auto"/>
            <w:noWrap/>
            <w:vAlign w:val="bottom"/>
            <w:hideMark/>
          </w:tcPr>
          <w:p w:rsidR="00B6742C" w:rsidRDefault="00B6742C">
            <w:pPr>
              <w:jc w:val="both"/>
              <w:rPr>
                <w:sz w:val="18"/>
                <w:szCs w:val="18"/>
              </w:rPr>
            </w:pPr>
            <w:r>
              <w:rPr>
                <w:sz w:val="18"/>
                <w:szCs w:val="18"/>
              </w:rPr>
              <w:t xml:space="preserve">Reconstrução de vias de acesso ao </w:t>
            </w:r>
            <w:r>
              <w:rPr>
                <w:i/>
                <w:sz w:val="18"/>
                <w:szCs w:val="18"/>
              </w:rPr>
              <w:t>Boulevard.</w:t>
            </w:r>
          </w:p>
        </w:tc>
        <w:tc>
          <w:tcPr>
            <w:tcW w:w="1272" w:type="dxa"/>
            <w:shd w:val="clear" w:color="auto" w:fill="auto"/>
            <w:noWrap/>
            <w:vAlign w:val="bottom"/>
            <w:hideMark/>
          </w:tcPr>
          <w:p w:rsidR="00B6742C" w:rsidRDefault="00B6742C">
            <w:pPr>
              <w:jc w:val="right"/>
              <w:rPr>
                <w:bCs/>
                <w:sz w:val="18"/>
                <w:szCs w:val="18"/>
              </w:rPr>
            </w:pPr>
            <w:r>
              <w:rPr>
                <w:bCs/>
                <w:sz w:val="18"/>
                <w:szCs w:val="18"/>
              </w:rPr>
              <w:t>4.158.293,75</w:t>
            </w:r>
          </w:p>
        </w:tc>
      </w:tr>
      <w:tr w:rsidR="00B6742C" w:rsidTr="00D5505F">
        <w:trPr>
          <w:trHeight w:val="103"/>
        </w:trPr>
        <w:tc>
          <w:tcPr>
            <w:tcW w:w="1880" w:type="dxa"/>
            <w:shd w:val="clear" w:color="auto" w:fill="auto"/>
            <w:noWrap/>
            <w:vAlign w:val="center"/>
            <w:hideMark/>
          </w:tcPr>
          <w:p w:rsidR="00B6742C" w:rsidRDefault="00B6742C">
            <w:pPr>
              <w:jc w:val="both"/>
              <w:rPr>
                <w:bCs/>
                <w:sz w:val="18"/>
                <w:szCs w:val="18"/>
              </w:rPr>
            </w:pPr>
            <w:r>
              <w:rPr>
                <w:bCs/>
                <w:sz w:val="18"/>
                <w:szCs w:val="18"/>
              </w:rPr>
              <w:t>Carapicuíba</w:t>
            </w:r>
          </w:p>
        </w:tc>
        <w:tc>
          <w:tcPr>
            <w:tcW w:w="1159" w:type="dxa"/>
            <w:shd w:val="clear" w:color="auto" w:fill="auto"/>
            <w:noWrap/>
            <w:vAlign w:val="center"/>
            <w:hideMark/>
          </w:tcPr>
          <w:p w:rsidR="00B6742C" w:rsidRDefault="00B6742C">
            <w:pPr>
              <w:rPr>
                <w:sz w:val="18"/>
                <w:szCs w:val="18"/>
              </w:rPr>
            </w:pPr>
            <w:r>
              <w:rPr>
                <w:sz w:val="18"/>
                <w:szCs w:val="18"/>
              </w:rPr>
              <w:t>018/14</w:t>
            </w:r>
          </w:p>
        </w:tc>
        <w:tc>
          <w:tcPr>
            <w:tcW w:w="6079" w:type="dxa"/>
            <w:shd w:val="clear" w:color="auto" w:fill="auto"/>
            <w:noWrap/>
            <w:vAlign w:val="bottom"/>
            <w:hideMark/>
          </w:tcPr>
          <w:p w:rsidR="00B6742C" w:rsidRDefault="00B6742C">
            <w:pPr>
              <w:jc w:val="both"/>
              <w:rPr>
                <w:sz w:val="18"/>
                <w:szCs w:val="18"/>
              </w:rPr>
            </w:pPr>
            <w:r>
              <w:rPr>
                <w:sz w:val="18"/>
                <w:szCs w:val="18"/>
              </w:rPr>
              <w:t>Canalização de Trecho do Córrego Guapiúva e Implantação do Retorno Viário.</w:t>
            </w:r>
          </w:p>
        </w:tc>
        <w:tc>
          <w:tcPr>
            <w:tcW w:w="1272" w:type="dxa"/>
            <w:shd w:val="clear" w:color="auto" w:fill="auto"/>
            <w:noWrap/>
            <w:vAlign w:val="bottom"/>
            <w:hideMark/>
          </w:tcPr>
          <w:p w:rsidR="00B6742C" w:rsidRDefault="00B6742C">
            <w:pPr>
              <w:jc w:val="right"/>
              <w:rPr>
                <w:bCs/>
                <w:sz w:val="18"/>
                <w:szCs w:val="18"/>
              </w:rPr>
            </w:pPr>
            <w:r>
              <w:rPr>
                <w:bCs/>
                <w:sz w:val="18"/>
                <w:szCs w:val="18"/>
              </w:rPr>
              <w:t>2.254.725,63</w:t>
            </w:r>
          </w:p>
        </w:tc>
      </w:tr>
      <w:tr w:rsidR="00B6742C" w:rsidTr="00D5505F">
        <w:trPr>
          <w:trHeight w:val="327"/>
        </w:trPr>
        <w:tc>
          <w:tcPr>
            <w:tcW w:w="1880" w:type="dxa"/>
            <w:shd w:val="clear" w:color="auto" w:fill="auto"/>
            <w:noWrap/>
            <w:vAlign w:val="center"/>
            <w:hideMark/>
          </w:tcPr>
          <w:p w:rsidR="00B6742C" w:rsidRDefault="00B6742C">
            <w:pPr>
              <w:jc w:val="both"/>
              <w:rPr>
                <w:bCs/>
                <w:sz w:val="18"/>
                <w:szCs w:val="18"/>
              </w:rPr>
            </w:pPr>
            <w:r>
              <w:rPr>
                <w:bCs/>
                <w:sz w:val="18"/>
                <w:szCs w:val="18"/>
              </w:rPr>
              <w:t>Carapicuíba</w:t>
            </w:r>
          </w:p>
        </w:tc>
        <w:tc>
          <w:tcPr>
            <w:tcW w:w="1159" w:type="dxa"/>
            <w:shd w:val="clear" w:color="auto" w:fill="auto"/>
            <w:noWrap/>
            <w:vAlign w:val="center"/>
            <w:hideMark/>
          </w:tcPr>
          <w:p w:rsidR="00B6742C" w:rsidRDefault="00B6742C">
            <w:pPr>
              <w:rPr>
                <w:sz w:val="18"/>
                <w:szCs w:val="18"/>
              </w:rPr>
            </w:pPr>
            <w:r>
              <w:rPr>
                <w:sz w:val="18"/>
                <w:szCs w:val="18"/>
              </w:rPr>
              <w:t>021/14</w:t>
            </w:r>
          </w:p>
        </w:tc>
        <w:tc>
          <w:tcPr>
            <w:tcW w:w="6079" w:type="dxa"/>
            <w:shd w:val="clear" w:color="auto" w:fill="auto"/>
            <w:vAlign w:val="center"/>
            <w:hideMark/>
          </w:tcPr>
          <w:p w:rsidR="00B6742C" w:rsidRDefault="00B6742C">
            <w:pPr>
              <w:jc w:val="both"/>
              <w:rPr>
                <w:sz w:val="18"/>
                <w:szCs w:val="18"/>
              </w:rPr>
            </w:pPr>
            <w:r>
              <w:rPr>
                <w:sz w:val="18"/>
                <w:szCs w:val="18"/>
              </w:rPr>
              <w:t xml:space="preserve">Construção de Passagem de Nível do Sistema Viário Mário Covas e Construção do </w:t>
            </w:r>
            <w:r>
              <w:rPr>
                <w:i/>
                <w:sz w:val="18"/>
                <w:szCs w:val="18"/>
              </w:rPr>
              <w:t>Boulevard</w:t>
            </w:r>
            <w:r>
              <w:rPr>
                <w:sz w:val="18"/>
                <w:szCs w:val="18"/>
              </w:rPr>
              <w:t xml:space="preserve"> de Interligação do Calçadão a Fatec/Etec - 3ª Etapa.</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6.891.081,32</w:t>
            </w:r>
          </w:p>
        </w:tc>
      </w:tr>
      <w:tr w:rsidR="00B6742C" w:rsidTr="00D5505F">
        <w:trPr>
          <w:trHeight w:val="332"/>
        </w:trPr>
        <w:tc>
          <w:tcPr>
            <w:tcW w:w="1880" w:type="dxa"/>
            <w:shd w:val="clear" w:color="auto" w:fill="auto"/>
            <w:noWrap/>
            <w:vAlign w:val="center"/>
            <w:hideMark/>
          </w:tcPr>
          <w:p w:rsidR="00B6742C" w:rsidRDefault="00B6742C">
            <w:pPr>
              <w:jc w:val="both"/>
              <w:rPr>
                <w:bCs/>
                <w:sz w:val="18"/>
                <w:szCs w:val="18"/>
              </w:rPr>
            </w:pPr>
            <w:r>
              <w:rPr>
                <w:bCs/>
                <w:sz w:val="18"/>
                <w:szCs w:val="18"/>
              </w:rPr>
              <w:t>Carapicuíba</w:t>
            </w:r>
          </w:p>
        </w:tc>
        <w:tc>
          <w:tcPr>
            <w:tcW w:w="1159" w:type="dxa"/>
            <w:shd w:val="clear" w:color="auto" w:fill="auto"/>
            <w:noWrap/>
            <w:vAlign w:val="center"/>
            <w:hideMark/>
          </w:tcPr>
          <w:p w:rsidR="00B6742C" w:rsidRDefault="00B6742C">
            <w:pPr>
              <w:rPr>
                <w:sz w:val="18"/>
                <w:szCs w:val="18"/>
              </w:rPr>
            </w:pPr>
            <w:r>
              <w:rPr>
                <w:sz w:val="18"/>
                <w:szCs w:val="18"/>
              </w:rPr>
              <w:t>012/12 1ºTA</w:t>
            </w:r>
          </w:p>
        </w:tc>
        <w:tc>
          <w:tcPr>
            <w:tcW w:w="6079" w:type="dxa"/>
            <w:shd w:val="clear" w:color="auto" w:fill="auto"/>
            <w:vAlign w:val="center"/>
            <w:hideMark/>
          </w:tcPr>
          <w:p w:rsidR="00B6742C" w:rsidRDefault="00B6742C">
            <w:pPr>
              <w:jc w:val="both"/>
              <w:rPr>
                <w:sz w:val="18"/>
                <w:szCs w:val="18"/>
              </w:rPr>
            </w:pPr>
            <w:r>
              <w:rPr>
                <w:sz w:val="18"/>
                <w:szCs w:val="18"/>
              </w:rPr>
              <w:t xml:space="preserve">Construção de Passagem de Nível do Sistema Viário Mário Covas e Construção do </w:t>
            </w:r>
            <w:r>
              <w:rPr>
                <w:i/>
                <w:sz w:val="18"/>
                <w:szCs w:val="18"/>
              </w:rPr>
              <w:t>Boulevard</w:t>
            </w:r>
            <w:r>
              <w:rPr>
                <w:sz w:val="18"/>
                <w:szCs w:val="18"/>
              </w:rPr>
              <w:t xml:space="preserve"> de Interligação do Calçadão a Fatec/Etec - (R$ 19.047.184,56 - valor líquido original + R$ 2.314.045,20 - valor líquido aditado).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2.314.045,20</w:t>
            </w:r>
          </w:p>
        </w:tc>
      </w:tr>
      <w:tr w:rsidR="00B6742C" w:rsidTr="00D5505F">
        <w:trPr>
          <w:trHeight w:val="548"/>
        </w:trPr>
        <w:tc>
          <w:tcPr>
            <w:tcW w:w="1880" w:type="dxa"/>
            <w:shd w:val="clear" w:color="auto" w:fill="auto"/>
            <w:noWrap/>
            <w:vAlign w:val="center"/>
            <w:hideMark/>
          </w:tcPr>
          <w:p w:rsidR="00B6742C" w:rsidRDefault="00B6742C">
            <w:pPr>
              <w:jc w:val="both"/>
              <w:rPr>
                <w:bCs/>
                <w:sz w:val="18"/>
                <w:szCs w:val="18"/>
              </w:rPr>
            </w:pPr>
            <w:r>
              <w:rPr>
                <w:bCs/>
                <w:sz w:val="18"/>
                <w:szCs w:val="18"/>
              </w:rPr>
              <w:t>Carapicuíba</w:t>
            </w:r>
          </w:p>
        </w:tc>
        <w:tc>
          <w:tcPr>
            <w:tcW w:w="1159" w:type="dxa"/>
            <w:shd w:val="clear" w:color="auto" w:fill="auto"/>
            <w:noWrap/>
            <w:vAlign w:val="center"/>
            <w:hideMark/>
          </w:tcPr>
          <w:p w:rsidR="00B6742C" w:rsidRDefault="00B6742C">
            <w:pPr>
              <w:rPr>
                <w:sz w:val="18"/>
                <w:szCs w:val="18"/>
              </w:rPr>
            </w:pPr>
            <w:r>
              <w:rPr>
                <w:sz w:val="18"/>
                <w:szCs w:val="18"/>
              </w:rPr>
              <w:t>001/13 1ºTA</w:t>
            </w:r>
          </w:p>
        </w:tc>
        <w:tc>
          <w:tcPr>
            <w:tcW w:w="6079" w:type="dxa"/>
            <w:shd w:val="clear" w:color="auto" w:fill="auto"/>
            <w:vAlign w:val="center"/>
            <w:hideMark/>
          </w:tcPr>
          <w:p w:rsidR="00B6742C" w:rsidRDefault="00B6742C">
            <w:pPr>
              <w:jc w:val="both"/>
              <w:rPr>
                <w:sz w:val="18"/>
                <w:szCs w:val="18"/>
              </w:rPr>
            </w:pPr>
            <w:r>
              <w:rPr>
                <w:sz w:val="18"/>
                <w:szCs w:val="18"/>
              </w:rPr>
              <w:t xml:space="preserve">Construção de Passagem de Nível do Sistema Viário Mário Covas e Construção do </w:t>
            </w:r>
            <w:r>
              <w:rPr>
                <w:i/>
                <w:sz w:val="18"/>
                <w:szCs w:val="18"/>
              </w:rPr>
              <w:t>Boulevard</w:t>
            </w:r>
            <w:r>
              <w:rPr>
                <w:sz w:val="18"/>
                <w:szCs w:val="18"/>
              </w:rPr>
              <w:t xml:space="preserve"> de Interligação do Calçadão a Fatec/Etec - 2ª Etapa - (R$ 19.264.318,19 - valor líquido original + R$ 4.103.861,19 - valor líquido aditado).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4.103.861,19</w:t>
            </w:r>
          </w:p>
        </w:tc>
      </w:tr>
      <w:tr w:rsidR="00B6742C" w:rsidTr="00D5505F">
        <w:trPr>
          <w:trHeight w:val="60"/>
        </w:trPr>
        <w:tc>
          <w:tcPr>
            <w:tcW w:w="1880" w:type="dxa"/>
            <w:shd w:val="clear" w:color="auto" w:fill="auto"/>
            <w:noWrap/>
            <w:vAlign w:val="center"/>
            <w:hideMark/>
          </w:tcPr>
          <w:p w:rsidR="00B6742C" w:rsidRDefault="00B6742C">
            <w:pPr>
              <w:jc w:val="both"/>
              <w:rPr>
                <w:bCs/>
                <w:sz w:val="18"/>
                <w:szCs w:val="18"/>
              </w:rPr>
            </w:pPr>
            <w:r>
              <w:rPr>
                <w:bCs/>
                <w:sz w:val="18"/>
                <w:szCs w:val="18"/>
              </w:rPr>
              <w:t>Cotia</w:t>
            </w:r>
          </w:p>
        </w:tc>
        <w:tc>
          <w:tcPr>
            <w:tcW w:w="1159" w:type="dxa"/>
            <w:shd w:val="clear" w:color="auto" w:fill="auto"/>
            <w:noWrap/>
            <w:vAlign w:val="center"/>
            <w:hideMark/>
          </w:tcPr>
          <w:p w:rsidR="00B6742C" w:rsidRDefault="00B6742C">
            <w:pPr>
              <w:rPr>
                <w:sz w:val="18"/>
                <w:szCs w:val="18"/>
              </w:rPr>
            </w:pPr>
            <w:r>
              <w:rPr>
                <w:sz w:val="18"/>
                <w:szCs w:val="18"/>
              </w:rPr>
              <w:t>025/14</w:t>
            </w:r>
          </w:p>
        </w:tc>
        <w:tc>
          <w:tcPr>
            <w:tcW w:w="6079" w:type="dxa"/>
            <w:shd w:val="clear" w:color="auto" w:fill="auto"/>
            <w:noWrap/>
            <w:vAlign w:val="bottom"/>
            <w:hideMark/>
          </w:tcPr>
          <w:p w:rsidR="00B6742C" w:rsidRDefault="00B6742C">
            <w:pPr>
              <w:jc w:val="both"/>
              <w:rPr>
                <w:sz w:val="18"/>
                <w:szCs w:val="18"/>
              </w:rPr>
            </w:pPr>
            <w:r>
              <w:rPr>
                <w:sz w:val="18"/>
                <w:szCs w:val="18"/>
              </w:rPr>
              <w:t>Recuperação de Vias Coletoras e Pavimentação de Corredores Viários.</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4.000.000,00</w:t>
            </w:r>
          </w:p>
        </w:tc>
      </w:tr>
      <w:tr w:rsidR="00B6742C" w:rsidTr="00D5505F">
        <w:trPr>
          <w:trHeight w:val="119"/>
        </w:trPr>
        <w:tc>
          <w:tcPr>
            <w:tcW w:w="1880" w:type="dxa"/>
            <w:shd w:val="clear" w:color="auto" w:fill="auto"/>
            <w:noWrap/>
            <w:vAlign w:val="center"/>
            <w:hideMark/>
          </w:tcPr>
          <w:p w:rsidR="00B6742C" w:rsidRDefault="00B6742C">
            <w:pPr>
              <w:jc w:val="both"/>
              <w:rPr>
                <w:bCs/>
                <w:sz w:val="18"/>
                <w:szCs w:val="18"/>
              </w:rPr>
            </w:pPr>
            <w:r>
              <w:rPr>
                <w:bCs/>
                <w:sz w:val="18"/>
                <w:szCs w:val="18"/>
              </w:rPr>
              <w:t>Embu Guaçu</w:t>
            </w:r>
          </w:p>
        </w:tc>
        <w:tc>
          <w:tcPr>
            <w:tcW w:w="1159" w:type="dxa"/>
            <w:shd w:val="clear" w:color="auto" w:fill="auto"/>
            <w:noWrap/>
            <w:vAlign w:val="center"/>
            <w:hideMark/>
          </w:tcPr>
          <w:p w:rsidR="00B6742C" w:rsidRDefault="00B6742C">
            <w:pPr>
              <w:rPr>
                <w:sz w:val="18"/>
                <w:szCs w:val="18"/>
              </w:rPr>
            </w:pPr>
            <w:r>
              <w:rPr>
                <w:sz w:val="18"/>
                <w:szCs w:val="18"/>
              </w:rPr>
              <w:t>013/14</w:t>
            </w:r>
          </w:p>
        </w:tc>
        <w:tc>
          <w:tcPr>
            <w:tcW w:w="6079" w:type="dxa"/>
            <w:shd w:val="clear" w:color="auto" w:fill="auto"/>
            <w:vAlign w:val="bottom"/>
            <w:hideMark/>
          </w:tcPr>
          <w:p w:rsidR="00B6742C" w:rsidRDefault="00B6742C">
            <w:pPr>
              <w:jc w:val="both"/>
              <w:rPr>
                <w:sz w:val="18"/>
                <w:szCs w:val="18"/>
              </w:rPr>
            </w:pPr>
            <w:r>
              <w:rPr>
                <w:sz w:val="18"/>
                <w:szCs w:val="18"/>
              </w:rPr>
              <w:t>Obras para implantação de Mercadão Cultural e Turístico, inclusive desapropriação.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2.782.761,91</w:t>
            </w:r>
          </w:p>
        </w:tc>
      </w:tr>
      <w:tr w:rsidR="00B6742C" w:rsidTr="00D5505F">
        <w:trPr>
          <w:trHeight w:val="68"/>
        </w:trPr>
        <w:tc>
          <w:tcPr>
            <w:tcW w:w="1880" w:type="dxa"/>
            <w:shd w:val="clear" w:color="auto" w:fill="auto"/>
            <w:noWrap/>
            <w:vAlign w:val="center"/>
            <w:hideMark/>
          </w:tcPr>
          <w:p w:rsidR="00B6742C" w:rsidRDefault="00B6742C">
            <w:pPr>
              <w:jc w:val="both"/>
              <w:rPr>
                <w:bCs/>
                <w:sz w:val="18"/>
                <w:szCs w:val="18"/>
              </w:rPr>
            </w:pPr>
            <w:r>
              <w:rPr>
                <w:bCs/>
                <w:sz w:val="18"/>
                <w:szCs w:val="18"/>
              </w:rPr>
              <w:t>Ferraz de Vasconcelos</w:t>
            </w:r>
          </w:p>
        </w:tc>
        <w:tc>
          <w:tcPr>
            <w:tcW w:w="1159" w:type="dxa"/>
            <w:shd w:val="clear" w:color="auto" w:fill="auto"/>
            <w:noWrap/>
            <w:vAlign w:val="center"/>
            <w:hideMark/>
          </w:tcPr>
          <w:p w:rsidR="00B6742C" w:rsidRDefault="00B6742C">
            <w:pPr>
              <w:rPr>
                <w:sz w:val="18"/>
                <w:szCs w:val="18"/>
              </w:rPr>
            </w:pPr>
            <w:r>
              <w:rPr>
                <w:sz w:val="18"/>
                <w:szCs w:val="18"/>
              </w:rPr>
              <w:t>012/14</w:t>
            </w:r>
          </w:p>
        </w:tc>
        <w:tc>
          <w:tcPr>
            <w:tcW w:w="6079" w:type="dxa"/>
            <w:shd w:val="clear" w:color="auto" w:fill="auto"/>
            <w:vAlign w:val="bottom"/>
            <w:hideMark/>
          </w:tcPr>
          <w:p w:rsidR="00B6742C" w:rsidRDefault="00B6742C">
            <w:pPr>
              <w:jc w:val="both"/>
              <w:rPr>
                <w:sz w:val="18"/>
                <w:szCs w:val="18"/>
              </w:rPr>
            </w:pPr>
            <w:r>
              <w:rPr>
                <w:sz w:val="18"/>
                <w:szCs w:val="18"/>
              </w:rPr>
              <w:t>Programa de Mobilidade Municipal.</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13.849.555,72</w:t>
            </w:r>
          </w:p>
        </w:tc>
      </w:tr>
      <w:tr w:rsidR="00B6742C" w:rsidTr="00D5505F">
        <w:trPr>
          <w:trHeight w:val="129"/>
        </w:trPr>
        <w:tc>
          <w:tcPr>
            <w:tcW w:w="1880" w:type="dxa"/>
            <w:shd w:val="clear" w:color="auto" w:fill="auto"/>
            <w:noWrap/>
            <w:vAlign w:val="center"/>
            <w:hideMark/>
          </w:tcPr>
          <w:p w:rsidR="00B6742C" w:rsidRDefault="00B6742C">
            <w:pPr>
              <w:jc w:val="both"/>
              <w:rPr>
                <w:bCs/>
                <w:sz w:val="18"/>
                <w:szCs w:val="18"/>
              </w:rPr>
            </w:pPr>
            <w:r>
              <w:rPr>
                <w:bCs/>
                <w:sz w:val="18"/>
                <w:szCs w:val="18"/>
              </w:rPr>
              <w:t>Franco da Rocha</w:t>
            </w:r>
          </w:p>
        </w:tc>
        <w:tc>
          <w:tcPr>
            <w:tcW w:w="1159" w:type="dxa"/>
            <w:shd w:val="clear" w:color="auto" w:fill="auto"/>
            <w:noWrap/>
            <w:vAlign w:val="center"/>
            <w:hideMark/>
          </w:tcPr>
          <w:p w:rsidR="00B6742C" w:rsidRDefault="00B6742C">
            <w:pPr>
              <w:rPr>
                <w:sz w:val="18"/>
                <w:szCs w:val="18"/>
              </w:rPr>
            </w:pPr>
            <w:r>
              <w:rPr>
                <w:sz w:val="18"/>
                <w:szCs w:val="18"/>
              </w:rPr>
              <w:t>024/14</w:t>
            </w:r>
          </w:p>
        </w:tc>
        <w:tc>
          <w:tcPr>
            <w:tcW w:w="6079" w:type="dxa"/>
            <w:shd w:val="clear" w:color="auto" w:fill="auto"/>
            <w:noWrap/>
            <w:vAlign w:val="bottom"/>
            <w:hideMark/>
          </w:tcPr>
          <w:p w:rsidR="00B6742C" w:rsidRDefault="00B6742C">
            <w:pPr>
              <w:jc w:val="both"/>
              <w:rPr>
                <w:sz w:val="18"/>
                <w:szCs w:val="18"/>
              </w:rPr>
            </w:pPr>
            <w:r>
              <w:rPr>
                <w:sz w:val="18"/>
                <w:szCs w:val="18"/>
              </w:rPr>
              <w:t>Implantação de Terminal de Ônibus Urbano.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5.345.210,43</w:t>
            </w:r>
          </w:p>
        </w:tc>
      </w:tr>
      <w:tr w:rsidR="00B6742C" w:rsidTr="00D5505F">
        <w:trPr>
          <w:trHeight w:val="373"/>
        </w:trPr>
        <w:tc>
          <w:tcPr>
            <w:tcW w:w="1880" w:type="dxa"/>
            <w:shd w:val="clear" w:color="auto" w:fill="auto"/>
            <w:noWrap/>
            <w:vAlign w:val="center"/>
            <w:hideMark/>
          </w:tcPr>
          <w:p w:rsidR="00B6742C" w:rsidRDefault="00B6742C">
            <w:pPr>
              <w:jc w:val="both"/>
              <w:rPr>
                <w:bCs/>
                <w:sz w:val="18"/>
                <w:szCs w:val="18"/>
              </w:rPr>
            </w:pPr>
            <w:r>
              <w:rPr>
                <w:bCs/>
                <w:sz w:val="18"/>
                <w:szCs w:val="18"/>
              </w:rPr>
              <w:t>Francisco Morato</w:t>
            </w:r>
          </w:p>
        </w:tc>
        <w:tc>
          <w:tcPr>
            <w:tcW w:w="1159" w:type="dxa"/>
            <w:shd w:val="clear" w:color="auto" w:fill="auto"/>
            <w:noWrap/>
            <w:vAlign w:val="center"/>
            <w:hideMark/>
          </w:tcPr>
          <w:p w:rsidR="00B6742C" w:rsidRDefault="00B6742C">
            <w:pPr>
              <w:rPr>
                <w:sz w:val="18"/>
                <w:szCs w:val="18"/>
              </w:rPr>
            </w:pPr>
            <w:r>
              <w:rPr>
                <w:sz w:val="18"/>
                <w:szCs w:val="18"/>
              </w:rPr>
              <w:t>011/14</w:t>
            </w:r>
          </w:p>
        </w:tc>
        <w:tc>
          <w:tcPr>
            <w:tcW w:w="6079" w:type="dxa"/>
            <w:shd w:val="clear" w:color="auto" w:fill="auto"/>
            <w:vAlign w:val="bottom"/>
            <w:hideMark/>
          </w:tcPr>
          <w:p w:rsidR="00B6742C" w:rsidRDefault="00B6742C">
            <w:pPr>
              <w:jc w:val="both"/>
              <w:rPr>
                <w:sz w:val="18"/>
                <w:szCs w:val="18"/>
              </w:rPr>
            </w:pPr>
            <w:r>
              <w:rPr>
                <w:sz w:val="18"/>
                <w:szCs w:val="18"/>
              </w:rPr>
              <w:t>Revitalização e Implantação de Acessibilidade da Área de Entorno dos Terminais Rodoviários Urbanos - 2ª Etapa.</w:t>
            </w:r>
          </w:p>
        </w:tc>
        <w:tc>
          <w:tcPr>
            <w:tcW w:w="1272" w:type="dxa"/>
            <w:shd w:val="clear" w:color="auto" w:fill="auto"/>
            <w:noWrap/>
            <w:vAlign w:val="bottom"/>
            <w:hideMark/>
          </w:tcPr>
          <w:p w:rsidR="00B6742C" w:rsidRDefault="00B6742C">
            <w:pPr>
              <w:jc w:val="right"/>
              <w:rPr>
                <w:bCs/>
                <w:sz w:val="18"/>
                <w:szCs w:val="18"/>
              </w:rPr>
            </w:pPr>
            <w:r>
              <w:rPr>
                <w:bCs/>
                <w:sz w:val="18"/>
                <w:szCs w:val="18"/>
              </w:rPr>
              <w:t>7.439.419,19</w:t>
            </w:r>
          </w:p>
        </w:tc>
      </w:tr>
      <w:tr w:rsidR="00B6742C" w:rsidTr="00D5505F">
        <w:trPr>
          <w:trHeight w:val="197"/>
        </w:trPr>
        <w:tc>
          <w:tcPr>
            <w:tcW w:w="1880" w:type="dxa"/>
            <w:shd w:val="clear" w:color="auto" w:fill="auto"/>
            <w:noWrap/>
            <w:vAlign w:val="center"/>
            <w:hideMark/>
          </w:tcPr>
          <w:p w:rsidR="00B6742C" w:rsidRDefault="00B6742C">
            <w:pPr>
              <w:jc w:val="both"/>
              <w:rPr>
                <w:bCs/>
                <w:sz w:val="18"/>
                <w:szCs w:val="18"/>
              </w:rPr>
            </w:pPr>
            <w:r>
              <w:rPr>
                <w:bCs/>
                <w:sz w:val="18"/>
                <w:szCs w:val="18"/>
              </w:rPr>
              <w:t>Francisco Morato</w:t>
            </w:r>
          </w:p>
        </w:tc>
        <w:tc>
          <w:tcPr>
            <w:tcW w:w="1159" w:type="dxa"/>
            <w:shd w:val="clear" w:color="auto" w:fill="auto"/>
            <w:noWrap/>
            <w:vAlign w:val="center"/>
            <w:hideMark/>
          </w:tcPr>
          <w:p w:rsidR="00B6742C" w:rsidRDefault="00B6742C">
            <w:pPr>
              <w:rPr>
                <w:sz w:val="18"/>
                <w:szCs w:val="18"/>
              </w:rPr>
            </w:pPr>
            <w:r>
              <w:rPr>
                <w:sz w:val="18"/>
                <w:szCs w:val="18"/>
              </w:rPr>
              <w:t>016/14</w:t>
            </w:r>
          </w:p>
        </w:tc>
        <w:tc>
          <w:tcPr>
            <w:tcW w:w="6079" w:type="dxa"/>
            <w:shd w:val="clear" w:color="auto" w:fill="auto"/>
            <w:noWrap/>
            <w:vAlign w:val="bottom"/>
            <w:hideMark/>
          </w:tcPr>
          <w:p w:rsidR="00B6742C" w:rsidRDefault="00B6742C">
            <w:pPr>
              <w:jc w:val="both"/>
              <w:rPr>
                <w:sz w:val="18"/>
                <w:szCs w:val="18"/>
              </w:rPr>
            </w:pPr>
            <w:r>
              <w:rPr>
                <w:sz w:val="18"/>
                <w:szCs w:val="18"/>
              </w:rPr>
              <w:t>Pavimentação do Corredor de Ônibus Ouro Preto - 1ª Etapa.</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5.120.085,25</w:t>
            </w:r>
          </w:p>
        </w:tc>
      </w:tr>
      <w:tr w:rsidR="00B6742C" w:rsidTr="00D5505F">
        <w:trPr>
          <w:trHeight w:val="196"/>
        </w:trPr>
        <w:tc>
          <w:tcPr>
            <w:tcW w:w="1880" w:type="dxa"/>
            <w:shd w:val="clear" w:color="auto" w:fill="auto"/>
            <w:noWrap/>
            <w:vAlign w:val="center"/>
            <w:hideMark/>
          </w:tcPr>
          <w:p w:rsidR="00B6742C" w:rsidRDefault="00B6742C">
            <w:pPr>
              <w:jc w:val="both"/>
              <w:rPr>
                <w:bCs/>
                <w:sz w:val="18"/>
                <w:szCs w:val="18"/>
              </w:rPr>
            </w:pPr>
            <w:r>
              <w:rPr>
                <w:bCs/>
                <w:sz w:val="18"/>
                <w:szCs w:val="18"/>
              </w:rPr>
              <w:t>Francisco Morato</w:t>
            </w:r>
          </w:p>
        </w:tc>
        <w:tc>
          <w:tcPr>
            <w:tcW w:w="1159" w:type="dxa"/>
            <w:shd w:val="clear" w:color="auto" w:fill="auto"/>
            <w:noWrap/>
            <w:vAlign w:val="center"/>
            <w:hideMark/>
          </w:tcPr>
          <w:p w:rsidR="00B6742C" w:rsidRDefault="00B6742C">
            <w:pPr>
              <w:rPr>
                <w:sz w:val="18"/>
                <w:szCs w:val="18"/>
              </w:rPr>
            </w:pPr>
            <w:r>
              <w:rPr>
                <w:sz w:val="18"/>
                <w:szCs w:val="18"/>
              </w:rPr>
              <w:t>017/14</w:t>
            </w:r>
          </w:p>
        </w:tc>
        <w:tc>
          <w:tcPr>
            <w:tcW w:w="6079" w:type="dxa"/>
            <w:shd w:val="clear" w:color="auto" w:fill="auto"/>
            <w:noWrap/>
            <w:vAlign w:val="bottom"/>
            <w:hideMark/>
          </w:tcPr>
          <w:p w:rsidR="00B6742C" w:rsidRDefault="00B6742C">
            <w:pPr>
              <w:jc w:val="both"/>
              <w:rPr>
                <w:sz w:val="18"/>
                <w:szCs w:val="18"/>
              </w:rPr>
            </w:pPr>
            <w:r>
              <w:rPr>
                <w:sz w:val="18"/>
                <w:szCs w:val="18"/>
              </w:rPr>
              <w:t>Pavimentação do Corredor de Ônibus Arcílio Federzoni - 1ª Etapa.</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7.960.248,19</w:t>
            </w:r>
          </w:p>
        </w:tc>
      </w:tr>
      <w:tr w:rsidR="00B6742C" w:rsidTr="00D5505F">
        <w:trPr>
          <w:trHeight w:val="100"/>
        </w:trPr>
        <w:tc>
          <w:tcPr>
            <w:tcW w:w="1880" w:type="dxa"/>
            <w:shd w:val="clear" w:color="auto" w:fill="auto"/>
            <w:noWrap/>
            <w:vAlign w:val="center"/>
            <w:hideMark/>
          </w:tcPr>
          <w:p w:rsidR="00B6742C" w:rsidRDefault="00B6742C">
            <w:pPr>
              <w:jc w:val="both"/>
              <w:rPr>
                <w:bCs/>
                <w:sz w:val="18"/>
                <w:szCs w:val="18"/>
              </w:rPr>
            </w:pPr>
            <w:r>
              <w:rPr>
                <w:bCs/>
                <w:sz w:val="18"/>
                <w:szCs w:val="18"/>
              </w:rPr>
              <w:t>Francisco Morato</w:t>
            </w:r>
          </w:p>
        </w:tc>
        <w:tc>
          <w:tcPr>
            <w:tcW w:w="1159" w:type="dxa"/>
            <w:shd w:val="clear" w:color="auto" w:fill="auto"/>
            <w:noWrap/>
            <w:vAlign w:val="center"/>
            <w:hideMark/>
          </w:tcPr>
          <w:p w:rsidR="00B6742C" w:rsidRDefault="00B6742C">
            <w:pPr>
              <w:rPr>
                <w:sz w:val="18"/>
                <w:szCs w:val="18"/>
              </w:rPr>
            </w:pPr>
            <w:r>
              <w:rPr>
                <w:sz w:val="18"/>
                <w:szCs w:val="18"/>
              </w:rPr>
              <w:t>028/06 1ºTA</w:t>
            </w:r>
          </w:p>
        </w:tc>
        <w:tc>
          <w:tcPr>
            <w:tcW w:w="6079" w:type="dxa"/>
            <w:shd w:val="clear" w:color="auto" w:fill="auto"/>
            <w:vAlign w:val="bottom"/>
            <w:hideMark/>
          </w:tcPr>
          <w:p w:rsidR="00B6742C" w:rsidRDefault="00B6742C">
            <w:pPr>
              <w:jc w:val="both"/>
              <w:rPr>
                <w:sz w:val="18"/>
                <w:szCs w:val="18"/>
              </w:rPr>
            </w:pPr>
            <w:r>
              <w:rPr>
                <w:sz w:val="18"/>
                <w:szCs w:val="18"/>
              </w:rPr>
              <w:t>Obras no Terminal Rodoviário Leste e Passarela de Transposição para o Lado Oeste - (R$ 4.400.000,00 - valor líquido original + R$ 3.384.175,49 - valor líquido aditado).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3.384.175,49</w:t>
            </w:r>
          </w:p>
        </w:tc>
      </w:tr>
      <w:tr w:rsidR="00B6742C" w:rsidTr="00D5505F">
        <w:trPr>
          <w:trHeight w:val="202"/>
        </w:trPr>
        <w:tc>
          <w:tcPr>
            <w:tcW w:w="1880" w:type="dxa"/>
            <w:shd w:val="clear" w:color="auto" w:fill="auto"/>
            <w:noWrap/>
            <w:vAlign w:val="center"/>
            <w:hideMark/>
          </w:tcPr>
          <w:p w:rsidR="00B6742C" w:rsidRDefault="00B6742C">
            <w:pPr>
              <w:jc w:val="both"/>
              <w:rPr>
                <w:bCs/>
                <w:sz w:val="18"/>
                <w:szCs w:val="18"/>
              </w:rPr>
            </w:pPr>
            <w:r>
              <w:rPr>
                <w:bCs/>
                <w:sz w:val="18"/>
                <w:szCs w:val="18"/>
              </w:rPr>
              <w:t>Francisco Morato</w:t>
            </w:r>
          </w:p>
        </w:tc>
        <w:tc>
          <w:tcPr>
            <w:tcW w:w="1159" w:type="dxa"/>
            <w:shd w:val="clear" w:color="auto" w:fill="auto"/>
            <w:noWrap/>
            <w:vAlign w:val="center"/>
            <w:hideMark/>
          </w:tcPr>
          <w:p w:rsidR="00B6742C" w:rsidRDefault="00B6742C">
            <w:pPr>
              <w:rPr>
                <w:sz w:val="18"/>
                <w:szCs w:val="18"/>
              </w:rPr>
            </w:pPr>
            <w:r>
              <w:rPr>
                <w:sz w:val="18"/>
                <w:szCs w:val="18"/>
              </w:rPr>
              <w:t>013/08 1ºTA</w:t>
            </w:r>
          </w:p>
        </w:tc>
        <w:tc>
          <w:tcPr>
            <w:tcW w:w="6079" w:type="dxa"/>
            <w:shd w:val="clear" w:color="auto" w:fill="auto"/>
            <w:vAlign w:val="bottom"/>
            <w:hideMark/>
          </w:tcPr>
          <w:p w:rsidR="00B6742C" w:rsidRDefault="00B6742C">
            <w:pPr>
              <w:jc w:val="both"/>
              <w:rPr>
                <w:sz w:val="18"/>
                <w:szCs w:val="18"/>
              </w:rPr>
            </w:pPr>
            <w:r>
              <w:rPr>
                <w:sz w:val="18"/>
                <w:szCs w:val="18"/>
              </w:rPr>
              <w:t>Construção do Terminal Rodoviário Oeste - (R$ 4.276.679,38 - valor líquido original + R$ 1.422.170,36 - valor líquido aditado).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1.422.170,36</w:t>
            </w:r>
          </w:p>
        </w:tc>
      </w:tr>
      <w:tr w:rsidR="00B6742C" w:rsidTr="00D5505F">
        <w:trPr>
          <w:trHeight w:val="189"/>
        </w:trPr>
        <w:tc>
          <w:tcPr>
            <w:tcW w:w="1880" w:type="dxa"/>
            <w:shd w:val="clear" w:color="auto" w:fill="auto"/>
            <w:noWrap/>
            <w:vAlign w:val="center"/>
            <w:hideMark/>
          </w:tcPr>
          <w:p w:rsidR="00B6742C" w:rsidRDefault="00B6742C">
            <w:pPr>
              <w:jc w:val="both"/>
              <w:rPr>
                <w:bCs/>
                <w:sz w:val="18"/>
                <w:szCs w:val="18"/>
              </w:rPr>
            </w:pPr>
            <w:r>
              <w:rPr>
                <w:bCs/>
                <w:sz w:val="18"/>
                <w:szCs w:val="18"/>
              </w:rPr>
              <w:t>Francisco Morato</w:t>
            </w:r>
          </w:p>
        </w:tc>
        <w:tc>
          <w:tcPr>
            <w:tcW w:w="1159" w:type="dxa"/>
            <w:shd w:val="clear" w:color="auto" w:fill="auto"/>
            <w:noWrap/>
            <w:vAlign w:val="center"/>
            <w:hideMark/>
          </w:tcPr>
          <w:p w:rsidR="00B6742C" w:rsidRDefault="00B6742C">
            <w:pPr>
              <w:rPr>
                <w:sz w:val="18"/>
                <w:szCs w:val="18"/>
              </w:rPr>
            </w:pPr>
            <w:r>
              <w:rPr>
                <w:sz w:val="18"/>
                <w:szCs w:val="18"/>
              </w:rPr>
              <w:t>013/10 1ºTA</w:t>
            </w:r>
          </w:p>
        </w:tc>
        <w:tc>
          <w:tcPr>
            <w:tcW w:w="6079" w:type="dxa"/>
            <w:shd w:val="clear" w:color="auto" w:fill="auto"/>
            <w:vAlign w:val="bottom"/>
            <w:hideMark/>
          </w:tcPr>
          <w:p w:rsidR="00B6742C" w:rsidRDefault="00B6742C">
            <w:pPr>
              <w:jc w:val="both"/>
              <w:rPr>
                <w:sz w:val="18"/>
                <w:szCs w:val="18"/>
              </w:rPr>
            </w:pPr>
            <w:r>
              <w:rPr>
                <w:sz w:val="18"/>
                <w:szCs w:val="18"/>
              </w:rPr>
              <w:t>Pavimentação do Corredor de Ônibus Vila Cápua - (R$ 3.721.096,43 - valor líquido original + R$ 538.868,90 - valor líquido aditado).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538.868,90</w:t>
            </w:r>
          </w:p>
        </w:tc>
      </w:tr>
      <w:tr w:rsidR="00B6742C" w:rsidTr="00D5505F">
        <w:trPr>
          <w:trHeight w:val="182"/>
        </w:trPr>
        <w:tc>
          <w:tcPr>
            <w:tcW w:w="1880" w:type="dxa"/>
            <w:shd w:val="clear" w:color="auto" w:fill="auto"/>
            <w:noWrap/>
            <w:vAlign w:val="center"/>
            <w:hideMark/>
          </w:tcPr>
          <w:p w:rsidR="00B6742C" w:rsidRDefault="00B6742C">
            <w:pPr>
              <w:jc w:val="both"/>
              <w:rPr>
                <w:bCs/>
                <w:sz w:val="18"/>
                <w:szCs w:val="18"/>
              </w:rPr>
            </w:pPr>
            <w:r>
              <w:rPr>
                <w:bCs/>
                <w:sz w:val="18"/>
                <w:szCs w:val="18"/>
              </w:rPr>
              <w:t>Francisco Morato</w:t>
            </w:r>
          </w:p>
        </w:tc>
        <w:tc>
          <w:tcPr>
            <w:tcW w:w="1159" w:type="dxa"/>
            <w:shd w:val="clear" w:color="auto" w:fill="auto"/>
            <w:noWrap/>
            <w:vAlign w:val="center"/>
            <w:hideMark/>
          </w:tcPr>
          <w:p w:rsidR="00B6742C" w:rsidRDefault="00B6742C">
            <w:pPr>
              <w:rPr>
                <w:sz w:val="18"/>
                <w:szCs w:val="18"/>
              </w:rPr>
            </w:pPr>
            <w:r>
              <w:rPr>
                <w:sz w:val="18"/>
                <w:szCs w:val="18"/>
              </w:rPr>
              <w:t>014/10 1ºTA</w:t>
            </w:r>
          </w:p>
        </w:tc>
        <w:tc>
          <w:tcPr>
            <w:tcW w:w="6079" w:type="dxa"/>
            <w:shd w:val="clear" w:color="auto" w:fill="auto"/>
            <w:vAlign w:val="bottom"/>
            <w:hideMark/>
          </w:tcPr>
          <w:p w:rsidR="00B6742C" w:rsidRDefault="00B6742C">
            <w:pPr>
              <w:jc w:val="both"/>
              <w:rPr>
                <w:sz w:val="18"/>
                <w:szCs w:val="18"/>
              </w:rPr>
            </w:pPr>
            <w:r>
              <w:rPr>
                <w:sz w:val="18"/>
                <w:szCs w:val="18"/>
              </w:rPr>
              <w:t>Pavimentação do Corredor de Ônibus Vila Guilherme - (R$ 3.838.281,758 -valor líquido original + R$ 634.506,63 - valor líquido aditado).</w:t>
            </w:r>
          </w:p>
        </w:tc>
        <w:tc>
          <w:tcPr>
            <w:tcW w:w="1272" w:type="dxa"/>
            <w:shd w:val="clear" w:color="auto" w:fill="auto"/>
            <w:noWrap/>
            <w:vAlign w:val="bottom"/>
            <w:hideMark/>
          </w:tcPr>
          <w:p w:rsidR="00B6742C" w:rsidRDefault="00B6742C" w:rsidP="009E6A80">
            <w:pPr>
              <w:jc w:val="right"/>
              <w:rPr>
                <w:bCs/>
                <w:sz w:val="18"/>
                <w:szCs w:val="18"/>
              </w:rPr>
            </w:pPr>
            <w:r>
              <w:rPr>
                <w:bCs/>
                <w:sz w:val="18"/>
                <w:szCs w:val="18"/>
              </w:rPr>
              <w:t>634.506,63</w:t>
            </w:r>
          </w:p>
        </w:tc>
      </w:tr>
    </w:tbl>
    <w:p w:rsidR="003E6588" w:rsidRDefault="003E6588">
      <w:pPr>
        <w:ind w:firstLine="1134"/>
        <w:jc w:val="both"/>
        <w:rPr>
          <w:b/>
          <w:lang w:val="pt-PT"/>
        </w:rPr>
      </w:pPr>
    </w:p>
    <w:tbl>
      <w:tblPr>
        <w:tblpPr w:leftFromText="141" w:rightFromText="141" w:vertAnchor="text" w:horzAnchor="margin" w:tblpXSpec="center" w:tblpY="1"/>
        <w:tblW w:w="10407" w:type="dxa"/>
        <w:tblCellMar>
          <w:left w:w="70" w:type="dxa"/>
          <w:right w:w="70" w:type="dxa"/>
        </w:tblCellMar>
        <w:tblLook w:val="04A0"/>
      </w:tblPr>
      <w:tblGrid>
        <w:gridCol w:w="1913"/>
        <w:gridCol w:w="1134"/>
        <w:gridCol w:w="6095"/>
        <w:gridCol w:w="1265"/>
      </w:tblGrid>
      <w:tr w:rsidR="009E6A80" w:rsidTr="009E6A80">
        <w:trPr>
          <w:trHeight w:val="139"/>
        </w:trPr>
        <w:tc>
          <w:tcPr>
            <w:tcW w:w="1913"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Itapecerica da Serra</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010/14</w:t>
            </w:r>
          </w:p>
        </w:tc>
        <w:tc>
          <w:tcPr>
            <w:tcW w:w="6095" w:type="dxa"/>
            <w:tcBorders>
              <w:top w:val="single" w:sz="4" w:space="0" w:color="auto"/>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Centro Metropolitano Antônio Baldusco, em Itapecerica da Serra.</w:t>
            </w:r>
          </w:p>
        </w:tc>
        <w:tc>
          <w:tcPr>
            <w:tcW w:w="1265" w:type="dxa"/>
            <w:tcBorders>
              <w:top w:val="single" w:sz="4" w:space="0" w:color="auto"/>
              <w:left w:val="nil"/>
              <w:bottom w:val="single" w:sz="4" w:space="0" w:color="auto"/>
              <w:right w:val="single" w:sz="8" w:space="0" w:color="auto"/>
            </w:tcBorders>
            <w:shd w:val="clear" w:color="auto" w:fill="auto"/>
            <w:noWrap/>
            <w:vAlign w:val="bottom"/>
            <w:hideMark/>
          </w:tcPr>
          <w:p w:rsidR="009E6A80" w:rsidRDefault="009E6A80" w:rsidP="009E6A80">
            <w:pPr>
              <w:jc w:val="right"/>
              <w:rPr>
                <w:bCs/>
                <w:sz w:val="18"/>
                <w:szCs w:val="18"/>
              </w:rPr>
            </w:pPr>
            <w:r>
              <w:rPr>
                <w:bCs/>
                <w:sz w:val="18"/>
                <w:szCs w:val="18"/>
              </w:rPr>
              <w:t>4.000.000,00</w:t>
            </w:r>
          </w:p>
        </w:tc>
      </w:tr>
      <w:tr w:rsidR="009E6A80" w:rsidTr="009E6A80">
        <w:trPr>
          <w:trHeight w:val="84"/>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Itaquaquecetuba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001/14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Galeria de Drenagem na Estrada do Corta Rabicho.</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883.729,49</w:t>
            </w:r>
          </w:p>
        </w:tc>
      </w:tr>
      <w:tr w:rsidR="009E6A80" w:rsidTr="009E6A80">
        <w:trPr>
          <w:trHeight w:val="122"/>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Itaquaquecetuba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002/14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Pavimentação e serviços complementares em Ruas do Bairro Cidade Kemel.</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901.474,55</w:t>
            </w:r>
          </w:p>
        </w:tc>
      </w:tr>
      <w:tr w:rsidR="009E6A80" w:rsidTr="009E6A80">
        <w:trPr>
          <w:trHeight w:val="80"/>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Itaquaquecetuba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003/14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Muro de Arrimo na Rua João Batista Pedroso.</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545.749,17</w:t>
            </w:r>
          </w:p>
        </w:tc>
      </w:tr>
      <w:tr w:rsidR="009E6A80" w:rsidTr="009E6A80">
        <w:trPr>
          <w:trHeight w:val="126"/>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Itaquaquecetuba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004/14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Drenagem e Pavimentação na Rua Felisberto Alexandre.</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3.226.953,46</w:t>
            </w:r>
          </w:p>
        </w:tc>
      </w:tr>
      <w:tr w:rsidR="009E6A80" w:rsidTr="009E6A80">
        <w:trPr>
          <w:trHeight w:val="58"/>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Itaquaquecetuba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019/14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Pavimentação e Serviços Complementares na Estrada André Passarelli e Outras.</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7.088.017,87</w:t>
            </w:r>
          </w:p>
        </w:tc>
      </w:tr>
      <w:tr w:rsidR="009E6A80" w:rsidTr="009E6A80">
        <w:trPr>
          <w:trHeight w:val="123"/>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Itaquaquecetuba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022/14</w:t>
            </w:r>
          </w:p>
        </w:tc>
        <w:tc>
          <w:tcPr>
            <w:tcW w:w="6095" w:type="dxa"/>
            <w:tcBorders>
              <w:top w:val="nil"/>
              <w:left w:val="nil"/>
              <w:bottom w:val="single" w:sz="4" w:space="0" w:color="auto"/>
              <w:right w:val="single" w:sz="4" w:space="0" w:color="auto"/>
            </w:tcBorders>
            <w:shd w:val="clear" w:color="auto" w:fill="auto"/>
            <w:noWrap/>
            <w:vAlign w:val="center"/>
            <w:hideMark/>
          </w:tcPr>
          <w:p w:rsidR="009E6A80" w:rsidRDefault="009E6A80">
            <w:pPr>
              <w:jc w:val="both"/>
              <w:rPr>
                <w:sz w:val="18"/>
                <w:szCs w:val="18"/>
              </w:rPr>
            </w:pPr>
            <w:r>
              <w:rPr>
                <w:sz w:val="18"/>
                <w:szCs w:val="18"/>
              </w:rPr>
              <w:t>Readequação Viária da Estrada Governador Mário Covas Júnior e Estrada do Mandi - 1ª Etapa.</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rsidP="009E6A80">
            <w:pPr>
              <w:jc w:val="right"/>
              <w:rPr>
                <w:bCs/>
                <w:sz w:val="18"/>
                <w:szCs w:val="18"/>
              </w:rPr>
            </w:pPr>
            <w:r>
              <w:rPr>
                <w:bCs/>
                <w:sz w:val="18"/>
                <w:szCs w:val="18"/>
              </w:rPr>
              <w:t>9.876.717,40</w:t>
            </w:r>
          </w:p>
        </w:tc>
      </w:tr>
      <w:tr w:rsidR="009E6A80" w:rsidTr="009E6A80">
        <w:trPr>
          <w:trHeight w:val="111"/>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Jandira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008/14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Recapeamento de Pavimento Asfáltico em Vias e Ruas Urbanas Públicas.</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3.800.000,00</w:t>
            </w:r>
          </w:p>
        </w:tc>
      </w:tr>
      <w:tr w:rsidR="009E6A80" w:rsidTr="009E6A80">
        <w:trPr>
          <w:trHeight w:val="50"/>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Mairiporã</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006/14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Obras de Drenagem e Pavimentação em Diversas Ruas.</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rsidP="009E6A80">
            <w:pPr>
              <w:jc w:val="right"/>
              <w:rPr>
                <w:bCs/>
                <w:sz w:val="18"/>
                <w:szCs w:val="18"/>
              </w:rPr>
            </w:pPr>
            <w:r>
              <w:rPr>
                <w:bCs/>
                <w:sz w:val="18"/>
                <w:szCs w:val="18"/>
              </w:rPr>
              <w:t>841.622,62</w:t>
            </w:r>
          </w:p>
        </w:tc>
      </w:tr>
      <w:tr w:rsidR="009E6A80" w:rsidTr="009E6A80">
        <w:trPr>
          <w:trHeight w:val="81"/>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Mairiporã</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027/14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Obras de Drenagem e Pavimentação na Rua Maria Nunes.</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1.000.000,00</w:t>
            </w:r>
          </w:p>
        </w:tc>
      </w:tr>
      <w:tr w:rsidR="009E6A80" w:rsidTr="009E6A80">
        <w:trPr>
          <w:trHeight w:val="50"/>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Rio Grande da Serra</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015/14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Parque Linear na Avenida José Bello - 2ª fase.</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1.559.558,69</w:t>
            </w:r>
          </w:p>
        </w:tc>
      </w:tr>
      <w:tr w:rsidR="009E6A80" w:rsidTr="009E6A80">
        <w:trPr>
          <w:trHeight w:val="44"/>
        </w:trPr>
        <w:tc>
          <w:tcPr>
            <w:tcW w:w="1913" w:type="dxa"/>
            <w:tcBorders>
              <w:top w:val="nil"/>
              <w:left w:val="single" w:sz="8" w:space="0" w:color="auto"/>
              <w:bottom w:val="single" w:sz="4"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Salesópolis</w:t>
            </w:r>
          </w:p>
        </w:tc>
        <w:tc>
          <w:tcPr>
            <w:tcW w:w="1134" w:type="dxa"/>
            <w:tcBorders>
              <w:top w:val="nil"/>
              <w:left w:val="nil"/>
              <w:bottom w:val="single" w:sz="4"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023/14</w:t>
            </w:r>
          </w:p>
        </w:tc>
        <w:tc>
          <w:tcPr>
            <w:tcW w:w="6095" w:type="dxa"/>
            <w:tcBorders>
              <w:top w:val="nil"/>
              <w:left w:val="nil"/>
              <w:bottom w:val="single" w:sz="4" w:space="0" w:color="auto"/>
              <w:right w:val="single" w:sz="4" w:space="0" w:color="auto"/>
            </w:tcBorders>
            <w:shd w:val="clear" w:color="auto" w:fill="auto"/>
            <w:noWrap/>
            <w:vAlign w:val="bottom"/>
            <w:hideMark/>
          </w:tcPr>
          <w:p w:rsidR="009E6A80" w:rsidRDefault="009E6A80">
            <w:pPr>
              <w:jc w:val="both"/>
              <w:rPr>
                <w:sz w:val="18"/>
                <w:szCs w:val="18"/>
              </w:rPr>
            </w:pPr>
            <w:r>
              <w:rPr>
                <w:sz w:val="18"/>
                <w:szCs w:val="18"/>
              </w:rPr>
              <w:t>Pavimentação e Recapeamento em Diversas Vias do Município.</w:t>
            </w:r>
          </w:p>
        </w:tc>
        <w:tc>
          <w:tcPr>
            <w:tcW w:w="1265" w:type="dxa"/>
            <w:tcBorders>
              <w:top w:val="nil"/>
              <w:left w:val="nil"/>
              <w:bottom w:val="single" w:sz="4" w:space="0" w:color="auto"/>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2.406.209,32</w:t>
            </w:r>
          </w:p>
        </w:tc>
      </w:tr>
      <w:tr w:rsidR="009E6A80" w:rsidTr="009E6A80">
        <w:trPr>
          <w:trHeight w:val="58"/>
        </w:trPr>
        <w:tc>
          <w:tcPr>
            <w:tcW w:w="1913" w:type="dxa"/>
            <w:tcBorders>
              <w:top w:val="nil"/>
              <w:left w:val="single" w:sz="8" w:space="0" w:color="auto"/>
              <w:bottom w:val="single" w:sz="8" w:space="0" w:color="auto"/>
              <w:right w:val="single" w:sz="4" w:space="0" w:color="auto"/>
            </w:tcBorders>
            <w:shd w:val="clear" w:color="auto" w:fill="auto"/>
            <w:noWrap/>
            <w:vAlign w:val="center"/>
            <w:hideMark/>
          </w:tcPr>
          <w:p w:rsidR="009E6A80" w:rsidRDefault="009E6A80">
            <w:pPr>
              <w:jc w:val="both"/>
              <w:rPr>
                <w:bCs/>
                <w:sz w:val="18"/>
                <w:szCs w:val="18"/>
              </w:rPr>
            </w:pPr>
            <w:r>
              <w:rPr>
                <w:bCs/>
                <w:sz w:val="18"/>
                <w:szCs w:val="18"/>
              </w:rPr>
              <w:t>Santa Isabel</w:t>
            </w:r>
          </w:p>
        </w:tc>
        <w:tc>
          <w:tcPr>
            <w:tcW w:w="1134" w:type="dxa"/>
            <w:tcBorders>
              <w:top w:val="nil"/>
              <w:left w:val="nil"/>
              <w:bottom w:val="single" w:sz="8" w:space="0" w:color="auto"/>
              <w:right w:val="single" w:sz="4" w:space="0" w:color="auto"/>
            </w:tcBorders>
            <w:shd w:val="clear" w:color="auto" w:fill="auto"/>
            <w:noWrap/>
            <w:vAlign w:val="center"/>
            <w:hideMark/>
          </w:tcPr>
          <w:p w:rsidR="009E6A80" w:rsidRDefault="009E6A80" w:rsidP="009E6A80">
            <w:pPr>
              <w:rPr>
                <w:sz w:val="18"/>
                <w:szCs w:val="18"/>
              </w:rPr>
            </w:pPr>
            <w:r>
              <w:rPr>
                <w:sz w:val="18"/>
                <w:szCs w:val="18"/>
              </w:rPr>
              <w:t>005/14</w:t>
            </w:r>
          </w:p>
        </w:tc>
        <w:tc>
          <w:tcPr>
            <w:tcW w:w="6095" w:type="dxa"/>
            <w:tcBorders>
              <w:top w:val="nil"/>
              <w:left w:val="nil"/>
              <w:bottom w:val="nil"/>
              <w:right w:val="single" w:sz="4" w:space="0" w:color="auto"/>
            </w:tcBorders>
            <w:shd w:val="clear" w:color="auto" w:fill="auto"/>
            <w:noWrap/>
            <w:vAlign w:val="bottom"/>
            <w:hideMark/>
          </w:tcPr>
          <w:p w:rsidR="009E6A80" w:rsidRDefault="009E6A80">
            <w:pPr>
              <w:jc w:val="both"/>
              <w:rPr>
                <w:sz w:val="18"/>
                <w:szCs w:val="18"/>
              </w:rPr>
            </w:pPr>
            <w:r>
              <w:rPr>
                <w:sz w:val="18"/>
                <w:szCs w:val="18"/>
              </w:rPr>
              <w:t>Asfaltamento das Ruas de Acesso ao CH Santa Isabel A, Estrada Ramiro Catto.</w:t>
            </w:r>
          </w:p>
        </w:tc>
        <w:tc>
          <w:tcPr>
            <w:tcW w:w="1265" w:type="dxa"/>
            <w:tcBorders>
              <w:top w:val="nil"/>
              <w:left w:val="nil"/>
              <w:bottom w:val="nil"/>
              <w:right w:val="single" w:sz="8" w:space="0" w:color="auto"/>
            </w:tcBorders>
            <w:shd w:val="clear" w:color="auto" w:fill="auto"/>
            <w:noWrap/>
            <w:vAlign w:val="bottom"/>
            <w:hideMark/>
          </w:tcPr>
          <w:p w:rsidR="009E6A80" w:rsidRDefault="009E6A80">
            <w:pPr>
              <w:jc w:val="right"/>
              <w:rPr>
                <w:bCs/>
                <w:sz w:val="18"/>
                <w:szCs w:val="18"/>
              </w:rPr>
            </w:pPr>
            <w:r>
              <w:rPr>
                <w:bCs/>
                <w:sz w:val="18"/>
                <w:szCs w:val="18"/>
              </w:rPr>
              <w:t>1.800.000,00</w:t>
            </w:r>
          </w:p>
        </w:tc>
      </w:tr>
      <w:tr w:rsidR="009E6A80" w:rsidTr="009E6A80">
        <w:trPr>
          <w:trHeight w:val="98"/>
        </w:trPr>
        <w:tc>
          <w:tcPr>
            <w:tcW w:w="1913" w:type="dxa"/>
            <w:tcBorders>
              <w:top w:val="nil"/>
              <w:left w:val="nil"/>
              <w:bottom w:val="nil"/>
              <w:right w:val="nil"/>
            </w:tcBorders>
            <w:shd w:val="clear" w:color="000000" w:fill="FFFFFF"/>
            <w:noWrap/>
            <w:vAlign w:val="center"/>
            <w:hideMark/>
          </w:tcPr>
          <w:p w:rsidR="009E6A80" w:rsidRDefault="009E6A80">
            <w:pPr>
              <w:jc w:val="both"/>
              <w:rPr>
                <w:sz w:val="18"/>
                <w:szCs w:val="18"/>
              </w:rPr>
            </w:pPr>
            <w:r>
              <w:rPr>
                <w:sz w:val="18"/>
                <w:szCs w:val="18"/>
              </w:rPr>
              <w:t> </w:t>
            </w:r>
          </w:p>
        </w:tc>
        <w:tc>
          <w:tcPr>
            <w:tcW w:w="1134" w:type="dxa"/>
            <w:tcBorders>
              <w:top w:val="nil"/>
              <w:left w:val="nil"/>
              <w:bottom w:val="nil"/>
              <w:right w:val="nil"/>
            </w:tcBorders>
            <w:shd w:val="clear" w:color="000000" w:fill="FFFFFF"/>
            <w:noWrap/>
            <w:vAlign w:val="center"/>
            <w:hideMark/>
          </w:tcPr>
          <w:p w:rsidR="009E6A80" w:rsidRDefault="009E6A80" w:rsidP="009E6A80">
            <w:pPr>
              <w:rPr>
                <w:sz w:val="18"/>
                <w:szCs w:val="18"/>
              </w:rPr>
            </w:pPr>
          </w:p>
        </w:tc>
        <w:tc>
          <w:tcPr>
            <w:tcW w:w="60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E6A80" w:rsidRDefault="009E6A80">
            <w:pPr>
              <w:jc w:val="both"/>
              <w:rPr>
                <w:b/>
                <w:bCs/>
                <w:sz w:val="18"/>
                <w:szCs w:val="18"/>
              </w:rPr>
            </w:pPr>
            <w:r>
              <w:rPr>
                <w:b/>
                <w:bCs/>
                <w:sz w:val="18"/>
                <w:szCs w:val="18"/>
              </w:rPr>
              <w:t>Total</w:t>
            </w:r>
          </w:p>
        </w:tc>
        <w:tc>
          <w:tcPr>
            <w:tcW w:w="1265" w:type="dxa"/>
            <w:tcBorders>
              <w:top w:val="single" w:sz="4" w:space="0" w:color="auto"/>
              <w:left w:val="nil"/>
              <w:bottom w:val="single" w:sz="4" w:space="0" w:color="auto"/>
              <w:right w:val="single" w:sz="4" w:space="0" w:color="auto"/>
            </w:tcBorders>
            <w:shd w:val="clear" w:color="auto" w:fill="auto"/>
            <w:noWrap/>
            <w:vAlign w:val="bottom"/>
            <w:hideMark/>
          </w:tcPr>
          <w:p w:rsidR="009E6A80" w:rsidRDefault="009E6A80">
            <w:pPr>
              <w:jc w:val="right"/>
              <w:rPr>
                <w:bCs/>
                <w:sz w:val="18"/>
                <w:szCs w:val="18"/>
              </w:rPr>
            </w:pPr>
            <w:r>
              <w:rPr>
                <w:bCs/>
                <w:sz w:val="18"/>
                <w:szCs w:val="18"/>
              </w:rPr>
              <w:t>132.298.919,11</w:t>
            </w:r>
          </w:p>
        </w:tc>
      </w:tr>
    </w:tbl>
    <w:p w:rsidR="003E6588" w:rsidRDefault="003E6588">
      <w:pPr>
        <w:ind w:firstLine="1134"/>
        <w:jc w:val="both"/>
        <w:rPr>
          <w:b/>
          <w:lang w:val="pt-PT"/>
        </w:rPr>
      </w:pPr>
    </w:p>
    <w:p w:rsidR="003E6588" w:rsidRDefault="003E6588">
      <w:pPr>
        <w:ind w:firstLine="1134"/>
        <w:jc w:val="both"/>
        <w:rPr>
          <w:lang w:val="pt-PT"/>
        </w:rPr>
      </w:pPr>
      <w:r>
        <w:rPr>
          <w:b/>
          <w:lang w:val="pt-PT"/>
        </w:rPr>
        <w:t xml:space="preserve">8 Projetos em </w:t>
      </w:r>
      <w:r w:rsidR="009E6A80">
        <w:rPr>
          <w:b/>
          <w:lang w:val="pt-PT"/>
        </w:rPr>
        <w:t xml:space="preserve">andamento </w:t>
      </w:r>
      <w:r>
        <w:rPr>
          <w:b/>
          <w:lang w:val="pt-PT"/>
        </w:rPr>
        <w:t xml:space="preserve">para contratação - </w:t>
      </w:r>
      <w:r>
        <w:rPr>
          <w:lang w:val="pt-PT"/>
        </w:rPr>
        <w:t>Pressupõem Investimento Líquido de R$ 10.761.176,51/Bruto de R$ 11.084.011,80 (incluindo despesas automáticas de 3% com Agentes Técnico e Financeiro).</w:t>
      </w:r>
    </w:p>
    <w:p w:rsidR="003E6588" w:rsidRDefault="003E6588">
      <w:pPr>
        <w:jc w:val="both"/>
        <w:rPr>
          <w:b/>
          <w:u w:val="single"/>
          <w:lang w:val="pt-PT"/>
        </w:rPr>
      </w:pPr>
    </w:p>
    <w:p w:rsidR="003E6588" w:rsidRDefault="003E6588">
      <w:pPr>
        <w:ind w:firstLine="1134"/>
        <w:jc w:val="both"/>
        <w:rPr>
          <w:bCs/>
          <w:lang w:val="pt-PT"/>
        </w:rPr>
      </w:pPr>
      <w:r>
        <w:rPr>
          <w:b/>
          <w:lang w:val="pt-PT"/>
        </w:rPr>
        <w:lastRenderedPageBreak/>
        <w:t xml:space="preserve">Movimentação Financeira - </w:t>
      </w:r>
      <w:r>
        <w:rPr>
          <w:rFonts w:eastAsia="Calibri"/>
          <w:lang w:eastAsia="en-US"/>
        </w:rPr>
        <w:t>Simultaneamente a cada repasse, foram creditados R$ 1.631.420,31 aos Agentes Técnico (2%) e Financeiro (1%), a título de remuneração automática pelos serviços que prestam,</w:t>
      </w:r>
      <w:r>
        <w:rPr>
          <w:bCs/>
          <w:lang w:val="pt-PT"/>
        </w:rPr>
        <w:t xml:space="preserve"> totalizando o desembolso de R$ 56.012.097,08 para a consecução de obras contratadas.</w:t>
      </w:r>
    </w:p>
    <w:p w:rsidR="003E6588" w:rsidRDefault="003E6588">
      <w:pPr>
        <w:tabs>
          <w:tab w:val="left" w:pos="1217"/>
        </w:tabs>
        <w:jc w:val="both"/>
        <w:rPr>
          <w:bCs/>
          <w:lang w:val="pt-PT"/>
        </w:rPr>
      </w:pPr>
    </w:p>
    <w:p w:rsidR="003E6588" w:rsidRDefault="003E6588">
      <w:pPr>
        <w:tabs>
          <w:tab w:val="left" w:pos="1217"/>
        </w:tabs>
        <w:ind w:firstLine="1134"/>
        <w:jc w:val="both"/>
        <w:rPr>
          <w:bCs/>
          <w:lang w:val="pt-PT"/>
        </w:rPr>
      </w:pPr>
      <w:r>
        <w:rPr>
          <w:bCs/>
          <w:lang w:val="pt-PT"/>
        </w:rPr>
        <w:t>Para a liquidação das despesas de custeio, inerentes ao Conselho de Orientação, conforme legislação vigente, foram pagos à EMPLASA R$ 1.727.632,94.</w:t>
      </w:r>
    </w:p>
    <w:p w:rsidR="003E6588" w:rsidRDefault="003E6588">
      <w:pPr>
        <w:tabs>
          <w:tab w:val="left" w:pos="1217"/>
        </w:tabs>
        <w:ind w:firstLine="1134"/>
        <w:jc w:val="both"/>
        <w:rPr>
          <w:bCs/>
          <w:lang w:val="pt-PT"/>
        </w:rPr>
      </w:pPr>
    </w:p>
    <w:p w:rsidR="003E6588" w:rsidRDefault="003E6588">
      <w:pPr>
        <w:ind w:firstLine="1134"/>
        <w:jc w:val="both"/>
        <w:rPr>
          <w:lang w:val="pt-PT"/>
        </w:rPr>
      </w:pPr>
    </w:p>
    <w:p w:rsidR="003E6588" w:rsidRDefault="003E6588">
      <w:r>
        <w:rPr>
          <w:b/>
        </w:rPr>
        <w:t>AGÊNCIA METROPOLITANA DA BAIXADA SANTISTA - AGEM</w:t>
      </w:r>
    </w:p>
    <w:p w:rsidR="003E6588" w:rsidRDefault="003E6588">
      <w:pPr>
        <w:ind w:firstLine="1134"/>
        <w:jc w:val="both"/>
        <w:rPr>
          <w:lang w:val="pt-PT"/>
        </w:rPr>
      </w:pPr>
    </w:p>
    <w:p w:rsidR="003E6588" w:rsidRDefault="003E6588">
      <w:pPr>
        <w:rPr>
          <w:lang w:val="pt-PT"/>
        </w:rPr>
      </w:pPr>
    </w:p>
    <w:p w:rsidR="003E6588" w:rsidRPr="009E6A80" w:rsidRDefault="003E6588">
      <w:pPr>
        <w:ind w:firstLine="1134"/>
        <w:contextualSpacing/>
        <w:jc w:val="both"/>
        <w:rPr>
          <w:rFonts w:eastAsia="Calibri"/>
          <w:color w:val="000000"/>
          <w:shd w:val="clear" w:color="auto" w:fill="FFFFFF"/>
          <w:lang w:eastAsia="en-US"/>
        </w:rPr>
      </w:pPr>
      <w:r>
        <w:rPr>
          <w:b/>
          <w:bCs/>
          <w:color w:val="000000"/>
          <w:kern w:val="36"/>
        </w:rPr>
        <w:t>Plano Metropolitano de Desenvolvimento Estratégico</w:t>
      </w:r>
      <w:r w:rsidR="009E6A80">
        <w:rPr>
          <w:b/>
          <w:bCs/>
          <w:color w:val="000000"/>
          <w:kern w:val="36"/>
        </w:rPr>
        <w:t xml:space="preserve"> - PMDE - </w:t>
      </w:r>
      <w:r w:rsidR="009E6A80" w:rsidRPr="009E6A80">
        <w:rPr>
          <w:rFonts w:eastAsia="Batang"/>
          <w:bCs/>
          <w:color w:val="000000"/>
          <w:lang w:eastAsia="en-US"/>
        </w:rPr>
        <w:t xml:space="preserve">O </w:t>
      </w:r>
      <w:r w:rsidRPr="009E6A80">
        <w:rPr>
          <w:rFonts w:eastAsia="Calibri"/>
          <w:color w:val="000000"/>
          <w:shd w:val="clear" w:color="auto" w:fill="FFFFFF"/>
          <w:lang w:eastAsia="en-US"/>
        </w:rPr>
        <w:t>estudo ordena o crescimento da Baixada Santista para os próximos dezesseis anos</w:t>
      </w:r>
      <w:r w:rsidR="009E6A80">
        <w:rPr>
          <w:rFonts w:eastAsia="Calibri"/>
          <w:color w:val="000000"/>
          <w:shd w:val="clear" w:color="auto" w:fill="FFFFFF"/>
          <w:lang w:eastAsia="en-US"/>
        </w:rPr>
        <w:t>,</w:t>
      </w:r>
      <w:r w:rsidRPr="009E6A80">
        <w:rPr>
          <w:rFonts w:eastAsia="Calibri"/>
          <w:color w:val="000000"/>
          <w:shd w:val="clear" w:color="auto" w:fill="FFFFFF"/>
          <w:lang w:eastAsia="en-US"/>
        </w:rPr>
        <w:t xml:space="preserve"> nos eixos de Mobilidade e Acessos, Habitação, Saneamento e Desenvolvimento Econômico.</w:t>
      </w:r>
    </w:p>
    <w:p w:rsidR="003E6588" w:rsidRDefault="003E6588">
      <w:pPr>
        <w:ind w:firstLine="1134"/>
        <w:jc w:val="both"/>
        <w:rPr>
          <w:rFonts w:eastAsia="Calibri"/>
          <w:color w:val="000000"/>
          <w:highlight w:val="yellow"/>
          <w:shd w:val="clear" w:color="auto" w:fill="FFFFFF"/>
          <w:lang w:eastAsia="en-US"/>
        </w:rPr>
      </w:pPr>
    </w:p>
    <w:p w:rsidR="003E6588" w:rsidRDefault="003E6588">
      <w:pPr>
        <w:ind w:firstLine="1134"/>
        <w:jc w:val="both"/>
        <w:rPr>
          <w:rFonts w:eastAsia="Calibri"/>
          <w:color w:val="000000"/>
          <w:lang w:eastAsia="en-US"/>
        </w:rPr>
      </w:pPr>
      <w:r w:rsidRPr="009E6A80">
        <w:rPr>
          <w:rFonts w:eastAsia="Calibri"/>
          <w:color w:val="000000"/>
          <w:shd w:val="clear" w:color="auto" w:fill="FFFFFF"/>
          <w:lang w:eastAsia="en-US"/>
        </w:rPr>
        <w:t xml:space="preserve">Seu lançamento ocorreu durante a 31ª </w:t>
      </w:r>
      <w:r w:rsidR="009E6A80" w:rsidRPr="009E6A80">
        <w:rPr>
          <w:rFonts w:eastAsia="Calibri"/>
          <w:color w:val="000000"/>
          <w:shd w:val="clear" w:color="auto" w:fill="FFFFFF"/>
          <w:lang w:eastAsia="en-US"/>
        </w:rPr>
        <w:t xml:space="preserve">Reunião Extraordinária </w:t>
      </w:r>
      <w:r w:rsidRPr="009E6A80">
        <w:rPr>
          <w:rFonts w:eastAsia="Calibri"/>
          <w:color w:val="000000"/>
          <w:shd w:val="clear" w:color="auto" w:fill="FFFFFF"/>
          <w:lang w:eastAsia="en-US"/>
        </w:rPr>
        <w:t xml:space="preserve">do Conselho de Desenvolvimento da Baixada Santista - Condesb, quando ocorreu a entrega do caderno de resultados e de mapas georreferenciados do Plano Metropolitano de Desenvolvimento Estratégico da Baixada Santista - PMDE-BS aos prefeitos e representantes dos nove municípios que compõem a </w:t>
      </w:r>
      <w:r w:rsidR="009E6A80" w:rsidRPr="009E6A80">
        <w:rPr>
          <w:rFonts w:eastAsia="Calibri"/>
          <w:color w:val="000000"/>
          <w:shd w:val="clear" w:color="auto" w:fill="FFFFFF"/>
          <w:lang w:eastAsia="en-US"/>
        </w:rPr>
        <w:t>Região Metropolitana</w:t>
      </w:r>
      <w:r w:rsidRPr="009E6A80">
        <w:rPr>
          <w:rFonts w:eastAsia="Calibri"/>
          <w:color w:val="000000"/>
          <w:shd w:val="clear" w:color="auto" w:fill="FFFFFF"/>
          <w:lang w:eastAsia="en-US"/>
        </w:rPr>
        <w:t>. Aberto ao público, o evento contou com a presença de 300 pessoas, entre autoridades, gestores públicos e privados, empresários.</w:t>
      </w:r>
    </w:p>
    <w:p w:rsidR="003E6588" w:rsidRDefault="003E6588">
      <w:pPr>
        <w:ind w:firstLine="1134"/>
        <w:jc w:val="both"/>
        <w:rPr>
          <w:rFonts w:eastAsia="Batang"/>
          <w:b/>
          <w:bCs/>
          <w:color w:val="000000"/>
          <w:lang w:eastAsia="en-US"/>
        </w:rPr>
      </w:pPr>
    </w:p>
    <w:p w:rsidR="003E6588" w:rsidRDefault="003E6588">
      <w:pPr>
        <w:ind w:firstLine="1134"/>
        <w:jc w:val="both"/>
        <w:rPr>
          <w:rFonts w:eastAsia="Batang"/>
          <w:bCs/>
          <w:color w:val="000000"/>
          <w:lang w:eastAsia="en-US"/>
        </w:rPr>
      </w:pPr>
      <w:r>
        <w:rPr>
          <w:rFonts w:eastAsia="Batang"/>
          <w:b/>
          <w:bCs/>
          <w:color w:val="000000"/>
          <w:lang w:eastAsia="en-US"/>
        </w:rPr>
        <w:t>Elaboração e Coordenação Geral -</w:t>
      </w:r>
      <w:r>
        <w:rPr>
          <w:rFonts w:eastAsia="Batang"/>
          <w:bCs/>
          <w:color w:val="000000"/>
          <w:lang w:eastAsia="en-US"/>
        </w:rPr>
        <w:t xml:space="preserve"> Geo Brasilis Inteligência Territorial, Planejamento Estratégico e Gestão Ambiental.</w:t>
      </w:r>
    </w:p>
    <w:p w:rsidR="003E6588" w:rsidRDefault="003E6588">
      <w:pPr>
        <w:ind w:firstLine="1134"/>
        <w:jc w:val="both"/>
        <w:rPr>
          <w:rFonts w:eastAsia="Batang"/>
          <w:bCs/>
          <w:color w:val="000000"/>
          <w:lang w:eastAsia="en-US"/>
        </w:rPr>
      </w:pPr>
    </w:p>
    <w:p w:rsidR="003E6588" w:rsidRDefault="003E6588">
      <w:pPr>
        <w:ind w:firstLine="1134"/>
        <w:contextualSpacing/>
        <w:jc w:val="both"/>
        <w:rPr>
          <w:rFonts w:eastAsia="Calibri"/>
          <w:lang w:eastAsia="en-US"/>
        </w:rPr>
      </w:pPr>
      <w:r>
        <w:rPr>
          <w:b/>
        </w:rPr>
        <w:t xml:space="preserve">Impressão de caderno especial com os dados do PMDE-BS pelo Jornal </w:t>
      </w:r>
      <w:r w:rsidR="00C44828">
        <w:rPr>
          <w:b/>
        </w:rPr>
        <w:t>“</w:t>
      </w:r>
      <w:r>
        <w:rPr>
          <w:b/>
        </w:rPr>
        <w:t>A Tribuna</w:t>
      </w:r>
      <w:r w:rsidR="00C44828">
        <w:rPr>
          <w:b/>
        </w:rPr>
        <w:t>”</w:t>
      </w:r>
      <w:r>
        <w:rPr>
          <w:b/>
        </w:rPr>
        <w:t xml:space="preserve"> - </w:t>
      </w:r>
      <w:r>
        <w:rPr>
          <w:rFonts w:eastAsia="Calibri"/>
          <w:lang w:eastAsia="en-US"/>
        </w:rPr>
        <w:t xml:space="preserve">A Agem, em parceria com o jornal </w:t>
      </w:r>
      <w:r w:rsidR="00C44828">
        <w:rPr>
          <w:rFonts w:eastAsia="Calibri"/>
          <w:lang w:eastAsia="en-US"/>
        </w:rPr>
        <w:t>“</w:t>
      </w:r>
      <w:r>
        <w:rPr>
          <w:rFonts w:eastAsia="Calibri"/>
          <w:lang w:eastAsia="en-US"/>
        </w:rPr>
        <w:t>A Tribuna</w:t>
      </w:r>
      <w:r w:rsidR="00C44828">
        <w:rPr>
          <w:rFonts w:eastAsia="Calibri"/>
          <w:lang w:eastAsia="en-US"/>
        </w:rPr>
        <w:t>”</w:t>
      </w:r>
      <w:r>
        <w:rPr>
          <w:rFonts w:eastAsia="Calibri"/>
          <w:lang w:eastAsia="en-US"/>
        </w:rPr>
        <w:t xml:space="preserve">, </w:t>
      </w:r>
      <w:r w:rsidR="00C44828">
        <w:rPr>
          <w:rFonts w:eastAsia="Calibri"/>
          <w:lang w:eastAsia="en-US"/>
        </w:rPr>
        <w:t xml:space="preserve">editou </w:t>
      </w:r>
      <w:r>
        <w:rPr>
          <w:rFonts w:eastAsia="Calibri"/>
          <w:lang w:eastAsia="en-US"/>
        </w:rPr>
        <w:t xml:space="preserve">caderno especial de 12 páginas publicado após a entrega do Plano Metropolitano de Desenvolvimento Estratégico </w:t>
      </w:r>
      <w:r w:rsidR="00C44828">
        <w:rPr>
          <w:rFonts w:eastAsia="Calibri"/>
          <w:lang w:eastAsia="en-US"/>
        </w:rPr>
        <w:t xml:space="preserve">- </w:t>
      </w:r>
      <w:r>
        <w:rPr>
          <w:rFonts w:eastAsia="Calibri"/>
          <w:lang w:eastAsia="en-US"/>
        </w:rPr>
        <w:t>PMDE, sem custo para a Agem ou para o Governo, com as demandas, cenários e projeções levantados pelo estudo p</w:t>
      </w:r>
      <w:r w:rsidR="00C44828">
        <w:rPr>
          <w:rFonts w:eastAsia="Calibri"/>
          <w:lang w:eastAsia="en-US"/>
        </w:rPr>
        <w:t>ara os próximos 16 anos (2030).</w:t>
      </w:r>
    </w:p>
    <w:p w:rsidR="003E6588" w:rsidRDefault="003E6588">
      <w:pPr>
        <w:ind w:firstLine="1134"/>
        <w:jc w:val="both"/>
        <w:rPr>
          <w:rFonts w:eastAsia="Batang"/>
          <w:bCs/>
          <w:color w:val="000000"/>
          <w:lang w:eastAsia="en-US"/>
        </w:rPr>
      </w:pPr>
    </w:p>
    <w:p w:rsidR="003E6588" w:rsidRDefault="003E6588">
      <w:pPr>
        <w:ind w:firstLine="1134"/>
        <w:contextualSpacing/>
        <w:jc w:val="both"/>
        <w:rPr>
          <w:rFonts w:eastAsia="Calibri"/>
          <w:color w:val="000000"/>
          <w:lang w:eastAsia="en-US"/>
        </w:rPr>
      </w:pPr>
      <w:r>
        <w:rPr>
          <w:b/>
        </w:rPr>
        <w:t xml:space="preserve">Reformulação das Câmaras Temáticas - </w:t>
      </w:r>
      <w:r>
        <w:rPr>
          <w:rFonts w:eastAsia="Calibri"/>
          <w:lang w:eastAsia="en-US"/>
        </w:rPr>
        <w:t>A partir da entrega do Plano Metropolitano de Desenvolvimento Estratégico - PMDE, o Departamento Técnico da Agem começou a estudar proposta de reformulação das Câmaras Temáticas do Condesb.</w:t>
      </w:r>
      <w:r>
        <w:rPr>
          <w:rFonts w:eastAsia="Calibri"/>
          <w:color w:val="000000"/>
          <w:lang w:eastAsia="en-US"/>
        </w:rPr>
        <w:t xml:space="preserve"> O objetivo é que o novo ordenamento auxilie no acompanhamento e monitoramento </w:t>
      </w:r>
      <w:r w:rsidR="00C44828">
        <w:rPr>
          <w:rFonts w:eastAsia="Calibri"/>
          <w:color w:val="000000"/>
          <w:lang w:eastAsia="en-US"/>
        </w:rPr>
        <w:t>das ações do Plano Metropolitano</w:t>
      </w:r>
      <w:r>
        <w:rPr>
          <w:rFonts w:eastAsia="Calibri"/>
          <w:color w:val="000000"/>
          <w:lang w:eastAsia="en-US"/>
        </w:rPr>
        <w:t>.</w:t>
      </w:r>
    </w:p>
    <w:p w:rsidR="003E6588" w:rsidRDefault="003E6588">
      <w:pPr>
        <w:ind w:firstLine="1134"/>
        <w:jc w:val="both"/>
        <w:rPr>
          <w:rFonts w:eastAsia="Calibri"/>
          <w:lang w:eastAsia="en-US"/>
        </w:rPr>
      </w:pPr>
    </w:p>
    <w:p w:rsidR="003E6588" w:rsidRDefault="003E6588">
      <w:pPr>
        <w:ind w:firstLine="1134"/>
        <w:jc w:val="both"/>
        <w:rPr>
          <w:rFonts w:eastAsia="Calibri"/>
          <w:lang w:eastAsia="en-US"/>
        </w:rPr>
      </w:pPr>
      <w:r>
        <w:rPr>
          <w:rFonts w:eastAsia="Calibri"/>
          <w:lang w:eastAsia="en-US"/>
        </w:rPr>
        <w:t>A partir dessa análise, foram criados quatro grupos técnicos com o objetivo de sistematizar o atual modelo de câmaras temáticas existente</w:t>
      </w:r>
      <w:r w:rsidR="00C44828">
        <w:rPr>
          <w:rFonts w:eastAsia="Calibri"/>
          <w:lang w:eastAsia="en-US"/>
        </w:rPr>
        <w:t>,</w:t>
      </w:r>
      <w:r>
        <w:rPr>
          <w:rFonts w:eastAsia="Calibri"/>
          <w:lang w:eastAsia="en-US"/>
        </w:rPr>
        <w:t xml:space="preserve"> e um colegiado de planejamento regional para gerir o novo modelo, composto por representantes do Condesb, da Agência Metropolitana, de interlocutores responsáveis por cada um dos campos funcionais acima descritos, do Comitê de Bacia Hidrográfica da Baixada Santista e do Gerenciamento Costeiro - Gerco.</w:t>
      </w:r>
    </w:p>
    <w:p w:rsidR="003E6588" w:rsidRDefault="003E6588">
      <w:pPr>
        <w:ind w:firstLine="1134"/>
        <w:jc w:val="both"/>
        <w:rPr>
          <w:rFonts w:eastAsia="Calibri"/>
          <w:lang w:eastAsia="en-US"/>
        </w:rPr>
      </w:pPr>
    </w:p>
    <w:p w:rsidR="003E6588" w:rsidRDefault="003E6588">
      <w:pPr>
        <w:ind w:firstLine="1134"/>
        <w:contextualSpacing/>
        <w:jc w:val="both"/>
        <w:rPr>
          <w:rFonts w:eastAsia="Calibri"/>
          <w:lang w:eastAsia="en-US"/>
        </w:rPr>
      </w:pPr>
      <w:r>
        <w:rPr>
          <w:b/>
        </w:rPr>
        <w:lastRenderedPageBreak/>
        <w:t xml:space="preserve">Monitoramento e Indicadores do PMDE-BS </w:t>
      </w:r>
      <w:r w:rsidR="00C44828">
        <w:rPr>
          <w:b/>
        </w:rPr>
        <w:t>-</w:t>
      </w:r>
      <w:r>
        <w:rPr>
          <w:b/>
        </w:rPr>
        <w:t xml:space="preserve"> </w:t>
      </w:r>
      <w:r>
        <w:rPr>
          <w:rFonts w:eastAsia="Calibri"/>
          <w:lang w:eastAsia="en-US"/>
        </w:rPr>
        <w:t xml:space="preserve">Está sendo construído Termo de Referência - TR para elaboração de sistema </w:t>
      </w:r>
      <w:r>
        <w:rPr>
          <w:rFonts w:eastAsia="Calibri"/>
          <w:i/>
          <w:lang w:eastAsia="en-US"/>
        </w:rPr>
        <w:t>web</w:t>
      </w:r>
      <w:r w:rsidR="00C44828">
        <w:rPr>
          <w:rFonts w:eastAsia="Calibri"/>
          <w:i/>
          <w:lang w:eastAsia="en-US"/>
        </w:rPr>
        <w:t>,</w:t>
      </w:r>
      <w:r>
        <w:rPr>
          <w:rFonts w:eastAsia="Calibri"/>
          <w:lang w:eastAsia="en-US"/>
        </w:rPr>
        <w:t xml:space="preserve"> utilizando dados e mapas georreferenciados. Esse sistema será alimentado pela Agem e Câmaras Temáticas, sendo compartilhado com os municípios para visualização e alimentação. Além das informações apontadas nos 18 mapas, haverá campo com os indicadores publicados no Plano (2015, 2020, 2026 e 2030), de forma que sejam alimentados, acompanhados e publicados periodicamente. O objetivo é que funcione como observatório regional. O Conselho de Desenvolvimento da Baixada Santista </w:t>
      </w:r>
      <w:r w:rsidR="007C47BA">
        <w:rPr>
          <w:rFonts w:eastAsia="Calibri"/>
          <w:lang w:eastAsia="en-US"/>
        </w:rPr>
        <w:t xml:space="preserve">- </w:t>
      </w:r>
      <w:r>
        <w:rPr>
          <w:rFonts w:eastAsia="Calibri"/>
          <w:lang w:eastAsia="en-US"/>
        </w:rPr>
        <w:t>Condesb aprovou a contratação de empresa especializada para continuidade das ações e do Sistema de Monitoramento e Avaliação do plano estratégico.</w:t>
      </w:r>
    </w:p>
    <w:p w:rsidR="003E6588" w:rsidRDefault="003E6588">
      <w:pPr>
        <w:ind w:firstLine="1134"/>
        <w:jc w:val="both"/>
        <w:rPr>
          <w:rFonts w:eastAsia="Calibri"/>
          <w:lang w:eastAsia="en-US"/>
        </w:rPr>
      </w:pPr>
    </w:p>
    <w:p w:rsidR="003E6588" w:rsidRDefault="003E6588">
      <w:pPr>
        <w:ind w:firstLine="1134"/>
        <w:contextualSpacing/>
        <w:jc w:val="both"/>
        <w:rPr>
          <w:color w:val="222222"/>
        </w:rPr>
      </w:pPr>
      <w:r>
        <w:rPr>
          <w:b/>
        </w:rPr>
        <w:t xml:space="preserve">PAC Mobilidade - </w:t>
      </w:r>
      <w:r>
        <w:rPr>
          <w:color w:val="222222"/>
        </w:rPr>
        <w:t xml:space="preserve">A união dos nove prefeitos da Baixada Santista foi decisiva para inclusão da </w:t>
      </w:r>
      <w:r w:rsidR="00C44828">
        <w:rPr>
          <w:color w:val="222222"/>
        </w:rPr>
        <w:t xml:space="preserve">Região Metropolitana </w:t>
      </w:r>
      <w:r>
        <w:rPr>
          <w:color w:val="222222"/>
        </w:rPr>
        <w:t xml:space="preserve">no Programa de Aceleração do Crescimento (PAC 2 - Mobilidade Urbana), do Governo Federal. A conquista marca a história da formação da Região Metropolitana da Baixada Santista. A Agem e o Condesb desempenharam papel essencial de articulação e </w:t>
      </w:r>
      <w:r w:rsidR="00C44828">
        <w:rPr>
          <w:color w:val="222222"/>
        </w:rPr>
        <w:t>suporte técnico nesse processo.</w:t>
      </w:r>
    </w:p>
    <w:p w:rsidR="003E6588" w:rsidRDefault="003E6588">
      <w:pPr>
        <w:ind w:firstLine="1134"/>
        <w:contextualSpacing/>
        <w:jc w:val="both"/>
        <w:rPr>
          <w:color w:val="222222"/>
        </w:rPr>
      </w:pPr>
    </w:p>
    <w:p w:rsidR="003E6588" w:rsidRDefault="003E6588">
      <w:pPr>
        <w:ind w:firstLine="1134"/>
        <w:jc w:val="both"/>
        <w:rPr>
          <w:color w:val="222222"/>
        </w:rPr>
      </w:pPr>
      <w:r>
        <w:rPr>
          <w:color w:val="222222"/>
        </w:rPr>
        <w:t>O repasse no valor de R$ 481,4 milhões será destinado às obras e elaboração de projetos de mobilidade urbana na Baixada Santista. Deste total, R$ 456 milhões serão destinados à construção do Corredor Metropolitano Santos-São Vicente - o popular túnel ligando Zona Leste e Zona Noroeste de Santos. O PAC também contemplou os municípios de Praia Grande e Bertioga.</w:t>
      </w:r>
    </w:p>
    <w:p w:rsidR="003E6588" w:rsidRDefault="003E6588">
      <w:pPr>
        <w:ind w:firstLine="1134"/>
        <w:jc w:val="both"/>
        <w:rPr>
          <w:color w:val="222222"/>
        </w:rPr>
      </w:pPr>
    </w:p>
    <w:p w:rsidR="003E6588" w:rsidRDefault="003E6588">
      <w:pPr>
        <w:ind w:firstLine="1134"/>
        <w:contextualSpacing/>
        <w:jc w:val="both"/>
        <w:rPr>
          <w:rFonts w:eastAsia="Calibri"/>
          <w:color w:val="000000"/>
          <w:lang w:eastAsia="en-US"/>
        </w:rPr>
      </w:pPr>
      <w:r>
        <w:rPr>
          <w:b/>
        </w:rPr>
        <w:t xml:space="preserve">Geoprocessamento - </w:t>
      </w:r>
      <w:r w:rsidR="00C44828">
        <w:rPr>
          <w:b/>
        </w:rPr>
        <w:t xml:space="preserve">Integração </w:t>
      </w:r>
      <w:r>
        <w:rPr>
          <w:b/>
        </w:rPr>
        <w:t xml:space="preserve">dos sistemas das prefeituras da RMBS - </w:t>
      </w:r>
      <w:r>
        <w:rPr>
          <w:rFonts w:eastAsia="Calibri"/>
          <w:color w:val="000000"/>
          <w:lang w:eastAsia="en-US"/>
        </w:rPr>
        <w:t>A Agem está ajudando e apoiando os trabalhos para implementação do geoprocessamento nos municípios da região</w:t>
      </w:r>
      <w:r w:rsidR="00C44828">
        <w:rPr>
          <w:rFonts w:eastAsia="Calibri"/>
          <w:color w:val="000000"/>
          <w:lang w:eastAsia="en-US"/>
        </w:rPr>
        <w:t>,</w:t>
      </w:r>
      <w:r>
        <w:rPr>
          <w:rFonts w:eastAsia="Calibri"/>
          <w:color w:val="000000"/>
          <w:lang w:eastAsia="en-US"/>
        </w:rPr>
        <w:t xml:space="preserve"> para futuramente realizar a integração das bases de dados. Por meio da contratação do Sistema de Monitoramento do plano estratégico</w:t>
      </w:r>
      <w:r w:rsidR="00C44828">
        <w:rPr>
          <w:rFonts w:eastAsia="Calibri"/>
          <w:color w:val="000000"/>
          <w:lang w:eastAsia="en-US"/>
        </w:rPr>
        <w:t>,</w:t>
      </w:r>
      <w:r>
        <w:rPr>
          <w:rFonts w:eastAsia="Calibri"/>
          <w:color w:val="000000"/>
          <w:lang w:eastAsia="en-US"/>
        </w:rPr>
        <w:t xml:space="preserve"> será possível disponibilizar ferramenta </w:t>
      </w:r>
      <w:r>
        <w:rPr>
          <w:rFonts w:eastAsia="Calibri"/>
          <w:i/>
          <w:color w:val="000000"/>
          <w:lang w:eastAsia="en-US"/>
        </w:rPr>
        <w:t>web</w:t>
      </w:r>
      <w:r>
        <w:rPr>
          <w:rFonts w:eastAsia="Calibri"/>
          <w:color w:val="000000"/>
          <w:lang w:eastAsia="en-US"/>
        </w:rPr>
        <w:t xml:space="preserve"> com informações georreferenciadas da Região Metropolitana da Baixada Santista</w:t>
      </w:r>
      <w:r w:rsidR="00C44828">
        <w:rPr>
          <w:rFonts w:eastAsia="Calibri"/>
          <w:color w:val="000000"/>
          <w:lang w:eastAsia="en-US"/>
        </w:rPr>
        <w:t>,</w:t>
      </w:r>
      <w:r>
        <w:rPr>
          <w:rFonts w:eastAsia="Calibri"/>
          <w:color w:val="000000"/>
          <w:lang w:eastAsia="en-US"/>
        </w:rPr>
        <w:t xml:space="preserve"> </w:t>
      </w:r>
      <w:r w:rsidR="00C44828">
        <w:rPr>
          <w:rFonts w:eastAsia="Calibri"/>
          <w:color w:val="000000"/>
          <w:lang w:eastAsia="en-US"/>
        </w:rPr>
        <w:t>por meio</w:t>
      </w:r>
      <w:r>
        <w:rPr>
          <w:rFonts w:eastAsia="Calibri"/>
          <w:color w:val="000000"/>
          <w:lang w:eastAsia="en-US"/>
        </w:rPr>
        <w:t xml:space="preserve"> de Geoportal.</w:t>
      </w:r>
    </w:p>
    <w:p w:rsidR="003E6588" w:rsidRDefault="003E6588">
      <w:pPr>
        <w:ind w:firstLine="1134"/>
        <w:jc w:val="both"/>
        <w:rPr>
          <w:rFonts w:eastAsia="Calibri"/>
          <w:color w:val="000000"/>
          <w:lang w:eastAsia="en-US"/>
        </w:rPr>
      </w:pPr>
    </w:p>
    <w:p w:rsidR="003E6588" w:rsidRDefault="003E6588">
      <w:pPr>
        <w:ind w:firstLine="1134"/>
        <w:contextualSpacing/>
        <w:jc w:val="both"/>
        <w:rPr>
          <w:rFonts w:eastAsia="Calibri"/>
          <w:lang w:eastAsia="en-US"/>
        </w:rPr>
      </w:pPr>
      <w:r>
        <w:rPr>
          <w:b/>
        </w:rPr>
        <w:t xml:space="preserve">Projeto Tocando Santos - </w:t>
      </w:r>
      <w:r w:rsidR="00C44828">
        <w:rPr>
          <w:rFonts w:eastAsia="Calibri"/>
          <w:lang w:eastAsia="en-US"/>
        </w:rPr>
        <w:t xml:space="preserve">Abertura </w:t>
      </w:r>
      <w:r>
        <w:rPr>
          <w:rFonts w:eastAsia="Calibri"/>
          <w:lang w:eastAsia="en-US"/>
        </w:rPr>
        <w:t xml:space="preserve">da 20ª edição do </w:t>
      </w:r>
      <w:r w:rsidR="00C44828">
        <w:rPr>
          <w:rFonts w:eastAsia="Calibri"/>
          <w:lang w:eastAsia="en-US"/>
        </w:rPr>
        <w:t>“</w:t>
      </w:r>
      <w:r>
        <w:rPr>
          <w:rFonts w:eastAsia="Calibri"/>
          <w:lang w:eastAsia="en-US"/>
        </w:rPr>
        <w:t>Projeto Tocando Santos</w:t>
      </w:r>
      <w:r w:rsidR="00C44828">
        <w:rPr>
          <w:rFonts w:eastAsia="Calibri"/>
          <w:lang w:eastAsia="en-US"/>
        </w:rPr>
        <w:t>”</w:t>
      </w:r>
      <w:r>
        <w:rPr>
          <w:rFonts w:eastAsia="Calibri"/>
          <w:lang w:eastAsia="en-US"/>
        </w:rPr>
        <w:t>. A programação, que se estende</w:t>
      </w:r>
      <w:r w:rsidR="00C44828">
        <w:rPr>
          <w:rFonts w:eastAsia="Calibri"/>
          <w:lang w:eastAsia="en-US"/>
        </w:rPr>
        <w:t>u</w:t>
      </w:r>
      <w:r>
        <w:rPr>
          <w:rFonts w:eastAsia="Calibri"/>
          <w:lang w:eastAsia="en-US"/>
        </w:rPr>
        <w:t xml:space="preserve"> durante todo o ano, é realização do Sesc, da Agência Metropolitana da Baixada Santista - Agem, e do Governo do Estado</w:t>
      </w:r>
      <w:r w:rsidR="00C44828">
        <w:rPr>
          <w:rFonts w:eastAsia="Calibri"/>
          <w:lang w:eastAsia="en-US"/>
        </w:rPr>
        <w:t>,</w:t>
      </w:r>
      <w:r>
        <w:rPr>
          <w:rFonts w:eastAsia="Calibri"/>
          <w:lang w:eastAsia="en-US"/>
        </w:rPr>
        <w:t xml:space="preserve"> por meio da</w:t>
      </w:r>
      <w:r w:rsidR="00C44828">
        <w:rPr>
          <w:rFonts w:eastAsia="Calibri"/>
          <w:lang w:eastAsia="en-US"/>
        </w:rPr>
        <w:t>s</w:t>
      </w:r>
      <w:r>
        <w:rPr>
          <w:rFonts w:eastAsia="Calibri"/>
          <w:lang w:eastAsia="en-US"/>
        </w:rPr>
        <w:t xml:space="preserve"> Secretaria</w:t>
      </w:r>
      <w:r w:rsidR="00C44828">
        <w:rPr>
          <w:rFonts w:eastAsia="Calibri"/>
          <w:lang w:eastAsia="en-US"/>
        </w:rPr>
        <w:t>s</w:t>
      </w:r>
      <w:r>
        <w:rPr>
          <w:rFonts w:eastAsia="Calibri"/>
          <w:lang w:eastAsia="en-US"/>
        </w:rPr>
        <w:t xml:space="preserve"> da Casa Civil (Subsecretaria de Desenvolvimento Metropolitano) e </w:t>
      </w:r>
      <w:r w:rsidR="00C44828">
        <w:rPr>
          <w:rFonts w:eastAsia="Calibri"/>
          <w:lang w:eastAsia="en-US"/>
        </w:rPr>
        <w:t>da Cultura.</w:t>
      </w:r>
    </w:p>
    <w:p w:rsidR="003E6588" w:rsidRDefault="003E6588">
      <w:pPr>
        <w:ind w:firstLine="1134"/>
        <w:jc w:val="both"/>
        <w:rPr>
          <w:rFonts w:eastAsia="Calibri"/>
          <w:lang w:eastAsia="en-US"/>
        </w:rPr>
      </w:pPr>
    </w:p>
    <w:p w:rsidR="003E6588" w:rsidRDefault="003E6588">
      <w:pPr>
        <w:ind w:firstLine="1134"/>
        <w:contextualSpacing/>
        <w:jc w:val="both"/>
        <w:rPr>
          <w:rFonts w:eastAsia="Calibri"/>
          <w:shd w:val="clear" w:color="auto" w:fill="FFFFFF"/>
          <w:lang w:eastAsia="en-US"/>
        </w:rPr>
      </w:pPr>
      <w:r>
        <w:rPr>
          <w:b/>
        </w:rPr>
        <w:t xml:space="preserve">Sistema Hidroviário - </w:t>
      </w:r>
      <w:r>
        <w:rPr>
          <w:rFonts w:eastAsia="Calibri"/>
          <w:shd w:val="clear" w:color="auto" w:fill="FFFFFF"/>
          <w:lang w:eastAsia="en-US"/>
        </w:rPr>
        <w:t xml:space="preserve">A 178ª </w:t>
      </w:r>
      <w:r w:rsidR="00C44828">
        <w:rPr>
          <w:rFonts w:eastAsia="Calibri"/>
          <w:shd w:val="clear" w:color="auto" w:fill="FFFFFF"/>
          <w:lang w:eastAsia="en-US"/>
        </w:rPr>
        <w:t xml:space="preserve">Reunião </w:t>
      </w:r>
      <w:r>
        <w:rPr>
          <w:rFonts w:eastAsia="Calibri"/>
          <w:shd w:val="clear" w:color="auto" w:fill="FFFFFF"/>
          <w:lang w:eastAsia="en-US"/>
        </w:rPr>
        <w:t>do Conselho de Desenvolvimento da Baixada Santista - Condesb, apresentou trabalhos para estudo de viabilidade de implantação do modal hidroviário nos Municípios de Bertioga, Cubatão, Guarujá, Praia Grande, Santos e São Vicente. O objetivo é que o sistema hidroviário seja interligado com outros modais</w:t>
      </w:r>
      <w:r w:rsidR="00C44828">
        <w:rPr>
          <w:rFonts w:eastAsia="Calibri"/>
          <w:shd w:val="clear" w:color="auto" w:fill="FFFFFF"/>
          <w:lang w:eastAsia="en-US"/>
        </w:rPr>
        <w:t>,</w:t>
      </w:r>
      <w:r>
        <w:rPr>
          <w:rFonts w:eastAsia="Calibri"/>
          <w:shd w:val="clear" w:color="auto" w:fill="FFFFFF"/>
          <w:lang w:eastAsia="en-US"/>
        </w:rPr>
        <w:t xml:space="preserve"> como o VLT e o transporte municipal e intermunicipal de ônibus. O desenvolvimento técnico do projeto será realizado ao redor de quatro temas principais: navegabilidade das vias, estudo de demanda, embarcações e terminais e m</w:t>
      </w:r>
      <w:r w:rsidR="00C44828">
        <w:rPr>
          <w:rFonts w:eastAsia="Calibri"/>
          <w:shd w:val="clear" w:color="auto" w:fill="FFFFFF"/>
          <w:lang w:eastAsia="en-US"/>
        </w:rPr>
        <w:t>odelagem financeira do negócio.</w:t>
      </w:r>
    </w:p>
    <w:p w:rsidR="003E6588" w:rsidRDefault="003E6588">
      <w:pPr>
        <w:ind w:firstLine="1134"/>
        <w:jc w:val="both"/>
        <w:rPr>
          <w:rFonts w:eastAsia="Calibri"/>
          <w:shd w:val="clear" w:color="auto" w:fill="FFFFFF"/>
          <w:lang w:eastAsia="en-US"/>
        </w:rPr>
      </w:pPr>
    </w:p>
    <w:p w:rsidR="003E6588" w:rsidRDefault="003E6588">
      <w:pPr>
        <w:ind w:firstLine="1134"/>
        <w:contextualSpacing/>
        <w:jc w:val="both"/>
        <w:rPr>
          <w:rFonts w:eastAsia="Calibri"/>
          <w:lang w:eastAsia="en-US"/>
        </w:rPr>
      </w:pPr>
      <w:r>
        <w:rPr>
          <w:b/>
        </w:rPr>
        <w:t xml:space="preserve">Grupo Técnico de Mobilidade - </w:t>
      </w:r>
      <w:r>
        <w:rPr>
          <w:rFonts w:eastAsia="Calibri"/>
          <w:lang w:eastAsia="en-US"/>
        </w:rPr>
        <w:t>Em desenvolvimento o Termo de Referência para elaboração do Plano de Mobilidade Urbana Regional da Baixada Santista</w:t>
      </w:r>
      <w:r w:rsidR="00C44828">
        <w:rPr>
          <w:rFonts w:eastAsia="Calibri"/>
          <w:lang w:eastAsia="en-US"/>
        </w:rPr>
        <w:t>,</w:t>
      </w:r>
      <w:r>
        <w:rPr>
          <w:rFonts w:eastAsia="Calibri"/>
          <w:lang w:eastAsia="en-US"/>
        </w:rPr>
        <w:t xml:space="preserve"> em atendimento a diretriz do plano estratégico da Agem.</w:t>
      </w:r>
    </w:p>
    <w:p w:rsidR="003E6588" w:rsidRDefault="003E6588">
      <w:pPr>
        <w:ind w:firstLine="1134"/>
        <w:contextualSpacing/>
        <w:jc w:val="both"/>
        <w:rPr>
          <w:rFonts w:eastAsia="Calibri"/>
          <w:lang w:eastAsia="en-US"/>
        </w:rPr>
      </w:pPr>
      <w:r>
        <w:rPr>
          <w:b/>
        </w:rPr>
        <w:lastRenderedPageBreak/>
        <w:t xml:space="preserve">Agente técnico junto ao Fundo de Desenvolvimento Metropolitano - Fundo - </w:t>
      </w:r>
      <w:r>
        <w:rPr>
          <w:rFonts w:eastAsia="Calibri"/>
          <w:lang w:eastAsia="en-US"/>
        </w:rPr>
        <w:t>A AGEM acompanha os projetos metropolitanos em andamento nos municípios, com recursos oriundos do Fundo, realizando vistorias, medições e análise p</w:t>
      </w:r>
      <w:r w:rsidR="00C44828">
        <w:rPr>
          <w:rFonts w:eastAsia="Calibri"/>
          <w:lang w:eastAsia="en-US"/>
        </w:rPr>
        <w:t>a</w:t>
      </w:r>
      <w:r>
        <w:rPr>
          <w:rFonts w:eastAsia="Calibri"/>
          <w:lang w:eastAsia="en-US"/>
        </w:rPr>
        <w:t>ra emissão de certidão de adequação e ficha técnica.</w:t>
      </w:r>
    </w:p>
    <w:p w:rsidR="003E6588" w:rsidRDefault="003E6588">
      <w:pPr>
        <w:ind w:firstLine="1134"/>
        <w:jc w:val="both"/>
        <w:rPr>
          <w:rFonts w:eastAsia="Calibri"/>
          <w:lang w:eastAsia="en-US"/>
        </w:rPr>
      </w:pPr>
    </w:p>
    <w:p w:rsidR="003E6588" w:rsidRDefault="003E6588">
      <w:pPr>
        <w:ind w:firstLine="1134"/>
        <w:contextualSpacing/>
        <w:jc w:val="both"/>
        <w:rPr>
          <w:bCs/>
          <w:color w:val="000000"/>
        </w:rPr>
      </w:pPr>
      <w:r>
        <w:rPr>
          <w:b/>
        </w:rPr>
        <w:t xml:space="preserve">Secretaria Executiva do Condesb e Câmaras Temáticas - </w:t>
      </w:r>
      <w:r>
        <w:rPr>
          <w:color w:val="000000"/>
        </w:rPr>
        <w:t xml:space="preserve">Foram </w:t>
      </w:r>
      <w:r>
        <w:rPr>
          <w:bCs/>
          <w:color w:val="000000"/>
        </w:rPr>
        <w:t>realizadas doze reuniões ordinárias e uma extraordinária e as Câmaras Temáticas promoveram 108 encontros. Além das 22 câmaras existentes, foram criadas mais duas: Defesa Civil e Políticas Públicas sobre Drogas.</w:t>
      </w:r>
    </w:p>
    <w:p w:rsidR="003E6588" w:rsidRDefault="003E6588">
      <w:pPr>
        <w:widowControl w:val="0"/>
        <w:tabs>
          <w:tab w:val="left" w:pos="204"/>
        </w:tabs>
        <w:autoSpaceDE w:val="0"/>
        <w:autoSpaceDN w:val="0"/>
        <w:adjustRightInd w:val="0"/>
        <w:ind w:firstLine="1134"/>
        <w:jc w:val="both"/>
        <w:rPr>
          <w:bCs/>
          <w:color w:val="000000"/>
        </w:rPr>
      </w:pPr>
    </w:p>
    <w:p w:rsidR="003E6588" w:rsidRDefault="003E6588">
      <w:pPr>
        <w:ind w:firstLine="1134"/>
        <w:contextualSpacing/>
        <w:jc w:val="both"/>
        <w:rPr>
          <w:rFonts w:eastAsia="Calibri"/>
          <w:color w:val="000000"/>
          <w:shd w:val="clear" w:color="auto" w:fill="FFFFFF"/>
          <w:lang w:eastAsia="en-US"/>
        </w:rPr>
      </w:pPr>
      <w:r>
        <w:rPr>
          <w:b/>
          <w:shd w:val="clear" w:color="auto" w:fill="FFFFFF"/>
        </w:rPr>
        <w:t xml:space="preserve">Contratação do CEPAM - </w:t>
      </w:r>
      <w:r>
        <w:rPr>
          <w:rFonts w:eastAsia="Calibri"/>
          <w:color w:val="000000"/>
          <w:shd w:val="clear" w:color="auto" w:fill="FFFFFF"/>
          <w:lang w:eastAsia="en-US"/>
        </w:rPr>
        <w:t xml:space="preserve">A Agem celebrou contrato com o Centro de Estudos e Pesquisas de Administração Municipal </w:t>
      </w:r>
      <w:r w:rsidR="007C47BA">
        <w:rPr>
          <w:rFonts w:eastAsia="Calibri"/>
          <w:color w:val="000000"/>
          <w:shd w:val="clear" w:color="auto" w:fill="FFFFFF"/>
          <w:lang w:eastAsia="en-US"/>
        </w:rPr>
        <w:t>-</w:t>
      </w:r>
      <w:r>
        <w:rPr>
          <w:rFonts w:eastAsia="Calibri"/>
          <w:color w:val="000000"/>
          <w:shd w:val="clear" w:color="auto" w:fill="FFFFFF"/>
          <w:lang w:eastAsia="en-US"/>
        </w:rPr>
        <w:t xml:space="preserve"> CEPAM</w:t>
      </w:r>
      <w:r w:rsidR="00AD630D">
        <w:rPr>
          <w:rFonts w:eastAsia="Calibri"/>
          <w:color w:val="000000"/>
          <w:shd w:val="clear" w:color="auto" w:fill="FFFFFF"/>
          <w:lang w:eastAsia="en-US"/>
        </w:rPr>
        <w:t>,</w:t>
      </w:r>
      <w:r>
        <w:rPr>
          <w:rFonts w:eastAsia="Calibri"/>
          <w:color w:val="000000"/>
          <w:shd w:val="clear" w:color="auto" w:fill="FFFFFF"/>
          <w:lang w:eastAsia="en-US"/>
        </w:rPr>
        <w:t xml:space="preserve"> para auxiliar na formulação da dinâmica de trabalho junto às Câmaras Temáticas, após reorganização s</w:t>
      </w:r>
      <w:r w:rsidR="00AD630D">
        <w:rPr>
          <w:rFonts w:eastAsia="Calibri"/>
          <w:color w:val="000000"/>
          <w:shd w:val="clear" w:color="auto" w:fill="FFFFFF"/>
          <w:lang w:eastAsia="en-US"/>
        </w:rPr>
        <w:t>ugerida pelo plano estratégico.</w:t>
      </w:r>
    </w:p>
    <w:p w:rsidR="003E6588" w:rsidRDefault="003E6588">
      <w:pPr>
        <w:ind w:firstLine="1134"/>
        <w:jc w:val="both"/>
        <w:rPr>
          <w:rFonts w:eastAsia="Calibri"/>
          <w:color w:val="000000"/>
          <w:shd w:val="clear" w:color="auto" w:fill="FFFFFF"/>
          <w:lang w:eastAsia="en-US"/>
        </w:rPr>
      </w:pPr>
    </w:p>
    <w:p w:rsidR="003E6588" w:rsidRDefault="003E6588">
      <w:pPr>
        <w:ind w:firstLine="1134"/>
        <w:contextualSpacing/>
        <w:jc w:val="both"/>
        <w:rPr>
          <w:rFonts w:eastAsia="Calibri"/>
          <w:lang w:eastAsia="en-US"/>
        </w:rPr>
      </w:pPr>
      <w:r>
        <w:rPr>
          <w:b/>
          <w:bCs/>
          <w:color w:val="000000"/>
        </w:rPr>
        <w:t xml:space="preserve">Capacitação Investe SP com os Municípios - </w:t>
      </w:r>
      <w:r>
        <w:rPr>
          <w:rFonts w:eastAsia="Calibri"/>
          <w:lang w:eastAsia="en-US"/>
        </w:rPr>
        <w:t>Com apoio da Agem, a Investe São Paulo realizou sua primeira ação institucional de capacitação de municípios para atração de investimentos fora de sua sede. O evento foi realizado com participação de prefeituras municipais, Secretaria de Desenvolvimento Econômico, Ciência, Tecnologia e Inovação - SDECTI e Desenvolve SP. 50 gestores públicos de nove municípios estiveram reunidos para troca de experiências e informações.</w:t>
      </w:r>
    </w:p>
    <w:p w:rsidR="003E6588" w:rsidRDefault="003E6588">
      <w:pPr>
        <w:ind w:firstLine="1134"/>
        <w:contextualSpacing/>
        <w:jc w:val="both"/>
        <w:rPr>
          <w:rFonts w:eastAsia="Calibri"/>
          <w:lang w:eastAsia="en-US"/>
        </w:rPr>
      </w:pPr>
    </w:p>
    <w:p w:rsidR="003E6588" w:rsidRDefault="003E6588">
      <w:pPr>
        <w:ind w:firstLine="1134"/>
        <w:contextualSpacing/>
        <w:jc w:val="both"/>
        <w:rPr>
          <w:rFonts w:eastAsia="Calibri"/>
          <w:color w:val="000000"/>
          <w:lang w:eastAsia="en-US"/>
        </w:rPr>
      </w:pPr>
      <w:r>
        <w:rPr>
          <w:b/>
        </w:rPr>
        <w:t xml:space="preserve">Checagem dos recortes territoriais - </w:t>
      </w:r>
      <w:r>
        <w:rPr>
          <w:rFonts w:eastAsia="Calibri"/>
          <w:color w:val="000000"/>
          <w:lang w:eastAsia="en-US"/>
        </w:rPr>
        <w:t xml:space="preserve">A pedido da EMPLASA, a Agência concentrou a análise de revisão dos recortes territoriais das Unidades de Desenvolvimento Humano - UDHs dos nove municípios que compõem a Região Metropolitana da Baixada Santista, formadas a partir de agrupamentos de setores censitários do IBGE, com base em critérios de renda. Trata-se de </w:t>
      </w:r>
      <w:r w:rsidR="00AD630D">
        <w:rPr>
          <w:rFonts w:eastAsia="Calibri"/>
          <w:color w:val="000000"/>
          <w:lang w:eastAsia="en-US"/>
        </w:rPr>
        <w:t>“</w:t>
      </w:r>
      <w:r>
        <w:rPr>
          <w:rFonts w:eastAsia="Calibri"/>
          <w:color w:val="000000"/>
          <w:lang w:eastAsia="en-US"/>
        </w:rPr>
        <w:t>Programa das Nações Unidas para o Desenvolvimento/ONU</w:t>
      </w:r>
      <w:r w:rsidR="00AD630D">
        <w:rPr>
          <w:rFonts w:eastAsia="Calibri"/>
          <w:color w:val="000000"/>
          <w:lang w:eastAsia="en-US"/>
        </w:rPr>
        <w:t>”,</w:t>
      </w:r>
      <w:r>
        <w:rPr>
          <w:rFonts w:eastAsia="Calibri"/>
          <w:color w:val="000000"/>
          <w:lang w:eastAsia="en-US"/>
        </w:rPr>
        <w:t xml:space="preserve"> em parceria com o Instituto de Pesquisa Econômica Aplicada - IPEA e </w:t>
      </w:r>
      <w:r w:rsidR="00AD630D">
        <w:rPr>
          <w:rFonts w:eastAsia="Calibri"/>
          <w:color w:val="000000"/>
          <w:lang w:eastAsia="en-US"/>
        </w:rPr>
        <w:t>a Fundação João Pinheiro - FJP.</w:t>
      </w:r>
    </w:p>
    <w:p w:rsidR="003E6588" w:rsidRDefault="003E6588">
      <w:pPr>
        <w:ind w:firstLine="1134"/>
        <w:jc w:val="both"/>
        <w:rPr>
          <w:rFonts w:eastAsia="Calibri"/>
          <w:color w:val="000000"/>
          <w:lang w:eastAsia="en-US"/>
        </w:rPr>
      </w:pPr>
    </w:p>
    <w:p w:rsidR="003E6588" w:rsidRDefault="003E6588">
      <w:pPr>
        <w:ind w:firstLine="1134"/>
        <w:jc w:val="both"/>
        <w:rPr>
          <w:rFonts w:eastAsia="Calibri"/>
          <w:b/>
          <w:lang w:eastAsia="en-US"/>
        </w:rPr>
      </w:pPr>
      <w:r>
        <w:rPr>
          <w:rFonts w:eastAsia="Calibri"/>
          <w:b/>
          <w:lang w:eastAsia="en-US"/>
        </w:rPr>
        <w:t>Participação em Eventos, Feiras, Congressos e Encontros</w:t>
      </w:r>
    </w:p>
    <w:p w:rsidR="003E6588" w:rsidRDefault="003E6588">
      <w:pPr>
        <w:ind w:left="720" w:firstLine="1134"/>
        <w:contextualSpacing/>
        <w:jc w:val="both"/>
        <w:rPr>
          <w:b/>
        </w:rPr>
      </w:pPr>
    </w:p>
    <w:p w:rsidR="003E6588" w:rsidRDefault="003E6588">
      <w:pPr>
        <w:tabs>
          <w:tab w:val="left" w:pos="142"/>
        </w:tabs>
        <w:ind w:firstLine="1134"/>
        <w:contextualSpacing/>
        <w:jc w:val="both"/>
      </w:pPr>
      <w:r>
        <w:t xml:space="preserve">- Santos </w:t>
      </w:r>
      <w:r>
        <w:rPr>
          <w:i/>
        </w:rPr>
        <w:t>Offshore</w:t>
      </w:r>
      <w:r>
        <w:t xml:space="preserve"> 2014;</w:t>
      </w:r>
    </w:p>
    <w:p w:rsidR="003E6588" w:rsidRDefault="003E6588">
      <w:pPr>
        <w:tabs>
          <w:tab w:val="left" w:pos="142"/>
        </w:tabs>
        <w:ind w:firstLine="1134"/>
        <w:contextualSpacing/>
        <w:jc w:val="both"/>
      </w:pPr>
    </w:p>
    <w:p w:rsidR="003E6588" w:rsidRDefault="003E6588">
      <w:pPr>
        <w:tabs>
          <w:tab w:val="left" w:pos="142"/>
        </w:tabs>
        <w:ind w:firstLine="1134"/>
        <w:contextualSpacing/>
        <w:jc w:val="both"/>
      </w:pPr>
      <w:r>
        <w:t>- Semana da Mata Atlântica 2014;</w:t>
      </w:r>
    </w:p>
    <w:p w:rsidR="003E6588" w:rsidRDefault="003E6588">
      <w:pPr>
        <w:tabs>
          <w:tab w:val="left" w:pos="142"/>
        </w:tabs>
        <w:ind w:firstLine="1134"/>
        <w:contextualSpacing/>
        <w:jc w:val="both"/>
      </w:pPr>
    </w:p>
    <w:p w:rsidR="003E6588" w:rsidRDefault="003E6588">
      <w:pPr>
        <w:tabs>
          <w:tab w:val="left" w:pos="142"/>
        </w:tabs>
        <w:ind w:firstLine="1134"/>
        <w:contextualSpacing/>
        <w:jc w:val="both"/>
      </w:pPr>
      <w:r>
        <w:t>- Apresentação da Agem em Itu - Sobre histórico de formação para auxiliar a nova Região Metropolitana de Sorocaba;</w:t>
      </w:r>
    </w:p>
    <w:p w:rsidR="003E6588" w:rsidRDefault="003E6588">
      <w:pPr>
        <w:tabs>
          <w:tab w:val="left" w:pos="142"/>
        </w:tabs>
        <w:ind w:firstLine="1134"/>
        <w:contextualSpacing/>
        <w:jc w:val="both"/>
      </w:pPr>
    </w:p>
    <w:p w:rsidR="003E6588" w:rsidRDefault="003E6588">
      <w:pPr>
        <w:tabs>
          <w:tab w:val="left" w:pos="142"/>
        </w:tabs>
        <w:ind w:firstLine="1134"/>
        <w:contextualSpacing/>
        <w:jc w:val="both"/>
      </w:pPr>
      <w:r>
        <w:t>- Apresentação da Agem na Unicamp</w:t>
      </w:r>
      <w:r w:rsidR="00AD630D">
        <w:t>,</w:t>
      </w:r>
      <w:r>
        <w:t xml:space="preserve"> para falar sobre Regiões Metropolitanas;</w:t>
      </w:r>
    </w:p>
    <w:p w:rsidR="003E6588" w:rsidRDefault="003E6588">
      <w:pPr>
        <w:tabs>
          <w:tab w:val="left" w:pos="142"/>
        </w:tabs>
        <w:ind w:firstLine="1134"/>
        <w:contextualSpacing/>
        <w:jc w:val="both"/>
      </w:pPr>
    </w:p>
    <w:p w:rsidR="003E6588" w:rsidRDefault="003E6588">
      <w:pPr>
        <w:tabs>
          <w:tab w:val="left" w:pos="142"/>
        </w:tabs>
        <w:ind w:firstLine="1134"/>
        <w:contextualSpacing/>
        <w:jc w:val="both"/>
      </w:pPr>
      <w:r>
        <w:t>-Participação da Agem no encontro com investidores dinamarqueses na Associação Comercial de Santos;</w:t>
      </w:r>
    </w:p>
    <w:p w:rsidR="003E6588" w:rsidRDefault="003E6588">
      <w:pPr>
        <w:tabs>
          <w:tab w:val="left" w:pos="142"/>
        </w:tabs>
        <w:ind w:firstLine="1134"/>
        <w:contextualSpacing/>
        <w:jc w:val="both"/>
        <w:rPr>
          <w:rFonts w:eastAsia="Calibri"/>
        </w:rPr>
      </w:pPr>
    </w:p>
    <w:p w:rsidR="003E6588" w:rsidRDefault="003E6588">
      <w:pPr>
        <w:tabs>
          <w:tab w:val="left" w:pos="142"/>
        </w:tabs>
        <w:ind w:firstLine="1134"/>
        <w:contextualSpacing/>
        <w:jc w:val="both"/>
      </w:pPr>
      <w:r>
        <w:rPr>
          <w:rFonts w:eastAsia="Calibri"/>
        </w:rPr>
        <w:t xml:space="preserve">- Apoio no </w:t>
      </w:r>
      <w:r w:rsidR="00AD630D">
        <w:rPr>
          <w:rFonts w:eastAsia="Calibri"/>
        </w:rPr>
        <w:t>“</w:t>
      </w:r>
      <w:r>
        <w:rPr>
          <w:rFonts w:eastAsia="Calibri"/>
        </w:rPr>
        <w:t>1º Encontro Metropolitano de Tecnologia da Baixada Santista</w:t>
      </w:r>
      <w:r w:rsidR="00AD630D">
        <w:rPr>
          <w:rFonts w:eastAsia="Calibri"/>
        </w:rPr>
        <w:t>”</w:t>
      </w:r>
      <w:r>
        <w:rPr>
          <w:rFonts w:eastAsia="Calibri"/>
        </w:rPr>
        <w:t>;</w:t>
      </w:r>
    </w:p>
    <w:p w:rsidR="003E6588" w:rsidRDefault="003E6588">
      <w:pPr>
        <w:tabs>
          <w:tab w:val="left" w:pos="142"/>
        </w:tabs>
        <w:ind w:firstLine="1134"/>
        <w:contextualSpacing/>
        <w:jc w:val="both"/>
        <w:rPr>
          <w:rFonts w:eastAsia="Calibri"/>
        </w:rPr>
      </w:pPr>
    </w:p>
    <w:p w:rsidR="003E6588" w:rsidRDefault="003E6588">
      <w:pPr>
        <w:tabs>
          <w:tab w:val="left" w:pos="142"/>
        </w:tabs>
        <w:ind w:firstLine="1134"/>
        <w:contextualSpacing/>
        <w:jc w:val="both"/>
      </w:pPr>
      <w:r>
        <w:rPr>
          <w:rFonts w:eastAsia="Calibri"/>
        </w:rPr>
        <w:t xml:space="preserve">- Apoio na realização do </w:t>
      </w:r>
      <w:r>
        <w:rPr>
          <w:rFonts w:eastAsia="Calibri"/>
          <w:i/>
        </w:rPr>
        <w:t>Workshop</w:t>
      </w:r>
      <w:r>
        <w:rPr>
          <w:rFonts w:eastAsia="Calibri"/>
        </w:rPr>
        <w:t xml:space="preserve"> de Geoprocessamento e Mobilidade;</w:t>
      </w:r>
    </w:p>
    <w:p w:rsidR="003E6588" w:rsidRDefault="003E6588">
      <w:pPr>
        <w:tabs>
          <w:tab w:val="left" w:pos="142"/>
        </w:tabs>
        <w:ind w:firstLine="1134"/>
        <w:contextualSpacing/>
        <w:jc w:val="both"/>
        <w:rPr>
          <w:rFonts w:eastAsia="Calibri"/>
        </w:rPr>
      </w:pPr>
    </w:p>
    <w:p w:rsidR="003E6588" w:rsidRDefault="003E6588">
      <w:pPr>
        <w:tabs>
          <w:tab w:val="left" w:pos="142"/>
        </w:tabs>
        <w:ind w:firstLine="1134"/>
        <w:contextualSpacing/>
        <w:jc w:val="both"/>
      </w:pPr>
      <w:r>
        <w:rPr>
          <w:rFonts w:eastAsia="Calibri"/>
        </w:rPr>
        <w:lastRenderedPageBreak/>
        <w:t xml:space="preserve">- Apoio na realização de Treinamento em Geoprocessamento com plataforma de </w:t>
      </w:r>
      <w:r>
        <w:rPr>
          <w:rFonts w:eastAsia="Calibri"/>
          <w:i/>
        </w:rPr>
        <w:t>softwar</w:t>
      </w:r>
      <w:r>
        <w:rPr>
          <w:rFonts w:eastAsia="Calibri"/>
        </w:rPr>
        <w:t>e livre;</w:t>
      </w:r>
    </w:p>
    <w:p w:rsidR="003E6588" w:rsidRDefault="003E6588">
      <w:pPr>
        <w:tabs>
          <w:tab w:val="left" w:pos="142"/>
        </w:tabs>
        <w:ind w:firstLine="1134"/>
        <w:contextualSpacing/>
        <w:jc w:val="both"/>
        <w:rPr>
          <w:rFonts w:eastAsia="Calibri"/>
        </w:rPr>
      </w:pPr>
    </w:p>
    <w:p w:rsidR="003E6588" w:rsidRDefault="003E6588">
      <w:pPr>
        <w:tabs>
          <w:tab w:val="left" w:pos="142"/>
        </w:tabs>
        <w:ind w:firstLine="1134"/>
        <w:contextualSpacing/>
        <w:jc w:val="both"/>
      </w:pPr>
      <w:r>
        <w:rPr>
          <w:rFonts w:eastAsia="Calibri"/>
        </w:rPr>
        <w:t>- Participação nos encontros do Programa INNOVENTA da Fundação Parque Tecnológico de Santos;</w:t>
      </w:r>
    </w:p>
    <w:p w:rsidR="003E6588" w:rsidRDefault="003E6588">
      <w:pPr>
        <w:tabs>
          <w:tab w:val="left" w:pos="142"/>
        </w:tabs>
        <w:ind w:firstLine="1134"/>
        <w:contextualSpacing/>
        <w:jc w:val="both"/>
        <w:rPr>
          <w:rFonts w:eastAsia="Calibri"/>
        </w:rPr>
      </w:pPr>
    </w:p>
    <w:p w:rsidR="003E6588" w:rsidRDefault="003E6588">
      <w:pPr>
        <w:tabs>
          <w:tab w:val="left" w:pos="142"/>
        </w:tabs>
        <w:ind w:firstLine="1134"/>
        <w:contextualSpacing/>
        <w:jc w:val="both"/>
      </w:pPr>
      <w:r>
        <w:rPr>
          <w:rFonts w:eastAsia="Calibri"/>
        </w:rPr>
        <w:t xml:space="preserve">- Apoio na realização do </w:t>
      </w:r>
      <w:r w:rsidR="00AD630D">
        <w:rPr>
          <w:rFonts w:eastAsia="Calibri"/>
        </w:rPr>
        <w:t>“</w:t>
      </w:r>
      <w:r>
        <w:rPr>
          <w:rFonts w:eastAsia="Calibri"/>
        </w:rPr>
        <w:t>Seminário de Mobilidade Urbana da Baixada Santista</w:t>
      </w:r>
      <w:r w:rsidR="00AD630D">
        <w:rPr>
          <w:rFonts w:eastAsia="Calibri"/>
        </w:rPr>
        <w:t>”</w:t>
      </w:r>
      <w:r>
        <w:rPr>
          <w:rFonts w:eastAsia="Calibri"/>
        </w:rPr>
        <w:t xml:space="preserve"> na Associação Comercial de Santos;</w:t>
      </w:r>
    </w:p>
    <w:p w:rsidR="003E6588" w:rsidRDefault="003E6588">
      <w:pPr>
        <w:tabs>
          <w:tab w:val="left" w:pos="142"/>
        </w:tabs>
        <w:ind w:firstLine="1134"/>
        <w:contextualSpacing/>
        <w:jc w:val="both"/>
        <w:rPr>
          <w:rFonts w:eastAsia="Calibri"/>
        </w:rPr>
      </w:pPr>
    </w:p>
    <w:p w:rsidR="003E6588" w:rsidRDefault="003E6588">
      <w:pPr>
        <w:tabs>
          <w:tab w:val="left" w:pos="142"/>
        </w:tabs>
        <w:ind w:firstLine="1134"/>
        <w:contextualSpacing/>
        <w:jc w:val="both"/>
      </w:pPr>
      <w:r>
        <w:rPr>
          <w:rFonts w:eastAsia="Calibri"/>
        </w:rPr>
        <w:t>- Participação nos encontros da BRISA - Fórum Executivo Municipal de Tecnologia da Informação;</w:t>
      </w:r>
    </w:p>
    <w:p w:rsidR="003E6588" w:rsidRDefault="003E6588">
      <w:pPr>
        <w:tabs>
          <w:tab w:val="left" w:pos="142"/>
        </w:tabs>
        <w:ind w:firstLine="1134"/>
        <w:contextualSpacing/>
        <w:jc w:val="both"/>
        <w:rPr>
          <w:rFonts w:eastAsia="Calibri"/>
        </w:rPr>
      </w:pPr>
    </w:p>
    <w:p w:rsidR="003E6588" w:rsidRDefault="003E6588">
      <w:pPr>
        <w:tabs>
          <w:tab w:val="left" w:pos="142"/>
        </w:tabs>
        <w:ind w:firstLine="1134"/>
        <w:contextualSpacing/>
        <w:jc w:val="both"/>
      </w:pPr>
      <w:r>
        <w:rPr>
          <w:rFonts w:eastAsia="Calibri"/>
        </w:rPr>
        <w:t xml:space="preserve">- Participação no evento </w:t>
      </w:r>
      <w:r>
        <w:rPr>
          <w:rFonts w:eastAsia="Calibri"/>
          <w:i/>
        </w:rPr>
        <w:t>WORKTECH -</w:t>
      </w:r>
      <w:r>
        <w:rPr>
          <w:rFonts w:eastAsia="Calibri"/>
        </w:rPr>
        <w:t xml:space="preserve"> ETEC Mongaguá.</w:t>
      </w:r>
    </w:p>
    <w:p w:rsidR="003E6588" w:rsidRDefault="003E6588">
      <w:pPr>
        <w:ind w:firstLine="1134"/>
        <w:jc w:val="both"/>
        <w:rPr>
          <w:rFonts w:eastAsia="Calibri"/>
          <w:b/>
          <w:color w:val="000000"/>
          <w:lang w:eastAsia="en-US"/>
        </w:rPr>
      </w:pPr>
    </w:p>
    <w:p w:rsidR="003E6588" w:rsidRDefault="003E6588">
      <w:pPr>
        <w:ind w:firstLine="1134"/>
        <w:contextualSpacing/>
        <w:jc w:val="both"/>
        <w:rPr>
          <w:b/>
          <w:color w:val="000000"/>
        </w:rPr>
      </w:pPr>
      <w:r>
        <w:rPr>
          <w:b/>
          <w:color w:val="000000"/>
        </w:rPr>
        <w:t>Fortalecimento Institucional</w:t>
      </w:r>
    </w:p>
    <w:p w:rsidR="003E6588" w:rsidRDefault="003E6588">
      <w:pPr>
        <w:ind w:firstLine="1134"/>
        <w:contextualSpacing/>
        <w:jc w:val="both"/>
        <w:rPr>
          <w:b/>
          <w:color w:val="000000"/>
        </w:rPr>
      </w:pPr>
    </w:p>
    <w:p w:rsidR="003E6588" w:rsidRDefault="003E6588">
      <w:pPr>
        <w:ind w:firstLine="1134"/>
        <w:jc w:val="both"/>
        <w:rPr>
          <w:rFonts w:eastAsia="Calibri"/>
          <w:color w:val="000000"/>
          <w:shd w:val="clear" w:color="auto" w:fill="FFFFFF"/>
          <w:lang w:eastAsia="en-US"/>
        </w:rPr>
      </w:pPr>
      <w:r>
        <w:rPr>
          <w:rFonts w:eastAsia="Calibri"/>
          <w:b/>
          <w:i/>
          <w:lang w:eastAsia="en-US"/>
        </w:rPr>
        <w:t>Folder</w:t>
      </w:r>
      <w:r>
        <w:rPr>
          <w:rFonts w:eastAsia="Calibri"/>
          <w:b/>
          <w:lang w:eastAsia="en-US"/>
        </w:rPr>
        <w:t xml:space="preserve"> - </w:t>
      </w:r>
      <w:r>
        <w:rPr>
          <w:rFonts w:eastAsia="Calibri"/>
          <w:lang w:eastAsia="en-US"/>
        </w:rPr>
        <w:t xml:space="preserve">Visando </w:t>
      </w:r>
      <w:r w:rsidR="00AD630D">
        <w:rPr>
          <w:rFonts w:eastAsia="Calibri"/>
          <w:lang w:eastAsia="en-US"/>
        </w:rPr>
        <w:t>a</w:t>
      </w:r>
      <w:r>
        <w:rPr>
          <w:rFonts w:eastAsia="Calibri"/>
          <w:lang w:eastAsia="en-US"/>
        </w:rPr>
        <w:t xml:space="preserve">o </w:t>
      </w:r>
      <w:r>
        <w:rPr>
          <w:rFonts w:eastAsia="Calibri"/>
          <w:color w:val="000000"/>
          <w:shd w:val="clear" w:color="auto" w:fill="FFFFFF"/>
          <w:lang w:eastAsia="en-US"/>
        </w:rPr>
        <w:t>fortalecimento da imagem institucional da Agência foi desenvolvido folheto informativo e ilustrativo para divulgar os projetos e trabalhos da autarquia em feiras, congressos, seminários e em encontros similares.</w:t>
      </w:r>
    </w:p>
    <w:p w:rsidR="003E6588" w:rsidRDefault="003E6588">
      <w:pPr>
        <w:ind w:firstLine="1134"/>
        <w:jc w:val="both"/>
        <w:rPr>
          <w:rFonts w:eastAsia="Calibri"/>
          <w:color w:val="000000"/>
          <w:shd w:val="clear" w:color="auto" w:fill="FFFFFF"/>
          <w:lang w:eastAsia="en-US"/>
        </w:rPr>
      </w:pPr>
    </w:p>
    <w:p w:rsidR="003E6588" w:rsidRDefault="003E6588">
      <w:pPr>
        <w:ind w:firstLine="1134"/>
        <w:jc w:val="both"/>
        <w:rPr>
          <w:rFonts w:eastAsia="Calibri"/>
          <w:lang w:eastAsia="en-US"/>
        </w:rPr>
      </w:pPr>
      <w:r>
        <w:rPr>
          <w:rFonts w:eastAsia="Calibri"/>
          <w:b/>
          <w:lang w:eastAsia="en-US"/>
        </w:rPr>
        <w:t xml:space="preserve">Novo </w:t>
      </w:r>
      <w:r>
        <w:rPr>
          <w:rFonts w:eastAsia="Calibri"/>
          <w:b/>
          <w:i/>
          <w:lang w:eastAsia="en-US"/>
        </w:rPr>
        <w:t>site</w:t>
      </w:r>
      <w:r>
        <w:rPr>
          <w:rFonts w:eastAsia="Calibri"/>
          <w:b/>
          <w:lang w:eastAsia="en-US"/>
        </w:rPr>
        <w:t xml:space="preserve"> - </w:t>
      </w:r>
      <w:r w:rsidR="00AD630D">
        <w:rPr>
          <w:rFonts w:eastAsia="Calibri"/>
          <w:lang w:eastAsia="en-US"/>
        </w:rPr>
        <w:t xml:space="preserve">A </w:t>
      </w:r>
      <w:r>
        <w:rPr>
          <w:rFonts w:eastAsia="Calibri"/>
          <w:lang w:eastAsia="en-US"/>
        </w:rPr>
        <w:t xml:space="preserve">Agem, em parceria com a Fundação Seade, lançaram novo portal na </w:t>
      </w:r>
      <w:r>
        <w:rPr>
          <w:rFonts w:eastAsia="Calibri"/>
          <w:i/>
          <w:lang w:eastAsia="en-US"/>
        </w:rPr>
        <w:t>internet</w:t>
      </w:r>
      <w:r>
        <w:rPr>
          <w:rFonts w:eastAsia="Calibri"/>
          <w:lang w:eastAsia="en-US"/>
        </w:rPr>
        <w:t>, com ferramenta de atualização moderna (</w:t>
      </w:r>
      <w:r>
        <w:rPr>
          <w:rFonts w:eastAsia="Calibri"/>
          <w:i/>
          <w:lang w:eastAsia="en-US"/>
        </w:rPr>
        <w:t>Wordpress</w:t>
      </w:r>
      <w:r>
        <w:rPr>
          <w:rFonts w:eastAsia="Calibri"/>
          <w:lang w:eastAsia="en-US"/>
        </w:rPr>
        <w:t>) e acesso direto aos indicadores do banco de dados da Seade.</w:t>
      </w:r>
    </w:p>
    <w:p w:rsidR="003E6588" w:rsidRDefault="003E6588">
      <w:pPr>
        <w:ind w:firstLine="1134"/>
        <w:jc w:val="both"/>
        <w:rPr>
          <w:rFonts w:eastAsia="Calibri"/>
          <w:b/>
          <w:lang w:eastAsia="en-US"/>
        </w:rPr>
      </w:pPr>
    </w:p>
    <w:p w:rsidR="003E6588" w:rsidRDefault="003E6588">
      <w:pPr>
        <w:ind w:firstLine="1134"/>
        <w:jc w:val="both"/>
        <w:rPr>
          <w:rFonts w:eastAsia="Calibri"/>
          <w:color w:val="000000"/>
          <w:shd w:val="clear" w:color="auto" w:fill="FFFFFF"/>
          <w:lang w:eastAsia="en-US"/>
        </w:rPr>
      </w:pPr>
      <w:r>
        <w:rPr>
          <w:rFonts w:eastAsia="Calibri"/>
          <w:b/>
          <w:lang w:eastAsia="en-US"/>
        </w:rPr>
        <w:t xml:space="preserve">Vídeo - </w:t>
      </w:r>
      <w:r>
        <w:rPr>
          <w:rFonts w:eastAsia="Calibri"/>
          <w:lang w:eastAsia="en-US"/>
        </w:rPr>
        <w:t>A Agem iniciou termo de referência para contratação de produtora de vídeo</w:t>
      </w:r>
      <w:r w:rsidR="00AD630D">
        <w:rPr>
          <w:rFonts w:eastAsia="Calibri"/>
          <w:lang w:eastAsia="en-US"/>
        </w:rPr>
        <w:t>,</w:t>
      </w:r>
      <w:r>
        <w:rPr>
          <w:rFonts w:eastAsia="Calibri"/>
          <w:lang w:eastAsia="en-US"/>
        </w:rPr>
        <w:t xml:space="preserve"> para desenvolvimento de filme institucional da Região Metropolitana da Baixada Santista</w:t>
      </w:r>
      <w:r w:rsidR="00AD630D">
        <w:rPr>
          <w:rFonts w:eastAsia="Calibri"/>
          <w:lang w:eastAsia="en-US"/>
        </w:rPr>
        <w:t>.</w:t>
      </w:r>
    </w:p>
    <w:p w:rsidR="003E6588" w:rsidRDefault="003E6588">
      <w:pPr>
        <w:jc w:val="both"/>
        <w:rPr>
          <w:rFonts w:eastAsia="Calibri"/>
          <w:color w:val="000000"/>
          <w:shd w:val="clear" w:color="auto" w:fill="FFFFFF"/>
          <w:lang w:eastAsia="en-US"/>
        </w:rPr>
      </w:pPr>
    </w:p>
    <w:p w:rsidR="003E6588" w:rsidRDefault="003E6588">
      <w:pPr>
        <w:ind w:firstLine="1134"/>
        <w:jc w:val="both"/>
        <w:rPr>
          <w:rFonts w:eastAsia="Calibri"/>
          <w:b/>
          <w:color w:val="000000"/>
          <w:shd w:val="clear" w:color="auto" w:fill="FFFFFF"/>
          <w:lang w:eastAsia="en-US"/>
        </w:rPr>
      </w:pPr>
      <w:r>
        <w:rPr>
          <w:rFonts w:eastAsia="Calibri"/>
          <w:b/>
          <w:color w:val="000000"/>
          <w:shd w:val="clear" w:color="auto" w:fill="FFFFFF"/>
          <w:lang w:eastAsia="en-US"/>
        </w:rPr>
        <w:t>Fundo de Desenvolvimento Metropolitano da Baixada Santista</w:t>
      </w:r>
    </w:p>
    <w:p w:rsidR="003E6588" w:rsidRDefault="003E6588">
      <w:pPr>
        <w:ind w:firstLine="1134"/>
        <w:jc w:val="both"/>
        <w:rPr>
          <w:rFonts w:eastAsia="Calibri"/>
          <w:b/>
          <w:color w:val="000000"/>
          <w:shd w:val="clear" w:color="auto" w:fill="FFFFFF"/>
          <w:lang w:eastAsia="en-US"/>
        </w:rPr>
      </w:pPr>
    </w:p>
    <w:p w:rsidR="003E6588" w:rsidRDefault="00AD3B0F">
      <w:pPr>
        <w:rPr>
          <w:rFonts w:eastAsia="Calibri"/>
          <w:color w:val="000000"/>
          <w:shd w:val="clear" w:color="auto" w:fill="FFFFFF"/>
          <w:lang w:eastAsia="en-US"/>
        </w:rPr>
      </w:pPr>
      <w:r>
        <w:rPr>
          <w:rFonts w:eastAsia="Calibri"/>
          <w:noProof/>
          <w:sz w:val="22"/>
          <w:szCs w:val="22"/>
        </w:rPr>
        <w:drawing>
          <wp:inline distT="0" distB="0" distL="0" distR="0">
            <wp:extent cx="5838825" cy="2381250"/>
            <wp:effectExtent l="19050" t="0" r="9525"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5838825" cy="2381250"/>
                    </a:xfrm>
                    <a:prstGeom prst="rect">
                      <a:avLst/>
                    </a:prstGeom>
                    <a:noFill/>
                    <a:ln w="9525">
                      <a:noFill/>
                      <a:miter lim="800000"/>
                      <a:headEnd/>
                      <a:tailEnd/>
                    </a:ln>
                  </pic:spPr>
                </pic:pic>
              </a:graphicData>
            </a:graphic>
          </wp:inline>
        </w:drawing>
      </w:r>
    </w:p>
    <w:p w:rsidR="003E6588" w:rsidRDefault="003E6588">
      <w:pPr>
        <w:spacing w:before="120"/>
        <w:ind w:firstLine="1134"/>
        <w:contextualSpacing/>
        <w:jc w:val="both"/>
      </w:pPr>
      <w:r>
        <w:rPr>
          <w:b/>
        </w:rPr>
        <w:lastRenderedPageBreak/>
        <w:t xml:space="preserve">Secretaria Executiva do Condesb e Câmaras Temáticas - </w:t>
      </w:r>
      <w:r>
        <w:t>Foram realizadas</w:t>
      </w:r>
      <w:r w:rsidR="00AD630D">
        <w:t>,</w:t>
      </w:r>
      <w:r>
        <w:t xml:space="preserve"> além das reuniões ordinárias e extraordinárias do Conselho</w:t>
      </w:r>
      <w:r w:rsidR="00AD630D">
        <w:t>,</w:t>
      </w:r>
      <w:r>
        <w:t xml:space="preserve"> as</w:t>
      </w:r>
      <w:r w:rsidR="00AD630D">
        <w:t xml:space="preserve"> reuniões das Câmaras Temáticas: </w:t>
      </w:r>
      <w:r>
        <w:t>transporte público de passageiros, de transporte, sist</w:t>
      </w:r>
      <w:r w:rsidR="00190520">
        <w:t xml:space="preserve">ema viário e deslocamento; saúde pública; meio ambiente; educação; </w:t>
      </w:r>
      <w:r>
        <w:t>planejamen</w:t>
      </w:r>
      <w:r w:rsidR="00190520">
        <w:t xml:space="preserve">to e desenvolvimento econômico; habitação; segurança pública; esporte; turismo; assuntos tributários; </w:t>
      </w:r>
      <w:r>
        <w:t>assist</w:t>
      </w:r>
      <w:r w:rsidR="00AD630D">
        <w:t>ê</w:t>
      </w:r>
      <w:r w:rsidR="00190520">
        <w:t xml:space="preserve">ncia e desenvolvimento social; especial de cultura; </w:t>
      </w:r>
      <w:r>
        <w:t>especial de agropecuária, pesca e aq</w:t>
      </w:r>
      <w:r w:rsidR="00AD630D">
        <w:t>u</w:t>
      </w:r>
      <w:r w:rsidR="00190520">
        <w:t xml:space="preserve">icultura; especial de petróleo e gás; </w:t>
      </w:r>
      <w:r>
        <w:t>especial de pol</w:t>
      </w:r>
      <w:r w:rsidR="00190520">
        <w:t xml:space="preserve">íticas públicas para juventude; especial de saneamento; </w:t>
      </w:r>
      <w:r>
        <w:t>especial dos direitos da pessoa com deficiências;</w:t>
      </w:r>
      <w:r w:rsidR="00190520">
        <w:t xml:space="preserve"> </w:t>
      </w:r>
      <w:r>
        <w:t>especial sistema hidroviário regional;</w:t>
      </w:r>
      <w:r w:rsidR="00190520">
        <w:t xml:space="preserve"> </w:t>
      </w:r>
      <w:r>
        <w:t>especial de pró copa do mundo 2014;</w:t>
      </w:r>
      <w:r w:rsidR="00190520">
        <w:t xml:space="preserve"> </w:t>
      </w:r>
      <w:r>
        <w:t>equalização das leis municipais com caráter metropolitano;</w:t>
      </w:r>
      <w:r w:rsidR="00190520">
        <w:t xml:space="preserve"> </w:t>
      </w:r>
      <w:r>
        <w:t>especial de políticas públicas para a mulher;</w:t>
      </w:r>
      <w:r w:rsidR="00190520">
        <w:t xml:space="preserve"> </w:t>
      </w:r>
      <w:r>
        <w:t>especial de tecnologia da informação;</w:t>
      </w:r>
      <w:r w:rsidR="00190520">
        <w:t xml:space="preserve"> </w:t>
      </w:r>
      <w:r>
        <w:t>especial do plano metropolitano de desenvolvimento estratégic</w:t>
      </w:r>
      <w:r w:rsidR="00AD630D">
        <w:t>o da baixada santista</w:t>
      </w:r>
      <w:r w:rsidR="00190520">
        <w:t xml:space="preserve">; </w:t>
      </w:r>
      <w:r>
        <w:t>especial para a promoção da igualdade racial.</w:t>
      </w:r>
    </w:p>
    <w:p w:rsidR="003E6588" w:rsidRDefault="003E6588">
      <w:pPr>
        <w:spacing w:before="120"/>
        <w:ind w:firstLine="1134"/>
        <w:contextualSpacing/>
        <w:jc w:val="both"/>
      </w:pPr>
    </w:p>
    <w:p w:rsidR="003E6588" w:rsidRDefault="003E6588">
      <w:pPr>
        <w:spacing w:before="120"/>
        <w:ind w:firstLine="1134"/>
        <w:contextualSpacing/>
        <w:jc w:val="both"/>
      </w:pPr>
      <w:r>
        <w:rPr>
          <w:b/>
        </w:rPr>
        <w:t xml:space="preserve">Concerto da Osesp - </w:t>
      </w:r>
      <w:r>
        <w:t xml:space="preserve">Realização do concerto da Orquestra Sinfônica do Estado de São Paulo - OSESP, na praia do Gonzaga, na cidade Santos, pela Secretaria da Cultura, Fundação OSESP e Agência Metropolitana da Baixada Santista - AGEM, com apoio da SABESP, SESC e Prefeitura Municipal de Santos. </w:t>
      </w:r>
      <w:r w:rsidRPr="00AD630D">
        <w:t xml:space="preserve">O evento ao ar livre recebe anualmente 10 mil pessoas e marca o encerramento da </w:t>
      </w:r>
      <w:r w:rsidRPr="00AD630D">
        <w:rPr>
          <w:i/>
        </w:rPr>
        <w:t>turnê</w:t>
      </w:r>
      <w:r w:rsidRPr="00AD630D">
        <w:t xml:space="preserve"> anual da orquestra e início das atividades de verão na região.</w:t>
      </w:r>
    </w:p>
    <w:p w:rsidR="003E6588" w:rsidRDefault="003E6588">
      <w:pPr>
        <w:spacing w:before="120"/>
        <w:ind w:firstLine="1134"/>
        <w:contextualSpacing/>
        <w:jc w:val="both"/>
      </w:pPr>
    </w:p>
    <w:p w:rsidR="003E6588" w:rsidRDefault="003E6588">
      <w:pPr>
        <w:spacing w:before="120"/>
        <w:ind w:firstLine="1134"/>
        <w:contextualSpacing/>
        <w:jc w:val="both"/>
      </w:pPr>
      <w:r>
        <w:rPr>
          <w:b/>
        </w:rPr>
        <w:t xml:space="preserve">Projeto Tocando Santos 2014 - 20ª Edição - </w:t>
      </w:r>
      <w:r>
        <w:t xml:space="preserve">O projeto consiste em série anual de concertos - </w:t>
      </w:r>
      <w:r w:rsidRPr="00247BD2">
        <w:t>um a cada mês</w:t>
      </w:r>
      <w:r>
        <w:t>, de importantes grupos sinfônicos do Estado. O seu objetivo é difundir o repertório clássico, viabilizando acesso do público da Baixada Santista à música instrumental orquestrada e formação de plat</w:t>
      </w:r>
      <w:r w:rsidR="00247BD2">
        <w:t>e</w:t>
      </w:r>
      <w:r>
        <w:t>ia. O público da atual temporada atingiu 8 mil pessoas.</w:t>
      </w:r>
    </w:p>
    <w:p w:rsidR="003E6588" w:rsidRDefault="003E6588">
      <w:pPr>
        <w:spacing w:before="120"/>
        <w:ind w:firstLine="1134"/>
        <w:contextualSpacing/>
        <w:jc w:val="both"/>
      </w:pPr>
    </w:p>
    <w:p w:rsidR="003E6588" w:rsidRDefault="003E6588">
      <w:pPr>
        <w:spacing w:before="120"/>
        <w:ind w:firstLine="1134"/>
        <w:contextualSpacing/>
        <w:jc w:val="both"/>
      </w:pPr>
      <w:r>
        <w:t>A realização do projeto é da AGEM com a Subsecretaria do Desenvolvimento Metropolitano e a Secretaria da Cultura, em parceria com o SESC e apoio da Prefeitura de Santos, SABESP e Sistema A Tribuna de Comunicação.</w:t>
      </w:r>
    </w:p>
    <w:p w:rsidR="003E6588" w:rsidRDefault="003E6588">
      <w:pPr>
        <w:spacing w:before="120"/>
        <w:ind w:firstLine="1134"/>
        <w:contextualSpacing/>
        <w:jc w:val="both"/>
      </w:pPr>
    </w:p>
    <w:p w:rsidR="003E6588" w:rsidRDefault="003E6588">
      <w:pPr>
        <w:spacing w:before="120"/>
        <w:ind w:firstLine="1134"/>
        <w:contextualSpacing/>
        <w:jc w:val="both"/>
      </w:pPr>
    </w:p>
    <w:p w:rsidR="003E6588" w:rsidRDefault="003E6588">
      <w:pPr>
        <w:spacing w:before="120"/>
        <w:contextualSpacing/>
        <w:rPr>
          <w:b/>
        </w:rPr>
      </w:pPr>
      <w:r>
        <w:rPr>
          <w:b/>
        </w:rPr>
        <w:t>AGÊNCIA METROPOLITA</w:t>
      </w:r>
      <w:r w:rsidR="00247BD2">
        <w:rPr>
          <w:b/>
        </w:rPr>
        <w:t>NA DE CAMPINAS</w:t>
      </w:r>
      <w:r w:rsidR="007C47BA">
        <w:rPr>
          <w:b/>
        </w:rPr>
        <w:t xml:space="preserve"> - AGEMCAMP</w:t>
      </w:r>
    </w:p>
    <w:p w:rsidR="003E6588" w:rsidRPr="00190520" w:rsidRDefault="003E6588">
      <w:pPr>
        <w:ind w:firstLine="1134"/>
        <w:jc w:val="both"/>
      </w:pPr>
    </w:p>
    <w:p w:rsidR="003E6588" w:rsidRPr="00190520" w:rsidRDefault="003E6588">
      <w:pPr>
        <w:ind w:firstLine="1134"/>
        <w:jc w:val="both"/>
      </w:pPr>
    </w:p>
    <w:p w:rsidR="003E6588" w:rsidRDefault="003E6588">
      <w:pPr>
        <w:ind w:firstLine="1134"/>
        <w:jc w:val="both"/>
      </w:pPr>
      <w:r>
        <w:rPr>
          <w:b/>
        </w:rPr>
        <w:t xml:space="preserve">Agemcamp </w:t>
      </w:r>
      <w:r w:rsidR="00247BD2">
        <w:rPr>
          <w:b/>
        </w:rPr>
        <w:t>-</w:t>
      </w:r>
      <w:r>
        <w:rPr>
          <w:b/>
        </w:rPr>
        <w:t xml:space="preserve"> </w:t>
      </w:r>
      <w:r w:rsidR="00247BD2">
        <w:rPr>
          <w:b/>
        </w:rPr>
        <w:t xml:space="preserve">Agência Metropolitana de Campinas - </w:t>
      </w:r>
      <w:r>
        <w:t>A</w:t>
      </w:r>
      <w:r w:rsidR="00247BD2">
        <w:t xml:space="preserve"> </w:t>
      </w:r>
      <w:r>
        <w:t xml:space="preserve">Agemcamp propõe e executa projetos de interesse comum aos </w:t>
      </w:r>
      <w:r w:rsidR="00247BD2">
        <w:t xml:space="preserve">Municípios </w:t>
      </w:r>
      <w:r>
        <w:t>da RMC, além de promover ações que contribuem para formação da consciência sobre a necessidade de gestão conjunta e integrada para a solução dos gargalos e carências metropolitanas.</w:t>
      </w:r>
    </w:p>
    <w:p w:rsidR="003E6588" w:rsidRDefault="003E6588">
      <w:pPr>
        <w:ind w:firstLine="1134"/>
        <w:jc w:val="both"/>
      </w:pPr>
    </w:p>
    <w:p w:rsidR="003E6588" w:rsidRDefault="003E6588">
      <w:pPr>
        <w:ind w:firstLine="1134"/>
        <w:jc w:val="both"/>
      </w:pPr>
      <w:r>
        <w:t>Pela relevante atuação e pelo impacto dos projetos, a estrutura de gestão metropolitana, formada pelo Conselho de Desenvolvimento, Agemcamp e Fundocamp, é reconhecida como protagonista efetiva da melhoria da qualidade de vida da população e do desenvolvimento econômico sustentável da RMC, destacando-se na articulação regional os seguintes projetos:</w:t>
      </w:r>
    </w:p>
    <w:p w:rsidR="003E6588" w:rsidRDefault="003E6588">
      <w:pPr>
        <w:ind w:firstLine="1134"/>
        <w:jc w:val="both"/>
      </w:pPr>
    </w:p>
    <w:p w:rsidR="003E6588" w:rsidRDefault="00B33757">
      <w:pPr>
        <w:ind w:firstLine="1134"/>
        <w:jc w:val="both"/>
        <w:rPr>
          <w:rFonts w:eastAsia="Calibri"/>
          <w:color w:val="000000"/>
          <w:shd w:val="clear" w:color="auto" w:fill="FFFFFF"/>
          <w:lang w:eastAsia="en-US"/>
        </w:rPr>
      </w:pPr>
      <w:r>
        <w:rPr>
          <w:rFonts w:eastAsia="Calibri"/>
          <w:color w:val="000000"/>
          <w:shd w:val="clear" w:color="auto" w:fill="FFFFFF"/>
          <w:lang w:eastAsia="en-US"/>
        </w:rPr>
        <w:t xml:space="preserve">- </w:t>
      </w:r>
      <w:r w:rsidR="003E6588">
        <w:rPr>
          <w:rFonts w:eastAsia="Calibri"/>
          <w:color w:val="000000"/>
          <w:shd w:val="clear" w:color="auto" w:fill="FFFFFF"/>
          <w:lang w:eastAsia="en-US"/>
        </w:rPr>
        <w:t>Criação do Gabinete Metropolitano de Gestão Estratégica de Segurança Pública - Gamesp;</w:t>
      </w:r>
    </w:p>
    <w:p w:rsidR="003E6588" w:rsidRPr="007C47BA" w:rsidRDefault="00B33757">
      <w:pPr>
        <w:ind w:firstLine="1134"/>
        <w:jc w:val="both"/>
        <w:rPr>
          <w:rFonts w:eastAsia="Calibri"/>
          <w:lang w:eastAsia="en-US"/>
        </w:rPr>
      </w:pPr>
      <w:r>
        <w:rPr>
          <w:rFonts w:eastAsia="Calibri"/>
          <w:color w:val="000000"/>
          <w:shd w:val="clear" w:color="auto" w:fill="FFFFFF"/>
          <w:lang w:eastAsia="en-US"/>
        </w:rPr>
        <w:lastRenderedPageBreak/>
        <w:t xml:space="preserve">- </w:t>
      </w:r>
      <w:r w:rsidR="003E6588">
        <w:rPr>
          <w:rFonts w:eastAsia="Calibri"/>
          <w:color w:val="000000"/>
          <w:shd w:val="clear" w:color="auto" w:fill="FFFFFF"/>
          <w:lang w:eastAsia="en-US"/>
        </w:rPr>
        <w:t>Financiamento do Banco Interamericano de Desenvolvimento - BID para reforçar o setor Saúde</w:t>
      </w:r>
      <w:r w:rsidR="003E6588" w:rsidRPr="007C47BA">
        <w:rPr>
          <w:rFonts w:eastAsia="Calibri"/>
          <w:shd w:val="clear" w:color="auto" w:fill="FFFFFF"/>
          <w:lang w:eastAsia="en-US"/>
        </w:rPr>
        <w:t>;</w:t>
      </w:r>
    </w:p>
    <w:p w:rsidR="003E6588" w:rsidRDefault="003E6588">
      <w:pPr>
        <w:ind w:firstLine="1134"/>
        <w:jc w:val="both"/>
        <w:rPr>
          <w:rFonts w:eastAsia="Calibri"/>
          <w:lang w:eastAsia="en-US"/>
        </w:rPr>
      </w:pPr>
    </w:p>
    <w:p w:rsidR="003E6588" w:rsidRDefault="00B33757">
      <w:pPr>
        <w:ind w:firstLine="1134"/>
        <w:jc w:val="both"/>
        <w:rPr>
          <w:rFonts w:eastAsia="Calibri"/>
          <w:lang w:eastAsia="en-US"/>
        </w:rPr>
      </w:pPr>
      <w:r>
        <w:rPr>
          <w:rFonts w:eastAsia="Calibri"/>
          <w:lang w:eastAsia="en-US"/>
        </w:rPr>
        <w:t xml:space="preserve">- </w:t>
      </w:r>
      <w:r w:rsidR="003E6588">
        <w:rPr>
          <w:rFonts w:eastAsia="Calibri"/>
          <w:lang w:eastAsia="en-US"/>
        </w:rPr>
        <w:t>Premiação do projeto “Sistema Regional de Defesa Civil” na categoria Inovação em Gestão Estadual na Edição do Prêmio Mário Covas 2013-2014;</w:t>
      </w:r>
    </w:p>
    <w:p w:rsidR="003E6588" w:rsidRDefault="003E6588">
      <w:pPr>
        <w:ind w:firstLine="1134"/>
        <w:jc w:val="both"/>
        <w:rPr>
          <w:rFonts w:eastAsia="Calibri"/>
          <w:bCs/>
          <w:color w:val="000000"/>
          <w:lang w:eastAsia="en-US"/>
        </w:rPr>
      </w:pPr>
    </w:p>
    <w:p w:rsidR="003E6588" w:rsidRDefault="00B33757">
      <w:pPr>
        <w:ind w:firstLine="1134"/>
        <w:jc w:val="both"/>
        <w:rPr>
          <w:rFonts w:eastAsia="Calibri"/>
          <w:bCs/>
          <w:color w:val="000000"/>
          <w:lang w:eastAsia="en-US"/>
        </w:rPr>
      </w:pPr>
      <w:r>
        <w:rPr>
          <w:rFonts w:eastAsia="Calibri"/>
          <w:bCs/>
          <w:color w:val="000000"/>
          <w:lang w:eastAsia="en-US"/>
        </w:rPr>
        <w:t xml:space="preserve">- </w:t>
      </w:r>
      <w:r w:rsidR="003E6588">
        <w:rPr>
          <w:rFonts w:eastAsia="Calibri"/>
          <w:bCs/>
          <w:color w:val="000000"/>
          <w:lang w:eastAsia="en-US"/>
        </w:rPr>
        <w:t>Programa Metropolitano de Inclusão e Atenção à Terceira Idade, parceria Agemcamp - Conselho de Desenvolvimento - P</w:t>
      </w:r>
      <w:r w:rsidR="003E6588">
        <w:rPr>
          <w:rFonts w:eastAsia="Calibri"/>
          <w:color w:val="000000"/>
          <w:shd w:val="clear" w:color="auto" w:fill="FFFFFF"/>
          <w:lang w:eastAsia="en-US"/>
        </w:rPr>
        <w:t>ontifícia Universidade Católica de São Paulo</w:t>
      </w:r>
      <w:r w:rsidR="003E6588">
        <w:rPr>
          <w:rFonts w:eastAsia="Calibri"/>
          <w:bCs/>
          <w:color w:val="000000"/>
          <w:lang w:eastAsia="en-US"/>
        </w:rPr>
        <w:t>.</w:t>
      </w:r>
    </w:p>
    <w:p w:rsidR="003E6588" w:rsidRDefault="003E6588">
      <w:pPr>
        <w:ind w:firstLine="1134"/>
        <w:jc w:val="both"/>
        <w:rPr>
          <w:b/>
        </w:rPr>
      </w:pPr>
    </w:p>
    <w:p w:rsidR="003E6588" w:rsidRDefault="003E6588">
      <w:pPr>
        <w:ind w:firstLine="1134"/>
        <w:jc w:val="both"/>
        <w:rPr>
          <w:b/>
        </w:rPr>
      </w:pPr>
      <w:r>
        <w:rPr>
          <w:b/>
        </w:rPr>
        <w:t>Fundocamp</w:t>
      </w:r>
      <w:r w:rsidR="00190520">
        <w:rPr>
          <w:b/>
        </w:rPr>
        <w:t xml:space="preserve"> - </w:t>
      </w:r>
      <w:r>
        <w:rPr>
          <w:b/>
        </w:rPr>
        <w:t>Área - Saúde</w:t>
      </w:r>
    </w:p>
    <w:p w:rsidR="003E6588" w:rsidRDefault="003E6588">
      <w:pPr>
        <w:ind w:firstLine="1134"/>
        <w:jc w:val="both"/>
        <w:rPr>
          <w:b/>
        </w:rPr>
      </w:pPr>
    </w:p>
    <w:p w:rsidR="007C47BA" w:rsidRPr="00B33757" w:rsidRDefault="00B33757">
      <w:pPr>
        <w:ind w:firstLine="1134"/>
        <w:jc w:val="both"/>
      </w:pPr>
      <w:r>
        <w:t xml:space="preserve">- </w:t>
      </w:r>
      <w:r w:rsidR="003E6588" w:rsidRPr="00B33757">
        <w:t>Reforma e Ampliação de Unidades Básicas de Saúde da RMC</w:t>
      </w:r>
      <w:r w:rsidR="00CE22BC">
        <w:t>.</w:t>
      </w:r>
    </w:p>
    <w:p w:rsidR="000C3615" w:rsidRDefault="000C3615">
      <w:pPr>
        <w:ind w:firstLine="1134"/>
        <w:jc w:val="both"/>
      </w:pPr>
    </w:p>
    <w:p w:rsidR="007C47BA" w:rsidRDefault="003E6588">
      <w:pPr>
        <w:ind w:firstLine="1134"/>
        <w:jc w:val="both"/>
      </w:pPr>
      <w:r>
        <w:t xml:space="preserve">Objetivo - Execução de 18 projetos de reformas e ampliações de Unidades Básicas de Saúde em 15 </w:t>
      </w:r>
      <w:r w:rsidR="00247BD2">
        <w:t xml:space="preserve">Municípios </w:t>
      </w:r>
      <w:r>
        <w:t>da Região Metropolitana de Campinas</w:t>
      </w:r>
      <w:r w:rsidR="00CE22BC">
        <w:t>.</w:t>
      </w:r>
    </w:p>
    <w:p w:rsidR="003E6588" w:rsidRDefault="003E6588">
      <w:pPr>
        <w:ind w:firstLine="1134"/>
        <w:jc w:val="both"/>
      </w:pPr>
      <w:r>
        <w:rPr>
          <w:i/>
        </w:rPr>
        <w:t>Status</w:t>
      </w:r>
      <w:r>
        <w:t xml:space="preserve"> - Em andamento (11 unidades inauguradas).</w:t>
      </w:r>
    </w:p>
    <w:p w:rsidR="003E6588" w:rsidRDefault="003E6588">
      <w:pPr>
        <w:ind w:firstLine="1134"/>
        <w:jc w:val="both"/>
      </w:pPr>
    </w:p>
    <w:p w:rsidR="007C47BA" w:rsidRPr="00B33757" w:rsidRDefault="00B33757">
      <w:pPr>
        <w:ind w:firstLine="1134"/>
        <w:jc w:val="both"/>
      </w:pPr>
      <w:r>
        <w:t xml:space="preserve">- </w:t>
      </w:r>
      <w:r w:rsidR="003E6588" w:rsidRPr="00B33757">
        <w:t>Informatização de Unidades de Saúde</w:t>
      </w:r>
      <w:r w:rsidR="00CE22BC">
        <w:t>.</w:t>
      </w:r>
    </w:p>
    <w:p w:rsidR="000C3615" w:rsidRDefault="000C3615">
      <w:pPr>
        <w:ind w:firstLine="1134"/>
        <w:jc w:val="both"/>
      </w:pPr>
    </w:p>
    <w:p w:rsidR="007C47BA" w:rsidRDefault="003E6588">
      <w:pPr>
        <w:ind w:firstLine="1134"/>
        <w:jc w:val="both"/>
      </w:pPr>
      <w:r>
        <w:t>Objetivo - Aquisição de equipamentos de informática para unidades de saúde da RMC</w:t>
      </w:r>
      <w:r w:rsidR="00247BD2">
        <w:t>,</w:t>
      </w:r>
      <w:r>
        <w:t xml:space="preserve"> para implantação do Cadastro Metropolitano do Usuário SUS Metropolitano</w:t>
      </w:r>
      <w:r w:rsidR="00CE22BC">
        <w:t>.</w:t>
      </w:r>
    </w:p>
    <w:p w:rsidR="007C47BA" w:rsidRDefault="003E6588">
      <w:pPr>
        <w:ind w:firstLine="1134"/>
        <w:jc w:val="both"/>
      </w:pPr>
      <w:r>
        <w:rPr>
          <w:i/>
        </w:rPr>
        <w:t>Status</w:t>
      </w:r>
      <w:r>
        <w:t xml:space="preserve"> - Em andamento - Agente Técnico - Agência Metropolitana de Campinas</w:t>
      </w:r>
      <w:r w:rsidR="00CE22BC">
        <w:t>.</w:t>
      </w:r>
    </w:p>
    <w:p w:rsidR="003E6588" w:rsidRDefault="003E6588">
      <w:pPr>
        <w:ind w:firstLine="1134"/>
        <w:jc w:val="both"/>
      </w:pPr>
      <w:r>
        <w:t>Beneficiário - Prefeituras da Região Metropolitana de Campinas.</w:t>
      </w:r>
    </w:p>
    <w:p w:rsidR="003E6588" w:rsidRDefault="003E6588">
      <w:pPr>
        <w:ind w:firstLine="1134"/>
        <w:jc w:val="both"/>
        <w:rPr>
          <w:color w:val="003366"/>
        </w:rPr>
      </w:pPr>
    </w:p>
    <w:p w:rsidR="007C47BA" w:rsidRPr="00B33757" w:rsidRDefault="00B33757">
      <w:pPr>
        <w:tabs>
          <w:tab w:val="left" w:pos="0"/>
        </w:tabs>
        <w:ind w:firstLine="1134"/>
        <w:jc w:val="both"/>
        <w:rPr>
          <w:bCs/>
        </w:rPr>
      </w:pPr>
      <w:r>
        <w:rPr>
          <w:bCs/>
        </w:rPr>
        <w:t xml:space="preserve">- </w:t>
      </w:r>
      <w:r w:rsidR="003E6588" w:rsidRPr="00B33757">
        <w:rPr>
          <w:bCs/>
        </w:rPr>
        <w:t>Implementação do Plano Regional de Desenvolvimento de RH em Saúde, Reorganização das Centrais de Regulação do Acesso e Implementação de Linhas de Cuidado</w:t>
      </w:r>
      <w:r w:rsidR="00CE22BC">
        <w:rPr>
          <w:bCs/>
        </w:rPr>
        <w:t>.</w:t>
      </w:r>
    </w:p>
    <w:p w:rsidR="000C3615" w:rsidRPr="00B33757" w:rsidRDefault="000C3615">
      <w:pPr>
        <w:tabs>
          <w:tab w:val="left" w:pos="0"/>
        </w:tabs>
        <w:ind w:firstLine="1134"/>
        <w:jc w:val="both"/>
        <w:rPr>
          <w:i/>
        </w:rPr>
      </w:pPr>
    </w:p>
    <w:p w:rsidR="007C47BA" w:rsidRDefault="003E6588">
      <w:pPr>
        <w:tabs>
          <w:tab w:val="left" w:pos="0"/>
        </w:tabs>
        <w:ind w:firstLine="1134"/>
        <w:jc w:val="both"/>
      </w:pPr>
      <w:r>
        <w:rPr>
          <w:i/>
        </w:rPr>
        <w:t>Status</w:t>
      </w:r>
      <w:r>
        <w:t xml:space="preserve"> - Em andamento - Agente Técnico - Agência Metropolitana de Campinas</w:t>
      </w:r>
      <w:r w:rsidR="00CE22BC">
        <w:t>.</w:t>
      </w:r>
    </w:p>
    <w:p w:rsidR="003E6588" w:rsidRDefault="003E6588">
      <w:pPr>
        <w:tabs>
          <w:tab w:val="left" w:pos="0"/>
        </w:tabs>
        <w:ind w:firstLine="1134"/>
        <w:jc w:val="both"/>
      </w:pPr>
      <w:r>
        <w:t>Tomador de Recursos Fundocamp - Agência Metropolitana de Campinas.</w:t>
      </w:r>
    </w:p>
    <w:p w:rsidR="003E6588" w:rsidRDefault="003E6588">
      <w:pPr>
        <w:ind w:firstLine="1134"/>
        <w:jc w:val="both"/>
      </w:pPr>
    </w:p>
    <w:p w:rsidR="00B33757" w:rsidRDefault="003E6588">
      <w:pPr>
        <w:ind w:firstLine="1134"/>
        <w:jc w:val="both"/>
        <w:rPr>
          <w:b/>
        </w:rPr>
      </w:pPr>
      <w:r>
        <w:rPr>
          <w:b/>
        </w:rPr>
        <w:t xml:space="preserve">Área </w:t>
      </w:r>
      <w:r w:rsidR="00CE22BC">
        <w:rPr>
          <w:b/>
        </w:rPr>
        <w:t>-</w:t>
      </w:r>
      <w:r>
        <w:rPr>
          <w:b/>
        </w:rPr>
        <w:t xml:space="preserve"> Educação</w:t>
      </w:r>
    </w:p>
    <w:p w:rsidR="00B33757" w:rsidRDefault="00B33757">
      <w:pPr>
        <w:ind w:firstLine="1134"/>
        <w:jc w:val="both"/>
        <w:rPr>
          <w:b/>
        </w:rPr>
      </w:pPr>
    </w:p>
    <w:p w:rsidR="007C47BA" w:rsidRPr="00B33757" w:rsidRDefault="00B33757">
      <w:pPr>
        <w:ind w:firstLine="1134"/>
        <w:jc w:val="both"/>
      </w:pPr>
      <w:r>
        <w:t xml:space="preserve">- </w:t>
      </w:r>
      <w:r w:rsidR="003E6588" w:rsidRPr="00B33757">
        <w:t>Conexão do Saber</w:t>
      </w:r>
    </w:p>
    <w:p w:rsidR="000C3615" w:rsidRDefault="000C3615">
      <w:pPr>
        <w:ind w:firstLine="1134"/>
        <w:jc w:val="both"/>
      </w:pPr>
    </w:p>
    <w:p w:rsidR="007C47BA" w:rsidRDefault="003E6588">
      <w:pPr>
        <w:ind w:firstLine="1134"/>
        <w:jc w:val="both"/>
      </w:pPr>
      <w:r>
        <w:t>Objetivo - Melhoria da qualidade do ensino municipal fundamental por meio do desenvolvimento contínuo e compartilhado de um ambiente de educação digital. É objetivo do projeto a formação de professores (dos ensinos infantil e fundamental) para utilização dos novos paradigmas de comunicação construídos a partir da Tecnologia da Informação</w:t>
      </w:r>
      <w:r w:rsidR="00CE22BC">
        <w:t>.</w:t>
      </w:r>
    </w:p>
    <w:p w:rsidR="007C47BA" w:rsidRDefault="003E6588">
      <w:pPr>
        <w:ind w:firstLine="1134"/>
        <w:jc w:val="both"/>
      </w:pPr>
      <w:r>
        <w:rPr>
          <w:i/>
        </w:rPr>
        <w:t xml:space="preserve">Status </w:t>
      </w:r>
      <w:r>
        <w:t xml:space="preserve">- Em andamento (adesão de cinco municípios) - Agente Técnico - Agência Metropolitana de Campinas </w:t>
      </w:r>
      <w:r w:rsidR="00B33757">
        <w:t>-</w:t>
      </w:r>
      <w:r>
        <w:t xml:space="preserve"> AGEMCAMP</w:t>
      </w:r>
      <w:r w:rsidR="00CE22BC">
        <w:t>.</w:t>
      </w:r>
    </w:p>
    <w:p w:rsidR="003E6588" w:rsidRDefault="003E6588">
      <w:pPr>
        <w:ind w:firstLine="1134"/>
        <w:jc w:val="both"/>
      </w:pPr>
      <w:r>
        <w:t>Beneficiário - Prefeituras da Região Metropolitana de Campinas.</w:t>
      </w:r>
    </w:p>
    <w:p w:rsidR="000C3615" w:rsidRDefault="000C3615">
      <w:pPr>
        <w:ind w:firstLine="1134"/>
        <w:jc w:val="both"/>
      </w:pPr>
    </w:p>
    <w:p w:rsidR="00B33757" w:rsidRDefault="00B33757">
      <w:pPr>
        <w:ind w:firstLine="1134"/>
        <w:jc w:val="both"/>
      </w:pPr>
    </w:p>
    <w:p w:rsidR="00B33757" w:rsidRDefault="003E6588">
      <w:pPr>
        <w:ind w:firstLine="1134"/>
        <w:jc w:val="both"/>
        <w:rPr>
          <w:b/>
        </w:rPr>
      </w:pPr>
      <w:r>
        <w:rPr>
          <w:b/>
        </w:rPr>
        <w:lastRenderedPageBreak/>
        <w:t xml:space="preserve">Área </w:t>
      </w:r>
      <w:r w:rsidR="00B33757">
        <w:rPr>
          <w:b/>
        </w:rPr>
        <w:t>-</w:t>
      </w:r>
      <w:r>
        <w:rPr>
          <w:b/>
        </w:rPr>
        <w:t xml:space="preserve"> Cultura</w:t>
      </w:r>
    </w:p>
    <w:p w:rsidR="00B33757" w:rsidRDefault="00B33757">
      <w:pPr>
        <w:ind w:firstLine="1134"/>
        <w:jc w:val="both"/>
        <w:rPr>
          <w:b/>
        </w:rPr>
      </w:pPr>
    </w:p>
    <w:p w:rsidR="007C47BA" w:rsidRPr="00B33757" w:rsidRDefault="00B33757">
      <w:pPr>
        <w:ind w:firstLine="1134"/>
        <w:jc w:val="both"/>
      </w:pPr>
      <w:r>
        <w:t xml:space="preserve">- </w:t>
      </w:r>
      <w:r w:rsidR="003E6588" w:rsidRPr="00B33757">
        <w:t>Re-virada Cultural</w:t>
      </w:r>
      <w:r w:rsidR="00CE22BC">
        <w:t>.</w:t>
      </w:r>
    </w:p>
    <w:p w:rsidR="00B33757" w:rsidRDefault="00B33757">
      <w:pPr>
        <w:ind w:firstLine="1134"/>
        <w:jc w:val="both"/>
      </w:pPr>
    </w:p>
    <w:p w:rsidR="007C47BA" w:rsidRDefault="003E6588">
      <w:pPr>
        <w:ind w:firstLine="1134"/>
        <w:jc w:val="both"/>
      </w:pPr>
      <w:r>
        <w:t>Objetivo - Realização de apresentações de música, dança e oficinas nos dezenove municípios da RMC, privilegiando os artistas regionais - Agente Técnico - Agência Metropolitana de Campinas</w:t>
      </w:r>
      <w:r w:rsidR="00CE22BC">
        <w:t>.</w:t>
      </w:r>
    </w:p>
    <w:p w:rsidR="003E6588" w:rsidRDefault="003E6588">
      <w:pPr>
        <w:ind w:firstLine="1134"/>
        <w:jc w:val="both"/>
      </w:pPr>
      <w:r>
        <w:t>Beneficiário - Prefeituras da Região Metropolitana de Campinas.</w:t>
      </w:r>
    </w:p>
    <w:p w:rsidR="003E6588" w:rsidRDefault="003E6588">
      <w:pPr>
        <w:ind w:firstLine="1134"/>
        <w:jc w:val="both"/>
      </w:pPr>
    </w:p>
    <w:p w:rsidR="00B33757" w:rsidRDefault="003E6588">
      <w:pPr>
        <w:ind w:firstLine="1134"/>
        <w:jc w:val="both"/>
        <w:rPr>
          <w:b/>
        </w:rPr>
      </w:pPr>
      <w:r>
        <w:rPr>
          <w:b/>
        </w:rPr>
        <w:t xml:space="preserve">Área </w:t>
      </w:r>
      <w:r w:rsidR="00B33757">
        <w:rPr>
          <w:b/>
        </w:rPr>
        <w:t>-</w:t>
      </w:r>
      <w:r>
        <w:rPr>
          <w:b/>
        </w:rPr>
        <w:t xml:space="preserve"> Segurança</w:t>
      </w:r>
    </w:p>
    <w:p w:rsidR="00B33757" w:rsidRDefault="00B33757">
      <w:pPr>
        <w:ind w:firstLine="1134"/>
        <w:jc w:val="both"/>
        <w:rPr>
          <w:b/>
        </w:rPr>
      </w:pPr>
    </w:p>
    <w:p w:rsidR="007C47BA" w:rsidRPr="00B33757" w:rsidRDefault="00B33757">
      <w:pPr>
        <w:ind w:firstLine="1134"/>
        <w:jc w:val="both"/>
      </w:pPr>
      <w:r>
        <w:t xml:space="preserve">- </w:t>
      </w:r>
      <w:r w:rsidR="003E6588" w:rsidRPr="00B33757">
        <w:t>Sistema de Videomonitoramento na RMC - 1ª etapa</w:t>
      </w:r>
      <w:r w:rsidR="00CE22BC">
        <w:t>.</w:t>
      </w:r>
    </w:p>
    <w:p w:rsidR="000C3615" w:rsidRDefault="000C3615">
      <w:pPr>
        <w:ind w:firstLine="1134"/>
        <w:jc w:val="both"/>
      </w:pPr>
    </w:p>
    <w:p w:rsidR="007C47BA" w:rsidRDefault="003E6588">
      <w:pPr>
        <w:ind w:firstLine="1134"/>
        <w:jc w:val="both"/>
      </w:pPr>
      <w:r>
        <w:t>Objetivo - Aquisição de equipamentos e implantação do Sistema Metropolitano de Videomonitoramento nos municípios da RMC</w:t>
      </w:r>
      <w:r w:rsidR="00247BD2">
        <w:t>,</w:t>
      </w:r>
      <w:r>
        <w:t xml:space="preserve"> em atendimento às necessidades identificadas no Plano Metropolitano de Segurança</w:t>
      </w:r>
      <w:r w:rsidR="00CE22BC">
        <w:t>.</w:t>
      </w:r>
    </w:p>
    <w:p w:rsidR="007C47BA" w:rsidRDefault="003E6588">
      <w:pPr>
        <w:ind w:firstLine="1134"/>
        <w:jc w:val="both"/>
      </w:pPr>
      <w:r>
        <w:rPr>
          <w:i/>
        </w:rPr>
        <w:t>Status</w:t>
      </w:r>
      <w:r>
        <w:t xml:space="preserve"> - Em andamento</w:t>
      </w:r>
      <w:r w:rsidR="00CE22BC">
        <w:t>.</w:t>
      </w:r>
    </w:p>
    <w:p w:rsidR="003E6588" w:rsidRDefault="003E6588">
      <w:pPr>
        <w:ind w:firstLine="1134"/>
        <w:jc w:val="both"/>
      </w:pPr>
      <w:r>
        <w:t>Beneficiário - Prefeituras da Região Metropolitana de Campinas.</w:t>
      </w:r>
    </w:p>
    <w:p w:rsidR="003E6588" w:rsidRDefault="003E6588">
      <w:pPr>
        <w:ind w:firstLine="1134"/>
        <w:jc w:val="both"/>
        <w:rPr>
          <w:b/>
        </w:rPr>
      </w:pPr>
    </w:p>
    <w:p w:rsidR="007C47BA" w:rsidRPr="00B33757" w:rsidRDefault="00B33757">
      <w:pPr>
        <w:ind w:firstLine="1134"/>
        <w:jc w:val="both"/>
      </w:pPr>
      <w:r>
        <w:t xml:space="preserve">- </w:t>
      </w:r>
      <w:r w:rsidR="003E6588" w:rsidRPr="00B33757">
        <w:t>Sistema de Videomonitoramento na RMC - 2ª etapa</w:t>
      </w:r>
      <w:r w:rsidR="00CE22BC">
        <w:t>.</w:t>
      </w:r>
    </w:p>
    <w:p w:rsidR="000C3615" w:rsidRDefault="000C3615">
      <w:pPr>
        <w:ind w:firstLine="1134"/>
        <w:jc w:val="both"/>
      </w:pPr>
    </w:p>
    <w:p w:rsidR="007C47BA" w:rsidRDefault="003E6588">
      <w:pPr>
        <w:ind w:firstLine="1134"/>
        <w:jc w:val="both"/>
      </w:pPr>
      <w:r>
        <w:t xml:space="preserve">Objetivo - Aquisição de </w:t>
      </w:r>
      <w:r w:rsidRPr="00247BD2">
        <w:rPr>
          <w:i/>
        </w:rPr>
        <w:t xml:space="preserve">software </w:t>
      </w:r>
      <w:r>
        <w:t>para compor o Sistema</w:t>
      </w:r>
      <w:r w:rsidR="00CE22BC">
        <w:t>.</w:t>
      </w:r>
    </w:p>
    <w:p w:rsidR="007C47BA" w:rsidRDefault="003E6588">
      <w:pPr>
        <w:ind w:firstLine="1134"/>
        <w:jc w:val="both"/>
      </w:pPr>
      <w:r>
        <w:rPr>
          <w:i/>
        </w:rPr>
        <w:t>Status</w:t>
      </w:r>
      <w:r>
        <w:t xml:space="preserve"> - Em andamento</w:t>
      </w:r>
      <w:r w:rsidR="00CE22BC">
        <w:t>.</w:t>
      </w:r>
    </w:p>
    <w:p w:rsidR="003E6588" w:rsidRDefault="003E6588">
      <w:pPr>
        <w:ind w:firstLine="1134"/>
        <w:jc w:val="both"/>
      </w:pPr>
      <w:r>
        <w:t>Beneficiário - Prefeituras da Região Metropolitana de Campinas.</w:t>
      </w:r>
    </w:p>
    <w:p w:rsidR="00247BD2" w:rsidRDefault="00247BD2">
      <w:pPr>
        <w:ind w:firstLine="1134"/>
        <w:jc w:val="both"/>
      </w:pPr>
    </w:p>
    <w:p w:rsidR="003E6588" w:rsidRDefault="003E6588">
      <w:pPr>
        <w:ind w:firstLine="1134"/>
        <w:jc w:val="both"/>
        <w:rPr>
          <w:bCs/>
        </w:rPr>
      </w:pPr>
      <w:r>
        <w:t xml:space="preserve">Obs - </w:t>
      </w:r>
      <w:r>
        <w:rPr>
          <w:bCs/>
        </w:rPr>
        <w:t xml:space="preserve">O valor total de recursos do Fundocamp para conclusão desta etapa do Projeto, segundo levantamento efetuado pela Agemcamp, é de R$ 5.500.000,00. Para os municípios que já possuam o </w:t>
      </w:r>
      <w:r>
        <w:rPr>
          <w:bCs/>
          <w:i/>
        </w:rPr>
        <w:t>software</w:t>
      </w:r>
      <w:r w:rsidR="00247BD2">
        <w:rPr>
          <w:bCs/>
          <w:i/>
        </w:rPr>
        <w:t>,</w:t>
      </w:r>
      <w:r>
        <w:rPr>
          <w:bCs/>
        </w:rPr>
        <w:t xml:space="preserve"> foi autorizado o valor de R$ 200.000,00 de recursos do Fundocamp</w:t>
      </w:r>
      <w:r w:rsidR="00247BD2">
        <w:rPr>
          <w:bCs/>
        </w:rPr>
        <w:t>,</w:t>
      </w:r>
      <w:r>
        <w:rPr>
          <w:bCs/>
        </w:rPr>
        <w:t xml:space="preserve"> que poderão ser destinados à ampliação com instalação de novos pontos ou modernização da tecnologia existente.</w:t>
      </w:r>
    </w:p>
    <w:p w:rsidR="003E6588" w:rsidRDefault="003E6588">
      <w:pPr>
        <w:ind w:firstLine="1134"/>
        <w:jc w:val="both"/>
        <w:rPr>
          <w:b/>
        </w:rPr>
      </w:pPr>
    </w:p>
    <w:p w:rsidR="007C47BA" w:rsidRPr="00B33757" w:rsidRDefault="00B33757">
      <w:pPr>
        <w:ind w:firstLine="1134"/>
        <w:jc w:val="both"/>
      </w:pPr>
      <w:r>
        <w:t xml:space="preserve">- </w:t>
      </w:r>
      <w:r w:rsidR="003E6588" w:rsidRPr="00B33757">
        <w:t>Sistema Regional de Defesa Civil</w:t>
      </w:r>
      <w:r w:rsidR="00CE22BC">
        <w:t>.</w:t>
      </w:r>
    </w:p>
    <w:p w:rsidR="000C3615" w:rsidRDefault="000C3615">
      <w:pPr>
        <w:ind w:firstLine="1134"/>
        <w:jc w:val="both"/>
      </w:pPr>
    </w:p>
    <w:p w:rsidR="007C47BA" w:rsidRDefault="003E6588">
      <w:pPr>
        <w:ind w:firstLine="1134"/>
        <w:jc w:val="both"/>
      </w:pPr>
      <w:r>
        <w:t>Objetivo - Aquisição de equipamentos de informática e veículos e implantação do Sistema Regional de Defesa Civil para a RMC</w:t>
      </w:r>
      <w:r w:rsidR="00CE22BC">
        <w:t>.</w:t>
      </w:r>
    </w:p>
    <w:p w:rsidR="007C47BA" w:rsidRDefault="003E6588">
      <w:pPr>
        <w:ind w:firstLine="1134"/>
        <w:jc w:val="both"/>
      </w:pPr>
      <w:r>
        <w:rPr>
          <w:i/>
        </w:rPr>
        <w:t>Status</w:t>
      </w:r>
      <w:r>
        <w:t xml:space="preserve"> - Em andamento</w:t>
      </w:r>
      <w:r w:rsidR="00CE22BC">
        <w:t>.</w:t>
      </w:r>
    </w:p>
    <w:p w:rsidR="003E6588" w:rsidRDefault="003E6588">
      <w:pPr>
        <w:ind w:firstLine="1134"/>
        <w:jc w:val="both"/>
      </w:pPr>
      <w:r>
        <w:t>Beneficiário - Prefeituras da Região Metropolitana de Campinas.</w:t>
      </w:r>
    </w:p>
    <w:p w:rsidR="003E6588" w:rsidRDefault="003E6588">
      <w:pPr>
        <w:ind w:firstLine="1134"/>
        <w:jc w:val="both"/>
        <w:rPr>
          <w:i/>
        </w:rPr>
      </w:pPr>
    </w:p>
    <w:p w:rsidR="007C47BA" w:rsidRPr="00B33757" w:rsidRDefault="00B33757">
      <w:pPr>
        <w:ind w:firstLine="1134"/>
        <w:jc w:val="both"/>
      </w:pPr>
      <w:r>
        <w:t xml:space="preserve">- </w:t>
      </w:r>
      <w:r w:rsidR="003E6588" w:rsidRPr="00B33757">
        <w:t>Sistema Regional de Radiocomunicação Digital</w:t>
      </w:r>
      <w:r w:rsidR="00CE22BC">
        <w:t>.</w:t>
      </w:r>
    </w:p>
    <w:p w:rsidR="000C3615" w:rsidRDefault="000C3615">
      <w:pPr>
        <w:ind w:firstLine="1134"/>
        <w:jc w:val="both"/>
      </w:pPr>
    </w:p>
    <w:p w:rsidR="000C3615" w:rsidRDefault="003E6588">
      <w:pPr>
        <w:ind w:firstLine="1134"/>
        <w:jc w:val="both"/>
      </w:pPr>
      <w:r>
        <w:t>Objetivo - Aquisição de equipamentos que proporcionará a migração do Sistema de Radiocomunicação Analógico para Digital ou expansão do atual Sistema de Radiocomunicação Digital e permitir maior integração entre órgãos que utilizam esse tipo de comunicação na cidade e sua integração com a RMC</w:t>
      </w:r>
      <w:r w:rsidR="00CE22BC">
        <w:t>.</w:t>
      </w:r>
    </w:p>
    <w:p w:rsidR="000C3615" w:rsidRDefault="003E6588">
      <w:pPr>
        <w:ind w:firstLine="1134"/>
        <w:jc w:val="both"/>
      </w:pPr>
      <w:r>
        <w:rPr>
          <w:i/>
        </w:rPr>
        <w:lastRenderedPageBreak/>
        <w:t>Status</w:t>
      </w:r>
      <w:r>
        <w:t xml:space="preserve"> - Em andamento</w:t>
      </w:r>
      <w:r w:rsidR="00CE22BC">
        <w:t>.</w:t>
      </w:r>
    </w:p>
    <w:p w:rsidR="003E6588" w:rsidRDefault="003E6588">
      <w:pPr>
        <w:ind w:firstLine="1134"/>
        <w:jc w:val="both"/>
      </w:pPr>
      <w:r>
        <w:t>Beneficiário - Prefeituras da Região Metropolitana de Campinas</w:t>
      </w:r>
      <w:r w:rsidR="00CE22BC">
        <w:t>.</w:t>
      </w:r>
    </w:p>
    <w:p w:rsidR="003E6588" w:rsidRDefault="003E6588">
      <w:pPr>
        <w:ind w:firstLine="1134"/>
        <w:jc w:val="both"/>
        <w:rPr>
          <w:b/>
        </w:rPr>
      </w:pPr>
    </w:p>
    <w:p w:rsidR="00B33757" w:rsidRDefault="003E6588">
      <w:pPr>
        <w:ind w:firstLine="1134"/>
        <w:jc w:val="both"/>
        <w:rPr>
          <w:b/>
        </w:rPr>
      </w:pPr>
      <w:r>
        <w:rPr>
          <w:b/>
        </w:rPr>
        <w:t xml:space="preserve">Área </w:t>
      </w:r>
      <w:r w:rsidR="00B33757">
        <w:rPr>
          <w:b/>
        </w:rPr>
        <w:t>-</w:t>
      </w:r>
      <w:r>
        <w:rPr>
          <w:b/>
        </w:rPr>
        <w:t xml:space="preserve"> Esporte</w:t>
      </w:r>
    </w:p>
    <w:p w:rsidR="00B33757" w:rsidRDefault="00B33757">
      <w:pPr>
        <w:ind w:firstLine="1134"/>
        <w:jc w:val="both"/>
        <w:rPr>
          <w:b/>
        </w:rPr>
      </w:pPr>
    </w:p>
    <w:p w:rsidR="000C3615" w:rsidRPr="00B33757" w:rsidRDefault="00B33757">
      <w:pPr>
        <w:ind w:firstLine="1134"/>
        <w:jc w:val="both"/>
      </w:pPr>
      <w:r>
        <w:t xml:space="preserve">- </w:t>
      </w:r>
      <w:r w:rsidR="003E6588" w:rsidRPr="00B33757">
        <w:t>Implementação Academias ao Ar Livre</w:t>
      </w:r>
      <w:r w:rsidR="00CE22BC">
        <w:t>.</w:t>
      </w:r>
    </w:p>
    <w:p w:rsidR="000C3615" w:rsidRDefault="000C3615">
      <w:pPr>
        <w:ind w:firstLine="1134"/>
        <w:jc w:val="both"/>
      </w:pPr>
    </w:p>
    <w:p w:rsidR="000C3615" w:rsidRDefault="003E6588">
      <w:pPr>
        <w:ind w:firstLine="1134"/>
        <w:jc w:val="both"/>
        <w:rPr>
          <w:color w:val="000000"/>
        </w:rPr>
      </w:pPr>
      <w:r>
        <w:t xml:space="preserve">Objetivo - </w:t>
      </w:r>
      <w:r>
        <w:rPr>
          <w:color w:val="000000"/>
        </w:rPr>
        <w:t>Aquisição de equipamentos para instalação de academias ao ar livre em espaços utilização pública nos municípios da RMC, podendo ser instalad</w:t>
      </w:r>
      <w:r w:rsidR="00247BD2">
        <w:rPr>
          <w:color w:val="000000"/>
        </w:rPr>
        <w:t>o</w:t>
      </w:r>
      <w:r>
        <w:rPr>
          <w:color w:val="000000"/>
        </w:rPr>
        <w:t>s os seguintes tipos: academia da Terceira Idade; academia para Portadores de Necessidades Especiais; academia para Crianças (primeira idade)</w:t>
      </w:r>
      <w:r w:rsidR="00CE22BC">
        <w:rPr>
          <w:color w:val="000000"/>
        </w:rPr>
        <w:t>.</w:t>
      </w:r>
    </w:p>
    <w:p w:rsidR="000C3615" w:rsidRDefault="003E6588">
      <w:pPr>
        <w:ind w:firstLine="1134"/>
        <w:jc w:val="both"/>
      </w:pPr>
      <w:r>
        <w:rPr>
          <w:i/>
        </w:rPr>
        <w:t>Status</w:t>
      </w:r>
      <w:r w:rsidR="000C3615">
        <w:t xml:space="preserve"> - Em andamento</w:t>
      </w:r>
      <w:r w:rsidR="00CE22BC">
        <w:t>.</w:t>
      </w:r>
    </w:p>
    <w:p w:rsidR="003E6588" w:rsidRDefault="003E6588">
      <w:pPr>
        <w:ind w:firstLine="1134"/>
        <w:jc w:val="both"/>
      </w:pPr>
      <w:r>
        <w:t>Beneficiário - Prefeituras da Região Metropolitana de Campinas</w:t>
      </w:r>
      <w:r w:rsidR="00CE22BC">
        <w:t>.</w:t>
      </w:r>
    </w:p>
    <w:p w:rsidR="003E6588" w:rsidRDefault="003E6588">
      <w:pPr>
        <w:ind w:firstLine="1134"/>
        <w:jc w:val="both"/>
      </w:pPr>
    </w:p>
    <w:p w:rsidR="003E6588" w:rsidRDefault="003E6588" w:rsidP="00B3009A">
      <w:pPr>
        <w:ind w:firstLine="1134"/>
        <w:jc w:val="both"/>
      </w:pPr>
      <w:r>
        <w:t>Quadro - Recursos Investidos Fundocamp:</w:t>
      </w:r>
    </w:p>
    <w:p w:rsidR="00B3009A" w:rsidRDefault="00B3009A" w:rsidP="00B3009A">
      <w:pPr>
        <w:ind w:firstLine="1134"/>
        <w:jc w:val="both"/>
      </w:pPr>
    </w:p>
    <w:tbl>
      <w:tblPr>
        <w:tblpPr w:leftFromText="141" w:rightFromText="141" w:vertAnchor="text" w:horzAnchor="margin" w:tblpXSpec="right" w:tblpY="59"/>
        <w:tblW w:w="949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6508"/>
        <w:gridCol w:w="1290"/>
        <w:gridCol w:w="1701"/>
      </w:tblGrid>
      <w:tr w:rsidR="00CE22BC" w:rsidTr="00D5505F">
        <w:trPr>
          <w:trHeight w:val="175"/>
        </w:trPr>
        <w:tc>
          <w:tcPr>
            <w:tcW w:w="6508" w:type="dxa"/>
            <w:shd w:val="clear" w:color="auto" w:fill="auto"/>
            <w:vAlign w:val="bottom"/>
          </w:tcPr>
          <w:p w:rsidR="00CE22BC" w:rsidRDefault="00CE22BC" w:rsidP="00CE22BC">
            <w:pPr>
              <w:rPr>
                <w:b/>
                <w:bCs/>
                <w:color w:val="000000"/>
                <w:sz w:val="20"/>
                <w:szCs w:val="20"/>
              </w:rPr>
            </w:pPr>
            <w:r>
              <w:rPr>
                <w:b/>
                <w:bCs/>
                <w:color w:val="000000"/>
                <w:sz w:val="20"/>
                <w:szCs w:val="20"/>
              </w:rPr>
              <w:t>FUNDOCAMP 2014</w:t>
            </w:r>
          </w:p>
        </w:tc>
        <w:tc>
          <w:tcPr>
            <w:tcW w:w="1290" w:type="dxa"/>
            <w:shd w:val="clear" w:color="auto" w:fill="auto"/>
            <w:noWrap/>
            <w:vAlign w:val="bottom"/>
          </w:tcPr>
          <w:p w:rsidR="00CE22BC" w:rsidRDefault="00CE22BC" w:rsidP="00CE22BC">
            <w:pPr>
              <w:rPr>
                <w:b/>
                <w:bCs/>
                <w:color w:val="000000"/>
                <w:sz w:val="20"/>
                <w:szCs w:val="20"/>
              </w:rPr>
            </w:pPr>
          </w:p>
        </w:tc>
        <w:tc>
          <w:tcPr>
            <w:tcW w:w="1701" w:type="dxa"/>
            <w:shd w:val="clear" w:color="auto" w:fill="auto"/>
            <w:noWrap/>
            <w:vAlign w:val="bottom"/>
          </w:tcPr>
          <w:p w:rsidR="00CE22BC" w:rsidRDefault="00CE22BC" w:rsidP="00CE22BC">
            <w:pPr>
              <w:rPr>
                <w:b/>
                <w:bCs/>
                <w:color w:val="000000"/>
                <w:sz w:val="20"/>
                <w:szCs w:val="20"/>
              </w:rPr>
            </w:pPr>
          </w:p>
        </w:tc>
      </w:tr>
      <w:tr w:rsidR="00CE22BC" w:rsidTr="00D5505F">
        <w:trPr>
          <w:trHeight w:val="175"/>
        </w:trPr>
        <w:tc>
          <w:tcPr>
            <w:tcW w:w="6508" w:type="dxa"/>
            <w:shd w:val="clear" w:color="auto" w:fill="auto"/>
            <w:vAlign w:val="bottom"/>
            <w:hideMark/>
          </w:tcPr>
          <w:p w:rsidR="00CE22BC" w:rsidRDefault="00CE22BC" w:rsidP="00CE22BC">
            <w:pPr>
              <w:rPr>
                <w:b/>
                <w:bCs/>
                <w:color w:val="000000"/>
                <w:sz w:val="20"/>
                <w:szCs w:val="20"/>
              </w:rPr>
            </w:pPr>
            <w:r>
              <w:rPr>
                <w:b/>
                <w:bCs/>
                <w:color w:val="000000"/>
                <w:sz w:val="20"/>
                <w:szCs w:val="20"/>
              </w:rPr>
              <w:t>Projeto</w:t>
            </w:r>
          </w:p>
        </w:tc>
        <w:tc>
          <w:tcPr>
            <w:tcW w:w="1290" w:type="dxa"/>
            <w:shd w:val="clear" w:color="auto" w:fill="auto"/>
            <w:noWrap/>
            <w:vAlign w:val="bottom"/>
            <w:hideMark/>
          </w:tcPr>
          <w:p w:rsidR="00CE22BC" w:rsidRDefault="00CE22BC" w:rsidP="00CE22BC">
            <w:pPr>
              <w:rPr>
                <w:b/>
                <w:bCs/>
                <w:color w:val="000000"/>
                <w:sz w:val="20"/>
                <w:szCs w:val="20"/>
              </w:rPr>
            </w:pPr>
            <w:r>
              <w:rPr>
                <w:b/>
                <w:bCs/>
                <w:color w:val="000000"/>
                <w:sz w:val="20"/>
                <w:szCs w:val="20"/>
              </w:rPr>
              <w:t>Valor Total</w:t>
            </w:r>
          </w:p>
        </w:tc>
        <w:tc>
          <w:tcPr>
            <w:tcW w:w="1701" w:type="dxa"/>
            <w:shd w:val="clear" w:color="auto" w:fill="auto"/>
            <w:noWrap/>
            <w:vAlign w:val="bottom"/>
            <w:hideMark/>
          </w:tcPr>
          <w:p w:rsidR="00CE22BC" w:rsidRDefault="00CE22BC" w:rsidP="00CE22BC">
            <w:pPr>
              <w:rPr>
                <w:b/>
                <w:bCs/>
                <w:color w:val="000000"/>
                <w:sz w:val="20"/>
                <w:szCs w:val="20"/>
              </w:rPr>
            </w:pPr>
            <w:r>
              <w:rPr>
                <w:b/>
                <w:bCs/>
                <w:color w:val="000000"/>
                <w:sz w:val="20"/>
                <w:szCs w:val="20"/>
              </w:rPr>
              <w:t>Desembolso - R$</w:t>
            </w:r>
          </w:p>
        </w:tc>
      </w:tr>
      <w:tr w:rsidR="00CE22BC" w:rsidTr="00D5505F">
        <w:trPr>
          <w:trHeight w:val="79"/>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Academias ao Ar Livre</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800.000,00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40.000,00</w:t>
            </w:r>
          </w:p>
        </w:tc>
      </w:tr>
      <w:tr w:rsidR="00CE22BC" w:rsidTr="00D5505F">
        <w:trPr>
          <w:trHeight w:val="125"/>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Conexão do Saber</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776.125,00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43.145,00</w:t>
            </w:r>
          </w:p>
        </w:tc>
      </w:tr>
      <w:tr w:rsidR="00CE22BC" w:rsidTr="00D5505F">
        <w:trPr>
          <w:trHeight w:val="313"/>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Implementação do Plano Regional de Desenvolvimento de RH em Saúde, Reorganização das Centrais de Regulação do Acesso e Implementação de Linhas de Cuidado</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866.068,00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561.791,18</w:t>
            </w:r>
          </w:p>
        </w:tc>
      </w:tr>
      <w:tr w:rsidR="00CE22BC" w:rsidTr="00D5505F">
        <w:trPr>
          <w:trHeight w:val="44"/>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Informatização de Unidades de Saúde</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3.015.641,00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515.641,70</w:t>
            </w:r>
          </w:p>
        </w:tc>
      </w:tr>
      <w:tr w:rsidR="00CE22BC" w:rsidTr="00D5505F">
        <w:trPr>
          <w:trHeight w:val="44"/>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Reforma e Ampliação de Unidades Básicas de Saúde</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450.000,00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44.468,43</w:t>
            </w:r>
          </w:p>
        </w:tc>
      </w:tr>
      <w:tr w:rsidR="00CE22BC" w:rsidTr="00D5505F">
        <w:trPr>
          <w:trHeight w:val="88"/>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Re-virada Cultural - 2014</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1.200.000,00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713.718,64</w:t>
            </w:r>
          </w:p>
        </w:tc>
      </w:tr>
      <w:tr w:rsidR="00CE22BC" w:rsidTr="00D5505F">
        <w:trPr>
          <w:trHeight w:val="121"/>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Sistema de Videomonitoramento na RMC - 1ª etapa</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12.935.700,00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2.641.996,69</w:t>
            </w:r>
          </w:p>
        </w:tc>
      </w:tr>
      <w:tr w:rsidR="00CE22BC" w:rsidTr="00D5505F">
        <w:trPr>
          <w:trHeight w:val="68"/>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 xml:space="preserve">Sistema de Videomonitoramento na RMC - 2ª etapa (aquisição de </w:t>
            </w:r>
            <w:r>
              <w:rPr>
                <w:i/>
                <w:color w:val="000000"/>
                <w:sz w:val="20"/>
                <w:szCs w:val="20"/>
              </w:rPr>
              <w:t>software</w:t>
            </w:r>
            <w:r>
              <w:rPr>
                <w:color w:val="000000"/>
                <w:sz w:val="20"/>
                <w:szCs w:val="20"/>
              </w:rPr>
              <w:t>)</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5.500.000,00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191.413,00</w:t>
            </w:r>
          </w:p>
        </w:tc>
      </w:tr>
      <w:tr w:rsidR="00CE22BC" w:rsidTr="00D5505F">
        <w:trPr>
          <w:trHeight w:val="133"/>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Sistema Regional de Defesa Civil</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640.000,00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32.000,00</w:t>
            </w:r>
          </w:p>
        </w:tc>
      </w:tr>
      <w:tr w:rsidR="00CE22BC" w:rsidTr="00D5505F">
        <w:trPr>
          <w:trHeight w:val="180"/>
        </w:trPr>
        <w:tc>
          <w:tcPr>
            <w:tcW w:w="6508" w:type="dxa"/>
            <w:shd w:val="clear" w:color="auto" w:fill="auto"/>
            <w:vAlign w:val="center"/>
            <w:hideMark/>
          </w:tcPr>
          <w:p w:rsidR="00CE22BC" w:rsidRDefault="00CE22BC" w:rsidP="00CE22BC">
            <w:pPr>
              <w:jc w:val="both"/>
              <w:rPr>
                <w:color w:val="000000"/>
                <w:sz w:val="20"/>
                <w:szCs w:val="20"/>
              </w:rPr>
            </w:pPr>
            <w:r>
              <w:rPr>
                <w:color w:val="000000"/>
                <w:sz w:val="20"/>
                <w:szCs w:val="20"/>
              </w:rPr>
              <w:t>Sistema Regional de Radiocomunicação Digital</w:t>
            </w:r>
          </w:p>
        </w:tc>
        <w:tc>
          <w:tcPr>
            <w:tcW w:w="1290" w:type="dxa"/>
            <w:shd w:val="clear" w:color="auto" w:fill="auto"/>
            <w:noWrap/>
            <w:vAlign w:val="center"/>
            <w:hideMark/>
          </w:tcPr>
          <w:p w:rsidR="00CE22BC" w:rsidRDefault="00CE22BC" w:rsidP="00CE22BC">
            <w:pPr>
              <w:jc w:val="right"/>
              <w:rPr>
                <w:color w:val="000000"/>
                <w:sz w:val="20"/>
                <w:szCs w:val="20"/>
              </w:rPr>
            </w:pPr>
            <w:r>
              <w:rPr>
                <w:color w:val="000000"/>
                <w:sz w:val="20"/>
                <w:szCs w:val="20"/>
              </w:rPr>
              <w:t>3.970.000,00</w:t>
            </w:r>
          </w:p>
        </w:tc>
        <w:tc>
          <w:tcPr>
            <w:tcW w:w="1701" w:type="dxa"/>
            <w:shd w:val="clear" w:color="auto" w:fill="auto"/>
            <w:noWrap/>
            <w:vAlign w:val="center"/>
            <w:hideMark/>
          </w:tcPr>
          <w:p w:rsidR="00CE22BC" w:rsidRDefault="00CE22BC" w:rsidP="00CE22BC">
            <w:pPr>
              <w:jc w:val="right"/>
              <w:rPr>
                <w:color w:val="000000"/>
                <w:sz w:val="20"/>
                <w:szCs w:val="20"/>
              </w:rPr>
            </w:pPr>
            <w:r>
              <w:rPr>
                <w:color w:val="000000"/>
                <w:sz w:val="20"/>
                <w:szCs w:val="20"/>
              </w:rPr>
              <w:t>102.137,00</w:t>
            </w:r>
          </w:p>
        </w:tc>
      </w:tr>
    </w:tbl>
    <w:p w:rsidR="003E6588" w:rsidRDefault="003E6588"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B3009A" w:rsidRDefault="00B3009A" w:rsidP="00B3009A">
      <w:pPr>
        <w:jc w:val="both"/>
      </w:pPr>
    </w:p>
    <w:p w:rsidR="003E6588" w:rsidRDefault="003E6588">
      <w:pPr>
        <w:autoSpaceDE w:val="0"/>
        <w:autoSpaceDN w:val="0"/>
        <w:adjustRightInd w:val="0"/>
        <w:ind w:firstLine="1134"/>
        <w:jc w:val="both"/>
        <w:rPr>
          <w:b/>
        </w:rPr>
      </w:pPr>
      <w:r>
        <w:rPr>
          <w:b/>
        </w:rPr>
        <w:t>Unidade do Arquivo Público do Estado</w:t>
      </w:r>
    </w:p>
    <w:p w:rsidR="003E6588" w:rsidRDefault="003E6588">
      <w:pPr>
        <w:autoSpaceDE w:val="0"/>
        <w:autoSpaceDN w:val="0"/>
        <w:adjustRightInd w:val="0"/>
        <w:jc w:val="both"/>
        <w:rPr>
          <w:b/>
        </w:rPr>
      </w:pPr>
    </w:p>
    <w:p w:rsidR="003E6588" w:rsidRDefault="003E6588">
      <w:pPr>
        <w:widowControl w:val="0"/>
        <w:ind w:left="1080"/>
        <w:jc w:val="both"/>
        <w:rPr>
          <w:b/>
          <w:bCs/>
          <w:color w:val="000000"/>
        </w:rPr>
      </w:pPr>
      <w:r>
        <w:rPr>
          <w:b/>
          <w:bCs/>
          <w:color w:val="000000"/>
        </w:rPr>
        <w:t>Departamento de Gestão do Sistema de Arquivos do Estado de São Paulo - DGSAESP</w:t>
      </w:r>
    </w:p>
    <w:p w:rsidR="003E6588" w:rsidRDefault="003E6588">
      <w:pPr>
        <w:widowControl w:val="0"/>
        <w:jc w:val="both"/>
        <w:rPr>
          <w:b/>
          <w:bCs/>
          <w:color w:val="000000"/>
        </w:rPr>
      </w:pPr>
    </w:p>
    <w:p w:rsidR="003E6588" w:rsidRDefault="003E6588">
      <w:pPr>
        <w:widowControl w:val="0"/>
        <w:tabs>
          <w:tab w:val="left" w:pos="0"/>
        </w:tabs>
        <w:ind w:firstLine="1134"/>
        <w:contextualSpacing/>
        <w:jc w:val="both"/>
        <w:rPr>
          <w:bCs/>
          <w:color w:val="000000"/>
        </w:rPr>
      </w:pPr>
      <w:r>
        <w:rPr>
          <w:b/>
          <w:bCs/>
          <w:color w:val="000000"/>
        </w:rPr>
        <w:t>Política de acesso à informação -</w:t>
      </w:r>
      <w:r>
        <w:rPr>
          <w:bCs/>
          <w:color w:val="000000"/>
        </w:rPr>
        <w:t xml:space="preserve"> </w:t>
      </w:r>
      <w:r w:rsidR="00B3009A">
        <w:rPr>
          <w:bCs/>
          <w:color w:val="000000"/>
        </w:rPr>
        <w:t>Publica</w:t>
      </w:r>
      <w:r>
        <w:rPr>
          <w:bCs/>
          <w:color w:val="000000"/>
        </w:rPr>
        <w:t>ção do Decreto nº 60.144/2014</w:t>
      </w:r>
      <w:r w:rsidR="00B3009A">
        <w:rPr>
          <w:bCs/>
          <w:color w:val="000000"/>
        </w:rPr>
        <w:t>,</w:t>
      </w:r>
      <w:r>
        <w:rPr>
          <w:bCs/>
          <w:color w:val="000000"/>
        </w:rPr>
        <w:t xml:space="preserve"> que instituiu a Comissão Estadual de Acesso à Informação</w:t>
      </w:r>
      <w:r w:rsidR="00B3009A">
        <w:rPr>
          <w:bCs/>
          <w:color w:val="000000"/>
        </w:rPr>
        <w:t>,</w:t>
      </w:r>
      <w:r>
        <w:rPr>
          <w:bCs/>
          <w:color w:val="000000"/>
        </w:rPr>
        <w:t xml:space="preserve"> Central de Atendimento ao Cidadão - CAC - 7.251 atendimentos</w:t>
      </w:r>
      <w:r w:rsidR="00B3009A">
        <w:rPr>
          <w:bCs/>
          <w:color w:val="000000"/>
        </w:rPr>
        <w:t>,</w:t>
      </w:r>
      <w:r>
        <w:rPr>
          <w:bCs/>
          <w:color w:val="000000"/>
        </w:rPr>
        <w:t xml:space="preserve"> orientação para instalação de 4 novos Serviços de Informações ao Cidadão </w:t>
      </w:r>
      <w:r w:rsidR="00B3009A">
        <w:rPr>
          <w:bCs/>
          <w:color w:val="000000"/>
        </w:rPr>
        <w:t>-</w:t>
      </w:r>
      <w:r>
        <w:rPr>
          <w:bCs/>
          <w:color w:val="000000"/>
        </w:rPr>
        <w:t xml:space="preserve"> SIC</w:t>
      </w:r>
      <w:r w:rsidR="00B3009A">
        <w:rPr>
          <w:bCs/>
          <w:color w:val="000000"/>
        </w:rPr>
        <w:t>,</w:t>
      </w:r>
      <w:r>
        <w:rPr>
          <w:bCs/>
          <w:color w:val="000000"/>
        </w:rPr>
        <w:t xml:space="preserve"> coordenação sistêmica de 224 Serviços de Informações ao Cidadão instalados na Administração Estadual</w:t>
      </w:r>
      <w:r w:rsidR="00B3009A">
        <w:rPr>
          <w:bCs/>
          <w:color w:val="000000"/>
        </w:rPr>
        <w:t>,</w:t>
      </w:r>
      <w:r>
        <w:rPr>
          <w:bCs/>
          <w:color w:val="000000"/>
        </w:rPr>
        <w:t xml:space="preserve"> definição de requisitos, homologação e manutenção do sistema SIC</w:t>
      </w:r>
      <w:r w:rsidR="00B3009A">
        <w:rPr>
          <w:bCs/>
          <w:color w:val="000000"/>
        </w:rPr>
        <w:t>,</w:t>
      </w:r>
      <w:r>
        <w:rPr>
          <w:bCs/>
          <w:color w:val="000000"/>
        </w:rPr>
        <w:t xml:space="preserve"> homologação do e-SIC municipal e redação de manual de operação</w:t>
      </w:r>
      <w:r w:rsidR="00B3009A">
        <w:rPr>
          <w:bCs/>
          <w:color w:val="000000"/>
        </w:rPr>
        <w:t>,</w:t>
      </w:r>
      <w:r>
        <w:rPr>
          <w:bCs/>
          <w:color w:val="000000"/>
        </w:rPr>
        <w:t xml:space="preserve"> homologação do aplicativo SIC versões </w:t>
      </w:r>
      <w:r>
        <w:rPr>
          <w:bCs/>
          <w:i/>
          <w:color w:val="000000"/>
        </w:rPr>
        <w:t>Android</w:t>
      </w:r>
      <w:r>
        <w:rPr>
          <w:bCs/>
          <w:color w:val="000000"/>
        </w:rPr>
        <w:t xml:space="preserve"> e </w:t>
      </w:r>
      <w:r>
        <w:rPr>
          <w:bCs/>
          <w:i/>
          <w:color w:val="000000"/>
        </w:rPr>
        <w:t>iOS</w:t>
      </w:r>
      <w:r>
        <w:rPr>
          <w:bCs/>
          <w:color w:val="000000"/>
        </w:rPr>
        <w:t>.</w:t>
      </w:r>
    </w:p>
    <w:p w:rsidR="003E6588" w:rsidRDefault="003E6588">
      <w:pPr>
        <w:widowControl w:val="0"/>
        <w:tabs>
          <w:tab w:val="left" w:pos="0"/>
        </w:tabs>
        <w:ind w:firstLine="1134"/>
        <w:contextualSpacing/>
        <w:jc w:val="both"/>
        <w:rPr>
          <w:bCs/>
          <w:color w:val="000000"/>
        </w:rPr>
      </w:pPr>
    </w:p>
    <w:p w:rsidR="003E6588" w:rsidRDefault="003E6588">
      <w:pPr>
        <w:widowControl w:val="0"/>
        <w:tabs>
          <w:tab w:val="left" w:pos="0"/>
        </w:tabs>
        <w:ind w:firstLine="1134"/>
        <w:contextualSpacing/>
        <w:jc w:val="both"/>
        <w:rPr>
          <w:bCs/>
          <w:color w:val="000000"/>
        </w:rPr>
      </w:pPr>
      <w:r>
        <w:rPr>
          <w:b/>
          <w:bCs/>
          <w:color w:val="000000"/>
        </w:rPr>
        <w:t>Implementação da política estadual de gestão documental e assistência técnica aos órgãos do SAESP -</w:t>
      </w:r>
      <w:r>
        <w:rPr>
          <w:bCs/>
          <w:color w:val="000000"/>
        </w:rPr>
        <w:t xml:space="preserve"> Análise e aprovação de quatro planos de classificação e tabelas de temporalidade </w:t>
      </w:r>
      <w:r>
        <w:rPr>
          <w:bCs/>
          <w:color w:val="000000"/>
        </w:rPr>
        <w:lastRenderedPageBreak/>
        <w:t xml:space="preserve">de documentos das atividades-fim - CEPAM (Portaria FPFL/CEPAM nº 34/2014), Secretarias dos Direitos das Pessoas com Deficiência (Resolução nº 04/2014), da Habitação (Resolução SH nº16/2014) </w:t>
      </w:r>
      <w:hyperlink r:id="rId16" w:tgtFrame="_blank" w:history="1">
        <w:r>
          <w:rPr>
            <w:bCs/>
            <w:color w:val="000000"/>
          </w:rPr>
          <w:t>de Logística e Transporte</w:t>
        </w:r>
      </w:hyperlink>
      <w:r>
        <w:rPr>
          <w:bCs/>
          <w:color w:val="000000"/>
        </w:rPr>
        <w:t>s (Resolução SLT nº 006/2014)</w:t>
      </w:r>
      <w:r w:rsidR="00373B00">
        <w:rPr>
          <w:bCs/>
          <w:color w:val="000000"/>
        </w:rPr>
        <w:t>,</w:t>
      </w:r>
      <w:r>
        <w:rPr>
          <w:bCs/>
          <w:color w:val="000000"/>
        </w:rPr>
        <w:t xml:space="preserve"> análise das propostas do PC e TTD - Fim da Secretaria da Educação e da Secretaria da Segurança Pública; projeto da “Coleção Gestão Documental: elaboração da cartilha sobre “Procedimentos para recolhimento de documentos de guarda permanente”; monitoramento das atividades de 93 Comissões de Avaliação de Documentos e Acesso </w:t>
      </w:r>
      <w:r w:rsidR="00373B00">
        <w:rPr>
          <w:bCs/>
          <w:color w:val="000000"/>
        </w:rPr>
        <w:t>-</w:t>
      </w:r>
      <w:r>
        <w:rPr>
          <w:bCs/>
          <w:color w:val="000000"/>
        </w:rPr>
        <w:t xml:space="preserve"> CADA</w:t>
      </w:r>
      <w:r w:rsidR="00373B00">
        <w:rPr>
          <w:bCs/>
          <w:color w:val="000000"/>
        </w:rPr>
        <w:t>,</w:t>
      </w:r>
      <w:r>
        <w:rPr>
          <w:bCs/>
          <w:color w:val="000000"/>
        </w:rPr>
        <w:t xml:space="preserve"> orientação para aplicação do Decreto nº 60.145/2014</w:t>
      </w:r>
      <w:r w:rsidR="00373B00">
        <w:rPr>
          <w:bCs/>
          <w:color w:val="000000"/>
        </w:rPr>
        <w:t>,</w:t>
      </w:r>
      <w:r>
        <w:rPr>
          <w:bCs/>
          <w:color w:val="000000"/>
        </w:rPr>
        <w:t xml:space="preserve"> realização de 574 atendimentos; elaboração de 6 pareceres técnicos; 45 ações de capacitação e orientação técnica</w:t>
      </w:r>
      <w:r w:rsidR="00373B00">
        <w:rPr>
          <w:bCs/>
          <w:color w:val="000000"/>
        </w:rPr>
        <w:t>,</w:t>
      </w:r>
      <w:r>
        <w:rPr>
          <w:bCs/>
          <w:color w:val="000000"/>
        </w:rPr>
        <w:t xml:space="preserve"> autorização de 353 Editais de Ciência de Eliminação de Documentos (eliminação de 76.102 caixas de arquivo).</w:t>
      </w:r>
    </w:p>
    <w:p w:rsidR="003E6588" w:rsidRDefault="003E6588">
      <w:pPr>
        <w:widowControl w:val="0"/>
        <w:tabs>
          <w:tab w:val="left" w:pos="300"/>
        </w:tabs>
        <w:ind w:left="360"/>
        <w:contextualSpacing/>
        <w:jc w:val="both"/>
        <w:rPr>
          <w:bCs/>
          <w:color w:val="000000"/>
        </w:rPr>
      </w:pPr>
    </w:p>
    <w:p w:rsidR="003E6588" w:rsidRDefault="003E6588">
      <w:pPr>
        <w:widowControl w:val="0"/>
        <w:tabs>
          <w:tab w:val="left" w:pos="0"/>
        </w:tabs>
        <w:ind w:firstLine="1134"/>
        <w:contextualSpacing/>
        <w:jc w:val="both"/>
        <w:rPr>
          <w:bCs/>
          <w:color w:val="000000"/>
        </w:rPr>
      </w:pPr>
      <w:r>
        <w:rPr>
          <w:b/>
          <w:bCs/>
          <w:color w:val="000000"/>
        </w:rPr>
        <w:t>Modernização do sistema SPdoc e implementação de normas e procedimentos de protocolo -</w:t>
      </w:r>
      <w:r>
        <w:rPr>
          <w:bCs/>
          <w:color w:val="000000"/>
        </w:rPr>
        <w:t xml:space="preserve"> Gestão técnica do projeto de desenvolvimento e aprimoramento do SPdoc Referencial: elaboração de requisitos e homologação de 55 funcionalidades; estudos e pesquisas para elaboração dos atos normativos necessários à implementação do SPdoc; assessoramento do Comitê Gestor do SPdoc (5 reuniões e atas); oficialização do “Manual de Normas e Procedimentos de Protocolo” (Decreto nº 60.334/2014); realização de 10 oficinas de capacitação para 518 agentes públicos; 101 atendimentos; 44 reuniões de trabalho.</w:t>
      </w:r>
    </w:p>
    <w:p w:rsidR="003E6588" w:rsidRDefault="003E6588">
      <w:pPr>
        <w:widowControl w:val="0"/>
        <w:tabs>
          <w:tab w:val="left" w:pos="0"/>
        </w:tabs>
        <w:ind w:firstLine="1134"/>
        <w:contextualSpacing/>
        <w:jc w:val="both"/>
        <w:rPr>
          <w:bCs/>
          <w:color w:val="000000"/>
        </w:rPr>
      </w:pPr>
    </w:p>
    <w:p w:rsidR="003E6588" w:rsidRDefault="003E6588">
      <w:pPr>
        <w:widowControl w:val="0"/>
        <w:tabs>
          <w:tab w:val="left" w:pos="0"/>
        </w:tabs>
        <w:ind w:firstLine="1134"/>
        <w:contextualSpacing/>
        <w:jc w:val="both"/>
        <w:rPr>
          <w:bCs/>
          <w:color w:val="000000"/>
        </w:rPr>
      </w:pPr>
      <w:r>
        <w:rPr>
          <w:b/>
          <w:bCs/>
          <w:color w:val="000000"/>
        </w:rPr>
        <w:t>Promoção da gestão documental e acesso à informação nas administrações municipais -</w:t>
      </w:r>
      <w:r>
        <w:rPr>
          <w:bCs/>
          <w:color w:val="000000"/>
        </w:rPr>
        <w:t xml:space="preserve"> Gestão do Termo de Cooperação Técnica com o MP Estadual - Publicação de 2 novos avisos do Procurador-Geral de Justiça (Aviso nº 171/2014-PGJ e Aviso nº 280/2014-PGJ); realização de 3 Encontros Paulistas sobre gestão documental e acesso à informação (Caraguatatuba, Registro e Franca), com participação de 397 representantes de 80 municípios; realização de 468 atendimentos; elaboração de 18 pareceres técnicos e 24 visitas técnicas; monitoramento da institucionalização de Arquivos Públicos Municipais e regulamentação da LAI nos municípios paulistas; parceria com a Câmara de Barueri para elaboração de modelo de Plano de Classificação e Tabela de Temporalidade de Documentos para o Poder Legislativo Municipal; parceria com o Consórcio Intermunicipal do Grande ABC na estruturação de política de gestão de documentos públicos em âmbito regional.</w:t>
      </w:r>
    </w:p>
    <w:p w:rsidR="003E6588" w:rsidRDefault="003E6588">
      <w:pPr>
        <w:widowControl w:val="0"/>
        <w:tabs>
          <w:tab w:val="left" w:pos="300"/>
        </w:tabs>
        <w:ind w:left="360"/>
        <w:contextualSpacing/>
        <w:jc w:val="both"/>
        <w:rPr>
          <w:bCs/>
          <w:color w:val="000000"/>
        </w:rPr>
      </w:pPr>
    </w:p>
    <w:p w:rsidR="003E6588" w:rsidRDefault="003E6588">
      <w:pPr>
        <w:tabs>
          <w:tab w:val="left" w:pos="0"/>
        </w:tabs>
        <w:autoSpaceDE w:val="0"/>
        <w:autoSpaceDN w:val="0"/>
        <w:adjustRightInd w:val="0"/>
        <w:ind w:firstLine="1134"/>
        <w:jc w:val="both"/>
        <w:rPr>
          <w:bCs/>
          <w:color w:val="000000"/>
        </w:rPr>
      </w:pPr>
      <w:r>
        <w:rPr>
          <w:b/>
          <w:bCs/>
          <w:color w:val="000000"/>
        </w:rPr>
        <w:t>Tratamento técnico do acervo intermediário -</w:t>
      </w:r>
      <w:r>
        <w:rPr>
          <w:bCs/>
          <w:color w:val="000000"/>
        </w:rPr>
        <w:t xml:space="preserve"> Mapeamento do acervo 28.675 caixas de documentos; avaliação de 6.829 caixas de documentos; realização de 543 empréstimos de documentos; 498 devoluções de documentos; cadastramento de 12.156; higienização de 2.326 caixas de documentos; remanejamento de 46.278 caixas; coordenação do projeto de desinfestação e esterilização de documentos cartorários (196.000 livros).</w:t>
      </w:r>
    </w:p>
    <w:p w:rsidR="003E6588" w:rsidRDefault="003E6588">
      <w:pPr>
        <w:autoSpaceDE w:val="0"/>
        <w:autoSpaceDN w:val="0"/>
        <w:adjustRightInd w:val="0"/>
        <w:jc w:val="both"/>
        <w:rPr>
          <w:bCs/>
          <w:color w:val="000000"/>
        </w:rPr>
      </w:pPr>
    </w:p>
    <w:p w:rsidR="003E6588" w:rsidRDefault="003E6588">
      <w:pPr>
        <w:widowControl w:val="0"/>
        <w:tabs>
          <w:tab w:val="left" w:pos="0"/>
        </w:tabs>
        <w:ind w:firstLine="1134"/>
        <w:contextualSpacing/>
        <w:jc w:val="both"/>
        <w:rPr>
          <w:bCs/>
          <w:color w:val="000000"/>
        </w:rPr>
      </w:pPr>
      <w:r>
        <w:rPr>
          <w:b/>
          <w:bCs/>
          <w:color w:val="000000"/>
        </w:rPr>
        <w:t xml:space="preserve">Convênios e parcerias - </w:t>
      </w:r>
      <w:r>
        <w:rPr>
          <w:bCs/>
          <w:color w:val="000000"/>
        </w:rPr>
        <w:t>Cooperação técnica com o Ministério Público Estadual para a conjugação de esforços</w:t>
      </w:r>
      <w:r w:rsidR="000174D0">
        <w:rPr>
          <w:bCs/>
          <w:color w:val="000000"/>
        </w:rPr>
        <w:t>,</w:t>
      </w:r>
      <w:r>
        <w:rPr>
          <w:bCs/>
          <w:color w:val="000000"/>
        </w:rPr>
        <w:t xml:space="preserve"> visando </w:t>
      </w:r>
      <w:r w:rsidR="000174D0">
        <w:rPr>
          <w:bCs/>
          <w:color w:val="000000"/>
        </w:rPr>
        <w:t>a</w:t>
      </w:r>
      <w:r>
        <w:rPr>
          <w:bCs/>
          <w:color w:val="000000"/>
        </w:rPr>
        <w:t xml:space="preserve"> gestão, acesso e preservação de documentos públicos; Convênio com a Fundação SEADE para definição de critérios de amostragens de documentos destinados à eliminação; Cooperação Técnica com a Assembleia Legislativa do Estado de São Paulo visando à promoção da gestão documental nas Administrações Municipais; Parcerias para tratamento de documentos em idade intermediária: Fundação CASA e </w:t>
      </w:r>
      <w:r>
        <w:rPr>
          <w:bCs/>
          <w:i/>
          <w:color w:val="000000"/>
        </w:rPr>
        <w:t>Family Search</w:t>
      </w:r>
      <w:r>
        <w:rPr>
          <w:bCs/>
          <w:color w:val="000000"/>
        </w:rPr>
        <w:t>; Parceria com a Corregedoria Geral do Estado e FUNDAP</w:t>
      </w:r>
      <w:r w:rsidR="000174D0">
        <w:rPr>
          <w:bCs/>
          <w:color w:val="000000"/>
        </w:rPr>
        <w:t>,</w:t>
      </w:r>
      <w:r>
        <w:rPr>
          <w:bCs/>
          <w:color w:val="000000"/>
        </w:rPr>
        <w:t xml:space="preserve"> para realização da 4ª videoconferência do Programa Transparência Paulista sobre os Serviços de Informações ao Cidadão e Ouvidorias.</w:t>
      </w:r>
    </w:p>
    <w:p w:rsidR="003E6588" w:rsidRDefault="003E6588">
      <w:pPr>
        <w:widowControl w:val="0"/>
        <w:tabs>
          <w:tab w:val="left" w:pos="0"/>
        </w:tabs>
        <w:ind w:firstLine="1134"/>
        <w:contextualSpacing/>
        <w:jc w:val="both"/>
        <w:rPr>
          <w:bCs/>
          <w:color w:val="000000"/>
        </w:rPr>
      </w:pPr>
      <w:r>
        <w:rPr>
          <w:b/>
          <w:bCs/>
          <w:color w:val="000000"/>
        </w:rPr>
        <w:lastRenderedPageBreak/>
        <w:t>Divulgação e disseminação do conhecimento técnico-arquivístico -</w:t>
      </w:r>
      <w:r>
        <w:rPr>
          <w:bCs/>
          <w:color w:val="000000"/>
        </w:rPr>
        <w:t xml:space="preserve"> Organização de 20 eventos arquivísticos e participação em 18 eventos. Comunicação institucional: 7.863 </w:t>
      </w:r>
      <w:r>
        <w:rPr>
          <w:bCs/>
          <w:i/>
          <w:color w:val="000000"/>
        </w:rPr>
        <w:t xml:space="preserve">e-mails </w:t>
      </w:r>
      <w:r>
        <w:rPr>
          <w:bCs/>
          <w:color w:val="000000"/>
        </w:rPr>
        <w:t xml:space="preserve">enviados; 18.491 </w:t>
      </w:r>
      <w:r>
        <w:rPr>
          <w:bCs/>
          <w:i/>
          <w:color w:val="000000"/>
        </w:rPr>
        <w:t>e-mails</w:t>
      </w:r>
      <w:r>
        <w:rPr>
          <w:bCs/>
          <w:color w:val="000000"/>
        </w:rPr>
        <w:t xml:space="preserve"> recebidos; 130.440 acessos às páginas do DGSAESP; publicação de 43 notícias sobre os trabalhos em curso; acompanhamento de 31 visitas monitoradas.</w:t>
      </w:r>
    </w:p>
    <w:p w:rsidR="003E6588" w:rsidRDefault="003E6588">
      <w:pPr>
        <w:widowControl w:val="0"/>
        <w:tabs>
          <w:tab w:val="left" w:pos="300"/>
        </w:tabs>
        <w:contextualSpacing/>
        <w:jc w:val="both"/>
        <w:rPr>
          <w:bCs/>
          <w:color w:val="000000"/>
        </w:rPr>
      </w:pPr>
    </w:p>
    <w:p w:rsidR="003E6588" w:rsidRDefault="003E6588">
      <w:pPr>
        <w:ind w:firstLine="1134"/>
        <w:jc w:val="both"/>
        <w:rPr>
          <w:b/>
        </w:rPr>
      </w:pPr>
      <w:r>
        <w:rPr>
          <w:b/>
        </w:rPr>
        <w:t>Departamento de Preservação e Difusão do Acervo</w:t>
      </w:r>
    </w:p>
    <w:p w:rsidR="003E6588" w:rsidRDefault="003E6588">
      <w:pPr>
        <w:ind w:firstLine="1134"/>
        <w:jc w:val="both"/>
        <w:rPr>
          <w:b/>
        </w:rPr>
      </w:pPr>
    </w:p>
    <w:p w:rsidR="003E6588" w:rsidRDefault="003E6588">
      <w:pPr>
        <w:ind w:firstLine="1134"/>
        <w:jc w:val="both"/>
        <w:rPr>
          <w:b/>
        </w:rPr>
      </w:pPr>
      <w:r>
        <w:rPr>
          <w:b/>
        </w:rPr>
        <w:t>Centro de Difusão de Apoio à Pesquisa</w:t>
      </w:r>
    </w:p>
    <w:p w:rsidR="003E6588" w:rsidRDefault="003E6588">
      <w:pPr>
        <w:ind w:firstLine="1134"/>
        <w:jc w:val="both"/>
        <w:rPr>
          <w:b/>
        </w:rPr>
      </w:pPr>
    </w:p>
    <w:p w:rsidR="003E6588" w:rsidRDefault="003E6588" w:rsidP="00CE22BC">
      <w:pPr>
        <w:ind w:firstLine="1134"/>
        <w:jc w:val="both"/>
      </w:pPr>
      <w:r>
        <w:rPr>
          <w:b/>
        </w:rPr>
        <w:t xml:space="preserve">Publicações - </w:t>
      </w:r>
      <w:r>
        <w:t xml:space="preserve">Revista História (eletrônica), contabilizando 194.867 acessos e 3 livros em formato eletrônico </w:t>
      </w:r>
      <w:r>
        <w:rPr>
          <w:i/>
        </w:rPr>
        <w:t>(e-books).</w:t>
      </w:r>
      <w:r>
        <w:t xml:space="preserve"> Exposiç</w:t>
      </w:r>
      <w:r w:rsidR="000174D0">
        <w:t>ão</w:t>
      </w:r>
      <w:r>
        <w:t xml:space="preserve"> Física - Realização de exposição. </w:t>
      </w:r>
      <w:r w:rsidRPr="000174D0">
        <w:t>Exposição virtual</w:t>
      </w:r>
      <w:r>
        <w:t xml:space="preserve"> </w:t>
      </w:r>
      <w:r w:rsidR="000174D0">
        <w:t>-</w:t>
      </w:r>
      <w:r>
        <w:t xml:space="preserve"> exposição virtual e contabilizados 71.908 acessos ao conjunto de exposições virtuais disponíveis no </w:t>
      </w:r>
      <w:r>
        <w:rPr>
          <w:i/>
        </w:rPr>
        <w:t>site</w:t>
      </w:r>
      <w:r>
        <w:t xml:space="preserve"> do APESP. Oficinas para o público escolar de todos os níveis: </w:t>
      </w:r>
      <w:r w:rsidR="000174D0">
        <w:t>f</w:t>
      </w:r>
      <w:r>
        <w:t>oram realizadas 34 oficinas, totalizando 1.114 participantes. Fo</w:t>
      </w:r>
      <w:r w:rsidR="000174D0">
        <w:t>ram</w:t>
      </w:r>
      <w:r>
        <w:t xml:space="preserve"> desenvolvido</w:t>
      </w:r>
      <w:r w:rsidR="000174D0">
        <w:t>s</w:t>
      </w:r>
      <w:r>
        <w:t xml:space="preserve"> 3 curso</w:t>
      </w:r>
      <w:r w:rsidR="000174D0">
        <w:t>s</w:t>
      </w:r>
      <w:r>
        <w:t xml:space="preserve"> na modalidade EAD para professores da Educação Básica e Superior</w:t>
      </w:r>
      <w:r w:rsidR="000174D0">
        <w:t>,</w:t>
      </w:r>
      <w:r>
        <w:t xml:space="preserve"> que contou com 160 alunos. Oficinas Técnicas e Palestras: 3 Palestras que reuniram público de 234 pessoas e 11 oficinas técnicas para 401 participantes. Visitas monitoradas - Foram realizadas 43 visitas monitoras às instalações do APESP, sendo 851 pessoas atendidas. Catalogação e tratamento de acervo físico da Hemeroteca.</w:t>
      </w:r>
      <w:r w:rsidR="000174D0">
        <w:t xml:space="preserve"> </w:t>
      </w:r>
      <w:r>
        <w:t>Foi realizado tratamento técnico de 8.414 itens, totalizando 15.42m/l e 708 caixas de periódicos.</w:t>
      </w:r>
      <w:r w:rsidR="000174D0">
        <w:t xml:space="preserve"> </w:t>
      </w:r>
      <w:r>
        <w:t xml:space="preserve">Foram verificadas 43.024 imagens e realizado plano de estudo de pré catalogação de 644 exemplares das publicações seriadas. Atendimento no salão de consulta - Pesquisadores - Foram atendidos 1.645 pesquisadores, sendo movimentados 11.819 itens (unidades de arquivamento) para o salão de consultas. Emissão de Certidões e assistência aos pesquisadores - Emissão 6.120 certidões de imigrantes, 512 atendimentos presenciais e 5.750 atendimentos por </w:t>
      </w:r>
      <w:r>
        <w:rPr>
          <w:i/>
        </w:rPr>
        <w:t>e-mail</w:t>
      </w:r>
      <w:r>
        <w:t>.</w:t>
      </w:r>
    </w:p>
    <w:p w:rsidR="003E6588" w:rsidRDefault="003E6588" w:rsidP="00CE22BC">
      <w:pPr>
        <w:jc w:val="both"/>
        <w:rPr>
          <w:b/>
        </w:rPr>
      </w:pPr>
    </w:p>
    <w:p w:rsidR="003E6588" w:rsidRDefault="003E6588" w:rsidP="00CE22BC">
      <w:pPr>
        <w:ind w:firstLine="1134"/>
        <w:jc w:val="both"/>
      </w:pPr>
      <w:r>
        <w:rPr>
          <w:b/>
        </w:rPr>
        <w:t>Centro de Acervo Permanente</w:t>
      </w:r>
      <w:r w:rsidR="000174D0">
        <w:rPr>
          <w:b/>
        </w:rPr>
        <w:t xml:space="preserve"> - </w:t>
      </w:r>
      <w:r>
        <w:rPr>
          <w:b/>
        </w:rPr>
        <w:t>Atendimento</w:t>
      </w:r>
      <w:r>
        <w:t xml:space="preserve"> - 425 atendimentos de pesquisa e reprodução de documentos do DEOPS para fins jurídicos; 172 certidões de inteiro teor de registros de terra, autos cíveis e outros documentos custodiados pelo Arquivo Público do Estado</w:t>
      </w:r>
      <w:r w:rsidR="000174D0">
        <w:t>.</w:t>
      </w:r>
      <w:r>
        <w:t xml:space="preserve"> Recolhimentos - 853 caixas, 168 livros e 15 pacotes de documentos de valor permanente recolhidos. Tratamento Arquivístico - Fundo do extinto Departamento Ferroviário da Secretaria de Logística e Transportes, contendo 380 processos históricos sobre as ferrovias paulistas, de 1869 a 1971; </w:t>
      </w:r>
      <w:r w:rsidR="000174D0">
        <w:t>f</w:t>
      </w:r>
      <w:r>
        <w:t xml:space="preserve">undo da Secretaria de Governo da Capitania, contendo aproximadamente 90.000 documentos do período colonial, entre 1602 e 1823; </w:t>
      </w:r>
      <w:r w:rsidR="000174D0">
        <w:t>f</w:t>
      </w:r>
      <w:r>
        <w:t xml:space="preserve">undo do ex-Governador Júlio Prestes (1882-1946), composto por 206 caixas de documentos; e </w:t>
      </w:r>
      <w:r w:rsidR="000174D0">
        <w:t>f</w:t>
      </w:r>
      <w:r>
        <w:t>undo do Memorial do Imigrante, composto por 2.994 caixas e aproximadamente 1.5 milhões de documentos que registram a história da i</w:t>
      </w:r>
      <w:r w:rsidR="000174D0">
        <w:t>migração no Estado de São Paulo.</w:t>
      </w:r>
    </w:p>
    <w:p w:rsidR="003E6588" w:rsidRDefault="003E6588">
      <w:pPr>
        <w:ind w:firstLine="1134"/>
        <w:jc w:val="both"/>
        <w:rPr>
          <w:b/>
        </w:rPr>
      </w:pPr>
    </w:p>
    <w:p w:rsidR="003E6588" w:rsidRDefault="003E6588">
      <w:pPr>
        <w:ind w:firstLine="1134"/>
        <w:jc w:val="both"/>
      </w:pPr>
      <w:r>
        <w:rPr>
          <w:b/>
        </w:rPr>
        <w:t>Centro de Acervo Iconográfico e Cartográfico</w:t>
      </w:r>
      <w:r w:rsidR="000174D0">
        <w:rPr>
          <w:b/>
        </w:rPr>
        <w:t xml:space="preserve"> - </w:t>
      </w:r>
      <w:r>
        <w:rPr>
          <w:b/>
        </w:rPr>
        <w:t xml:space="preserve">Tratamentos - </w:t>
      </w:r>
      <w:r>
        <w:t>Jornal Movimento, Instituto Agronômico de Campinas, Acervo Cartográfico Arquivo do Estado e Rede Ferroviária Federal. Acervo Iconográfico - Tota</w:t>
      </w:r>
      <w:r w:rsidR="003B411C">
        <w:t>l</w:t>
      </w:r>
      <w:r>
        <w:t xml:space="preserve"> tratado - 157.608 itens; Instituto Agronômico de Campinas - 5.000 negativos em vidro tratados; Jornal Movimento</w:t>
      </w:r>
      <w:r w:rsidR="003B411C">
        <w:t>,</w:t>
      </w:r>
      <w:r>
        <w:t xml:space="preserve"> 14.479 documentos tratados; Aqui São Paulo</w:t>
      </w:r>
      <w:r w:rsidR="003B411C">
        <w:t>,</w:t>
      </w:r>
      <w:r>
        <w:t xml:space="preserve"> 4.500 ampliações higienizadas e acondicionadas. Inventário e organização do acervo da Rede Ferroviária Federal, totalizando 133.629 documentos em diversos suportes e formatos como: ampliações, negativos, negativos de vidro, películas, contatos, </w:t>
      </w:r>
      <w:r>
        <w:rPr>
          <w:i/>
        </w:rPr>
        <w:t>slides</w:t>
      </w:r>
      <w:r>
        <w:t>, litogravuras e álbuns. Acervo Cartográfico - Tota</w:t>
      </w:r>
      <w:r w:rsidR="003B411C">
        <w:t>l</w:t>
      </w:r>
      <w:r>
        <w:t xml:space="preserve"> tratado - 2.053 itens; </w:t>
      </w:r>
      <w:r w:rsidR="003B411C">
        <w:t xml:space="preserve">diagnóstico </w:t>
      </w:r>
      <w:r>
        <w:t xml:space="preserve">das coleções - IGC: 5.232 cadernetas; IHGSP - </w:t>
      </w:r>
      <w:r>
        <w:lastRenderedPageBreak/>
        <w:t xml:space="preserve">1.475 documentos cartográficos; 2° Cartório - 1.034 documentos cartográficos; APESP - 1.284 documentos cartográficos. Atendimento ao pesquisador - respondidos: 1.407; </w:t>
      </w:r>
      <w:r w:rsidR="003B411C">
        <w:t xml:space="preserve">pedidos finalizados </w:t>
      </w:r>
      <w:r>
        <w:t xml:space="preserve">- 162; </w:t>
      </w:r>
      <w:r w:rsidR="003B411C">
        <w:t xml:space="preserve">imagens </w:t>
      </w:r>
      <w:r>
        <w:t xml:space="preserve">disponibilizadas/digitalizadas - 1.259; </w:t>
      </w:r>
      <w:r w:rsidR="003B411C">
        <w:t xml:space="preserve">atendimento </w:t>
      </w:r>
      <w:r>
        <w:t>presencial - 215. Outras atividades desenvolvidas - Realização do Seminário “Águas de Março”. Atividade de encerramento da Exposição “O Tempo e as Águas”. Parcerias -</w:t>
      </w:r>
      <w:r>
        <w:rPr>
          <w:b/>
        </w:rPr>
        <w:t xml:space="preserve"> </w:t>
      </w:r>
      <w:r>
        <w:t>Petrobrás/Associação de Amigos do Arquivo - Projeto Tratamento e Digitalização das Ampliações Fotográficas pertencentes à Coleção do Jornal Última Hora, 40% concluído, 60 mil ampliações tratadas. 6ª Jornada Latino Americana e do Caribe gvSIG - participação na organização e difusão do evento, dentro das atividades do Mundo Geo. Parceria com a UNIFESP - Projeto Hímaco - convênio para o desenvolvimento de projeto piloto de pesquisa sobre as enchentes em São Paulo</w:t>
      </w:r>
      <w:r w:rsidR="003B411C">
        <w:t>,</w:t>
      </w:r>
      <w:r>
        <w:t xml:space="preserve"> utilizando-se a tecnologia de geo-referenciamento. Seminário - “História, geotecnologias livres e 10 anos deo gvSIG”.</w:t>
      </w:r>
    </w:p>
    <w:p w:rsidR="003E6588" w:rsidRDefault="003E6588">
      <w:pPr>
        <w:ind w:firstLine="1134"/>
        <w:jc w:val="both"/>
      </w:pPr>
    </w:p>
    <w:p w:rsidR="003B411C" w:rsidRDefault="003E6588">
      <w:pPr>
        <w:ind w:firstLine="1134"/>
        <w:jc w:val="both"/>
        <w:rPr>
          <w:b/>
        </w:rPr>
      </w:pPr>
      <w:r>
        <w:rPr>
          <w:b/>
        </w:rPr>
        <w:t>Centro de Preservação</w:t>
      </w:r>
    </w:p>
    <w:p w:rsidR="003B411C" w:rsidRDefault="003B411C">
      <w:pPr>
        <w:ind w:firstLine="1134"/>
        <w:jc w:val="both"/>
        <w:rPr>
          <w:b/>
        </w:rPr>
      </w:pPr>
    </w:p>
    <w:p w:rsidR="003E6588" w:rsidRDefault="003E6588">
      <w:pPr>
        <w:ind w:firstLine="1134"/>
        <w:jc w:val="both"/>
      </w:pPr>
      <w:r>
        <w:rPr>
          <w:b/>
        </w:rPr>
        <w:t xml:space="preserve">Núcleo de Conservação - </w:t>
      </w:r>
      <w:r>
        <w:t>Restauro de 41 exemplares do jornal “A Redenção”</w:t>
      </w:r>
      <w:r w:rsidR="003B411C">
        <w:t>.</w:t>
      </w:r>
      <w:r>
        <w:t xml:space="preserve"> </w:t>
      </w:r>
      <w:r w:rsidR="003B411C">
        <w:t xml:space="preserve">Restauro </w:t>
      </w:r>
      <w:r>
        <w:t>do processo Plínio de Arruda Sampaio, do Centro de Arquivo Administrativo e restauros, incluindo encapsulamentos de 4 processos do Tribunal de Justiça do Estado de São Paulo. Transcrição dos documentos das Sesmarias (4 livros coloniais)</w:t>
      </w:r>
      <w:r w:rsidR="003B411C">
        <w:t>.</w:t>
      </w:r>
      <w:r>
        <w:t xml:space="preserve"> </w:t>
      </w:r>
      <w:r w:rsidR="003B411C">
        <w:t>H</w:t>
      </w:r>
      <w:r>
        <w:t>igienização e desmetalização dos documentos do acervo, tendo sido tratado o Fundo “Júlio Prestes”. Fichamentos técnicos, registro fotográfico, diagnóstico de conservação e higienização de 100 mapas do Núcleo de Acervo Cartográfico do Centro de Acervo Iconográfico e Cartográfico. Cursos internos de Higienização e de Conservação.</w:t>
      </w:r>
    </w:p>
    <w:p w:rsidR="003B411C" w:rsidRDefault="003B411C">
      <w:pPr>
        <w:ind w:firstLine="1134"/>
        <w:jc w:val="both"/>
      </w:pPr>
    </w:p>
    <w:p w:rsidR="003E6588" w:rsidRDefault="003E6588">
      <w:pPr>
        <w:ind w:firstLine="1134"/>
        <w:jc w:val="both"/>
      </w:pPr>
      <w:r>
        <w:rPr>
          <w:b/>
        </w:rPr>
        <w:t xml:space="preserve">Núcleo de Microfilmagem - </w:t>
      </w:r>
      <w:r>
        <w:t xml:space="preserve">Finalização da digitalização das fichas e </w:t>
      </w:r>
      <w:r>
        <w:rPr>
          <w:i/>
        </w:rPr>
        <w:t>dossiês</w:t>
      </w:r>
      <w:r>
        <w:t xml:space="preserve"> do DEOPS para o projeto Marcas da Memória III (59.283 imagens). Convênio com o Desenvolvimento Rodoviário S/A. - DERSA - digitalização de 1.053.110 imagens dos microfilmes pertencentes àquela instituição. Atendimento a demandas internas e externas - 2.962.720 imagens digitalizadas.</w:t>
      </w:r>
    </w:p>
    <w:p w:rsidR="003E6588" w:rsidRDefault="003E6588">
      <w:pPr>
        <w:ind w:firstLine="1134"/>
        <w:jc w:val="both"/>
      </w:pPr>
    </w:p>
    <w:p w:rsidR="003E6588" w:rsidRDefault="003E6588">
      <w:pPr>
        <w:ind w:firstLine="1134"/>
        <w:jc w:val="both"/>
      </w:pPr>
      <w:r>
        <w:rPr>
          <w:b/>
        </w:rPr>
        <w:t xml:space="preserve">Núcleo de Acondicionamento e Encadernação - </w:t>
      </w:r>
      <w:r>
        <w:t>30.110 ampliações fotográficas do jornal Última Hora - Projeto Petrobrás, correspondente a 49% do total de 120.000 fotos. 233 caixas da documentação do Fundo Júlio Prestes, correspondente a 53% de um total de 433. 10.200 negativos de vidro do Instituto Agronômico de Campinas - IAC, pertencentes ao acervo do Arquivo do Estado. 1.754 revistas do Instituto Histórico e Geográfico de São Paulo</w:t>
      </w:r>
      <w:r w:rsidR="003B411C">
        <w:t>,</w:t>
      </w:r>
      <w:r>
        <w:t xml:space="preserve"> sob responsabilidade do Arquivo do Estado. 6.000 fotografias de jornal “O Movimento”, que corresponde</w:t>
      </w:r>
      <w:r w:rsidR="003B411C">
        <w:t>m</w:t>
      </w:r>
      <w:r>
        <w:t xml:space="preserve"> a 12.240 acondicionamentos. Documentação DEOPS e o jornal “Aqui São Paulo” - 2.616 acondicionamentos.</w:t>
      </w:r>
    </w:p>
    <w:p w:rsidR="003E6588" w:rsidRDefault="003E6588">
      <w:pPr>
        <w:ind w:firstLine="1134"/>
        <w:jc w:val="both"/>
      </w:pPr>
    </w:p>
    <w:p w:rsidR="003E6588" w:rsidRDefault="003E6588">
      <w:pPr>
        <w:shd w:val="clear" w:color="auto" w:fill="FFFFFF"/>
        <w:ind w:right="-234" w:firstLine="1134"/>
        <w:jc w:val="both"/>
        <w:rPr>
          <w:b/>
        </w:rPr>
      </w:pPr>
      <w:r>
        <w:rPr>
          <w:b/>
        </w:rPr>
        <w:t>Ouvidoria da Casa Civil</w:t>
      </w:r>
    </w:p>
    <w:p w:rsidR="003E6588" w:rsidRDefault="003E6588">
      <w:pPr>
        <w:shd w:val="clear" w:color="auto" w:fill="FFFFFF"/>
        <w:ind w:right="-234" w:firstLine="1134"/>
        <w:jc w:val="both"/>
        <w:rPr>
          <w:b/>
        </w:rPr>
      </w:pPr>
    </w:p>
    <w:p w:rsidR="003E6588" w:rsidRDefault="003E6588">
      <w:pPr>
        <w:shd w:val="clear" w:color="auto" w:fill="FFFFFF"/>
        <w:ind w:right="-234" w:firstLine="1134"/>
        <w:jc w:val="both"/>
        <w:rPr>
          <w:b/>
          <w:bCs/>
          <w:color w:val="000000"/>
        </w:rPr>
      </w:pPr>
      <w:r>
        <w:rPr>
          <w:b/>
          <w:color w:val="000000"/>
        </w:rPr>
        <w:t xml:space="preserve">Demandas atendidas - </w:t>
      </w:r>
      <w:r>
        <w:rPr>
          <w:b/>
          <w:bCs/>
          <w:color w:val="000000"/>
        </w:rPr>
        <w:t>Quantitativo das Ações - Indicadores</w:t>
      </w:r>
    </w:p>
    <w:p w:rsidR="003E6588" w:rsidRDefault="003E6588">
      <w:pPr>
        <w:shd w:val="clear" w:color="auto" w:fill="FFFFFF"/>
        <w:ind w:right="-234" w:firstLine="1134"/>
        <w:jc w:val="both"/>
        <w:rPr>
          <w:b/>
          <w:bCs/>
          <w:color w:val="000000"/>
        </w:rPr>
      </w:pPr>
    </w:p>
    <w:tbl>
      <w:tblPr>
        <w:tblW w:w="4851" w:type="dxa"/>
        <w:jc w:val="center"/>
        <w:tblInd w:w="684" w:type="dxa"/>
        <w:tblCellMar>
          <w:left w:w="70" w:type="dxa"/>
          <w:right w:w="70" w:type="dxa"/>
        </w:tblCellMar>
        <w:tblLook w:val="04A0"/>
      </w:tblPr>
      <w:tblGrid>
        <w:gridCol w:w="2671"/>
        <w:gridCol w:w="2180"/>
      </w:tblGrid>
      <w:tr w:rsidR="003E6588" w:rsidTr="00D5505F">
        <w:trPr>
          <w:trHeight w:val="168"/>
          <w:jc w:val="center"/>
        </w:trPr>
        <w:tc>
          <w:tcPr>
            <w:tcW w:w="2671" w:type="dxa"/>
            <w:tcBorders>
              <w:top w:val="single" w:sz="8" w:space="0" w:color="auto"/>
              <w:left w:val="single" w:sz="8" w:space="0" w:color="auto"/>
              <w:bottom w:val="single" w:sz="8" w:space="0" w:color="auto"/>
              <w:right w:val="single" w:sz="8" w:space="0" w:color="auto"/>
            </w:tcBorders>
            <w:shd w:val="clear" w:color="auto" w:fill="auto"/>
            <w:hideMark/>
          </w:tcPr>
          <w:p w:rsidR="003E6588" w:rsidRDefault="003E6588">
            <w:pPr>
              <w:rPr>
                <w:b/>
                <w:bCs/>
                <w:color w:val="000000"/>
                <w:sz w:val="20"/>
                <w:szCs w:val="20"/>
              </w:rPr>
            </w:pPr>
            <w:r>
              <w:rPr>
                <w:b/>
                <w:bCs/>
                <w:color w:val="000000"/>
                <w:sz w:val="20"/>
                <w:szCs w:val="20"/>
              </w:rPr>
              <w:t>Tipo de Manifestação</w:t>
            </w:r>
          </w:p>
        </w:tc>
        <w:tc>
          <w:tcPr>
            <w:tcW w:w="2180" w:type="dxa"/>
            <w:tcBorders>
              <w:top w:val="single" w:sz="8" w:space="0" w:color="auto"/>
              <w:left w:val="single" w:sz="8" w:space="0" w:color="auto"/>
              <w:bottom w:val="single" w:sz="8" w:space="0" w:color="auto"/>
              <w:right w:val="single" w:sz="8" w:space="0" w:color="auto"/>
            </w:tcBorders>
            <w:shd w:val="clear" w:color="auto" w:fill="auto"/>
            <w:hideMark/>
          </w:tcPr>
          <w:p w:rsidR="003E6588" w:rsidRDefault="003E6588">
            <w:pPr>
              <w:rPr>
                <w:b/>
                <w:bCs/>
                <w:color w:val="000000"/>
                <w:sz w:val="20"/>
                <w:szCs w:val="20"/>
              </w:rPr>
            </w:pPr>
          </w:p>
        </w:tc>
      </w:tr>
      <w:tr w:rsidR="003E6588" w:rsidTr="00D5505F">
        <w:trPr>
          <w:trHeight w:val="199"/>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jc w:val="both"/>
              <w:rPr>
                <w:color w:val="000000"/>
                <w:sz w:val="20"/>
                <w:szCs w:val="20"/>
              </w:rPr>
            </w:pPr>
            <w:r>
              <w:rPr>
                <w:color w:val="000000"/>
                <w:sz w:val="20"/>
                <w:szCs w:val="20"/>
              </w:rPr>
              <w:t>Denúncia</w:t>
            </w:r>
            <w:r w:rsidR="003B411C">
              <w:rPr>
                <w:color w:val="000000"/>
                <w:sz w:val="20"/>
                <w:szCs w:val="20"/>
              </w:rPr>
              <w:t>s</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color w:val="000000"/>
                <w:sz w:val="20"/>
                <w:szCs w:val="20"/>
              </w:rPr>
            </w:pPr>
            <w:r>
              <w:rPr>
                <w:color w:val="000000"/>
                <w:sz w:val="20"/>
                <w:szCs w:val="20"/>
              </w:rPr>
              <w:t>404</w:t>
            </w:r>
          </w:p>
        </w:tc>
      </w:tr>
      <w:tr w:rsidR="003E6588" w:rsidTr="00D5505F">
        <w:trPr>
          <w:trHeight w:val="90"/>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jc w:val="both"/>
              <w:rPr>
                <w:color w:val="000000"/>
                <w:sz w:val="20"/>
                <w:szCs w:val="20"/>
              </w:rPr>
            </w:pPr>
            <w:r>
              <w:rPr>
                <w:color w:val="000000"/>
                <w:sz w:val="20"/>
                <w:szCs w:val="20"/>
              </w:rPr>
              <w:t>Elogio</w:t>
            </w:r>
            <w:r w:rsidR="003B411C">
              <w:rPr>
                <w:color w:val="000000"/>
                <w:sz w:val="20"/>
                <w:szCs w:val="20"/>
              </w:rPr>
              <w:t>s</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color w:val="000000"/>
                <w:sz w:val="20"/>
                <w:szCs w:val="20"/>
              </w:rPr>
            </w:pPr>
            <w:r>
              <w:rPr>
                <w:color w:val="000000"/>
                <w:sz w:val="20"/>
                <w:szCs w:val="20"/>
              </w:rPr>
              <w:t>15</w:t>
            </w:r>
          </w:p>
        </w:tc>
      </w:tr>
      <w:tr w:rsidR="003E6588" w:rsidTr="00D5505F">
        <w:trPr>
          <w:trHeight w:val="122"/>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rsidP="003B411C">
            <w:pPr>
              <w:jc w:val="both"/>
              <w:rPr>
                <w:color w:val="000000"/>
                <w:sz w:val="20"/>
                <w:szCs w:val="20"/>
              </w:rPr>
            </w:pPr>
            <w:r>
              <w:rPr>
                <w:color w:val="000000"/>
                <w:sz w:val="20"/>
                <w:szCs w:val="20"/>
              </w:rPr>
              <w:t>Reclamaç</w:t>
            </w:r>
            <w:r w:rsidR="003B411C">
              <w:rPr>
                <w:color w:val="000000"/>
                <w:sz w:val="20"/>
                <w:szCs w:val="20"/>
              </w:rPr>
              <w:t>ões</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color w:val="000000"/>
                <w:sz w:val="20"/>
                <w:szCs w:val="20"/>
              </w:rPr>
            </w:pPr>
            <w:r>
              <w:rPr>
                <w:color w:val="000000"/>
                <w:sz w:val="20"/>
                <w:szCs w:val="20"/>
              </w:rPr>
              <w:t>575</w:t>
            </w:r>
          </w:p>
        </w:tc>
      </w:tr>
      <w:tr w:rsidR="003E6588" w:rsidTr="00D5505F">
        <w:trPr>
          <w:trHeight w:val="168"/>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rsidP="003B411C">
            <w:pPr>
              <w:jc w:val="both"/>
              <w:rPr>
                <w:color w:val="000000"/>
                <w:sz w:val="20"/>
                <w:szCs w:val="20"/>
              </w:rPr>
            </w:pPr>
            <w:r>
              <w:rPr>
                <w:color w:val="000000"/>
                <w:sz w:val="20"/>
                <w:szCs w:val="20"/>
              </w:rPr>
              <w:lastRenderedPageBreak/>
              <w:t>Solicitaç</w:t>
            </w:r>
            <w:r w:rsidR="003B411C">
              <w:rPr>
                <w:color w:val="000000"/>
                <w:sz w:val="20"/>
                <w:szCs w:val="20"/>
              </w:rPr>
              <w:t>ões</w:t>
            </w:r>
            <w:r>
              <w:rPr>
                <w:color w:val="000000"/>
                <w:sz w:val="20"/>
                <w:szCs w:val="20"/>
              </w:rPr>
              <w:t xml:space="preserve"> de informação</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color w:val="000000"/>
                <w:sz w:val="20"/>
                <w:szCs w:val="20"/>
              </w:rPr>
            </w:pPr>
            <w:r>
              <w:rPr>
                <w:color w:val="000000"/>
                <w:sz w:val="20"/>
                <w:szCs w:val="20"/>
              </w:rPr>
              <w:t>219</w:t>
            </w:r>
          </w:p>
        </w:tc>
      </w:tr>
      <w:tr w:rsidR="003E6588" w:rsidTr="00D5505F">
        <w:trPr>
          <w:trHeight w:val="58"/>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rsidP="003B411C">
            <w:pPr>
              <w:jc w:val="both"/>
              <w:rPr>
                <w:color w:val="000000"/>
                <w:sz w:val="20"/>
                <w:szCs w:val="20"/>
              </w:rPr>
            </w:pPr>
            <w:r>
              <w:rPr>
                <w:color w:val="000000"/>
                <w:sz w:val="20"/>
                <w:szCs w:val="20"/>
              </w:rPr>
              <w:t>Sugest</w:t>
            </w:r>
            <w:r w:rsidR="003B411C">
              <w:rPr>
                <w:color w:val="000000"/>
                <w:sz w:val="20"/>
                <w:szCs w:val="20"/>
              </w:rPr>
              <w:t>ões</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color w:val="000000"/>
                <w:sz w:val="20"/>
                <w:szCs w:val="20"/>
              </w:rPr>
            </w:pPr>
            <w:r>
              <w:rPr>
                <w:color w:val="000000"/>
                <w:sz w:val="20"/>
                <w:szCs w:val="20"/>
              </w:rPr>
              <w:t>642</w:t>
            </w:r>
          </w:p>
        </w:tc>
      </w:tr>
      <w:tr w:rsidR="003E6588" w:rsidTr="00D5505F">
        <w:trPr>
          <w:trHeight w:val="76"/>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jc w:val="both"/>
              <w:rPr>
                <w:color w:val="000000"/>
                <w:sz w:val="20"/>
                <w:szCs w:val="20"/>
              </w:rPr>
            </w:pPr>
            <w:r>
              <w:rPr>
                <w:color w:val="000000"/>
                <w:sz w:val="20"/>
                <w:szCs w:val="20"/>
              </w:rPr>
              <w:t>Outros</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color w:val="000000"/>
                <w:sz w:val="20"/>
                <w:szCs w:val="20"/>
              </w:rPr>
            </w:pPr>
            <w:r>
              <w:rPr>
                <w:color w:val="000000"/>
                <w:sz w:val="20"/>
                <w:szCs w:val="20"/>
              </w:rPr>
              <w:t>-</w:t>
            </w:r>
          </w:p>
        </w:tc>
      </w:tr>
      <w:tr w:rsidR="003E6588" w:rsidTr="00D5505F">
        <w:trPr>
          <w:trHeight w:val="122"/>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jc w:val="both"/>
              <w:rPr>
                <w:color w:val="000000"/>
                <w:sz w:val="20"/>
                <w:szCs w:val="20"/>
              </w:rPr>
            </w:pPr>
            <w:r>
              <w:rPr>
                <w:color w:val="000000"/>
                <w:sz w:val="20"/>
                <w:szCs w:val="20"/>
              </w:rPr>
              <w:t>Em Análise</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color w:val="000000"/>
                <w:sz w:val="20"/>
                <w:szCs w:val="20"/>
              </w:rPr>
            </w:pPr>
            <w:r>
              <w:rPr>
                <w:color w:val="000000"/>
                <w:sz w:val="20"/>
                <w:szCs w:val="20"/>
              </w:rPr>
              <w:t>-</w:t>
            </w:r>
          </w:p>
        </w:tc>
      </w:tr>
      <w:tr w:rsidR="003E6588" w:rsidTr="00D5505F">
        <w:trPr>
          <w:trHeight w:val="34"/>
          <w:jc w:val="center"/>
        </w:trPr>
        <w:tc>
          <w:tcPr>
            <w:tcW w:w="267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jc w:val="both"/>
              <w:rPr>
                <w:b/>
                <w:bCs/>
                <w:color w:val="000000"/>
                <w:sz w:val="20"/>
                <w:szCs w:val="20"/>
              </w:rPr>
            </w:pPr>
            <w:r>
              <w:rPr>
                <w:b/>
                <w:bCs/>
                <w:color w:val="000000"/>
                <w:sz w:val="20"/>
                <w:szCs w:val="20"/>
              </w:rPr>
              <w:t>Total</w:t>
            </w:r>
          </w:p>
        </w:tc>
        <w:tc>
          <w:tcPr>
            <w:tcW w:w="2180"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3E6588" w:rsidRDefault="003E6588">
            <w:pPr>
              <w:rPr>
                <w:b/>
                <w:bCs/>
                <w:color w:val="000000"/>
                <w:sz w:val="20"/>
                <w:szCs w:val="20"/>
              </w:rPr>
            </w:pPr>
            <w:r>
              <w:rPr>
                <w:b/>
                <w:bCs/>
                <w:color w:val="000000"/>
                <w:sz w:val="20"/>
                <w:szCs w:val="20"/>
              </w:rPr>
              <w:t>1.855</w:t>
            </w:r>
          </w:p>
        </w:tc>
      </w:tr>
    </w:tbl>
    <w:p w:rsidR="003E6588" w:rsidRDefault="003E6588">
      <w:pPr>
        <w:ind w:right="-234"/>
        <w:jc w:val="both"/>
      </w:pPr>
    </w:p>
    <w:p w:rsidR="003E6588" w:rsidRDefault="003E6588">
      <w:pPr>
        <w:ind w:right="-234" w:firstLine="1134"/>
        <w:jc w:val="both"/>
      </w:pPr>
      <w:r>
        <w:t>A Ouvidoria da Casa Civil recebe sugestão, reclamação, denúncia, solicitação de informação e elogio, endereçada ao Governador, secretarias, fundações, autarquias e empresas públicas, remetidas por munícipes, servidores e eleitores de todo Brasil, e orienta os usuários do serviço público nas demandas de competência de órgãos de outras esferas de governo. O tema das demandas é diversificado, individualizado e sazonal</w:t>
      </w:r>
      <w:r w:rsidR="003B411C">
        <w:t>;</w:t>
      </w:r>
      <w:r>
        <w:t xml:space="preserve"> o relatório proposto abrange resumidamente o conteúdo atendido.</w:t>
      </w:r>
    </w:p>
    <w:p w:rsidR="003E6588" w:rsidRDefault="003E6588">
      <w:pPr>
        <w:ind w:right="-234" w:firstLine="1134"/>
        <w:jc w:val="both"/>
      </w:pPr>
    </w:p>
    <w:p w:rsidR="003E6588" w:rsidRDefault="003E6588">
      <w:pPr>
        <w:ind w:firstLine="1134"/>
        <w:jc w:val="both"/>
        <w:rPr>
          <w:b/>
          <w:bCs/>
        </w:rPr>
      </w:pPr>
      <w:r>
        <w:rPr>
          <w:b/>
          <w:bCs/>
        </w:rPr>
        <w:t>Cerimonial</w:t>
      </w:r>
    </w:p>
    <w:p w:rsidR="003E6588" w:rsidRDefault="003E6588">
      <w:pPr>
        <w:ind w:firstLine="1134"/>
      </w:pPr>
    </w:p>
    <w:p w:rsidR="003E6588" w:rsidRDefault="003E6588" w:rsidP="003B411C">
      <w:pPr>
        <w:ind w:firstLine="1134"/>
        <w:jc w:val="both"/>
        <w:rPr>
          <w:b/>
        </w:rPr>
      </w:pPr>
      <w:r>
        <w:rPr>
          <w:b/>
        </w:rPr>
        <w:t>Eventos por tipo</w:t>
      </w:r>
    </w:p>
    <w:p w:rsidR="003E6588" w:rsidRDefault="003E6588">
      <w:pPr>
        <w:ind w:firstLine="1134"/>
        <w:rPr>
          <w:b/>
        </w:rPr>
      </w:pPr>
    </w:p>
    <w:tbl>
      <w:tblPr>
        <w:tblW w:w="0" w:type="auto"/>
        <w:jc w:val="center"/>
        <w:tblInd w:w="28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33"/>
        <w:gridCol w:w="1383"/>
      </w:tblGrid>
      <w:tr w:rsidR="003E6588" w:rsidTr="00D5505F">
        <w:trPr>
          <w:jc w:val="center"/>
        </w:trPr>
        <w:tc>
          <w:tcPr>
            <w:tcW w:w="413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rsidP="003B411C">
            <w:pPr>
              <w:jc w:val="left"/>
              <w:rPr>
                <w:b/>
                <w:sz w:val="20"/>
                <w:szCs w:val="20"/>
              </w:rPr>
            </w:pPr>
            <w:r>
              <w:rPr>
                <w:sz w:val="20"/>
                <w:szCs w:val="20"/>
              </w:rPr>
              <w:t>Eventos Especiais de grande porte</w:t>
            </w:r>
          </w:p>
        </w:tc>
        <w:tc>
          <w:tcPr>
            <w:tcW w:w="138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pPr>
              <w:rPr>
                <w:sz w:val="20"/>
                <w:szCs w:val="20"/>
              </w:rPr>
            </w:pPr>
            <w:r>
              <w:rPr>
                <w:sz w:val="20"/>
                <w:szCs w:val="20"/>
              </w:rPr>
              <w:t>2</w:t>
            </w:r>
          </w:p>
        </w:tc>
      </w:tr>
      <w:tr w:rsidR="003E6588" w:rsidTr="00D5505F">
        <w:trPr>
          <w:jc w:val="center"/>
        </w:trPr>
        <w:tc>
          <w:tcPr>
            <w:tcW w:w="413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rsidP="003B411C">
            <w:pPr>
              <w:jc w:val="left"/>
              <w:rPr>
                <w:b/>
                <w:sz w:val="20"/>
                <w:szCs w:val="20"/>
              </w:rPr>
            </w:pPr>
            <w:r>
              <w:rPr>
                <w:sz w:val="20"/>
                <w:szCs w:val="20"/>
              </w:rPr>
              <w:t>Almoços, cafés da manhã, coquetéis e jantares</w:t>
            </w:r>
          </w:p>
        </w:tc>
        <w:tc>
          <w:tcPr>
            <w:tcW w:w="138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pPr>
              <w:rPr>
                <w:sz w:val="20"/>
                <w:szCs w:val="20"/>
              </w:rPr>
            </w:pPr>
            <w:r>
              <w:rPr>
                <w:sz w:val="20"/>
                <w:szCs w:val="20"/>
              </w:rPr>
              <w:t>21</w:t>
            </w:r>
          </w:p>
        </w:tc>
      </w:tr>
      <w:tr w:rsidR="003E6588" w:rsidTr="00D5505F">
        <w:trPr>
          <w:jc w:val="center"/>
        </w:trPr>
        <w:tc>
          <w:tcPr>
            <w:tcW w:w="413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rsidP="003B411C">
            <w:pPr>
              <w:jc w:val="left"/>
              <w:rPr>
                <w:sz w:val="20"/>
                <w:szCs w:val="20"/>
              </w:rPr>
            </w:pPr>
            <w:r>
              <w:rPr>
                <w:sz w:val="20"/>
                <w:szCs w:val="20"/>
              </w:rPr>
              <w:t xml:space="preserve">Eventos Internacionais </w:t>
            </w:r>
          </w:p>
        </w:tc>
        <w:tc>
          <w:tcPr>
            <w:tcW w:w="138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pPr>
              <w:rPr>
                <w:sz w:val="20"/>
                <w:szCs w:val="20"/>
              </w:rPr>
            </w:pPr>
            <w:r>
              <w:rPr>
                <w:sz w:val="20"/>
                <w:szCs w:val="20"/>
              </w:rPr>
              <w:t>21</w:t>
            </w:r>
          </w:p>
        </w:tc>
      </w:tr>
      <w:tr w:rsidR="003E6588" w:rsidTr="00D5505F">
        <w:trPr>
          <w:jc w:val="center"/>
        </w:trPr>
        <w:tc>
          <w:tcPr>
            <w:tcW w:w="413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rsidP="003B411C">
            <w:pPr>
              <w:jc w:val="left"/>
              <w:rPr>
                <w:sz w:val="20"/>
                <w:szCs w:val="20"/>
              </w:rPr>
            </w:pPr>
            <w:r>
              <w:rPr>
                <w:sz w:val="20"/>
                <w:szCs w:val="20"/>
              </w:rPr>
              <w:t>Audiências no Palácio dos Bandeirantes</w:t>
            </w:r>
          </w:p>
        </w:tc>
        <w:tc>
          <w:tcPr>
            <w:tcW w:w="138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pPr>
              <w:rPr>
                <w:sz w:val="20"/>
                <w:szCs w:val="20"/>
              </w:rPr>
            </w:pPr>
            <w:r>
              <w:rPr>
                <w:sz w:val="20"/>
                <w:szCs w:val="20"/>
              </w:rPr>
              <w:t>164</w:t>
            </w:r>
          </w:p>
        </w:tc>
      </w:tr>
      <w:tr w:rsidR="003E6588" w:rsidTr="00D5505F">
        <w:trPr>
          <w:jc w:val="center"/>
        </w:trPr>
        <w:tc>
          <w:tcPr>
            <w:tcW w:w="413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rsidP="003B411C">
            <w:pPr>
              <w:jc w:val="left"/>
              <w:rPr>
                <w:b/>
                <w:sz w:val="20"/>
                <w:szCs w:val="20"/>
              </w:rPr>
            </w:pPr>
            <w:r>
              <w:rPr>
                <w:b/>
                <w:sz w:val="20"/>
                <w:szCs w:val="20"/>
              </w:rPr>
              <w:t>TOTAL GERAL</w:t>
            </w:r>
          </w:p>
        </w:tc>
        <w:tc>
          <w:tcPr>
            <w:tcW w:w="1383" w:type="dxa"/>
            <w:tcBorders>
              <w:top w:val="single" w:sz="8" w:space="0" w:color="auto"/>
              <w:left w:val="single" w:sz="8" w:space="0" w:color="auto"/>
              <w:bottom w:val="single" w:sz="8" w:space="0" w:color="auto"/>
              <w:right w:val="single" w:sz="8" w:space="0" w:color="auto"/>
            </w:tcBorders>
            <w:shd w:val="clear" w:color="auto" w:fill="auto"/>
          </w:tcPr>
          <w:p w:rsidR="003E6588" w:rsidRDefault="003E6588">
            <w:pPr>
              <w:rPr>
                <w:b/>
                <w:sz w:val="20"/>
                <w:szCs w:val="20"/>
              </w:rPr>
            </w:pPr>
            <w:r>
              <w:rPr>
                <w:b/>
                <w:sz w:val="20"/>
                <w:szCs w:val="20"/>
              </w:rPr>
              <w:t>208</w:t>
            </w:r>
          </w:p>
        </w:tc>
      </w:tr>
    </w:tbl>
    <w:p w:rsidR="003E6588" w:rsidRDefault="003E6588">
      <w:pPr>
        <w:pStyle w:val="Corpodetexto"/>
        <w:rPr>
          <w:b w:val="0"/>
          <w:bCs w:val="0"/>
        </w:rPr>
      </w:pPr>
    </w:p>
    <w:p w:rsidR="003E6588" w:rsidRDefault="003E6588">
      <w:pPr>
        <w:ind w:firstLine="1134"/>
        <w:jc w:val="both"/>
      </w:pPr>
      <w:r>
        <w:t>Parceria com a Assessoria Internacional na elaboração e execução de audiências, eventos e seminários internacionais.</w:t>
      </w:r>
    </w:p>
    <w:p w:rsidR="003E6588" w:rsidRDefault="003E6588">
      <w:pPr>
        <w:ind w:firstLine="1134"/>
        <w:jc w:val="both"/>
      </w:pPr>
    </w:p>
    <w:p w:rsidR="003E6588" w:rsidRDefault="003E6588">
      <w:pPr>
        <w:ind w:firstLine="1134"/>
        <w:jc w:val="both"/>
      </w:pPr>
      <w:r>
        <w:t xml:space="preserve">Interface com o Governo de </w:t>
      </w:r>
      <w:r>
        <w:rPr>
          <w:i/>
        </w:rPr>
        <w:t>Toyama</w:t>
      </w:r>
      <w:r>
        <w:t xml:space="preserve"> e o Governo Metropolitano de Tóquio</w:t>
      </w:r>
      <w:r w:rsidR="003B411C">
        <w:t>,</w:t>
      </w:r>
      <w:r>
        <w:t xml:space="preserve"> para seleção e envio de bolsistas.</w:t>
      </w:r>
    </w:p>
    <w:p w:rsidR="003E6588" w:rsidRDefault="003E6588">
      <w:pPr>
        <w:ind w:firstLine="1134"/>
        <w:jc w:val="both"/>
      </w:pPr>
    </w:p>
    <w:p w:rsidR="003E6588" w:rsidRDefault="003E6588">
      <w:pPr>
        <w:ind w:firstLine="1134"/>
        <w:jc w:val="both"/>
      </w:pPr>
      <w:r>
        <w:t>Interface com o Conselho de Honrarias e Mérito</w:t>
      </w:r>
      <w:r w:rsidR="003B411C">
        <w:t>,</w:t>
      </w:r>
      <w:r>
        <w:t xml:space="preserve"> para concessão de Condecorações.</w:t>
      </w:r>
    </w:p>
    <w:p w:rsidR="003E6588" w:rsidRDefault="003E6588">
      <w:pPr>
        <w:autoSpaceDE w:val="0"/>
        <w:autoSpaceDN w:val="0"/>
        <w:adjustRightInd w:val="0"/>
        <w:jc w:val="both"/>
      </w:pPr>
    </w:p>
    <w:p w:rsidR="003E6588" w:rsidRDefault="003E6588">
      <w:pPr>
        <w:tabs>
          <w:tab w:val="left" w:pos="1440"/>
        </w:tabs>
        <w:ind w:firstLine="1134"/>
        <w:jc w:val="both"/>
      </w:pPr>
      <w:r>
        <w:rPr>
          <w:b/>
          <w:bCs/>
          <w:color w:val="000000"/>
        </w:rPr>
        <w:t xml:space="preserve">Conselho Estadual de Honrarias e Mérito - </w:t>
      </w:r>
      <w:r>
        <w:t>O Conselho Estadual de Honrarias e Mérito deu continuidade à dinâmica pré-estabelecida e implantada no decorrer dos anos anteriores, procurando abranger todos os segmentos representativos da comunidade paulista e nacional; sociedades privadas, organizações militares, políticas, legislativo, judiciário e executivo de diferentes naturezas.</w:t>
      </w:r>
    </w:p>
    <w:p w:rsidR="003E6588" w:rsidRDefault="003E6588">
      <w:pPr>
        <w:ind w:firstLine="1134"/>
        <w:jc w:val="both"/>
      </w:pPr>
    </w:p>
    <w:p w:rsidR="003E6588" w:rsidRDefault="003E6588" w:rsidP="003B411C">
      <w:pPr>
        <w:ind w:firstLine="1134"/>
        <w:jc w:val="both"/>
      </w:pPr>
      <w:r>
        <w:rPr>
          <w:b/>
        </w:rPr>
        <w:t>Atividades Principais -</w:t>
      </w:r>
      <w:r>
        <w:t xml:space="preserve"> Registro sistemático dos diplomas das condecorações fornecidas pelo Estado e suas instituições, em conformidade com o estipulado pelos respectivos decretos de instituição</w:t>
      </w:r>
      <w:r w:rsidR="003B411C">
        <w:t>.</w:t>
      </w:r>
      <w:r>
        <w:t xml:space="preserve"> Apoio às unidades estaduais e privadas na orientação para criação de condecorações, com atendimento individualizado</w:t>
      </w:r>
      <w:r w:rsidR="003B411C">
        <w:t>.</w:t>
      </w:r>
      <w:r>
        <w:t xml:space="preserve"> Análise das solicitações e encaminhamento para oficialização (reconhecimento) de condecorações de instituições particulares</w:t>
      </w:r>
      <w:r w:rsidR="003B411C">
        <w:t>.</w:t>
      </w:r>
      <w:r>
        <w:t xml:space="preserve"> Em alguns casos de solicitação mais específica do setor privado e ou oficial, foi elaborado o projeto heráldico e medalhístico da condecoração</w:t>
      </w:r>
      <w:r w:rsidR="003B411C">
        <w:t>.</w:t>
      </w:r>
      <w:r>
        <w:t xml:space="preserve"> Aceleração de processos</w:t>
      </w:r>
      <w:r w:rsidR="003B411C">
        <w:t>.</w:t>
      </w:r>
      <w:r>
        <w:t xml:space="preserve"> Presença nas cerimônias do Governo.</w:t>
      </w:r>
    </w:p>
    <w:p w:rsidR="003E6588" w:rsidRDefault="003E6588">
      <w:pPr>
        <w:autoSpaceDE w:val="0"/>
        <w:autoSpaceDN w:val="0"/>
        <w:adjustRightInd w:val="0"/>
        <w:jc w:val="both"/>
        <w:rPr>
          <w:b/>
          <w:bCs/>
          <w:color w:val="000000"/>
        </w:rPr>
      </w:pPr>
    </w:p>
    <w:p w:rsidR="00D5505F" w:rsidRDefault="00D5505F">
      <w:pPr>
        <w:autoSpaceDE w:val="0"/>
        <w:autoSpaceDN w:val="0"/>
        <w:adjustRightInd w:val="0"/>
        <w:jc w:val="both"/>
        <w:rPr>
          <w:b/>
          <w:bCs/>
          <w:color w:val="000000"/>
        </w:rPr>
      </w:pPr>
    </w:p>
    <w:p w:rsidR="003E6588" w:rsidRDefault="003E6588" w:rsidP="003B411C">
      <w:pPr>
        <w:ind w:left="170" w:firstLine="964"/>
        <w:jc w:val="both"/>
        <w:rPr>
          <w:b/>
          <w:color w:val="000000"/>
        </w:rPr>
      </w:pPr>
      <w:r>
        <w:rPr>
          <w:b/>
          <w:color w:val="000000"/>
        </w:rPr>
        <w:lastRenderedPageBreak/>
        <w:t>Assessoria Especial para Assuntos Internacionais</w:t>
      </w:r>
    </w:p>
    <w:p w:rsidR="003E6588" w:rsidRDefault="003E6588">
      <w:pPr>
        <w:ind w:left="170" w:firstLine="1134"/>
        <w:jc w:val="both"/>
        <w:rPr>
          <w:b/>
          <w:color w:val="000000"/>
        </w:rPr>
      </w:pPr>
    </w:p>
    <w:p w:rsidR="003E6588" w:rsidRDefault="003E6588" w:rsidP="003B411C">
      <w:pPr>
        <w:ind w:left="170" w:firstLine="964"/>
        <w:jc w:val="both"/>
        <w:rPr>
          <w:lang w:val="pt-PT"/>
        </w:rPr>
      </w:pPr>
      <w:r>
        <w:rPr>
          <w:b/>
          <w:bCs/>
          <w:lang w:val="pt-PT"/>
        </w:rPr>
        <w:t xml:space="preserve">Protocolo - </w:t>
      </w:r>
      <w:r>
        <w:rPr>
          <w:bCs/>
          <w:lang w:val="pt-PT"/>
        </w:rPr>
        <w:t>Foram organizadas</w:t>
      </w:r>
      <w:r>
        <w:rPr>
          <w:b/>
          <w:bCs/>
          <w:lang w:val="pt-PT"/>
        </w:rPr>
        <w:t xml:space="preserve"> </w:t>
      </w:r>
      <w:r>
        <w:rPr>
          <w:lang w:val="pt-PT"/>
        </w:rPr>
        <w:t>11 audiências do Governador com autoridades internacionais (incluindo 1 Chefe de Estado e de Governo e 1 representante da Monarquia) e 123 reuniões com Secretários estaduais e com Assessor Especial para Assuntos Internacionais.</w:t>
      </w:r>
    </w:p>
    <w:p w:rsidR="003E6588" w:rsidRDefault="003E6588">
      <w:pPr>
        <w:ind w:left="170" w:firstLine="1134"/>
        <w:jc w:val="both"/>
        <w:rPr>
          <w:lang w:val="pt-PT"/>
        </w:rPr>
      </w:pPr>
    </w:p>
    <w:p w:rsidR="003E6588" w:rsidRDefault="003E6588" w:rsidP="003B411C">
      <w:pPr>
        <w:ind w:left="170" w:firstLine="964"/>
        <w:jc w:val="both"/>
        <w:rPr>
          <w:lang w:val="pt-PT"/>
        </w:rPr>
      </w:pPr>
      <w:r>
        <w:rPr>
          <w:lang w:val="pt-PT"/>
        </w:rPr>
        <w:t>A unidade esteve envolvida na preparação de 23 viagens ao exterior, realizadas pelo Governador ou por Secretários estaduais.</w:t>
      </w:r>
    </w:p>
    <w:p w:rsidR="003E6588" w:rsidRDefault="003E6588">
      <w:pPr>
        <w:ind w:left="170" w:firstLine="1134"/>
        <w:jc w:val="both"/>
        <w:rPr>
          <w:lang w:val="pt-PT"/>
        </w:rPr>
      </w:pPr>
    </w:p>
    <w:p w:rsidR="003E6588" w:rsidRDefault="003E6588" w:rsidP="003B411C">
      <w:pPr>
        <w:ind w:left="170" w:firstLine="964"/>
        <w:jc w:val="both"/>
      </w:pPr>
      <w:r>
        <w:rPr>
          <w:b/>
          <w:bCs/>
          <w:lang w:val="pt-PT"/>
        </w:rPr>
        <w:t xml:space="preserve">Eventos - </w:t>
      </w:r>
      <w:r>
        <w:rPr>
          <w:lang w:val="pt-PT"/>
        </w:rPr>
        <w:t xml:space="preserve">Organizou 38 eventos internacionais, onde se incluem seminários internacionais, cúpulas políticas, </w:t>
      </w:r>
      <w:r>
        <w:rPr>
          <w:i/>
          <w:lang w:val="pt-PT"/>
        </w:rPr>
        <w:t>workshops</w:t>
      </w:r>
      <w:r>
        <w:rPr>
          <w:lang w:val="pt-PT"/>
        </w:rPr>
        <w:t xml:space="preserve"> e conferências.</w:t>
      </w:r>
    </w:p>
    <w:p w:rsidR="003B411C" w:rsidRDefault="003B411C">
      <w:pPr>
        <w:autoSpaceDE w:val="0"/>
        <w:autoSpaceDN w:val="0"/>
        <w:adjustRightInd w:val="0"/>
        <w:ind w:firstLine="1276"/>
        <w:jc w:val="both"/>
        <w:rPr>
          <w:b/>
          <w:bCs/>
          <w:lang w:val="pt-PT"/>
        </w:rPr>
      </w:pPr>
    </w:p>
    <w:p w:rsidR="003E6588" w:rsidRDefault="003E6588" w:rsidP="003B411C">
      <w:pPr>
        <w:autoSpaceDE w:val="0"/>
        <w:autoSpaceDN w:val="0"/>
        <w:adjustRightInd w:val="0"/>
        <w:ind w:firstLine="1134"/>
        <w:jc w:val="both"/>
      </w:pPr>
      <w:r>
        <w:rPr>
          <w:b/>
          <w:bCs/>
          <w:lang w:val="pt-PT"/>
        </w:rPr>
        <w:t xml:space="preserve">Cooperação Técnica - </w:t>
      </w:r>
      <w:r>
        <w:t xml:space="preserve">Foram firmados 20 acordos internacionais e estão em negociação novos programas de cooperação técnica com diversos países nas áreas de educação, desenvolvimento social, pesquisa, infraestrutura, entre outros temas. </w:t>
      </w:r>
      <w:r w:rsidRPr="003B411C">
        <w:t>Ao longo de quatro anos, o</w:t>
      </w:r>
      <w:r>
        <w:t xml:space="preserve"> Governo firmou 234 acordos internacionais e negociou e adotou dezenas de ações, projetos e programas de cooperação com parceiros no exterior, com o objetivo de promover o Estado no cenário mundial, fomentar o desenvolvimento econômico e sustentável de São Paulo e compartilhar as melhores práticas e soluções.</w:t>
      </w:r>
    </w:p>
    <w:p w:rsidR="003E6588" w:rsidRDefault="003E6588">
      <w:pPr>
        <w:autoSpaceDE w:val="0"/>
        <w:autoSpaceDN w:val="0"/>
        <w:adjustRightInd w:val="0"/>
        <w:ind w:firstLine="1276"/>
        <w:jc w:val="both"/>
      </w:pPr>
    </w:p>
    <w:p w:rsidR="003E6588" w:rsidRDefault="003E6588" w:rsidP="003B411C">
      <w:pPr>
        <w:autoSpaceDE w:val="0"/>
        <w:autoSpaceDN w:val="0"/>
        <w:adjustRightInd w:val="0"/>
        <w:ind w:firstLine="1134"/>
        <w:jc w:val="both"/>
        <w:rPr>
          <w:color w:val="000000"/>
        </w:rPr>
      </w:pPr>
      <w:r>
        <w:rPr>
          <w:b/>
          <w:color w:val="000000"/>
        </w:rPr>
        <w:t xml:space="preserve">Comunicação - </w:t>
      </w:r>
      <w:r>
        <w:rPr>
          <w:color w:val="000000"/>
        </w:rPr>
        <w:t xml:space="preserve">O </w:t>
      </w:r>
      <w:r>
        <w:rPr>
          <w:i/>
          <w:color w:val="000000"/>
        </w:rPr>
        <w:t xml:space="preserve">site </w:t>
      </w:r>
      <w:r>
        <w:rPr>
          <w:color w:val="000000"/>
        </w:rPr>
        <w:t>internacional (</w:t>
      </w:r>
      <w:r>
        <w:rPr>
          <w:color w:val="0000FF"/>
        </w:rPr>
        <w:t>www.saopauloglobal.sp.gov.br</w:t>
      </w:r>
      <w:r>
        <w:rPr>
          <w:color w:val="000000"/>
        </w:rPr>
        <w:t xml:space="preserve">) alcançou 44.847 visitantes únicos e o </w:t>
      </w:r>
      <w:r>
        <w:rPr>
          <w:i/>
          <w:color w:val="000000"/>
        </w:rPr>
        <w:t>Twitter</w:t>
      </w:r>
      <w:r>
        <w:rPr>
          <w:color w:val="000000"/>
        </w:rPr>
        <w:t xml:space="preserve"> da Assessoria Internacional atingiu 2.203 seguidores e 1.975 postagens. Foram divulgados 107 </w:t>
      </w:r>
      <w:r>
        <w:rPr>
          <w:i/>
          <w:color w:val="000000"/>
        </w:rPr>
        <w:t>releases</w:t>
      </w:r>
      <w:r>
        <w:rPr>
          <w:color w:val="000000"/>
        </w:rPr>
        <w:t xml:space="preserve"> para a mídia internacional, produzidas 10 </w:t>
      </w:r>
      <w:r>
        <w:rPr>
          <w:i/>
          <w:color w:val="000000"/>
        </w:rPr>
        <w:t xml:space="preserve">newsletters </w:t>
      </w:r>
      <w:r>
        <w:rPr>
          <w:color w:val="000000"/>
        </w:rPr>
        <w:t xml:space="preserve">e criados dois novos </w:t>
      </w:r>
      <w:r>
        <w:rPr>
          <w:i/>
          <w:color w:val="000000"/>
        </w:rPr>
        <w:t>folders</w:t>
      </w:r>
      <w:r>
        <w:rPr>
          <w:color w:val="000000"/>
        </w:rPr>
        <w:t xml:space="preserve">: "Modelo de São Paulo em Integração" e "SP Prevcom - </w:t>
      </w:r>
      <w:r>
        <w:rPr>
          <w:i/>
          <w:color w:val="000000"/>
        </w:rPr>
        <w:t>What's Your Life Project</w:t>
      </w:r>
      <w:r>
        <w:rPr>
          <w:color w:val="000000"/>
        </w:rPr>
        <w:t xml:space="preserve">?". Foram produzidos 47 </w:t>
      </w:r>
      <w:r>
        <w:rPr>
          <w:i/>
          <w:color w:val="000000"/>
        </w:rPr>
        <w:t>clippings</w:t>
      </w:r>
      <w:r>
        <w:rPr>
          <w:color w:val="000000"/>
        </w:rPr>
        <w:t xml:space="preserve">, onde São Paulo apareceu de forma positiva em 111 notícias no exterior. </w:t>
      </w:r>
      <w:r w:rsidR="003B411C">
        <w:rPr>
          <w:color w:val="000000"/>
        </w:rPr>
        <w:t xml:space="preserve">Foi </w:t>
      </w:r>
      <w:r>
        <w:rPr>
          <w:color w:val="000000"/>
        </w:rPr>
        <w:t xml:space="preserve">elaborado documento "Estado de São Paulo: </w:t>
      </w:r>
      <w:r>
        <w:rPr>
          <w:i/>
          <w:color w:val="000000"/>
        </w:rPr>
        <w:t>player global</w:t>
      </w:r>
      <w:r>
        <w:rPr>
          <w:color w:val="000000"/>
        </w:rPr>
        <w:t xml:space="preserve"> - Portfólio de Ações 2011-2014", com a compilação das atividades internacionais do Governo paulista, disponível em ambiente </w:t>
      </w:r>
      <w:r>
        <w:rPr>
          <w:i/>
          <w:color w:val="000000"/>
        </w:rPr>
        <w:t>web</w:t>
      </w:r>
      <w:r>
        <w:rPr>
          <w:color w:val="000000"/>
        </w:rPr>
        <w:t xml:space="preserve"> nas versões português e inglês. Foram organizadas três </w:t>
      </w:r>
      <w:r>
        <w:rPr>
          <w:i/>
          <w:iCs/>
          <w:color w:val="000000"/>
        </w:rPr>
        <w:t xml:space="preserve">press trips </w:t>
      </w:r>
      <w:r>
        <w:rPr>
          <w:color w:val="000000"/>
        </w:rPr>
        <w:t>com os correspondentes estrangeiros em São Paulo</w:t>
      </w:r>
      <w:r w:rsidR="003B411C">
        <w:rPr>
          <w:color w:val="000000"/>
        </w:rPr>
        <w:t>,</w:t>
      </w:r>
      <w:r>
        <w:rPr>
          <w:color w:val="000000"/>
        </w:rPr>
        <w:t xml:space="preserve"> para conhecer o Programa de Recuperação Socioambiental da Serra do Mar, em Cubatão, o quilombo Mandira, no Vale do Ribeira, e a Vila de Paranapiacaba, em Santo André, acessada por trem turístico da CPTM. Em atendimento à meta do Governo de São Paulo em modernizar a comunicação e serviços </w:t>
      </w:r>
      <w:r w:rsidR="003B411C">
        <w:rPr>
          <w:color w:val="000000"/>
        </w:rPr>
        <w:t xml:space="preserve">por meio </w:t>
      </w:r>
      <w:r>
        <w:rPr>
          <w:color w:val="000000"/>
        </w:rPr>
        <w:t xml:space="preserve">de aplicativos, a Assessoria está na fase final da criação e implementação do </w:t>
      </w:r>
      <w:r>
        <w:rPr>
          <w:i/>
          <w:color w:val="000000"/>
        </w:rPr>
        <w:t>app</w:t>
      </w:r>
      <w:r>
        <w:rPr>
          <w:color w:val="000000"/>
        </w:rPr>
        <w:t xml:space="preserve"> </w:t>
      </w:r>
      <w:r>
        <w:rPr>
          <w:i/>
          <w:color w:val="000000"/>
        </w:rPr>
        <w:t>SPGlobal,</w:t>
      </w:r>
      <w:r>
        <w:rPr>
          <w:color w:val="000000"/>
        </w:rPr>
        <w:t xml:space="preserve"> onde a população brasileira e estrangeira poderá localizar todos os órgãos do Governo do Estado em mapas virtuais, acessar todas as notícias sobre as relações internacionais de São Paulo, localizar consulados</w:t>
      </w:r>
      <w:r w:rsidR="003B411C">
        <w:rPr>
          <w:color w:val="000000"/>
        </w:rPr>
        <w:t xml:space="preserve"> e</w:t>
      </w:r>
      <w:r>
        <w:rPr>
          <w:color w:val="000000"/>
        </w:rPr>
        <w:t xml:space="preserve"> acessar as publicações produzidas pelas Assessorias.</w:t>
      </w:r>
    </w:p>
    <w:p w:rsidR="003E6588" w:rsidRDefault="003E6588">
      <w:pPr>
        <w:ind w:firstLine="1276"/>
        <w:jc w:val="both"/>
        <w:rPr>
          <w:rFonts w:eastAsia="Arial Unicode MS"/>
          <w:b/>
          <w:bCs/>
        </w:rPr>
      </w:pPr>
    </w:p>
    <w:p w:rsidR="003E6588" w:rsidRDefault="003E6588">
      <w:pPr>
        <w:autoSpaceDE w:val="0"/>
        <w:autoSpaceDN w:val="0"/>
        <w:adjustRightInd w:val="0"/>
        <w:ind w:firstLine="1134"/>
        <w:jc w:val="both"/>
        <w:rPr>
          <w:color w:val="000000"/>
        </w:rPr>
      </w:pPr>
      <w:r>
        <w:rPr>
          <w:b/>
        </w:rPr>
        <w:t xml:space="preserve">Chefia de Gabinete - </w:t>
      </w:r>
      <w:r>
        <w:rPr>
          <w:color w:val="000000"/>
        </w:rPr>
        <w:t>Além das atividades de caráter administrativo e de natureza burocrática, nas áreas técnico-administrativas (Recursos Humanos, Infraestrutura, Administração, Transportes Internos, Comunicações Administrativas, biblioteca e documentação) destacamos:</w:t>
      </w:r>
    </w:p>
    <w:p w:rsidR="003E6588" w:rsidRDefault="003E6588">
      <w:pPr>
        <w:ind w:firstLine="1276"/>
        <w:jc w:val="both"/>
        <w:rPr>
          <w:rFonts w:eastAsia="Arial Unicode MS"/>
          <w:b/>
          <w:bCs/>
        </w:rPr>
      </w:pPr>
    </w:p>
    <w:p w:rsidR="003E6588" w:rsidRDefault="003E6588">
      <w:pPr>
        <w:ind w:firstLine="1276"/>
        <w:jc w:val="both"/>
        <w:rPr>
          <w:rFonts w:eastAsia="Calibri"/>
          <w:lang w:eastAsia="en-US"/>
        </w:rPr>
      </w:pPr>
      <w:r>
        <w:rPr>
          <w:b/>
          <w:color w:val="000000"/>
        </w:rPr>
        <w:t xml:space="preserve">Curadoria do Acervo Artístico-Cultural dos Palácios do Governo - </w:t>
      </w:r>
      <w:r>
        <w:rPr>
          <w:rFonts w:eastAsia="Calibri"/>
          <w:lang w:eastAsia="en-US"/>
        </w:rPr>
        <w:t xml:space="preserve">Para cumprir a missão de preservar e difundir o patrimônio público, têm sido realizadas diversas ações com o objetivo de institucionalizar o acervo e reforçar as funções sócio-educativa e museológica dos palácios, por </w:t>
      </w:r>
      <w:r>
        <w:rPr>
          <w:rFonts w:eastAsia="Calibri"/>
          <w:lang w:eastAsia="en-US"/>
        </w:rPr>
        <w:lastRenderedPageBreak/>
        <w:t>meio de inventário, pesquisa, catalogação, conservação preventiva, restauração e difusão de suas 3.500 obras de arte.</w:t>
      </w:r>
    </w:p>
    <w:p w:rsidR="003E6588" w:rsidRDefault="003E6588">
      <w:pPr>
        <w:ind w:firstLine="1276"/>
        <w:jc w:val="both"/>
        <w:rPr>
          <w:rFonts w:eastAsia="Calibri"/>
          <w:lang w:eastAsia="en-US"/>
        </w:rPr>
      </w:pPr>
    </w:p>
    <w:p w:rsidR="003E6588" w:rsidRDefault="003E6588">
      <w:pPr>
        <w:ind w:firstLine="1276"/>
        <w:jc w:val="both"/>
        <w:rPr>
          <w:rFonts w:eastAsia="Calibri"/>
          <w:lang w:eastAsia="en-US"/>
        </w:rPr>
      </w:pPr>
      <w:r>
        <w:rPr>
          <w:rFonts w:eastAsia="Calibri"/>
          <w:lang w:eastAsia="en-US"/>
        </w:rPr>
        <w:t>O órgão possui as atribuições de catalogar e difundir as obras de arte sob a guarda da Administração Direta e Indireta do Poder Executivo do Estado, ou seja, o acervo abrigado nas unidades das Secretarias, Fundações e Autarquias, exceto universidades e museus, segundo o Decreto nº 54.876/2009, alterado pelo Decreto nº 58.007/2012, que institui o Programa “Patrimônio em Rede”. Pautado na gestão em rede e na articulação entre os órgãos envolvidos, o programa conta com a participação de funcionários públicos no inventário do patrimônio artístico-cultural, que recebem treinamento em oficinas de capacitação e visitas técnicas.</w:t>
      </w:r>
    </w:p>
    <w:p w:rsidR="00CE22BC" w:rsidRDefault="00CE22BC">
      <w:pPr>
        <w:ind w:firstLine="1276"/>
        <w:jc w:val="both"/>
        <w:rPr>
          <w:rFonts w:eastAsia="Calibri"/>
          <w:lang w:eastAsia="en-US"/>
        </w:rPr>
      </w:pPr>
    </w:p>
    <w:p w:rsidR="003E6588" w:rsidRDefault="003E6588">
      <w:pPr>
        <w:ind w:firstLine="1276"/>
        <w:jc w:val="both"/>
        <w:rPr>
          <w:rFonts w:eastAsia="Calibri"/>
          <w:lang w:eastAsia="en-US"/>
        </w:rPr>
      </w:pPr>
      <w:r>
        <w:rPr>
          <w:rFonts w:eastAsia="Calibri"/>
          <w:lang w:eastAsia="en-US"/>
        </w:rPr>
        <w:t>Tem, a Curadoria do Acervo Artístico-Cultural dos Palácios duas principais funções: a gestão em rede das coleções de arte dos Palácios do Governo e a coordenação de inventário, catalogação e difusão do acervo de arte das unidades do Poder Executivo do Estado, este último no âmbito do Programa Patrimônio em Rede.</w:t>
      </w:r>
    </w:p>
    <w:p w:rsidR="003E6588" w:rsidRDefault="003E6588">
      <w:pPr>
        <w:ind w:firstLine="1276"/>
        <w:jc w:val="both"/>
        <w:rPr>
          <w:rFonts w:eastAsia="Calibri"/>
          <w:lang w:eastAsia="en-US"/>
        </w:rPr>
      </w:pPr>
    </w:p>
    <w:p w:rsidR="003E6588" w:rsidRDefault="003E6588">
      <w:pPr>
        <w:shd w:val="clear" w:color="auto" w:fill="FFFFFF"/>
        <w:ind w:firstLine="1276"/>
        <w:jc w:val="both"/>
        <w:rPr>
          <w:rFonts w:eastAsia="Calibri"/>
          <w:b/>
          <w:lang w:eastAsia="en-US"/>
        </w:rPr>
      </w:pPr>
      <w:r>
        <w:rPr>
          <w:rFonts w:eastAsia="Calibri"/>
          <w:b/>
          <w:lang w:eastAsia="en-US"/>
        </w:rPr>
        <w:t>Exposições</w:t>
      </w:r>
    </w:p>
    <w:p w:rsidR="003E6588" w:rsidRDefault="003E6588">
      <w:pPr>
        <w:shd w:val="clear" w:color="auto" w:fill="FFFFFF"/>
        <w:ind w:firstLine="1276"/>
        <w:jc w:val="both"/>
        <w:rPr>
          <w:rFonts w:eastAsia="Calibri"/>
          <w:b/>
          <w:lang w:eastAsia="en-US"/>
        </w:rPr>
      </w:pPr>
    </w:p>
    <w:p w:rsidR="003E6588" w:rsidRDefault="003E6588">
      <w:pPr>
        <w:ind w:firstLine="1276"/>
        <w:jc w:val="both"/>
        <w:rPr>
          <w:rFonts w:eastAsia="Calibri"/>
          <w:lang w:eastAsia="en-US"/>
        </w:rPr>
      </w:pPr>
      <w:r>
        <w:rPr>
          <w:rFonts w:eastAsia="Calibri"/>
          <w:b/>
          <w:lang w:eastAsia="en-US"/>
        </w:rPr>
        <w:t>Palácio dos Bandeirantes - “</w:t>
      </w:r>
      <w:r>
        <w:rPr>
          <w:rFonts w:eastAsia="Calibri"/>
          <w:lang w:eastAsia="en-US"/>
        </w:rPr>
        <w:t>Palácios do Governo do Estado de S</w:t>
      </w:r>
      <w:r w:rsidR="0036763F">
        <w:rPr>
          <w:rFonts w:eastAsia="Calibri"/>
          <w:lang w:eastAsia="en-US"/>
        </w:rPr>
        <w:t>ão Paulo: lugares com história”</w:t>
      </w:r>
      <w:r>
        <w:rPr>
          <w:rFonts w:eastAsia="Calibri"/>
          <w:lang w:eastAsia="en-US"/>
        </w:rPr>
        <w:t>; “4ª Exposição Anual de Presépios”</w:t>
      </w:r>
      <w:r>
        <w:rPr>
          <w:rFonts w:eastAsia="Calibri"/>
          <w:i/>
          <w:lang w:eastAsia="en-US"/>
        </w:rPr>
        <w:t xml:space="preserve"> </w:t>
      </w:r>
      <w:r w:rsidR="0036763F">
        <w:rPr>
          <w:rFonts w:eastAsia="Calibri"/>
          <w:lang w:eastAsia="en-US"/>
        </w:rPr>
        <w:t>(título provisório).</w:t>
      </w:r>
    </w:p>
    <w:p w:rsidR="003E6588" w:rsidRDefault="003E6588">
      <w:pPr>
        <w:ind w:firstLine="1276"/>
        <w:jc w:val="both"/>
        <w:rPr>
          <w:rFonts w:eastAsia="Calibri"/>
          <w:lang w:eastAsia="en-US"/>
        </w:rPr>
      </w:pPr>
    </w:p>
    <w:p w:rsidR="003E6588" w:rsidRDefault="003E6588">
      <w:pPr>
        <w:ind w:firstLine="1276"/>
        <w:jc w:val="both"/>
        <w:rPr>
          <w:rFonts w:eastAsia="Calibri"/>
          <w:lang w:eastAsia="en-US"/>
        </w:rPr>
      </w:pPr>
      <w:r>
        <w:rPr>
          <w:rFonts w:eastAsia="Calibri"/>
          <w:b/>
          <w:lang w:eastAsia="en-US"/>
        </w:rPr>
        <w:t>Palácio Boa Vista - “</w:t>
      </w:r>
      <w:r>
        <w:rPr>
          <w:rFonts w:eastAsia="Calibri"/>
          <w:lang w:eastAsia="en-US"/>
        </w:rPr>
        <w:t>Um Palácio, Muitas Histórias”.</w:t>
      </w:r>
    </w:p>
    <w:p w:rsidR="003E6588" w:rsidRDefault="003E6588">
      <w:pPr>
        <w:ind w:firstLine="1276"/>
        <w:jc w:val="both"/>
        <w:rPr>
          <w:rFonts w:eastAsia="Calibri"/>
          <w:lang w:eastAsia="en-US"/>
        </w:rPr>
      </w:pPr>
    </w:p>
    <w:p w:rsidR="003E6588" w:rsidRDefault="003E6588">
      <w:pPr>
        <w:ind w:firstLine="1276"/>
        <w:jc w:val="both"/>
        <w:rPr>
          <w:rFonts w:eastAsia="Calibri"/>
          <w:lang w:eastAsia="en-US"/>
        </w:rPr>
      </w:pPr>
      <w:r>
        <w:rPr>
          <w:rFonts w:eastAsia="Calibri"/>
          <w:b/>
          <w:lang w:eastAsia="en-US"/>
        </w:rPr>
        <w:t xml:space="preserve">Número de Visitantes - </w:t>
      </w:r>
      <w:r>
        <w:rPr>
          <w:rFonts w:eastAsia="Calibri"/>
          <w:lang w:eastAsia="en-US"/>
        </w:rPr>
        <w:t>Palácio dos Bandeirantes - 7.003. Palácio Boa Vista - 76.184. Totalizando 83.187 visitantes.</w:t>
      </w:r>
    </w:p>
    <w:p w:rsidR="0036763F" w:rsidRDefault="0036763F">
      <w:pPr>
        <w:shd w:val="clear" w:color="auto" w:fill="FFFFFF"/>
        <w:ind w:firstLine="1276"/>
        <w:jc w:val="both"/>
        <w:rPr>
          <w:rFonts w:eastAsia="Calibri"/>
          <w:b/>
          <w:lang w:eastAsia="en-US"/>
        </w:rPr>
      </w:pPr>
    </w:p>
    <w:p w:rsidR="003E6588" w:rsidRDefault="003E6588">
      <w:pPr>
        <w:shd w:val="clear" w:color="auto" w:fill="FFFFFF"/>
        <w:ind w:firstLine="1276"/>
        <w:jc w:val="both"/>
        <w:rPr>
          <w:rFonts w:eastAsia="Calibri"/>
          <w:b/>
          <w:lang w:eastAsia="en-US"/>
        </w:rPr>
      </w:pPr>
      <w:r>
        <w:rPr>
          <w:rFonts w:eastAsia="Calibri"/>
          <w:b/>
          <w:lang w:eastAsia="en-US"/>
        </w:rPr>
        <w:t>Ações Paralelas às Exposições</w:t>
      </w:r>
    </w:p>
    <w:p w:rsidR="003E6588" w:rsidRDefault="003E6588">
      <w:pPr>
        <w:ind w:firstLine="1276"/>
        <w:jc w:val="both"/>
        <w:rPr>
          <w:rFonts w:eastAsia="Calibri"/>
          <w:b/>
          <w:lang w:eastAsia="en-US"/>
        </w:rPr>
      </w:pPr>
    </w:p>
    <w:p w:rsidR="003E6588" w:rsidRDefault="003E6588">
      <w:pPr>
        <w:ind w:firstLine="1276"/>
        <w:jc w:val="both"/>
        <w:rPr>
          <w:rFonts w:eastAsia="Calibri"/>
          <w:lang w:eastAsia="en-US"/>
        </w:rPr>
      </w:pPr>
      <w:r>
        <w:rPr>
          <w:rFonts w:eastAsia="Calibri"/>
          <w:b/>
          <w:lang w:eastAsia="en-US"/>
        </w:rPr>
        <w:t>Encontro Brasileiro de Palácios, Museus-Casas e Casas Históricas -</w:t>
      </w:r>
      <w:r>
        <w:rPr>
          <w:rFonts w:eastAsia="Calibri"/>
          <w:lang w:eastAsia="en-US"/>
        </w:rPr>
        <w:t xml:space="preserve"> “Coleções e Personagens: por que preservar?”, “VIII Encontro Brasileiro de Palácios, Museus-Casas e Casas Históricas”. </w:t>
      </w:r>
      <w:r>
        <w:rPr>
          <w:rFonts w:eastAsia="Calibri"/>
        </w:rPr>
        <w:t xml:space="preserve">O programa contou com conferência de abertura sobre requalificação de casas históricas, painel sobre experiências de museus locais, mesas de discussão pautadas nos eixos de reflexão </w:t>
      </w:r>
      <w:r>
        <w:rPr>
          <w:rFonts w:eastAsia="Calibri"/>
          <w:iCs/>
        </w:rPr>
        <w:t>Proteger, Conservar, Interpretar e Conviver</w:t>
      </w:r>
      <w:r>
        <w:rPr>
          <w:rFonts w:eastAsia="Calibri"/>
          <w:i/>
          <w:iCs/>
        </w:rPr>
        <w:t xml:space="preserve">, </w:t>
      </w:r>
      <w:r>
        <w:rPr>
          <w:rFonts w:eastAsia="Calibri"/>
        </w:rPr>
        <w:t xml:space="preserve">além de visitas a museus na Capital e </w:t>
      </w:r>
      <w:r w:rsidR="00434C94">
        <w:rPr>
          <w:rFonts w:eastAsia="Calibri"/>
        </w:rPr>
        <w:t>Interior</w:t>
      </w:r>
      <w:r>
        <w:rPr>
          <w:rFonts w:eastAsia="Calibri"/>
        </w:rPr>
        <w:t xml:space="preserve">, em parceria com a Casa Guilherme de Almeida, o Museu Casa de Portinari, ambos da Secretaria da Cultura; com a Fundação Cultural Ema Gordon Klabin; e com a Fundação Maria Luisa e Oscar Americano. </w:t>
      </w:r>
      <w:r>
        <w:rPr>
          <w:rFonts w:eastAsia="Calibri"/>
          <w:lang w:eastAsia="en-US"/>
        </w:rPr>
        <w:t>Conjuntamente</w:t>
      </w:r>
      <w:r w:rsidR="00434C94">
        <w:rPr>
          <w:rFonts w:eastAsia="Calibri"/>
          <w:lang w:eastAsia="en-US"/>
        </w:rPr>
        <w:t>,</w:t>
      </w:r>
      <w:r>
        <w:rPr>
          <w:rFonts w:eastAsia="Calibri"/>
          <w:lang w:eastAsia="en-US"/>
        </w:rPr>
        <w:t xml:space="preserve"> foi realizado o “I Seminário de Preservação”, em parceria com a </w:t>
      </w:r>
      <w:r>
        <w:rPr>
          <w:rFonts w:eastAsia="Calibri"/>
          <w:shd w:val="clear" w:color="auto" w:fill="FFFFFF"/>
          <w:lang w:eastAsia="en-US"/>
        </w:rPr>
        <w:t>Fundação Prefeito Faria Lima - Centro de Estudos e Pesquisas de Administração Municipal - CEPAM.</w:t>
      </w:r>
    </w:p>
    <w:p w:rsidR="003E6588" w:rsidRDefault="003E6588">
      <w:pPr>
        <w:ind w:firstLine="1276"/>
        <w:jc w:val="both"/>
        <w:rPr>
          <w:rFonts w:eastAsia="Calibri"/>
          <w:b/>
          <w:lang w:eastAsia="en-US"/>
        </w:rPr>
      </w:pPr>
    </w:p>
    <w:p w:rsidR="003E6588" w:rsidRDefault="003E6588">
      <w:pPr>
        <w:ind w:firstLine="1276"/>
        <w:jc w:val="both"/>
        <w:rPr>
          <w:rFonts w:eastAsia="Calibri"/>
          <w:lang w:eastAsia="en-US"/>
        </w:rPr>
      </w:pPr>
      <w:r>
        <w:rPr>
          <w:rFonts w:eastAsia="Calibri"/>
          <w:b/>
          <w:lang w:eastAsia="en-US"/>
        </w:rPr>
        <w:t xml:space="preserve">Palácio dos Bandeirantes - </w:t>
      </w:r>
      <w:r w:rsidRPr="00BE4A3F">
        <w:rPr>
          <w:rFonts w:eastAsia="Calibri"/>
          <w:lang w:eastAsia="en-US"/>
        </w:rPr>
        <w:t>“V</w:t>
      </w:r>
      <w:r>
        <w:rPr>
          <w:rFonts w:eastAsia="Calibri"/>
          <w:lang w:eastAsia="en-US"/>
        </w:rPr>
        <w:t>isitas conectadas”, em conjunto com a Fundação Maria Luisa e Oscar Americano, no âmbito da 12ª Semana de Museus - “Coleções criam conexões”.</w:t>
      </w:r>
    </w:p>
    <w:p w:rsidR="003E6588" w:rsidRDefault="003E6588">
      <w:pPr>
        <w:ind w:firstLine="1276"/>
        <w:jc w:val="both"/>
        <w:rPr>
          <w:rFonts w:eastAsia="Calibri"/>
          <w:b/>
          <w:lang w:eastAsia="en-US"/>
        </w:rPr>
      </w:pPr>
    </w:p>
    <w:p w:rsidR="003E6588" w:rsidRDefault="003E6588" w:rsidP="00434C94">
      <w:pPr>
        <w:ind w:firstLine="1276"/>
        <w:jc w:val="both"/>
        <w:rPr>
          <w:rFonts w:eastAsia="Calibri"/>
          <w:lang w:eastAsia="en-US"/>
        </w:rPr>
      </w:pPr>
      <w:r>
        <w:rPr>
          <w:rFonts w:eastAsia="Calibri"/>
          <w:b/>
          <w:lang w:eastAsia="en-US"/>
        </w:rPr>
        <w:t>Palácio Boa Vista</w:t>
      </w:r>
      <w:r w:rsidR="00434C94">
        <w:rPr>
          <w:rFonts w:eastAsia="Calibri"/>
          <w:b/>
          <w:lang w:eastAsia="en-US"/>
        </w:rPr>
        <w:t xml:space="preserve"> - </w:t>
      </w:r>
      <w:r>
        <w:rPr>
          <w:rFonts w:eastAsia="Calibri"/>
          <w:lang w:eastAsia="en-US"/>
        </w:rPr>
        <w:t xml:space="preserve">Oficinas de técnicas artesanais de produção e preservação de mobiliário artístico, no âmbito das comemorações dos 50 anos </w:t>
      </w:r>
      <w:r w:rsidR="00434C94">
        <w:rPr>
          <w:rFonts w:eastAsia="Calibri"/>
          <w:lang w:eastAsia="en-US"/>
        </w:rPr>
        <w:t xml:space="preserve">do Palácio Boa Vista. </w:t>
      </w:r>
      <w:r>
        <w:rPr>
          <w:rFonts w:eastAsia="Calibri"/>
          <w:lang w:eastAsia="en-US"/>
        </w:rPr>
        <w:t xml:space="preserve">Marchetaria, sob a </w:t>
      </w:r>
      <w:r>
        <w:rPr>
          <w:rFonts w:eastAsia="Calibri"/>
          <w:lang w:eastAsia="en-US"/>
        </w:rPr>
        <w:lastRenderedPageBreak/>
        <w:t>orientação de Ari Fagundes Bressane Júnior.</w:t>
      </w:r>
      <w:r w:rsidR="00434C94">
        <w:rPr>
          <w:rFonts w:eastAsia="Calibri"/>
          <w:lang w:eastAsia="en-US"/>
        </w:rPr>
        <w:t xml:space="preserve"> </w:t>
      </w:r>
      <w:r>
        <w:rPr>
          <w:rFonts w:eastAsia="Calibri"/>
          <w:lang w:eastAsia="en-US"/>
        </w:rPr>
        <w:t>Douramento,</w:t>
      </w:r>
      <w:r>
        <w:rPr>
          <w:rFonts w:eastAsia="Calibri"/>
          <w:i/>
          <w:lang w:eastAsia="en-US"/>
        </w:rPr>
        <w:t xml:space="preserve"> </w:t>
      </w:r>
      <w:r>
        <w:rPr>
          <w:rFonts w:eastAsia="Calibri"/>
          <w:lang w:eastAsia="en-US"/>
        </w:rPr>
        <w:t>sob a orientação de Andréa Zabrieszach Santos e Gabriela De Laquila Quintale.</w:t>
      </w:r>
      <w:r w:rsidR="00434C94">
        <w:rPr>
          <w:rFonts w:eastAsia="Calibri"/>
          <w:lang w:eastAsia="en-US"/>
        </w:rPr>
        <w:t xml:space="preserve"> </w:t>
      </w:r>
      <w:r>
        <w:rPr>
          <w:rFonts w:eastAsia="Calibri"/>
          <w:lang w:eastAsia="en-US"/>
        </w:rPr>
        <w:t>Orientações ao restauro de mobiliário</w:t>
      </w:r>
      <w:r>
        <w:rPr>
          <w:rFonts w:eastAsia="Calibri"/>
          <w:i/>
          <w:lang w:eastAsia="en-US"/>
        </w:rPr>
        <w:t xml:space="preserve">, </w:t>
      </w:r>
      <w:r>
        <w:rPr>
          <w:rFonts w:eastAsia="Calibri"/>
          <w:lang w:eastAsia="en-US"/>
        </w:rPr>
        <w:t>sob a orientação de Ivo Salomão e Fernando José Pedrão.</w:t>
      </w:r>
      <w:r>
        <w:rPr>
          <w:rFonts w:eastAsia="Calibri"/>
          <w:i/>
          <w:lang w:eastAsia="en-US"/>
        </w:rPr>
        <w:t xml:space="preserve"> </w:t>
      </w:r>
      <w:r>
        <w:rPr>
          <w:rFonts w:eastAsia="Calibri"/>
          <w:lang w:eastAsia="en-US"/>
        </w:rPr>
        <w:t>Lavradura em couro</w:t>
      </w:r>
      <w:r>
        <w:rPr>
          <w:rFonts w:eastAsia="Calibri"/>
          <w:i/>
          <w:lang w:eastAsia="en-US"/>
        </w:rPr>
        <w:t xml:space="preserve">, </w:t>
      </w:r>
      <w:r>
        <w:rPr>
          <w:rFonts w:eastAsia="Calibri"/>
          <w:lang w:eastAsia="en-US"/>
        </w:rPr>
        <w:t>sob a orientação de José Batista Rodrigues Salomão e Ivo Rodrigues Salomão.</w:t>
      </w:r>
      <w:r>
        <w:rPr>
          <w:rFonts w:eastAsia="Calibri"/>
          <w:i/>
          <w:lang w:eastAsia="en-US"/>
        </w:rPr>
        <w:t xml:space="preserve"> </w:t>
      </w:r>
      <w:r>
        <w:rPr>
          <w:rFonts w:eastAsia="Calibri"/>
          <w:lang w:eastAsia="en-US"/>
        </w:rPr>
        <w:t>Trançado em palhinha</w:t>
      </w:r>
      <w:r>
        <w:rPr>
          <w:rFonts w:eastAsia="Calibri"/>
          <w:i/>
          <w:lang w:eastAsia="en-US"/>
        </w:rPr>
        <w:t xml:space="preserve">, </w:t>
      </w:r>
      <w:r>
        <w:rPr>
          <w:rFonts w:eastAsia="Calibri"/>
          <w:lang w:eastAsia="en-US"/>
        </w:rPr>
        <w:t>sob a orientação de Geise Caroline Camillo.</w:t>
      </w:r>
      <w:r>
        <w:rPr>
          <w:rFonts w:eastAsia="Calibri"/>
          <w:b/>
          <w:lang w:eastAsia="en-US"/>
        </w:rPr>
        <w:t xml:space="preserve"> </w:t>
      </w:r>
      <w:r>
        <w:rPr>
          <w:rFonts w:eastAsia="Calibri"/>
          <w:lang w:eastAsia="en-US"/>
        </w:rPr>
        <w:t>Arte na garagem - Oficinas de marchetaria para crianças, sob a orientação de Ari Fagundes Bressane Júnior.</w:t>
      </w:r>
      <w:r>
        <w:rPr>
          <w:rFonts w:eastAsia="Calibri"/>
          <w:i/>
          <w:lang w:eastAsia="en-US"/>
        </w:rPr>
        <w:t xml:space="preserve"> </w:t>
      </w:r>
      <w:r>
        <w:rPr>
          <w:rFonts w:eastAsia="Calibri"/>
          <w:lang w:eastAsia="en-US"/>
        </w:rPr>
        <w:t>Oficinas de pintura em prato de cerâmica, sob a orientação de Sybil Souza Pinto.- Oficina de xilogravura, no âmbito da 12ª Semana de Museus - “Coleções criam conexões”, sob a orientação de Antônio Fernando Costella.</w:t>
      </w:r>
      <w:r w:rsidR="00434C94">
        <w:rPr>
          <w:rFonts w:eastAsia="Calibri"/>
          <w:lang w:eastAsia="en-US"/>
        </w:rPr>
        <w:t xml:space="preserve"> </w:t>
      </w:r>
      <w:r>
        <w:rPr>
          <w:rFonts w:eastAsia="Calibri"/>
          <w:lang w:eastAsia="en-US"/>
        </w:rPr>
        <w:t>Ação educativa sob a orientação de Gustavo Brognara, no âmbito da 12ª Semana de Museus - “Coleções criam conexões” e das comemorações dos 50 anos do Palácio Boa Vista. Roteiro entre Museus da Cidade - Circuito cidade conectada, no âmbito da 12ª Semana de Museus - “Coleções criam conexões”</w:t>
      </w:r>
      <w:r>
        <w:rPr>
          <w:rFonts w:eastAsia="Calibri"/>
          <w:i/>
          <w:lang w:eastAsia="en-US"/>
        </w:rPr>
        <w:t xml:space="preserve"> </w:t>
      </w:r>
      <w:r>
        <w:rPr>
          <w:rFonts w:eastAsia="Calibri"/>
          <w:lang w:eastAsia="en-US"/>
        </w:rPr>
        <w:t>e das comemorações dos 50 anos do Palácio Boa Vista. Apresentação da Orquestra Filarmônica Jovem de Campos do Jordão, no Auditório Claudio Santoro, no âmbito da 12ª Semana de Museus - “Coleções criam conexões” e das comemorações dos 50 anos do Palácio Boa Vista. Ateliês no Palácio, no âmbito das comemorações dos 50 anos do Palácio Boa Vista e da 12ª Semana de Museus - “Coleções criam conexões”, sob a orientação de artesãos de Campos do Jordão e cidades vizinhas. Concerto com o Projeto Guri - Pólo Campos do Jordão, na Capela São Pedro Apóstolo, no âmbito da 12ª Semana de Museus - “Coleções criam conexões” e das comemorações dos 50 anos do Palácio Boa Vista.</w:t>
      </w:r>
    </w:p>
    <w:p w:rsidR="003E6588" w:rsidRDefault="003E6588">
      <w:pPr>
        <w:ind w:firstLine="1134"/>
        <w:jc w:val="both"/>
        <w:rPr>
          <w:rFonts w:eastAsia="Calibri"/>
          <w:lang w:eastAsia="en-US"/>
        </w:rPr>
      </w:pPr>
    </w:p>
    <w:p w:rsidR="003E6588" w:rsidRDefault="003E6588">
      <w:pPr>
        <w:shd w:val="clear" w:color="auto" w:fill="FFFFFF"/>
        <w:ind w:firstLine="1134"/>
        <w:jc w:val="both"/>
        <w:rPr>
          <w:rFonts w:eastAsia="Calibri"/>
          <w:b/>
          <w:lang w:eastAsia="en-US"/>
        </w:rPr>
      </w:pPr>
      <w:r>
        <w:rPr>
          <w:rFonts w:eastAsia="Calibri"/>
          <w:b/>
          <w:lang w:eastAsia="en-US"/>
        </w:rPr>
        <w:t>Publicações</w:t>
      </w:r>
    </w:p>
    <w:p w:rsidR="003E6588" w:rsidRDefault="003E6588">
      <w:pPr>
        <w:ind w:firstLine="1276"/>
        <w:jc w:val="both"/>
        <w:rPr>
          <w:rFonts w:eastAsia="Calibri"/>
          <w:lang w:eastAsia="en-US"/>
        </w:rPr>
      </w:pPr>
    </w:p>
    <w:p w:rsidR="003E6588" w:rsidRDefault="003E6588">
      <w:pPr>
        <w:ind w:firstLine="1134"/>
        <w:jc w:val="both"/>
        <w:rPr>
          <w:rFonts w:eastAsia="Calibri"/>
          <w:i/>
          <w:lang w:eastAsia="en-US"/>
        </w:rPr>
      </w:pPr>
      <w:r>
        <w:rPr>
          <w:rFonts w:eastAsia="Calibri"/>
          <w:b/>
          <w:lang w:eastAsia="en-US"/>
        </w:rPr>
        <w:t xml:space="preserve">Livro - </w:t>
      </w:r>
      <w:r>
        <w:rPr>
          <w:rFonts w:eastAsia="Calibri"/>
          <w:lang w:eastAsia="en-US"/>
        </w:rPr>
        <w:t>Lugares de reflexão - Museus como conectores de culturas, tempos, pessoas e grupos sociais. Anais do VII Encontro Brasileiro de Palácios, Museus-Casas e Casas Históricas e da Conferência Internacional</w:t>
      </w:r>
      <w:r w:rsidR="00BE4A3F">
        <w:rPr>
          <w:rFonts w:eastAsia="Calibri"/>
          <w:lang w:eastAsia="en-US"/>
        </w:rPr>
        <w:t xml:space="preserve"> ICOM/DEMHIST 2013, livro, 2014.</w:t>
      </w:r>
    </w:p>
    <w:p w:rsidR="003E6588" w:rsidRDefault="003E6588">
      <w:pPr>
        <w:ind w:firstLine="1276"/>
        <w:jc w:val="both"/>
        <w:rPr>
          <w:rFonts w:eastAsia="Calibri"/>
          <w:b/>
          <w:lang w:eastAsia="en-US"/>
        </w:rPr>
      </w:pPr>
    </w:p>
    <w:p w:rsidR="003E6588" w:rsidRDefault="003E6588">
      <w:pPr>
        <w:ind w:firstLine="1134"/>
        <w:jc w:val="both"/>
        <w:rPr>
          <w:rFonts w:eastAsia="Calibri"/>
          <w:b/>
          <w:lang w:eastAsia="en-US"/>
        </w:rPr>
      </w:pPr>
      <w:r>
        <w:rPr>
          <w:rFonts w:eastAsia="Calibri"/>
          <w:b/>
          <w:i/>
          <w:lang w:eastAsia="en-US"/>
        </w:rPr>
        <w:t>Folders</w:t>
      </w:r>
      <w:r w:rsidR="00434C94">
        <w:rPr>
          <w:rFonts w:eastAsia="Calibri"/>
          <w:b/>
          <w:i/>
          <w:lang w:eastAsia="en-US"/>
        </w:rPr>
        <w:t xml:space="preserve"> </w:t>
      </w:r>
      <w:r>
        <w:rPr>
          <w:rFonts w:eastAsia="Calibri"/>
          <w:b/>
          <w:lang w:eastAsia="en-US"/>
        </w:rPr>
        <w:t xml:space="preserve">- </w:t>
      </w:r>
      <w:r>
        <w:rPr>
          <w:rFonts w:eastAsia="Calibri"/>
          <w:lang w:eastAsia="en-US"/>
        </w:rPr>
        <w:t>Museus - “Coleções criam conexões” - 12ª Semana de Museus, 2014</w:t>
      </w:r>
      <w:r>
        <w:rPr>
          <w:rFonts w:eastAsia="Calibri"/>
          <w:i/>
          <w:lang w:eastAsia="en-US"/>
        </w:rPr>
        <w:t>.</w:t>
      </w:r>
      <w:r>
        <w:rPr>
          <w:rFonts w:eastAsia="Calibri"/>
          <w:b/>
          <w:lang w:eastAsia="en-US"/>
        </w:rPr>
        <w:t xml:space="preserve"> </w:t>
      </w:r>
      <w:r>
        <w:rPr>
          <w:rFonts w:eastAsia="Calibri"/>
          <w:lang w:eastAsia="en-US"/>
        </w:rPr>
        <w:t>Oficinas no Palácio Boa Vista - Programação de férias. Oficinas de técnicas artesanais de produção e preservação de mobiliário artístico, 2014.</w:t>
      </w:r>
    </w:p>
    <w:p w:rsidR="003E6588" w:rsidRDefault="003E6588">
      <w:pPr>
        <w:ind w:firstLine="1276"/>
        <w:jc w:val="both"/>
        <w:rPr>
          <w:rFonts w:eastAsia="Calibri"/>
          <w:lang w:eastAsia="en-US"/>
        </w:rPr>
      </w:pPr>
    </w:p>
    <w:p w:rsidR="003E6588" w:rsidRDefault="003E6588">
      <w:pPr>
        <w:shd w:val="clear" w:color="auto" w:fill="FFFFFF"/>
        <w:ind w:firstLine="1134"/>
        <w:jc w:val="both"/>
        <w:rPr>
          <w:rFonts w:eastAsia="Calibri"/>
          <w:b/>
          <w:lang w:eastAsia="en-US"/>
        </w:rPr>
      </w:pPr>
      <w:r>
        <w:rPr>
          <w:rFonts w:eastAsia="Calibri"/>
          <w:b/>
          <w:lang w:eastAsia="en-US"/>
        </w:rPr>
        <w:t>Educativo-Cultural</w:t>
      </w:r>
    </w:p>
    <w:p w:rsidR="003E6588" w:rsidRDefault="003E6588">
      <w:pPr>
        <w:ind w:firstLine="1276"/>
        <w:jc w:val="both"/>
        <w:rPr>
          <w:rFonts w:eastAsia="Calibri"/>
          <w:lang w:eastAsia="en-US"/>
        </w:rPr>
      </w:pPr>
    </w:p>
    <w:p w:rsidR="003E6588" w:rsidRDefault="003E6588">
      <w:pPr>
        <w:ind w:firstLine="1134"/>
        <w:jc w:val="both"/>
        <w:rPr>
          <w:rFonts w:eastAsia="Calibri"/>
          <w:b/>
          <w:lang w:eastAsia="en-US"/>
        </w:rPr>
      </w:pPr>
      <w:r>
        <w:rPr>
          <w:rFonts w:eastAsia="Calibri"/>
          <w:b/>
          <w:lang w:eastAsia="en-US"/>
        </w:rPr>
        <w:t xml:space="preserve">Palácio dos Bandeirantes - </w:t>
      </w:r>
      <w:r>
        <w:rPr>
          <w:rFonts w:eastAsia="Calibri"/>
          <w:lang w:eastAsia="en-US"/>
        </w:rPr>
        <w:t>Exposição</w:t>
      </w:r>
      <w:r>
        <w:rPr>
          <w:rFonts w:eastAsia="Calibri"/>
          <w:i/>
          <w:lang w:eastAsia="en-US"/>
        </w:rPr>
        <w:t xml:space="preserve"> “</w:t>
      </w:r>
      <w:r>
        <w:rPr>
          <w:rFonts w:eastAsia="Calibri"/>
          <w:lang w:eastAsia="en-US"/>
        </w:rPr>
        <w:t>Palácios do Governo do Estado de São Paulo: lugares com história”</w:t>
      </w:r>
      <w:r>
        <w:rPr>
          <w:rFonts w:eastAsia="Calibri"/>
          <w:i/>
          <w:lang w:eastAsia="en-US"/>
        </w:rPr>
        <w:t>.</w:t>
      </w:r>
    </w:p>
    <w:p w:rsidR="003E6588" w:rsidRDefault="003E6588">
      <w:pPr>
        <w:ind w:firstLine="1276"/>
        <w:jc w:val="both"/>
        <w:rPr>
          <w:rFonts w:eastAsia="Calibri"/>
          <w:lang w:eastAsia="en-US"/>
        </w:rPr>
      </w:pPr>
    </w:p>
    <w:p w:rsidR="003E6588" w:rsidRDefault="003E6588">
      <w:pPr>
        <w:ind w:firstLine="1134"/>
        <w:jc w:val="both"/>
        <w:rPr>
          <w:rFonts w:eastAsia="Calibri"/>
          <w:lang w:eastAsia="en-US"/>
        </w:rPr>
      </w:pPr>
      <w:r>
        <w:rPr>
          <w:rFonts w:eastAsia="Calibri"/>
          <w:b/>
          <w:lang w:eastAsia="en-US"/>
        </w:rPr>
        <w:t>Atividades educativas</w:t>
      </w:r>
      <w:r>
        <w:rPr>
          <w:rFonts w:eastAsia="Calibri"/>
          <w:lang w:eastAsia="en-US"/>
        </w:rPr>
        <w:t xml:space="preserve"> - Galerias de Direitos; Concurso “Novo Painel Bandeirantes”; Desvendando o Painel “São Paulo-Brasil: Criação, Expansão e Desenvolvimento”; O que é crítica de arte?; O que te inspira?; Histórias imaginadas; Criando conexões; </w:t>
      </w:r>
      <w:r>
        <w:rPr>
          <w:rFonts w:eastAsia="Calibri"/>
          <w:iCs/>
          <w:lang w:eastAsia="en-US"/>
        </w:rPr>
        <w:t xml:space="preserve">Apresente a sua São Paulo em uma palavra; </w:t>
      </w:r>
      <w:r>
        <w:rPr>
          <w:rFonts w:eastAsia="Calibri"/>
          <w:lang w:eastAsia="en-US"/>
        </w:rPr>
        <w:t>Navegar é preciso; Jogo - Visitantes em ação.</w:t>
      </w:r>
    </w:p>
    <w:p w:rsidR="003E6588" w:rsidRDefault="003E6588">
      <w:pPr>
        <w:ind w:firstLine="1276"/>
        <w:jc w:val="both"/>
        <w:rPr>
          <w:rFonts w:eastAsia="Calibri"/>
          <w:lang w:eastAsia="en-US"/>
        </w:rPr>
      </w:pPr>
    </w:p>
    <w:p w:rsidR="003E6588" w:rsidRDefault="003E6588">
      <w:pPr>
        <w:ind w:firstLine="1134"/>
        <w:jc w:val="both"/>
        <w:rPr>
          <w:rFonts w:eastAsia="Calibri"/>
          <w:lang w:eastAsia="en-US"/>
        </w:rPr>
      </w:pPr>
      <w:r>
        <w:rPr>
          <w:rFonts w:eastAsia="Calibri"/>
          <w:b/>
          <w:lang w:eastAsia="en-US"/>
        </w:rPr>
        <w:t xml:space="preserve">Palácio Boa Vista - </w:t>
      </w:r>
      <w:r>
        <w:rPr>
          <w:rFonts w:eastAsia="Calibri"/>
          <w:lang w:eastAsia="en-US"/>
        </w:rPr>
        <w:t>Mini-exposição no Palácio Boa Vista, paralela ao Festival de Gastronomia da Montanha.</w:t>
      </w:r>
    </w:p>
    <w:p w:rsidR="00434C94" w:rsidRDefault="00434C94">
      <w:pPr>
        <w:ind w:firstLine="1134"/>
        <w:jc w:val="both"/>
        <w:rPr>
          <w:rFonts w:eastAsia="Calibri"/>
          <w:lang w:eastAsia="en-US"/>
        </w:rPr>
      </w:pPr>
    </w:p>
    <w:p w:rsidR="003E6588" w:rsidRDefault="003E6588">
      <w:pPr>
        <w:ind w:firstLine="1134"/>
        <w:jc w:val="both"/>
        <w:rPr>
          <w:rFonts w:eastAsia="Calibri"/>
          <w:lang w:eastAsia="en-US"/>
        </w:rPr>
      </w:pPr>
      <w:r>
        <w:rPr>
          <w:rFonts w:eastAsia="Calibri"/>
          <w:b/>
          <w:lang w:eastAsia="en-US"/>
        </w:rPr>
        <w:lastRenderedPageBreak/>
        <w:t xml:space="preserve">Atividades educativas - </w:t>
      </w:r>
      <w:r>
        <w:rPr>
          <w:rFonts w:eastAsia="Calibri"/>
          <w:lang w:eastAsia="en-US"/>
        </w:rPr>
        <w:t>Meu prato, uma História; Uma receita tradicional; Histórias imaginadas.</w:t>
      </w:r>
    </w:p>
    <w:p w:rsidR="003E6588" w:rsidRDefault="003E6588">
      <w:pPr>
        <w:ind w:firstLine="1276"/>
        <w:contextualSpacing/>
        <w:jc w:val="both"/>
        <w:rPr>
          <w:rFonts w:eastAsia="Calibri"/>
          <w:b/>
          <w:lang w:eastAsia="en-US"/>
        </w:rPr>
      </w:pPr>
    </w:p>
    <w:p w:rsidR="003E6588" w:rsidRDefault="003E6588">
      <w:pPr>
        <w:shd w:val="clear" w:color="auto" w:fill="FFFFFF"/>
        <w:ind w:firstLine="1134"/>
        <w:jc w:val="both"/>
        <w:rPr>
          <w:rFonts w:eastAsia="Calibri"/>
          <w:lang w:eastAsia="en-US"/>
        </w:rPr>
      </w:pPr>
      <w:r>
        <w:rPr>
          <w:rFonts w:eastAsia="Calibri"/>
          <w:b/>
          <w:lang w:eastAsia="en-US"/>
        </w:rPr>
        <w:t xml:space="preserve">Restauro - </w:t>
      </w:r>
      <w:r>
        <w:rPr>
          <w:rFonts w:eastAsia="Calibri"/>
          <w:lang w:eastAsia="en-US"/>
        </w:rPr>
        <w:t>Passaram pelo laboratório de restauro 349 peças.</w:t>
      </w:r>
    </w:p>
    <w:p w:rsidR="003E6588" w:rsidRDefault="003E6588">
      <w:pPr>
        <w:ind w:firstLine="1276"/>
        <w:jc w:val="both"/>
        <w:rPr>
          <w:rFonts w:eastAsia="Calibri"/>
          <w:lang w:eastAsia="en-US"/>
        </w:rPr>
      </w:pPr>
    </w:p>
    <w:p w:rsidR="003E6588" w:rsidRDefault="003E6588">
      <w:pPr>
        <w:shd w:val="clear" w:color="auto" w:fill="FFFFFF"/>
        <w:ind w:firstLine="1134"/>
        <w:jc w:val="both"/>
        <w:rPr>
          <w:rFonts w:eastAsia="Calibri"/>
          <w:lang w:eastAsia="en-US"/>
        </w:rPr>
      </w:pPr>
      <w:r>
        <w:rPr>
          <w:rFonts w:eastAsia="Calibri"/>
          <w:b/>
          <w:lang w:eastAsia="en-US"/>
        </w:rPr>
        <w:t xml:space="preserve">Programa Patrimônio em Rede - </w:t>
      </w:r>
      <w:r>
        <w:rPr>
          <w:rFonts w:eastAsia="Calibri"/>
          <w:lang w:eastAsia="en-US"/>
        </w:rPr>
        <w:t>Atividades realizadas</w:t>
      </w:r>
    </w:p>
    <w:p w:rsidR="003E6588" w:rsidRDefault="003E6588">
      <w:pPr>
        <w:ind w:firstLine="1276"/>
        <w:jc w:val="both"/>
        <w:rPr>
          <w:rFonts w:eastAsia="Calibri"/>
          <w:b/>
          <w:lang w:eastAsia="en-US"/>
        </w:rPr>
      </w:pPr>
    </w:p>
    <w:p w:rsidR="003E6588" w:rsidRDefault="003E6588">
      <w:pPr>
        <w:ind w:firstLine="1134"/>
        <w:jc w:val="both"/>
        <w:rPr>
          <w:rFonts w:eastAsia="Calibri"/>
          <w:bCs/>
          <w:lang w:eastAsia="en-US"/>
        </w:rPr>
      </w:pPr>
      <w:r>
        <w:rPr>
          <w:rFonts w:eastAsia="Calibri"/>
          <w:b/>
          <w:bCs/>
          <w:lang w:eastAsia="en-US"/>
        </w:rPr>
        <w:t xml:space="preserve">Visitas Técnicas - São Paulo e Região Metropolitana - </w:t>
      </w:r>
      <w:r>
        <w:rPr>
          <w:rFonts w:eastAsia="Calibri"/>
          <w:lang w:eastAsia="en-US"/>
        </w:rPr>
        <w:t>Objetivos -</w:t>
      </w:r>
      <w:r>
        <w:rPr>
          <w:rFonts w:eastAsia="Calibri"/>
          <w:bCs/>
          <w:lang w:eastAsia="en-US"/>
        </w:rPr>
        <w:t xml:space="preserve"> </w:t>
      </w:r>
      <w:r>
        <w:rPr>
          <w:rFonts w:eastAsia="Calibri"/>
          <w:lang w:eastAsia="en-US"/>
        </w:rPr>
        <w:t xml:space="preserve">Apresentar o Programa; conhecer o acervo; contato direto com os inventariantes; incentivar as equipes; apoio técnico; capacitar inventariante. </w:t>
      </w:r>
      <w:r>
        <w:rPr>
          <w:rFonts w:eastAsia="Calibri"/>
          <w:bCs/>
          <w:lang w:eastAsia="en-US"/>
        </w:rPr>
        <w:t>Unidades visitadas - 15.</w:t>
      </w:r>
    </w:p>
    <w:p w:rsidR="003E6588" w:rsidRDefault="003E6588">
      <w:pPr>
        <w:ind w:firstLine="1134"/>
        <w:jc w:val="both"/>
        <w:rPr>
          <w:rFonts w:eastAsia="Calibri"/>
          <w:bCs/>
          <w:lang w:eastAsia="en-US"/>
        </w:rPr>
      </w:pPr>
    </w:p>
    <w:p w:rsidR="003E6588" w:rsidRDefault="003E6588">
      <w:pPr>
        <w:ind w:firstLine="1134"/>
        <w:jc w:val="both"/>
        <w:rPr>
          <w:rFonts w:eastAsia="Calibri"/>
          <w:bCs/>
          <w:lang w:eastAsia="en-US"/>
        </w:rPr>
      </w:pPr>
      <w:r>
        <w:rPr>
          <w:rFonts w:eastAsia="Calibri"/>
          <w:b/>
          <w:bCs/>
          <w:lang w:eastAsia="en-US"/>
        </w:rPr>
        <w:t xml:space="preserve">Visitas Técnicas - Parceria com a Secretaria da Educação - </w:t>
      </w:r>
      <w:r>
        <w:rPr>
          <w:rFonts w:eastAsia="Calibri"/>
          <w:lang w:eastAsia="en-US"/>
        </w:rPr>
        <w:t>Objetivos -</w:t>
      </w:r>
      <w:r>
        <w:rPr>
          <w:rFonts w:eastAsia="Calibri"/>
          <w:bCs/>
          <w:lang w:eastAsia="en-US"/>
        </w:rPr>
        <w:t xml:space="preserve"> </w:t>
      </w:r>
      <w:r>
        <w:rPr>
          <w:rFonts w:eastAsia="Calibri"/>
          <w:lang w:eastAsia="en-US"/>
        </w:rPr>
        <w:t xml:space="preserve">Apresentar o Programa; conhecer o acervo; contato direto com os inventariantes; incentivar as equipes; apoio técnico; capacitar inventariante. </w:t>
      </w:r>
      <w:r>
        <w:rPr>
          <w:rFonts w:eastAsia="Calibri"/>
          <w:bCs/>
          <w:lang w:eastAsia="en-US"/>
        </w:rPr>
        <w:t>Unidades capacitadas -</w:t>
      </w:r>
      <w:r>
        <w:rPr>
          <w:rFonts w:eastAsia="Calibri"/>
          <w:lang w:eastAsia="en-US"/>
        </w:rPr>
        <w:t xml:space="preserve"> Diretoria de Mogi das Cruzes - 65 unidades escolares;</w:t>
      </w:r>
      <w:r>
        <w:rPr>
          <w:rFonts w:eastAsia="Calibri"/>
          <w:bCs/>
          <w:lang w:eastAsia="en-US"/>
        </w:rPr>
        <w:t xml:space="preserve"> </w:t>
      </w:r>
      <w:r>
        <w:rPr>
          <w:rFonts w:eastAsia="Calibri"/>
          <w:lang w:eastAsia="en-US"/>
        </w:rPr>
        <w:t>Diretoria de Ensino de Santos -</w:t>
      </w:r>
      <w:r>
        <w:rPr>
          <w:rFonts w:eastAsia="Calibri"/>
          <w:bCs/>
          <w:lang w:eastAsia="en-US"/>
        </w:rPr>
        <w:t xml:space="preserve"> </w:t>
      </w:r>
      <w:r>
        <w:rPr>
          <w:rFonts w:eastAsia="Calibri"/>
          <w:lang w:eastAsia="en-US"/>
        </w:rPr>
        <w:t>6 unidades escolares;</w:t>
      </w:r>
      <w:r>
        <w:rPr>
          <w:rFonts w:eastAsia="Calibri"/>
          <w:bCs/>
          <w:lang w:eastAsia="en-US"/>
        </w:rPr>
        <w:t xml:space="preserve"> </w:t>
      </w:r>
      <w:r>
        <w:rPr>
          <w:rFonts w:eastAsia="Calibri"/>
          <w:lang w:eastAsia="en-US"/>
        </w:rPr>
        <w:t>Diretoria de Ensino de Guaratinguetá - 26 unidades escolares; Diretoria de Ensino de Itararé - 8 unidades escolares;</w:t>
      </w:r>
      <w:r>
        <w:rPr>
          <w:rFonts w:eastAsia="Calibri"/>
          <w:bCs/>
          <w:lang w:eastAsia="en-US"/>
        </w:rPr>
        <w:t xml:space="preserve"> </w:t>
      </w:r>
      <w:r>
        <w:rPr>
          <w:rFonts w:eastAsia="Calibri"/>
          <w:lang w:eastAsia="en-US"/>
        </w:rPr>
        <w:t>Diretoria de Ensino de Mogi Mirim - 71 unidades escolares;</w:t>
      </w:r>
      <w:r>
        <w:rPr>
          <w:rFonts w:eastAsia="Calibri"/>
          <w:bCs/>
          <w:lang w:eastAsia="en-US"/>
        </w:rPr>
        <w:t xml:space="preserve"> Diretoria de Ensino de São João da Boa Vista - </w:t>
      </w:r>
      <w:r>
        <w:rPr>
          <w:rFonts w:eastAsia="Calibri"/>
          <w:lang w:eastAsia="en-US"/>
        </w:rPr>
        <w:t>71 unidades escolares;</w:t>
      </w:r>
      <w:r>
        <w:rPr>
          <w:rFonts w:eastAsia="Calibri"/>
          <w:bCs/>
          <w:lang w:eastAsia="en-US"/>
        </w:rPr>
        <w:t xml:space="preserve"> Diretoria de Ensino de Jundiaí - </w:t>
      </w:r>
      <w:r>
        <w:rPr>
          <w:rFonts w:eastAsia="Calibri"/>
          <w:lang w:eastAsia="en-US"/>
        </w:rPr>
        <w:t>38 unidades escolares;</w:t>
      </w:r>
      <w:r>
        <w:rPr>
          <w:rFonts w:eastAsia="Calibri"/>
          <w:bCs/>
          <w:lang w:eastAsia="en-US"/>
        </w:rPr>
        <w:t xml:space="preserve"> </w:t>
      </w:r>
      <w:r>
        <w:rPr>
          <w:rFonts w:eastAsia="Calibri"/>
          <w:lang w:eastAsia="en-US"/>
        </w:rPr>
        <w:t>Diretoria de Ensino de Campinas - 33 unidades escolares;</w:t>
      </w:r>
      <w:r>
        <w:rPr>
          <w:rFonts w:eastAsia="Calibri"/>
          <w:bCs/>
          <w:lang w:eastAsia="en-US"/>
        </w:rPr>
        <w:t xml:space="preserve"> </w:t>
      </w:r>
      <w:r>
        <w:rPr>
          <w:rFonts w:eastAsia="Calibri"/>
          <w:lang w:eastAsia="en-US"/>
        </w:rPr>
        <w:t>Diretoria de Ensino de Campinas - 34 unidades escolares;</w:t>
      </w:r>
      <w:r>
        <w:rPr>
          <w:rFonts w:eastAsia="Calibri"/>
          <w:bCs/>
          <w:lang w:eastAsia="en-US"/>
        </w:rPr>
        <w:t xml:space="preserve"> </w:t>
      </w:r>
      <w:r>
        <w:rPr>
          <w:rFonts w:eastAsia="Calibri"/>
          <w:lang w:eastAsia="en-US"/>
        </w:rPr>
        <w:t>Diretoria de Mogi das Cruzes - 15 unidades escolares.</w:t>
      </w:r>
    </w:p>
    <w:p w:rsidR="003E6588" w:rsidRDefault="003E6588">
      <w:pPr>
        <w:ind w:firstLine="1134"/>
        <w:jc w:val="both"/>
        <w:rPr>
          <w:rFonts w:eastAsia="Calibri"/>
          <w:b/>
          <w:lang w:eastAsia="en-US"/>
        </w:rPr>
      </w:pPr>
    </w:p>
    <w:p w:rsidR="003E6588" w:rsidRDefault="003E6588">
      <w:pPr>
        <w:ind w:firstLine="1134"/>
        <w:jc w:val="both"/>
        <w:rPr>
          <w:rFonts w:eastAsia="Calibri"/>
          <w:lang w:eastAsia="en-US"/>
        </w:rPr>
      </w:pPr>
      <w:r>
        <w:rPr>
          <w:rFonts w:eastAsia="Calibri"/>
          <w:b/>
          <w:bCs/>
          <w:lang w:eastAsia="en-US"/>
        </w:rPr>
        <w:t>Produtos do Termo de Cooperação Técnica entre Secretaria da Casa Civil e Secretaria da Educação</w:t>
      </w:r>
      <w:r w:rsidR="00434C94">
        <w:rPr>
          <w:rFonts w:eastAsia="Calibri"/>
          <w:b/>
          <w:bCs/>
          <w:lang w:eastAsia="en-US"/>
        </w:rPr>
        <w:t xml:space="preserve"> </w:t>
      </w:r>
      <w:r>
        <w:rPr>
          <w:color w:val="000000"/>
        </w:rPr>
        <w:t>- Caderno de Preservação e Conservação de Bens Patrimoniais; Vídeo Institucional;</w:t>
      </w:r>
      <w:r>
        <w:rPr>
          <w:rFonts w:eastAsia="Calibri"/>
          <w:color w:val="000000"/>
          <w:lang w:eastAsia="en-US"/>
        </w:rPr>
        <w:t xml:space="preserve"> Vídeo de Preservação e Conservação de Bens Patrimoniais [conceito e prática]; </w:t>
      </w:r>
      <w:r>
        <w:rPr>
          <w:rFonts w:eastAsia="Calibri"/>
          <w:i/>
          <w:color w:val="000000"/>
          <w:lang w:eastAsia="en-US"/>
        </w:rPr>
        <w:t>Workshop -</w:t>
      </w:r>
      <w:r>
        <w:rPr>
          <w:rFonts w:eastAsia="Calibri"/>
          <w:color w:val="000000"/>
          <w:lang w:eastAsia="en-US"/>
        </w:rPr>
        <w:t xml:space="preserve"> Preservação e Conservação de Bens Patrimoniais; </w:t>
      </w:r>
      <w:r>
        <w:rPr>
          <w:rFonts w:eastAsia="Calibri"/>
          <w:i/>
          <w:color w:val="000000"/>
          <w:lang w:eastAsia="en-US"/>
        </w:rPr>
        <w:t>Workshop -</w:t>
      </w:r>
      <w:r>
        <w:rPr>
          <w:rFonts w:eastAsia="Calibri"/>
          <w:color w:val="000000"/>
          <w:lang w:eastAsia="en-US"/>
        </w:rPr>
        <w:t xml:space="preserve"> Curadoria [como expor o patrimônio artístico cultural do Programa Patrimônio em Rede]; Mostra Expositiva de patrimônio artístico-cultural inventariado pelo Programa Patrimônio em Rede.</w:t>
      </w:r>
    </w:p>
    <w:p w:rsidR="003E6588" w:rsidRDefault="003E6588">
      <w:pPr>
        <w:ind w:firstLine="1276"/>
        <w:jc w:val="both"/>
        <w:rPr>
          <w:rFonts w:eastAsia="Arial Unicode MS"/>
          <w:b/>
          <w:bCs/>
        </w:rPr>
      </w:pPr>
    </w:p>
    <w:p w:rsidR="003E6588" w:rsidRDefault="003E6588">
      <w:pPr>
        <w:tabs>
          <w:tab w:val="left" w:pos="851"/>
          <w:tab w:val="left" w:pos="1418"/>
        </w:tabs>
        <w:ind w:firstLine="1134"/>
        <w:jc w:val="both"/>
      </w:pPr>
      <w:r>
        <w:rPr>
          <w:b/>
        </w:rPr>
        <w:t xml:space="preserve">Grupo Setorial de Planejamento, Orçamento e Finanças Públicas - </w:t>
      </w:r>
      <w:r>
        <w:t xml:space="preserve">No âmbito da Casa Civil, que inclui o Fundo Social de Solidariedade do Estado de São Paulo - FUSSESP e a Casa Militar, o Grupo Setorial de Planejamento, Orçamento e Finanças Públicas, alicerçado no Comunicado SPDR, relata que coordenou e executou trabalhos de elaboração e formalização das Diretrizes Orçamentárias para 2015, bem como, orientou e coordenou a formalização das propostas orçamentárias para 2015 das unidades supra referidas e acompanhou a execução de metas das ações do PPA, programadas para o corrente exercício, por meio do Sistema de Monitoramento de Programas e Ações do PPA - SIMPA, além de acompanhar e controlar a execução do Orçamento vigente, </w:t>
      </w:r>
      <w:r w:rsidR="00434C94">
        <w:t xml:space="preserve">por meio </w:t>
      </w:r>
      <w:r>
        <w:t>dos Sistemas SIAFEM e SIGEO, e promoveu reuniões internas, como órgão Colegiado, emitiu 81 pareceres referentes a créditos suplementares, créditos automáticos, reprogramação entre elementos, liberação de recursos contingenciados e antecipações de quotas.</w:t>
      </w:r>
    </w:p>
    <w:p w:rsidR="003E6588" w:rsidRDefault="003E6588">
      <w:pPr>
        <w:ind w:firstLine="1276"/>
        <w:jc w:val="both"/>
        <w:rPr>
          <w:rFonts w:eastAsia="Arial Unicode MS"/>
          <w:b/>
          <w:bCs/>
        </w:rPr>
      </w:pPr>
    </w:p>
    <w:p w:rsidR="003E6588" w:rsidRDefault="003E6588">
      <w:pPr>
        <w:ind w:firstLine="1134"/>
        <w:jc w:val="both"/>
        <w:rPr>
          <w:color w:val="000000"/>
        </w:rPr>
      </w:pPr>
      <w:r>
        <w:rPr>
          <w:b/>
          <w:color w:val="000000"/>
        </w:rPr>
        <w:t xml:space="preserve">Departamento de Recursos Humanos - </w:t>
      </w:r>
      <w:r>
        <w:rPr>
          <w:bCs/>
          <w:color w:val="000000"/>
        </w:rPr>
        <w:t xml:space="preserve">Além das suas atividades diárias, o DRH investiu no desenvolvimento e capacitação dos servidores por meio de cursos e treinamentos (42 servidores treinados). Tem investido na qualidade de vida dos servidores, </w:t>
      </w:r>
      <w:r w:rsidR="00434C94">
        <w:rPr>
          <w:bCs/>
          <w:color w:val="000000"/>
        </w:rPr>
        <w:t xml:space="preserve">por meio </w:t>
      </w:r>
      <w:r>
        <w:rPr>
          <w:bCs/>
          <w:color w:val="000000"/>
        </w:rPr>
        <w:t>de campanhas</w:t>
      </w:r>
      <w:r>
        <w:rPr>
          <w:b/>
          <w:bCs/>
          <w:color w:val="000000"/>
        </w:rPr>
        <w:t xml:space="preserve"> </w:t>
      </w:r>
      <w:r>
        <w:rPr>
          <w:bCs/>
          <w:color w:val="000000"/>
        </w:rPr>
        <w:t xml:space="preserve">realizadas e </w:t>
      </w:r>
      <w:r>
        <w:rPr>
          <w:bCs/>
          <w:color w:val="000000"/>
        </w:rPr>
        <w:lastRenderedPageBreak/>
        <w:t xml:space="preserve">atendimentos: prevenção do câncer de próstata (40 servidores), vacinação - </w:t>
      </w:r>
      <w:r>
        <w:rPr>
          <w:bCs/>
          <w:i/>
          <w:color w:val="000000"/>
        </w:rPr>
        <w:t>Influenza</w:t>
      </w:r>
      <w:r>
        <w:rPr>
          <w:bCs/>
          <w:color w:val="000000"/>
        </w:rPr>
        <w:t xml:space="preserve"> (665 servidores vacinados); programa para os motoristas (31 servidores); Programa de Prevenção e Detecção de Doenças Crônicas (124 servidores atendidos); tabagismo (28 em tratamento e manutenção); atendimento psicossocial (60 servidores); consultas com médico do trabalho (278), tendo como objetivo reduzir</w:t>
      </w:r>
      <w:r>
        <w:rPr>
          <w:b/>
          <w:bCs/>
          <w:color w:val="000000"/>
        </w:rPr>
        <w:t xml:space="preserve"> </w:t>
      </w:r>
      <w:r>
        <w:rPr>
          <w:color w:val="000000"/>
        </w:rPr>
        <w:t>a prevalência dos principais fatores de risco para doenças crônicas não transmissíveis, e, consequentemente, melhorar a qualidade de vida dos servidores. Desenvolveu atividades antiestresse e de integração, destacando-se a “Exposição Arte da Casa” (16 inscritos), Outubro rosa - público atingido - 1.200 pessoas - objetivo:conscientização para importância do exame preventivo para o câncer de mama e novembro azul - público atingido - 1.200 pessoas - objetivo - conscientização para a importância do exame preventido para o câncer de próstata. O total de atendimento foi de 1.344 servidores. Foi realizada a Campanha de Doação de Sangue (91 doadores e 74 bolsas).</w:t>
      </w:r>
    </w:p>
    <w:p w:rsidR="00CE22BC" w:rsidRDefault="00CE22BC">
      <w:pPr>
        <w:pStyle w:val="Corpodetexto"/>
        <w:tabs>
          <w:tab w:val="num" w:pos="2340"/>
        </w:tabs>
        <w:ind w:firstLine="1134"/>
        <w:jc w:val="both"/>
        <w:rPr>
          <w:b w:val="0"/>
          <w:color w:val="000000"/>
        </w:rPr>
      </w:pPr>
    </w:p>
    <w:p w:rsidR="003E6588" w:rsidRDefault="003E6588">
      <w:pPr>
        <w:pStyle w:val="Corpodetexto"/>
        <w:tabs>
          <w:tab w:val="num" w:pos="2340"/>
        </w:tabs>
        <w:ind w:firstLine="1134"/>
        <w:jc w:val="both"/>
        <w:rPr>
          <w:b w:val="0"/>
          <w:bCs w:val="0"/>
          <w:color w:val="000000"/>
        </w:rPr>
      </w:pPr>
      <w:r>
        <w:rPr>
          <w:b w:val="0"/>
          <w:color w:val="000000"/>
        </w:rPr>
        <w:t>Em parceria com a Secretaria da Educação, funciona uma Telessala com 28 servidores inscritos no Ensino Fundamental e Ensino Médio, tendo sido promovido 26 servidores.</w:t>
      </w:r>
    </w:p>
    <w:p w:rsidR="003E6588" w:rsidRDefault="003E6588">
      <w:pPr>
        <w:pStyle w:val="Corpodetexto"/>
        <w:tabs>
          <w:tab w:val="num" w:pos="1275"/>
        </w:tabs>
        <w:ind w:firstLine="1276"/>
        <w:jc w:val="both"/>
        <w:rPr>
          <w:b w:val="0"/>
          <w:color w:val="000000"/>
        </w:rPr>
      </w:pPr>
    </w:p>
    <w:p w:rsidR="003E6588" w:rsidRDefault="003E6588">
      <w:pPr>
        <w:pStyle w:val="Corpodetexto"/>
        <w:tabs>
          <w:tab w:val="num" w:pos="1275"/>
        </w:tabs>
        <w:ind w:firstLine="1134"/>
        <w:jc w:val="both"/>
        <w:rPr>
          <w:b w:val="0"/>
          <w:color w:val="000000"/>
        </w:rPr>
      </w:pPr>
      <w:r>
        <w:rPr>
          <w:b w:val="0"/>
          <w:color w:val="000000"/>
        </w:rPr>
        <w:t xml:space="preserve">Subordinado ao DRH, o Centro de Convivência Infantil atende em torno de 60 crianças de </w:t>
      </w:r>
      <w:smartTag w:uri="urn:schemas-microsoft-com:office:smarttags" w:element="metricconverter">
        <w:smartTagPr>
          <w:attr w:name="ProductID" w:val="0 a"/>
        </w:smartTagPr>
        <w:r>
          <w:rPr>
            <w:b w:val="0"/>
            <w:color w:val="000000"/>
          </w:rPr>
          <w:t>0 a</w:t>
        </w:r>
      </w:smartTag>
      <w:r>
        <w:rPr>
          <w:b w:val="0"/>
          <w:color w:val="000000"/>
        </w:rPr>
        <w:t xml:space="preserve"> 6 anos, filhos de servidoras e servidores do Palácio dos Bandeirantes, destacando-se nessa área o trabalho pedagógico que vem sendo executado pelas educadoras de sala. Além das atividades em sala de aula, são realizados passeios educativos.</w:t>
      </w:r>
    </w:p>
    <w:p w:rsidR="003E6588" w:rsidRDefault="003E6588">
      <w:pPr>
        <w:pStyle w:val="Corpodetexto"/>
        <w:tabs>
          <w:tab w:val="num" w:pos="1275"/>
        </w:tabs>
        <w:ind w:firstLine="1276"/>
        <w:jc w:val="both"/>
        <w:rPr>
          <w:b w:val="0"/>
        </w:rPr>
      </w:pPr>
    </w:p>
    <w:p w:rsidR="003E6588" w:rsidRDefault="003E6588">
      <w:pPr>
        <w:ind w:firstLine="1134"/>
        <w:jc w:val="both"/>
      </w:pPr>
      <w:r>
        <w:rPr>
          <w:b/>
        </w:rPr>
        <w:t xml:space="preserve">Departamento de Administração - </w:t>
      </w:r>
      <w:r>
        <w:rPr>
          <w:szCs w:val="20"/>
          <w:lang w:eastAsia="en-US"/>
        </w:rPr>
        <w:t xml:space="preserve">Cabe planejar, gerenciar, coordenar e executar as atividades pertinentes às áreas de administração financeira e orçamentária e de suprimentos (patrimônio, almoxarifado, compras e contratos) e transportes internos; </w:t>
      </w:r>
      <w:r>
        <w:t>controlar a emissão de passagens aéreas nacionais e internacionais; controlar as solicitações e confeccionar as planilhas de diárias, com base nos relatórios de viagens dos servidores da Casa Civil que participam de eventos em outras cidades e Estados.</w:t>
      </w:r>
    </w:p>
    <w:p w:rsidR="003E6588" w:rsidRDefault="003E6588">
      <w:pPr>
        <w:ind w:firstLine="1276"/>
        <w:jc w:val="both"/>
        <w:rPr>
          <w:b/>
        </w:rPr>
      </w:pPr>
    </w:p>
    <w:p w:rsidR="003E6588" w:rsidRDefault="003E6588">
      <w:pPr>
        <w:autoSpaceDE w:val="0"/>
        <w:autoSpaceDN w:val="0"/>
        <w:adjustRightInd w:val="0"/>
        <w:ind w:firstLine="1134"/>
        <w:jc w:val="both"/>
        <w:rPr>
          <w:b/>
          <w:color w:val="000000"/>
        </w:rPr>
      </w:pPr>
      <w:r>
        <w:rPr>
          <w:b/>
          <w:color w:val="000000"/>
        </w:rPr>
        <w:t>Departamento de Infraestrutura</w:t>
      </w:r>
    </w:p>
    <w:p w:rsidR="00CA6D07" w:rsidRDefault="00CA6D07">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color w:val="000000"/>
        </w:rPr>
      </w:pPr>
      <w:r>
        <w:rPr>
          <w:b/>
          <w:color w:val="000000"/>
        </w:rPr>
        <w:t xml:space="preserve">Obras e serviços de reforma executados - </w:t>
      </w:r>
      <w:r>
        <w:rPr>
          <w:color w:val="000000"/>
        </w:rPr>
        <w:t xml:space="preserve">Instalação do sistema de climatização para atender as áreas do </w:t>
      </w:r>
      <w:r>
        <w:rPr>
          <w:i/>
          <w:color w:val="000000"/>
        </w:rPr>
        <w:t>Hall</w:t>
      </w:r>
      <w:r>
        <w:rPr>
          <w:color w:val="000000"/>
        </w:rPr>
        <w:t xml:space="preserve"> Nobre e do Mezanino do Palácio dos Bandeirantes; acompanhamento e fiscalização das obras de implantação de grupo gerador de energia emergencial, da unidade sede do Fundo Social de Solidariedade do Estado de São Paulo.</w:t>
      </w:r>
    </w:p>
    <w:p w:rsidR="003E6588" w:rsidRDefault="003E6588">
      <w:pPr>
        <w:autoSpaceDE w:val="0"/>
        <w:autoSpaceDN w:val="0"/>
        <w:adjustRightInd w:val="0"/>
        <w:ind w:firstLine="1276"/>
        <w:jc w:val="both"/>
        <w:rPr>
          <w:b/>
          <w:color w:val="000000"/>
        </w:rPr>
      </w:pPr>
    </w:p>
    <w:p w:rsidR="003E6588" w:rsidRDefault="003E6588">
      <w:pPr>
        <w:autoSpaceDE w:val="0"/>
        <w:autoSpaceDN w:val="0"/>
        <w:adjustRightInd w:val="0"/>
        <w:ind w:firstLine="1134"/>
        <w:jc w:val="both"/>
        <w:rPr>
          <w:color w:val="000000"/>
        </w:rPr>
      </w:pPr>
      <w:r>
        <w:rPr>
          <w:b/>
          <w:color w:val="000000"/>
        </w:rPr>
        <w:t xml:space="preserve">Obras e serviços de reforma em execução </w:t>
      </w:r>
      <w:r>
        <w:rPr>
          <w:color w:val="000000"/>
        </w:rPr>
        <w:t xml:space="preserve">- Instalação de sistema de ar condicionado no </w:t>
      </w:r>
      <w:r>
        <w:rPr>
          <w:i/>
          <w:color w:val="000000"/>
        </w:rPr>
        <w:t>Hall</w:t>
      </w:r>
      <w:r>
        <w:rPr>
          <w:color w:val="000000"/>
        </w:rPr>
        <w:t xml:space="preserve"> Nobre e no Mezanino;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color w:val="000000"/>
        </w:rPr>
        <w:t xml:space="preserve">Gestão de Contratos - </w:t>
      </w:r>
      <w:r>
        <w:rPr>
          <w:color w:val="000000"/>
        </w:rPr>
        <w:t xml:space="preserve">PRODESP; alimentação aos </w:t>
      </w:r>
      <w:r w:rsidR="00CA6D07">
        <w:rPr>
          <w:color w:val="000000"/>
        </w:rPr>
        <w:t xml:space="preserve">servidores </w:t>
      </w:r>
      <w:r>
        <w:rPr>
          <w:color w:val="000000"/>
        </w:rPr>
        <w:t xml:space="preserve">do Palácio; manutenção predial preventiva e corretiva; limpeza; jardinagem e paisagismo; copas; recepção e portarias; manutenção de ar condicionado; acompanhamento e monitoramento do consumo diário de água potável nas instalações do Palácio dos Bandeirantes com uso do Sistema PURA/SABESP; projeto de eficiência energética do Palácio dos Bandeirantes, realizado mediante convênio entre a Casa Civil e AES </w:t>
      </w:r>
      <w:r>
        <w:rPr>
          <w:color w:val="000000"/>
        </w:rPr>
        <w:lastRenderedPageBreak/>
        <w:t>Eletropaulo, com a realização da modernização dos sistemas de iluminação interna dos edifícios e a instalação de uma planta de geração de energia elétrica fotovoltaica.</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bCs/>
        </w:rPr>
      </w:pPr>
      <w:r>
        <w:rPr>
          <w:b/>
          <w:color w:val="000000"/>
        </w:rPr>
        <w:t xml:space="preserve">Metas e Melhorias Alcançadas - </w:t>
      </w:r>
      <w:r>
        <w:rPr>
          <w:bCs/>
        </w:rPr>
        <w:t xml:space="preserve">Economicidade no consumo mensal da energia elétrica fornecida pela AES Eletropaulo, do Palácio dos Bandeirantes; economicidade do consumo de água potável, fornecida pela SABESP para o Palácio dos Bandeirantes; acompanhamento de reformas e adequações </w:t>
      </w:r>
      <w:r w:rsidR="00CA6D07">
        <w:rPr>
          <w:bCs/>
        </w:rPr>
        <w:t>nas</w:t>
      </w:r>
      <w:r>
        <w:rPr>
          <w:bCs/>
        </w:rPr>
        <w:t xml:space="preserve"> salas de trabalho </w:t>
      </w:r>
      <w:r w:rsidR="00CA6D07">
        <w:rPr>
          <w:bCs/>
        </w:rPr>
        <w:t>d</w:t>
      </w:r>
      <w:r>
        <w:rPr>
          <w:bCs/>
        </w:rPr>
        <w:t>o Palácio dos Bandeirantes.</w:t>
      </w:r>
    </w:p>
    <w:p w:rsidR="003E6588" w:rsidRDefault="003E6588">
      <w:pPr>
        <w:autoSpaceDE w:val="0"/>
        <w:autoSpaceDN w:val="0"/>
        <w:adjustRightInd w:val="0"/>
        <w:ind w:firstLine="1134"/>
        <w:jc w:val="both"/>
        <w:rPr>
          <w:bCs/>
        </w:rPr>
      </w:pPr>
    </w:p>
    <w:p w:rsidR="003E6588" w:rsidRDefault="003E6588">
      <w:pPr>
        <w:autoSpaceDE w:val="0"/>
        <w:autoSpaceDN w:val="0"/>
        <w:adjustRightInd w:val="0"/>
        <w:ind w:firstLine="1134"/>
        <w:jc w:val="both"/>
        <w:rPr>
          <w:b/>
          <w:bCs/>
        </w:rPr>
      </w:pPr>
      <w:r>
        <w:rPr>
          <w:b/>
          <w:bCs/>
        </w:rPr>
        <w:t>Tecnologia da Informação</w:t>
      </w:r>
    </w:p>
    <w:p w:rsidR="003E6588" w:rsidRDefault="003E6588">
      <w:pPr>
        <w:autoSpaceDE w:val="0"/>
        <w:autoSpaceDN w:val="0"/>
        <w:adjustRightInd w:val="0"/>
        <w:ind w:firstLine="1276"/>
        <w:jc w:val="both"/>
        <w:rPr>
          <w:b/>
          <w:bCs/>
        </w:rPr>
      </w:pPr>
    </w:p>
    <w:p w:rsidR="003E6588" w:rsidRDefault="003E6588">
      <w:pPr>
        <w:autoSpaceDE w:val="0"/>
        <w:autoSpaceDN w:val="0"/>
        <w:adjustRightInd w:val="0"/>
        <w:ind w:firstLine="1134"/>
        <w:jc w:val="both"/>
      </w:pPr>
      <w:r>
        <w:rPr>
          <w:b/>
          <w:bCs/>
        </w:rPr>
        <w:t xml:space="preserve">Gestão de Contratos - </w:t>
      </w:r>
      <w:r>
        <w:rPr>
          <w:bCs/>
        </w:rPr>
        <w:t>Adequação técnica dos serviços de locação, implantação e operacionalização do sistema eletrônico de segurança do Palácio dos Bandeirantes (CFTV); contratação de empresa especializada para serviços de envio de mensagens avulsas e em lote de SMS corporativos, para a Subsecretaria de Relacionamento com os Municípios; s</w:t>
      </w:r>
      <w:r>
        <w:t>erviços de licença de uso do sistema de organização de informações para atender a Assessoria de Imprensa do Secretário-Chefe da Casa Civil.</w:t>
      </w:r>
    </w:p>
    <w:p w:rsidR="003E6588" w:rsidRDefault="003E6588">
      <w:pPr>
        <w:autoSpaceDE w:val="0"/>
        <w:autoSpaceDN w:val="0"/>
        <w:adjustRightInd w:val="0"/>
        <w:ind w:firstLine="1134"/>
        <w:jc w:val="both"/>
        <w:rPr>
          <w:bCs/>
        </w:rPr>
      </w:pPr>
    </w:p>
    <w:p w:rsidR="003E6588" w:rsidRDefault="003E6588">
      <w:pPr>
        <w:autoSpaceDE w:val="0"/>
        <w:autoSpaceDN w:val="0"/>
        <w:adjustRightInd w:val="0"/>
        <w:ind w:firstLine="1134"/>
        <w:jc w:val="both"/>
        <w:rPr>
          <w:bCs/>
        </w:rPr>
      </w:pPr>
      <w:r>
        <w:rPr>
          <w:b/>
          <w:color w:val="000000"/>
        </w:rPr>
        <w:t xml:space="preserve">Sistemas - Desenvolvimento de novas funcionalidades - Projetos e Ações - </w:t>
      </w:r>
      <w:r>
        <w:rPr>
          <w:bCs/>
        </w:rPr>
        <w:t xml:space="preserve">Demandas do Governador; Sistema de Autorização Governamental; SAG Controle de Afastamentos; SIALE - Sistema de Acompanhamento Legislativo CPCC; Gestão Contrato Prodesp/Casa Civil; Cadastro de Obras e Ações do Governo - COAG; Nova </w:t>
      </w:r>
      <w:r>
        <w:rPr>
          <w:bCs/>
          <w:i/>
        </w:rPr>
        <w:t xml:space="preserve">Intranet </w:t>
      </w:r>
      <w:r>
        <w:rPr>
          <w:bCs/>
        </w:rPr>
        <w:t xml:space="preserve">da Casa Civil; Novo </w:t>
      </w:r>
      <w:r>
        <w:rPr>
          <w:bCs/>
          <w:i/>
        </w:rPr>
        <w:t>site</w:t>
      </w:r>
      <w:r>
        <w:rPr>
          <w:bCs/>
        </w:rPr>
        <w:t xml:space="preserve"> da Casa Civil; </w:t>
      </w:r>
      <w:r>
        <w:rPr>
          <w:bCs/>
          <w:i/>
        </w:rPr>
        <w:t>Site</w:t>
      </w:r>
      <w:r>
        <w:rPr>
          <w:bCs/>
        </w:rPr>
        <w:t xml:space="preserve"> do Programa de Melhoria dos Gastos Públicos; Programa Melhoria dos Gastos Públicos - Relatórios de Economia; Novo </w:t>
      </w:r>
      <w:r>
        <w:rPr>
          <w:bCs/>
          <w:i/>
        </w:rPr>
        <w:t>site</w:t>
      </w:r>
      <w:r>
        <w:rPr>
          <w:bCs/>
        </w:rPr>
        <w:t xml:space="preserve"> do Acervo Artístico-Cultural dos Palácios do Governo; </w:t>
      </w:r>
      <w:r>
        <w:rPr>
          <w:bCs/>
          <w:i/>
        </w:rPr>
        <w:t>Site</w:t>
      </w:r>
      <w:r>
        <w:rPr>
          <w:bCs/>
        </w:rPr>
        <w:t xml:space="preserve"> do Patrimônio em rede; </w:t>
      </w:r>
      <w:r>
        <w:rPr>
          <w:bCs/>
          <w:i/>
        </w:rPr>
        <w:t>Site</w:t>
      </w:r>
      <w:r>
        <w:rPr>
          <w:bCs/>
        </w:rPr>
        <w:t xml:space="preserve"> Internacional do Governo do Estado - Global - aplicativo Sala de Imprensa; Aplicativo </w:t>
      </w:r>
      <w:r>
        <w:rPr>
          <w:bCs/>
          <w:i/>
        </w:rPr>
        <w:t>Mobile -</w:t>
      </w:r>
      <w:r>
        <w:rPr>
          <w:bCs/>
        </w:rPr>
        <w:t xml:space="preserve"> São Paulo Global; Aplicativo </w:t>
      </w:r>
      <w:r>
        <w:rPr>
          <w:bCs/>
          <w:i/>
        </w:rPr>
        <w:t>Mobile -</w:t>
      </w:r>
      <w:r>
        <w:rPr>
          <w:bCs/>
        </w:rPr>
        <w:t xml:space="preserve"> SIC Estadual; Portal “Informações dos Municípios”; GEPRE - Gerenciamento Eletrônico do Patrimônio em Rede; NOVO SAG - Sistema de Autorização Governamental; </w:t>
      </w:r>
      <w:r>
        <w:rPr>
          <w:bCs/>
          <w:i/>
        </w:rPr>
        <w:t>Mailing</w:t>
      </w:r>
      <w:r>
        <w:rPr>
          <w:bCs/>
        </w:rPr>
        <w:t xml:space="preserve"> do Cerimonial; Sistema de Informações Fundações e Empresas - SINFE; Controle para Gestão de Progressão; Agenda de Telefones e Eventos; Controle da Agenda do Governador; Sistema Informativo Unificado de Gestão Arquivística </w:t>
      </w:r>
      <w:r w:rsidR="00BE4A3F">
        <w:rPr>
          <w:bCs/>
        </w:rPr>
        <w:t>d</w:t>
      </w:r>
      <w:r>
        <w:rPr>
          <w:bCs/>
        </w:rPr>
        <w:t>e Documentos e Informações - SPDOC.</w:t>
      </w:r>
    </w:p>
    <w:p w:rsidR="00CA6D07" w:rsidRDefault="00CA6D07">
      <w:pPr>
        <w:autoSpaceDE w:val="0"/>
        <w:autoSpaceDN w:val="0"/>
        <w:adjustRightInd w:val="0"/>
        <w:ind w:firstLine="1134"/>
        <w:jc w:val="both"/>
        <w:rPr>
          <w:bCs/>
        </w:rPr>
      </w:pPr>
    </w:p>
    <w:p w:rsidR="003E6588" w:rsidRDefault="003E6588">
      <w:pPr>
        <w:autoSpaceDE w:val="0"/>
        <w:autoSpaceDN w:val="0"/>
        <w:adjustRightInd w:val="0"/>
        <w:ind w:firstLine="1134"/>
        <w:jc w:val="both"/>
        <w:rPr>
          <w:bCs/>
        </w:rPr>
      </w:pPr>
      <w:r>
        <w:rPr>
          <w:b/>
          <w:bCs/>
        </w:rPr>
        <w:t xml:space="preserve">Corregedoria Geral da Administração - </w:t>
      </w:r>
      <w:r>
        <w:rPr>
          <w:bCs/>
        </w:rPr>
        <w:t xml:space="preserve">Acompanhamento da evolução patrimonial - AEP - Versão 1.0; acompanhamento da evolução patrimonial - AEP - Versão 2.0; Cadastro de Cargos e funções da Administração Indireta; Correição </w:t>
      </w:r>
      <w:r>
        <w:rPr>
          <w:bCs/>
          <w:i/>
        </w:rPr>
        <w:t>on line</w:t>
      </w:r>
      <w:r>
        <w:rPr>
          <w:bCs/>
        </w:rPr>
        <w:t xml:space="preserve">; Portal da Transparência dos Municípios; Sistema de Acompanhamento e Apuraçãode Denúncias - SAAD - versão 2.0; Portal da Transparência estadual; Portal da Transparência </w:t>
      </w:r>
      <w:r w:rsidR="00CA6D07">
        <w:rPr>
          <w:bCs/>
        </w:rPr>
        <w:t xml:space="preserve">Estadual </w:t>
      </w:r>
      <w:r>
        <w:rPr>
          <w:bCs/>
        </w:rPr>
        <w:t>- Módulo de Contratos; Cadastro Estadual de Entidades - versão 1.0; Cadastro Estadual de Entidades - versão 2.0; E.SIC Municipal.</w:t>
      </w:r>
    </w:p>
    <w:p w:rsidR="003E6588" w:rsidRDefault="003E6588">
      <w:pPr>
        <w:autoSpaceDE w:val="0"/>
        <w:autoSpaceDN w:val="0"/>
        <w:adjustRightInd w:val="0"/>
        <w:ind w:firstLine="1134"/>
        <w:jc w:val="both"/>
        <w:rPr>
          <w:b/>
          <w:bCs/>
        </w:rPr>
      </w:pPr>
    </w:p>
    <w:p w:rsidR="003E6588" w:rsidRDefault="003E6588">
      <w:pPr>
        <w:autoSpaceDE w:val="0"/>
        <w:autoSpaceDN w:val="0"/>
        <w:adjustRightInd w:val="0"/>
        <w:ind w:firstLine="1134"/>
        <w:jc w:val="both"/>
        <w:rPr>
          <w:bCs/>
        </w:rPr>
      </w:pPr>
      <w:r>
        <w:rPr>
          <w:b/>
          <w:bCs/>
        </w:rPr>
        <w:t xml:space="preserve">Fundo Social de Solidariedade do Estado de São Paulo - </w:t>
      </w:r>
      <w:r>
        <w:rPr>
          <w:bCs/>
        </w:rPr>
        <w:t xml:space="preserve">Campanha do Agasalho - Aplicação para publicação de Parceiros e Atualização de Informações dos Fundos Sociais Municipais; Campanha do Agasalho - versão 2014 do </w:t>
      </w:r>
      <w:r>
        <w:rPr>
          <w:bCs/>
          <w:i/>
        </w:rPr>
        <w:t>site</w:t>
      </w:r>
      <w:r>
        <w:rPr>
          <w:bCs/>
        </w:rPr>
        <w:t>; administração de cursos - Escola de Qualificação Profissional.</w:t>
      </w:r>
    </w:p>
    <w:p w:rsidR="003E6588" w:rsidRDefault="003E6588">
      <w:pPr>
        <w:autoSpaceDE w:val="0"/>
        <w:autoSpaceDN w:val="0"/>
        <w:adjustRightInd w:val="0"/>
        <w:ind w:firstLine="1134"/>
        <w:jc w:val="both"/>
        <w:rPr>
          <w:b/>
          <w:bCs/>
        </w:rPr>
      </w:pPr>
    </w:p>
    <w:p w:rsidR="003E6588" w:rsidRDefault="003E6588">
      <w:pPr>
        <w:ind w:firstLine="1134"/>
        <w:jc w:val="both"/>
      </w:pPr>
      <w:r>
        <w:rPr>
          <w:b/>
        </w:rPr>
        <w:lastRenderedPageBreak/>
        <w:t xml:space="preserve">Departamento de Gestão da Documentação Técnica e Administrativa - </w:t>
      </w:r>
      <w:r>
        <w:t>Particip</w:t>
      </w:r>
      <w:r w:rsidR="00CA6D07">
        <w:t>ação</w:t>
      </w:r>
      <w:r>
        <w:t xml:space="preserve"> na gestão operacional do sistema SPdoc, auxiliando os usuários, tendo em vista a inexistência do </w:t>
      </w:r>
      <w:r>
        <w:rPr>
          <w:i/>
        </w:rPr>
        <w:t>helpdesk</w:t>
      </w:r>
      <w:r>
        <w:t>. Sanou dúvidas e solucionou problemas de operação, em 21atendimentos.</w:t>
      </w:r>
    </w:p>
    <w:p w:rsidR="003E6588" w:rsidRDefault="003E6588">
      <w:pPr>
        <w:ind w:firstLine="1134"/>
        <w:jc w:val="both"/>
        <w:rPr>
          <w:b/>
        </w:rPr>
      </w:pPr>
    </w:p>
    <w:p w:rsidR="003E6588" w:rsidRDefault="003E6588">
      <w:pPr>
        <w:ind w:firstLine="1134"/>
        <w:jc w:val="both"/>
        <w:rPr>
          <w:b/>
        </w:rPr>
      </w:pPr>
      <w:r>
        <w:rPr>
          <w:b/>
        </w:rPr>
        <w:t>Indicadores</w:t>
      </w:r>
    </w:p>
    <w:p w:rsidR="003E6588" w:rsidRDefault="003E6588">
      <w:pPr>
        <w:ind w:firstLine="1134"/>
        <w:jc w:val="both"/>
        <w:rPr>
          <w:b/>
        </w:rPr>
      </w:pPr>
    </w:p>
    <w:p w:rsidR="003E6588" w:rsidRDefault="003E6588">
      <w:pPr>
        <w:ind w:firstLine="1134"/>
        <w:jc w:val="both"/>
        <w:rPr>
          <w:bCs/>
        </w:rPr>
      </w:pPr>
      <w:r>
        <w:rPr>
          <w:b/>
          <w:color w:val="000000"/>
        </w:rPr>
        <w:t xml:space="preserve">Atividades de Apoio Administrativo e Assistência Técnica - </w:t>
      </w:r>
      <w:r>
        <w:rPr>
          <w:bCs/>
        </w:rPr>
        <w:t xml:space="preserve">Triagem e distribuição de correspondências do Governador - 8.841; documentos de </w:t>
      </w:r>
      <w:r w:rsidR="00CA6D07">
        <w:rPr>
          <w:bCs/>
        </w:rPr>
        <w:t xml:space="preserve">Secretarias </w:t>
      </w:r>
      <w:r>
        <w:rPr>
          <w:bCs/>
        </w:rPr>
        <w:t>recebidos e encaminhados - 58; ofícios, despachos, memorandos, relações e informações - 9.258; recebimento e encaminhamento de mensagens do Fale Conosco - 287.</w:t>
      </w:r>
    </w:p>
    <w:p w:rsidR="003E6588" w:rsidRDefault="003E6588">
      <w:pPr>
        <w:pStyle w:val="PargrafodaLista1"/>
        <w:ind w:left="0" w:firstLine="1134"/>
        <w:contextualSpacing/>
        <w:jc w:val="both"/>
        <w:rPr>
          <w:bCs/>
        </w:rPr>
      </w:pPr>
    </w:p>
    <w:p w:rsidR="003E6588" w:rsidRDefault="003E6588" w:rsidP="00CA6D07">
      <w:pPr>
        <w:ind w:firstLine="1134"/>
        <w:jc w:val="both"/>
        <w:rPr>
          <w:bCs/>
        </w:rPr>
      </w:pPr>
      <w:r>
        <w:rPr>
          <w:b/>
          <w:color w:val="000000"/>
        </w:rPr>
        <w:t xml:space="preserve">Apoio ao Secretário </w:t>
      </w:r>
      <w:r>
        <w:rPr>
          <w:b/>
        </w:rPr>
        <w:t xml:space="preserve">Particular - </w:t>
      </w:r>
      <w:r>
        <w:t>Os convites recebidos pelo Governador são cadastrados no SPdoc.</w:t>
      </w:r>
      <w:r w:rsidR="00CA6D07">
        <w:t xml:space="preserve"> </w:t>
      </w:r>
      <w:r>
        <w:rPr>
          <w:bCs/>
        </w:rPr>
        <w:t>Convites recebidos e registrados - 1.343;</w:t>
      </w:r>
      <w:r w:rsidR="00CA6D07">
        <w:rPr>
          <w:bCs/>
        </w:rPr>
        <w:t xml:space="preserve"> </w:t>
      </w:r>
      <w:r>
        <w:rPr>
          <w:bCs/>
        </w:rPr>
        <w:t>Pedidos de audiência - 258.</w:t>
      </w:r>
    </w:p>
    <w:p w:rsidR="00CE22BC" w:rsidRDefault="00CE22BC" w:rsidP="00CA6D07">
      <w:pPr>
        <w:ind w:firstLine="1134"/>
        <w:jc w:val="both"/>
        <w:rPr>
          <w:bCs/>
        </w:rPr>
      </w:pPr>
    </w:p>
    <w:p w:rsidR="003E6588" w:rsidRDefault="003E6588">
      <w:pPr>
        <w:ind w:firstLine="1134"/>
        <w:jc w:val="both"/>
        <w:rPr>
          <w:bCs/>
        </w:rPr>
      </w:pPr>
      <w:r>
        <w:rPr>
          <w:b/>
          <w:color w:val="000000"/>
        </w:rPr>
        <w:t xml:space="preserve">Apoio à Comissão de Avaliação de Documentos e </w:t>
      </w:r>
      <w:r>
        <w:rPr>
          <w:b/>
        </w:rPr>
        <w:t xml:space="preserve">Acesso </w:t>
      </w:r>
      <w:r>
        <w:rPr>
          <w:bCs/>
        </w:rPr>
        <w:t>- Caixas de documentos avaliadas e separadas para transferência - 2.145; caixas de documentos sem avaliar transferidas para o Arquivo Público - 1.112.</w:t>
      </w:r>
    </w:p>
    <w:p w:rsidR="003E6588" w:rsidRDefault="003E6588">
      <w:pPr>
        <w:ind w:firstLine="1134"/>
        <w:jc w:val="both"/>
        <w:rPr>
          <w:b/>
          <w:color w:val="000000"/>
        </w:rPr>
      </w:pPr>
    </w:p>
    <w:p w:rsidR="003E6588" w:rsidRDefault="003E6588">
      <w:pPr>
        <w:ind w:firstLine="1134"/>
        <w:jc w:val="both"/>
        <w:rPr>
          <w:bCs/>
        </w:rPr>
      </w:pPr>
      <w:r>
        <w:rPr>
          <w:b/>
          <w:color w:val="000000"/>
        </w:rPr>
        <w:t xml:space="preserve">Atividades de Protocolo e Expedição </w:t>
      </w:r>
      <w:r>
        <w:rPr>
          <w:bCs/>
        </w:rPr>
        <w:t xml:space="preserve">- Documentos protocolados, registrados e distribuídos - 37.628; serviços complementares (*) - 1803; correspondências recebidas, distribuídas e expedidas - 20.799; malotes recebidos e expedidos - 4.083; documentos recebidos e expedidos - 8.102; apoio ao serviço de carro e </w:t>
      </w:r>
      <w:r>
        <w:rPr>
          <w:bCs/>
          <w:i/>
        </w:rPr>
        <w:t>motoboy -</w:t>
      </w:r>
      <w:r>
        <w:rPr>
          <w:bCs/>
        </w:rPr>
        <w:t xml:space="preserve"> 1.646; jornais recebidos e distribuídos - 2.498.</w:t>
      </w:r>
    </w:p>
    <w:p w:rsidR="003E6588" w:rsidRDefault="003E6588">
      <w:pPr>
        <w:pStyle w:val="PargrafodaLista1"/>
        <w:ind w:left="0" w:firstLine="1134"/>
        <w:contextualSpacing/>
        <w:jc w:val="both"/>
        <w:rPr>
          <w:bCs/>
        </w:rPr>
      </w:pPr>
    </w:p>
    <w:p w:rsidR="003E6588" w:rsidRDefault="003E6588">
      <w:pPr>
        <w:ind w:firstLine="1134"/>
        <w:jc w:val="both"/>
        <w:rPr>
          <w:bCs/>
        </w:rPr>
      </w:pPr>
      <w:r>
        <w:rPr>
          <w:bCs/>
        </w:rPr>
        <w:t>(*) os serviços de atividades complementares envolvem pesquisa de documentos, atendimentos telefônicos, atendimentos de guichê, refazer capas de processos, abertura de volumes de processos acerto de cadastro de documentos, usuários e acerto de cadastro de Unidades.</w:t>
      </w:r>
    </w:p>
    <w:p w:rsidR="003E6588" w:rsidRDefault="003E6588">
      <w:pPr>
        <w:autoSpaceDE w:val="0"/>
        <w:autoSpaceDN w:val="0"/>
        <w:adjustRightInd w:val="0"/>
        <w:ind w:firstLine="1134"/>
        <w:jc w:val="both"/>
        <w:rPr>
          <w:b/>
          <w:color w:val="000000"/>
        </w:rPr>
      </w:pPr>
    </w:p>
    <w:p w:rsidR="00CA6D07" w:rsidRDefault="003E6588" w:rsidP="00CA6D07">
      <w:pPr>
        <w:autoSpaceDE w:val="0"/>
        <w:autoSpaceDN w:val="0"/>
        <w:adjustRightInd w:val="0"/>
        <w:ind w:firstLine="1134"/>
        <w:jc w:val="both"/>
        <w:rPr>
          <w:color w:val="000000"/>
        </w:rPr>
      </w:pPr>
      <w:r>
        <w:rPr>
          <w:b/>
          <w:color w:val="000000"/>
        </w:rPr>
        <w:t xml:space="preserve">Documentação e Arquivo </w:t>
      </w:r>
      <w:r>
        <w:t>- Pesquisas - Atendimento a 189 solicitações de pesquisas legislativas e 451 pesquisas bibliográficas; a</w:t>
      </w:r>
      <w:r>
        <w:rPr>
          <w:rFonts w:eastAsia="Batang"/>
          <w:color w:val="000000"/>
        </w:rPr>
        <w:t xml:space="preserve">limentação de dados - </w:t>
      </w:r>
      <w:r>
        <w:rPr>
          <w:color w:val="000000"/>
        </w:rPr>
        <w:t>8.829 registros de legislação e 396 títulos de livros e 530 exemplares e peródicos; a</w:t>
      </w:r>
      <w:r>
        <w:rPr>
          <w:rFonts w:eastAsia="Batang"/>
          <w:color w:val="000000"/>
        </w:rPr>
        <w:t>nálise de documentos -</w:t>
      </w:r>
      <w:r>
        <w:rPr>
          <w:rFonts w:eastAsia="Batang"/>
        </w:rPr>
        <w:t xml:space="preserve"> </w:t>
      </w:r>
      <w:r w:rsidR="00CA6D07">
        <w:rPr>
          <w:rFonts w:eastAsia="Batang"/>
          <w:color w:val="000000"/>
        </w:rPr>
        <w:t xml:space="preserve">Análise </w:t>
      </w:r>
      <w:r>
        <w:rPr>
          <w:rFonts w:eastAsia="Batang"/>
          <w:color w:val="000000"/>
        </w:rPr>
        <w:t xml:space="preserve">de </w:t>
      </w:r>
      <w:r>
        <w:rPr>
          <w:bCs/>
          <w:color w:val="000000"/>
        </w:rPr>
        <w:t>8.428</w:t>
      </w:r>
      <w:r>
        <w:rPr>
          <w:color w:val="000000"/>
        </w:rPr>
        <w:t xml:space="preserve"> atos do Poder Executivo; </w:t>
      </w:r>
      <w:r>
        <w:rPr>
          <w:bCs/>
          <w:color w:val="000000"/>
        </w:rPr>
        <w:t>401</w:t>
      </w:r>
      <w:r>
        <w:rPr>
          <w:color w:val="000000"/>
        </w:rPr>
        <w:t xml:space="preserve"> atos do Poder Legislativo e 50.448 registros no vocabulário controlado.</w:t>
      </w:r>
    </w:p>
    <w:p w:rsidR="00CA6D07" w:rsidRDefault="00CA6D07" w:rsidP="00CA6D07">
      <w:pPr>
        <w:autoSpaceDE w:val="0"/>
        <w:autoSpaceDN w:val="0"/>
        <w:adjustRightInd w:val="0"/>
        <w:ind w:firstLine="1134"/>
        <w:jc w:val="both"/>
        <w:rPr>
          <w:color w:val="000000"/>
        </w:rPr>
      </w:pPr>
    </w:p>
    <w:p w:rsidR="003E6588" w:rsidRDefault="003E6588" w:rsidP="00CA6D07">
      <w:pPr>
        <w:autoSpaceDE w:val="0"/>
        <w:autoSpaceDN w:val="0"/>
        <w:adjustRightInd w:val="0"/>
        <w:ind w:firstLine="1134"/>
        <w:jc w:val="both"/>
      </w:pPr>
      <w:r>
        <w:rPr>
          <w:b/>
          <w:color w:val="000000"/>
        </w:rPr>
        <w:t>Produtos</w:t>
      </w:r>
      <w:r w:rsidR="00CA6D07">
        <w:rPr>
          <w:b/>
          <w:color w:val="000000"/>
        </w:rPr>
        <w:t xml:space="preserve"> - </w:t>
      </w:r>
      <w:r>
        <w:rPr>
          <w:iCs/>
        </w:rPr>
        <w:t>Alerta Legislação -</w:t>
      </w:r>
      <w:r>
        <w:t xml:space="preserve"> 52 boletins e distribuídos para os clientes da Biblioteca no total de 1202.</w:t>
      </w:r>
      <w:r w:rsidR="00CA6D07">
        <w:t xml:space="preserve"> </w:t>
      </w:r>
      <w:r>
        <w:t>Legislação do Estado de São Paulo - Foram analisados 1.262 atos.</w:t>
      </w:r>
      <w:r w:rsidR="00CA6D07">
        <w:t xml:space="preserve"> </w:t>
      </w:r>
      <w:r>
        <w:t>Mensagens de vetos - Foram analisadas 74 mensagens de vetos, sendo 48 totais e 25 parciais.</w:t>
      </w:r>
      <w:r w:rsidR="00CA6D07">
        <w:t xml:space="preserve"> </w:t>
      </w:r>
      <w:r>
        <w:t>Atos de Nomeação, exoneração, designação e afastamento do - Análise de 698 atos.</w:t>
      </w:r>
      <w:r w:rsidR="00CA6D07">
        <w:t xml:space="preserve"> </w:t>
      </w:r>
      <w:r>
        <w:t>Resoluções da Casa Civil - Análise de 144 resoluções textos digitados.</w:t>
      </w:r>
      <w:r w:rsidR="00CA6D07">
        <w:t xml:space="preserve"> </w:t>
      </w:r>
      <w:r>
        <w:t>Decretos e Despachos do Governador - Análise de 99 decretos e 112 despachos.</w:t>
      </w:r>
    </w:p>
    <w:p w:rsidR="003E6588" w:rsidRDefault="003E6588">
      <w:pPr>
        <w:ind w:firstLine="1134"/>
        <w:jc w:val="both"/>
      </w:pPr>
    </w:p>
    <w:p w:rsidR="003E6588" w:rsidRDefault="003E6588">
      <w:pPr>
        <w:ind w:firstLine="1134"/>
        <w:jc w:val="both"/>
      </w:pPr>
      <w:r w:rsidRPr="00CA6D07">
        <w:rPr>
          <w:b/>
          <w:i/>
        </w:rPr>
        <w:t>Site</w:t>
      </w:r>
      <w:r w:rsidRPr="00CA6D07">
        <w:rPr>
          <w:b/>
        </w:rPr>
        <w:t xml:space="preserve"> da Biblioteca</w:t>
      </w:r>
      <w:r>
        <w:t xml:space="preserve"> - </w:t>
      </w:r>
      <w:r>
        <w:rPr>
          <w:bCs/>
        </w:rPr>
        <w:t xml:space="preserve">Criação de </w:t>
      </w:r>
      <w:r>
        <w:rPr>
          <w:bCs/>
          <w:i/>
        </w:rPr>
        <w:t>site</w:t>
      </w:r>
      <w:r>
        <w:rPr>
          <w:bCs/>
        </w:rPr>
        <w:t xml:space="preserve"> de </w:t>
      </w:r>
      <w:r>
        <w:rPr>
          <w:bCs/>
          <w:i/>
        </w:rPr>
        <w:t>internet</w:t>
      </w:r>
      <w:r>
        <w:rPr>
          <w:bCs/>
        </w:rPr>
        <w:t xml:space="preserve"> para disponibilizar seus produtos e serviços. O </w:t>
      </w:r>
      <w:r>
        <w:rPr>
          <w:bCs/>
          <w:i/>
        </w:rPr>
        <w:t>site</w:t>
      </w:r>
      <w:r>
        <w:rPr>
          <w:bCs/>
        </w:rPr>
        <w:t xml:space="preserve"> está operacional e encontra-se hospedado no portal da Casa Civil do Governo do Estado: </w:t>
      </w:r>
      <w:hyperlink r:id="rId17" w:history="1">
        <w:r>
          <w:rPr>
            <w:rStyle w:val="Hyperlink"/>
            <w:bCs/>
          </w:rPr>
          <w:t>http://www.casacivil.sp.gov.br/</w:t>
        </w:r>
      </w:hyperlink>
      <w:r>
        <w:rPr>
          <w:bCs/>
        </w:rPr>
        <w:t xml:space="preserve"> ou </w:t>
      </w:r>
      <w:hyperlink r:id="rId18" w:history="1">
        <w:r>
          <w:rPr>
            <w:rStyle w:val="Hyperlink"/>
            <w:bCs/>
          </w:rPr>
          <w:t>http://www.casacivil.sp.gov.br/biblioteca-ccivil/home.asp</w:t>
        </w:r>
      </w:hyperlink>
      <w:r>
        <w:t>.</w:t>
      </w:r>
    </w:p>
    <w:p w:rsidR="003E6588" w:rsidRDefault="003E6588">
      <w:pPr>
        <w:ind w:firstLine="1134"/>
        <w:jc w:val="both"/>
        <w:rPr>
          <w:bCs/>
        </w:rPr>
      </w:pPr>
    </w:p>
    <w:p w:rsidR="003E6588" w:rsidRDefault="003E6588">
      <w:pPr>
        <w:ind w:firstLine="1134"/>
        <w:jc w:val="both"/>
      </w:pPr>
      <w:r>
        <w:rPr>
          <w:bCs/>
        </w:rPr>
        <w:lastRenderedPageBreak/>
        <w:t xml:space="preserve">A manutenção do </w:t>
      </w:r>
      <w:r>
        <w:rPr>
          <w:bCs/>
          <w:i/>
        </w:rPr>
        <w:t>site</w:t>
      </w:r>
      <w:r>
        <w:rPr>
          <w:bCs/>
        </w:rPr>
        <w:t xml:space="preserve"> consiste em: </w:t>
      </w:r>
      <w:r w:rsidR="00CA6D07">
        <w:t xml:space="preserve">Alimentação </w:t>
      </w:r>
      <w:r>
        <w:t xml:space="preserve">diária das “Últimas notícias” e </w:t>
      </w:r>
      <w:r w:rsidR="00CA6D07">
        <w:t xml:space="preserve">alimentação </w:t>
      </w:r>
      <w:r>
        <w:t>periódica de: “Legislações em destaque”; alimentação periódica dos “</w:t>
      </w:r>
      <w:r>
        <w:rPr>
          <w:i/>
        </w:rPr>
        <w:t>Links</w:t>
      </w:r>
      <w:r>
        <w:t xml:space="preserve"> de interesse”; Balanço Geral do Estado; boletim alerta legislação; despachos (do Governador e Normativos do Governador); discursos de posse dos Governadores; histórico da Casa Civil; mensagens de veto; nomeações do do Governo; novas aquisições bibliográficas; órgãos colegiados: legislação; produção legislativa de São Paulo: análise; relação de cargos do Estado; resoluções da Casa Civil.</w:t>
      </w:r>
    </w:p>
    <w:p w:rsidR="003E6588" w:rsidRDefault="003E6588">
      <w:pPr>
        <w:ind w:firstLine="1276"/>
        <w:jc w:val="both"/>
      </w:pPr>
    </w:p>
    <w:p w:rsidR="003E6588" w:rsidRDefault="003E6588">
      <w:pPr>
        <w:ind w:firstLine="1134"/>
        <w:jc w:val="both"/>
        <w:rPr>
          <w:bCs/>
        </w:rPr>
      </w:pPr>
      <w:r>
        <w:rPr>
          <w:b/>
          <w:color w:val="000000"/>
        </w:rPr>
        <w:t>Processamento Técnico Bibliográfico</w:t>
      </w:r>
      <w:r>
        <w:rPr>
          <w:b/>
          <w:color w:val="0000FF"/>
        </w:rPr>
        <w:t xml:space="preserve"> -</w:t>
      </w:r>
      <w:r>
        <w:t xml:space="preserve"> </w:t>
      </w:r>
      <w:r>
        <w:rPr>
          <w:bCs/>
        </w:rPr>
        <w:t>1.557 registros de livros; periódicos; pareceres e microfilmes no sistema Informa.</w:t>
      </w:r>
    </w:p>
    <w:p w:rsidR="003E6588" w:rsidRPr="007323E6" w:rsidRDefault="003E6588">
      <w:pPr>
        <w:ind w:firstLine="1134"/>
        <w:rPr>
          <w:bCs/>
          <w:sz w:val="16"/>
          <w:szCs w:val="16"/>
        </w:rPr>
      </w:pPr>
    </w:p>
    <w:p w:rsidR="003E6588" w:rsidRDefault="003E6588">
      <w:pPr>
        <w:pStyle w:val="Recuodecorpodetexto"/>
        <w:ind w:left="0" w:firstLine="1134"/>
        <w:rPr>
          <w:rFonts w:ascii="Times New Roman" w:hAnsi="Times New Roman"/>
          <w:bCs/>
          <w:lang w:val="pt-BR"/>
        </w:rPr>
      </w:pPr>
      <w:r>
        <w:rPr>
          <w:rFonts w:ascii="Times New Roman" w:hAnsi="Times New Roman"/>
          <w:b/>
          <w:bCs/>
          <w:color w:val="000000"/>
          <w:lang w:val="pt-BR"/>
        </w:rPr>
        <w:t xml:space="preserve">Atividades de Arquivo </w:t>
      </w:r>
      <w:r>
        <w:rPr>
          <w:rFonts w:ascii="Times New Roman" w:hAnsi="Times New Roman"/>
          <w:bCs/>
          <w:lang w:val="pt-BR"/>
        </w:rPr>
        <w:t>- Registro - entrada de processos - 18.4920.2536; registro saída de processos - 5.793.</w:t>
      </w:r>
    </w:p>
    <w:p w:rsidR="003E6588" w:rsidRPr="00C71695" w:rsidRDefault="003E6588">
      <w:pPr>
        <w:autoSpaceDE w:val="0"/>
        <w:autoSpaceDN w:val="0"/>
        <w:adjustRightInd w:val="0"/>
        <w:ind w:firstLine="1134"/>
        <w:jc w:val="both"/>
        <w:rPr>
          <w:b/>
        </w:rPr>
      </w:pPr>
    </w:p>
    <w:p w:rsidR="00CE22BC" w:rsidRDefault="00CE22BC" w:rsidP="00CE22BC">
      <w:pPr>
        <w:pStyle w:val="western"/>
        <w:spacing w:before="0" w:beforeAutospacing="0" w:after="0"/>
        <w:ind w:firstLine="1134"/>
        <w:jc w:val="both"/>
        <w:rPr>
          <w:rFonts w:ascii="Times New Roman" w:hAnsi="Times New Roman" w:cs="Times New Roman"/>
        </w:rPr>
      </w:pPr>
      <w:r>
        <w:rPr>
          <w:rFonts w:ascii="Times New Roman" w:hAnsi="Times New Roman" w:cs="Times New Roman"/>
          <w:b/>
          <w:bCs/>
        </w:rPr>
        <w:t>Assessoria Técnico-Legislativa</w:t>
      </w:r>
      <w:r>
        <w:rPr>
          <w:rFonts w:ascii="Times New Roman" w:hAnsi="Times New Roman" w:cs="Times New Roman"/>
        </w:rPr>
        <w:t xml:space="preserve"> - À Assessoria Técnico-Legislativa - ATL compete o assessoramento jurídico do exercício das funções legislativas outorgadas constitucionalmente ao Governador do Estado e o acompanhamento de todas as proposições legislativas.</w:t>
      </w:r>
    </w:p>
    <w:p w:rsidR="00CE22BC" w:rsidRDefault="00CE22BC" w:rsidP="00CE22BC">
      <w:pPr>
        <w:pStyle w:val="western"/>
        <w:spacing w:before="0" w:beforeAutospacing="0" w:after="0"/>
        <w:ind w:firstLine="1134"/>
        <w:jc w:val="both"/>
        <w:rPr>
          <w:rFonts w:ascii="Times New Roman" w:hAnsi="Times New Roman" w:cs="Times New Roman"/>
        </w:rPr>
      </w:pPr>
    </w:p>
    <w:p w:rsidR="00CE22BC" w:rsidRDefault="00CE22BC" w:rsidP="00CE22BC">
      <w:pPr>
        <w:pStyle w:val="western"/>
        <w:spacing w:before="0" w:beforeAutospacing="0" w:after="0"/>
        <w:ind w:firstLine="1134"/>
        <w:jc w:val="both"/>
        <w:rPr>
          <w:rFonts w:ascii="Times New Roman" w:hAnsi="Times New Roman" w:cs="Times New Roman"/>
        </w:rPr>
      </w:pPr>
      <w:r>
        <w:rPr>
          <w:rFonts w:ascii="Times New Roman" w:hAnsi="Times New Roman" w:cs="Times New Roman"/>
        </w:rPr>
        <w:t>No desempenho dessas atribuições, a ATL procedeu à análise jurídica e instrução de 1.443 projetos de lei ordinária e 51 projetos de lei complementar, perfazendo 1.494 projetos.</w:t>
      </w:r>
    </w:p>
    <w:p w:rsidR="00CE22BC" w:rsidRDefault="00CE22BC" w:rsidP="00CE22BC">
      <w:pPr>
        <w:pStyle w:val="western"/>
        <w:spacing w:before="0" w:beforeAutospacing="0" w:after="0"/>
        <w:ind w:firstLine="1134"/>
        <w:jc w:val="both"/>
        <w:rPr>
          <w:rFonts w:ascii="Times New Roman" w:hAnsi="Times New Roman" w:cs="Times New Roman"/>
        </w:rPr>
      </w:pPr>
    </w:p>
    <w:p w:rsidR="00CE22BC" w:rsidRDefault="00CE22BC" w:rsidP="00CE22BC">
      <w:pPr>
        <w:pStyle w:val="western"/>
        <w:spacing w:before="0" w:beforeAutospacing="0" w:after="0"/>
        <w:ind w:firstLine="1134"/>
        <w:jc w:val="both"/>
        <w:rPr>
          <w:rFonts w:ascii="Times New Roman" w:hAnsi="Times New Roman" w:cs="Times New Roman"/>
        </w:rPr>
      </w:pPr>
      <w:r>
        <w:rPr>
          <w:rFonts w:ascii="Times New Roman" w:hAnsi="Times New Roman" w:cs="Times New Roman"/>
        </w:rPr>
        <w:t>Com vistas a propiciar elementos para sanção ou veto de proposituras, a ATL analisou 444 Autógrafos expedidos pela Mesa da Assembleia Legislativa.</w:t>
      </w:r>
    </w:p>
    <w:p w:rsidR="00CE22BC" w:rsidRDefault="00CE22BC" w:rsidP="00CE22BC">
      <w:pPr>
        <w:pStyle w:val="western"/>
        <w:spacing w:before="0" w:beforeAutospacing="0" w:after="0"/>
        <w:ind w:firstLine="1134"/>
        <w:jc w:val="both"/>
        <w:rPr>
          <w:rFonts w:ascii="Times New Roman" w:hAnsi="Times New Roman" w:cs="Times New Roman"/>
        </w:rPr>
      </w:pPr>
    </w:p>
    <w:p w:rsidR="00CE22BC" w:rsidRDefault="00CE22BC" w:rsidP="00CE22BC">
      <w:pPr>
        <w:pStyle w:val="NormalWeb"/>
        <w:spacing w:before="0" w:beforeAutospacing="0" w:after="0" w:afterAutospacing="0"/>
        <w:ind w:firstLine="1134"/>
        <w:jc w:val="both"/>
      </w:pPr>
      <w:r>
        <w:t>Com base em estudos promovidos pelas Secretarias de Estado e suas entidades vinculadas, a ATL analisou e elaborou 151 Mensagens Governamentais, dentre as quais se destacam 46 projetos de lei, que foram transmitidos à Assembleia Legislativa, dos quais 28 foram aprovados e convertidos em lei e 18 encontram-se em tramitação.</w:t>
      </w:r>
    </w:p>
    <w:p w:rsidR="00CE22BC" w:rsidRDefault="00CE22BC" w:rsidP="00CE22BC">
      <w:pPr>
        <w:pStyle w:val="NormalWeb"/>
        <w:spacing w:before="0" w:beforeAutospacing="0" w:after="0" w:afterAutospacing="0"/>
        <w:ind w:firstLine="1134"/>
        <w:jc w:val="both"/>
      </w:pPr>
    </w:p>
    <w:p w:rsidR="00CE22BC" w:rsidRDefault="00CE22BC" w:rsidP="00CE22BC">
      <w:pPr>
        <w:pStyle w:val="NormalWeb"/>
        <w:spacing w:before="0" w:beforeAutospacing="0" w:after="0" w:afterAutospacing="0"/>
        <w:ind w:firstLine="1134"/>
        <w:jc w:val="both"/>
      </w:pPr>
      <w:r>
        <w:t>Coube à ATL examinar a documentação que as Secretarias de Estado e suas entidades vinculadas ofereceram como resposta a 274 Requerimentos de Informações apresentados por Parlamentares, proferir pareceres e preparar Notas Técnicas sobre proposições em tramitação na Assembleia Legislativa.</w:t>
      </w:r>
    </w:p>
    <w:p w:rsidR="00CE22BC" w:rsidRPr="00D5505F" w:rsidRDefault="00CE22BC" w:rsidP="00CE22BC">
      <w:pPr>
        <w:pStyle w:val="western"/>
        <w:spacing w:before="0" w:beforeAutospacing="0" w:after="0"/>
        <w:ind w:firstLine="1083"/>
        <w:rPr>
          <w:rFonts w:ascii="Times New Roman" w:hAnsi="Times New Roman" w:cs="Times New Roman"/>
        </w:rPr>
      </w:pPr>
    </w:p>
    <w:p w:rsidR="00CE22BC" w:rsidRDefault="00CE22BC" w:rsidP="00CE22BC">
      <w:pPr>
        <w:pStyle w:val="western"/>
        <w:spacing w:before="0" w:beforeAutospacing="0" w:after="0"/>
        <w:rPr>
          <w:rFonts w:ascii="Times New Roman" w:hAnsi="Times New Roman" w:cs="Times New Roman"/>
          <w:b/>
          <w:bCs/>
        </w:rPr>
      </w:pPr>
      <w:r>
        <w:rPr>
          <w:rFonts w:ascii="Times New Roman" w:hAnsi="Times New Roman" w:cs="Times New Roman"/>
          <w:b/>
          <w:bCs/>
        </w:rPr>
        <w:t>PROJETOS DE LEI DE INICIATIVA DO PODER EXECUTIVO</w:t>
      </w:r>
    </w:p>
    <w:p w:rsidR="00CE22BC" w:rsidRDefault="00CE22BC" w:rsidP="00CE22BC">
      <w:pPr>
        <w:pStyle w:val="western"/>
        <w:spacing w:before="0" w:beforeAutospacing="0" w:after="0"/>
        <w:rPr>
          <w:rFonts w:ascii="Times New Roman" w:hAnsi="Times New Roman" w:cs="Times New Roman"/>
          <w:b/>
          <w:bCs/>
        </w:rPr>
      </w:pPr>
      <w:r>
        <w:rPr>
          <w:rFonts w:ascii="Times New Roman" w:hAnsi="Times New Roman" w:cs="Times New Roman"/>
          <w:b/>
          <w:bCs/>
        </w:rPr>
        <w:t>CONVERTIDOS EM LEI</w:t>
      </w:r>
    </w:p>
    <w:p w:rsidR="00CE22BC" w:rsidRPr="00D5505F" w:rsidRDefault="00CE22BC" w:rsidP="00CE22BC">
      <w:pPr>
        <w:pStyle w:val="western"/>
        <w:spacing w:before="0" w:beforeAutospacing="0" w:after="0"/>
        <w:rPr>
          <w:rFonts w:ascii="Times New Roman" w:hAnsi="Times New Roman" w:cs="Times New Roman"/>
        </w:rPr>
      </w:pPr>
    </w:p>
    <w:tbl>
      <w:tblPr>
        <w:tblW w:w="10111"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26"/>
        <w:gridCol w:w="9685"/>
      </w:tblGrid>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right="-116"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1/14 - LEI COMPLEMENTAR Nº 1.241, DE 8/5/14</w:t>
            </w:r>
          </w:p>
          <w:p w:rsidR="00CE22BC" w:rsidRPr="007323E6" w:rsidRDefault="00CE22BC" w:rsidP="007335E5">
            <w:pPr>
              <w:jc w:val="both"/>
            </w:pPr>
            <w:r w:rsidRPr="007323E6">
              <w:rPr>
                <w:rStyle w:val="Forte"/>
                <w:rFonts w:eastAsia="Calibri"/>
                <w:b w:val="0"/>
              </w:rPr>
              <w:t>Cria a Região Metropolitana de Sorocaba e dá providências correlatas.</w:t>
            </w:r>
          </w:p>
          <w:p w:rsidR="00CE22BC" w:rsidRDefault="00CE22BC" w:rsidP="007335E5">
            <w:pPr>
              <w:jc w:val="both"/>
            </w:pPr>
            <w:r w:rsidRPr="007323E6">
              <w:t>Mensagem A-nº 237, de 26/12/13, publ. DO de 4/2/14 (com urgência)</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2/14 - LEI COMPLEMENTAR Nº 1.234, DE 13/3/14</w:t>
            </w:r>
          </w:p>
          <w:p w:rsidR="00CE22BC" w:rsidRPr="007323E6" w:rsidRDefault="00CE22BC" w:rsidP="007335E5">
            <w:pPr>
              <w:jc w:val="both"/>
            </w:pPr>
            <w:r w:rsidRPr="007323E6">
              <w:t>Integra na Região Metropolitana de Campinas o Município de Morungaba.</w:t>
            </w:r>
          </w:p>
          <w:p w:rsidR="00C71695" w:rsidRPr="007323E6" w:rsidRDefault="00CE22BC" w:rsidP="00D5505F">
            <w:pPr>
              <w:jc w:val="both"/>
            </w:pPr>
            <w:r w:rsidRPr="007323E6">
              <w:t>Mensagem A-nº 2, de 6/1, publ. DO de 4/2/14</w:t>
            </w: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3/14 - LEI COMPLEMENTAR Nº 1.258, DE 12/1/15</w:t>
            </w:r>
          </w:p>
          <w:p w:rsidR="00CE22BC" w:rsidRPr="007323E6" w:rsidRDefault="00CE22BC" w:rsidP="007335E5">
            <w:pPr>
              <w:jc w:val="both"/>
            </w:pPr>
            <w:r w:rsidRPr="007323E6">
              <w:t>Dispõe sobre a criação da Agência Metropolitana do Vale do Paraíba e Litoral Norte - AGEMVALE, altera dispositivo da Lei Complementar nº 1.166, de 9 de janeiro 2012, e dá providências correlatas.</w:t>
            </w:r>
          </w:p>
          <w:p w:rsidR="00CE22BC" w:rsidRDefault="00CE22BC" w:rsidP="007335E5">
            <w:pPr>
              <w:jc w:val="both"/>
            </w:pPr>
            <w:r w:rsidRPr="007323E6">
              <w:t>Mensagem A-nº 11, de 24/1, publ. DO de 4/2/14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5/14 - LEI COMPLEMENTAR Nº 1.242, DE 28/5/14</w:t>
            </w:r>
          </w:p>
          <w:p w:rsidR="00CE22BC" w:rsidRPr="007323E6" w:rsidRDefault="00CE22BC" w:rsidP="007335E5">
            <w:pPr>
              <w:jc w:val="both"/>
            </w:pPr>
            <w:r w:rsidRPr="007323E6">
              <w:t>Dispõe sobre a criação de empregos públicos no Quadro de Pessoal do Centro Estadual de Educação Tecnológica “Paula Souza” - CEETEPS.</w:t>
            </w:r>
          </w:p>
          <w:p w:rsidR="00CE22BC" w:rsidRDefault="00CE22BC" w:rsidP="007335E5">
            <w:pPr>
              <w:jc w:val="both"/>
            </w:pPr>
            <w:r w:rsidRPr="007323E6">
              <w:t>Mensagem A-nº 15, de 18, publ. DO de 19/2/14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7/14 - LEI COMPLEMENTAR Nº 1.240, DE 22/4/14</w:t>
            </w:r>
          </w:p>
          <w:p w:rsidR="00CE22BC" w:rsidRPr="007323E6" w:rsidRDefault="00CE22BC" w:rsidP="007335E5">
            <w:pPr>
              <w:jc w:val="both"/>
              <w:rPr>
                <w:b/>
              </w:rPr>
            </w:pPr>
            <w:r w:rsidRPr="007323E6">
              <w:rPr>
                <w:b/>
              </w:rPr>
              <w:t>VETO PARCIAL - A- Nº 042, DE 22/4/14</w:t>
            </w:r>
          </w:p>
          <w:p w:rsidR="00CE22BC" w:rsidRPr="007323E6" w:rsidRDefault="00CE22BC" w:rsidP="007335E5">
            <w:pPr>
              <w:pStyle w:val="Ttulo8"/>
              <w:autoSpaceDE w:val="0"/>
              <w:autoSpaceDN w:val="0"/>
              <w:adjustRightInd w:val="0"/>
              <w:spacing w:before="0" w:after="0"/>
              <w:jc w:val="both"/>
              <w:rPr>
                <w:i w:val="0"/>
                <w:lang w:val="pt-BR"/>
              </w:rPr>
            </w:pPr>
            <w:r w:rsidRPr="007323E6">
              <w:rPr>
                <w:i w:val="0"/>
                <w:lang w:val="pt-BR"/>
              </w:rPr>
              <w:t xml:space="preserve">Altera a Lei Complementar nº 1.044, de 13 de maio de 2008, que institui o Plano de Carreiras, de Empregos Públicos e Sistema Retribuitório dos servidores do Centro Estadual de Educação Tecnológica “Paula Souza” </w:t>
            </w:r>
            <w:r w:rsidR="00BC205F">
              <w:rPr>
                <w:i w:val="0"/>
                <w:lang w:val="pt-BR"/>
              </w:rPr>
              <w:t>-</w:t>
            </w:r>
            <w:r w:rsidRPr="007323E6">
              <w:rPr>
                <w:i w:val="0"/>
                <w:lang w:val="pt-BR"/>
              </w:rPr>
              <w:t xml:space="preserve"> CEETEPS, e dá outras providências.</w:t>
            </w:r>
          </w:p>
          <w:p w:rsidR="00CE22BC" w:rsidRDefault="00CE22BC" w:rsidP="007335E5">
            <w:pPr>
              <w:jc w:val="both"/>
            </w:pPr>
            <w:r w:rsidRPr="007323E6">
              <w:t>Mensagem A-nº 19, de 28/2, publ. DO de 1º/3/14 (com urgência)</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8/14 - LEI COMPLEMENTAR Nº 1.236, DE 3/4/14</w:t>
            </w:r>
          </w:p>
          <w:p w:rsidR="00CE22BC" w:rsidRPr="007323E6" w:rsidRDefault="00CE22BC" w:rsidP="007335E5">
            <w:pPr>
              <w:pStyle w:val="Ttulo8"/>
              <w:autoSpaceDE w:val="0"/>
              <w:autoSpaceDN w:val="0"/>
              <w:adjustRightInd w:val="0"/>
              <w:spacing w:before="0" w:after="0"/>
              <w:jc w:val="both"/>
              <w:rPr>
                <w:bCs/>
                <w:i w:val="0"/>
                <w:lang w:val="pt-BR"/>
              </w:rPr>
            </w:pPr>
            <w:r w:rsidRPr="007323E6">
              <w:rPr>
                <w:i w:val="0"/>
                <w:lang w:val="pt-BR"/>
              </w:rPr>
              <w:t xml:space="preserve">Dispõe sobre a reclassificação dos salários dos integrantes do Quadro de Pessoal Técnico e Administrativo da Faculdade de Medicina de São José do Rio Preto </w:t>
            </w:r>
            <w:r w:rsidR="00BC205F">
              <w:rPr>
                <w:i w:val="0"/>
                <w:lang w:val="pt-BR"/>
              </w:rPr>
              <w:t>-</w:t>
            </w:r>
            <w:r w:rsidRPr="007323E6">
              <w:rPr>
                <w:i w:val="0"/>
                <w:lang w:val="pt-BR"/>
              </w:rPr>
              <w:t xml:space="preserve"> FAMERP e dá providências correlatas.</w:t>
            </w:r>
          </w:p>
          <w:p w:rsidR="00CE22BC" w:rsidRDefault="00CE22BC" w:rsidP="007335E5">
            <w:pPr>
              <w:jc w:val="both"/>
            </w:pPr>
            <w:r w:rsidRPr="007323E6">
              <w:t>Mensagem A-nº 20, de 14, publ. DO de 15/3/14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9/14 - LEI COMPLEMENTAR Nº 1.237, DE 3/4/14</w:t>
            </w:r>
          </w:p>
          <w:p w:rsidR="00CE22BC" w:rsidRPr="007323E6" w:rsidRDefault="00CE22BC" w:rsidP="007335E5">
            <w:pPr>
              <w:jc w:val="both"/>
            </w:pPr>
            <w:r w:rsidRPr="007323E6">
              <w:rPr>
                <w:iCs/>
              </w:rPr>
              <w:t xml:space="preserve">Dispõe sobre a reclassificação dos vencimentos dos integrantes da carreira docente da Faculdade de Medicina de São José do Rio Preto - FAMERP, criada pela </w:t>
            </w:r>
            <w:r w:rsidRPr="007323E6">
              <w:t>Lei Complementar nº 1.042, de 14 de abril de 2008</w:t>
            </w:r>
            <w:r w:rsidRPr="007323E6">
              <w:rPr>
                <w:iCs/>
              </w:rPr>
              <w:t>, e dá providências correlatas</w:t>
            </w:r>
            <w:r w:rsidRPr="007323E6">
              <w:t>.</w:t>
            </w:r>
          </w:p>
          <w:p w:rsidR="00CE22BC" w:rsidRDefault="00CE22BC" w:rsidP="007335E5">
            <w:pPr>
              <w:jc w:val="both"/>
            </w:pPr>
            <w:r w:rsidRPr="007323E6">
              <w:t xml:space="preserve">Mensagem A-nº </w:t>
            </w:r>
            <w:r w:rsidR="00C71695">
              <w:t>21, de 14, publ. DO de 15/3/14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 nº 179/14 - LEI Nº 15.423, de 12/5/14</w:t>
            </w:r>
          </w:p>
          <w:p w:rsidR="00CE22BC" w:rsidRPr="007323E6" w:rsidRDefault="00CE22BC" w:rsidP="007335E5">
            <w:pPr>
              <w:jc w:val="both"/>
            </w:pPr>
            <w:r w:rsidRPr="007323E6">
              <w:t>Autoriza a Fazenda do Estado a alienar, mediante permuta pura e simples, imóvel de sua propriedade, situado na Rua Ulysses Jamil Cury nº 715, com 64,688ha de terreno e 444,55m² de área construída, por outro, pertencente à Irmandade Santa Casa de Misericórdia de São José do Rio Preto, instituição filantrópica, sem fins lucrativos, localizado na Avenida Brigadeiro Faria Lima nº 5.544, com área de 36.957,77m² de terreno e 55.546,55m² de benfeitorias, ambos situados no Município de São José do Rio Preto.</w:t>
            </w:r>
          </w:p>
          <w:p w:rsidR="00CE22BC" w:rsidRDefault="00CE22BC" w:rsidP="007335E5">
            <w:pPr>
              <w:jc w:val="both"/>
            </w:pPr>
            <w:r w:rsidRPr="007323E6">
              <w:t>Mensagem A-nº 29, de 18, publ. DO de 20/3/14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 nº 290/14 - LEI Nº 15.427, DE 22/5/14</w:t>
            </w:r>
          </w:p>
          <w:p w:rsidR="00CE22BC" w:rsidRPr="007323E6" w:rsidRDefault="00CE22BC" w:rsidP="007335E5">
            <w:pPr>
              <w:jc w:val="both"/>
              <w:rPr>
                <w:iCs/>
              </w:rPr>
            </w:pPr>
            <w:r w:rsidRPr="007323E6">
              <w:rPr>
                <w:iCs/>
              </w:rPr>
              <w:t>Autoriza o Poder Executivo a realizar operação de crédito com o Banco Nacional de Desenvolvimento Econômico e Social - BNDES, a Caixa Econômica Federal - CEF, o Banco do Brasil  BB e bancos privados nacionais e dá providências correlatas.</w:t>
            </w:r>
          </w:p>
          <w:p w:rsidR="00CE22BC" w:rsidRDefault="00CE22BC" w:rsidP="007335E5">
            <w:pPr>
              <w:jc w:val="both"/>
              <w:rPr>
                <w:iCs/>
              </w:rPr>
            </w:pPr>
            <w:r w:rsidRPr="007323E6">
              <w:rPr>
                <w:iCs/>
              </w:rPr>
              <w:lastRenderedPageBreak/>
              <w:t>Mensagem A-nº 35, de 2, DO de 3/4/14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 nº 442/14 - LEI Nº 15.422, DE 12/5/14</w:t>
            </w:r>
          </w:p>
          <w:p w:rsidR="00CE22BC" w:rsidRPr="007323E6" w:rsidRDefault="00CE22BC" w:rsidP="007335E5">
            <w:pPr>
              <w:jc w:val="both"/>
            </w:pPr>
            <w:r w:rsidRPr="007323E6">
              <w:t>Altera a Lei nº 6.856, de 17 de maio de 1990, e autoriza a Fazenda do Estado a alienar, mediante doação, ao Município de Itu, o imóvel que especifica.</w:t>
            </w:r>
          </w:p>
          <w:p w:rsidR="00CE22BC" w:rsidRDefault="00CE22BC" w:rsidP="007335E5">
            <w:pPr>
              <w:tabs>
                <w:tab w:val="left" w:pos="5190"/>
              </w:tabs>
              <w:jc w:val="both"/>
            </w:pPr>
            <w:r w:rsidRPr="007323E6">
              <w:t>Mensagem A-nº 41, de 16, DO de 23/4/14</w:t>
            </w:r>
          </w:p>
          <w:p w:rsidR="00C71695" w:rsidRPr="007323E6" w:rsidRDefault="00C71695" w:rsidP="007335E5">
            <w:pPr>
              <w:tabs>
                <w:tab w:val="left" w:pos="5190"/>
              </w:tabs>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PLC nº 17/14 - LEI COMPLEMENTAR Nº 1.252, DE 3/7/14</w:t>
            </w:r>
          </w:p>
          <w:p w:rsidR="00CE22BC" w:rsidRPr="007323E6" w:rsidRDefault="00CE22BC" w:rsidP="007335E5">
            <w:pPr>
              <w:pStyle w:val="Ttulo8"/>
              <w:autoSpaceDE w:val="0"/>
              <w:autoSpaceDN w:val="0"/>
              <w:adjustRightInd w:val="0"/>
              <w:spacing w:before="0" w:after="0"/>
              <w:jc w:val="both"/>
              <w:rPr>
                <w:rFonts w:eastAsia="Arial Unicode MS"/>
                <w:i w:val="0"/>
                <w:lang w:val="pt-BR"/>
              </w:rPr>
            </w:pPr>
            <w:r w:rsidRPr="007323E6">
              <w:rPr>
                <w:i w:val="0"/>
                <w:lang w:val="pt-BR"/>
              </w:rPr>
              <w:t>A</w:t>
            </w:r>
            <w:r w:rsidRPr="007323E6">
              <w:rPr>
                <w:rFonts w:eastAsia="Arial Unicode MS"/>
                <w:i w:val="0"/>
                <w:lang w:val="pt-BR"/>
              </w:rPr>
              <w:t xml:space="preserve">ltera a Lei Complementar nº 1.240, de 22 de abril de 2014, que altera a Lei nº 1.044, de 13 de maio de 2008, que institui o Plano de Carreiras, de Empregos Públicos e Sistema Retribuitório dos servidores do Centro Estadual de Educação Tecnológica Paula Souza </w:t>
            </w:r>
            <w:r w:rsidR="00BC205F">
              <w:rPr>
                <w:rFonts w:eastAsia="Arial Unicode MS"/>
                <w:i w:val="0"/>
                <w:lang w:val="pt-BR"/>
              </w:rPr>
              <w:t>-</w:t>
            </w:r>
            <w:r w:rsidRPr="007323E6">
              <w:rPr>
                <w:rFonts w:eastAsia="Arial Unicode MS"/>
                <w:i w:val="0"/>
                <w:lang w:val="pt-BR"/>
              </w:rPr>
              <w:t xml:space="preserve"> CEETEPS, e dá outras providências.</w:t>
            </w:r>
          </w:p>
          <w:p w:rsidR="00CE22BC" w:rsidRDefault="00CE22BC" w:rsidP="007335E5">
            <w:pPr>
              <w:tabs>
                <w:tab w:val="left" w:pos="5190"/>
              </w:tabs>
              <w:jc w:val="both"/>
            </w:pPr>
            <w:r w:rsidRPr="007323E6">
              <w:t>Mensagem A-nº 43, de 22, DO de 23/4/14</w:t>
            </w:r>
          </w:p>
          <w:p w:rsidR="00C71695" w:rsidRPr="007323E6" w:rsidRDefault="00C71695" w:rsidP="007335E5">
            <w:pPr>
              <w:tabs>
                <w:tab w:val="left" w:pos="5190"/>
              </w:tabs>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 nº 522/2014 - LEI Nº 15.549, DE 30/7/14</w:t>
            </w:r>
          </w:p>
          <w:p w:rsidR="00CE22BC" w:rsidRPr="007323E6" w:rsidRDefault="00CE22BC" w:rsidP="007335E5">
            <w:pPr>
              <w:jc w:val="both"/>
            </w:pPr>
            <w:r w:rsidRPr="007323E6">
              <w:t>Dispõe sobre as Diretrizes Orçamentárias para o exercício de 2015.</w:t>
            </w:r>
          </w:p>
          <w:p w:rsidR="00CE22BC" w:rsidRDefault="00CE22BC" w:rsidP="007335E5">
            <w:pPr>
              <w:jc w:val="both"/>
            </w:pPr>
            <w:r w:rsidRPr="007323E6">
              <w:t>Mensagem A-nº 44, de 30/4, DO de 1º/5/14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PLC nº 18/14 - LEI COMPLEMENTAR Nº 1.246, DE 27/6/14</w:t>
            </w:r>
          </w:p>
          <w:p w:rsidR="00CE22BC" w:rsidRPr="007323E6" w:rsidRDefault="00CE22BC" w:rsidP="007335E5">
            <w:pPr>
              <w:pStyle w:val="Ttulo8"/>
              <w:autoSpaceDE w:val="0"/>
              <w:autoSpaceDN w:val="0"/>
              <w:adjustRightInd w:val="0"/>
              <w:spacing w:before="0" w:after="0"/>
              <w:jc w:val="both"/>
              <w:rPr>
                <w:i w:val="0"/>
                <w:lang w:val="pt-BR"/>
              </w:rPr>
            </w:pPr>
            <w:r w:rsidRPr="007323E6">
              <w:rPr>
                <w:rFonts w:eastAsia="MS Mincho"/>
                <w:i w:val="0"/>
                <w:lang w:val="pt-BR"/>
              </w:rPr>
              <w:t>Altera as Leis Complementares nº 959, de 13 de setembro de 2004; nº 898, de 13 de julho de 2001; nº 842, de 24 de março de 1998; nº 315, de 17 de fevereiro de 1983, e dá providências correlatas.</w:t>
            </w:r>
          </w:p>
          <w:p w:rsidR="00CE22BC" w:rsidRDefault="00CE22BC" w:rsidP="007335E5">
            <w:pPr>
              <w:tabs>
                <w:tab w:val="left" w:pos="5190"/>
              </w:tabs>
              <w:jc w:val="both"/>
            </w:pPr>
            <w:r w:rsidRPr="007323E6">
              <w:t>Mensagem A-nº 45, de 6, DO de 7/5/14</w:t>
            </w:r>
          </w:p>
          <w:p w:rsidR="00C71695" w:rsidRPr="007323E6" w:rsidRDefault="00C71695" w:rsidP="007335E5">
            <w:pPr>
              <w:tabs>
                <w:tab w:val="left" w:pos="5190"/>
              </w:tabs>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PLC nº 19/14 - LEI COMPLEMENTAR Nº 1.247, DE 27/6/14</w:t>
            </w:r>
          </w:p>
          <w:p w:rsidR="00CE22BC" w:rsidRPr="007323E6" w:rsidRDefault="00CE22BC" w:rsidP="007335E5">
            <w:pPr>
              <w:pStyle w:val="Ttulo8"/>
              <w:autoSpaceDE w:val="0"/>
              <w:autoSpaceDN w:val="0"/>
              <w:adjustRightInd w:val="0"/>
              <w:spacing w:before="0" w:after="0"/>
              <w:jc w:val="both"/>
              <w:rPr>
                <w:i w:val="0"/>
                <w:lang w:val="pt-BR"/>
              </w:rPr>
            </w:pPr>
            <w:r w:rsidRPr="007323E6">
              <w:rPr>
                <w:rStyle w:val="nfase"/>
                <w:lang w:val="pt-BR"/>
              </w:rPr>
              <w:t>Institui a Diária Especial por Jornada Extraordinária de Trabalho Penitenciário - DEJEP aos integrantes da carreira de Agente de Segurança Penitenciária em exercício na Secretaria da Administração Penitenciária e dá providências correlatas.</w:t>
            </w:r>
          </w:p>
          <w:p w:rsidR="00CE22BC" w:rsidRDefault="00CE22BC" w:rsidP="007335E5">
            <w:pPr>
              <w:tabs>
                <w:tab w:val="left" w:pos="5190"/>
              </w:tabs>
              <w:jc w:val="both"/>
            </w:pPr>
            <w:r w:rsidRPr="007323E6">
              <w:t>Mensagem A-nº 46, de 6, DO de 7/5/14</w:t>
            </w:r>
          </w:p>
          <w:p w:rsidR="00C71695" w:rsidRPr="007323E6" w:rsidRDefault="00C71695" w:rsidP="007335E5">
            <w:pPr>
              <w:tabs>
                <w:tab w:val="left" w:pos="5190"/>
              </w:tabs>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PLC nº 23/14 - LEI COMPLEMENTAR Nº 1.256, DE 6/1/15</w:t>
            </w:r>
          </w:p>
          <w:p w:rsidR="00CE22BC" w:rsidRPr="007323E6" w:rsidRDefault="00CE22BC" w:rsidP="007335E5">
            <w:pPr>
              <w:jc w:val="left"/>
              <w:rPr>
                <w:b/>
              </w:rPr>
            </w:pPr>
            <w:r w:rsidRPr="007323E6">
              <w:rPr>
                <w:b/>
              </w:rPr>
              <w:t>VETO PARCIAL - A-nº 001, de 6, do de 7/1/15</w:t>
            </w:r>
          </w:p>
          <w:p w:rsidR="00CE22BC" w:rsidRPr="007323E6" w:rsidRDefault="00CE22BC" w:rsidP="007335E5">
            <w:pPr>
              <w:pStyle w:val="Ttulo8"/>
              <w:autoSpaceDE w:val="0"/>
              <w:autoSpaceDN w:val="0"/>
              <w:adjustRightInd w:val="0"/>
              <w:spacing w:before="0" w:after="0"/>
              <w:jc w:val="both"/>
              <w:rPr>
                <w:i w:val="0"/>
                <w:lang w:val="pt-BR"/>
              </w:rPr>
            </w:pPr>
            <w:r w:rsidRPr="007323E6">
              <w:rPr>
                <w:i w:val="0"/>
                <w:lang w:val="pt-BR"/>
              </w:rPr>
              <w:t>Dispõe sobre Estágio Probatório e institui Avaliação Periódica de Desempenho Individual para os ocupantes do cargo de Diretor de Escola e Gratificação de Gestão Educacional para os integrantes das classes de suporte pedagógico do Quadro do Magistério da Secretaria da Educação e dá providências correlatas.</w:t>
            </w:r>
          </w:p>
          <w:p w:rsidR="00CE22BC" w:rsidRDefault="00CE22BC" w:rsidP="007335E5">
            <w:pPr>
              <w:tabs>
                <w:tab w:val="left" w:pos="5190"/>
              </w:tabs>
              <w:jc w:val="both"/>
            </w:pPr>
            <w:r w:rsidRPr="007323E6">
              <w:t>Mensagem A-nº 52, de 28, DO de 29/5/14</w:t>
            </w:r>
          </w:p>
          <w:p w:rsidR="00C71695" w:rsidRPr="007323E6" w:rsidRDefault="00C71695" w:rsidP="007335E5">
            <w:pPr>
              <w:tabs>
                <w:tab w:val="left" w:pos="5190"/>
              </w:tabs>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PLC nº 24/14 - LEI COMPLEMENTAR Nº 1.257, DE 6/1/15</w:t>
            </w:r>
          </w:p>
          <w:p w:rsidR="00CE22BC" w:rsidRPr="007323E6" w:rsidRDefault="00CE22BC" w:rsidP="007335E5">
            <w:pPr>
              <w:jc w:val="both"/>
            </w:pPr>
            <w:r w:rsidRPr="007323E6">
              <w:t>Institui o Código Estadual de Proteção Contra Incêndios e Emergências e dá providências correlatas.</w:t>
            </w:r>
          </w:p>
          <w:p w:rsidR="00C71695" w:rsidRDefault="00CE22BC" w:rsidP="007335E5">
            <w:pPr>
              <w:jc w:val="both"/>
            </w:pPr>
            <w:r w:rsidRPr="007323E6">
              <w:t>Mensagem A-nº 53, de 29, DO de 31/5/14</w:t>
            </w:r>
          </w:p>
          <w:p w:rsidR="00D5505F" w:rsidRDefault="00D5505F" w:rsidP="007335E5">
            <w:pPr>
              <w:jc w:val="both"/>
            </w:pP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 nº 823/14 - LEI Nº 15.576, DE 4/12/14</w:t>
            </w:r>
          </w:p>
          <w:p w:rsidR="00CE22BC" w:rsidRPr="007323E6" w:rsidRDefault="00CE22BC" w:rsidP="007335E5">
            <w:pPr>
              <w:jc w:val="both"/>
            </w:pPr>
            <w:r w:rsidRPr="007323E6">
              <w:t>Autoriza o Poder Executivo a oferecer garantia na forma que estabelece para assegurar o cumprimento de obrigações de pagamento em contratos de parceria público-privadas que tenham por objeto ações ou serviços em saúde, nas áreas médica, sanitária, hospitalar e de apoio.</w:t>
            </w:r>
          </w:p>
          <w:p w:rsidR="00CE22BC" w:rsidRDefault="00CE22BC" w:rsidP="007335E5">
            <w:pPr>
              <w:jc w:val="both"/>
            </w:pPr>
            <w:r w:rsidRPr="007323E6">
              <w:t>Mensa</w:t>
            </w:r>
            <w:r w:rsidR="00BC205F">
              <w:t>gem A-nº 54, de 2, DO de 3/6/14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PLC nº 25/14 - LEI COMPLEMENTAR Nº 1.248, DE 3/7/14</w:t>
            </w:r>
          </w:p>
          <w:p w:rsidR="00CE22BC" w:rsidRPr="007323E6" w:rsidRDefault="00CE22BC" w:rsidP="007335E5">
            <w:pPr>
              <w:jc w:val="both"/>
              <w:rPr>
                <w:iCs/>
              </w:rPr>
            </w:pPr>
            <w:r w:rsidRPr="007323E6">
              <w:rPr>
                <w:iCs/>
              </w:rPr>
              <w:t>Altera a Lei Complementar nº 1.144, de 11 de julho de 2011, que institui o Plano de Cargos, Vencimentos e Salários para os integrantes do Quadro de Apoio Escolar da Secretaria da Educação, e dá providências correlatas.</w:t>
            </w:r>
          </w:p>
          <w:p w:rsidR="00CE22BC" w:rsidRDefault="00CE22BC" w:rsidP="007335E5">
            <w:pPr>
              <w:jc w:val="both"/>
            </w:pPr>
            <w:r w:rsidRPr="007323E6">
              <w:t>Mensagem A-nº 59, de 5, DO de 6/6/14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PLC nº 26/14 - LEI COMPLEMENTAR Nº 1.249, DE 3/7/14</w:t>
            </w:r>
          </w:p>
          <w:p w:rsidR="00CE22BC" w:rsidRPr="007323E6" w:rsidRDefault="00CE22BC" w:rsidP="007335E5">
            <w:pPr>
              <w:jc w:val="both"/>
              <w:rPr>
                <w:b/>
              </w:rPr>
            </w:pPr>
            <w:r w:rsidRPr="007323E6">
              <w:rPr>
                <w:b/>
              </w:rPr>
              <w:t>VETO PARCIAL - A-Nº 83, DE 3/7/14</w:t>
            </w:r>
          </w:p>
          <w:p w:rsidR="00CE22BC" w:rsidRPr="007323E6" w:rsidRDefault="00CE22BC" w:rsidP="007335E5">
            <w:pPr>
              <w:jc w:val="both"/>
            </w:pPr>
            <w:r w:rsidRPr="007323E6">
              <w:t>Dispõe sobre a reclassificação dos vencimentos dos integrantes das carreiras policiais civis e militares, da Secretaria d</w:t>
            </w:r>
            <w:r w:rsidR="00C71695">
              <w:t>a</w:t>
            </w:r>
            <w:r w:rsidRPr="007323E6">
              <w:t xml:space="preserve"> Segurança Pública, bem como da carreira e classe que especifica, da Secretaria da Administração Penitenciária, e dá outras providências correlatas.</w:t>
            </w:r>
          </w:p>
          <w:p w:rsidR="00CE22BC" w:rsidRDefault="00CE22BC" w:rsidP="007335E5">
            <w:pPr>
              <w:jc w:val="both"/>
            </w:pPr>
            <w:r w:rsidRPr="007323E6">
              <w:t>Mensage</w:t>
            </w:r>
            <w:r w:rsidR="00BC205F">
              <w:t>m A-nº 66, de 25, DO de 26/6/14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PLC nº 27/14 - LEI COMPLEMENTAR Nº 1.250, DE 3/7/14</w:t>
            </w:r>
          </w:p>
          <w:p w:rsidR="00CE22BC" w:rsidRPr="007323E6" w:rsidRDefault="00CE22BC" w:rsidP="007335E5">
            <w:pPr>
              <w:jc w:val="both"/>
              <w:rPr>
                <w:b/>
              </w:rPr>
            </w:pPr>
            <w:r w:rsidRPr="007323E6">
              <w:rPr>
                <w:b/>
              </w:rPr>
              <w:t>VETO PARCIAL - A-Nº 84, DE 3/7/14</w:t>
            </w:r>
          </w:p>
          <w:p w:rsidR="00CE22BC" w:rsidRPr="007323E6" w:rsidRDefault="00CE22BC" w:rsidP="007335E5">
            <w:pPr>
              <w:jc w:val="both"/>
            </w:pPr>
            <w:r w:rsidRPr="007323E6">
              <w:rPr>
                <w:iCs/>
              </w:rPr>
              <w:t>Dispõe sobre a reclassificação dos vencimentos e salários dos servidores integrantes das classes de natureza permanente regidas pela Lei Complementar nº 1.080, de 17 de dezembro de 2008</w:t>
            </w:r>
            <w:r w:rsidRPr="007323E6">
              <w:t>,</w:t>
            </w:r>
            <w:r w:rsidRPr="007323E6">
              <w:rPr>
                <w:iCs/>
              </w:rPr>
              <w:t xml:space="preserve"> alterada pela Lei Complementar nº 1.158, de 2 de dezembro de 2011,</w:t>
            </w:r>
            <w:r w:rsidRPr="007323E6">
              <w:t xml:space="preserve"> e dá outras providências correlatas.</w:t>
            </w:r>
          </w:p>
          <w:p w:rsidR="00CE22BC" w:rsidRDefault="00CE22BC" w:rsidP="007335E5">
            <w:pPr>
              <w:jc w:val="both"/>
            </w:pPr>
            <w:r w:rsidRPr="007323E6">
              <w:t>Mensagem A-nº 70, de 26, DO de 27/6/14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PLC nº 29/14 - LEI COMPLEMENTAR Nº 1.251, DE 3/7/14</w:t>
            </w:r>
          </w:p>
          <w:p w:rsidR="00CE22BC" w:rsidRPr="007323E6" w:rsidRDefault="00CE22BC" w:rsidP="007335E5">
            <w:pPr>
              <w:jc w:val="both"/>
            </w:pPr>
            <w:r w:rsidRPr="007323E6">
              <w:t>Dispõe sobre reestruturação dos vencimentos e salários dos integrantes de classes regidas pela Lei Complementar nº 1.122, de 30 de junho de 2010, e dá outras providências.</w:t>
            </w:r>
          </w:p>
          <w:p w:rsidR="00CE22BC" w:rsidRDefault="00CE22BC" w:rsidP="007335E5">
            <w:pPr>
              <w:jc w:val="both"/>
            </w:pPr>
            <w:r w:rsidRPr="007323E6">
              <w:t>Mensagem A-nº 71, de 27, DO de 28/6/14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 xml:space="preserve">PL nº 937/14 </w:t>
            </w:r>
            <w:r w:rsidR="00BC205F">
              <w:rPr>
                <w:b/>
              </w:rPr>
              <w:t>-</w:t>
            </w:r>
            <w:r w:rsidRPr="007323E6">
              <w:rPr>
                <w:b/>
              </w:rPr>
              <w:t xml:space="preserve"> LEI N° 15.558, DE 1° DE SETEMBRO DE 2014</w:t>
            </w:r>
          </w:p>
          <w:p w:rsidR="00CE22BC" w:rsidRPr="007323E6" w:rsidRDefault="00CE22BC" w:rsidP="007335E5">
            <w:pPr>
              <w:tabs>
                <w:tab w:val="left" w:pos="2835"/>
                <w:tab w:val="left" w:pos="7484"/>
              </w:tabs>
              <w:jc w:val="both"/>
            </w:pPr>
            <w:r w:rsidRPr="007323E6">
              <w:t>C</w:t>
            </w:r>
            <w:r w:rsidRPr="007323E6">
              <w:rPr>
                <w:iCs/>
              </w:rPr>
              <w:t>ria cargos no Quadro da Secretaria da Administração Penitenciária e dá providências correlatas.(</w:t>
            </w:r>
            <w:r w:rsidRPr="007323E6">
              <w:t>criação de cargos de direção em substituição às funções de serviço público mediante “pro labore”).</w:t>
            </w:r>
          </w:p>
          <w:p w:rsidR="00CE22BC" w:rsidRDefault="00CE22BC" w:rsidP="007335E5">
            <w:pPr>
              <w:jc w:val="both"/>
            </w:pPr>
            <w:r w:rsidRPr="007323E6">
              <w:t>Mensagem A-nº 86, de 3/7, DO de 2/8/14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PL nº 938/14 - LEI N° 15.559, DE 1° DE SETEMBRO DE 2014</w:t>
            </w:r>
          </w:p>
          <w:p w:rsidR="00CE22BC" w:rsidRPr="007323E6" w:rsidRDefault="00CE22BC" w:rsidP="007335E5">
            <w:pPr>
              <w:jc w:val="both"/>
              <w:rPr>
                <w:iCs/>
              </w:rPr>
            </w:pPr>
            <w:r w:rsidRPr="007323E6">
              <w:t>C</w:t>
            </w:r>
            <w:r w:rsidRPr="007323E6">
              <w:rPr>
                <w:iCs/>
              </w:rPr>
              <w:t>ria cargos no Quadro da Secretaria da Administração Penitenciária. (</w:t>
            </w:r>
            <w:r w:rsidRPr="007323E6">
              <w:t>cargos da classe de Oficial Administrativo)</w:t>
            </w:r>
          </w:p>
          <w:p w:rsidR="00CE22BC" w:rsidRDefault="00CE22BC" w:rsidP="007335E5">
            <w:pPr>
              <w:jc w:val="both"/>
            </w:pPr>
            <w:r w:rsidRPr="007323E6">
              <w:t>Mensagem A-nº 87, de 3/7, DO de 2/8/14</w:t>
            </w:r>
          </w:p>
          <w:p w:rsidR="00C71695" w:rsidRPr="007323E6" w:rsidRDefault="00C71695" w:rsidP="007335E5">
            <w:pPr>
              <w:jc w:val="both"/>
              <w:rPr>
                <w:iCs/>
              </w:rPr>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 xml:space="preserve">PLC nº 32/14 </w:t>
            </w:r>
            <w:r w:rsidR="00BC205F">
              <w:rPr>
                <w:b/>
              </w:rPr>
              <w:t>-</w:t>
            </w:r>
            <w:r w:rsidRPr="007323E6">
              <w:rPr>
                <w:b/>
              </w:rPr>
              <w:t xml:space="preserve"> LEI COMPLEMENTAR Nº 1.253, DE 4/9/14</w:t>
            </w:r>
          </w:p>
          <w:p w:rsidR="00CE22BC" w:rsidRPr="007323E6" w:rsidRDefault="00CE22BC" w:rsidP="007335E5">
            <w:pPr>
              <w:tabs>
                <w:tab w:val="left" w:pos="1168"/>
              </w:tabs>
              <w:overflowPunct w:val="0"/>
              <w:autoSpaceDE w:val="0"/>
              <w:autoSpaceDN w:val="0"/>
              <w:adjustRightInd w:val="0"/>
              <w:jc w:val="both"/>
              <w:textAlignment w:val="baseline"/>
            </w:pPr>
            <w:r w:rsidRPr="007323E6">
              <w:t>Cria e extingue funções-atividades do Quadro do Hospital das Clínicas da Faculdade de Medicina de Ribeirão Preto da Universidade de São Paulo e dá providências correlatas.</w:t>
            </w:r>
          </w:p>
          <w:p w:rsidR="00CE22BC" w:rsidRDefault="00CE22BC" w:rsidP="007335E5">
            <w:pPr>
              <w:jc w:val="both"/>
            </w:pPr>
            <w:r w:rsidRPr="007323E6">
              <w:t>Mensagem A-nº 88, de 3/7, DO de 2/8/14</w:t>
            </w:r>
          </w:p>
          <w:p w:rsidR="00C71695" w:rsidRPr="007323E6" w:rsidRDefault="00C71695" w:rsidP="007335E5">
            <w:pPr>
              <w:jc w:val="both"/>
              <w:rPr>
                <w:iCs/>
              </w:rPr>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 xml:space="preserve">PL nº 1071/14 </w:t>
            </w:r>
            <w:r w:rsidR="00BC205F">
              <w:rPr>
                <w:b/>
              </w:rPr>
              <w:t>-</w:t>
            </w:r>
            <w:r w:rsidRPr="007323E6">
              <w:rPr>
                <w:b/>
              </w:rPr>
              <w:t xml:space="preserve"> LEI Nº 15.567, DE 30/10/14</w:t>
            </w:r>
          </w:p>
          <w:p w:rsidR="00CE22BC" w:rsidRPr="007323E6" w:rsidRDefault="00CE22BC" w:rsidP="007335E5">
            <w:pPr>
              <w:jc w:val="both"/>
              <w:rPr>
                <w:iCs/>
              </w:rPr>
            </w:pPr>
            <w:r w:rsidRPr="007323E6">
              <w:rPr>
                <w:iCs/>
              </w:rPr>
              <w:t xml:space="preserve">Autoriza o Poder Executivo a realizar operações de crédito com o Banco Nacional de Desenvolvimento Econômico e Social - BNDES, a Caixa Econômica Federal - CEF, o Banco do Brasil </w:t>
            </w:r>
            <w:r w:rsidR="00BC205F">
              <w:rPr>
                <w:iCs/>
              </w:rPr>
              <w:t>-</w:t>
            </w:r>
            <w:r w:rsidRPr="007323E6">
              <w:rPr>
                <w:iCs/>
              </w:rPr>
              <w:t xml:space="preserve"> BB e bancos privados nacionais, altera as Leis nº 15.427, de 22 de maio de 2014 e nº 14.987, de 17 de abril de 2013, e dá providências correlatas.</w:t>
            </w:r>
          </w:p>
          <w:p w:rsidR="00CE22BC" w:rsidRDefault="00CE22BC" w:rsidP="007335E5">
            <w:pPr>
              <w:jc w:val="both"/>
            </w:pPr>
            <w:r w:rsidRPr="007323E6">
              <w:t>Mensagem</w:t>
            </w:r>
            <w:r w:rsidR="00C71695">
              <w:t xml:space="preserve"> A-nº 116, de 15, DO de 16/8/14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 xml:space="preserve">PL nº 1291/14 </w:t>
            </w:r>
            <w:r w:rsidR="00BC205F">
              <w:rPr>
                <w:b/>
              </w:rPr>
              <w:t>-</w:t>
            </w:r>
            <w:r w:rsidRPr="007323E6">
              <w:rPr>
                <w:b/>
              </w:rPr>
              <w:t xml:space="preserve"> LEI Nº 15.646, DE 23/12/14</w:t>
            </w:r>
          </w:p>
          <w:p w:rsidR="00CE22BC" w:rsidRPr="007323E6" w:rsidRDefault="00CE22BC" w:rsidP="007335E5">
            <w:pPr>
              <w:jc w:val="both"/>
            </w:pPr>
            <w:r w:rsidRPr="007323E6">
              <w:t>Orça a Receita e fixa a Despesa do Estado para o exercício de 2015.</w:t>
            </w:r>
          </w:p>
          <w:p w:rsidR="00CE22BC" w:rsidRDefault="00CE22BC" w:rsidP="009E4C8F">
            <w:pPr>
              <w:jc w:val="left"/>
            </w:pPr>
            <w:r w:rsidRPr="007323E6">
              <w:t>Mensagem A-nº 136, de 30, DO de 1º/10/14</w:t>
            </w:r>
          </w:p>
          <w:p w:rsidR="00C71695" w:rsidRPr="007323E6" w:rsidRDefault="00C71695" w:rsidP="009E4C8F">
            <w:pPr>
              <w:jc w:val="left"/>
              <w:rPr>
                <w:b/>
              </w:rPr>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 xml:space="preserve">PL nº 1381/14 </w:t>
            </w:r>
            <w:r w:rsidR="00BC205F">
              <w:rPr>
                <w:b/>
              </w:rPr>
              <w:t>-</w:t>
            </w:r>
            <w:r w:rsidRPr="007323E6">
              <w:rPr>
                <w:b/>
              </w:rPr>
              <w:t xml:space="preserve"> LEI Nº 15.624, DE 19/12/14</w:t>
            </w:r>
          </w:p>
          <w:p w:rsidR="00CE22BC" w:rsidRPr="007323E6" w:rsidRDefault="00CE22BC" w:rsidP="007335E5">
            <w:pPr>
              <w:jc w:val="both"/>
              <w:rPr>
                <w:b/>
              </w:rPr>
            </w:pPr>
            <w:r w:rsidRPr="007323E6">
              <w:t>Revaloriza os pisos salariais mensais dos trabalhadores que especifica, instituídos pela Lei nº 12.640, de 11 de julho de 2007. (905/920)</w:t>
            </w:r>
          </w:p>
          <w:p w:rsidR="00CE22BC" w:rsidRDefault="00CE22BC" w:rsidP="007335E5">
            <w:pPr>
              <w:jc w:val="both"/>
            </w:pPr>
            <w:r w:rsidRPr="007323E6">
              <w:t>Mensagem A-nº 143, de 1º, DO de 2/12/14</w:t>
            </w:r>
          </w:p>
          <w:p w:rsidR="00C71695" w:rsidRPr="007323E6" w:rsidRDefault="00C71695" w:rsidP="007335E5">
            <w:pPr>
              <w:jc w:val="both"/>
            </w:pPr>
          </w:p>
        </w:tc>
      </w:tr>
      <w:tr w:rsidR="00CE22BC" w:rsidRPr="007323E6" w:rsidTr="00C71695">
        <w:trPr>
          <w:jc w:val="center"/>
        </w:trPr>
        <w:tc>
          <w:tcPr>
            <w:tcW w:w="426" w:type="dxa"/>
            <w:tcBorders>
              <w:top w:val="nil"/>
              <w:left w:val="nil"/>
              <w:bottom w:val="nil"/>
              <w:right w:val="nil"/>
            </w:tcBorders>
          </w:tcPr>
          <w:p w:rsidR="00CE22BC" w:rsidRPr="007323E6" w:rsidRDefault="00CE22BC" w:rsidP="007335E5">
            <w:pPr>
              <w:numPr>
                <w:ilvl w:val="0"/>
                <w:numId w:val="256"/>
              </w:numPr>
              <w:tabs>
                <w:tab w:val="clear" w:pos="644"/>
                <w:tab w:val="left" w:pos="567"/>
                <w:tab w:val="num" w:pos="720"/>
                <w:tab w:val="left" w:pos="2835"/>
                <w:tab w:val="left" w:pos="7428"/>
              </w:tabs>
              <w:ind w:left="0" w:firstLine="0"/>
              <w:rPr>
                <w:b/>
                <w:bCs/>
                <w:u w:val="single"/>
              </w:rPr>
            </w:pPr>
          </w:p>
        </w:tc>
        <w:tc>
          <w:tcPr>
            <w:tcW w:w="9685" w:type="dxa"/>
            <w:tcBorders>
              <w:top w:val="nil"/>
              <w:left w:val="nil"/>
              <w:bottom w:val="nil"/>
              <w:right w:val="nil"/>
            </w:tcBorders>
          </w:tcPr>
          <w:p w:rsidR="00CE22BC" w:rsidRPr="007323E6" w:rsidRDefault="00CE22BC" w:rsidP="007335E5">
            <w:pPr>
              <w:jc w:val="both"/>
              <w:rPr>
                <w:b/>
              </w:rPr>
            </w:pPr>
            <w:r w:rsidRPr="007323E6">
              <w:rPr>
                <w:b/>
              </w:rPr>
              <w:t xml:space="preserve">PLC nº 48/14 </w:t>
            </w:r>
            <w:r w:rsidR="00BC205F">
              <w:rPr>
                <w:b/>
              </w:rPr>
              <w:t>-</w:t>
            </w:r>
            <w:r w:rsidRPr="007323E6">
              <w:rPr>
                <w:b/>
              </w:rPr>
              <w:t xml:space="preserve"> LEI COMPLEMENTAR Nº 1.255, DE 19/12/14</w:t>
            </w:r>
          </w:p>
          <w:p w:rsidR="00CE22BC" w:rsidRPr="007323E6" w:rsidRDefault="00CE22BC" w:rsidP="007335E5">
            <w:pPr>
              <w:jc w:val="both"/>
            </w:pPr>
            <w:r w:rsidRPr="007323E6">
              <w:t>Dispõe sobre a concessão do abono complementar aos servidores das Secretarias de Estado, da Procuradoria Geral do Estado e das Autarquias.</w:t>
            </w:r>
          </w:p>
          <w:p w:rsidR="00CE22BC" w:rsidRPr="007323E6" w:rsidRDefault="00CE22BC" w:rsidP="007335E5">
            <w:pPr>
              <w:jc w:val="both"/>
            </w:pPr>
            <w:r w:rsidRPr="007323E6">
              <w:t xml:space="preserve">Mensagem A-nº 144, de 4, DO de 5/12/14 </w:t>
            </w:r>
          </w:p>
        </w:tc>
      </w:tr>
    </w:tbl>
    <w:p w:rsidR="00C71695" w:rsidRDefault="00C71695" w:rsidP="00CE22BC">
      <w:pPr>
        <w:pStyle w:val="NormalWeb"/>
        <w:spacing w:before="0" w:beforeAutospacing="0" w:after="0" w:afterAutospacing="0"/>
        <w:rPr>
          <w:b/>
          <w:bCs/>
        </w:rPr>
      </w:pPr>
    </w:p>
    <w:p w:rsidR="00D5505F" w:rsidRDefault="00D5505F" w:rsidP="00CE22BC">
      <w:pPr>
        <w:pStyle w:val="NormalWeb"/>
        <w:spacing w:before="0" w:beforeAutospacing="0" w:after="0" w:afterAutospacing="0"/>
        <w:rPr>
          <w:b/>
          <w:bCs/>
        </w:rPr>
      </w:pPr>
    </w:p>
    <w:p w:rsidR="00CE22BC" w:rsidRDefault="00CE22BC" w:rsidP="00CE22BC">
      <w:pPr>
        <w:pStyle w:val="NormalWeb"/>
        <w:spacing w:before="0" w:beforeAutospacing="0" w:after="0" w:afterAutospacing="0"/>
        <w:rPr>
          <w:b/>
          <w:bCs/>
        </w:rPr>
      </w:pPr>
      <w:r>
        <w:rPr>
          <w:b/>
          <w:bCs/>
        </w:rPr>
        <w:t>EM TRAMITAÇÃO NA ASSEMBLEIA LEGISLATIVA</w:t>
      </w:r>
    </w:p>
    <w:p w:rsidR="00CE22BC" w:rsidRDefault="00CE22BC" w:rsidP="00CE22BC"/>
    <w:p w:rsidR="00262157" w:rsidRDefault="00262157" w:rsidP="00CE22BC"/>
    <w:tbl>
      <w:tblPr>
        <w:tblW w:w="9887"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96"/>
        <w:gridCol w:w="9391"/>
      </w:tblGrid>
      <w:tr w:rsidR="00CE22BC" w:rsidRPr="007323E6" w:rsidTr="00C71695">
        <w:trPr>
          <w:trHeight w:val="1128"/>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rPr>
            </w:pPr>
            <w:r w:rsidRPr="007323E6">
              <w:rPr>
                <w:b/>
                <w:bCs/>
                <w:i w:val="0"/>
              </w:rPr>
              <w:t>PL nº 1/14</w:t>
            </w:r>
          </w:p>
          <w:p w:rsidR="00CE22BC" w:rsidRPr="007323E6" w:rsidRDefault="00CE22BC" w:rsidP="007335E5">
            <w:pPr>
              <w:jc w:val="both"/>
            </w:pPr>
            <w:r w:rsidRPr="007323E6">
              <w:t>Altera a Lei nº 6.599, de 1º de dezembro de 1989, que autoriza o Departamento de Estradas de Rodagem - DER a doar à Fazenda do Estado imóvel destinado à edificação do Novo Teatro de São Paulo, com área de 121.667,00m², situado na Avenida Queiroz Filho, quadra 114, Bairro Alto de Pinheiros, Município de São Paulo.</w:t>
            </w:r>
          </w:p>
          <w:p w:rsidR="00CE22BC" w:rsidRDefault="00CE22BC" w:rsidP="007335E5">
            <w:pPr>
              <w:jc w:val="both"/>
            </w:pPr>
            <w:r w:rsidRPr="007323E6">
              <w:t>Mensagem A-nº 8, de 15/1, publ. DO de 4/2/14</w:t>
            </w:r>
          </w:p>
          <w:p w:rsidR="00C71695" w:rsidRPr="007323E6" w:rsidRDefault="00C71695" w:rsidP="007335E5">
            <w:pPr>
              <w:jc w:val="both"/>
            </w:pPr>
          </w:p>
        </w:tc>
      </w:tr>
      <w:tr w:rsidR="00CE22BC" w:rsidRPr="007323E6" w:rsidTr="00C71695">
        <w:trPr>
          <w:trHeight w:val="931"/>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rPr>
            </w:pPr>
            <w:r w:rsidRPr="007323E6">
              <w:rPr>
                <w:b/>
                <w:bCs/>
                <w:i w:val="0"/>
              </w:rPr>
              <w:t>PL nº 169/14</w:t>
            </w:r>
          </w:p>
          <w:p w:rsidR="00CE22BC" w:rsidRPr="007323E6" w:rsidRDefault="00CE22BC" w:rsidP="007335E5">
            <w:pPr>
              <w:pStyle w:val="Ttulo8"/>
              <w:autoSpaceDE w:val="0"/>
              <w:autoSpaceDN w:val="0"/>
              <w:adjustRightInd w:val="0"/>
              <w:spacing w:before="0" w:after="0"/>
              <w:jc w:val="both"/>
              <w:rPr>
                <w:bCs/>
                <w:i w:val="0"/>
                <w:lang w:val="pt-BR"/>
              </w:rPr>
            </w:pPr>
            <w:r w:rsidRPr="007323E6">
              <w:rPr>
                <w:i w:val="0"/>
                <w:lang w:val="pt-BR"/>
              </w:rPr>
              <w:t>Altera a Lei nº 15.266, de 26 de dezembro de 2013, que dispõe sobre o tratamento tributário relativo às taxas no âmbito do Poder Executivo Estadual.</w:t>
            </w:r>
          </w:p>
          <w:p w:rsidR="00CE22BC" w:rsidRDefault="00CE22BC" w:rsidP="007335E5">
            <w:pPr>
              <w:jc w:val="both"/>
            </w:pPr>
            <w:r w:rsidRPr="007323E6">
              <w:t>Mensagem A-nº 22, de 14, publ. DO de 15/3/14</w:t>
            </w:r>
          </w:p>
          <w:p w:rsidR="00C71695" w:rsidRPr="007323E6" w:rsidRDefault="00C71695" w:rsidP="007335E5">
            <w:pPr>
              <w:jc w:val="both"/>
            </w:pPr>
          </w:p>
        </w:tc>
      </w:tr>
      <w:tr w:rsidR="00CE22BC" w:rsidRPr="007323E6" w:rsidTr="00C71695">
        <w:trPr>
          <w:trHeight w:val="1128"/>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rPr>
            </w:pPr>
            <w:r w:rsidRPr="007323E6">
              <w:rPr>
                <w:b/>
                <w:bCs/>
                <w:i w:val="0"/>
              </w:rPr>
              <w:t>PL nº 202/14</w:t>
            </w:r>
          </w:p>
          <w:p w:rsidR="00CE22BC" w:rsidRPr="007323E6" w:rsidRDefault="00CE22BC" w:rsidP="007335E5">
            <w:pPr>
              <w:jc w:val="both"/>
            </w:pPr>
            <w:r w:rsidRPr="007323E6">
              <w:t>Autoriza o Departamento de Estradas de Rodagem - DER a alienar, mediante venda, precedida de licitação e por preço não inferior ao da avaliação atualizada, na forma da legislação vigente, imóvel situado na Rua Gerivativa s/nº, Bairro do Butantã, no Município de São Paulo.</w:t>
            </w:r>
          </w:p>
          <w:p w:rsidR="00CE22BC" w:rsidRDefault="00CE22BC" w:rsidP="007335E5">
            <w:pPr>
              <w:jc w:val="both"/>
            </w:pPr>
            <w:r w:rsidRPr="007323E6">
              <w:t>Mensagem A-nº 32, de 21, DO de 25/3/14</w:t>
            </w:r>
          </w:p>
          <w:p w:rsidR="00C71695" w:rsidRPr="007323E6" w:rsidRDefault="00C71695" w:rsidP="007335E5">
            <w:pPr>
              <w:jc w:val="both"/>
            </w:pPr>
          </w:p>
        </w:tc>
      </w:tr>
      <w:tr w:rsidR="00CE22BC" w:rsidRPr="007323E6" w:rsidTr="00C71695">
        <w:trPr>
          <w:trHeight w:val="911"/>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 nº 213/14</w:t>
            </w:r>
          </w:p>
          <w:p w:rsidR="00CE22BC" w:rsidRPr="007323E6" w:rsidRDefault="00CE22BC" w:rsidP="007335E5">
            <w:pPr>
              <w:jc w:val="both"/>
              <w:rPr>
                <w:iCs/>
              </w:rPr>
            </w:pPr>
            <w:r w:rsidRPr="007323E6">
              <w:rPr>
                <w:iCs/>
              </w:rPr>
              <w:t>Altera a Lei nº 93, de 27 de dezembro de 1972, que institui o Fundo de Desenvolvimento Científico e Tecnológico - FUNCET e dá providências correlatas.</w:t>
            </w:r>
          </w:p>
          <w:p w:rsidR="00CE22BC" w:rsidRDefault="00CE22BC" w:rsidP="007335E5">
            <w:pPr>
              <w:jc w:val="both"/>
            </w:pPr>
            <w:r w:rsidRPr="007323E6">
              <w:rPr>
                <w:iCs/>
              </w:rPr>
              <w:t xml:space="preserve">Mensagem A-nº 33, de 25, DO de 26/3/14 - </w:t>
            </w:r>
            <w:r w:rsidRPr="007323E6">
              <w:t>(com urgência)</w:t>
            </w:r>
          </w:p>
          <w:p w:rsidR="00C71695" w:rsidRPr="007323E6" w:rsidRDefault="00C71695" w:rsidP="007335E5">
            <w:pPr>
              <w:jc w:val="both"/>
            </w:pPr>
          </w:p>
        </w:tc>
      </w:tr>
      <w:tr w:rsidR="00CE22BC" w:rsidRPr="007323E6" w:rsidTr="00C71695">
        <w:trPr>
          <w:trHeight w:val="839"/>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PLC nº 13/14</w:t>
            </w:r>
          </w:p>
          <w:p w:rsidR="00CE22BC" w:rsidRPr="007323E6" w:rsidRDefault="00CE22BC" w:rsidP="007335E5">
            <w:pPr>
              <w:jc w:val="both"/>
            </w:pPr>
            <w:r w:rsidRPr="007323E6">
              <w:t>Altera a Lei Complementar nº 1195, de 17 de janeiro de 2013, que transforma o DETRAN em autarquia e dá providências correlatas.</w:t>
            </w:r>
          </w:p>
          <w:p w:rsidR="00CE22BC" w:rsidRDefault="00CE22BC" w:rsidP="007335E5">
            <w:pPr>
              <w:jc w:val="both"/>
            </w:pPr>
            <w:r w:rsidRPr="007323E6">
              <w:t>Mensagem A-nº 37, de 4, DO de 5/4/14</w:t>
            </w:r>
          </w:p>
          <w:p w:rsidR="00C71695" w:rsidRPr="007323E6" w:rsidRDefault="00C71695" w:rsidP="007335E5">
            <w:pPr>
              <w:jc w:val="both"/>
            </w:pPr>
          </w:p>
        </w:tc>
      </w:tr>
      <w:tr w:rsidR="00CE22BC" w:rsidRPr="007323E6" w:rsidTr="00C71695">
        <w:trPr>
          <w:trHeight w:val="908"/>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 nº 410/14</w:t>
            </w:r>
          </w:p>
          <w:p w:rsidR="00CE22BC" w:rsidRPr="007323E6" w:rsidRDefault="0033685F" w:rsidP="007335E5">
            <w:pPr>
              <w:jc w:val="both"/>
            </w:pPr>
            <w:r>
              <w:fldChar w:fldCharType="begin"/>
            </w:r>
            <w:r w:rsidR="00CE42F3">
              <w:instrText>FILLIN "Qual a ementa?</w:instrText>
            </w:r>
            <w:r>
              <w:fldChar w:fldCharType="separate"/>
            </w:r>
            <w:r w:rsidR="00CE22BC" w:rsidRPr="007323E6">
              <w:t>Autoriza o Departamento de Estradas de Rodagem - DER a transmitir, mediante cessão gratuita, ao Município de Nova Independência, direitos possessórios sobre o imóvel que especifica.</w:t>
            </w:r>
            <w:r>
              <w:fldChar w:fldCharType="end"/>
            </w:r>
          </w:p>
          <w:p w:rsidR="00CE22BC" w:rsidRDefault="00CE22BC" w:rsidP="007335E5">
            <w:pPr>
              <w:jc w:val="both"/>
            </w:pPr>
            <w:r w:rsidRPr="007323E6">
              <w:t>Mensagem A-nº 39, de11, DO de 15/4/14</w:t>
            </w:r>
          </w:p>
          <w:p w:rsidR="00C71695" w:rsidRPr="007323E6" w:rsidRDefault="00C71695" w:rsidP="007335E5">
            <w:pPr>
              <w:jc w:val="both"/>
            </w:pPr>
          </w:p>
        </w:tc>
      </w:tr>
      <w:tr w:rsidR="00CE22BC" w:rsidRPr="007323E6" w:rsidTr="00C71695">
        <w:trPr>
          <w:trHeight w:val="836"/>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bCs/>
                <w:i w:val="0"/>
                <w:lang w:val="pt-BR"/>
              </w:rPr>
            </w:pPr>
            <w:r w:rsidRPr="007323E6">
              <w:rPr>
                <w:b/>
                <w:bCs/>
                <w:i w:val="0"/>
                <w:lang w:val="pt-BR"/>
              </w:rPr>
              <w:t>PL nº 441/14</w:t>
            </w:r>
          </w:p>
          <w:p w:rsidR="00CE22BC" w:rsidRPr="007323E6" w:rsidRDefault="00CE22BC" w:rsidP="007335E5">
            <w:pPr>
              <w:jc w:val="both"/>
            </w:pPr>
            <w:r w:rsidRPr="007323E6">
              <w:t>Autoriza a Fazenda do Estado a receber, mediante doação com encargo, do Município de Assis, terreno ali situado, com área de 1.378m².</w:t>
            </w:r>
          </w:p>
          <w:p w:rsidR="00CE22BC" w:rsidRDefault="00CE22BC" w:rsidP="007335E5">
            <w:pPr>
              <w:jc w:val="both"/>
            </w:pPr>
            <w:r w:rsidRPr="007323E6">
              <w:t>Mensagem A-nº 40, de16, DO de 23/4/14</w:t>
            </w:r>
          </w:p>
          <w:p w:rsidR="00C71695" w:rsidRPr="007323E6" w:rsidRDefault="00C71695" w:rsidP="007335E5">
            <w:pPr>
              <w:jc w:val="both"/>
            </w:pPr>
          </w:p>
        </w:tc>
      </w:tr>
      <w:tr w:rsidR="00CE22BC" w:rsidRPr="007323E6" w:rsidTr="00C71695">
        <w:trPr>
          <w:trHeight w:val="907"/>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pStyle w:val="Ttulo8"/>
              <w:autoSpaceDE w:val="0"/>
              <w:autoSpaceDN w:val="0"/>
              <w:adjustRightInd w:val="0"/>
              <w:spacing w:before="0" w:after="0"/>
              <w:jc w:val="both"/>
              <w:rPr>
                <w:b/>
                <w:i w:val="0"/>
                <w:lang w:val="pt-BR"/>
              </w:rPr>
            </w:pPr>
            <w:r w:rsidRPr="007323E6">
              <w:rPr>
                <w:b/>
                <w:i w:val="0"/>
                <w:lang w:val="pt-BR"/>
              </w:rPr>
              <w:t>PL nº 595/14</w:t>
            </w:r>
          </w:p>
          <w:p w:rsidR="00CE22BC" w:rsidRPr="007323E6" w:rsidRDefault="00CE22BC" w:rsidP="007335E5">
            <w:pPr>
              <w:jc w:val="both"/>
            </w:pPr>
            <w:r w:rsidRPr="007323E6">
              <w:t>Dispõe sobre a extinção da Fundação Centro Educativo, Recreativo e Esportivo do Trabalhador - CERET, e dá providências correlatas.</w:t>
            </w:r>
          </w:p>
          <w:p w:rsidR="00CE22BC" w:rsidRDefault="00CE22BC" w:rsidP="007335E5">
            <w:pPr>
              <w:tabs>
                <w:tab w:val="left" w:pos="5190"/>
              </w:tabs>
              <w:jc w:val="both"/>
            </w:pPr>
            <w:r w:rsidRPr="007323E6">
              <w:t>Mensagem A-nº 47, de 8, DO de 10/5/14</w:t>
            </w:r>
          </w:p>
          <w:p w:rsidR="00C71695" w:rsidRPr="007323E6" w:rsidRDefault="00C71695" w:rsidP="007335E5">
            <w:pPr>
              <w:tabs>
                <w:tab w:val="left" w:pos="5190"/>
              </w:tabs>
              <w:jc w:val="both"/>
            </w:pPr>
          </w:p>
        </w:tc>
      </w:tr>
      <w:tr w:rsidR="00CE22BC" w:rsidRPr="007323E6" w:rsidTr="00C71695">
        <w:trPr>
          <w:trHeight w:val="192"/>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 nº 834/14</w:t>
            </w:r>
          </w:p>
          <w:p w:rsidR="00CE22BC" w:rsidRPr="007323E6" w:rsidRDefault="00CE22BC" w:rsidP="007335E5">
            <w:pPr>
              <w:jc w:val="both"/>
            </w:pPr>
            <w:r w:rsidRPr="007323E6">
              <w:t xml:space="preserve">Autoriza o Departamento de Estradas de Rodagem - DER a alienar, mediante investidura, a </w:t>
            </w:r>
            <w:r w:rsidRPr="007323E6">
              <w:rPr>
                <w:rStyle w:val="Nmerodepgina"/>
              </w:rPr>
              <w:t xml:space="preserve">Wilson João Zampieri e sua mulher Fátima de Jesus Pereira Zampieri, </w:t>
            </w:r>
            <w:r w:rsidRPr="007323E6">
              <w:t xml:space="preserve">imóvel com área de </w:t>
            </w:r>
            <w:r w:rsidRPr="007323E6">
              <w:rPr>
                <w:rStyle w:val="Nmerodepgina"/>
              </w:rPr>
              <w:t>1.200,00m²</w:t>
            </w:r>
            <w:r w:rsidRPr="007323E6">
              <w:t>, remanescente de desapropriação, situado na Rodovia Presidente Tancredo de Almeida Neves - SP-332, Km 59, no Município de Jundiaí.</w:t>
            </w:r>
          </w:p>
          <w:p w:rsidR="00CE22BC" w:rsidRDefault="00CE22BC" w:rsidP="007335E5">
            <w:pPr>
              <w:jc w:val="both"/>
            </w:pPr>
            <w:r w:rsidRPr="007323E6">
              <w:t>Mensagem A-nº 58, de 4, DO de 6/6/14</w:t>
            </w:r>
          </w:p>
          <w:p w:rsidR="00C71695" w:rsidRPr="007323E6" w:rsidRDefault="00C71695" w:rsidP="007335E5">
            <w:pPr>
              <w:jc w:val="both"/>
            </w:pPr>
          </w:p>
        </w:tc>
      </w:tr>
      <w:tr w:rsidR="00CE22BC" w:rsidRPr="007323E6" w:rsidTr="00C71695">
        <w:trPr>
          <w:trHeight w:val="680"/>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 nº 928/14</w:t>
            </w:r>
          </w:p>
          <w:p w:rsidR="00CE22BC" w:rsidRPr="007323E6" w:rsidRDefault="00CE22BC" w:rsidP="007335E5">
            <w:pPr>
              <w:jc w:val="both"/>
            </w:pPr>
            <w:r w:rsidRPr="007323E6">
              <w:t>Institui o sistema unificado de ocorrências para registro de infrações penais e administrativas à Segurança Pública.</w:t>
            </w:r>
          </w:p>
          <w:p w:rsidR="00CE22BC" w:rsidRPr="007323E6" w:rsidRDefault="00CE22BC" w:rsidP="007335E5">
            <w:pPr>
              <w:jc w:val="both"/>
            </w:pPr>
            <w:r w:rsidRPr="007323E6">
              <w:t xml:space="preserve">Mensagem A-nº 73, de 3, DO de 4/7/14 </w:t>
            </w:r>
          </w:p>
        </w:tc>
      </w:tr>
      <w:tr w:rsidR="00CE22BC" w:rsidRPr="007323E6" w:rsidTr="00C71695">
        <w:trPr>
          <w:trHeight w:val="847"/>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PLC nº 31/14</w:t>
            </w:r>
          </w:p>
          <w:p w:rsidR="00CE22BC" w:rsidRPr="007323E6" w:rsidRDefault="00CE22BC" w:rsidP="007335E5">
            <w:pPr>
              <w:jc w:val="both"/>
              <w:rPr>
                <w:iCs/>
              </w:rPr>
            </w:pPr>
            <w:r w:rsidRPr="007323E6">
              <w:t>C</w:t>
            </w:r>
            <w:r w:rsidRPr="007323E6">
              <w:rPr>
                <w:iCs/>
              </w:rPr>
              <w:t>onfere personalidade jurídica, como entidade autárquica, ao Hospital das Clínicas da Faculdade de Medicina de Marília - HCFAMEMA e dá providências correlatas.</w:t>
            </w:r>
          </w:p>
          <w:p w:rsidR="00CE22BC" w:rsidRDefault="00CE22BC" w:rsidP="007335E5">
            <w:pPr>
              <w:jc w:val="both"/>
            </w:pPr>
            <w:r w:rsidRPr="007323E6">
              <w:t>Mensagem A-nº 85, de 3/7, DO de 2/8/14</w:t>
            </w:r>
          </w:p>
          <w:p w:rsidR="00C71695" w:rsidRPr="007323E6" w:rsidRDefault="00C71695" w:rsidP="007335E5">
            <w:pPr>
              <w:jc w:val="both"/>
              <w:rPr>
                <w:iCs/>
              </w:rPr>
            </w:pPr>
          </w:p>
        </w:tc>
      </w:tr>
      <w:tr w:rsidR="00CE22BC" w:rsidRPr="007323E6" w:rsidTr="00C71695">
        <w:trPr>
          <w:trHeight w:val="1128"/>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PLC nº 33/14</w:t>
            </w:r>
          </w:p>
          <w:p w:rsidR="00CE22BC" w:rsidRPr="007323E6" w:rsidRDefault="00CE22BC" w:rsidP="007335E5">
            <w:pPr>
              <w:jc w:val="both"/>
              <w:rPr>
                <w:b/>
              </w:rPr>
            </w:pPr>
            <w:r w:rsidRPr="007323E6">
              <w:t>Institui o Plano de Carreiras e Classes, de Empregos Públicos e Sistema Retribuitório para os empregados da Agência Reguladora de Serviços Públicos Delegados de Transporte do Estado de São Paulo - ARTESP, e dá providências correlatas.</w:t>
            </w:r>
          </w:p>
          <w:p w:rsidR="00CE22BC" w:rsidRDefault="00CE22BC" w:rsidP="007335E5">
            <w:pPr>
              <w:jc w:val="both"/>
            </w:pPr>
            <w:r w:rsidRPr="007323E6">
              <w:t>Mensagem A-nº 89, de 3/7, DO de 2/8/14</w:t>
            </w:r>
          </w:p>
          <w:p w:rsidR="00C71695" w:rsidRPr="007323E6" w:rsidRDefault="00C71695" w:rsidP="007335E5">
            <w:pPr>
              <w:jc w:val="both"/>
              <w:rPr>
                <w:iCs/>
              </w:rPr>
            </w:pPr>
          </w:p>
        </w:tc>
      </w:tr>
      <w:tr w:rsidR="00CE22BC" w:rsidRPr="007323E6" w:rsidTr="00C71695">
        <w:trPr>
          <w:trHeight w:val="621"/>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PLC nº 40/14</w:t>
            </w:r>
          </w:p>
          <w:p w:rsidR="00CE22BC" w:rsidRPr="007323E6" w:rsidRDefault="00CE22BC" w:rsidP="007335E5">
            <w:pPr>
              <w:jc w:val="both"/>
              <w:rPr>
                <w:rStyle w:val="Forte"/>
                <w:b w:val="0"/>
              </w:rPr>
            </w:pPr>
            <w:r w:rsidRPr="007323E6">
              <w:t>I</w:t>
            </w:r>
            <w:r w:rsidRPr="007323E6">
              <w:rPr>
                <w:rStyle w:val="Forte"/>
                <w:b w:val="0"/>
              </w:rPr>
              <w:t>ntegra na Aglomeração Urbana de Piracicaba (AU - Piracicaba) o Município de Laranjal Paulista.</w:t>
            </w:r>
          </w:p>
          <w:p w:rsidR="00CE22BC" w:rsidRDefault="00CE22BC" w:rsidP="007335E5">
            <w:pPr>
              <w:jc w:val="both"/>
            </w:pPr>
            <w:r w:rsidRPr="007323E6">
              <w:t>Mensagem A-nº 121, de 21, DO de 23/8/14</w:t>
            </w:r>
          </w:p>
          <w:p w:rsidR="00C71695" w:rsidRPr="007323E6" w:rsidRDefault="00C71695" w:rsidP="007335E5">
            <w:pPr>
              <w:jc w:val="both"/>
              <w:rPr>
                <w:iCs/>
              </w:rPr>
            </w:pPr>
          </w:p>
        </w:tc>
      </w:tr>
      <w:tr w:rsidR="00CE22BC" w:rsidRPr="007323E6" w:rsidTr="00C71695">
        <w:trPr>
          <w:trHeight w:val="1128"/>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PLC nº 41/14</w:t>
            </w:r>
          </w:p>
          <w:p w:rsidR="00CE22BC" w:rsidRPr="007323E6" w:rsidRDefault="00CE22BC" w:rsidP="007335E5">
            <w:pPr>
              <w:jc w:val="both"/>
            </w:pPr>
            <w:r w:rsidRPr="007323E6">
              <w:t>Altera a Lei Complementar nº 1.025, de 7 de dezembro de 2007, que transforma a Comissão de Serviços Públicos de Energia - CSPE em Agência Reguladora de Saneamento e Energia do Estado de São Paulo - ARSESP, dispõe sobre os serviços públicos de saneamento básico e de gás canalizado no Estado.</w:t>
            </w:r>
          </w:p>
          <w:p w:rsidR="00CE22BC" w:rsidRDefault="00CE22BC" w:rsidP="007335E5">
            <w:pPr>
              <w:jc w:val="both"/>
            </w:pPr>
            <w:r w:rsidRPr="007323E6">
              <w:t>Mensagem A-nº 122, de 21, DO de 23/8/14</w:t>
            </w:r>
          </w:p>
          <w:p w:rsidR="00C71695" w:rsidRPr="007323E6" w:rsidRDefault="00C71695" w:rsidP="007335E5">
            <w:pPr>
              <w:jc w:val="both"/>
            </w:pPr>
          </w:p>
        </w:tc>
      </w:tr>
      <w:tr w:rsidR="00CE22BC" w:rsidRPr="007323E6" w:rsidTr="00C71695">
        <w:trPr>
          <w:trHeight w:val="902"/>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 nº 1272/14</w:t>
            </w:r>
          </w:p>
          <w:p w:rsidR="00CE22BC" w:rsidRPr="007323E6" w:rsidRDefault="00CE22BC" w:rsidP="007335E5">
            <w:pPr>
              <w:jc w:val="both"/>
            </w:pPr>
            <w:r w:rsidRPr="007323E6">
              <w:t>Altera o artigo 1º da Lei nº 11.528, de 30 de outubro de 2003, que autoriza a Fazenda Pública a doar imóvel, situado no Município de Franca, à Sociedade Agostiniana de Beneficência e Educação.</w:t>
            </w:r>
          </w:p>
          <w:p w:rsidR="00CE22BC" w:rsidRDefault="00CE22BC" w:rsidP="007335E5">
            <w:pPr>
              <w:jc w:val="both"/>
            </w:pPr>
            <w:r w:rsidRPr="007323E6">
              <w:t>Mensagem A-nº 133, de 17, DO de 18/9/14</w:t>
            </w:r>
          </w:p>
          <w:p w:rsidR="00C71695" w:rsidRPr="007323E6" w:rsidRDefault="00C71695" w:rsidP="007335E5">
            <w:pPr>
              <w:jc w:val="both"/>
              <w:rPr>
                <w:iCs/>
              </w:rPr>
            </w:pPr>
          </w:p>
        </w:tc>
      </w:tr>
      <w:tr w:rsidR="00CE22BC" w:rsidRPr="007323E6" w:rsidTr="00C71695">
        <w:trPr>
          <w:trHeight w:val="1128"/>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 nº 1405/14</w:t>
            </w:r>
          </w:p>
          <w:p w:rsidR="00CE22BC" w:rsidRPr="007323E6" w:rsidRDefault="00CE22BC" w:rsidP="007335E5">
            <w:pPr>
              <w:jc w:val="both"/>
            </w:pPr>
            <w:r w:rsidRPr="007323E6">
              <w:t>Autoriza a Fazenda do Estado a alienar, mediante venda, precedida de licitação e por preço não inferior ao da avaliação atualizada, na forma da legislação vigente, o imóvel com área de 2.023,37m², localizado na Estrada do Quinze s/nº, Bairro Amburá, Distrito de Parelheiros, e o imóvel com área de 1.000,00m², localizado na Rua Coronel Manoel Feliciano nºs 629 e 633, Vila Jacuí, ambos no Município de São Paulo.</w:t>
            </w:r>
          </w:p>
          <w:p w:rsidR="00CE22BC" w:rsidRDefault="00CE22BC" w:rsidP="007335E5">
            <w:pPr>
              <w:jc w:val="both"/>
            </w:pPr>
            <w:r w:rsidRPr="007323E6">
              <w:t>Mensagem A-nº 147, de 9, DO de 10/12/14</w:t>
            </w:r>
          </w:p>
          <w:p w:rsidR="00C71695" w:rsidRPr="007323E6" w:rsidRDefault="00C71695" w:rsidP="007335E5">
            <w:pPr>
              <w:jc w:val="both"/>
            </w:pPr>
          </w:p>
        </w:tc>
      </w:tr>
      <w:tr w:rsidR="00CE22BC" w:rsidRPr="007323E6" w:rsidTr="00C71695">
        <w:trPr>
          <w:trHeight w:val="921"/>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 nº 1406/14</w:t>
            </w:r>
          </w:p>
          <w:p w:rsidR="00CE22BC" w:rsidRPr="007323E6" w:rsidRDefault="00CE22BC" w:rsidP="007335E5">
            <w:pPr>
              <w:jc w:val="both"/>
            </w:pPr>
            <w:r w:rsidRPr="007323E6">
              <w:t>A</w:t>
            </w:r>
            <w:r w:rsidRPr="007323E6">
              <w:rPr>
                <w:rFonts w:eastAsia="Arial Unicode MS"/>
              </w:rPr>
              <w:t xml:space="preserve">ltera a Lei nº </w:t>
            </w:r>
            <w:r w:rsidRPr="007323E6">
              <w:t xml:space="preserve">15.266, de 26 de dezembro de 2013, que </w:t>
            </w:r>
            <w:r w:rsidRPr="007323E6">
              <w:rPr>
                <w:rFonts w:eastAsia="Arial Unicode MS"/>
              </w:rPr>
              <w:t>dispõe sobre o tratamento tributário relativo às taxas no âmbito do Poder Executivo Estadual</w:t>
            </w:r>
            <w:r w:rsidRPr="007323E6">
              <w:t>.</w:t>
            </w:r>
          </w:p>
          <w:p w:rsidR="00CE22BC" w:rsidRPr="007323E6" w:rsidRDefault="00CE22BC" w:rsidP="007335E5">
            <w:pPr>
              <w:jc w:val="both"/>
            </w:pPr>
            <w:r w:rsidRPr="007323E6">
              <w:t>Mensagem A-nº 148, de 9, DO de 10/12/14</w:t>
            </w:r>
          </w:p>
        </w:tc>
      </w:tr>
      <w:tr w:rsidR="00CE22BC" w:rsidRPr="007323E6" w:rsidTr="00C71695">
        <w:trPr>
          <w:trHeight w:val="1128"/>
          <w:jc w:val="center"/>
        </w:trPr>
        <w:tc>
          <w:tcPr>
            <w:tcW w:w="496" w:type="dxa"/>
            <w:tcBorders>
              <w:top w:val="nil"/>
              <w:left w:val="nil"/>
              <w:bottom w:val="nil"/>
              <w:right w:val="nil"/>
            </w:tcBorders>
          </w:tcPr>
          <w:p w:rsidR="00CE22BC" w:rsidRPr="007323E6" w:rsidRDefault="00CE22BC" w:rsidP="007335E5">
            <w:pPr>
              <w:numPr>
                <w:ilvl w:val="0"/>
                <w:numId w:val="255"/>
              </w:numPr>
              <w:tabs>
                <w:tab w:val="clear" w:pos="644"/>
                <w:tab w:val="left" w:pos="567"/>
                <w:tab w:val="num" w:pos="720"/>
                <w:tab w:val="left" w:pos="2835"/>
                <w:tab w:val="left" w:pos="7428"/>
              </w:tabs>
              <w:ind w:left="0" w:firstLine="0"/>
              <w:jc w:val="both"/>
              <w:rPr>
                <w:b/>
                <w:bCs/>
              </w:rPr>
            </w:pPr>
          </w:p>
        </w:tc>
        <w:tc>
          <w:tcPr>
            <w:tcW w:w="9391" w:type="dxa"/>
            <w:tcBorders>
              <w:top w:val="nil"/>
              <w:left w:val="nil"/>
              <w:bottom w:val="nil"/>
              <w:right w:val="nil"/>
            </w:tcBorders>
          </w:tcPr>
          <w:p w:rsidR="00CE22BC" w:rsidRPr="007323E6" w:rsidRDefault="00CE22BC" w:rsidP="007335E5">
            <w:pPr>
              <w:jc w:val="both"/>
              <w:rPr>
                <w:b/>
              </w:rPr>
            </w:pPr>
            <w:r w:rsidRPr="007323E6">
              <w:rPr>
                <w:b/>
              </w:rPr>
              <w:t>PL nº 1420/14</w:t>
            </w:r>
          </w:p>
          <w:p w:rsidR="00CE22BC" w:rsidRPr="007323E6" w:rsidRDefault="00CE22BC" w:rsidP="007335E5">
            <w:pPr>
              <w:autoSpaceDE w:val="0"/>
              <w:autoSpaceDN w:val="0"/>
              <w:adjustRightInd w:val="0"/>
              <w:jc w:val="both"/>
            </w:pPr>
            <w:r w:rsidRPr="007323E6">
              <w:rPr>
                <w:iCs/>
              </w:rPr>
              <w:t>Autoriza o Poder Executivo a realizar operações de crédito junto a instituições financeiras nacionais ou internacionais, organismos multilaterais e bilaterais de crédito, bancos privados nacionais ou internacionais, agências de fomento, agência multilateral de garantia de financiamentos e dá providências correlatas.</w:t>
            </w:r>
          </w:p>
          <w:p w:rsidR="00CE22BC" w:rsidRPr="007323E6" w:rsidRDefault="00CE22BC" w:rsidP="007335E5">
            <w:pPr>
              <w:jc w:val="both"/>
            </w:pPr>
            <w:r w:rsidRPr="007323E6">
              <w:t>Mensagem A-nº 149, de 12, DO de 13/12/14</w:t>
            </w:r>
          </w:p>
        </w:tc>
      </w:tr>
    </w:tbl>
    <w:p w:rsidR="00CE22BC" w:rsidRDefault="00CE22BC" w:rsidP="00CE22BC">
      <w:pPr>
        <w:pStyle w:val="NormalWeb"/>
        <w:spacing w:before="0" w:beforeAutospacing="0" w:after="0" w:afterAutospacing="0"/>
        <w:rPr>
          <w:b/>
          <w:bCs/>
        </w:rPr>
      </w:pPr>
    </w:p>
    <w:p w:rsidR="00D5505F" w:rsidRDefault="00D5505F" w:rsidP="00CE22BC">
      <w:pPr>
        <w:pStyle w:val="NormalWeb"/>
        <w:spacing w:before="0" w:beforeAutospacing="0" w:after="0" w:afterAutospacing="0"/>
        <w:rPr>
          <w:b/>
          <w:bCs/>
        </w:rPr>
      </w:pPr>
    </w:p>
    <w:p w:rsidR="00CE22BC" w:rsidRDefault="00CE22BC" w:rsidP="00CE22BC">
      <w:pPr>
        <w:pStyle w:val="NormalWeb"/>
        <w:spacing w:before="0" w:beforeAutospacing="0" w:after="0" w:afterAutospacing="0"/>
        <w:rPr>
          <w:b/>
          <w:bCs/>
        </w:rPr>
      </w:pPr>
      <w:r>
        <w:rPr>
          <w:b/>
          <w:bCs/>
        </w:rPr>
        <w:t>PROJETOS DE LEI SANCIONADOS</w:t>
      </w:r>
    </w:p>
    <w:p w:rsidR="00CE22BC" w:rsidRDefault="00CE22BC" w:rsidP="00CE22BC">
      <w:pPr>
        <w:pStyle w:val="NormalWeb"/>
        <w:spacing w:before="0" w:beforeAutospacing="0" w:after="0" w:afterAutospacing="0"/>
      </w:pPr>
    </w:p>
    <w:p w:rsidR="00CE22BC" w:rsidRDefault="00CE22BC" w:rsidP="00CE22BC">
      <w:pPr>
        <w:pStyle w:val="NormalWeb"/>
        <w:spacing w:before="0" w:beforeAutospacing="0" w:after="0" w:afterAutospacing="0"/>
      </w:pPr>
      <w:r>
        <w:rPr>
          <w:b/>
          <w:bCs/>
        </w:rPr>
        <w:t>INICIATIVA - PODER JUDICIÁRIO</w:t>
      </w:r>
    </w:p>
    <w:p w:rsidR="00CE22BC" w:rsidRDefault="00CE22BC" w:rsidP="00CE22BC">
      <w:pPr>
        <w:pStyle w:val="NormalWeb"/>
        <w:spacing w:before="0" w:beforeAutospacing="0" w:after="0" w:afterAutospacing="0"/>
      </w:pPr>
    </w:p>
    <w:tbl>
      <w:tblPr>
        <w:tblW w:w="9810" w:type="dxa"/>
        <w:jc w:val="center"/>
        <w:tblCellSpacing w:w="0" w:type="dxa"/>
        <w:tblBorders>
          <w:top w:val="outset" w:sz="6" w:space="0" w:color="000000"/>
          <w:left w:val="outset" w:sz="6" w:space="0" w:color="000000"/>
          <w:bottom w:val="outset" w:sz="6" w:space="0" w:color="000000"/>
          <w:right w:val="outset" w:sz="6" w:space="0" w:color="000000"/>
        </w:tblBorders>
        <w:tblLayout w:type="fixed"/>
        <w:tblCellMar>
          <w:top w:w="75" w:type="dxa"/>
          <w:left w:w="75" w:type="dxa"/>
          <w:bottom w:w="75" w:type="dxa"/>
          <w:right w:w="75" w:type="dxa"/>
        </w:tblCellMar>
        <w:tblLook w:val="0000"/>
      </w:tblPr>
      <w:tblGrid>
        <w:gridCol w:w="450"/>
        <w:gridCol w:w="1200"/>
        <w:gridCol w:w="5640"/>
        <w:gridCol w:w="2520"/>
      </w:tblGrid>
      <w:tr w:rsidR="00CE22BC" w:rsidRPr="00D5505F" w:rsidTr="00D5505F">
        <w:trPr>
          <w:trHeight w:val="27"/>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pStyle w:val="western"/>
              <w:spacing w:before="0" w:beforeAutospacing="0" w:after="0"/>
              <w:ind w:right="-122"/>
              <w:rPr>
                <w:rFonts w:ascii="Times New Roman" w:hAnsi="Times New Roman" w:cs="Times New Roman"/>
                <w:sz w:val="20"/>
                <w:szCs w:val="20"/>
              </w:rPr>
            </w:pPr>
            <w:r w:rsidRPr="00D5505F">
              <w:rPr>
                <w:rFonts w:ascii="Times New Roman" w:hAnsi="Times New Roman" w:cs="Times New Roman"/>
                <w:b/>
                <w:bCs/>
                <w:sz w:val="20"/>
                <w:szCs w:val="20"/>
              </w:rPr>
              <w:t>nº</w:t>
            </w:r>
          </w:p>
        </w:tc>
        <w:tc>
          <w:tcPr>
            <w:tcW w:w="120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pStyle w:val="Ttulo3"/>
              <w:spacing w:before="0" w:after="0"/>
              <w:rPr>
                <w:rFonts w:ascii="Times New Roman" w:hAnsi="Times New Roman"/>
                <w:sz w:val="20"/>
                <w:szCs w:val="20"/>
              </w:rPr>
            </w:pPr>
            <w:r w:rsidRPr="00D5505F">
              <w:rPr>
                <w:rFonts w:ascii="Times New Roman" w:hAnsi="Times New Roman"/>
                <w:sz w:val="20"/>
                <w:szCs w:val="20"/>
              </w:rPr>
              <w:t>PL/PLC</w:t>
            </w:r>
          </w:p>
        </w:tc>
        <w:tc>
          <w:tcPr>
            <w:tcW w:w="564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pStyle w:val="western"/>
              <w:spacing w:before="0" w:beforeAutospacing="0" w:after="0"/>
              <w:rPr>
                <w:rFonts w:ascii="Times New Roman" w:hAnsi="Times New Roman" w:cs="Times New Roman"/>
                <w:sz w:val="20"/>
                <w:szCs w:val="20"/>
              </w:rPr>
            </w:pPr>
            <w:r w:rsidRPr="00D5505F">
              <w:rPr>
                <w:rFonts w:ascii="Times New Roman" w:hAnsi="Times New Roman" w:cs="Times New Roman"/>
                <w:b/>
                <w:bCs/>
                <w:sz w:val="20"/>
                <w:szCs w:val="20"/>
              </w:rPr>
              <w:t>Assunto</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pStyle w:val="Ttulo4"/>
              <w:spacing w:before="0" w:after="0"/>
              <w:rPr>
                <w:sz w:val="20"/>
                <w:szCs w:val="20"/>
              </w:rPr>
            </w:pPr>
            <w:r w:rsidRPr="00D5505F">
              <w:rPr>
                <w:sz w:val="20"/>
                <w:szCs w:val="20"/>
              </w:rPr>
              <w:t>Lei/Lei Complementar</w:t>
            </w:r>
          </w:p>
        </w:tc>
      </w:tr>
      <w:tr w:rsidR="00CE22BC" w:rsidRPr="00D5505F" w:rsidTr="00D5505F">
        <w:trPr>
          <w:trHeight w:val="573"/>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0"/>
              </w:tabs>
              <w:ind w:right="-122"/>
              <w:rPr>
                <w:b/>
                <w:sz w:val="20"/>
                <w:szCs w:val="20"/>
              </w:rPr>
            </w:pPr>
            <w:r w:rsidRPr="00D5505F">
              <w:rPr>
                <w:b/>
                <w:sz w:val="20"/>
                <w:szCs w:val="20"/>
              </w:rPr>
              <w:t>1.</w:t>
            </w:r>
          </w:p>
        </w:tc>
        <w:tc>
          <w:tcPr>
            <w:tcW w:w="120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2835"/>
                <w:tab w:val="left" w:pos="7428"/>
              </w:tabs>
              <w:rPr>
                <w:b/>
                <w:bCs/>
                <w:sz w:val="20"/>
                <w:szCs w:val="20"/>
              </w:rPr>
            </w:pPr>
            <w:r w:rsidRPr="00D5505F">
              <w:rPr>
                <w:b/>
                <w:bCs/>
                <w:sz w:val="20"/>
                <w:szCs w:val="20"/>
              </w:rPr>
              <w:t>C-42/12</w:t>
            </w:r>
          </w:p>
        </w:tc>
        <w:tc>
          <w:tcPr>
            <w:tcW w:w="564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jc w:val="both"/>
              <w:rPr>
                <w:sz w:val="20"/>
                <w:szCs w:val="20"/>
              </w:rPr>
            </w:pPr>
            <w:r w:rsidRPr="00D5505F">
              <w:rPr>
                <w:sz w:val="20"/>
                <w:szCs w:val="20"/>
              </w:rPr>
              <w:t>Dispõe sobre a criação de cargos de Estatístico Judiciário para o Quadro do Tribunal de Justiça do Estado de São Paulo.</w:t>
            </w:r>
          </w:p>
          <w:p w:rsidR="00CE22BC" w:rsidRPr="00D5505F" w:rsidRDefault="00CE22BC" w:rsidP="00D5505F">
            <w:pPr>
              <w:jc w:val="both"/>
              <w:rPr>
                <w:b/>
                <w:sz w:val="20"/>
                <w:szCs w:val="20"/>
              </w:rPr>
            </w:pPr>
            <w:r w:rsidRPr="00D5505F">
              <w:rPr>
                <w:b/>
                <w:sz w:val="20"/>
                <w:szCs w:val="20"/>
              </w:rPr>
              <w:t>Tribunal de Justiça</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2835"/>
              </w:tabs>
              <w:rPr>
                <w:b/>
                <w:color w:val="000000"/>
                <w:sz w:val="20"/>
                <w:szCs w:val="20"/>
              </w:rPr>
            </w:pPr>
            <w:r w:rsidRPr="00D5505F">
              <w:rPr>
                <w:b/>
                <w:color w:val="000000"/>
                <w:sz w:val="20"/>
                <w:szCs w:val="20"/>
              </w:rPr>
              <w:t>1.235, de 20/3/14</w:t>
            </w:r>
          </w:p>
        </w:tc>
      </w:tr>
      <w:tr w:rsidR="00CE22BC" w:rsidRPr="00D5505F" w:rsidTr="00BC205F">
        <w:trPr>
          <w:trHeight w:val="960"/>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numPr>
                <w:ilvl w:val="0"/>
                <w:numId w:val="253"/>
              </w:numPr>
              <w:ind w:left="0" w:right="-122" w:firstLine="0"/>
              <w:rPr>
                <w:b/>
                <w:sz w:val="20"/>
                <w:szCs w:val="20"/>
              </w:rPr>
            </w:pPr>
          </w:p>
        </w:tc>
        <w:tc>
          <w:tcPr>
            <w:tcW w:w="120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2835"/>
                <w:tab w:val="left" w:pos="7428"/>
              </w:tabs>
              <w:rPr>
                <w:b/>
                <w:bCs/>
                <w:sz w:val="20"/>
                <w:szCs w:val="20"/>
              </w:rPr>
            </w:pPr>
            <w:r w:rsidRPr="00D5505F">
              <w:rPr>
                <w:b/>
                <w:bCs/>
                <w:sz w:val="20"/>
                <w:szCs w:val="20"/>
              </w:rPr>
              <w:t>C-14/14</w:t>
            </w:r>
          </w:p>
        </w:tc>
        <w:tc>
          <w:tcPr>
            <w:tcW w:w="564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jc w:val="both"/>
              <w:rPr>
                <w:sz w:val="20"/>
                <w:szCs w:val="20"/>
              </w:rPr>
            </w:pPr>
            <w:r w:rsidRPr="00D5505F">
              <w:rPr>
                <w:sz w:val="20"/>
                <w:szCs w:val="20"/>
              </w:rPr>
              <w:t>Dispõe sobre a concessão de revisão geral anual prevista no inciso X do artigo 37 da Constituição Federal, combinado com a Lei nº 12.680, de 16 de julho de 2007, e dá outras providências.</w:t>
            </w:r>
          </w:p>
          <w:p w:rsidR="00CE22BC" w:rsidRPr="00D5505F" w:rsidRDefault="00CE22BC" w:rsidP="00D5505F">
            <w:pPr>
              <w:jc w:val="both"/>
              <w:rPr>
                <w:b/>
                <w:sz w:val="20"/>
                <w:szCs w:val="20"/>
              </w:rPr>
            </w:pPr>
            <w:r w:rsidRPr="00D5505F">
              <w:rPr>
                <w:b/>
                <w:sz w:val="20"/>
                <w:szCs w:val="20"/>
              </w:rPr>
              <w:t>Tribunal de Contas</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2835"/>
              </w:tabs>
              <w:rPr>
                <w:b/>
                <w:sz w:val="20"/>
                <w:szCs w:val="20"/>
              </w:rPr>
            </w:pPr>
            <w:r w:rsidRPr="00D5505F">
              <w:rPr>
                <w:b/>
                <w:sz w:val="20"/>
                <w:szCs w:val="20"/>
              </w:rPr>
              <w:t>1.244, de 18/6/14</w:t>
            </w:r>
          </w:p>
        </w:tc>
      </w:tr>
      <w:tr w:rsidR="00CE22BC" w:rsidRPr="00D5505F" w:rsidTr="00BC205F">
        <w:trPr>
          <w:trHeight w:val="684"/>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numPr>
                <w:ilvl w:val="0"/>
                <w:numId w:val="254"/>
              </w:numPr>
              <w:ind w:left="0" w:right="-122" w:firstLine="0"/>
              <w:rPr>
                <w:b/>
                <w:sz w:val="20"/>
                <w:szCs w:val="20"/>
              </w:rPr>
            </w:pPr>
          </w:p>
        </w:tc>
        <w:tc>
          <w:tcPr>
            <w:tcW w:w="120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2835"/>
                <w:tab w:val="left" w:pos="7428"/>
              </w:tabs>
              <w:rPr>
                <w:b/>
                <w:bCs/>
                <w:sz w:val="20"/>
                <w:szCs w:val="20"/>
              </w:rPr>
            </w:pPr>
            <w:r w:rsidRPr="00D5505F">
              <w:rPr>
                <w:b/>
                <w:bCs/>
                <w:sz w:val="20"/>
                <w:szCs w:val="20"/>
              </w:rPr>
              <w:t>C-48/13</w:t>
            </w:r>
          </w:p>
        </w:tc>
        <w:tc>
          <w:tcPr>
            <w:tcW w:w="564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jc w:val="both"/>
              <w:rPr>
                <w:rStyle w:val="Forte"/>
                <w:b w:val="0"/>
                <w:bCs w:val="0"/>
                <w:sz w:val="20"/>
                <w:szCs w:val="20"/>
              </w:rPr>
            </w:pPr>
            <w:r w:rsidRPr="00D5505F">
              <w:rPr>
                <w:rStyle w:val="Forte"/>
                <w:b w:val="0"/>
                <w:bCs w:val="0"/>
                <w:sz w:val="20"/>
                <w:szCs w:val="20"/>
              </w:rPr>
              <w:t>Dispõe sobre a extinção do Foro Distrital de Brás Cubas, da Comarca de Mogi das Cruzes.</w:t>
            </w:r>
          </w:p>
          <w:p w:rsidR="00CE22BC" w:rsidRPr="00D5505F" w:rsidRDefault="00CE22BC" w:rsidP="00D5505F">
            <w:pPr>
              <w:jc w:val="both"/>
              <w:rPr>
                <w:rStyle w:val="Forte"/>
                <w:bCs w:val="0"/>
                <w:sz w:val="20"/>
                <w:szCs w:val="20"/>
              </w:rPr>
            </w:pPr>
            <w:r w:rsidRPr="00D5505F">
              <w:rPr>
                <w:rStyle w:val="Forte"/>
                <w:bCs w:val="0"/>
                <w:sz w:val="20"/>
                <w:szCs w:val="20"/>
              </w:rPr>
              <w:t>Tribunal de Justiça</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2835"/>
              </w:tabs>
              <w:rPr>
                <w:b/>
                <w:sz w:val="20"/>
                <w:szCs w:val="20"/>
              </w:rPr>
            </w:pPr>
            <w:r w:rsidRPr="00D5505F">
              <w:rPr>
                <w:b/>
                <w:sz w:val="20"/>
                <w:szCs w:val="20"/>
              </w:rPr>
              <w:t>1.254, de 14/9/14</w:t>
            </w:r>
          </w:p>
        </w:tc>
      </w:tr>
      <w:tr w:rsidR="00CE22BC" w:rsidRPr="00D5505F" w:rsidTr="007335E5">
        <w:trPr>
          <w:trHeight w:val="105"/>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numPr>
                <w:ilvl w:val="0"/>
                <w:numId w:val="254"/>
              </w:numPr>
              <w:ind w:left="0" w:right="-122" w:firstLine="0"/>
              <w:rPr>
                <w:b/>
                <w:sz w:val="20"/>
                <w:szCs w:val="20"/>
              </w:rPr>
            </w:pPr>
          </w:p>
        </w:tc>
        <w:tc>
          <w:tcPr>
            <w:tcW w:w="120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tabs>
                <w:tab w:val="left" w:pos="2835"/>
                <w:tab w:val="left" w:pos="7428"/>
              </w:tabs>
              <w:rPr>
                <w:b/>
                <w:bCs/>
                <w:color w:val="000000"/>
                <w:sz w:val="20"/>
                <w:szCs w:val="20"/>
              </w:rPr>
            </w:pPr>
            <w:r w:rsidRPr="00D5505F">
              <w:rPr>
                <w:b/>
                <w:bCs/>
                <w:color w:val="000000"/>
                <w:sz w:val="20"/>
                <w:szCs w:val="20"/>
              </w:rPr>
              <w:t>C-12/14</w:t>
            </w:r>
          </w:p>
        </w:tc>
        <w:tc>
          <w:tcPr>
            <w:tcW w:w="564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jc w:val="both"/>
              <w:rPr>
                <w:color w:val="000000"/>
                <w:sz w:val="20"/>
                <w:szCs w:val="20"/>
              </w:rPr>
            </w:pPr>
            <w:r w:rsidRPr="00D5505F">
              <w:rPr>
                <w:color w:val="000000"/>
                <w:sz w:val="20"/>
                <w:szCs w:val="20"/>
              </w:rPr>
              <w:t>Dispõe sobre a transformação e a extinção dos cargos de Agente Administrativo Judiciário do Tribunal de Justiça de São Paulo, nos termos do artigo 48, inciso X, da Constituição Federal e do artigo 19, inciso III, da Constituição do Estado de São Paulo.</w:t>
            </w:r>
          </w:p>
          <w:p w:rsidR="00CE22BC" w:rsidRPr="00D5505F" w:rsidRDefault="00CE22BC" w:rsidP="00D5505F">
            <w:pPr>
              <w:pStyle w:val="Recuodecorpodetexto"/>
              <w:ind w:left="0"/>
              <w:rPr>
                <w:rFonts w:ascii="Times New Roman" w:hAnsi="Times New Roman"/>
                <w:b/>
                <w:color w:val="000000"/>
                <w:sz w:val="20"/>
              </w:rPr>
            </w:pPr>
            <w:r w:rsidRPr="00D5505F">
              <w:rPr>
                <w:rFonts w:ascii="Times New Roman" w:hAnsi="Times New Roman"/>
                <w:b/>
                <w:color w:val="000000"/>
                <w:sz w:val="20"/>
              </w:rPr>
              <w:t xml:space="preserve">Tribunal de Justiça </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D5505F">
            <w:pPr>
              <w:pStyle w:val="Ttulo4"/>
              <w:spacing w:before="0" w:after="0"/>
              <w:rPr>
                <w:sz w:val="20"/>
                <w:szCs w:val="20"/>
                <w:lang w:val="pt-BR"/>
              </w:rPr>
            </w:pPr>
            <w:r w:rsidRPr="00D5505F">
              <w:rPr>
                <w:sz w:val="20"/>
                <w:szCs w:val="20"/>
                <w:lang w:val="pt-BR"/>
              </w:rPr>
              <w:t>1.260, DE 15/1/15</w:t>
            </w:r>
          </w:p>
        </w:tc>
      </w:tr>
    </w:tbl>
    <w:p w:rsidR="00CE22BC" w:rsidRDefault="00CE22BC" w:rsidP="00CE22BC">
      <w:pPr>
        <w:pStyle w:val="western"/>
        <w:spacing w:before="0" w:beforeAutospacing="0" w:after="0"/>
        <w:ind w:firstLine="1083"/>
        <w:rPr>
          <w:rFonts w:ascii="Times New Roman" w:hAnsi="Times New Roman" w:cs="Times New Roman"/>
        </w:rPr>
      </w:pPr>
    </w:p>
    <w:p w:rsidR="00D5505F" w:rsidRDefault="00D5505F" w:rsidP="00CE22BC">
      <w:pPr>
        <w:pStyle w:val="western"/>
        <w:spacing w:before="0" w:beforeAutospacing="0" w:after="0"/>
        <w:ind w:firstLine="1083"/>
        <w:rPr>
          <w:rFonts w:ascii="Times New Roman" w:hAnsi="Times New Roman" w:cs="Times New Roman"/>
        </w:rPr>
      </w:pPr>
    </w:p>
    <w:p w:rsidR="00CE22BC" w:rsidRDefault="00CE22BC" w:rsidP="00CE22BC">
      <w:pPr>
        <w:pStyle w:val="western"/>
        <w:spacing w:before="0" w:beforeAutospacing="0" w:after="0"/>
        <w:rPr>
          <w:rFonts w:ascii="Times New Roman" w:hAnsi="Times New Roman" w:cs="Times New Roman"/>
        </w:rPr>
      </w:pPr>
      <w:r>
        <w:rPr>
          <w:rFonts w:ascii="Times New Roman" w:hAnsi="Times New Roman" w:cs="Times New Roman"/>
          <w:b/>
          <w:bCs/>
        </w:rPr>
        <w:t>INICIATIVA - PODER LEGISLATIVO</w:t>
      </w:r>
    </w:p>
    <w:p w:rsidR="00CE22BC" w:rsidRDefault="00CE22BC" w:rsidP="00CE22BC">
      <w:pPr>
        <w:pStyle w:val="western"/>
        <w:spacing w:before="0" w:beforeAutospacing="0" w:after="0"/>
        <w:rPr>
          <w:rFonts w:ascii="Times New Roman" w:hAnsi="Times New Roman" w:cs="Times New Roman"/>
        </w:rPr>
      </w:pPr>
    </w:p>
    <w:tbl>
      <w:tblPr>
        <w:tblW w:w="9810" w:type="dxa"/>
        <w:jc w:val="center"/>
        <w:tblCellSpacing w:w="0" w:type="dxa"/>
        <w:tblBorders>
          <w:top w:val="outset" w:sz="6" w:space="0" w:color="000000"/>
          <w:left w:val="outset" w:sz="6" w:space="0" w:color="000000"/>
          <w:bottom w:val="outset" w:sz="6" w:space="0" w:color="000000"/>
          <w:right w:val="outset" w:sz="6" w:space="0" w:color="000000"/>
        </w:tblBorders>
        <w:tblLayout w:type="fixed"/>
        <w:tblCellMar>
          <w:top w:w="75" w:type="dxa"/>
          <w:left w:w="75" w:type="dxa"/>
          <w:bottom w:w="75" w:type="dxa"/>
          <w:right w:w="75" w:type="dxa"/>
        </w:tblCellMar>
        <w:tblLook w:val="0000"/>
      </w:tblPr>
      <w:tblGrid>
        <w:gridCol w:w="450"/>
        <w:gridCol w:w="1341"/>
        <w:gridCol w:w="5499"/>
        <w:gridCol w:w="2520"/>
      </w:tblGrid>
      <w:tr w:rsidR="00CE22BC" w:rsidRPr="00D5505F" w:rsidTr="007335E5">
        <w:trPr>
          <w:trHeight w:val="105"/>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western"/>
              <w:spacing w:before="0" w:beforeAutospacing="0" w:after="0"/>
              <w:ind w:right="-122"/>
              <w:rPr>
                <w:rFonts w:ascii="Times New Roman" w:hAnsi="Times New Roman" w:cs="Times New Roman"/>
                <w:sz w:val="20"/>
                <w:szCs w:val="20"/>
              </w:rPr>
            </w:pPr>
            <w:r w:rsidRPr="00D5505F">
              <w:rPr>
                <w:rFonts w:ascii="Times New Roman" w:hAnsi="Times New Roman" w:cs="Times New Roman"/>
                <w:b/>
                <w:bCs/>
                <w:sz w:val="20"/>
                <w:szCs w:val="20"/>
              </w:rPr>
              <w:t>nº</w:t>
            </w:r>
          </w:p>
        </w:tc>
        <w:tc>
          <w:tcPr>
            <w:tcW w:w="1341"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Ttulo3"/>
              <w:spacing w:before="0" w:after="0"/>
              <w:rPr>
                <w:rFonts w:ascii="Times New Roman" w:hAnsi="Times New Roman"/>
                <w:sz w:val="20"/>
                <w:szCs w:val="20"/>
              </w:rPr>
            </w:pPr>
            <w:r w:rsidRPr="00D5505F">
              <w:rPr>
                <w:rFonts w:ascii="Times New Roman" w:hAnsi="Times New Roman"/>
                <w:sz w:val="20"/>
                <w:szCs w:val="20"/>
              </w:rPr>
              <w:t>PL/PLC</w:t>
            </w:r>
          </w:p>
        </w:tc>
        <w:tc>
          <w:tcPr>
            <w:tcW w:w="5499"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western"/>
              <w:spacing w:before="0" w:beforeAutospacing="0" w:after="0"/>
              <w:rPr>
                <w:rFonts w:ascii="Times New Roman" w:hAnsi="Times New Roman" w:cs="Times New Roman"/>
                <w:sz w:val="20"/>
                <w:szCs w:val="20"/>
              </w:rPr>
            </w:pPr>
            <w:r w:rsidRPr="00D5505F">
              <w:rPr>
                <w:rFonts w:ascii="Times New Roman" w:hAnsi="Times New Roman" w:cs="Times New Roman"/>
                <w:b/>
                <w:bCs/>
                <w:sz w:val="20"/>
                <w:szCs w:val="20"/>
              </w:rPr>
              <w:t>Assunto</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Ttulo4"/>
              <w:spacing w:before="0" w:after="0"/>
              <w:rPr>
                <w:sz w:val="20"/>
                <w:szCs w:val="20"/>
              </w:rPr>
            </w:pPr>
            <w:r w:rsidRPr="00D5505F">
              <w:rPr>
                <w:sz w:val="20"/>
                <w:szCs w:val="20"/>
              </w:rPr>
              <w:t>Lei/Lei Complementar</w:t>
            </w:r>
          </w:p>
        </w:tc>
      </w:tr>
      <w:tr w:rsidR="00CE22BC" w:rsidRPr="00D5505F" w:rsidTr="007335E5">
        <w:trPr>
          <w:trHeight w:val="105"/>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western"/>
              <w:spacing w:before="0" w:beforeAutospacing="0" w:after="0"/>
              <w:ind w:right="-122"/>
              <w:rPr>
                <w:rFonts w:ascii="Times New Roman" w:hAnsi="Times New Roman" w:cs="Times New Roman"/>
                <w:b/>
                <w:bCs/>
                <w:sz w:val="20"/>
                <w:szCs w:val="20"/>
              </w:rPr>
            </w:pPr>
            <w:r w:rsidRPr="00D5505F">
              <w:rPr>
                <w:rFonts w:ascii="Times New Roman" w:hAnsi="Times New Roman" w:cs="Times New Roman"/>
                <w:b/>
                <w:bCs/>
                <w:sz w:val="20"/>
                <w:szCs w:val="20"/>
              </w:rPr>
              <w:t xml:space="preserve">1. </w:t>
            </w:r>
          </w:p>
        </w:tc>
        <w:tc>
          <w:tcPr>
            <w:tcW w:w="1341"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tabs>
                <w:tab w:val="left" w:pos="2835"/>
                <w:tab w:val="left" w:pos="7428"/>
              </w:tabs>
              <w:rPr>
                <w:b/>
                <w:bCs/>
                <w:sz w:val="20"/>
                <w:szCs w:val="20"/>
              </w:rPr>
            </w:pPr>
            <w:r w:rsidRPr="00D5505F">
              <w:rPr>
                <w:b/>
                <w:bCs/>
                <w:sz w:val="20"/>
                <w:szCs w:val="20"/>
              </w:rPr>
              <w:t>C-10/14</w:t>
            </w:r>
          </w:p>
        </w:tc>
        <w:tc>
          <w:tcPr>
            <w:tcW w:w="5499"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jc w:val="both"/>
              <w:rPr>
                <w:sz w:val="20"/>
                <w:szCs w:val="20"/>
              </w:rPr>
            </w:pPr>
            <w:r w:rsidRPr="00D5505F">
              <w:rPr>
                <w:sz w:val="20"/>
                <w:szCs w:val="20"/>
              </w:rPr>
              <w:t>Dispõe sobre a revalorização das Escalas de Classes e Vencimentos do Quadro da Secretaria da Assembléia Legislativa do Estado de São Paulo e dá outras providências.</w:t>
            </w:r>
          </w:p>
          <w:p w:rsidR="00CE22BC" w:rsidRPr="00D5505F" w:rsidRDefault="00CE22BC" w:rsidP="007335E5">
            <w:pPr>
              <w:jc w:val="both"/>
              <w:rPr>
                <w:sz w:val="20"/>
                <w:szCs w:val="20"/>
              </w:rPr>
            </w:pPr>
            <w:r w:rsidRPr="00D5505F">
              <w:rPr>
                <w:sz w:val="20"/>
                <w:szCs w:val="20"/>
              </w:rPr>
              <w:t>Mesa da Assembléia</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tabs>
                <w:tab w:val="left" w:pos="2835"/>
              </w:tabs>
              <w:rPr>
                <w:b/>
                <w:sz w:val="20"/>
                <w:szCs w:val="20"/>
              </w:rPr>
            </w:pPr>
            <w:r w:rsidRPr="00D5505F">
              <w:rPr>
                <w:b/>
                <w:sz w:val="20"/>
                <w:szCs w:val="20"/>
              </w:rPr>
              <w:t>1.238, de 4/4/14</w:t>
            </w:r>
          </w:p>
        </w:tc>
      </w:tr>
      <w:tr w:rsidR="00CE22BC" w:rsidRPr="00D5505F" w:rsidTr="007335E5">
        <w:trPr>
          <w:trHeight w:val="105"/>
          <w:tblCellSpacing w:w="0" w:type="dxa"/>
          <w:jc w:val="center"/>
        </w:trPr>
        <w:tc>
          <w:tcPr>
            <w:tcW w:w="450"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western"/>
              <w:spacing w:before="0" w:beforeAutospacing="0" w:after="0"/>
              <w:ind w:right="-122"/>
              <w:rPr>
                <w:rFonts w:ascii="Times New Roman" w:hAnsi="Times New Roman" w:cs="Times New Roman"/>
                <w:b/>
                <w:bCs/>
                <w:sz w:val="20"/>
                <w:szCs w:val="20"/>
              </w:rPr>
            </w:pPr>
            <w:r w:rsidRPr="00D5505F">
              <w:rPr>
                <w:rFonts w:ascii="Times New Roman" w:hAnsi="Times New Roman" w:cs="Times New Roman"/>
                <w:b/>
                <w:bCs/>
                <w:sz w:val="20"/>
                <w:szCs w:val="20"/>
              </w:rPr>
              <w:t xml:space="preserve">3. </w:t>
            </w:r>
          </w:p>
        </w:tc>
        <w:tc>
          <w:tcPr>
            <w:tcW w:w="1341"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tabs>
                <w:tab w:val="left" w:pos="2835"/>
                <w:tab w:val="left" w:pos="7428"/>
              </w:tabs>
              <w:rPr>
                <w:b/>
                <w:bCs/>
                <w:sz w:val="20"/>
                <w:szCs w:val="20"/>
              </w:rPr>
            </w:pPr>
            <w:r w:rsidRPr="00D5505F">
              <w:rPr>
                <w:b/>
                <w:bCs/>
                <w:sz w:val="20"/>
                <w:szCs w:val="20"/>
              </w:rPr>
              <w:t>1425/14</w:t>
            </w:r>
          </w:p>
        </w:tc>
        <w:tc>
          <w:tcPr>
            <w:tcW w:w="5499"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Recuodecorpodetexto"/>
              <w:ind w:left="0"/>
              <w:rPr>
                <w:sz w:val="20"/>
                <w:lang w:val="pt-BR"/>
              </w:rPr>
            </w:pPr>
            <w:r w:rsidRPr="00D5505F">
              <w:rPr>
                <w:sz w:val="20"/>
                <w:lang w:val="pt-BR"/>
              </w:rPr>
              <w:t>Dispõe sobre o subsídio do Governador, do Vice-Governador e dos Secretários de Estado para o exercício financeiro de 2015.</w:t>
            </w:r>
          </w:p>
          <w:p w:rsidR="00CE22BC" w:rsidRPr="00D5505F" w:rsidRDefault="00CE22BC" w:rsidP="007335E5">
            <w:pPr>
              <w:pStyle w:val="Recuodecorpodetexto"/>
              <w:ind w:left="0"/>
              <w:rPr>
                <w:sz w:val="20"/>
              </w:rPr>
            </w:pPr>
            <w:r w:rsidRPr="00D5505F">
              <w:rPr>
                <w:sz w:val="20"/>
              </w:rPr>
              <w:t>Mesa da Assembléia</w:t>
            </w:r>
          </w:p>
        </w:tc>
        <w:tc>
          <w:tcPr>
            <w:tcW w:w="2520" w:type="dxa"/>
            <w:tcBorders>
              <w:top w:val="outset" w:sz="6" w:space="0" w:color="000000"/>
              <w:left w:val="outset" w:sz="6" w:space="0" w:color="000000"/>
              <w:bottom w:val="outset" w:sz="6" w:space="0" w:color="000000"/>
              <w:right w:val="outset" w:sz="6" w:space="0" w:color="000000"/>
            </w:tcBorders>
          </w:tcPr>
          <w:p w:rsidR="00CE22BC" w:rsidRPr="00D5505F" w:rsidRDefault="00CE22BC" w:rsidP="007335E5">
            <w:pPr>
              <w:pStyle w:val="Ttulo4"/>
              <w:spacing w:before="0" w:after="0"/>
              <w:rPr>
                <w:sz w:val="20"/>
                <w:szCs w:val="20"/>
                <w:lang w:val="pt-BR"/>
              </w:rPr>
            </w:pPr>
            <w:r w:rsidRPr="00D5505F">
              <w:rPr>
                <w:sz w:val="20"/>
                <w:szCs w:val="20"/>
                <w:lang w:val="pt-BR"/>
              </w:rPr>
              <w:t>15.685, de 14/1/15</w:t>
            </w:r>
          </w:p>
        </w:tc>
      </w:tr>
    </w:tbl>
    <w:p w:rsidR="00CE22BC" w:rsidRPr="007323E6" w:rsidRDefault="00CE22BC">
      <w:pPr>
        <w:autoSpaceDE w:val="0"/>
        <w:autoSpaceDN w:val="0"/>
        <w:adjustRightInd w:val="0"/>
        <w:ind w:firstLine="1134"/>
        <w:jc w:val="both"/>
        <w:rPr>
          <w:b/>
        </w:rPr>
      </w:pPr>
    </w:p>
    <w:p w:rsidR="003E6588" w:rsidRDefault="003E6588">
      <w:pPr>
        <w:rPr>
          <w:b/>
          <w:color w:val="000000"/>
        </w:rPr>
      </w:pPr>
      <w:r>
        <w:rPr>
          <w:b/>
          <w:color w:val="000000"/>
        </w:rPr>
        <w:lastRenderedPageBreak/>
        <w:t>FUNDO SOCIAL DE SOLIDARIEDADE DO ESTADO DE SÃO PAULO - FUSSESP</w:t>
      </w:r>
    </w:p>
    <w:p w:rsidR="003E6588" w:rsidRDefault="003E6588">
      <w:pPr>
        <w:ind w:firstLine="1134"/>
        <w:jc w:val="both"/>
        <w:rPr>
          <w:rFonts w:eastAsia="Arial Unicode MS"/>
        </w:rPr>
      </w:pPr>
    </w:p>
    <w:p w:rsidR="003E6588" w:rsidRDefault="003E6588">
      <w:pPr>
        <w:ind w:firstLine="1134"/>
        <w:jc w:val="both"/>
        <w:rPr>
          <w:rFonts w:eastAsia="Arial Unicode MS"/>
        </w:rPr>
      </w:pPr>
    </w:p>
    <w:p w:rsidR="003E6588" w:rsidRDefault="003E6588">
      <w:pPr>
        <w:pStyle w:val="Recuodecorpodetexto3"/>
        <w:ind w:left="0" w:firstLine="1134"/>
        <w:rPr>
          <w:lang w:val="pt-BR"/>
        </w:rPr>
      </w:pPr>
      <w:r>
        <w:rPr>
          <w:lang w:val="pt-BR"/>
        </w:rPr>
        <w:t xml:space="preserve">O </w:t>
      </w:r>
      <w:r>
        <w:rPr>
          <w:b/>
          <w:lang w:val="pt-BR"/>
        </w:rPr>
        <w:t>Fundo Social de Solidariedade do Estado de São Paulo</w:t>
      </w:r>
      <w:r>
        <w:rPr>
          <w:lang w:val="pt-BR"/>
        </w:rPr>
        <w:t xml:space="preserve"> - FUSSESP tem a missão de desenvolver programas e projetos sociais para melhorar a qualidade de vida dos segmentos mais carentes da população do Estado, exercitando a solidariedade educativa e criando programas e ações sociais visando o resgate da dignidade humana, a qualificação profissional, a geração de renda e emprego. Para tanto, são articuladas ações e parcerias com os Fundos Sociais de Solidariedade dos Municípios - FSSM, entidades de fins não econômicos, sociedade civil, iniciativa privada e órgãos da Administração Pública </w:t>
      </w:r>
      <w:r w:rsidR="006227DB">
        <w:rPr>
          <w:lang w:val="pt-BR"/>
        </w:rPr>
        <w:t>estadual</w:t>
      </w:r>
      <w:r>
        <w:rPr>
          <w:lang w:val="pt-BR"/>
        </w:rPr>
        <w:t>.</w:t>
      </w:r>
    </w:p>
    <w:p w:rsidR="003E6588" w:rsidRDefault="003E6588">
      <w:pPr>
        <w:ind w:firstLine="1134"/>
        <w:jc w:val="both"/>
      </w:pPr>
    </w:p>
    <w:p w:rsidR="003E6588" w:rsidRDefault="003E6588">
      <w:pPr>
        <w:ind w:firstLine="1134"/>
        <w:jc w:val="both"/>
      </w:pPr>
      <w:r>
        <w:t>Considerando a edição da Lei nº 14.512/2011 - que autoriza o Poder Executivo a instituir, por intermédio do FUSSESP, programas sociais destinados a atender pessoas em situação de vulnerabilidade social, o Programa “Escola de Qualificação Profissional” foi instituído pelo Decreto nº 57.314/2011, com o objetivo de promover a capacitação de agentes multiplicadores e a qualificação de pessoas em situação de vulnerabilidade social, mediante a promoção de cursos nas áreas de corte, costura, modelagem, bordado e atividades afins; panificação; imagem pessoal e construção civil, além de estimular a geração de emprego e renda.</w:t>
      </w:r>
    </w:p>
    <w:p w:rsidR="003E6588" w:rsidRDefault="003E6588">
      <w:pPr>
        <w:ind w:firstLine="1134"/>
        <w:jc w:val="both"/>
      </w:pPr>
    </w:p>
    <w:p w:rsidR="003E6588" w:rsidRDefault="006227DB">
      <w:pPr>
        <w:ind w:firstLine="1134"/>
        <w:jc w:val="both"/>
      </w:pPr>
      <w:r>
        <w:t xml:space="preserve">Principais </w:t>
      </w:r>
      <w:r w:rsidR="003E6588">
        <w:t>realizações, pro</w:t>
      </w:r>
      <w:r>
        <w:t>gramas e projetos desenvolvidos:</w:t>
      </w:r>
    </w:p>
    <w:p w:rsidR="003E6588" w:rsidRDefault="003E6588">
      <w:pPr>
        <w:ind w:firstLine="1134"/>
        <w:jc w:val="both"/>
      </w:pPr>
    </w:p>
    <w:p w:rsidR="003E6588" w:rsidRDefault="003E6588">
      <w:pPr>
        <w:ind w:firstLine="1134"/>
        <w:jc w:val="both"/>
      </w:pPr>
      <w:r>
        <w:rPr>
          <w:b/>
        </w:rPr>
        <w:t xml:space="preserve">Padaria Artesanal - </w:t>
      </w:r>
      <w:r>
        <w:t>A Padaria Artesanal é o carro-chefe do Programa Escola de Qualificação Profissional do FUSSESP, que tem por objetivo capacitar agentes multiplicadores no preparo de 10 tipos de pães nutritivos, saborosos e de alto valor comercial, além de ensinar noções de higiene, saúde e ética.</w:t>
      </w:r>
    </w:p>
    <w:p w:rsidR="003E6588" w:rsidRDefault="003E6588">
      <w:pPr>
        <w:ind w:firstLine="1134"/>
        <w:jc w:val="both"/>
      </w:pPr>
    </w:p>
    <w:p w:rsidR="003E6588" w:rsidRDefault="003E6588">
      <w:pPr>
        <w:ind w:firstLine="1134"/>
        <w:jc w:val="both"/>
      </w:pPr>
      <w:r>
        <w:t>A Padaria Artesanal</w:t>
      </w:r>
      <w:r w:rsidR="006227DB">
        <w:t>,</w:t>
      </w:r>
      <w:r>
        <w:t xml:space="preserve"> </w:t>
      </w:r>
      <w:r w:rsidRPr="006227DB">
        <w:t>instalada no Palácio dos Bandeirantes</w:t>
      </w:r>
      <w:r w:rsidR="00E6021C">
        <w:t>,</w:t>
      </w:r>
      <w:r>
        <w:t xml:space="preserve"> capacitou 1.516 pessoas, encaminhadas pelos FSSM, entidades sociais, comunidades carentes e outras instituições.</w:t>
      </w:r>
    </w:p>
    <w:p w:rsidR="003E6588" w:rsidRDefault="003E6588">
      <w:pPr>
        <w:ind w:firstLine="1134"/>
        <w:jc w:val="both"/>
      </w:pPr>
    </w:p>
    <w:p w:rsidR="003E6588" w:rsidRDefault="003E6588">
      <w:pPr>
        <w:ind w:firstLine="1134"/>
        <w:jc w:val="both"/>
      </w:pPr>
      <w:r>
        <w:t xml:space="preserve">Na unidade instalada no Parque Dr. Fernando Costa (Água Branca) foram capacitadas 3.243 pessoas e na </w:t>
      </w:r>
      <w:r w:rsidR="00E6021C">
        <w:t xml:space="preserve">Unidade Móvel </w:t>
      </w:r>
      <w:r>
        <w:t>(carreta)</w:t>
      </w:r>
      <w:r w:rsidR="00E6021C">
        <w:t>,</w:t>
      </w:r>
      <w:r>
        <w:t xml:space="preserve"> adaptada para o curso, estacionada na Praça Coronel Fernando Prestes, Metrô Tiradentes, capacitou 1.638 pessoas.</w:t>
      </w:r>
    </w:p>
    <w:p w:rsidR="003E6588" w:rsidRDefault="003E6588">
      <w:pPr>
        <w:ind w:firstLine="1134"/>
        <w:jc w:val="both"/>
      </w:pPr>
    </w:p>
    <w:p w:rsidR="003E6588" w:rsidRDefault="003E6588">
      <w:pPr>
        <w:ind w:firstLine="1134"/>
        <w:jc w:val="both"/>
      </w:pPr>
      <w:r>
        <w:t>Além da capacitação, os FSSM e entidades sociais que participaram do projeto receberam doação d</w:t>
      </w:r>
      <w:r w:rsidR="00C70469">
        <w:t>o</w:t>
      </w:r>
      <w:r>
        <w:t xml:space="preserve"> </w:t>
      </w:r>
      <w:r>
        <w:rPr>
          <w:i/>
        </w:rPr>
        <w:t>Kit</w:t>
      </w:r>
      <w:r>
        <w:t xml:space="preserve"> Padaria Artesanal, adquirido pelo FUSSESP, para que possam multiplicar o conhecimento para a comunidade, objetivando favorecer a economia doméstica e geração de renda.</w:t>
      </w:r>
    </w:p>
    <w:p w:rsidR="003E6588" w:rsidRDefault="003E6588">
      <w:pPr>
        <w:ind w:firstLine="1134"/>
        <w:jc w:val="both"/>
      </w:pPr>
    </w:p>
    <w:p w:rsidR="003E6588" w:rsidRDefault="003E6588">
      <w:pPr>
        <w:ind w:firstLine="1134"/>
        <w:jc w:val="both"/>
      </w:pPr>
      <w:r>
        <w:t xml:space="preserve">O </w:t>
      </w:r>
      <w:r>
        <w:rPr>
          <w:i/>
        </w:rPr>
        <w:t>Kit</w:t>
      </w:r>
      <w:r>
        <w:t xml:space="preserve"> Padaria Artesanal é composto de 1 forno, 1 liquidificador semi-industrial, 8 assadeiras e 1 mesa de aço inox para manipulação dos pães, além de placas de identificação do projeto.</w:t>
      </w:r>
    </w:p>
    <w:p w:rsidR="003E6588" w:rsidRDefault="003E6588">
      <w:pPr>
        <w:ind w:firstLine="1134"/>
        <w:jc w:val="both"/>
      </w:pPr>
    </w:p>
    <w:p w:rsidR="003E6588" w:rsidRDefault="003A43FE">
      <w:pPr>
        <w:ind w:firstLine="1134"/>
        <w:jc w:val="both"/>
      </w:pPr>
      <w:r>
        <w:t xml:space="preserve">O </w:t>
      </w:r>
      <w:r w:rsidR="003E6588">
        <w:t xml:space="preserve">FUSSESP repassou 167 </w:t>
      </w:r>
      <w:r w:rsidR="003E6588">
        <w:rPr>
          <w:i/>
        </w:rPr>
        <w:t>kits</w:t>
      </w:r>
      <w:r w:rsidR="003E6588">
        <w:t xml:space="preserve"> Padaria para os FSSM e 204 </w:t>
      </w:r>
      <w:r w:rsidR="003E6588">
        <w:rPr>
          <w:i/>
        </w:rPr>
        <w:t xml:space="preserve">kits </w:t>
      </w:r>
      <w:r w:rsidR="003E6588">
        <w:t xml:space="preserve">para entidades sociais, totalizando 371 </w:t>
      </w:r>
      <w:r w:rsidR="003E6588">
        <w:rPr>
          <w:i/>
        </w:rPr>
        <w:t>kits</w:t>
      </w:r>
      <w:r>
        <w:rPr>
          <w:i/>
        </w:rPr>
        <w:t>,</w:t>
      </w:r>
      <w:r w:rsidR="003E6588">
        <w:t xml:space="preserve"> correspondendo a investimento de R$ 755.352,29. Nos municípios parceiros</w:t>
      </w:r>
      <w:r>
        <w:t>,</w:t>
      </w:r>
      <w:r w:rsidR="003E6588">
        <w:t xml:space="preserve"> foram qualificadas 14.389 pessoas.</w:t>
      </w:r>
    </w:p>
    <w:p w:rsidR="003E6588" w:rsidRDefault="003E6588">
      <w:pPr>
        <w:ind w:firstLine="1134"/>
        <w:jc w:val="both"/>
      </w:pPr>
      <w:r>
        <w:rPr>
          <w:b/>
        </w:rPr>
        <w:lastRenderedPageBreak/>
        <w:t xml:space="preserve">Escola de Moda - </w:t>
      </w:r>
      <w:r>
        <w:t xml:space="preserve">A Escola de Moda do FUSSESP, que integra o Programa Escola de Qualificação Profissional, instituída pelo Decreto nº 57.314/2011, </w:t>
      </w:r>
      <w:r>
        <w:rPr>
          <w:rFonts w:eastAsia="Cambria"/>
          <w:lang w:eastAsia="en-US"/>
        </w:rPr>
        <w:t>tem como objetivo proporcionar a inclusão social e dar oportunidades no mercado de trabalho à população de baixa renda na indústria do vestuário. São oferecidos cursos de</w:t>
      </w:r>
      <w:r>
        <w:t xml:space="preserve"> Roteiro de Costura (Corte, Costura e Modelagem), Modelagem, Bordado em Linha, Bordado em Pedraria, Crochê e Confecção de Caixas em Tecido, </w:t>
      </w:r>
      <w:r w:rsidRPr="003A43FE">
        <w:t>com carga horária de três horas, de 2ª a 6ª feira, durante dois meses.</w:t>
      </w:r>
      <w:r>
        <w:t xml:space="preserve"> Os alunos receberam material didático, uniforme, lanche, auxílio-transporte e bolsa-auxílio (desempregados e os que não recebiam nenhum auxílio, como seguro desemprego)</w:t>
      </w:r>
      <w:r w:rsidR="003A43FE">
        <w:t>,</w:t>
      </w:r>
      <w:r>
        <w:t xml:space="preserve"> no valor de R$ 420,00</w:t>
      </w:r>
      <w:r w:rsidR="003A43FE">
        <w:t>,</w:t>
      </w:r>
      <w:r>
        <w:t xml:space="preserve"> ao final do curso.</w:t>
      </w:r>
    </w:p>
    <w:p w:rsidR="003E6588" w:rsidRDefault="003E6588">
      <w:pPr>
        <w:ind w:firstLine="1134"/>
        <w:jc w:val="both"/>
      </w:pPr>
    </w:p>
    <w:p w:rsidR="003E6588" w:rsidRDefault="003E6588">
      <w:pPr>
        <w:ind w:firstLine="1134"/>
        <w:jc w:val="both"/>
        <w:rPr>
          <w:u w:val="single"/>
        </w:rPr>
      </w:pPr>
      <w:r>
        <w:t>O FUSSESP</w:t>
      </w:r>
      <w:r w:rsidR="003A43FE">
        <w:t>,</w:t>
      </w:r>
      <w:r>
        <w:t xml:space="preserve"> em parceria com a Secretaria da Justiça e da Defesa da Cidadania </w:t>
      </w:r>
      <w:r w:rsidR="00BC205F">
        <w:t>-</w:t>
      </w:r>
      <w:r>
        <w:t xml:space="preserve"> SJDC</w:t>
      </w:r>
      <w:r w:rsidR="003A43FE">
        <w:t>,</w:t>
      </w:r>
      <w:r>
        <w:t xml:space="preserve"> promoveu a expansão do número de Escolas de Moda e Beleza, visando facilitar o acesso da população à qualificação profissional e ampliar a oferta de vagas na Escola de Qualificação Profissional, que conta com 5 unidades na </w:t>
      </w:r>
      <w:r w:rsidR="003A43FE">
        <w:t>Capital</w:t>
      </w:r>
      <w:r>
        <w:t>. O projeto foi implementado em quatro Centros de Integração da Cidadania - CIC, da SJDC, quais sejam: CIC Guarulhos; CIC Ferraz de Vasconcelos, CIC Jaraguá e CIC Capão Redondo (Feitiço da Vila).</w:t>
      </w:r>
    </w:p>
    <w:p w:rsidR="003E6588" w:rsidRDefault="003E6588">
      <w:pPr>
        <w:ind w:firstLine="1134"/>
        <w:jc w:val="both"/>
      </w:pPr>
    </w:p>
    <w:p w:rsidR="003E6588" w:rsidRDefault="003A43FE">
      <w:pPr>
        <w:ind w:firstLine="1134"/>
        <w:jc w:val="both"/>
      </w:pPr>
      <w:r>
        <w:t xml:space="preserve">Nas </w:t>
      </w:r>
      <w:r w:rsidR="003E6588">
        <w:t>Escolas de Moda do FUSSESP foram qualificadas 5.292 pessoas.</w:t>
      </w:r>
    </w:p>
    <w:p w:rsidR="003E6588" w:rsidRDefault="003E6588">
      <w:pPr>
        <w:ind w:firstLine="1134"/>
        <w:jc w:val="both"/>
      </w:pPr>
    </w:p>
    <w:p w:rsidR="003E6588" w:rsidRDefault="003A43FE">
      <w:pPr>
        <w:ind w:firstLine="1134"/>
        <w:jc w:val="both"/>
      </w:pPr>
      <w:r>
        <w:t xml:space="preserve">O </w:t>
      </w:r>
      <w:r w:rsidR="003E6588">
        <w:t xml:space="preserve">FUSSESP repassou um </w:t>
      </w:r>
      <w:r w:rsidR="003E6588">
        <w:rPr>
          <w:i/>
        </w:rPr>
        <w:t>kit</w:t>
      </w:r>
      <w:r w:rsidR="003E6588">
        <w:t xml:space="preserve"> “escola de moda”</w:t>
      </w:r>
      <w:r>
        <w:t>,</w:t>
      </w:r>
      <w:r w:rsidR="003E6588">
        <w:t xml:space="preserve"> consistente de 3 máquinas de costura reta industrial, 1 máquina </w:t>
      </w:r>
      <w:r w:rsidR="003E6588">
        <w:rPr>
          <w:i/>
        </w:rPr>
        <w:t>overloque</w:t>
      </w:r>
      <w:r w:rsidR="003E6588">
        <w:t xml:space="preserve"> industrial e 300 metros de tecido, para que os Municípios e entidades possam implementar o projeto, sendo atendido 68 FSSM e 96 entidades, totalizando investimento de R$ 930.700,00.</w:t>
      </w:r>
    </w:p>
    <w:p w:rsidR="003E6588" w:rsidRDefault="003E6588">
      <w:pPr>
        <w:ind w:firstLine="1134"/>
        <w:jc w:val="both"/>
      </w:pPr>
    </w:p>
    <w:p w:rsidR="003E6588" w:rsidRDefault="003A43FE">
      <w:pPr>
        <w:ind w:firstLine="1134"/>
        <w:jc w:val="both"/>
      </w:pPr>
      <w:r>
        <w:t xml:space="preserve">O </w:t>
      </w:r>
      <w:r w:rsidR="003E6588">
        <w:t>FUSSESP repassou recursos materiais e financeiros</w:t>
      </w:r>
      <w:r>
        <w:t>,</w:t>
      </w:r>
      <w:r w:rsidR="003E6588">
        <w:t xml:space="preserve"> de acordo com o previsto no Decreto nº 60.818/2014, visando a implantação e execução da 2ª fase do Projeto “Escola de Moda” nos municípios e entidades de fins não econômicos, mediante a inclusão da modalidade Tecido em Malha no curso Roteiro de Corte e Costura, correspondendo a R$ 2.727.061,74, destinados às 117 entidades que assinaram o convênio.</w:t>
      </w:r>
    </w:p>
    <w:p w:rsidR="003E6588" w:rsidRDefault="003E6588">
      <w:pPr>
        <w:ind w:firstLine="1134"/>
        <w:jc w:val="both"/>
      </w:pPr>
    </w:p>
    <w:p w:rsidR="003E6588" w:rsidRDefault="003E6588">
      <w:pPr>
        <w:ind w:firstLine="1134"/>
        <w:jc w:val="both"/>
      </w:pPr>
      <w:r>
        <w:rPr>
          <w:b/>
        </w:rPr>
        <w:t xml:space="preserve">Escola de Beleza - </w:t>
      </w:r>
      <w:r>
        <w:t xml:space="preserve">A Escola de Beleza, que integra o Programa Escola de Qualificação Profissional do FUSSESP, tem como objetivo </w:t>
      </w:r>
      <w:r>
        <w:rPr>
          <w:bCs/>
        </w:rPr>
        <w:t>capacitação e qualificação de pessoas em situação de vulnerabilidade social, mediante promoção de cursos na área de beleza desenvolvido</w:t>
      </w:r>
      <w:r w:rsidR="003A43FE">
        <w:rPr>
          <w:bCs/>
        </w:rPr>
        <w:t>s</w:t>
      </w:r>
      <w:r>
        <w:rPr>
          <w:bCs/>
        </w:rPr>
        <w:t xml:space="preserve"> na Capital, junto às lideranças comunitárias e entidades sociais. Foram oferecidos cursos de Assistente de Cabelereiro, </w:t>
      </w:r>
      <w:r>
        <w:t xml:space="preserve">Depilador e </w:t>
      </w:r>
      <w:r>
        <w:rPr>
          <w:i/>
        </w:rPr>
        <w:t>Designer</w:t>
      </w:r>
      <w:r>
        <w:t xml:space="preserve"> de Sobrancelhas, Manicure e Pedicure e Maquilador, </w:t>
      </w:r>
      <w:r w:rsidRPr="003A43FE">
        <w:t>com duração de dois meses e carga horária de três horas, de 2ª a 6ª feira.</w:t>
      </w:r>
      <w:r>
        <w:t xml:space="preserve"> Além do uniforme, lanche, auxílio-deslocamento, foi concedid</w:t>
      </w:r>
      <w:r w:rsidR="003A43FE">
        <w:t>a</w:t>
      </w:r>
      <w:r>
        <w:t xml:space="preserve"> bolsa-auxílio ao final do curso, de R$ 420,00 para alunos que não contam com benefício do Governo.</w:t>
      </w:r>
    </w:p>
    <w:p w:rsidR="003E6588" w:rsidRDefault="003E6588">
      <w:pPr>
        <w:ind w:firstLine="1134"/>
        <w:jc w:val="both"/>
      </w:pPr>
    </w:p>
    <w:p w:rsidR="003E6588" w:rsidRDefault="003A43FE">
      <w:pPr>
        <w:ind w:firstLine="1134"/>
        <w:jc w:val="both"/>
      </w:pPr>
      <w:r>
        <w:t xml:space="preserve">Mais </w:t>
      </w:r>
      <w:r w:rsidR="003E6588">
        <w:t>um espaço foi destinado para cursos da Escola de Beleza, qual seja, o edifício 14, no Parque da Água Branca.</w:t>
      </w:r>
    </w:p>
    <w:p w:rsidR="003E6588" w:rsidRDefault="003E6588">
      <w:pPr>
        <w:ind w:firstLine="1134"/>
        <w:jc w:val="both"/>
      </w:pPr>
    </w:p>
    <w:p w:rsidR="003E6588" w:rsidRDefault="003A43FE">
      <w:pPr>
        <w:ind w:firstLine="1134"/>
        <w:jc w:val="both"/>
      </w:pPr>
      <w:r>
        <w:t xml:space="preserve">Foram </w:t>
      </w:r>
      <w:r w:rsidR="003E6588">
        <w:t xml:space="preserve">qualificadas 3.511 pessoas na Escola de Beleza do FUSSESP e na Unidade Móvel (carreta), </w:t>
      </w:r>
      <w:r w:rsidR="003E6588" w:rsidRPr="003A43FE">
        <w:t>que continuou estacionada</w:t>
      </w:r>
      <w:r w:rsidR="003E6588">
        <w:t xml:space="preserve"> no Parque da Água Branca.</w:t>
      </w:r>
    </w:p>
    <w:p w:rsidR="003E6588" w:rsidRDefault="003A43FE">
      <w:pPr>
        <w:ind w:firstLine="1134"/>
        <w:jc w:val="both"/>
      </w:pPr>
      <w:r>
        <w:lastRenderedPageBreak/>
        <w:t xml:space="preserve">O </w:t>
      </w:r>
      <w:r w:rsidR="003E6588">
        <w:t xml:space="preserve">FUSSESP celebrou convênios com os municípios, </w:t>
      </w:r>
      <w:r>
        <w:t xml:space="preserve">por meio </w:t>
      </w:r>
      <w:r w:rsidR="003E6588">
        <w:t>dos seus FSSM e entidades de fins não econômicos, com a finalidade de promover a capacitação de agentes multiplicadores e qualificação de pessoas em situação de vulnerabilidade social, com vista à geração de renda e melhoria na qualidade de vida, mediante a promoção de cursos de assistente de cabeleireiro, depilação e design de sobrancelhas, manicure e pedicure e maquiagem.</w:t>
      </w:r>
    </w:p>
    <w:p w:rsidR="003E6588" w:rsidRDefault="003E6588">
      <w:pPr>
        <w:ind w:firstLine="1134"/>
        <w:jc w:val="both"/>
      </w:pPr>
    </w:p>
    <w:p w:rsidR="003E6588" w:rsidRDefault="003E6588">
      <w:pPr>
        <w:ind w:firstLine="1134"/>
        <w:jc w:val="both"/>
      </w:pPr>
      <w:r>
        <w:t>O FUSSESP repassou recursos materiais e financeiros para implementação do projeto “Escola de Beleza”</w:t>
      </w:r>
      <w:r w:rsidR="003A43FE">
        <w:t>,</w:t>
      </w:r>
      <w:r>
        <w:t>no montante de R$ 2.266.792,69, destinados ao atendimento a 120 municípios que celebraram convênio.</w:t>
      </w:r>
    </w:p>
    <w:p w:rsidR="003E6588" w:rsidRDefault="003E6588">
      <w:pPr>
        <w:ind w:firstLine="1134"/>
        <w:jc w:val="both"/>
      </w:pPr>
    </w:p>
    <w:p w:rsidR="003E6588" w:rsidRDefault="003E6588">
      <w:pPr>
        <w:ind w:firstLine="1134"/>
        <w:jc w:val="both"/>
      </w:pPr>
      <w:r>
        <w:t xml:space="preserve">A edição do Decreto nº 60.878/2014 permitiu ao FUSSESP celebrar aditivos com os municípios, </w:t>
      </w:r>
      <w:r w:rsidR="00F72D17">
        <w:t xml:space="preserve">por meio </w:t>
      </w:r>
      <w:r>
        <w:t>dos FSSM, com a finalidade de transferir recursos financeiros para remuneração de monitores atuantes no projeto, bem como prorrogar a vigência do ajuste de 18 para 24 meses. Essa medida se estenderá aos projetos “Polos Regionais das Escolas de Moda, de Beleza e da Construção Civil”, “Escola de Moda 2ª Fase” e “Escola da Construção Civil”.</w:t>
      </w:r>
    </w:p>
    <w:p w:rsidR="003E6588" w:rsidRDefault="003E6588">
      <w:pPr>
        <w:ind w:firstLine="1134"/>
        <w:jc w:val="both"/>
      </w:pPr>
    </w:p>
    <w:p w:rsidR="003E6588" w:rsidRDefault="003E6588">
      <w:pPr>
        <w:ind w:firstLine="1134"/>
        <w:jc w:val="both"/>
      </w:pPr>
      <w:r>
        <w:t>Em relação às entidades, nos termos do disposto no Decreto nº 60.818/2014, o FUSSESP repassou recursos materiais e financeiros no montante de R$ 2.598.081,70, em parcelas, para 90 entidades que assinaram o convênio.</w:t>
      </w:r>
    </w:p>
    <w:p w:rsidR="003E6588" w:rsidRDefault="003E6588">
      <w:pPr>
        <w:ind w:firstLine="1134"/>
        <w:jc w:val="both"/>
        <w:rPr>
          <w:b/>
        </w:rPr>
      </w:pPr>
    </w:p>
    <w:p w:rsidR="003E6588" w:rsidRDefault="003E6588">
      <w:pPr>
        <w:ind w:firstLine="1134"/>
        <w:jc w:val="both"/>
        <w:rPr>
          <w:bCs/>
          <w:color w:val="333333"/>
        </w:rPr>
      </w:pPr>
      <w:r>
        <w:rPr>
          <w:b/>
        </w:rPr>
        <w:t xml:space="preserve">Escola da Construção Civil - </w:t>
      </w:r>
      <w:r>
        <w:t>A Escola da Construção Civil, que integra o Programa Escola de Qualificação Profissional do FUSSESP, tem a finalidade de p</w:t>
      </w:r>
      <w:r>
        <w:rPr>
          <w:bCs/>
        </w:rPr>
        <w:t xml:space="preserve">romover a capacitação e requalificação profissional, mediante a promoção de cursos na área da construção civil, desenvolvido na Capital, junto às lideranças comunitárias e entidades sociais. Os cursos oferecidos são: Assentador de Pisos e Azulejos, Encanador e Pedreiro, com laboratórios </w:t>
      </w:r>
      <w:r>
        <w:t>para aulas práticas em espaços que reproduzem os ambientes de trabalho e que, por meio de simulações, propiciam o desenvolvimento de técnicas peculiares a cada um deles. Os alunos receberam material didático, uniforme, lanche, auxílio-transporte e bolsa-auxílio (desempregados e os que não recebiam nenhum auxílio, como seguro desemprego)</w:t>
      </w:r>
      <w:r w:rsidR="00F72D17">
        <w:t>,</w:t>
      </w:r>
      <w:r>
        <w:t xml:space="preserve"> no valor de R$ 420,00 ao final do curso.</w:t>
      </w:r>
    </w:p>
    <w:p w:rsidR="003E6588" w:rsidRDefault="003E6588">
      <w:pPr>
        <w:ind w:firstLine="1134"/>
        <w:jc w:val="both"/>
      </w:pPr>
    </w:p>
    <w:p w:rsidR="003E6588" w:rsidRDefault="00F72D17">
      <w:pPr>
        <w:ind w:firstLine="1134"/>
        <w:jc w:val="both"/>
      </w:pPr>
      <w:r>
        <w:t xml:space="preserve">Foram </w:t>
      </w:r>
      <w:r w:rsidR="003E6588">
        <w:t>capacitadas 634 pessoas na Escola da Construção Civil Unidade FUSSESP Sede e na Unidade Sol Nascente - Jaraguá.</w:t>
      </w:r>
    </w:p>
    <w:p w:rsidR="003E6588" w:rsidRDefault="003E6588">
      <w:pPr>
        <w:ind w:firstLine="1134"/>
        <w:jc w:val="both"/>
      </w:pPr>
    </w:p>
    <w:p w:rsidR="003E6588" w:rsidRDefault="00F72D17">
      <w:pPr>
        <w:ind w:firstLine="1134"/>
        <w:jc w:val="both"/>
      </w:pPr>
      <w:r>
        <w:t xml:space="preserve">O </w:t>
      </w:r>
      <w:r w:rsidR="003E6588">
        <w:t>FUSSESP repassou recursos materiais e financeiros</w:t>
      </w:r>
      <w:r>
        <w:t>,</w:t>
      </w:r>
      <w:r w:rsidR="003E6588">
        <w:t xml:space="preserve"> de acordo com o previsto no Decreto nº 60.818/2014, visando </w:t>
      </w:r>
      <w:r>
        <w:t>à</w:t>
      </w:r>
      <w:r w:rsidR="003E6588">
        <w:t xml:space="preserve"> implementação do projeto “Escola da Construção Civil”, no montante de R$ 2.188.556,81, em parcelas, para 34 entidades, que celebraram o convênio.</w:t>
      </w:r>
    </w:p>
    <w:p w:rsidR="00F72D17" w:rsidRDefault="00F72D17">
      <w:pPr>
        <w:ind w:firstLine="1134"/>
        <w:jc w:val="both"/>
        <w:rPr>
          <w:b/>
        </w:rPr>
      </w:pPr>
    </w:p>
    <w:p w:rsidR="003E6588" w:rsidRDefault="003E6588">
      <w:pPr>
        <w:ind w:firstLine="1134"/>
        <w:jc w:val="both"/>
      </w:pPr>
      <w:r>
        <w:rPr>
          <w:b/>
        </w:rPr>
        <w:t xml:space="preserve">Polos Regionais da Escola de Moda - </w:t>
      </w:r>
      <w:r>
        <w:t>O objetivo principal dos polos regionais é habilitar agentes multiplicadores dos municípios e entidades do entorno do polo, ampliando essa rede de qualificação e solidariedade, de modo que transforme a Capital e o Estado em grandes polos de costura do Brasil. Os municípios-polos têm até 100 mil habitantes</w:t>
      </w:r>
      <w:r w:rsidR="00F72D17">
        <w:t>,</w:t>
      </w:r>
      <w:r>
        <w:t xml:space="preserve"> exceto os da Região Metropolitana de São Paulo, e estão estrategicamente localizados no Estado. As entidades possuem reconhecido trabalho social e </w:t>
      </w:r>
      <w:r w:rsidR="00F72D17">
        <w:t>s</w:t>
      </w:r>
      <w:r>
        <w:t>e acham em pontos estratégicos da Capital.</w:t>
      </w:r>
    </w:p>
    <w:p w:rsidR="003E6588" w:rsidRDefault="003E6588">
      <w:pPr>
        <w:ind w:firstLine="1134"/>
        <w:jc w:val="both"/>
      </w:pPr>
      <w:r>
        <w:lastRenderedPageBreak/>
        <w:t>A participação do FUSSESP deu-se mediante o repasse de recursos materiais, consistentes basicamente nas máquinas de costura necessárias para a realização dos cursos, e financeiros, com vista à aquisição pelo convenente do material de consumo, calculado para o atendimento de 20 alunos.</w:t>
      </w:r>
    </w:p>
    <w:p w:rsidR="003E6588" w:rsidRDefault="003E6588">
      <w:pPr>
        <w:ind w:firstLine="1134"/>
        <w:jc w:val="both"/>
      </w:pPr>
    </w:p>
    <w:p w:rsidR="003E6588" w:rsidRDefault="003E6588">
      <w:pPr>
        <w:ind w:firstLine="1134"/>
        <w:jc w:val="both"/>
      </w:pPr>
      <w:r>
        <w:t>Mais 8 Polos da Escola de Moda foram implementados nas entidades domiciliadas na Capital, visando atender a grande procura e facilitar o acesso das pessoas à qualificação profissional na área de costura. A transferência de recursos materiais e financeiros</w:t>
      </w:r>
      <w:r w:rsidR="00F72D17">
        <w:t>,</w:t>
      </w:r>
      <w:r>
        <w:t xml:space="preserve"> no total de R$ 675.503,15</w:t>
      </w:r>
      <w:r w:rsidR="00F72D17">
        <w:t>,</w:t>
      </w:r>
      <w:r>
        <w:t xml:space="preserve"> </w:t>
      </w:r>
      <w:r w:rsidRPr="00F72D17">
        <w:t>serão</w:t>
      </w:r>
      <w:r>
        <w:t xml:space="preserve"> repassados, em parcelas, durante a vigência do convênio.</w:t>
      </w:r>
    </w:p>
    <w:p w:rsidR="003E6588" w:rsidRDefault="003E6588">
      <w:pPr>
        <w:ind w:firstLine="1134"/>
        <w:jc w:val="both"/>
      </w:pPr>
    </w:p>
    <w:p w:rsidR="003E6588" w:rsidRDefault="003E6588">
      <w:pPr>
        <w:ind w:firstLine="1134"/>
        <w:jc w:val="both"/>
      </w:pPr>
      <w:r>
        <w:t>Foram capacitadas 476 pessoas nos municípios Polos e 709 pessoas nas entidades Polos sediadas na Capital.</w:t>
      </w:r>
    </w:p>
    <w:p w:rsidR="003E6588" w:rsidRDefault="003E6588">
      <w:pPr>
        <w:ind w:firstLine="1134"/>
        <w:jc w:val="both"/>
      </w:pPr>
    </w:p>
    <w:p w:rsidR="003E6588" w:rsidRDefault="00F72D17">
      <w:pPr>
        <w:ind w:firstLine="1134"/>
        <w:jc w:val="both"/>
      </w:pPr>
      <w:r>
        <w:t xml:space="preserve">O </w:t>
      </w:r>
      <w:r w:rsidR="003E6588">
        <w:t>Projeto “Polos Regionais da Escola de Moda” foi ampliado mediante a implantação e desenvolvimento da 2ª fase do projeto nos 28 municípios polos e 28 entidades polos já participantes do projeto, com inclusão da modalidade “Tecido em Malha” no curso Roteiro de Corte e Costura e inclusão do curso Modelagem Básica Feminina em Tecido Plano. O FUSSESP repassou recursos materiais consistentes e</w:t>
      </w:r>
      <w:r>
        <w:t>m</w:t>
      </w:r>
      <w:r w:rsidR="003E6588">
        <w:t xml:space="preserve"> 1 máquina </w:t>
      </w:r>
      <w:r w:rsidR="003E6588">
        <w:rPr>
          <w:i/>
        </w:rPr>
        <w:t>overloque</w:t>
      </w:r>
      <w:r w:rsidR="003E6588">
        <w:t xml:space="preserve"> e 1 mesa de passar industrial com sucção e caldeira</w:t>
      </w:r>
      <w:r>
        <w:t>,</w:t>
      </w:r>
      <w:r w:rsidR="003E6588">
        <w:t xml:space="preserve"> e recursos financeiros, para aquisição, pelo convenente, de tecidos e outros insumos, e pagamento de monitores (este último, só para as entidades).</w:t>
      </w:r>
    </w:p>
    <w:p w:rsidR="003E6588" w:rsidRDefault="003E6588">
      <w:pPr>
        <w:ind w:firstLine="1134"/>
        <w:jc w:val="both"/>
      </w:pPr>
    </w:p>
    <w:p w:rsidR="003E6588" w:rsidRDefault="003E6588">
      <w:pPr>
        <w:ind w:firstLine="1134"/>
        <w:jc w:val="both"/>
      </w:pPr>
      <w:r>
        <w:t xml:space="preserve">Foram celebrados 32 convênios, sendo 16 com os Municípios Polos e 16 com as entidades Polos, totalizando o investimento, que cabe ao FUSSESP, </w:t>
      </w:r>
      <w:r w:rsidR="00F72D17">
        <w:t>d</w:t>
      </w:r>
      <w:r>
        <w:t>e R$ 1.724.356,95, incluídos os recursos materiais.</w:t>
      </w:r>
    </w:p>
    <w:p w:rsidR="003E6588" w:rsidRDefault="003E6588">
      <w:pPr>
        <w:ind w:firstLine="1134"/>
        <w:jc w:val="both"/>
      </w:pPr>
    </w:p>
    <w:p w:rsidR="003E6588" w:rsidRDefault="003E6588">
      <w:pPr>
        <w:ind w:firstLine="1134"/>
        <w:jc w:val="both"/>
        <w:rPr>
          <w:color w:val="000000"/>
        </w:rPr>
      </w:pPr>
      <w:r>
        <w:rPr>
          <w:b/>
        </w:rPr>
        <w:t xml:space="preserve">Polos Regionais da Escola de Beleza - </w:t>
      </w:r>
      <w:r>
        <w:rPr>
          <w:color w:val="000000"/>
        </w:rPr>
        <w:t xml:space="preserve">O projeto “Polos Regionais da Escola de Beleza”, tem como objetivo a qualificação profissional e capacitação de agentes multiplicadores do entorno dos Polos, nos cursos de assistente de cabeleireiro, depilação e </w:t>
      </w:r>
      <w:r w:rsidRPr="00F72D17">
        <w:rPr>
          <w:i/>
          <w:color w:val="000000"/>
        </w:rPr>
        <w:t>design</w:t>
      </w:r>
      <w:r>
        <w:rPr>
          <w:color w:val="000000"/>
        </w:rPr>
        <w:t xml:space="preserve"> de sobrancelhas, manicure</w:t>
      </w:r>
      <w:r w:rsidR="00F72D17">
        <w:rPr>
          <w:color w:val="000000"/>
        </w:rPr>
        <w:t>,</w:t>
      </w:r>
      <w:r>
        <w:rPr>
          <w:color w:val="000000"/>
        </w:rPr>
        <w:t xml:space="preserve"> pedicure e maquiagem, com vista à geração de renda e melhoria na qualidade de vida, em parceria com os municípios e entidades domiciliadas na Capital.</w:t>
      </w:r>
    </w:p>
    <w:p w:rsidR="00D5505F" w:rsidRDefault="00D5505F">
      <w:pPr>
        <w:ind w:firstLine="1134"/>
        <w:jc w:val="both"/>
        <w:rPr>
          <w:color w:val="000000"/>
        </w:rPr>
      </w:pPr>
    </w:p>
    <w:p w:rsidR="003E6588" w:rsidRDefault="003E6588">
      <w:pPr>
        <w:ind w:firstLine="1134"/>
        <w:jc w:val="both"/>
      </w:pPr>
      <w:r>
        <w:t xml:space="preserve">A participação do FUSSESP deu-se mediante o repasse de recursos materiais, consistentes de equipamentos e mobiliários específicos para a realização dos cursos, e financeiros, com vista à aquisição, pelo convenente, do material de consumo, calculado para o atendimento de 10 alunos por curso. A parceria ainda prevê a transferência de </w:t>
      </w:r>
      <w:r>
        <w:rPr>
          <w:i/>
        </w:rPr>
        <w:t>know-how</w:t>
      </w:r>
      <w:r>
        <w:t xml:space="preserve"> e conteúdo didático, uniformes e os pagamentos dos monitores, além da concessão de bolsa-auxílio, ao final do curso, de R$ 420,00</w:t>
      </w:r>
      <w:r w:rsidR="00F72D17">
        <w:t>,</w:t>
      </w:r>
      <w:r>
        <w:t xml:space="preserve"> para alunos que não contam com benefício do Governo.</w:t>
      </w:r>
    </w:p>
    <w:p w:rsidR="00F72D17" w:rsidRDefault="00F72D17">
      <w:pPr>
        <w:ind w:firstLine="1134"/>
        <w:jc w:val="both"/>
      </w:pPr>
    </w:p>
    <w:p w:rsidR="003E6588" w:rsidRDefault="003E6588">
      <w:pPr>
        <w:ind w:firstLine="1134"/>
        <w:jc w:val="both"/>
        <w:rPr>
          <w:color w:val="000000"/>
        </w:rPr>
      </w:pPr>
      <w:r>
        <w:rPr>
          <w:color w:val="000000"/>
        </w:rPr>
        <w:t>Devido à grande procura dos cursos na área de beleza e visando facilitar o acesso das pessoas à qualificação profissional, mais 4 Polos da Escola de Beleza foram implementadas nas entidades domiciliadas na Capital, com repasse de recursos materiais e financeiros no total de R$ 487.731,64</w:t>
      </w:r>
      <w:r w:rsidR="00F72D17">
        <w:rPr>
          <w:color w:val="000000"/>
        </w:rPr>
        <w:t>,</w:t>
      </w:r>
      <w:r>
        <w:rPr>
          <w:color w:val="000000"/>
        </w:rPr>
        <w:t xml:space="preserve"> a serem liberados em parcelas, durante a vigência do convênio.</w:t>
      </w:r>
    </w:p>
    <w:p w:rsidR="003E6588" w:rsidRDefault="003E6588">
      <w:pPr>
        <w:ind w:firstLine="1134"/>
        <w:jc w:val="both"/>
      </w:pPr>
    </w:p>
    <w:p w:rsidR="003E6588" w:rsidRDefault="00F72D17">
      <w:pPr>
        <w:ind w:firstLine="1134"/>
        <w:jc w:val="both"/>
      </w:pPr>
      <w:r>
        <w:lastRenderedPageBreak/>
        <w:t xml:space="preserve">Foram </w:t>
      </w:r>
      <w:r w:rsidR="003E6588">
        <w:t>capacitadas 3.394 pessoas nos municípios Polos e 3.585 pessoas nas entidades Polos sediadas na Capital.</w:t>
      </w:r>
    </w:p>
    <w:p w:rsidR="003E6588" w:rsidRDefault="003E6588">
      <w:pPr>
        <w:ind w:firstLine="1134"/>
        <w:jc w:val="both"/>
      </w:pPr>
    </w:p>
    <w:p w:rsidR="003E6588" w:rsidRDefault="003E6588">
      <w:pPr>
        <w:ind w:firstLine="1134"/>
        <w:jc w:val="both"/>
        <w:rPr>
          <w:bCs/>
          <w:color w:val="333333"/>
        </w:rPr>
      </w:pPr>
      <w:r>
        <w:rPr>
          <w:b/>
        </w:rPr>
        <w:t xml:space="preserve">Polos Regionais da Escola da Construção Civil - </w:t>
      </w:r>
      <w:r>
        <w:t xml:space="preserve">A exemplo dos projetos Polos Regionais das Escolas de Moda e de Beleza, foram implantados Polos Regionais da Escola da Construção Civil em 28 municípios e 28 entidades domiciliadas na Capital, visando à qualificação profissional no entorno dos Polos, nos cursos de </w:t>
      </w:r>
      <w:r>
        <w:rPr>
          <w:bCs/>
          <w:color w:val="333333"/>
        </w:rPr>
        <w:t>Assentador de Pisos e Azulejos, Encanador e Pedreiro.</w:t>
      </w:r>
    </w:p>
    <w:p w:rsidR="003E6588" w:rsidRDefault="003E6588">
      <w:pPr>
        <w:ind w:firstLine="1134"/>
        <w:jc w:val="both"/>
        <w:rPr>
          <w:bCs/>
          <w:color w:val="333333"/>
        </w:rPr>
      </w:pPr>
    </w:p>
    <w:p w:rsidR="003E6588" w:rsidRDefault="00F72D17">
      <w:pPr>
        <w:ind w:firstLine="1134"/>
        <w:jc w:val="both"/>
        <w:rPr>
          <w:bCs/>
        </w:rPr>
      </w:pPr>
      <w:r>
        <w:rPr>
          <w:bCs/>
        </w:rPr>
        <w:t xml:space="preserve">Foram </w:t>
      </w:r>
      <w:r w:rsidR="003E6588">
        <w:rPr>
          <w:bCs/>
        </w:rPr>
        <w:t>celebra</w:t>
      </w:r>
      <w:r>
        <w:rPr>
          <w:bCs/>
        </w:rPr>
        <w:t>d</w:t>
      </w:r>
      <w:r w:rsidR="003E6588">
        <w:rPr>
          <w:bCs/>
        </w:rPr>
        <w:t>o</w:t>
      </w:r>
      <w:r>
        <w:rPr>
          <w:bCs/>
        </w:rPr>
        <w:t>s</w:t>
      </w:r>
      <w:r w:rsidR="003E6588">
        <w:rPr>
          <w:bCs/>
        </w:rPr>
        <w:t xml:space="preserve"> convênios entre o FUSSESP e os municípios e entidades, visando repasse de recursos materiais consistentes em equipamentos e ferramentas para a realização dos cursos e de recursos financeiros para aquisição, pelo convenente, de materiais de construção, calculados para o atendimento de 15 alunos por curso.</w:t>
      </w:r>
    </w:p>
    <w:p w:rsidR="003E6588" w:rsidRDefault="003E6588">
      <w:pPr>
        <w:ind w:firstLine="1134"/>
        <w:jc w:val="both"/>
      </w:pPr>
    </w:p>
    <w:p w:rsidR="003E6588" w:rsidRDefault="00F72D17">
      <w:pPr>
        <w:ind w:firstLine="1134"/>
        <w:jc w:val="both"/>
      </w:pPr>
      <w:r>
        <w:t xml:space="preserve">Foram </w:t>
      </w:r>
      <w:r w:rsidR="003E6588">
        <w:t>celebrados convênios com os Municípios de Carapicuíba, Garça, Jandira, Pindamonhangaba, Santos e Sorocaba, completando-se os 28 Polos municípios, com repasse de recursos materiais e financeiros no total de R$ 236.634,42.</w:t>
      </w:r>
    </w:p>
    <w:p w:rsidR="003E6588" w:rsidRDefault="003E6588">
      <w:pPr>
        <w:ind w:firstLine="1134"/>
        <w:jc w:val="both"/>
      </w:pPr>
    </w:p>
    <w:p w:rsidR="003E6588" w:rsidRDefault="003E6588">
      <w:pPr>
        <w:ind w:firstLine="1134"/>
        <w:jc w:val="both"/>
      </w:pPr>
      <w:r>
        <w:t>O FUSSESP firmou convênios com as entidades polos, visando a transferência de recursos materiais e financeiros de R$ 1.274.339,00.</w:t>
      </w:r>
    </w:p>
    <w:p w:rsidR="003E6588" w:rsidRDefault="003E6588">
      <w:pPr>
        <w:ind w:firstLine="1134"/>
        <w:jc w:val="both"/>
      </w:pPr>
    </w:p>
    <w:p w:rsidR="003E6588" w:rsidRDefault="003E6588">
      <w:pPr>
        <w:ind w:firstLine="1134"/>
        <w:jc w:val="both"/>
      </w:pPr>
      <w:r>
        <w:t>Foram qualificadas 1.761 pessoas nos municípios Polos e 2.002 pessoas nas entidades Polos sediadas na Capital.</w:t>
      </w:r>
    </w:p>
    <w:p w:rsidR="003E6588" w:rsidRDefault="003E6588">
      <w:pPr>
        <w:ind w:firstLine="1134"/>
        <w:jc w:val="both"/>
      </w:pPr>
    </w:p>
    <w:p w:rsidR="003E6588" w:rsidRDefault="003E6588">
      <w:pPr>
        <w:ind w:firstLine="1134"/>
        <w:jc w:val="both"/>
      </w:pPr>
      <w:r>
        <w:t>Segue resumo das capacitações realizadas pelo Programa Escola de Qualificação Profissional do FUSSESP:</w:t>
      </w:r>
    </w:p>
    <w:p w:rsidR="003E6588" w:rsidRDefault="003E6588">
      <w:pPr>
        <w:ind w:firstLine="1276"/>
        <w:jc w:val="both"/>
      </w:pPr>
    </w:p>
    <w:tbl>
      <w:tblPr>
        <w:tblW w:w="0" w:type="auto"/>
        <w:tblInd w:w="110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6662"/>
        <w:gridCol w:w="1843"/>
      </w:tblGrid>
      <w:tr w:rsidR="003E6588" w:rsidTr="00D5505F">
        <w:trPr>
          <w:trHeight w:val="88"/>
        </w:trPr>
        <w:tc>
          <w:tcPr>
            <w:tcW w:w="6662" w:type="dxa"/>
            <w:shd w:val="clear" w:color="auto" w:fill="auto"/>
          </w:tcPr>
          <w:p w:rsidR="003E6588" w:rsidRDefault="003E6588">
            <w:pPr>
              <w:ind w:left="-142"/>
              <w:rPr>
                <w:rFonts w:eastAsia="Calibri"/>
                <w:b/>
                <w:sz w:val="20"/>
                <w:szCs w:val="20"/>
              </w:rPr>
            </w:pPr>
            <w:r>
              <w:rPr>
                <w:rFonts w:eastAsia="Calibri"/>
                <w:b/>
                <w:sz w:val="20"/>
                <w:szCs w:val="20"/>
              </w:rPr>
              <w:t>Resumo</w:t>
            </w:r>
          </w:p>
        </w:tc>
        <w:tc>
          <w:tcPr>
            <w:tcW w:w="1843" w:type="dxa"/>
            <w:shd w:val="clear" w:color="auto" w:fill="auto"/>
          </w:tcPr>
          <w:p w:rsidR="003E6588" w:rsidRDefault="003E6588">
            <w:pPr>
              <w:ind w:left="-142"/>
              <w:rPr>
                <w:rFonts w:eastAsia="Calibri"/>
                <w:b/>
                <w:sz w:val="20"/>
                <w:szCs w:val="20"/>
              </w:rPr>
            </w:pPr>
            <w:r>
              <w:rPr>
                <w:rFonts w:eastAsia="Calibri"/>
                <w:b/>
                <w:sz w:val="20"/>
                <w:szCs w:val="20"/>
              </w:rPr>
              <w:t>Alunos qualificados</w:t>
            </w:r>
          </w:p>
        </w:tc>
      </w:tr>
      <w:tr w:rsidR="003E6588" w:rsidTr="00D5505F">
        <w:trPr>
          <w:trHeight w:val="150"/>
        </w:trPr>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Escola de Moda - FUSSESP</w:t>
            </w:r>
          </w:p>
        </w:tc>
        <w:tc>
          <w:tcPr>
            <w:tcW w:w="1843" w:type="dxa"/>
            <w:shd w:val="clear" w:color="auto" w:fill="auto"/>
          </w:tcPr>
          <w:p w:rsidR="003E6588" w:rsidRDefault="003E6588">
            <w:pPr>
              <w:ind w:left="-142"/>
              <w:rPr>
                <w:rFonts w:eastAsia="Calibri"/>
                <w:sz w:val="20"/>
                <w:szCs w:val="20"/>
              </w:rPr>
            </w:pPr>
            <w:r>
              <w:rPr>
                <w:rFonts w:eastAsia="Calibri"/>
                <w:sz w:val="20"/>
                <w:szCs w:val="20"/>
              </w:rPr>
              <w:t>5.292</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Polos Regionais da Escola de Moda - Entidades Capital</w:t>
            </w:r>
          </w:p>
        </w:tc>
        <w:tc>
          <w:tcPr>
            <w:tcW w:w="1843" w:type="dxa"/>
            <w:shd w:val="clear" w:color="auto" w:fill="auto"/>
          </w:tcPr>
          <w:p w:rsidR="003E6588" w:rsidRDefault="003E6588">
            <w:pPr>
              <w:ind w:left="-142"/>
              <w:rPr>
                <w:rFonts w:eastAsia="Calibri"/>
                <w:sz w:val="20"/>
                <w:szCs w:val="20"/>
              </w:rPr>
            </w:pPr>
            <w:r>
              <w:rPr>
                <w:rFonts w:eastAsia="Calibri"/>
                <w:sz w:val="20"/>
                <w:szCs w:val="20"/>
              </w:rPr>
              <w:t>709</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Polos Regionais da Escola de Moda - Municípios</w:t>
            </w:r>
          </w:p>
        </w:tc>
        <w:tc>
          <w:tcPr>
            <w:tcW w:w="1843" w:type="dxa"/>
            <w:shd w:val="clear" w:color="auto" w:fill="auto"/>
          </w:tcPr>
          <w:p w:rsidR="003E6588" w:rsidRDefault="003E6588">
            <w:pPr>
              <w:ind w:left="-142"/>
              <w:rPr>
                <w:rFonts w:eastAsia="Calibri"/>
                <w:sz w:val="20"/>
                <w:szCs w:val="20"/>
              </w:rPr>
            </w:pPr>
            <w:r>
              <w:rPr>
                <w:rFonts w:eastAsia="Calibri"/>
                <w:sz w:val="20"/>
                <w:szCs w:val="20"/>
              </w:rPr>
              <w:t>476</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Escola de Beleza - FUSSESP</w:t>
            </w:r>
          </w:p>
        </w:tc>
        <w:tc>
          <w:tcPr>
            <w:tcW w:w="1843" w:type="dxa"/>
            <w:shd w:val="clear" w:color="auto" w:fill="auto"/>
          </w:tcPr>
          <w:p w:rsidR="003E6588" w:rsidRDefault="003E6588">
            <w:pPr>
              <w:ind w:left="-142"/>
              <w:rPr>
                <w:rFonts w:eastAsia="Calibri"/>
                <w:sz w:val="20"/>
                <w:szCs w:val="20"/>
              </w:rPr>
            </w:pPr>
            <w:r>
              <w:rPr>
                <w:rFonts w:eastAsia="Calibri"/>
                <w:sz w:val="20"/>
                <w:szCs w:val="20"/>
              </w:rPr>
              <w:t>3.511</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Polos Regionais da Escola de Beleza - Entidades Capital</w:t>
            </w:r>
          </w:p>
        </w:tc>
        <w:tc>
          <w:tcPr>
            <w:tcW w:w="1843" w:type="dxa"/>
            <w:shd w:val="clear" w:color="auto" w:fill="auto"/>
          </w:tcPr>
          <w:p w:rsidR="003E6588" w:rsidRDefault="003E6588">
            <w:pPr>
              <w:ind w:left="-142"/>
              <w:rPr>
                <w:rFonts w:eastAsia="Calibri"/>
                <w:sz w:val="20"/>
                <w:szCs w:val="20"/>
              </w:rPr>
            </w:pPr>
            <w:r>
              <w:rPr>
                <w:rFonts w:eastAsia="Calibri"/>
                <w:sz w:val="20"/>
                <w:szCs w:val="20"/>
              </w:rPr>
              <w:t>3.585</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Polos Regionais da Escola de Beleza - Municípios</w:t>
            </w:r>
          </w:p>
        </w:tc>
        <w:tc>
          <w:tcPr>
            <w:tcW w:w="1843" w:type="dxa"/>
            <w:shd w:val="clear" w:color="auto" w:fill="auto"/>
          </w:tcPr>
          <w:p w:rsidR="003E6588" w:rsidRDefault="003E6588">
            <w:pPr>
              <w:ind w:left="-142"/>
              <w:rPr>
                <w:rFonts w:eastAsia="Calibri"/>
                <w:sz w:val="20"/>
                <w:szCs w:val="20"/>
              </w:rPr>
            </w:pPr>
            <w:r>
              <w:rPr>
                <w:rFonts w:eastAsia="Calibri"/>
                <w:sz w:val="20"/>
                <w:szCs w:val="20"/>
              </w:rPr>
              <w:t>3.394</w:t>
            </w:r>
          </w:p>
        </w:tc>
      </w:tr>
      <w:tr w:rsidR="003E6588" w:rsidTr="00D5505F">
        <w:tc>
          <w:tcPr>
            <w:tcW w:w="6662" w:type="dxa"/>
            <w:shd w:val="clear" w:color="auto" w:fill="auto"/>
          </w:tcPr>
          <w:p w:rsidR="003E6588" w:rsidRDefault="003E6588" w:rsidP="00F72D17">
            <w:pPr>
              <w:ind w:left="-108"/>
              <w:jc w:val="left"/>
              <w:rPr>
                <w:rFonts w:eastAsia="Calibri"/>
                <w:sz w:val="20"/>
                <w:szCs w:val="20"/>
              </w:rPr>
            </w:pPr>
            <w:r>
              <w:rPr>
                <w:rFonts w:eastAsia="Calibri"/>
                <w:sz w:val="20"/>
                <w:szCs w:val="20"/>
              </w:rPr>
              <w:t>Escola da Construção Civil - FUSSESP</w:t>
            </w:r>
          </w:p>
        </w:tc>
        <w:tc>
          <w:tcPr>
            <w:tcW w:w="1843" w:type="dxa"/>
            <w:shd w:val="clear" w:color="auto" w:fill="auto"/>
          </w:tcPr>
          <w:p w:rsidR="003E6588" w:rsidRDefault="003E6588">
            <w:pPr>
              <w:ind w:left="-142"/>
              <w:rPr>
                <w:rFonts w:eastAsia="Calibri"/>
                <w:sz w:val="20"/>
                <w:szCs w:val="20"/>
              </w:rPr>
            </w:pPr>
            <w:r>
              <w:rPr>
                <w:rFonts w:eastAsia="Calibri"/>
                <w:sz w:val="20"/>
                <w:szCs w:val="20"/>
              </w:rPr>
              <w:t>634</w:t>
            </w:r>
          </w:p>
        </w:tc>
      </w:tr>
      <w:tr w:rsidR="003E6588" w:rsidTr="00D5505F">
        <w:tc>
          <w:tcPr>
            <w:tcW w:w="6662" w:type="dxa"/>
            <w:shd w:val="clear" w:color="auto" w:fill="auto"/>
          </w:tcPr>
          <w:p w:rsidR="003E6588" w:rsidRDefault="003E6588" w:rsidP="00F72D17">
            <w:pPr>
              <w:ind w:left="-108"/>
              <w:jc w:val="left"/>
              <w:rPr>
                <w:rFonts w:eastAsia="Calibri"/>
                <w:sz w:val="20"/>
                <w:szCs w:val="20"/>
              </w:rPr>
            </w:pPr>
            <w:r>
              <w:rPr>
                <w:rFonts w:eastAsia="Calibri"/>
                <w:sz w:val="20"/>
                <w:szCs w:val="20"/>
              </w:rPr>
              <w:t>Polos Regionais da Escola da Construção Civil - Entidades Capital</w:t>
            </w:r>
          </w:p>
        </w:tc>
        <w:tc>
          <w:tcPr>
            <w:tcW w:w="1843" w:type="dxa"/>
            <w:shd w:val="clear" w:color="auto" w:fill="auto"/>
          </w:tcPr>
          <w:p w:rsidR="003E6588" w:rsidRDefault="003E6588">
            <w:pPr>
              <w:ind w:left="-142"/>
              <w:rPr>
                <w:rFonts w:eastAsia="Calibri"/>
                <w:sz w:val="20"/>
                <w:szCs w:val="20"/>
              </w:rPr>
            </w:pPr>
            <w:r>
              <w:rPr>
                <w:rFonts w:eastAsia="Calibri"/>
                <w:sz w:val="20"/>
                <w:szCs w:val="20"/>
              </w:rPr>
              <w:t>2.002</w:t>
            </w:r>
          </w:p>
        </w:tc>
      </w:tr>
      <w:tr w:rsidR="003E6588" w:rsidTr="00D5505F">
        <w:tc>
          <w:tcPr>
            <w:tcW w:w="6662" w:type="dxa"/>
            <w:shd w:val="clear" w:color="auto" w:fill="auto"/>
          </w:tcPr>
          <w:p w:rsidR="003E6588" w:rsidRDefault="003E6588" w:rsidP="00F72D17">
            <w:pPr>
              <w:ind w:left="-108"/>
              <w:jc w:val="left"/>
              <w:rPr>
                <w:rFonts w:eastAsia="Calibri"/>
                <w:sz w:val="20"/>
                <w:szCs w:val="20"/>
              </w:rPr>
            </w:pPr>
            <w:r>
              <w:rPr>
                <w:rFonts w:eastAsia="Calibri"/>
                <w:sz w:val="20"/>
                <w:szCs w:val="20"/>
              </w:rPr>
              <w:t>Polos Regionais da Escola da Construção Civil - Interior</w:t>
            </w:r>
          </w:p>
        </w:tc>
        <w:tc>
          <w:tcPr>
            <w:tcW w:w="1843" w:type="dxa"/>
            <w:shd w:val="clear" w:color="auto" w:fill="auto"/>
          </w:tcPr>
          <w:p w:rsidR="003E6588" w:rsidRDefault="003E6588">
            <w:pPr>
              <w:ind w:left="-142"/>
              <w:rPr>
                <w:rFonts w:eastAsia="Calibri"/>
                <w:sz w:val="20"/>
                <w:szCs w:val="20"/>
              </w:rPr>
            </w:pPr>
            <w:r>
              <w:rPr>
                <w:rFonts w:eastAsia="Calibri"/>
                <w:sz w:val="20"/>
                <w:szCs w:val="20"/>
              </w:rPr>
              <w:t>1.761</w:t>
            </w:r>
          </w:p>
        </w:tc>
      </w:tr>
      <w:tr w:rsidR="003E6588" w:rsidTr="00D5505F">
        <w:tc>
          <w:tcPr>
            <w:tcW w:w="6662" w:type="dxa"/>
            <w:shd w:val="clear" w:color="auto" w:fill="auto"/>
          </w:tcPr>
          <w:p w:rsidR="003E6588" w:rsidRDefault="003E6588">
            <w:pPr>
              <w:ind w:left="-142"/>
              <w:jc w:val="right"/>
              <w:rPr>
                <w:rFonts w:eastAsia="Calibri"/>
                <w:b/>
                <w:sz w:val="20"/>
                <w:szCs w:val="20"/>
              </w:rPr>
            </w:pPr>
            <w:r>
              <w:rPr>
                <w:rFonts w:eastAsia="Calibri"/>
                <w:b/>
                <w:sz w:val="20"/>
                <w:szCs w:val="20"/>
              </w:rPr>
              <w:t>Total - Escolas + Polos/Ano</w:t>
            </w:r>
          </w:p>
        </w:tc>
        <w:tc>
          <w:tcPr>
            <w:tcW w:w="1843" w:type="dxa"/>
            <w:shd w:val="clear" w:color="auto" w:fill="auto"/>
          </w:tcPr>
          <w:p w:rsidR="003E6588" w:rsidRDefault="003E6588">
            <w:pPr>
              <w:ind w:left="-142"/>
              <w:rPr>
                <w:rFonts w:eastAsia="Calibri"/>
                <w:b/>
                <w:sz w:val="20"/>
                <w:szCs w:val="20"/>
              </w:rPr>
            </w:pPr>
            <w:r>
              <w:rPr>
                <w:rFonts w:eastAsia="Calibri"/>
                <w:b/>
                <w:sz w:val="20"/>
                <w:szCs w:val="20"/>
              </w:rPr>
              <w:t>21.364</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Padaria Artesanal - Palácio</w:t>
            </w:r>
          </w:p>
        </w:tc>
        <w:tc>
          <w:tcPr>
            <w:tcW w:w="1843" w:type="dxa"/>
            <w:shd w:val="clear" w:color="auto" w:fill="auto"/>
          </w:tcPr>
          <w:p w:rsidR="003E6588" w:rsidRDefault="003E6588">
            <w:pPr>
              <w:ind w:left="-142"/>
              <w:rPr>
                <w:rFonts w:eastAsia="Calibri"/>
                <w:sz w:val="20"/>
                <w:szCs w:val="20"/>
              </w:rPr>
            </w:pPr>
            <w:r>
              <w:rPr>
                <w:rFonts w:eastAsia="Calibri"/>
                <w:sz w:val="20"/>
                <w:szCs w:val="20"/>
              </w:rPr>
              <w:t>1.516</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Padaria Artesanal - Unidade Móvel</w:t>
            </w:r>
          </w:p>
        </w:tc>
        <w:tc>
          <w:tcPr>
            <w:tcW w:w="1843" w:type="dxa"/>
            <w:shd w:val="clear" w:color="auto" w:fill="auto"/>
          </w:tcPr>
          <w:p w:rsidR="003E6588" w:rsidRDefault="003E6588">
            <w:pPr>
              <w:ind w:left="-142"/>
              <w:rPr>
                <w:rFonts w:eastAsia="Calibri"/>
                <w:sz w:val="20"/>
                <w:szCs w:val="20"/>
              </w:rPr>
            </w:pPr>
            <w:r>
              <w:rPr>
                <w:rFonts w:eastAsia="Calibri"/>
                <w:sz w:val="20"/>
                <w:szCs w:val="20"/>
              </w:rPr>
              <w:t>1.638</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Padaria Artesanal - FUSSESP</w:t>
            </w:r>
          </w:p>
        </w:tc>
        <w:tc>
          <w:tcPr>
            <w:tcW w:w="1843" w:type="dxa"/>
            <w:shd w:val="clear" w:color="auto" w:fill="auto"/>
          </w:tcPr>
          <w:p w:rsidR="003E6588" w:rsidRDefault="003E6588">
            <w:pPr>
              <w:ind w:left="-142"/>
              <w:rPr>
                <w:rFonts w:eastAsia="Calibri"/>
                <w:sz w:val="20"/>
                <w:szCs w:val="20"/>
              </w:rPr>
            </w:pPr>
            <w:r>
              <w:rPr>
                <w:rFonts w:eastAsia="Calibri"/>
                <w:sz w:val="20"/>
                <w:szCs w:val="20"/>
              </w:rPr>
              <w:t>3.243</w:t>
            </w:r>
          </w:p>
        </w:tc>
      </w:tr>
      <w:tr w:rsidR="003E6588" w:rsidTr="00D5505F">
        <w:tc>
          <w:tcPr>
            <w:tcW w:w="6662" w:type="dxa"/>
            <w:shd w:val="clear" w:color="auto" w:fill="auto"/>
          </w:tcPr>
          <w:p w:rsidR="003E6588" w:rsidRDefault="003E6588">
            <w:pPr>
              <w:ind w:left="-142"/>
              <w:jc w:val="both"/>
              <w:rPr>
                <w:rFonts w:eastAsia="Calibri"/>
                <w:sz w:val="20"/>
                <w:szCs w:val="20"/>
              </w:rPr>
            </w:pPr>
            <w:r>
              <w:rPr>
                <w:rFonts w:eastAsia="Calibri"/>
                <w:sz w:val="20"/>
                <w:szCs w:val="20"/>
              </w:rPr>
              <w:t xml:space="preserve"> Padaria Artesanal - Municípios</w:t>
            </w:r>
          </w:p>
        </w:tc>
        <w:tc>
          <w:tcPr>
            <w:tcW w:w="1843" w:type="dxa"/>
            <w:shd w:val="clear" w:color="auto" w:fill="auto"/>
          </w:tcPr>
          <w:p w:rsidR="003E6588" w:rsidRDefault="003E6588">
            <w:pPr>
              <w:ind w:left="-142"/>
              <w:rPr>
                <w:rFonts w:eastAsia="Calibri"/>
                <w:sz w:val="20"/>
                <w:szCs w:val="20"/>
              </w:rPr>
            </w:pPr>
            <w:r>
              <w:rPr>
                <w:rFonts w:eastAsia="Calibri"/>
                <w:sz w:val="20"/>
                <w:szCs w:val="20"/>
              </w:rPr>
              <w:t>14.389</w:t>
            </w:r>
          </w:p>
        </w:tc>
      </w:tr>
      <w:tr w:rsidR="003E6588" w:rsidTr="00D5505F">
        <w:tc>
          <w:tcPr>
            <w:tcW w:w="6662" w:type="dxa"/>
            <w:shd w:val="clear" w:color="auto" w:fill="auto"/>
          </w:tcPr>
          <w:p w:rsidR="003E6588" w:rsidRDefault="003E6588">
            <w:pPr>
              <w:ind w:left="-142"/>
              <w:jc w:val="right"/>
              <w:rPr>
                <w:rFonts w:eastAsia="Calibri"/>
                <w:b/>
                <w:sz w:val="20"/>
                <w:szCs w:val="20"/>
              </w:rPr>
            </w:pPr>
            <w:r>
              <w:rPr>
                <w:rFonts w:eastAsia="Calibri"/>
                <w:b/>
                <w:sz w:val="20"/>
                <w:szCs w:val="20"/>
              </w:rPr>
              <w:t>Total - Padarias/Ano</w:t>
            </w:r>
          </w:p>
        </w:tc>
        <w:tc>
          <w:tcPr>
            <w:tcW w:w="1843" w:type="dxa"/>
            <w:shd w:val="clear" w:color="auto" w:fill="auto"/>
          </w:tcPr>
          <w:p w:rsidR="003E6588" w:rsidRDefault="003E6588">
            <w:pPr>
              <w:ind w:left="-142"/>
              <w:rPr>
                <w:rFonts w:eastAsia="Calibri"/>
                <w:b/>
                <w:sz w:val="20"/>
                <w:szCs w:val="20"/>
              </w:rPr>
            </w:pPr>
            <w:r>
              <w:rPr>
                <w:rFonts w:eastAsia="Calibri"/>
                <w:b/>
                <w:sz w:val="20"/>
                <w:szCs w:val="20"/>
              </w:rPr>
              <w:t>20.786</w:t>
            </w:r>
          </w:p>
        </w:tc>
      </w:tr>
      <w:tr w:rsidR="003E6588" w:rsidTr="00D5505F">
        <w:tc>
          <w:tcPr>
            <w:tcW w:w="6662" w:type="dxa"/>
            <w:shd w:val="clear" w:color="auto" w:fill="auto"/>
          </w:tcPr>
          <w:p w:rsidR="003E6588" w:rsidRDefault="003E6588">
            <w:pPr>
              <w:ind w:left="-142"/>
              <w:jc w:val="right"/>
              <w:rPr>
                <w:rFonts w:eastAsia="Calibri"/>
                <w:b/>
                <w:sz w:val="20"/>
                <w:szCs w:val="20"/>
              </w:rPr>
            </w:pPr>
            <w:r>
              <w:rPr>
                <w:rFonts w:eastAsia="Calibri"/>
                <w:b/>
                <w:sz w:val="20"/>
                <w:szCs w:val="20"/>
              </w:rPr>
              <w:t>TOTAL GERAL de Qualificados/Ano</w:t>
            </w:r>
          </w:p>
        </w:tc>
        <w:tc>
          <w:tcPr>
            <w:tcW w:w="1843" w:type="dxa"/>
            <w:shd w:val="clear" w:color="auto" w:fill="auto"/>
          </w:tcPr>
          <w:p w:rsidR="003E6588" w:rsidRDefault="003E6588">
            <w:pPr>
              <w:ind w:left="-142"/>
              <w:rPr>
                <w:rFonts w:eastAsia="Calibri"/>
                <w:b/>
                <w:sz w:val="20"/>
                <w:szCs w:val="20"/>
              </w:rPr>
            </w:pPr>
            <w:r>
              <w:rPr>
                <w:rFonts w:eastAsia="Calibri"/>
                <w:b/>
                <w:sz w:val="20"/>
                <w:szCs w:val="20"/>
              </w:rPr>
              <w:t>42.150</w:t>
            </w:r>
          </w:p>
        </w:tc>
      </w:tr>
    </w:tbl>
    <w:p w:rsidR="003E6588" w:rsidRDefault="003E6588">
      <w:pPr>
        <w:spacing w:after="120"/>
        <w:ind w:firstLine="993"/>
        <w:jc w:val="both"/>
      </w:pPr>
    </w:p>
    <w:p w:rsidR="003E6588" w:rsidRDefault="003E6588">
      <w:pPr>
        <w:ind w:left="-142" w:firstLine="1276"/>
        <w:jc w:val="both"/>
        <w:rPr>
          <w:snapToGrid w:val="0"/>
        </w:rPr>
      </w:pPr>
      <w:r>
        <w:rPr>
          <w:b/>
        </w:rPr>
        <w:lastRenderedPageBreak/>
        <w:t xml:space="preserve">Praça de Exercícios do Idoso - </w:t>
      </w:r>
      <w:r>
        <w:t xml:space="preserve">A Praça de Exercícios do Idoso foi criada com intuito de prevenir quedas e auxiliar na recuperação de fraturas mais frequentes, bem como ampliar </w:t>
      </w:r>
      <w:r>
        <w:rPr>
          <w:snapToGrid w:val="0"/>
        </w:rPr>
        <w:t>a convivência social</w:t>
      </w:r>
      <w:r>
        <w:t xml:space="preserve">. São instaladas </w:t>
      </w:r>
      <w:r w:rsidR="00F72D17">
        <w:t>e</w:t>
      </w:r>
      <w:r>
        <w:t>m local de</w:t>
      </w:r>
      <w:r>
        <w:rPr>
          <w:snapToGrid w:val="0"/>
        </w:rPr>
        <w:t xml:space="preserve"> fácil acesso</w:t>
      </w:r>
      <w:r w:rsidR="00F72D17">
        <w:rPr>
          <w:snapToGrid w:val="0"/>
        </w:rPr>
        <w:t>,</w:t>
      </w:r>
      <w:r>
        <w:rPr>
          <w:snapToGrid w:val="0"/>
        </w:rPr>
        <w:t xml:space="preserve"> onde os idosos poderão praticar exercícios específicos que tenham efeito redutor significativo na incidência de quedas, as quais representam importante causa de morbidade e mortalidade da população idosa.</w:t>
      </w:r>
    </w:p>
    <w:p w:rsidR="003E6588" w:rsidRDefault="003E6588">
      <w:pPr>
        <w:ind w:firstLine="1276"/>
        <w:jc w:val="both"/>
        <w:rPr>
          <w:snapToGrid w:val="0"/>
        </w:rPr>
      </w:pPr>
    </w:p>
    <w:p w:rsidR="003E6588" w:rsidRDefault="003E6588">
      <w:pPr>
        <w:ind w:firstLine="1134"/>
        <w:jc w:val="both"/>
        <w:rPr>
          <w:snapToGrid w:val="0"/>
        </w:rPr>
      </w:pPr>
      <w:r>
        <w:rPr>
          <w:snapToGrid w:val="0"/>
        </w:rPr>
        <w:t>O FUSSESP, por intermédio dos FSSM, transferiu recursos financeiros, por meio de convênio, para aquisição de materiais para a instalação de praças em todos os municípios, podendo, cada um, receber no mínimo uma e no máximo seis praças, de acordo com o número da população idosa.</w:t>
      </w:r>
    </w:p>
    <w:p w:rsidR="003E6588" w:rsidRDefault="003E6588">
      <w:pPr>
        <w:ind w:firstLine="1134"/>
        <w:jc w:val="both"/>
        <w:rPr>
          <w:snapToGrid w:val="0"/>
        </w:rPr>
      </w:pPr>
      <w:r>
        <w:rPr>
          <w:snapToGrid w:val="0"/>
        </w:rPr>
        <w:t xml:space="preserve">A Praça do Idoso é composta dos seguintes equipamentos: </w:t>
      </w:r>
      <w:r>
        <w:t>Estação Senta-Levanta (4 cadeiras sem braços); Estação Rampa-Escada (2 escadas e 1 rampa); Estação Ergometria (6 cadeiras com braços e pedais); Estação Barras Paralelas (1 barra paralela); Estação Reabilitação (2 rolos, 2 rotores e 2 escadas para dedos).</w:t>
      </w:r>
    </w:p>
    <w:p w:rsidR="003E6588" w:rsidRDefault="003E6588">
      <w:pPr>
        <w:ind w:left="-180" w:firstLine="1134"/>
        <w:jc w:val="both"/>
      </w:pPr>
    </w:p>
    <w:p w:rsidR="003E6588" w:rsidRDefault="003E6588">
      <w:pPr>
        <w:ind w:left="-180" w:firstLine="1314"/>
        <w:jc w:val="both"/>
      </w:pPr>
      <w:r>
        <w:t>O FUSSESP repassou recursos financeiros a 51 municípios para a instalação da Praça de Exercícios do Idoso, totalizando investimento de R$ 765.000,00.</w:t>
      </w:r>
    </w:p>
    <w:p w:rsidR="003E6588" w:rsidRDefault="003E6588">
      <w:pPr>
        <w:ind w:left="-180" w:firstLine="1276"/>
        <w:jc w:val="both"/>
      </w:pPr>
    </w:p>
    <w:p w:rsidR="003E6588" w:rsidRDefault="003E6588">
      <w:pPr>
        <w:ind w:firstLine="1134"/>
        <w:jc w:val="both"/>
      </w:pPr>
      <w:r>
        <w:rPr>
          <w:b/>
        </w:rPr>
        <w:t xml:space="preserve">Apoio Técnico e Financeiro aos Fundos Municipais e Entidades - </w:t>
      </w:r>
      <w:r>
        <w:t>Consiste no repasse de recursos financeiros para aquisição de material permanente, mediante apresentação de projetos de Geração de Emprego e Renda elaborados pelos FSSM e aprovados pelo FUSSESP. Estes projetos atendem prioridades sociais levantadas pelas comunidades, que têm conhecimento das realidades regionais. O objetivo é estimular a criação de novas oportunidades de trabalho para a população do Estado.</w:t>
      </w:r>
    </w:p>
    <w:p w:rsidR="003E6588" w:rsidRDefault="003E6588">
      <w:pPr>
        <w:ind w:firstLine="1134"/>
        <w:jc w:val="both"/>
      </w:pPr>
    </w:p>
    <w:p w:rsidR="003E6588" w:rsidRDefault="00F72D17">
      <w:pPr>
        <w:ind w:firstLine="1134"/>
        <w:jc w:val="both"/>
      </w:pPr>
      <w:r>
        <w:t xml:space="preserve">O </w:t>
      </w:r>
      <w:r w:rsidR="003E6588">
        <w:t xml:space="preserve">FUSSESP está autorizado a celebrar convênios com todos os municípios do Estado que tenham FSSM criados por lei. </w:t>
      </w:r>
      <w:r>
        <w:t xml:space="preserve">Apoiou </w:t>
      </w:r>
      <w:r w:rsidR="003E6588">
        <w:t>44 projetos sociais, equivalentes ao montante de R$ 659.962,04.</w:t>
      </w:r>
    </w:p>
    <w:p w:rsidR="003E6588" w:rsidRDefault="003E6588">
      <w:pPr>
        <w:ind w:firstLine="1134"/>
        <w:jc w:val="both"/>
      </w:pPr>
    </w:p>
    <w:p w:rsidR="003E6588" w:rsidRDefault="003E6588">
      <w:pPr>
        <w:ind w:firstLine="1134"/>
        <w:jc w:val="both"/>
      </w:pPr>
      <w:r>
        <w:t>O FUSSESP apoiou</w:t>
      </w:r>
      <w:r w:rsidR="00F72D17">
        <w:t>,</w:t>
      </w:r>
      <w:r>
        <w:t xml:space="preserve"> com repasse de recursos materiais diversos provenientes de doações de empresas e instituições, 464 FSSM e 393 entidades da Capital e 31 entidades sediadas na Grande São Paulo.</w:t>
      </w:r>
    </w:p>
    <w:p w:rsidR="003E6588" w:rsidRDefault="003E6588">
      <w:pPr>
        <w:ind w:firstLine="1134"/>
        <w:jc w:val="both"/>
      </w:pPr>
    </w:p>
    <w:p w:rsidR="003E6588" w:rsidRDefault="00F72D17">
      <w:pPr>
        <w:ind w:firstLine="1134"/>
        <w:jc w:val="both"/>
      </w:pPr>
      <w:r>
        <w:t xml:space="preserve">Recebeu </w:t>
      </w:r>
      <w:r w:rsidR="003E6588">
        <w:t xml:space="preserve">doação de </w:t>
      </w:r>
      <w:r w:rsidR="003E6588">
        <w:rPr>
          <w:i/>
        </w:rPr>
        <w:t>kits</w:t>
      </w:r>
      <w:r w:rsidR="003E6588">
        <w:t xml:space="preserve"> “Padaria Artesanal” do Banco Santander e da Associação dos Cônsules do Brasil, que foram destinados para </w:t>
      </w:r>
      <w:r>
        <w:t>a</w:t>
      </w:r>
      <w:r w:rsidR="003E6588">
        <w:t>o atendimento a 14 entidades da Capital e 25 entidades sediadas no Interior.</w:t>
      </w:r>
    </w:p>
    <w:p w:rsidR="003E6588" w:rsidRDefault="003E6588">
      <w:pPr>
        <w:ind w:firstLine="1276"/>
        <w:jc w:val="both"/>
      </w:pPr>
    </w:p>
    <w:p w:rsidR="003E6588" w:rsidRDefault="003E6588">
      <w:pPr>
        <w:ind w:firstLine="1134"/>
        <w:jc w:val="both"/>
      </w:pPr>
      <w:r>
        <w:t xml:space="preserve">Em relação ao apoio técnico aos FSSM </w:t>
      </w:r>
      <w:r w:rsidR="00F72D17">
        <w:t>e entidades, a equipe técnica do</w:t>
      </w:r>
      <w:r>
        <w:t xml:space="preserve"> FUSSESP realizou e participou das seguintes atividades:</w:t>
      </w:r>
    </w:p>
    <w:p w:rsidR="003E6588" w:rsidRDefault="003E6588">
      <w:pPr>
        <w:ind w:firstLine="1276"/>
        <w:jc w:val="both"/>
      </w:pPr>
    </w:p>
    <w:tbl>
      <w:tblPr>
        <w:tblW w:w="0" w:type="auto"/>
        <w:jc w:val="center"/>
        <w:tblInd w:w="28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3782"/>
        <w:gridCol w:w="850"/>
      </w:tblGrid>
      <w:tr w:rsidR="003E6588" w:rsidTr="00A52378">
        <w:trPr>
          <w:trHeight w:val="96"/>
          <w:jc w:val="center"/>
        </w:trPr>
        <w:tc>
          <w:tcPr>
            <w:tcW w:w="3782" w:type="dxa"/>
            <w:shd w:val="clear" w:color="auto" w:fill="auto"/>
          </w:tcPr>
          <w:p w:rsidR="003E6588" w:rsidRDefault="003E6588" w:rsidP="00DC7ACB">
            <w:pPr>
              <w:jc w:val="both"/>
              <w:rPr>
                <w:rFonts w:eastAsia="Calibri"/>
                <w:sz w:val="20"/>
                <w:szCs w:val="20"/>
              </w:rPr>
            </w:pPr>
            <w:r>
              <w:rPr>
                <w:rFonts w:eastAsia="Calibri"/>
                <w:sz w:val="20"/>
                <w:szCs w:val="20"/>
              </w:rPr>
              <w:t>Assessoria e visita aos FSSM</w:t>
            </w:r>
          </w:p>
        </w:tc>
        <w:tc>
          <w:tcPr>
            <w:tcW w:w="850" w:type="dxa"/>
            <w:shd w:val="clear" w:color="auto" w:fill="auto"/>
          </w:tcPr>
          <w:p w:rsidR="003E6588" w:rsidRDefault="003E6588">
            <w:pPr>
              <w:ind w:left="-142"/>
              <w:rPr>
                <w:rFonts w:eastAsia="Calibri"/>
                <w:sz w:val="20"/>
                <w:szCs w:val="20"/>
                <w:highlight w:val="yellow"/>
              </w:rPr>
            </w:pPr>
            <w:r>
              <w:rPr>
                <w:rFonts w:eastAsia="Calibri"/>
                <w:sz w:val="20"/>
                <w:szCs w:val="20"/>
              </w:rPr>
              <w:t>1.205</w:t>
            </w:r>
          </w:p>
        </w:tc>
      </w:tr>
      <w:tr w:rsidR="003E6588" w:rsidTr="00A52378">
        <w:trPr>
          <w:jc w:val="center"/>
        </w:trPr>
        <w:tc>
          <w:tcPr>
            <w:tcW w:w="3782" w:type="dxa"/>
            <w:shd w:val="clear" w:color="auto" w:fill="auto"/>
          </w:tcPr>
          <w:p w:rsidR="003E6588" w:rsidRDefault="003E6588" w:rsidP="00DC7ACB">
            <w:pPr>
              <w:jc w:val="both"/>
              <w:rPr>
                <w:rFonts w:eastAsia="Calibri"/>
                <w:sz w:val="20"/>
                <w:szCs w:val="20"/>
              </w:rPr>
            </w:pPr>
            <w:r>
              <w:rPr>
                <w:rFonts w:eastAsia="Calibri"/>
                <w:sz w:val="20"/>
                <w:szCs w:val="20"/>
              </w:rPr>
              <w:t>Reuniões Regionais nos FSSM</w:t>
            </w:r>
          </w:p>
        </w:tc>
        <w:tc>
          <w:tcPr>
            <w:tcW w:w="850" w:type="dxa"/>
            <w:shd w:val="clear" w:color="auto" w:fill="auto"/>
          </w:tcPr>
          <w:p w:rsidR="003E6588" w:rsidRDefault="003E6588">
            <w:pPr>
              <w:ind w:left="-142"/>
              <w:rPr>
                <w:rFonts w:eastAsia="Calibri"/>
                <w:sz w:val="20"/>
                <w:szCs w:val="20"/>
                <w:highlight w:val="yellow"/>
              </w:rPr>
            </w:pPr>
            <w:r>
              <w:rPr>
                <w:rFonts w:eastAsia="Calibri"/>
                <w:sz w:val="20"/>
                <w:szCs w:val="20"/>
              </w:rPr>
              <w:t>846</w:t>
            </w:r>
          </w:p>
        </w:tc>
      </w:tr>
      <w:tr w:rsidR="003E6588" w:rsidTr="00A52378">
        <w:trPr>
          <w:jc w:val="center"/>
        </w:trPr>
        <w:tc>
          <w:tcPr>
            <w:tcW w:w="3782" w:type="dxa"/>
            <w:shd w:val="clear" w:color="auto" w:fill="auto"/>
          </w:tcPr>
          <w:p w:rsidR="003E6588" w:rsidRDefault="003E6588" w:rsidP="00DC7ACB">
            <w:pPr>
              <w:jc w:val="both"/>
              <w:rPr>
                <w:rFonts w:eastAsia="Calibri"/>
                <w:sz w:val="20"/>
                <w:szCs w:val="20"/>
              </w:rPr>
            </w:pPr>
            <w:r>
              <w:rPr>
                <w:rFonts w:eastAsia="Calibri"/>
                <w:sz w:val="20"/>
                <w:szCs w:val="20"/>
              </w:rPr>
              <w:t>Visita às entidades na Capital</w:t>
            </w:r>
          </w:p>
        </w:tc>
        <w:tc>
          <w:tcPr>
            <w:tcW w:w="850" w:type="dxa"/>
            <w:shd w:val="clear" w:color="auto" w:fill="auto"/>
          </w:tcPr>
          <w:p w:rsidR="003E6588" w:rsidRDefault="003E6588">
            <w:pPr>
              <w:ind w:left="-142"/>
              <w:rPr>
                <w:rFonts w:eastAsia="Calibri"/>
                <w:sz w:val="20"/>
                <w:szCs w:val="20"/>
                <w:highlight w:val="yellow"/>
              </w:rPr>
            </w:pPr>
            <w:r>
              <w:rPr>
                <w:rFonts w:eastAsia="Calibri"/>
                <w:sz w:val="20"/>
                <w:szCs w:val="20"/>
              </w:rPr>
              <w:t>923</w:t>
            </w:r>
          </w:p>
        </w:tc>
      </w:tr>
      <w:tr w:rsidR="003E6588" w:rsidTr="00A52378">
        <w:trPr>
          <w:jc w:val="center"/>
        </w:trPr>
        <w:tc>
          <w:tcPr>
            <w:tcW w:w="3782" w:type="dxa"/>
            <w:shd w:val="clear" w:color="auto" w:fill="auto"/>
          </w:tcPr>
          <w:p w:rsidR="003E6588" w:rsidRDefault="003E6588" w:rsidP="00DC7ACB">
            <w:pPr>
              <w:jc w:val="both"/>
              <w:rPr>
                <w:rFonts w:eastAsia="Calibri"/>
                <w:sz w:val="20"/>
                <w:szCs w:val="20"/>
              </w:rPr>
            </w:pPr>
            <w:r>
              <w:rPr>
                <w:rFonts w:eastAsia="Calibri"/>
                <w:sz w:val="20"/>
                <w:szCs w:val="20"/>
              </w:rPr>
              <w:t>Reuniões do CONSEAS</w:t>
            </w:r>
          </w:p>
        </w:tc>
        <w:tc>
          <w:tcPr>
            <w:tcW w:w="850" w:type="dxa"/>
            <w:shd w:val="clear" w:color="auto" w:fill="auto"/>
          </w:tcPr>
          <w:p w:rsidR="003E6588" w:rsidRDefault="003E6588">
            <w:pPr>
              <w:ind w:left="-142"/>
              <w:rPr>
                <w:rFonts w:eastAsia="Calibri"/>
                <w:sz w:val="20"/>
                <w:szCs w:val="20"/>
                <w:highlight w:val="yellow"/>
              </w:rPr>
            </w:pPr>
            <w:r>
              <w:rPr>
                <w:rFonts w:eastAsia="Calibri"/>
                <w:sz w:val="20"/>
                <w:szCs w:val="20"/>
              </w:rPr>
              <w:t>1</w:t>
            </w:r>
          </w:p>
        </w:tc>
      </w:tr>
    </w:tbl>
    <w:p w:rsidR="003E6588" w:rsidRDefault="003E6588">
      <w:pPr>
        <w:ind w:firstLine="1134"/>
        <w:jc w:val="both"/>
      </w:pPr>
      <w:r>
        <w:rPr>
          <w:b/>
        </w:rPr>
        <w:lastRenderedPageBreak/>
        <w:t xml:space="preserve">Casa da Solidariedade - Unidades I, II e III - </w:t>
      </w:r>
      <w:r>
        <w:t xml:space="preserve">As Casas da Solidariedade foram criadas para atender crianças e adolescentes em situação de risco social, </w:t>
      </w:r>
      <w:r w:rsidR="00DC7ACB">
        <w:t xml:space="preserve">por meio </w:t>
      </w:r>
      <w:r>
        <w:t>de programa que possa resgatar a autoestima, identificar e desenvolver suas habilidades, contribuindo para o desenvolvimento da cidadania por meio de convívio produtivo e sadio, onde as diferenças individuais são respeitadas.</w:t>
      </w:r>
    </w:p>
    <w:p w:rsidR="003E6588" w:rsidRDefault="003E6588">
      <w:pPr>
        <w:ind w:firstLine="1134"/>
        <w:jc w:val="both"/>
      </w:pPr>
    </w:p>
    <w:p w:rsidR="003E6588" w:rsidRDefault="003E6588">
      <w:pPr>
        <w:ind w:firstLine="1134"/>
        <w:jc w:val="both"/>
      </w:pPr>
      <w:r>
        <w:t>As Casas da Solidariedade são administradas pelo Instituto Criança Cidadã - ICC, po</w:t>
      </w:r>
      <w:r w:rsidR="00DC7ACB">
        <w:t xml:space="preserve">r meio de Convênio firmado com o FUSSESP e </w:t>
      </w:r>
      <w:r>
        <w:t>atenderam 1.150 crianças, como segue:</w:t>
      </w:r>
    </w:p>
    <w:p w:rsidR="003E6588" w:rsidRDefault="003E6588">
      <w:pPr>
        <w:ind w:firstLine="992"/>
        <w:jc w:val="both"/>
      </w:pPr>
    </w:p>
    <w:tbl>
      <w:tblPr>
        <w:tblW w:w="0" w:type="auto"/>
        <w:jc w:val="center"/>
        <w:tblInd w:w="50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3832"/>
        <w:gridCol w:w="1843"/>
        <w:gridCol w:w="1985"/>
        <w:gridCol w:w="904"/>
      </w:tblGrid>
      <w:tr w:rsidR="003E6588" w:rsidTr="00A52378">
        <w:trPr>
          <w:jc w:val="center"/>
        </w:trPr>
        <w:tc>
          <w:tcPr>
            <w:tcW w:w="3832" w:type="dxa"/>
            <w:shd w:val="clear" w:color="auto" w:fill="auto"/>
          </w:tcPr>
          <w:p w:rsidR="003E6588" w:rsidRDefault="003E6588">
            <w:pPr>
              <w:ind w:left="-142"/>
              <w:rPr>
                <w:rFonts w:eastAsia="Calibri"/>
                <w:b/>
                <w:sz w:val="20"/>
                <w:szCs w:val="20"/>
              </w:rPr>
            </w:pPr>
            <w:r>
              <w:rPr>
                <w:rFonts w:eastAsia="Calibri"/>
                <w:b/>
                <w:sz w:val="20"/>
                <w:szCs w:val="20"/>
              </w:rPr>
              <w:t>Unidade</w:t>
            </w:r>
          </w:p>
        </w:tc>
        <w:tc>
          <w:tcPr>
            <w:tcW w:w="1843" w:type="dxa"/>
            <w:shd w:val="clear" w:color="auto" w:fill="auto"/>
          </w:tcPr>
          <w:p w:rsidR="003E6588" w:rsidRDefault="003E6588">
            <w:pPr>
              <w:ind w:left="-142"/>
              <w:rPr>
                <w:rFonts w:eastAsia="Calibri"/>
                <w:b/>
                <w:sz w:val="20"/>
                <w:szCs w:val="20"/>
              </w:rPr>
            </w:pPr>
            <w:r>
              <w:rPr>
                <w:rFonts w:eastAsia="Calibri"/>
                <w:b/>
                <w:sz w:val="20"/>
                <w:szCs w:val="20"/>
              </w:rPr>
              <w:t>Regime contínuo</w:t>
            </w:r>
          </w:p>
        </w:tc>
        <w:tc>
          <w:tcPr>
            <w:tcW w:w="1985" w:type="dxa"/>
            <w:shd w:val="clear" w:color="auto" w:fill="auto"/>
          </w:tcPr>
          <w:p w:rsidR="003E6588" w:rsidRDefault="003E6588">
            <w:pPr>
              <w:ind w:left="-142"/>
              <w:rPr>
                <w:rFonts w:eastAsia="Calibri"/>
                <w:b/>
                <w:sz w:val="20"/>
                <w:szCs w:val="20"/>
              </w:rPr>
            </w:pPr>
            <w:r>
              <w:rPr>
                <w:rFonts w:eastAsia="Calibri"/>
                <w:b/>
                <w:sz w:val="20"/>
                <w:szCs w:val="20"/>
              </w:rPr>
              <w:t>Regime intermitente</w:t>
            </w:r>
          </w:p>
        </w:tc>
        <w:tc>
          <w:tcPr>
            <w:tcW w:w="904" w:type="dxa"/>
            <w:shd w:val="clear" w:color="auto" w:fill="auto"/>
          </w:tcPr>
          <w:p w:rsidR="003E6588" w:rsidRDefault="003E6588">
            <w:pPr>
              <w:ind w:left="-142"/>
              <w:rPr>
                <w:rFonts w:eastAsia="Calibri"/>
                <w:b/>
                <w:sz w:val="20"/>
                <w:szCs w:val="20"/>
              </w:rPr>
            </w:pPr>
            <w:r>
              <w:rPr>
                <w:rFonts w:eastAsia="Calibri"/>
                <w:b/>
                <w:sz w:val="20"/>
                <w:szCs w:val="20"/>
              </w:rPr>
              <w:t>Total</w:t>
            </w:r>
          </w:p>
        </w:tc>
      </w:tr>
      <w:tr w:rsidR="003E6588" w:rsidTr="00A52378">
        <w:trPr>
          <w:jc w:val="center"/>
        </w:trPr>
        <w:tc>
          <w:tcPr>
            <w:tcW w:w="3832" w:type="dxa"/>
            <w:shd w:val="clear" w:color="auto" w:fill="auto"/>
          </w:tcPr>
          <w:p w:rsidR="003E6588" w:rsidRDefault="003E6588" w:rsidP="00DC7ACB">
            <w:pPr>
              <w:jc w:val="both"/>
              <w:rPr>
                <w:rFonts w:eastAsia="Calibri"/>
                <w:sz w:val="20"/>
                <w:szCs w:val="20"/>
              </w:rPr>
            </w:pPr>
            <w:r>
              <w:rPr>
                <w:rFonts w:eastAsia="Calibri"/>
                <w:sz w:val="20"/>
                <w:szCs w:val="20"/>
              </w:rPr>
              <w:t>Casa da Solidariedade I- Campos Elíseos</w:t>
            </w:r>
          </w:p>
        </w:tc>
        <w:tc>
          <w:tcPr>
            <w:tcW w:w="1843" w:type="dxa"/>
            <w:shd w:val="clear" w:color="auto" w:fill="auto"/>
          </w:tcPr>
          <w:p w:rsidR="003E6588" w:rsidRDefault="003E6588">
            <w:pPr>
              <w:ind w:left="-142"/>
              <w:rPr>
                <w:rFonts w:eastAsia="Calibri"/>
                <w:sz w:val="20"/>
                <w:szCs w:val="20"/>
              </w:rPr>
            </w:pPr>
            <w:r>
              <w:rPr>
                <w:rFonts w:eastAsia="Calibri"/>
                <w:sz w:val="20"/>
                <w:szCs w:val="20"/>
              </w:rPr>
              <w:t>300</w:t>
            </w:r>
          </w:p>
        </w:tc>
        <w:tc>
          <w:tcPr>
            <w:tcW w:w="1985" w:type="dxa"/>
            <w:shd w:val="clear" w:color="auto" w:fill="auto"/>
          </w:tcPr>
          <w:p w:rsidR="003E6588" w:rsidRDefault="003E6588">
            <w:pPr>
              <w:ind w:left="-142"/>
              <w:rPr>
                <w:rFonts w:eastAsia="Calibri"/>
                <w:sz w:val="20"/>
                <w:szCs w:val="20"/>
              </w:rPr>
            </w:pPr>
            <w:r>
              <w:rPr>
                <w:rFonts w:eastAsia="Calibri"/>
                <w:sz w:val="20"/>
                <w:szCs w:val="20"/>
              </w:rPr>
              <w:t>115</w:t>
            </w:r>
          </w:p>
        </w:tc>
        <w:tc>
          <w:tcPr>
            <w:tcW w:w="904" w:type="dxa"/>
            <w:shd w:val="clear" w:color="auto" w:fill="auto"/>
          </w:tcPr>
          <w:p w:rsidR="003E6588" w:rsidRDefault="003E6588">
            <w:pPr>
              <w:ind w:left="-142"/>
              <w:rPr>
                <w:rFonts w:eastAsia="Calibri"/>
                <w:sz w:val="20"/>
                <w:szCs w:val="20"/>
              </w:rPr>
            </w:pPr>
            <w:r>
              <w:rPr>
                <w:rFonts w:eastAsia="Calibri"/>
                <w:sz w:val="20"/>
                <w:szCs w:val="20"/>
              </w:rPr>
              <w:t>415</w:t>
            </w:r>
          </w:p>
        </w:tc>
      </w:tr>
      <w:tr w:rsidR="003E6588" w:rsidTr="00A52378">
        <w:trPr>
          <w:jc w:val="center"/>
        </w:trPr>
        <w:tc>
          <w:tcPr>
            <w:tcW w:w="3832" w:type="dxa"/>
            <w:shd w:val="clear" w:color="auto" w:fill="auto"/>
          </w:tcPr>
          <w:p w:rsidR="003E6588" w:rsidRDefault="003E6588" w:rsidP="00DC7ACB">
            <w:pPr>
              <w:jc w:val="both"/>
              <w:rPr>
                <w:rFonts w:eastAsia="Calibri"/>
                <w:sz w:val="20"/>
                <w:szCs w:val="20"/>
              </w:rPr>
            </w:pPr>
            <w:r>
              <w:rPr>
                <w:rFonts w:eastAsia="Calibri"/>
                <w:sz w:val="20"/>
                <w:szCs w:val="20"/>
              </w:rPr>
              <w:t>Casa da Solidariedade II - Pq D. Pedro II</w:t>
            </w:r>
          </w:p>
        </w:tc>
        <w:tc>
          <w:tcPr>
            <w:tcW w:w="1843" w:type="dxa"/>
            <w:shd w:val="clear" w:color="auto" w:fill="auto"/>
          </w:tcPr>
          <w:p w:rsidR="003E6588" w:rsidRDefault="003E6588">
            <w:pPr>
              <w:ind w:left="-142"/>
              <w:rPr>
                <w:rFonts w:eastAsia="Calibri"/>
                <w:sz w:val="20"/>
                <w:szCs w:val="20"/>
              </w:rPr>
            </w:pPr>
            <w:r>
              <w:rPr>
                <w:rFonts w:eastAsia="Calibri"/>
                <w:sz w:val="20"/>
                <w:szCs w:val="20"/>
              </w:rPr>
              <w:t>292</w:t>
            </w:r>
          </w:p>
        </w:tc>
        <w:tc>
          <w:tcPr>
            <w:tcW w:w="1985" w:type="dxa"/>
            <w:shd w:val="clear" w:color="auto" w:fill="auto"/>
          </w:tcPr>
          <w:p w:rsidR="003E6588" w:rsidRDefault="003E6588">
            <w:pPr>
              <w:ind w:left="-142"/>
              <w:rPr>
                <w:rFonts w:eastAsia="Calibri"/>
                <w:sz w:val="20"/>
                <w:szCs w:val="20"/>
              </w:rPr>
            </w:pPr>
            <w:r>
              <w:rPr>
                <w:rFonts w:eastAsia="Calibri"/>
                <w:sz w:val="20"/>
                <w:szCs w:val="20"/>
              </w:rPr>
              <w:t>100</w:t>
            </w:r>
          </w:p>
        </w:tc>
        <w:tc>
          <w:tcPr>
            <w:tcW w:w="904" w:type="dxa"/>
            <w:shd w:val="clear" w:color="auto" w:fill="auto"/>
          </w:tcPr>
          <w:p w:rsidR="003E6588" w:rsidRDefault="003E6588">
            <w:pPr>
              <w:ind w:left="-142"/>
              <w:rPr>
                <w:rFonts w:eastAsia="Calibri"/>
                <w:sz w:val="20"/>
                <w:szCs w:val="20"/>
              </w:rPr>
            </w:pPr>
            <w:r>
              <w:rPr>
                <w:rFonts w:eastAsia="Calibri"/>
                <w:sz w:val="20"/>
                <w:szCs w:val="20"/>
              </w:rPr>
              <w:t>392</w:t>
            </w:r>
          </w:p>
        </w:tc>
      </w:tr>
      <w:tr w:rsidR="003E6588" w:rsidTr="00A52378">
        <w:trPr>
          <w:jc w:val="center"/>
        </w:trPr>
        <w:tc>
          <w:tcPr>
            <w:tcW w:w="3832" w:type="dxa"/>
            <w:shd w:val="clear" w:color="auto" w:fill="auto"/>
          </w:tcPr>
          <w:p w:rsidR="003E6588" w:rsidRDefault="003E6588" w:rsidP="00DC7ACB">
            <w:pPr>
              <w:jc w:val="both"/>
              <w:rPr>
                <w:rFonts w:eastAsia="Calibri"/>
                <w:sz w:val="20"/>
                <w:szCs w:val="20"/>
              </w:rPr>
            </w:pPr>
            <w:r>
              <w:rPr>
                <w:rFonts w:eastAsia="Calibri"/>
                <w:sz w:val="20"/>
                <w:szCs w:val="20"/>
              </w:rPr>
              <w:t>Casa da Solidariedade III - Sol Nascente</w:t>
            </w:r>
          </w:p>
        </w:tc>
        <w:tc>
          <w:tcPr>
            <w:tcW w:w="1843" w:type="dxa"/>
            <w:shd w:val="clear" w:color="auto" w:fill="auto"/>
          </w:tcPr>
          <w:p w:rsidR="003E6588" w:rsidRDefault="003E6588">
            <w:pPr>
              <w:ind w:left="-142"/>
              <w:rPr>
                <w:rFonts w:eastAsia="Calibri"/>
                <w:sz w:val="20"/>
                <w:szCs w:val="20"/>
              </w:rPr>
            </w:pPr>
            <w:r>
              <w:rPr>
                <w:rFonts w:eastAsia="Calibri"/>
                <w:sz w:val="20"/>
                <w:szCs w:val="20"/>
              </w:rPr>
              <w:t>74</w:t>
            </w:r>
          </w:p>
        </w:tc>
        <w:tc>
          <w:tcPr>
            <w:tcW w:w="1985" w:type="dxa"/>
            <w:shd w:val="clear" w:color="auto" w:fill="auto"/>
          </w:tcPr>
          <w:p w:rsidR="003E6588" w:rsidRDefault="003E6588">
            <w:pPr>
              <w:ind w:left="-142"/>
              <w:rPr>
                <w:rFonts w:eastAsia="Calibri"/>
                <w:sz w:val="20"/>
                <w:szCs w:val="20"/>
              </w:rPr>
            </w:pPr>
            <w:r>
              <w:rPr>
                <w:rFonts w:eastAsia="Calibri"/>
                <w:sz w:val="20"/>
                <w:szCs w:val="20"/>
              </w:rPr>
              <w:t>269</w:t>
            </w:r>
          </w:p>
        </w:tc>
        <w:tc>
          <w:tcPr>
            <w:tcW w:w="904" w:type="dxa"/>
            <w:shd w:val="clear" w:color="auto" w:fill="auto"/>
          </w:tcPr>
          <w:p w:rsidR="003E6588" w:rsidRDefault="003E6588">
            <w:pPr>
              <w:ind w:left="-142"/>
              <w:rPr>
                <w:rFonts w:eastAsia="Calibri"/>
                <w:sz w:val="20"/>
                <w:szCs w:val="20"/>
              </w:rPr>
            </w:pPr>
            <w:r>
              <w:rPr>
                <w:rFonts w:eastAsia="Calibri"/>
                <w:sz w:val="20"/>
                <w:szCs w:val="20"/>
              </w:rPr>
              <w:t>343</w:t>
            </w:r>
          </w:p>
        </w:tc>
      </w:tr>
      <w:tr w:rsidR="003E6588" w:rsidTr="00A52378">
        <w:trPr>
          <w:jc w:val="center"/>
        </w:trPr>
        <w:tc>
          <w:tcPr>
            <w:tcW w:w="3832" w:type="dxa"/>
            <w:shd w:val="clear" w:color="auto" w:fill="auto"/>
          </w:tcPr>
          <w:p w:rsidR="003E6588" w:rsidRDefault="003E6588" w:rsidP="00A52378">
            <w:pPr>
              <w:jc w:val="left"/>
              <w:rPr>
                <w:rFonts w:eastAsia="Calibri"/>
                <w:b/>
                <w:sz w:val="20"/>
                <w:szCs w:val="20"/>
              </w:rPr>
            </w:pPr>
            <w:r>
              <w:rPr>
                <w:rFonts w:eastAsia="Calibri"/>
                <w:b/>
                <w:sz w:val="20"/>
                <w:szCs w:val="20"/>
              </w:rPr>
              <w:t>TOTAL</w:t>
            </w:r>
          </w:p>
        </w:tc>
        <w:tc>
          <w:tcPr>
            <w:tcW w:w="1843" w:type="dxa"/>
            <w:shd w:val="clear" w:color="auto" w:fill="auto"/>
          </w:tcPr>
          <w:p w:rsidR="003E6588" w:rsidRDefault="003E6588">
            <w:pPr>
              <w:ind w:left="-142"/>
              <w:rPr>
                <w:rFonts w:eastAsia="Calibri"/>
                <w:b/>
                <w:sz w:val="20"/>
                <w:szCs w:val="20"/>
              </w:rPr>
            </w:pPr>
            <w:r>
              <w:rPr>
                <w:rFonts w:eastAsia="Calibri"/>
                <w:b/>
                <w:sz w:val="20"/>
                <w:szCs w:val="20"/>
              </w:rPr>
              <w:t>666</w:t>
            </w:r>
          </w:p>
        </w:tc>
        <w:tc>
          <w:tcPr>
            <w:tcW w:w="1985" w:type="dxa"/>
            <w:shd w:val="clear" w:color="auto" w:fill="auto"/>
          </w:tcPr>
          <w:p w:rsidR="003E6588" w:rsidRDefault="003E6588">
            <w:pPr>
              <w:ind w:left="-142"/>
              <w:rPr>
                <w:rFonts w:eastAsia="Calibri"/>
                <w:b/>
                <w:sz w:val="20"/>
                <w:szCs w:val="20"/>
              </w:rPr>
            </w:pPr>
            <w:r>
              <w:rPr>
                <w:rFonts w:eastAsia="Calibri"/>
                <w:b/>
                <w:sz w:val="20"/>
                <w:szCs w:val="20"/>
              </w:rPr>
              <w:t>484</w:t>
            </w:r>
          </w:p>
        </w:tc>
        <w:tc>
          <w:tcPr>
            <w:tcW w:w="904" w:type="dxa"/>
            <w:shd w:val="clear" w:color="auto" w:fill="auto"/>
          </w:tcPr>
          <w:p w:rsidR="003E6588" w:rsidRDefault="003E6588">
            <w:pPr>
              <w:ind w:left="-142"/>
              <w:rPr>
                <w:rFonts w:eastAsia="Calibri"/>
                <w:b/>
                <w:sz w:val="20"/>
                <w:szCs w:val="20"/>
              </w:rPr>
            </w:pPr>
            <w:r>
              <w:rPr>
                <w:rFonts w:eastAsia="Calibri"/>
                <w:b/>
                <w:sz w:val="20"/>
                <w:szCs w:val="20"/>
              </w:rPr>
              <w:t>1.150</w:t>
            </w:r>
          </w:p>
        </w:tc>
      </w:tr>
    </w:tbl>
    <w:p w:rsidR="003E6588" w:rsidRDefault="003E6588">
      <w:pPr>
        <w:spacing w:after="120"/>
        <w:ind w:firstLine="992"/>
        <w:jc w:val="both"/>
      </w:pPr>
    </w:p>
    <w:p w:rsidR="003E6588" w:rsidRDefault="003E6588">
      <w:pPr>
        <w:ind w:firstLine="1134"/>
        <w:jc w:val="both"/>
      </w:pPr>
      <w:r>
        <w:t xml:space="preserve">Atividades desenvolvidas com crianças e adolescentes, nos </w:t>
      </w:r>
      <w:r w:rsidR="007335E5">
        <w:t>regimes contínuo e intermitente.</w:t>
      </w:r>
    </w:p>
    <w:p w:rsidR="003E6588" w:rsidRDefault="003E6588">
      <w:pPr>
        <w:ind w:firstLine="992"/>
        <w:jc w:val="both"/>
      </w:pPr>
    </w:p>
    <w:p w:rsidR="003E6588" w:rsidRDefault="003E6588">
      <w:pPr>
        <w:ind w:firstLine="1134"/>
        <w:jc w:val="both"/>
        <w:rPr>
          <w:rFonts w:eastAsia="Calibri"/>
          <w:lang w:eastAsia="en-US"/>
        </w:rPr>
      </w:pPr>
      <w:r>
        <w:rPr>
          <w:rFonts w:eastAsia="Calibri"/>
          <w:b/>
          <w:bCs/>
          <w:sz w:val="22"/>
          <w:szCs w:val="22"/>
          <w:lang w:eastAsia="en-US"/>
        </w:rPr>
        <w:t xml:space="preserve">Educação e Cidadania e Horta Educativa </w:t>
      </w:r>
      <w:r>
        <w:rPr>
          <w:rFonts w:eastAsia="Calibri"/>
          <w:b/>
          <w:bCs/>
          <w:lang w:eastAsia="en-US"/>
        </w:rPr>
        <w:t>-</w:t>
      </w:r>
      <w:r>
        <w:rPr>
          <w:rFonts w:eastAsia="Calibri"/>
          <w:lang w:eastAsia="en-US"/>
        </w:rPr>
        <w:t xml:space="preserve"> Formação básica no cultivo de hortaliças, incentivando hábitos alimentares saudáveis, socialização de conhecimento</w:t>
      </w:r>
      <w:r w:rsidR="00DC7ACB">
        <w:rPr>
          <w:rFonts w:eastAsia="Calibri"/>
          <w:lang w:eastAsia="en-US"/>
        </w:rPr>
        <w:t>,</w:t>
      </w:r>
      <w:r>
        <w:rPr>
          <w:rFonts w:eastAsia="Calibri"/>
          <w:lang w:eastAsia="en-US"/>
        </w:rPr>
        <w:t xml:space="preserve"> experiências e formação de valores (sociais, culturais e alimentares). </w:t>
      </w:r>
      <w:r w:rsidR="00DC7ACB">
        <w:rPr>
          <w:rFonts w:eastAsia="Calibri"/>
          <w:lang w:eastAsia="en-US"/>
        </w:rPr>
        <w:t xml:space="preserve">Questões </w:t>
      </w:r>
      <w:r>
        <w:rPr>
          <w:rFonts w:eastAsia="Calibri"/>
          <w:lang w:eastAsia="en-US"/>
        </w:rPr>
        <w:t>envolvendo a percepção da importância dos cuidados com o meio ambiente fazem parte dos objetivos do projeto.</w:t>
      </w:r>
    </w:p>
    <w:p w:rsidR="003E6588" w:rsidRDefault="003E6588">
      <w:pPr>
        <w:ind w:firstLine="992"/>
        <w:jc w:val="both"/>
        <w:rPr>
          <w:b/>
        </w:rPr>
      </w:pPr>
    </w:p>
    <w:p w:rsidR="003E6588" w:rsidRDefault="003E6588">
      <w:pPr>
        <w:ind w:firstLine="1134"/>
        <w:jc w:val="both"/>
      </w:pPr>
      <w:r>
        <w:rPr>
          <w:b/>
        </w:rPr>
        <w:t>Atividades de Arte Educação -</w:t>
      </w:r>
      <w:r>
        <w:t xml:space="preserve"> Arte circense, capoeira, dança, educação física, atletismo (apenas na Casa II), teatro, música, artes plásticas e informática.</w:t>
      </w:r>
    </w:p>
    <w:p w:rsidR="003E6588" w:rsidRDefault="003E6588">
      <w:pPr>
        <w:ind w:firstLine="992"/>
        <w:jc w:val="both"/>
        <w:rPr>
          <w:b/>
        </w:rPr>
      </w:pPr>
    </w:p>
    <w:p w:rsidR="003E6588" w:rsidRDefault="003E6588">
      <w:pPr>
        <w:ind w:firstLine="1134"/>
        <w:jc w:val="both"/>
      </w:pPr>
      <w:r>
        <w:rPr>
          <w:b/>
        </w:rPr>
        <w:t>Atividades de Apoio Familiar -</w:t>
      </w:r>
      <w:r>
        <w:t xml:space="preserve"> Integração da família às atividades das Casas, como forma de desenvolver e ampliar o vínculo Casa x família, a partir da organização de Grupo de Apoio Familiar.</w:t>
      </w:r>
    </w:p>
    <w:p w:rsidR="003E6588" w:rsidRDefault="003E6588">
      <w:pPr>
        <w:ind w:firstLine="1134"/>
        <w:jc w:val="both"/>
      </w:pPr>
    </w:p>
    <w:p w:rsidR="003E6588" w:rsidRDefault="003E6588">
      <w:pPr>
        <w:ind w:firstLine="1134"/>
        <w:jc w:val="both"/>
      </w:pPr>
      <w:r>
        <w:t>As Casas da Solidariedade apresenta</w:t>
      </w:r>
      <w:r w:rsidR="00DC7ACB">
        <w:t>ram</w:t>
      </w:r>
      <w:r>
        <w:t xml:space="preserve"> espetáculos contextualizados, que tiveram participação dos monitores, professores e crianças e adolescentes que frequentam as unidades, com envolvimento de todos desde a escolha do tema e preparação dos cenários, figurinos, música, dança, culminando em grande dia de apresentação do espetáculo, que contou com a presença de seus familiares, como segue:</w:t>
      </w:r>
    </w:p>
    <w:p w:rsidR="003E6588" w:rsidRDefault="003E6588">
      <w:pPr>
        <w:autoSpaceDE w:val="0"/>
        <w:autoSpaceDN w:val="0"/>
        <w:adjustRightInd w:val="0"/>
        <w:ind w:firstLine="992"/>
        <w:jc w:val="both"/>
        <w:rPr>
          <w:rFonts w:eastAsia="Calibri"/>
          <w:color w:val="000000"/>
          <w:lang w:eastAsia="en-US"/>
        </w:rPr>
      </w:pPr>
    </w:p>
    <w:p w:rsidR="003E6588" w:rsidRDefault="007335E5">
      <w:pPr>
        <w:autoSpaceDE w:val="0"/>
        <w:autoSpaceDN w:val="0"/>
        <w:adjustRightInd w:val="0"/>
        <w:ind w:firstLine="1134"/>
        <w:jc w:val="both"/>
        <w:rPr>
          <w:rFonts w:eastAsia="Calibri"/>
          <w:color w:val="000000"/>
          <w:lang w:eastAsia="en-US"/>
        </w:rPr>
      </w:pPr>
      <w:r>
        <w:rPr>
          <w:rFonts w:eastAsia="Calibri"/>
          <w:b/>
          <w:color w:val="000000"/>
          <w:lang w:eastAsia="en-US"/>
        </w:rPr>
        <w:t xml:space="preserve">- </w:t>
      </w:r>
      <w:r w:rsidR="003E6588" w:rsidRPr="007335E5">
        <w:rPr>
          <w:rFonts w:eastAsia="Calibri"/>
          <w:color w:val="000000"/>
          <w:lang w:eastAsia="en-US"/>
        </w:rPr>
        <w:t>Casa da Solidariedade I -</w:t>
      </w:r>
      <w:r w:rsidR="003E6588">
        <w:rPr>
          <w:rFonts w:eastAsia="Calibri"/>
          <w:color w:val="000000"/>
          <w:lang w:eastAsia="en-US"/>
        </w:rPr>
        <w:t xml:space="preserve"> </w:t>
      </w:r>
      <w:r w:rsidR="003E6588" w:rsidRPr="00DC7ACB">
        <w:rPr>
          <w:rFonts w:eastAsia="Calibri"/>
          <w:color w:val="000000"/>
          <w:lang w:eastAsia="en-US"/>
        </w:rPr>
        <w:t>Excepcionalmente não foi montado espetáculo de finalização do projeto</w:t>
      </w:r>
      <w:r w:rsidR="003E6588">
        <w:rPr>
          <w:rFonts w:eastAsia="Calibri"/>
          <w:color w:val="000000"/>
          <w:lang w:eastAsia="en-US"/>
        </w:rPr>
        <w:t>. Como produto da finalização</w:t>
      </w:r>
      <w:r w:rsidR="00DC7ACB">
        <w:rPr>
          <w:rFonts w:eastAsia="Calibri"/>
          <w:color w:val="000000"/>
          <w:lang w:eastAsia="en-US"/>
        </w:rPr>
        <w:t>,</w:t>
      </w:r>
      <w:r w:rsidR="003E6588">
        <w:rPr>
          <w:rFonts w:eastAsia="Calibri"/>
          <w:color w:val="000000"/>
          <w:lang w:eastAsia="en-US"/>
        </w:rPr>
        <w:t xml:space="preserve"> foi realizada Mostra Cultural, com exposição das pesquisas realizadas sobre o tema;</w:t>
      </w:r>
    </w:p>
    <w:p w:rsidR="003E6588" w:rsidRDefault="003E6588">
      <w:pPr>
        <w:autoSpaceDE w:val="0"/>
        <w:autoSpaceDN w:val="0"/>
        <w:adjustRightInd w:val="0"/>
        <w:ind w:firstLine="1134"/>
        <w:jc w:val="both"/>
        <w:rPr>
          <w:rFonts w:eastAsia="Calibri"/>
          <w:color w:val="000000"/>
          <w:lang w:eastAsia="en-US"/>
        </w:rPr>
      </w:pPr>
    </w:p>
    <w:p w:rsidR="003E6588" w:rsidRDefault="007335E5">
      <w:pPr>
        <w:autoSpaceDE w:val="0"/>
        <w:autoSpaceDN w:val="0"/>
        <w:adjustRightInd w:val="0"/>
        <w:ind w:firstLine="1134"/>
        <w:jc w:val="both"/>
        <w:rPr>
          <w:rFonts w:eastAsia="Calibri"/>
          <w:color w:val="000000"/>
          <w:lang w:eastAsia="en-US"/>
        </w:rPr>
      </w:pPr>
      <w:r>
        <w:rPr>
          <w:rFonts w:eastAsia="Calibri"/>
          <w:b/>
          <w:color w:val="000000"/>
          <w:lang w:eastAsia="en-US"/>
        </w:rPr>
        <w:t xml:space="preserve">- </w:t>
      </w:r>
      <w:r w:rsidR="003E6588" w:rsidRPr="007335E5">
        <w:rPr>
          <w:rFonts w:eastAsia="Calibri"/>
          <w:color w:val="000000"/>
          <w:lang w:eastAsia="en-US"/>
        </w:rPr>
        <w:t>Casa da Solidariedade II</w:t>
      </w:r>
      <w:r w:rsidR="003E6588">
        <w:rPr>
          <w:rFonts w:eastAsia="Calibri"/>
          <w:b/>
          <w:color w:val="000000"/>
          <w:lang w:eastAsia="en-US"/>
        </w:rPr>
        <w:t xml:space="preserve"> -</w:t>
      </w:r>
      <w:r w:rsidR="003E6588">
        <w:rPr>
          <w:rFonts w:eastAsia="Calibri"/>
          <w:color w:val="000000"/>
          <w:lang w:eastAsia="en-US"/>
        </w:rPr>
        <w:t xml:space="preserve"> Espetáculo Contextualizado “O Mundo Mágico das Maravilhas”.</w:t>
      </w:r>
    </w:p>
    <w:p w:rsidR="00DC7ACB" w:rsidRDefault="00DC7ACB">
      <w:pPr>
        <w:autoSpaceDE w:val="0"/>
        <w:autoSpaceDN w:val="0"/>
        <w:adjustRightInd w:val="0"/>
        <w:ind w:firstLine="1134"/>
        <w:jc w:val="both"/>
        <w:rPr>
          <w:rFonts w:eastAsia="Calibri"/>
          <w:color w:val="000000"/>
          <w:lang w:eastAsia="en-US"/>
        </w:rPr>
      </w:pPr>
    </w:p>
    <w:p w:rsidR="003E6588" w:rsidRDefault="007335E5">
      <w:pPr>
        <w:autoSpaceDE w:val="0"/>
        <w:autoSpaceDN w:val="0"/>
        <w:adjustRightInd w:val="0"/>
        <w:ind w:firstLine="1134"/>
        <w:jc w:val="both"/>
        <w:rPr>
          <w:rFonts w:eastAsia="Calibri"/>
          <w:color w:val="000000"/>
          <w:lang w:eastAsia="en-US"/>
        </w:rPr>
      </w:pPr>
      <w:r>
        <w:rPr>
          <w:rFonts w:eastAsia="Calibri"/>
          <w:b/>
          <w:color w:val="000000"/>
          <w:lang w:eastAsia="en-US"/>
        </w:rPr>
        <w:t xml:space="preserve">- </w:t>
      </w:r>
      <w:r w:rsidR="003E6588" w:rsidRPr="007335E5">
        <w:rPr>
          <w:rFonts w:eastAsia="Calibri"/>
          <w:color w:val="000000"/>
          <w:lang w:eastAsia="en-US"/>
        </w:rPr>
        <w:t>Casa da Solidariedade III</w:t>
      </w:r>
      <w:r w:rsidR="003E6588">
        <w:rPr>
          <w:rFonts w:eastAsia="Calibri"/>
          <w:b/>
          <w:color w:val="000000"/>
          <w:lang w:eastAsia="en-US"/>
        </w:rPr>
        <w:t xml:space="preserve"> -</w:t>
      </w:r>
      <w:r w:rsidR="003E6588">
        <w:rPr>
          <w:rFonts w:eastAsia="Calibri"/>
          <w:color w:val="000000"/>
          <w:lang w:eastAsia="en-US"/>
        </w:rPr>
        <w:t xml:space="preserve"> Espetáculo Contextualizado “Navegando com a Imaginação, em busca da Dona Criatividade”.</w:t>
      </w:r>
    </w:p>
    <w:p w:rsidR="007335E5" w:rsidRDefault="007335E5">
      <w:pPr>
        <w:autoSpaceDE w:val="0"/>
        <w:autoSpaceDN w:val="0"/>
        <w:adjustRightInd w:val="0"/>
        <w:ind w:firstLine="1134"/>
        <w:jc w:val="both"/>
        <w:rPr>
          <w:rFonts w:eastAsia="Calibri"/>
          <w:color w:val="000000"/>
          <w:lang w:eastAsia="en-US"/>
        </w:rPr>
      </w:pPr>
    </w:p>
    <w:p w:rsidR="003E6588" w:rsidRDefault="003E6588">
      <w:pPr>
        <w:ind w:firstLine="1134"/>
        <w:jc w:val="both"/>
      </w:pPr>
      <w:r>
        <w:rPr>
          <w:b/>
        </w:rPr>
        <w:lastRenderedPageBreak/>
        <w:t xml:space="preserve">Programa Horta Educativa - </w:t>
      </w:r>
      <w:r>
        <w:t xml:space="preserve">O FUSSESP celebrou convênios com 52 municípios, </w:t>
      </w:r>
      <w:r w:rsidR="009D2196">
        <w:t xml:space="preserve">por meio </w:t>
      </w:r>
      <w:r>
        <w:t>do FSSM, para implantação da Horta Educativa em 148 escolas públicas municipais, beneficiando 33.705 crianças, merecendo destaque para o Município de Sorocaba</w:t>
      </w:r>
      <w:r w:rsidR="009D2196">
        <w:t>,</w:t>
      </w:r>
      <w:r>
        <w:t xml:space="preserve"> que implementou o programa em 52 escolas. O FUSSESP repassou recursos materiais consistentes de </w:t>
      </w:r>
      <w:r>
        <w:rPr>
          <w:i/>
        </w:rPr>
        <w:t>kit</w:t>
      </w:r>
      <w:r>
        <w:t xml:space="preserve"> ferramentas e sementes e </w:t>
      </w:r>
      <w:r>
        <w:rPr>
          <w:i/>
        </w:rPr>
        <w:t>kit</w:t>
      </w:r>
      <w:r>
        <w:t xml:space="preserve"> pedagógico (quatro apostilas: Caderno de Atividades da Criança; Caderno do Educador; Caderno do Cuidador da Horta e Caderno da Família), correspondente a</w:t>
      </w:r>
      <w:r w:rsidR="009D2196">
        <w:t xml:space="preserve"> R$ 239.387,25.</w:t>
      </w:r>
    </w:p>
    <w:p w:rsidR="003E6588" w:rsidRDefault="003E6588">
      <w:pPr>
        <w:ind w:firstLine="992"/>
        <w:jc w:val="both"/>
      </w:pPr>
    </w:p>
    <w:p w:rsidR="003E6588" w:rsidRDefault="003E6588">
      <w:pPr>
        <w:ind w:firstLine="1134"/>
        <w:jc w:val="both"/>
      </w:pPr>
      <w:r>
        <w:t xml:space="preserve">O FUSSESP celebrou termos de cooperação com a Secretaria da Educação - SE, com a finalidade de implementar o Programa Horta Educativa em escolas, tendo sido repassados </w:t>
      </w:r>
      <w:r>
        <w:rPr>
          <w:i/>
        </w:rPr>
        <w:t>kits</w:t>
      </w:r>
      <w:r>
        <w:t xml:space="preserve"> “horta educativa” para 321 escolas, sendo 118 localizadas na Capital e 203 localizadas em 70 municípios no Interior, benefici</w:t>
      </w:r>
      <w:r w:rsidR="009D2196">
        <w:t>ando cerca de 102.902 crianças.</w:t>
      </w:r>
    </w:p>
    <w:p w:rsidR="003E6588" w:rsidRDefault="003E6588">
      <w:pPr>
        <w:ind w:firstLine="992"/>
        <w:jc w:val="both"/>
      </w:pPr>
    </w:p>
    <w:p w:rsidR="003E6588" w:rsidRDefault="009D2196">
      <w:pPr>
        <w:ind w:firstLine="1134"/>
        <w:jc w:val="both"/>
      </w:pPr>
      <w:r>
        <w:t xml:space="preserve">O </w:t>
      </w:r>
      <w:r w:rsidR="003E6588">
        <w:t>FUSSESP firmou Termo de Cooperação com a Secretaria da Segurança Pública, visando à implantação da Horta Educativa no CCI - Centro de Convivência Infantil, com atendimento a 35 crianças. Além disso, acompanhou o desenvolvimento do programa implementado em 18 CCI’s - Centro de Convivência Infant</w:t>
      </w:r>
      <w:r>
        <w:t>il das Secretarias e Autarquias</w:t>
      </w:r>
      <w:r w:rsidR="003E6588">
        <w:t>.</w:t>
      </w:r>
    </w:p>
    <w:p w:rsidR="003E6588" w:rsidRDefault="003E6588">
      <w:pPr>
        <w:autoSpaceDE w:val="0"/>
        <w:autoSpaceDN w:val="0"/>
        <w:adjustRightInd w:val="0"/>
        <w:ind w:firstLine="992"/>
        <w:jc w:val="both"/>
      </w:pPr>
    </w:p>
    <w:p w:rsidR="003E6588" w:rsidRDefault="003E6588">
      <w:pPr>
        <w:autoSpaceDE w:val="0"/>
        <w:autoSpaceDN w:val="0"/>
        <w:adjustRightInd w:val="0"/>
        <w:ind w:firstLine="1134"/>
        <w:jc w:val="both"/>
      </w:pPr>
      <w:r>
        <w:t>A Secretaria de Agricultura e Abastecimento - SAA realizou estudos de viabilidade a fim de quantificar o material a ser disponibilizado para cada escola e 7 eventos de capacitação, que contou com a participação de 571 funcionários indicados pela SE, FSSM e Secretarias de Estado, que desenvolveram as hortas em cada escola, tanto na Capital como no Interior.</w:t>
      </w:r>
    </w:p>
    <w:p w:rsidR="003E6588" w:rsidRDefault="003E6588">
      <w:pPr>
        <w:autoSpaceDE w:val="0"/>
        <w:autoSpaceDN w:val="0"/>
        <w:adjustRightInd w:val="0"/>
        <w:ind w:firstLine="992"/>
        <w:jc w:val="both"/>
      </w:pPr>
    </w:p>
    <w:p w:rsidR="003E6588" w:rsidRDefault="003E6588">
      <w:pPr>
        <w:autoSpaceDE w:val="0"/>
        <w:autoSpaceDN w:val="0"/>
        <w:adjustRightInd w:val="0"/>
        <w:ind w:firstLine="1134"/>
        <w:jc w:val="both"/>
      </w:pPr>
      <w:r>
        <w:t>O FUSSESP coordenou o Programa Horta Educativa no Estado, além de providenciar a instrução de cada processo, prestar todo apoio na realização das capacitações e na elaboração dos planos de trabalho, bem como acompanho</w:t>
      </w:r>
      <w:r w:rsidR="009D2196">
        <w:t>u</w:t>
      </w:r>
      <w:r>
        <w:t xml:space="preserve"> e monitoro</w:t>
      </w:r>
      <w:r w:rsidR="009D2196">
        <w:t>u</w:t>
      </w:r>
      <w:r>
        <w:t xml:space="preserve"> os projetos em andamento, </w:t>
      </w:r>
      <w:r w:rsidR="009D2196">
        <w:t xml:space="preserve">beneficiando </w:t>
      </w:r>
      <w:r>
        <w:t>153.119 crianças estudantes de 567 escolas públicas, localizadas em 170 municípios do Estado.</w:t>
      </w:r>
    </w:p>
    <w:p w:rsidR="003E6588" w:rsidRDefault="003E6588">
      <w:pPr>
        <w:ind w:firstLine="1134"/>
        <w:jc w:val="both"/>
      </w:pPr>
    </w:p>
    <w:p w:rsidR="003E6588" w:rsidRDefault="003E6588">
      <w:pPr>
        <w:ind w:firstLine="1134"/>
        <w:jc w:val="both"/>
      </w:pPr>
      <w:r>
        <w:rPr>
          <w:b/>
        </w:rPr>
        <w:t xml:space="preserve">Espaço de Leitura - </w:t>
      </w:r>
      <w:r>
        <w:t>3.780 pessoas visitaram o Espaço de Leitura a cada mês, sendo que 3.600 visitantes compõem o público que vai ao Espaço espontaneamente e 180 pessoas compõem o público advindo das entidades sociais cadastradas no FUSSESP, que participaram das atividades durante 3 dias consecutivos, atendendo a 4 entidades sociais mensalmente. Foram realizados 550 empréstimos de livros por mês.</w:t>
      </w:r>
    </w:p>
    <w:p w:rsidR="003E6588" w:rsidRDefault="003E6588">
      <w:pPr>
        <w:ind w:firstLine="1134"/>
        <w:contextualSpacing/>
        <w:jc w:val="both"/>
      </w:pPr>
    </w:p>
    <w:p w:rsidR="003E6588" w:rsidRDefault="003E6588">
      <w:pPr>
        <w:autoSpaceDE w:val="0"/>
        <w:autoSpaceDN w:val="0"/>
        <w:adjustRightInd w:val="0"/>
        <w:ind w:firstLine="1134"/>
        <w:jc w:val="both"/>
        <w:rPr>
          <w:color w:val="000000"/>
        </w:rPr>
      </w:pPr>
      <w:r>
        <w:rPr>
          <w:color w:val="000000"/>
        </w:rPr>
        <w:t>São desenvolvidas atividades de incentivo à leitura (acolhimento, oficinas de leitura e escrita, mediação de leitura, trilhas de história e outros roteiros educativos que são desenvolvidos pela equipe do projeto especialmente para atender os grupos agendados), direcionadas à população em situação de vulnerabilidade social advinda das entidades sociais cadastradas no FUSSESP.</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São oferecidas oficinas culturais voltadas à família, que fazem parte do Programa Maiúsculos e Minúsculos, desenvolvido pelo setor educativo do projeto.</w:t>
      </w:r>
    </w:p>
    <w:p w:rsidR="003E6588" w:rsidRDefault="003E6588">
      <w:pPr>
        <w:ind w:firstLine="1134"/>
        <w:jc w:val="both"/>
        <w:rPr>
          <w:color w:val="000000"/>
        </w:rPr>
      </w:pPr>
    </w:p>
    <w:p w:rsidR="003E6588" w:rsidRDefault="003E6588">
      <w:pPr>
        <w:ind w:firstLine="1134"/>
        <w:jc w:val="both"/>
        <w:rPr>
          <w:color w:val="000000"/>
        </w:rPr>
      </w:pPr>
      <w:r>
        <w:rPr>
          <w:color w:val="000000"/>
        </w:rPr>
        <w:t>São realizadas apresentações culturais de contação de histórias, dança, teatro, música, circo, entre outras linguagens artísticas.</w:t>
      </w:r>
    </w:p>
    <w:p w:rsidR="003E6588" w:rsidRDefault="003E6588">
      <w:pPr>
        <w:ind w:firstLine="1134"/>
        <w:jc w:val="both"/>
      </w:pPr>
      <w:r>
        <w:rPr>
          <w:b/>
        </w:rPr>
        <w:lastRenderedPageBreak/>
        <w:t xml:space="preserve">Atenção ao Idoso - </w:t>
      </w:r>
      <w:r>
        <w:t>O FUSSESP realizou atividades em duas frentes:</w:t>
      </w:r>
    </w:p>
    <w:p w:rsidR="003E6588" w:rsidRDefault="003E6588">
      <w:pPr>
        <w:ind w:firstLine="1134"/>
        <w:contextualSpacing/>
        <w:jc w:val="both"/>
        <w:rPr>
          <w:b/>
        </w:rPr>
      </w:pPr>
    </w:p>
    <w:p w:rsidR="003E6588" w:rsidRDefault="003E6588">
      <w:pPr>
        <w:ind w:firstLine="1134"/>
        <w:contextualSpacing/>
        <w:jc w:val="both"/>
      </w:pPr>
      <w:r w:rsidRPr="002244A6">
        <w:rPr>
          <w:b/>
        </w:rPr>
        <w:t>Espaço Convivência do Idoso</w:t>
      </w:r>
      <w:r>
        <w:rPr>
          <w:b/>
        </w:rPr>
        <w:t xml:space="preserve"> -</w:t>
      </w:r>
      <w:r>
        <w:t xml:space="preserve"> ECI - Instalado no edifício 35 localizado no Parque “Dr. Fernando Costa”, totalmente reformado e adaptado para as oficinas e atividades voltadas à terceira idade, acima de 60 anos, onde foram realizadas Oficinas nas áreas de música (Coral, Percussão e Violão); artes plásticas (Pintura em Tela e Arte em Papel); cultura tradicional (Tapeçaria); </w:t>
      </w:r>
      <w:r>
        <w:rPr>
          <w:i/>
        </w:rPr>
        <w:t>design</w:t>
      </w:r>
      <w:r>
        <w:t xml:space="preserve"> (Arte em Sementes e Marchetaria); cultura/memória (Bordando Histórias); e inclusão digital (</w:t>
      </w:r>
      <w:r>
        <w:rPr>
          <w:i/>
        </w:rPr>
        <w:t xml:space="preserve">Internet </w:t>
      </w:r>
      <w:r>
        <w:t xml:space="preserve">e Redes Sociais), em parceria com a Secretaria da Cultura, </w:t>
      </w:r>
      <w:r w:rsidR="009D2196">
        <w:t xml:space="preserve">por meio </w:t>
      </w:r>
      <w:r>
        <w:t>da POIESIS. Outras Oficinas foram realizadas com a equipe de voluntários do Espaço Convivência do Idoso: Cinema, Hatha Ioga, Ioga, Inglês, Português, Teatro, Macramê e Tricô e Crochê.</w:t>
      </w:r>
    </w:p>
    <w:p w:rsidR="003E6588" w:rsidRDefault="003E6588">
      <w:pPr>
        <w:ind w:firstLine="1134"/>
        <w:contextualSpacing/>
        <w:jc w:val="both"/>
      </w:pPr>
    </w:p>
    <w:p w:rsidR="003E6588" w:rsidRDefault="003E6588">
      <w:pPr>
        <w:ind w:firstLine="1134"/>
        <w:contextualSpacing/>
        <w:jc w:val="both"/>
      </w:pPr>
      <w:r>
        <w:t>Foram atendidos 1.600 idosos nas Oficinas do ECI</w:t>
      </w:r>
      <w:r w:rsidR="00482C14">
        <w:t>,</w:t>
      </w:r>
      <w:r>
        <w:t xml:space="preserve"> </w:t>
      </w:r>
      <w:r w:rsidR="00482C14">
        <w:t xml:space="preserve">que </w:t>
      </w:r>
      <w:r>
        <w:t>participaram de atividades na área da saúde e esporte, realizadas em parceria com as universidades USP, UNINOVE e UNIP, que ofereceram orientações e serviços para a manutenção da saúde física e mental dos frequentadores do ECI.</w:t>
      </w:r>
    </w:p>
    <w:p w:rsidR="003E6588" w:rsidRDefault="003E6588">
      <w:pPr>
        <w:ind w:firstLine="1134"/>
        <w:contextualSpacing/>
        <w:jc w:val="both"/>
      </w:pPr>
    </w:p>
    <w:p w:rsidR="003E6588" w:rsidRDefault="003E6588">
      <w:pPr>
        <w:ind w:firstLine="1134"/>
        <w:contextualSpacing/>
        <w:jc w:val="both"/>
      </w:pPr>
      <w:r>
        <w:t>Várias ações e eventos foram realizados</w:t>
      </w:r>
      <w:r w:rsidR="00482C14">
        <w:t>,</w:t>
      </w:r>
      <w:r>
        <w:t xml:space="preserve"> tais como: </w:t>
      </w:r>
      <w:r>
        <w:rPr>
          <w:i/>
        </w:rPr>
        <w:t>Workshop</w:t>
      </w:r>
      <w:r>
        <w:t xml:space="preserve"> da Visão - </w:t>
      </w:r>
      <w:r>
        <w:rPr>
          <w:i/>
        </w:rPr>
        <w:t>Self Healing</w:t>
      </w:r>
      <w:r>
        <w:t>, Dia do Pão, Mutirão da Saúde - Hipertensão e Diabetes, Encontro de Corais, Campanha de Vacinação contra a Gripe, Miss 3ª Idade, Dia do Desafio, Semana do Idoso, Dia do Coração, Exposição Anual das Oficinas de Artes Plásticas. E, os</w:t>
      </w:r>
      <w:r w:rsidR="00482C14">
        <w:t xml:space="preserve"> idosos das Oficinas de Música </w:t>
      </w:r>
      <w:r>
        <w:t>fizeram apresentação de coral, percussão e violão em oito instituições e asilos.</w:t>
      </w:r>
    </w:p>
    <w:p w:rsidR="003E6588" w:rsidRDefault="003E6588">
      <w:pPr>
        <w:ind w:firstLine="1134"/>
        <w:contextualSpacing/>
        <w:jc w:val="both"/>
      </w:pPr>
    </w:p>
    <w:p w:rsidR="003E6588" w:rsidRDefault="003E6588">
      <w:pPr>
        <w:ind w:firstLine="1134"/>
        <w:contextualSpacing/>
        <w:jc w:val="both"/>
      </w:pPr>
      <w:r>
        <w:rPr>
          <w:b/>
        </w:rPr>
        <w:t xml:space="preserve">JORI - Jogos Regionais do Idoso - </w:t>
      </w:r>
      <w:r>
        <w:t>Realização do FUSSESP e da Secretaria de Esporte, Lazer e Juventude - SELJ, em parceria com os municípios que sediam as competições. O evento tem como finalidade estimular a população idosa à prática de atividades esportivas. Ao todo são 14 modalidades adaptadas às pessoas com mais de 60 anos: atletismo (corrida), bocha, buraco, coreografia (dança), damas, dança de salão, dominó, malha, natação, tênis, tênis de mesa, truco, voleibol adaptado e xadrez. Realiz</w:t>
      </w:r>
      <w:r w:rsidR="00482C14">
        <w:t>ou</w:t>
      </w:r>
      <w:r>
        <w:t xml:space="preserve">-se a </w:t>
      </w:r>
      <w:r w:rsidR="00482C14">
        <w:t>“</w:t>
      </w:r>
      <w:r>
        <w:t>XVIII Jogos Regionais do Idoso</w:t>
      </w:r>
      <w:r w:rsidR="00482C14">
        <w:t>”,</w:t>
      </w:r>
      <w:r>
        <w:t xml:space="preserve"> em dez etapas regionais, nas cidades de Penápolis, Lençóis Paulista, Batatais, Mogi Guaçu, Garça, Caraguatatuba, Presidente Venceslau, Catanduva, São Roque e Osasco. A</w:t>
      </w:r>
      <w:r w:rsidR="00482C14">
        <w:t xml:space="preserve"> </w:t>
      </w:r>
      <w:r>
        <w:t>XVIII edição do JORI reuniu 17.300 atletas de 642 municípios, nas etapas regionais e na etapa estadual.</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rPr>
          <w:color w:val="000000"/>
        </w:rPr>
      </w:pPr>
      <w:r>
        <w:rPr>
          <w:b/>
        </w:rPr>
        <w:t xml:space="preserve">Programa VidAtiva - </w:t>
      </w:r>
      <w:r w:rsidR="00482C14">
        <w:t xml:space="preserve">O </w:t>
      </w:r>
      <w:r>
        <w:t xml:space="preserve">programa da </w:t>
      </w:r>
      <w:r>
        <w:rPr>
          <w:color w:val="000000"/>
        </w:rPr>
        <w:t xml:space="preserve">SELJ, em parceria com o FUSSESP, </w:t>
      </w:r>
      <w:r>
        <w:t>oferece auxílio financeiro a idosos para prática esportiva em clubes e academias de ginástica.</w:t>
      </w:r>
      <w:r>
        <w:rPr>
          <w:color w:val="000000"/>
        </w:rPr>
        <w:t xml:space="preserve"> Os interessados devem procurar a SELJ e preencher uma ficha cadastral, com dados pessoais, residenciais, de renda e saúde. Os casos de recomendação médica para a prática de atividade física e situações de vulnerabilidade social têm atendimento prioritário na triagem. Posteriormente, o beneficiado recebeu um cartão de débito com o valor de R$ 57,00 mensais, que foi utilizado nas atividades físicas. O FUSSESP repassou R$ 527.721,73 (incluído as tarifas bancárias), beneficiando 1.000 pessoas no Programa.</w:t>
      </w:r>
    </w:p>
    <w:p w:rsidR="003E6588" w:rsidRDefault="003E6588">
      <w:pPr>
        <w:ind w:firstLine="1134"/>
        <w:jc w:val="both"/>
      </w:pPr>
    </w:p>
    <w:p w:rsidR="003E6588" w:rsidRDefault="003E6588">
      <w:pPr>
        <w:ind w:firstLine="1134"/>
        <w:jc w:val="both"/>
      </w:pPr>
      <w:r>
        <w:rPr>
          <w:b/>
        </w:rPr>
        <w:t xml:space="preserve">Campanha do Agasalho - </w:t>
      </w:r>
      <w:r>
        <w:t xml:space="preserve">Iniciativa anual do FUSSESP, em parceria com as Secretarias de Estado, empresários e sociedade civil, que ocorre nos meses que antecedem a estação do inverno, </w:t>
      </w:r>
      <w:r>
        <w:lastRenderedPageBreak/>
        <w:t>cujas peças arrecadadas são destinadas às pessoas em situação de vulnerabilidade social, aos FSSM, entidades assistenciais, asilos, comunidades, albergues e creches.</w:t>
      </w:r>
    </w:p>
    <w:p w:rsidR="003E6588" w:rsidRDefault="003E6588">
      <w:pPr>
        <w:ind w:firstLine="1134"/>
        <w:jc w:val="both"/>
      </w:pPr>
    </w:p>
    <w:p w:rsidR="003E6588" w:rsidRDefault="003E6588">
      <w:pPr>
        <w:ind w:firstLine="1134"/>
        <w:jc w:val="both"/>
      </w:pPr>
      <w:r>
        <w:t>Foram arrecadadas 2.243.085 peças de vestuário e 24.025 cobertores, que foram destinados aos FSSM, entidades, asilos, albergues, comunidades e creches.</w:t>
      </w:r>
    </w:p>
    <w:p w:rsidR="003E6588" w:rsidRDefault="003E6588">
      <w:pPr>
        <w:ind w:firstLine="1134"/>
        <w:jc w:val="both"/>
      </w:pPr>
    </w:p>
    <w:p w:rsidR="003E6588" w:rsidRDefault="003E6588">
      <w:pPr>
        <w:ind w:firstLine="1134"/>
        <w:jc w:val="both"/>
      </w:pPr>
      <w:r>
        <w:rPr>
          <w:b/>
        </w:rPr>
        <w:t xml:space="preserve">Programa de Proteção Social à Pessoa, Família ou Grupo Social em Situação de Vulnerabilidade Social - </w:t>
      </w:r>
      <w:r>
        <w:t>O Programa visa minimizar impactos sofridos em decorrência de rigores climáticos, desastres naturais ou outras ocorrências extraordinárias, mediante atuação recuperativa consistente na destinação de meios materiais que possam garantir à população atingida o atendimento a suas necessidades básicas.</w:t>
      </w:r>
    </w:p>
    <w:p w:rsidR="003E6588" w:rsidRDefault="003E6588">
      <w:pPr>
        <w:ind w:firstLine="1134"/>
        <w:jc w:val="both"/>
      </w:pPr>
    </w:p>
    <w:p w:rsidR="003E6588" w:rsidRDefault="003E6588">
      <w:pPr>
        <w:ind w:firstLine="1134"/>
        <w:jc w:val="both"/>
      </w:pPr>
      <w:r>
        <w:rPr>
          <w:bCs/>
        </w:rPr>
        <w:t>O FUSSESP colaborou mediante aquisição e distribuição gratuita de cestas básicas</w:t>
      </w:r>
      <w:r>
        <w:t>, material de higiene pessoal, cobertores, colchões e lençóis para as pessoas em situação de vulnerabilidade social, entidades sociais e FSSM, que passaram por rigores climáticos e incêndio, sendo beneficiadas com doações 3 comunidades e 12 FSSM.</w:t>
      </w:r>
    </w:p>
    <w:p w:rsidR="003E6588" w:rsidRDefault="003E6588">
      <w:pPr>
        <w:ind w:firstLine="1134"/>
        <w:jc w:val="both"/>
      </w:pPr>
    </w:p>
    <w:p w:rsidR="003E6588" w:rsidRDefault="003E6588">
      <w:pPr>
        <w:ind w:firstLine="1134"/>
        <w:jc w:val="both"/>
      </w:pPr>
      <w:r>
        <w:t xml:space="preserve">O FUSSESP celebrou convênio com a Prefeitura de São José dos Campos, </w:t>
      </w:r>
      <w:r w:rsidR="004F2FEA">
        <w:t xml:space="preserve">vigente, </w:t>
      </w:r>
      <w:r>
        <w:t>objetivando transferência de recursos financeiros, a título de auxílio, para concessão do aluguel social, no valor de R$ 500,00 mensais, sendo R$ 400,00 por parte do FUSSESP e R$ 100,00 por parte do Município, a até 1.750 famílias, envolvidas na desocupação da área denominada “Pinheirinho”, em São José dos Campos. O montante repassado para o município, foi de R$ 8.400.000,00.</w:t>
      </w:r>
    </w:p>
    <w:p w:rsidR="003E6588" w:rsidRDefault="003E6588">
      <w:pPr>
        <w:ind w:firstLine="1134"/>
        <w:jc w:val="both"/>
      </w:pPr>
    </w:p>
    <w:p w:rsidR="003E6588" w:rsidRDefault="003E6588">
      <w:pPr>
        <w:ind w:firstLine="1134"/>
        <w:jc w:val="both"/>
      </w:pPr>
    </w:p>
    <w:p w:rsidR="003E6588" w:rsidRDefault="003E6588">
      <w:pPr>
        <w:pStyle w:val="Ttulo7"/>
        <w:widowControl w:val="0"/>
        <w:shd w:val="clear" w:color="auto" w:fill="FFFFFF"/>
        <w:spacing w:before="0" w:after="0"/>
        <w:rPr>
          <w:b/>
          <w:color w:val="000000"/>
          <w:lang w:val="pt-BR"/>
        </w:rPr>
      </w:pPr>
      <w:r>
        <w:rPr>
          <w:b/>
          <w:color w:val="000000"/>
          <w:lang w:val="pt-BR"/>
        </w:rPr>
        <w:t>IMPRENSA OFICIAL DO ESTADO DE SÃO PAULO - IMESP</w:t>
      </w:r>
    </w:p>
    <w:p w:rsidR="003E6588" w:rsidRDefault="003E6588">
      <w:pPr>
        <w:ind w:firstLine="1134"/>
        <w:jc w:val="both"/>
        <w:rPr>
          <w:rFonts w:eastAsia="Arial Unicode MS"/>
        </w:rPr>
      </w:pPr>
    </w:p>
    <w:p w:rsidR="003E6588" w:rsidRDefault="003E6588">
      <w:pPr>
        <w:autoSpaceDE w:val="0"/>
        <w:autoSpaceDN w:val="0"/>
        <w:adjustRightInd w:val="0"/>
        <w:ind w:firstLine="1134"/>
        <w:jc w:val="both"/>
        <w:rPr>
          <w:color w:val="000000"/>
        </w:rPr>
      </w:pPr>
    </w:p>
    <w:p w:rsidR="003E6588" w:rsidRDefault="003E6588">
      <w:pPr>
        <w:shd w:val="clear" w:color="auto" w:fill="FFFFFF"/>
        <w:ind w:firstLine="1134"/>
        <w:jc w:val="both"/>
        <w:rPr>
          <w:color w:val="000000"/>
        </w:rPr>
      </w:pPr>
      <w:r>
        <w:rPr>
          <w:color w:val="000000"/>
        </w:rPr>
        <w:t xml:space="preserve">Gráfica e </w:t>
      </w:r>
      <w:r w:rsidR="004F2FEA">
        <w:rPr>
          <w:color w:val="000000"/>
        </w:rPr>
        <w:t>editora,</w:t>
      </w:r>
      <w:r>
        <w:rPr>
          <w:color w:val="000000"/>
        </w:rPr>
        <w:t xml:space="preserve"> publica o Diário Oficial do Estado, produz livros, produtos gráficos e</w:t>
      </w:r>
      <w:r>
        <w:rPr>
          <w:color w:val="C00000"/>
        </w:rPr>
        <w:t xml:space="preserve"> </w:t>
      </w:r>
      <w:r>
        <w:rPr>
          <w:color w:val="000000"/>
        </w:rPr>
        <w:t xml:space="preserve">de tecnologia, Certificação Digital, hospedagem de </w:t>
      </w:r>
      <w:r>
        <w:rPr>
          <w:i/>
          <w:color w:val="000000"/>
        </w:rPr>
        <w:t>sites</w:t>
      </w:r>
      <w:r>
        <w:rPr>
          <w:color w:val="000000"/>
        </w:rPr>
        <w:t>.</w:t>
      </w:r>
    </w:p>
    <w:p w:rsidR="003E6588" w:rsidRDefault="003E6588">
      <w:pPr>
        <w:widowControl w:val="0"/>
        <w:shd w:val="clear" w:color="auto" w:fill="FFFFFF"/>
        <w:ind w:firstLine="1134"/>
        <w:jc w:val="both"/>
        <w:rPr>
          <w:b/>
          <w:color w:val="000000"/>
        </w:rPr>
      </w:pPr>
    </w:p>
    <w:p w:rsidR="003E6588" w:rsidRDefault="003E6588">
      <w:pPr>
        <w:ind w:firstLine="1134"/>
        <w:jc w:val="both"/>
        <w:rPr>
          <w:b/>
        </w:rPr>
      </w:pPr>
      <w:r>
        <w:rPr>
          <w:b/>
        </w:rPr>
        <w:t>Imprensa Oficial em números</w:t>
      </w:r>
    </w:p>
    <w:p w:rsidR="003E6588" w:rsidRDefault="003E6588">
      <w:pPr>
        <w:pStyle w:val="Commarcadores"/>
      </w:pPr>
    </w:p>
    <w:p w:rsidR="003E6588" w:rsidRDefault="003E6588">
      <w:pPr>
        <w:pStyle w:val="Commarcadores"/>
      </w:pPr>
      <w:r>
        <w:t>- R$ 325 milhões em receitas (receita bruta).</w:t>
      </w:r>
    </w:p>
    <w:p w:rsidR="003E6588" w:rsidRDefault="003E6588">
      <w:pPr>
        <w:pStyle w:val="Commarcadores"/>
      </w:pPr>
    </w:p>
    <w:p w:rsidR="003E6588" w:rsidRDefault="003E6588">
      <w:pPr>
        <w:pStyle w:val="Commarcadores"/>
      </w:pPr>
      <w:r>
        <w:t>- R$ 399 mil de produtividade por empregado.</w:t>
      </w:r>
    </w:p>
    <w:p w:rsidR="003E6588" w:rsidRDefault="003E6588">
      <w:pPr>
        <w:pStyle w:val="Commarcadores"/>
      </w:pPr>
    </w:p>
    <w:p w:rsidR="003E6588" w:rsidRDefault="003E6588">
      <w:pPr>
        <w:pStyle w:val="Commarcadores"/>
      </w:pPr>
      <w:r>
        <w:t>- R$ 210 milhões como despesas apropriadas.</w:t>
      </w:r>
    </w:p>
    <w:p w:rsidR="003E6588" w:rsidRDefault="003E6588">
      <w:pPr>
        <w:pStyle w:val="Commarcadores"/>
      </w:pPr>
    </w:p>
    <w:p w:rsidR="003E6588" w:rsidRDefault="003E6588">
      <w:pPr>
        <w:pStyle w:val="Commarcadores"/>
      </w:pPr>
      <w:r>
        <w:t>- R$ 2 milhões de investimentos em infraestrutura e tecnologia da informação.</w:t>
      </w:r>
    </w:p>
    <w:p w:rsidR="003E6588" w:rsidRDefault="003E6588">
      <w:pPr>
        <w:pStyle w:val="Commarcadores"/>
      </w:pPr>
    </w:p>
    <w:p w:rsidR="003E6588" w:rsidRDefault="003E6588">
      <w:pPr>
        <w:pStyle w:val="Commarcadores"/>
      </w:pPr>
      <w:r>
        <w:t>- R$ 10,4 milhões de investimentos no parque gráfico.</w:t>
      </w:r>
    </w:p>
    <w:p w:rsidR="003E6588" w:rsidRDefault="003E6588">
      <w:pPr>
        <w:pStyle w:val="Commarcadores"/>
      </w:pPr>
    </w:p>
    <w:p w:rsidR="003E6588" w:rsidRDefault="003E6588">
      <w:pPr>
        <w:pStyle w:val="Commarcadores"/>
      </w:pPr>
      <w:r>
        <w:t xml:space="preserve">- R$ 70 milhões de repasse à Fazenda do Estado a título de juros sobre o capital próprio e </w:t>
      </w:r>
      <w:r>
        <w:lastRenderedPageBreak/>
        <w:t>dividendos.</w:t>
      </w:r>
    </w:p>
    <w:p w:rsidR="003E6588" w:rsidRDefault="003E6588">
      <w:pPr>
        <w:pStyle w:val="Commarcadores"/>
      </w:pPr>
    </w:p>
    <w:p w:rsidR="003E6588" w:rsidRDefault="003E6588">
      <w:pPr>
        <w:pStyle w:val="Commarcadores"/>
      </w:pPr>
      <w:r>
        <w:t>- 416 títulos produzidos no ano - 4.677 títulos de livros nos últimos 10 anos.</w:t>
      </w:r>
    </w:p>
    <w:p w:rsidR="003E6588" w:rsidRDefault="003E6588">
      <w:pPr>
        <w:pStyle w:val="Commarcadores"/>
      </w:pPr>
    </w:p>
    <w:p w:rsidR="003E6588" w:rsidRDefault="003E6588">
      <w:pPr>
        <w:pStyle w:val="Commarcadores"/>
      </w:pPr>
      <w:r>
        <w:t>- 23,5 mil livros vendidos.</w:t>
      </w:r>
    </w:p>
    <w:p w:rsidR="003E6588" w:rsidRDefault="003E6588">
      <w:pPr>
        <w:pStyle w:val="Commarcadores"/>
      </w:pPr>
    </w:p>
    <w:p w:rsidR="003E6588" w:rsidRDefault="003E6588">
      <w:pPr>
        <w:pStyle w:val="Commarcadores"/>
      </w:pPr>
      <w:r>
        <w:t>- 246,7 milhões de páginas impressas totalizando 2,1 milhões de Diários Oficiais produzidos, incluindo o Diário Oficial do Município de São Paulo.</w:t>
      </w:r>
    </w:p>
    <w:p w:rsidR="003E6588" w:rsidRDefault="003E6588">
      <w:pPr>
        <w:pStyle w:val="Commarcadores"/>
      </w:pPr>
    </w:p>
    <w:p w:rsidR="003E6588" w:rsidRDefault="003E6588">
      <w:pPr>
        <w:pStyle w:val="Commarcadores"/>
      </w:pPr>
      <w:r>
        <w:t xml:space="preserve">- 176.000 pesquisas diárias no </w:t>
      </w:r>
      <w:r>
        <w:rPr>
          <w:i/>
        </w:rPr>
        <w:t>site</w:t>
      </w:r>
      <w:r>
        <w:t xml:space="preserve"> do Diário Oficial.</w:t>
      </w:r>
    </w:p>
    <w:p w:rsidR="003E6588" w:rsidRDefault="003E6588">
      <w:pPr>
        <w:pStyle w:val="Commarcadores"/>
      </w:pPr>
    </w:p>
    <w:p w:rsidR="003E6588" w:rsidRDefault="003E6588">
      <w:pPr>
        <w:pStyle w:val="Commarcadores"/>
      </w:pPr>
      <w:r>
        <w:t xml:space="preserve">- 179.746 páginas foram certificadas digitalmente no Diário Oficial </w:t>
      </w:r>
      <w:r>
        <w:rPr>
          <w:i/>
        </w:rPr>
        <w:t>On Line</w:t>
      </w:r>
      <w:r>
        <w:t>.</w:t>
      </w:r>
    </w:p>
    <w:p w:rsidR="003E6588" w:rsidRDefault="003E6588">
      <w:pPr>
        <w:pStyle w:val="Commarcadores"/>
      </w:pPr>
    </w:p>
    <w:p w:rsidR="003E6588" w:rsidRDefault="003E6588">
      <w:pPr>
        <w:pStyle w:val="Commarcadores"/>
      </w:pPr>
      <w:r>
        <w:t xml:space="preserve">- Disponibilização do banco de dados da Jucesp e desenvolvimento da aplicação de consultas e serviços </w:t>
      </w:r>
      <w:r>
        <w:rPr>
          <w:i/>
        </w:rPr>
        <w:t>on line</w:t>
      </w:r>
      <w:r>
        <w:t xml:space="preserve"> que resultou em mais de 37 milhões de pesquisas.</w:t>
      </w:r>
    </w:p>
    <w:p w:rsidR="003E6588" w:rsidRDefault="003E6588">
      <w:pPr>
        <w:pStyle w:val="Commarcadores"/>
      </w:pPr>
    </w:p>
    <w:p w:rsidR="003E6588" w:rsidRDefault="003E6588">
      <w:pPr>
        <w:pStyle w:val="Commarcadores"/>
      </w:pPr>
      <w:r>
        <w:t xml:space="preserve">- Aproximadamente 26 milhões de visitas ao </w:t>
      </w:r>
      <w:r>
        <w:rPr>
          <w:i/>
        </w:rPr>
        <w:t>site</w:t>
      </w:r>
      <w:r>
        <w:t xml:space="preserve"> da Imprensa Oficial.</w:t>
      </w:r>
    </w:p>
    <w:p w:rsidR="003E6588" w:rsidRDefault="003E6588">
      <w:pPr>
        <w:pStyle w:val="Commarcadores"/>
      </w:pPr>
    </w:p>
    <w:p w:rsidR="003E6588" w:rsidRDefault="003E6588">
      <w:pPr>
        <w:pStyle w:val="Commarcadores"/>
      </w:pPr>
      <w:r>
        <w:t>- 50 mil Certificados Digitais emitidos.</w:t>
      </w:r>
    </w:p>
    <w:p w:rsidR="003E6588" w:rsidRDefault="003E6588">
      <w:pPr>
        <w:pStyle w:val="Commarcadores"/>
      </w:pPr>
    </w:p>
    <w:p w:rsidR="003E6588" w:rsidRDefault="003E6588">
      <w:pPr>
        <w:pStyle w:val="Commarcadores"/>
      </w:pPr>
      <w:r>
        <w:t>- R$ 216 mil para o Programa de Doação de Aparas e Materiais Inservíveis, acumulando 440 toneladas de aparas processadas.</w:t>
      </w:r>
    </w:p>
    <w:p w:rsidR="003E6588" w:rsidRDefault="003E6588">
      <w:pPr>
        <w:pStyle w:val="Commarcadores"/>
      </w:pPr>
    </w:p>
    <w:p w:rsidR="003E6588" w:rsidRDefault="003E6588">
      <w:pPr>
        <w:ind w:firstLine="1134"/>
        <w:jc w:val="both"/>
        <w:rPr>
          <w:b/>
        </w:rPr>
      </w:pPr>
      <w:r>
        <w:rPr>
          <w:b/>
        </w:rPr>
        <w:t>Eventos Realizados</w:t>
      </w:r>
    </w:p>
    <w:p w:rsidR="003E6588" w:rsidRDefault="003E6588">
      <w:pPr>
        <w:pStyle w:val="Commarcadores"/>
      </w:pPr>
    </w:p>
    <w:p w:rsidR="003E6588" w:rsidRDefault="003E6588">
      <w:pPr>
        <w:pStyle w:val="Commarcadores"/>
      </w:pPr>
      <w:r>
        <w:t>- 12 lançamentos de livros (8 títulos), sendo 10 eventos na cidade de São Paulo, 1 em Brasília - DF e 1 na cidade do Rio de Janeiro.</w:t>
      </w:r>
    </w:p>
    <w:p w:rsidR="003E6588" w:rsidRDefault="003E6588">
      <w:pPr>
        <w:ind w:firstLine="1134"/>
        <w:jc w:val="both"/>
      </w:pPr>
    </w:p>
    <w:p w:rsidR="003E6588" w:rsidRDefault="003E6588">
      <w:pPr>
        <w:pStyle w:val="Commarcadores"/>
      </w:pPr>
      <w:r>
        <w:t xml:space="preserve">- Participação em 2 feiras internacionais </w:t>
      </w:r>
      <w:r w:rsidR="004F2FEA">
        <w:t>-</w:t>
      </w:r>
      <w:r>
        <w:t xml:space="preserve"> </w:t>
      </w:r>
      <w:r w:rsidR="004F2FEA">
        <w:t>“</w:t>
      </w:r>
      <w:r>
        <w:t>23ª Bienal Internacional do Livro de São Paulo</w:t>
      </w:r>
      <w:r w:rsidR="004F2FEA">
        <w:t>”</w:t>
      </w:r>
      <w:r>
        <w:t xml:space="preserve"> e </w:t>
      </w:r>
      <w:r w:rsidR="004F2FEA">
        <w:t>“</w:t>
      </w:r>
      <w:r>
        <w:t>Feira Internacional do Livro de Gotemburgo</w:t>
      </w:r>
      <w:r w:rsidR="004F2FEA">
        <w:t>”</w:t>
      </w:r>
      <w:r>
        <w:t xml:space="preserve"> (Suécia).</w:t>
      </w:r>
    </w:p>
    <w:p w:rsidR="00A52378" w:rsidRDefault="00A52378">
      <w:pPr>
        <w:pStyle w:val="Commarcadores"/>
      </w:pPr>
    </w:p>
    <w:p w:rsidR="003E6588" w:rsidRDefault="003E6588">
      <w:pPr>
        <w:pStyle w:val="Commarcadores"/>
        <w:rPr>
          <w:shd w:val="clear" w:color="auto" w:fill="FCFCFC"/>
        </w:rPr>
      </w:pPr>
      <w:r>
        <w:t xml:space="preserve">- Participação em 1 feira nacional </w:t>
      </w:r>
      <w:r w:rsidR="004F2FEA">
        <w:t>-</w:t>
      </w:r>
      <w:r>
        <w:t xml:space="preserve"> </w:t>
      </w:r>
      <w:r w:rsidR="004F2FEA">
        <w:t>“</w:t>
      </w:r>
      <w:r>
        <w:rPr>
          <w:shd w:val="clear" w:color="auto" w:fill="FCFCFC"/>
        </w:rPr>
        <w:t>16ª Festa do Livro da USP</w:t>
      </w:r>
      <w:r w:rsidR="004F2FEA">
        <w:rPr>
          <w:shd w:val="clear" w:color="auto" w:fill="FCFCFC"/>
        </w:rPr>
        <w:t>”</w:t>
      </w:r>
      <w:r>
        <w:rPr>
          <w:shd w:val="clear" w:color="auto" w:fill="FCFCFC"/>
        </w:rPr>
        <w:t>.</w:t>
      </w:r>
    </w:p>
    <w:p w:rsidR="004F2FEA" w:rsidRDefault="004F2FEA">
      <w:pPr>
        <w:pStyle w:val="Commarcadores"/>
      </w:pPr>
    </w:p>
    <w:p w:rsidR="003E6588" w:rsidRDefault="003E6588">
      <w:pPr>
        <w:pStyle w:val="Commarcadores"/>
      </w:pPr>
      <w:r>
        <w:t xml:space="preserve">- Participação em 2 congressos </w:t>
      </w:r>
      <w:r w:rsidR="004F2FEA">
        <w:t>-</w:t>
      </w:r>
      <w:r>
        <w:t xml:space="preserve"> </w:t>
      </w:r>
      <w:r w:rsidR="004F2FEA">
        <w:t>“</w:t>
      </w:r>
      <w:r>
        <w:t>58º Congresso Estadual de Municípios</w:t>
      </w:r>
      <w:r w:rsidR="004F2FEA">
        <w:t>”</w:t>
      </w:r>
      <w:r>
        <w:t xml:space="preserve"> e </w:t>
      </w:r>
      <w:r w:rsidR="004F2FEA">
        <w:t>“</w:t>
      </w:r>
      <w:r>
        <w:t>55</w:t>
      </w:r>
      <w:r w:rsidR="004F2FEA">
        <w:t>ª</w:t>
      </w:r>
      <w:r>
        <w:t xml:space="preserve"> Reunião da Associação Brasileira das Imprensas Oficiais </w:t>
      </w:r>
      <w:r w:rsidR="002244A6">
        <w:t>-</w:t>
      </w:r>
      <w:r>
        <w:t xml:space="preserve"> ABIO</w:t>
      </w:r>
      <w:r w:rsidR="004F2FEA">
        <w:t>”</w:t>
      </w:r>
      <w:r>
        <w:t>.</w:t>
      </w:r>
    </w:p>
    <w:p w:rsidR="003E6588" w:rsidRDefault="003E6588" w:rsidP="002244A6">
      <w:pPr>
        <w:pStyle w:val="PargrafodaLista1"/>
        <w:ind w:left="0" w:firstLine="1134"/>
        <w:jc w:val="both"/>
      </w:pPr>
    </w:p>
    <w:p w:rsidR="003E6588" w:rsidRDefault="003E6588">
      <w:pPr>
        <w:pStyle w:val="Commarcadores"/>
      </w:pPr>
      <w:r>
        <w:t xml:space="preserve">- Participação em 6 eventos institucionais - Reunião de Coordenadores e Lançamento da Campanha do Agasalho 2014; "É Tudo Verdade" </w:t>
      </w:r>
      <w:r w:rsidR="004F2FEA">
        <w:t>“</w:t>
      </w:r>
      <w:r>
        <w:t>19º Festival Internacional de Documentários</w:t>
      </w:r>
      <w:r w:rsidR="004F2FEA">
        <w:t>”</w:t>
      </w:r>
      <w:r>
        <w:t xml:space="preserve">; </w:t>
      </w:r>
      <w:r w:rsidR="004F2FEA">
        <w:t>“</w:t>
      </w:r>
      <w:r>
        <w:t>38ª Mostra Internacional de Cinema de São Paulo</w:t>
      </w:r>
      <w:r w:rsidR="004F2FEA">
        <w:t>”</w:t>
      </w:r>
      <w:r>
        <w:t xml:space="preserve">; Cerimônia de entrega do </w:t>
      </w:r>
      <w:r w:rsidR="004F2FEA">
        <w:t>“</w:t>
      </w:r>
      <w:r>
        <w:t>56º Prêmio Jabuti</w:t>
      </w:r>
      <w:r w:rsidR="004F2FEA">
        <w:t>”</w:t>
      </w:r>
      <w:r>
        <w:t xml:space="preserve"> e no </w:t>
      </w:r>
      <w:r w:rsidR="004F2FEA">
        <w:t>“</w:t>
      </w:r>
      <w:r>
        <w:t>Prêmio Polícia Cidadã</w:t>
      </w:r>
      <w:r w:rsidR="004F2FEA">
        <w:t>”</w:t>
      </w:r>
      <w:r>
        <w:t xml:space="preserve"> (Instituto Sou da Paz).</w:t>
      </w:r>
    </w:p>
    <w:p w:rsidR="003E6588" w:rsidRDefault="003E6588">
      <w:pPr>
        <w:pStyle w:val="Commarcadores"/>
      </w:pPr>
    </w:p>
    <w:p w:rsidR="003E6588" w:rsidRDefault="003E6588">
      <w:pPr>
        <w:pStyle w:val="Commarcadores"/>
        <w:rPr>
          <w:bCs/>
          <w:shd w:val="clear" w:color="auto" w:fill="FFFFFF"/>
        </w:rPr>
      </w:pPr>
      <w:r>
        <w:t xml:space="preserve">- Participação em 2 exposições com vendas de livros - Palestra de Lígia Fonseca Ferreira sobre Luiz Gama, com o livro “Com a Palavra Luiz Gama”; e </w:t>
      </w:r>
      <w:r>
        <w:rPr>
          <w:bCs/>
          <w:shd w:val="clear" w:color="auto" w:fill="FFFFFF"/>
        </w:rPr>
        <w:t xml:space="preserve">Casas do Brasil 2014 - </w:t>
      </w:r>
      <w:r>
        <w:rPr>
          <w:bCs/>
          <w:shd w:val="clear" w:color="auto" w:fill="FFFFFF"/>
        </w:rPr>
        <w:lastRenderedPageBreak/>
        <w:t>SOBREVIVÊNCIAS/exposição Sobre Vivências: Carandiru com o livro “</w:t>
      </w:r>
      <w:r>
        <w:rPr>
          <w:bCs/>
        </w:rPr>
        <w:t>Aqui Dentro Páginas de uma memória: Carandiru</w:t>
      </w:r>
      <w:r>
        <w:rPr>
          <w:bCs/>
          <w:shd w:val="clear" w:color="auto" w:fill="FFFFFF"/>
        </w:rPr>
        <w:t>”.</w:t>
      </w:r>
    </w:p>
    <w:p w:rsidR="003E6588" w:rsidRDefault="003E6588">
      <w:pPr>
        <w:pStyle w:val="Commarcadores"/>
      </w:pPr>
    </w:p>
    <w:p w:rsidR="003E6588" w:rsidRDefault="003E6588">
      <w:pPr>
        <w:pStyle w:val="Commarcadores"/>
      </w:pPr>
      <w:r>
        <w:t>- Realização de evento institucional - Exposição de Livros do Projeto Ler e Escrever.</w:t>
      </w:r>
    </w:p>
    <w:p w:rsidR="003E6588" w:rsidRDefault="003E6588">
      <w:pPr>
        <w:pStyle w:val="Commarcadores"/>
      </w:pPr>
    </w:p>
    <w:p w:rsidR="003E6588" w:rsidRDefault="003E6588">
      <w:pPr>
        <w:pStyle w:val="Commarcadores"/>
      </w:pPr>
      <w:r>
        <w:t>- Realização e apoio em 46 eventos internos.</w:t>
      </w:r>
    </w:p>
    <w:p w:rsidR="003E6588" w:rsidRDefault="003E6588">
      <w:pPr>
        <w:ind w:firstLine="1134"/>
        <w:jc w:val="both"/>
        <w:rPr>
          <w:b/>
        </w:rPr>
      </w:pPr>
    </w:p>
    <w:p w:rsidR="003E6588" w:rsidRDefault="004F2FEA">
      <w:pPr>
        <w:ind w:firstLine="1134"/>
        <w:jc w:val="both"/>
      </w:pPr>
      <w:r>
        <w:rPr>
          <w:b/>
        </w:rPr>
        <w:t>Projetos Especiais</w:t>
      </w:r>
      <w:r w:rsidR="00F0485F">
        <w:rPr>
          <w:b/>
        </w:rPr>
        <w:t xml:space="preserve"> - </w:t>
      </w:r>
      <w:r w:rsidR="003E6588">
        <w:t>O papel da Assessoria de Projetos Especiais é ser facilitador junto às áreas envolvidas</w:t>
      </w:r>
      <w:r w:rsidR="00F0485F">
        <w:t>,</w:t>
      </w:r>
      <w:r w:rsidR="003E6588">
        <w:t xml:space="preserve"> a fim de garantir que as atividades de cada projeto sejam executadas dentro do prazo, colaborando para construir responsabilidade coletiva, além de incentivar planejamento vertical participativo dos projetos.</w:t>
      </w:r>
    </w:p>
    <w:p w:rsidR="003E6588" w:rsidRDefault="003E6588">
      <w:pPr>
        <w:ind w:firstLine="1134"/>
        <w:jc w:val="both"/>
      </w:pPr>
    </w:p>
    <w:p w:rsidR="003E6588" w:rsidRDefault="003E6588">
      <w:pPr>
        <w:ind w:firstLine="1134"/>
        <w:jc w:val="both"/>
      </w:pPr>
      <w:r>
        <w:t>Notou-se amadurecimento da empresa em relação a gestão por projeto, à medida que houve melhor entendimento sobre a importância do controle e do monitoramento de cada etapa de um projeto, criando melhores condições para o sucesso no futuro.</w:t>
      </w:r>
    </w:p>
    <w:p w:rsidR="003E6588" w:rsidRDefault="003E6588">
      <w:pPr>
        <w:ind w:firstLine="1134"/>
        <w:jc w:val="both"/>
      </w:pPr>
    </w:p>
    <w:p w:rsidR="003E6588" w:rsidRDefault="003E6588">
      <w:pPr>
        <w:ind w:firstLine="1134"/>
        <w:jc w:val="both"/>
        <w:rPr>
          <w:shd w:val="clear" w:color="auto" w:fill="FFFFFF"/>
        </w:rPr>
      </w:pPr>
      <w:r>
        <w:rPr>
          <w:shd w:val="clear" w:color="auto" w:fill="FFFFFF"/>
        </w:rPr>
        <w:t>Foram acompanhados os seguintes projetos:</w:t>
      </w:r>
    </w:p>
    <w:p w:rsidR="003E6588" w:rsidRDefault="003E6588">
      <w:pPr>
        <w:ind w:firstLine="1134"/>
        <w:jc w:val="both"/>
        <w:rPr>
          <w:b/>
          <w:u w:val="single"/>
          <w:shd w:val="clear" w:color="auto" w:fill="FFFFFF"/>
        </w:rPr>
      </w:pPr>
    </w:p>
    <w:p w:rsidR="003E6588" w:rsidRDefault="003E6588">
      <w:pPr>
        <w:ind w:firstLine="1134"/>
        <w:jc w:val="both"/>
      </w:pPr>
      <w:r>
        <w:rPr>
          <w:b/>
          <w:shd w:val="clear" w:color="auto" w:fill="FFFFFF"/>
        </w:rPr>
        <w:t xml:space="preserve">Projeto Ler e Escrever </w:t>
      </w:r>
      <w:r w:rsidR="00F0485F">
        <w:rPr>
          <w:b/>
          <w:shd w:val="clear" w:color="auto" w:fill="FFFFFF"/>
        </w:rPr>
        <w:t>-</w:t>
      </w:r>
      <w:r>
        <w:rPr>
          <w:b/>
          <w:shd w:val="clear" w:color="auto" w:fill="FFFFFF"/>
        </w:rPr>
        <w:t xml:space="preserve"> </w:t>
      </w:r>
      <w:r w:rsidR="00F0485F" w:rsidRPr="00F0485F">
        <w:rPr>
          <w:shd w:val="clear" w:color="auto" w:fill="FFFFFF"/>
        </w:rPr>
        <w:t>Concluído, a</w:t>
      </w:r>
      <w:r>
        <w:t xml:space="preserve"> Assessoria de Projetos Especiais conduziu e monitorou a execução do “Projeto Ler e Escrever”, que produziu e distribuiu os livros didáticos para professores e alunos do Ciclo I do Ensino Fundamental no início do ano letivo. A demanda do projeto incluiu:</w:t>
      </w:r>
    </w:p>
    <w:p w:rsidR="003E6588" w:rsidRDefault="003E6588">
      <w:pPr>
        <w:ind w:firstLine="1134"/>
        <w:jc w:val="both"/>
      </w:pPr>
    </w:p>
    <w:p w:rsidR="003E6588" w:rsidRDefault="003E6588">
      <w:pPr>
        <w:widowControl w:val="0"/>
        <w:autoSpaceDE w:val="0"/>
        <w:autoSpaceDN w:val="0"/>
        <w:ind w:firstLine="1134"/>
        <w:jc w:val="both"/>
      </w:pPr>
      <w:r>
        <w:t>- Ler e Escrever - Livros didáticos para Professores e Alunos do Ciclo I do Ensino Fundamental;</w:t>
      </w:r>
    </w:p>
    <w:p w:rsidR="003E6588" w:rsidRDefault="003E6588">
      <w:pPr>
        <w:widowControl w:val="0"/>
        <w:autoSpaceDE w:val="0"/>
        <w:autoSpaceDN w:val="0"/>
        <w:ind w:firstLine="1134"/>
        <w:jc w:val="both"/>
      </w:pPr>
    </w:p>
    <w:p w:rsidR="003E6588" w:rsidRDefault="003E6588">
      <w:pPr>
        <w:widowControl w:val="0"/>
        <w:autoSpaceDE w:val="0"/>
        <w:autoSpaceDN w:val="0"/>
        <w:ind w:firstLine="1134"/>
        <w:jc w:val="both"/>
      </w:pPr>
      <w:r>
        <w:t>- EMAI - Livros didáticos para Professores e Alunos de Educação Matemática dos Anos Iniciais do Ensino Fundamental.</w:t>
      </w:r>
    </w:p>
    <w:p w:rsidR="003E6588" w:rsidRDefault="003E6588">
      <w:pPr>
        <w:widowControl w:val="0"/>
        <w:autoSpaceDE w:val="0"/>
        <w:autoSpaceDN w:val="0"/>
        <w:ind w:firstLine="1134"/>
        <w:jc w:val="both"/>
      </w:pPr>
    </w:p>
    <w:p w:rsidR="003E6588" w:rsidRDefault="003E6588">
      <w:pPr>
        <w:ind w:firstLine="1134"/>
        <w:jc w:val="both"/>
      </w:pPr>
      <w:r>
        <w:t>Foram produzidos 2,8 milhões de livros, com distribuição em duas mil escolas de municípios do Estado (Capital, Grande São Paulo e Interior).</w:t>
      </w:r>
    </w:p>
    <w:p w:rsidR="00A52378" w:rsidRDefault="00A52378">
      <w:pPr>
        <w:ind w:firstLine="1134"/>
        <w:jc w:val="both"/>
      </w:pPr>
    </w:p>
    <w:p w:rsidR="003E6588" w:rsidRDefault="003E6588">
      <w:pPr>
        <w:ind w:firstLine="1134"/>
        <w:jc w:val="both"/>
      </w:pPr>
      <w:r>
        <w:t>Considerado estratégico por envolver todos os setores da empresa, o projeto não se limitou apenas à impressão dos livros, mas abrangeu as etapas de edição (diagramação, ilustração, revisão e aquisição de alguns direitos autorais).</w:t>
      </w:r>
    </w:p>
    <w:p w:rsidR="003E6588" w:rsidRDefault="003E6588">
      <w:pPr>
        <w:ind w:firstLine="1134"/>
        <w:jc w:val="both"/>
      </w:pPr>
    </w:p>
    <w:p w:rsidR="003E6588" w:rsidRDefault="003E6588">
      <w:pPr>
        <w:ind w:firstLine="1134"/>
        <w:jc w:val="both"/>
      </w:pPr>
      <w:r>
        <w:rPr>
          <w:b/>
          <w:shd w:val="clear" w:color="auto" w:fill="FFFFFF"/>
        </w:rPr>
        <w:t xml:space="preserve">Projeto SME - </w:t>
      </w:r>
      <w:r>
        <w:t xml:space="preserve">Com objetivo de atender à demanda da Secretaria Municipal da Educação </w:t>
      </w:r>
      <w:r w:rsidR="00F0485F">
        <w:t>-</w:t>
      </w:r>
      <w:r>
        <w:t xml:space="preserve"> SME</w:t>
      </w:r>
      <w:r w:rsidR="00F0485F">
        <w:t>,</w:t>
      </w:r>
      <w:r>
        <w:t xml:space="preserve"> o projeto SME foi realizado</w:t>
      </w:r>
      <w:r w:rsidR="00F0485F">
        <w:t>,</w:t>
      </w:r>
      <w:r>
        <w:t xml:space="preserve"> produzindo e distribuindo os Cadernos de Apoio e Aprendizagem para alunos do ano de letivo. A demanda do projeto incluiu:</w:t>
      </w:r>
    </w:p>
    <w:p w:rsidR="003E6588" w:rsidRDefault="003E6588">
      <w:pPr>
        <w:ind w:firstLine="1134"/>
        <w:jc w:val="both"/>
      </w:pPr>
    </w:p>
    <w:p w:rsidR="003E6588" w:rsidRDefault="003E6588">
      <w:pPr>
        <w:ind w:firstLine="1134"/>
        <w:jc w:val="both"/>
      </w:pPr>
      <w:r>
        <w:t>- Cadernos de Apoio e Aprendizagem Língua Portuguesa - 1º ao 9º ano.</w:t>
      </w:r>
    </w:p>
    <w:p w:rsidR="003E6588" w:rsidRDefault="003E6588">
      <w:pPr>
        <w:ind w:firstLine="1134"/>
        <w:jc w:val="both"/>
      </w:pPr>
    </w:p>
    <w:p w:rsidR="003E6588" w:rsidRDefault="003E6588">
      <w:pPr>
        <w:ind w:firstLine="1134"/>
        <w:jc w:val="both"/>
      </w:pPr>
      <w:r>
        <w:t>- Cadernos de Apoio e Aprendizagem Matemática - 1º ao 9º ano.</w:t>
      </w:r>
    </w:p>
    <w:p w:rsidR="003E6588" w:rsidRDefault="003E6588">
      <w:pPr>
        <w:ind w:firstLine="1134"/>
        <w:jc w:val="both"/>
      </w:pPr>
      <w:r>
        <w:lastRenderedPageBreak/>
        <w:t xml:space="preserve">Foram produzidos 800 mil livros, com distribuição nas treze Diretorias Regionais de Educação </w:t>
      </w:r>
      <w:r w:rsidR="00F0485F">
        <w:t xml:space="preserve">- </w:t>
      </w:r>
      <w:r>
        <w:t>DRE’s.</w:t>
      </w:r>
    </w:p>
    <w:p w:rsidR="003E6588" w:rsidRDefault="003E6588">
      <w:pPr>
        <w:pStyle w:val="Commarcadores"/>
      </w:pPr>
    </w:p>
    <w:p w:rsidR="003E6588" w:rsidRDefault="003E6588">
      <w:pPr>
        <w:ind w:firstLine="1134"/>
        <w:jc w:val="both"/>
      </w:pPr>
      <w:r w:rsidRPr="00F0485F">
        <w:t>O Projeto SME foi dado como especial devido ao curto prazo de execução e à importância do cliente, a Secretaria Municipal de Educação.</w:t>
      </w:r>
      <w:r>
        <w:cr/>
      </w:r>
    </w:p>
    <w:p w:rsidR="003E6588" w:rsidRDefault="003E6588">
      <w:pPr>
        <w:ind w:firstLine="1134"/>
        <w:jc w:val="both"/>
        <w:rPr>
          <w:b/>
        </w:rPr>
      </w:pPr>
      <w:r>
        <w:rPr>
          <w:b/>
        </w:rPr>
        <w:t>Destaques</w:t>
      </w:r>
    </w:p>
    <w:p w:rsidR="003E6588" w:rsidRDefault="003E6588">
      <w:pPr>
        <w:ind w:firstLine="1134"/>
        <w:jc w:val="both"/>
        <w:rPr>
          <w:b/>
        </w:rPr>
      </w:pPr>
    </w:p>
    <w:p w:rsidR="003E6588" w:rsidRDefault="003E6588">
      <w:pPr>
        <w:ind w:firstLine="1134"/>
        <w:jc w:val="both"/>
      </w:pPr>
      <w:r>
        <w:t>- A importância do trabalho em conjunto com a equipe da SME possibilitou a antecipação das entregas do material e a comunicação da SME com as DRE’s sobre o fluxo de recebimento dos materiais</w:t>
      </w:r>
      <w:r w:rsidR="00F0485F">
        <w:t>,</w:t>
      </w:r>
      <w:r>
        <w:t xml:space="preserve"> que possibilitou o encaminhamento direto para as escolas.</w:t>
      </w:r>
    </w:p>
    <w:p w:rsidR="003E6588" w:rsidRDefault="003E6588">
      <w:pPr>
        <w:ind w:firstLine="1134"/>
        <w:jc w:val="both"/>
      </w:pPr>
    </w:p>
    <w:p w:rsidR="003E6588" w:rsidRDefault="003E6588">
      <w:pPr>
        <w:ind w:firstLine="1134"/>
        <w:jc w:val="both"/>
      </w:pPr>
      <w:r>
        <w:t>- A etapa final do projeto, Logística, foi concluída com êxito nas treze DRE’s e a reserva técnica foi encaminhada para a SME-DOT em tempo recorde.</w:t>
      </w:r>
    </w:p>
    <w:p w:rsidR="003E6588" w:rsidRDefault="003E6588">
      <w:pPr>
        <w:ind w:firstLine="1134"/>
        <w:jc w:val="both"/>
      </w:pPr>
    </w:p>
    <w:p w:rsidR="003E6588" w:rsidRDefault="003E6588">
      <w:pPr>
        <w:ind w:firstLine="1134"/>
        <w:jc w:val="both"/>
      </w:pPr>
      <w:r>
        <w:t xml:space="preserve">- Houve como parte do processo de qualidade da Imprensa Oficial, posterior às entregas, atuação da equipe de </w:t>
      </w:r>
      <w:r w:rsidR="00956EBD">
        <w:t>logística</w:t>
      </w:r>
      <w:r>
        <w:t>, a qual visitou todas as DRE’s para checar se todos haviam recebido seu material devidamente.</w:t>
      </w:r>
    </w:p>
    <w:p w:rsidR="003E6588" w:rsidRDefault="003E6588">
      <w:pPr>
        <w:ind w:firstLine="1134"/>
        <w:jc w:val="both"/>
        <w:rPr>
          <w:b/>
          <w:u w:val="single"/>
          <w:shd w:val="clear" w:color="auto" w:fill="FFFFFF"/>
        </w:rPr>
      </w:pPr>
    </w:p>
    <w:p w:rsidR="003E6588" w:rsidRDefault="003E6588">
      <w:pPr>
        <w:ind w:firstLine="1134"/>
        <w:jc w:val="both"/>
      </w:pPr>
      <w:r>
        <w:rPr>
          <w:b/>
          <w:shd w:val="clear" w:color="auto" w:fill="FFFFFF"/>
        </w:rPr>
        <w:t xml:space="preserve">Projeto SE - </w:t>
      </w:r>
      <w:r w:rsidRPr="00F0485F">
        <w:t xml:space="preserve">O Projeto SE </w:t>
      </w:r>
      <w:r>
        <w:t xml:space="preserve">consiste na impressão e distribuição de aproximadamente 70 milhões de livros didáticos </w:t>
      </w:r>
      <w:r w:rsidRPr="00F0485F">
        <w:t>para o ano letivo de 2015 - primeiro e segundo semestres -</w:t>
      </w:r>
      <w:r>
        <w:t xml:space="preserve"> para professores e alunos das escolas do Estado atendidas pela Secretaria da Educação.</w:t>
      </w:r>
    </w:p>
    <w:p w:rsidR="003E6588" w:rsidRDefault="003E6588">
      <w:pPr>
        <w:ind w:firstLine="1134"/>
        <w:jc w:val="both"/>
      </w:pPr>
    </w:p>
    <w:p w:rsidR="003E6588" w:rsidRDefault="003E6588">
      <w:pPr>
        <w:ind w:firstLine="1134"/>
        <w:jc w:val="both"/>
      </w:pPr>
      <w:r>
        <w:t>Em um projeto com esta amplitude e singularidade</w:t>
      </w:r>
      <w:r w:rsidR="00F0485F">
        <w:t>,</w:t>
      </w:r>
      <w:r>
        <w:t xml:space="preserve"> é necessário evidenciar sua linha de trabalho por meio de elementos que sintetizem suas prioridades, justificando sua característica especial, além de necessitar do envolvimento de todos os setores da Imprensa Oficial.</w:t>
      </w:r>
    </w:p>
    <w:p w:rsidR="003E6588" w:rsidRDefault="003E6588">
      <w:pPr>
        <w:ind w:firstLine="1134"/>
        <w:jc w:val="both"/>
      </w:pPr>
    </w:p>
    <w:p w:rsidR="003E6588" w:rsidRDefault="003E6588">
      <w:pPr>
        <w:ind w:firstLine="1134"/>
        <w:jc w:val="both"/>
      </w:pPr>
      <w:r>
        <w:t xml:space="preserve">A Assessoria de Projetos Especiais organizou o projeto da seguinte forma: levantamento das necessidades e dos procedimentos de cada área envolvida; mapeamento dos processos e pontos de ajustes; utilização de lições aprendidas em projetos anteriores; cronograma completo com todas as atividades envolvidas; promoção de articulações para desembaraçar assuntos mais amplos; estrutura Analítica do Projeto; </w:t>
      </w:r>
      <w:r>
        <w:rPr>
          <w:i/>
        </w:rPr>
        <w:t>site</w:t>
      </w:r>
      <w:r>
        <w:t xml:space="preserve"> do Projeto contendo informações atualizadas e disponíveis aos envolvidos oferecendo transparência ao projeto; monitoramento pelo presidente (gestor) via TV atualizada diariamente; acompanhamento dos resultados através de relatórios de acompanhamento semanal, conversas diárias e reuniões semanais com toda a equipe, incluindo a participação do Presidente, Vice-Presidente e Diretores envolvidos.</w:t>
      </w:r>
    </w:p>
    <w:p w:rsidR="003E6588" w:rsidRDefault="003E6588">
      <w:pPr>
        <w:ind w:left="357" w:firstLine="1134"/>
        <w:jc w:val="both"/>
      </w:pPr>
    </w:p>
    <w:p w:rsidR="003E6588" w:rsidRDefault="003E6588">
      <w:pPr>
        <w:ind w:firstLine="1134"/>
        <w:jc w:val="both"/>
      </w:pPr>
      <w:r>
        <w:rPr>
          <w:b/>
        </w:rPr>
        <w:t xml:space="preserve">Parque Gráfico - </w:t>
      </w:r>
      <w:r>
        <w:t xml:space="preserve">Composto de 7 impressoras </w:t>
      </w:r>
      <w:r>
        <w:rPr>
          <w:i/>
        </w:rPr>
        <w:t>offset</w:t>
      </w:r>
      <w:smartTag w:uri="urn:schemas-microsoft-com:office:smarttags" w:element="PersonName">
        <w:r>
          <w:t>,</w:t>
        </w:r>
      </w:smartTag>
      <w:r>
        <w:t xml:space="preserve"> 5 planas e 2 rotativas, 2 guilhotinas com largura de 132, 1 máquina de costura de folhas, 1 máquina perfuradora e colocadora de </w:t>
      </w:r>
      <w:r>
        <w:rPr>
          <w:i/>
        </w:rPr>
        <w:t>wire-o</w:t>
      </w:r>
      <w:r>
        <w:t>, o parque gráfico da Imprensa Oficial mantém seu histórico de modernização</w:t>
      </w:r>
      <w:r w:rsidR="00F0485F">
        <w:t>,</w:t>
      </w:r>
      <w:r>
        <w:t xml:space="preserve"> cujas principais aquisições de</w:t>
      </w:r>
      <w:r w:rsidR="00F0485F">
        <w:t>stacamos a seguir:</w:t>
      </w:r>
      <w:r>
        <w:t xml:space="preserve"> 1 Guilhotina marca Polar e 1 Alceadeira, Encapadeira e </w:t>
      </w:r>
      <w:r>
        <w:rPr>
          <w:i/>
        </w:rPr>
        <w:t>refile</w:t>
      </w:r>
      <w:r>
        <w:t xml:space="preserve"> trilateral da fabricante alemã </w:t>
      </w:r>
      <w:r>
        <w:rPr>
          <w:i/>
        </w:rPr>
        <w:t>Wohlemberg</w:t>
      </w:r>
      <w:r>
        <w:t>, com capacidade para atingir 7 mil encadernações por hora e 24 gavetas de alimentação de cadernos.</w:t>
      </w:r>
    </w:p>
    <w:p w:rsidR="003E6588" w:rsidRDefault="003E6588">
      <w:pPr>
        <w:ind w:firstLine="1134"/>
        <w:jc w:val="both"/>
      </w:pPr>
      <w:r>
        <w:lastRenderedPageBreak/>
        <w:t>Além dessas aquisições, foram realizadas as seguintes melhorias no processo produtivo:</w:t>
      </w:r>
    </w:p>
    <w:p w:rsidR="003E6588" w:rsidRDefault="003E6588">
      <w:pPr>
        <w:ind w:firstLine="1134"/>
        <w:jc w:val="both"/>
      </w:pPr>
    </w:p>
    <w:p w:rsidR="003E6588" w:rsidRDefault="00F0485F">
      <w:pPr>
        <w:ind w:firstLine="1134"/>
        <w:jc w:val="both"/>
      </w:pPr>
      <w:r>
        <w:t xml:space="preserve">Foram </w:t>
      </w:r>
      <w:r w:rsidR="003E6588">
        <w:t>adquiridos carros pantográficos para atender o acabamento gráfico, em substituição às mesas auxiliares, objetivando otimizar o manuseio e acomodação do material gráfico, possibilitando também melhor ajuste ergonômico aos empregados.</w:t>
      </w:r>
    </w:p>
    <w:p w:rsidR="003E6588" w:rsidRDefault="003E6588">
      <w:pPr>
        <w:pStyle w:val="Commarcadores"/>
      </w:pPr>
    </w:p>
    <w:p w:rsidR="003E6588" w:rsidRDefault="003E6588">
      <w:pPr>
        <w:pStyle w:val="Commarcadores"/>
      </w:pPr>
      <w:r>
        <w:t>Continuidade das reuniões diárias do Planejamento, Programação e Controle da Produção - PPCP com as áreas comercial e de produção</w:t>
      </w:r>
      <w:r w:rsidR="00F0485F">
        <w:t>,</w:t>
      </w:r>
      <w:r>
        <w:t xml:space="preserve"> para discussão da programação diária.</w:t>
      </w:r>
    </w:p>
    <w:p w:rsidR="003E6588" w:rsidRDefault="003E6588">
      <w:pPr>
        <w:ind w:firstLine="1134"/>
        <w:jc w:val="both"/>
      </w:pPr>
    </w:p>
    <w:p w:rsidR="003E6588" w:rsidRDefault="003E6588">
      <w:pPr>
        <w:pStyle w:val="Commarcadores"/>
      </w:pPr>
      <w:r>
        <w:t xml:space="preserve">O Planejamento, Programação e Controle da Produção - PPCP, responsável pelas etapas entre a área comercial e produção, tem à sua disposição eficiente programa da empresa </w:t>
      </w:r>
      <w:r>
        <w:rPr>
          <w:i/>
        </w:rPr>
        <w:t>Metrics</w:t>
      </w:r>
      <w:r>
        <w:t>/EFI</w:t>
      </w:r>
      <w:r w:rsidR="00F0485F">
        <w:t>,</w:t>
      </w:r>
      <w:r>
        <w:t xml:space="preserve"> para acompanhamento do apontamento e andamento dos trabalhos pelas etapas do processo produtivo.</w:t>
      </w:r>
    </w:p>
    <w:p w:rsidR="003E6588" w:rsidRDefault="003E6588">
      <w:pPr>
        <w:ind w:firstLine="1134"/>
        <w:jc w:val="both"/>
      </w:pPr>
    </w:p>
    <w:p w:rsidR="003E6588" w:rsidRDefault="003E6588">
      <w:pPr>
        <w:pStyle w:val="Commarcadores"/>
      </w:pPr>
      <w:r>
        <w:t>Aumento do número de laminações realizadas na Imprensa Oficial</w:t>
      </w:r>
      <w:r w:rsidR="00F0485F">
        <w:t>,</w:t>
      </w:r>
      <w:r>
        <w:t xml:space="preserve"> visando diminuir o trabalho enviado para terceiros</w:t>
      </w:r>
      <w:smartTag w:uri="urn:schemas-microsoft-com:office:smarttags" w:element="PersonName">
        <w:r>
          <w:t>,</w:t>
        </w:r>
      </w:smartTag>
      <w:r>
        <w:t xml:space="preserve"> aproveitando melhor nossos equipamentos e mão</w:t>
      </w:r>
      <w:r w:rsidR="00F0485F">
        <w:t>-</w:t>
      </w:r>
      <w:r>
        <w:t>de</w:t>
      </w:r>
      <w:r w:rsidR="00F0485F">
        <w:t>-</w:t>
      </w:r>
      <w:r>
        <w:t>obra disponíveis.</w:t>
      </w:r>
    </w:p>
    <w:p w:rsidR="003E6588" w:rsidRDefault="003E6588">
      <w:pPr>
        <w:pStyle w:val="Commarcadores"/>
      </w:pPr>
    </w:p>
    <w:p w:rsidR="003E6588" w:rsidRDefault="003E6588">
      <w:pPr>
        <w:pStyle w:val="Commarcadores"/>
      </w:pPr>
      <w:r>
        <w:t>Para os serviços de menores tiragens e urgentes, contamos com linha de acabamento digital</w:t>
      </w:r>
      <w:r w:rsidR="00F0485F">
        <w:t>,</w:t>
      </w:r>
      <w:r>
        <w:t xml:space="preserve"> com 2 encadernadoras de livros</w:t>
      </w:r>
      <w:smartTag w:uri="urn:schemas-microsoft-com:office:smarttags" w:element="PersonName">
        <w:r>
          <w:t>,</w:t>
        </w:r>
      </w:smartTag>
      <w:r>
        <w:t xml:space="preserve"> 1 máquina de </w:t>
      </w:r>
      <w:r>
        <w:rPr>
          <w:i/>
        </w:rPr>
        <w:t>wire-o</w:t>
      </w:r>
      <w:smartTag w:uri="urn:schemas-microsoft-com:office:smarttags" w:element="PersonName">
        <w:r>
          <w:t>,</w:t>
        </w:r>
      </w:smartTag>
      <w:r>
        <w:t xml:space="preserve"> 1 grampeadeira e 1 seladora e 1 máquina de costura de livros.</w:t>
      </w:r>
    </w:p>
    <w:p w:rsidR="003E6588" w:rsidRDefault="003E6588">
      <w:pPr>
        <w:pStyle w:val="Commarcadores"/>
      </w:pPr>
    </w:p>
    <w:p w:rsidR="003E6588" w:rsidRDefault="003E6588">
      <w:pPr>
        <w:pStyle w:val="Commarcadores"/>
      </w:pPr>
      <w:r>
        <w:t>Acompanhamento do controle de perdas de chapas e papéis, adequação dos formatos existentes por formatos apropriados para redução de custos, além dos controles das metas de redução de ajustes de máquinas de impressão e acabamento.</w:t>
      </w:r>
    </w:p>
    <w:p w:rsidR="003E6588" w:rsidRDefault="003E6588">
      <w:pPr>
        <w:ind w:firstLine="1134"/>
        <w:jc w:val="both"/>
      </w:pPr>
    </w:p>
    <w:p w:rsidR="003E6588" w:rsidRDefault="003E6588">
      <w:pPr>
        <w:pStyle w:val="Commarcadores"/>
      </w:pPr>
      <w:r>
        <w:t xml:space="preserve">Acompanhamento do gerenciamento de cores implantado nas 2 impressoras planas de 5 cores, onde houve redução no tempo de acerto, </w:t>
      </w:r>
      <w:r w:rsidR="00F0485F">
        <w:t>e</w:t>
      </w:r>
      <w:r>
        <w:t xml:space="preserve"> como fidelização das cores dos impressos, conforme necessidade dos clientes.</w:t>
      </w:r>
    </w:p>
    <w:p w:rsidR="003E6588" w:rsidRDefault="003E6588">
      <w:pPr>
        <w:pStyle w:val="PargrafodaLista"/>
        <w:ind w:left="0" w:firstLine="1134"/>
        <w:rPr>
          <w:rFonts w:ascii="Times New Roman" w:hAnsi="Times New Roman"/>
          <w:sz w:val="24"/>
          <w:szCs w:val="24"/>
        </w:rPr>
      </w:pPr>
    </w:p>
    <w:p w:rsidR="003E6588" w:rsidRDefault="003E6588">
      <w:pPr>
        <w:ind w:firstLine="1134"/>
        <w:jc w:val="both"/>
      </w:pPr>
      <w:r>
        <w:t xml:space="preserve">Integração do sistema de produção </w:t>
      </w:r>
      <w:r>
        <w:rPr>
          <w:i/>
        </w:rPr>
        <w:t>Metrics</w:t>
      </w:r>
      <w:r>
        <w:t xml:space="preserve"> com o </w:t>
      </w:r>
      <w:r>
        <w:rPr>
          <w:i/>
        </w:rPr>
        <w:t>Worflow</w:t>
      </w:r>
      <w:r>
        <w:t xml:space="preserve"> da Pré-mídia </w:t>
      </w:r>
      <w:r>
        <w:rPr>
          <w:i/>
        </w:rPr>
        <w:t>Apogee</w:t>
      </w:r>
      <w:r>
        <w:t xml:space="preserve"> na sua versão 8, dando agilidade durante o processo </w:t>
      </w:r>
      <w:r w:rsidR="00F0485F">
        <w:t xml:space="preserve">e </w:t>
      </w:r>
      <w:r>
        <w:t>maior segurança aos trabalhos realizados pela pré-mídia</w:t>
      </w:r>
      <w:r w:rsidR="00F0485F">
        <w:t>,</w:t>
      </w:r>
      <w:r>
        <w:t xml:space="preserve"> desde a entrada do arquivo até a imposição para cópia de chapas.</w:t>
      </w:r>
    </w:p>
    <w:p w:rsidR="003E6588" w:rsidRDefault="003E6588">
      <w:pPr>
        <w:ind w:firstLine="1134"/>
        <w:jc w:val="both"/>
      </w:pPr>
    </w:p>
    <w:p w:rsidR="003E6588" w:rsidRDefault="003E6588">
      <w:pPr>
        <w:ind w:firstLine="1134"/>
        <w:jc w:val="both"/>
        <w:rPr>
          <w:b/>
        </w:rPr>
      </w:pPr>
      <w:r>
        <w:rPr>
          <w:b/>
        </w:rPr>
        <w:t>Tecnologia da Informação</w:t>
      </w:r>
    </w:p>
    <w:p w:rsidR="003E6588" w:rsidRDefault="003E6588">
      <w:pPr>
        <w:ind w:firstLine="1134"/>
        <w:jc w:val="both"/>
        <w:rPr>
          <w:b/>
        </w:rPr>
      </w:pPr>
    </w:p>
    <w:p w:rsidR="003E6588" w:rsidRDefault="003E6588">
      <w:pPr>
        <w:ind w:firstLine="1134"/>
        <w:jc w:val="both"/>
      </w:pPr>
      <w:r>
        <w:rPr>
          <w:b/>
        </w:rPr>
        <w:t xml:space="preserve">Melhorias e Inovações - </w:t>
      </w:r>
      <w:r>
        <w:t>Tendo como missão viabilizar ações estratégicas do Governo e garantir o acesso democrático às informações, a Imprensa Oficial incorporou os avanços tecnológicos e do conhecimento considerados imprescindíveis para melhoria dos seus produtos e serviços, que são representados nas seguintes ações:</w:t>
      </w:r>
    </w:p>
    <w:p w:rsidR="003E6588" w:rsidRDefault="003E6588">
      <w:pPr>
        <w:ind w:firstLine="1134"/>
        <w:jc w:val="both"/>
      </w:pPr>
    </w:p>
    <w:p w:rsidR="003E6588" w:rsidRDefault="003E6588">
      <w:pPr>
        <w:ind w:firstLine="1134"/>
        <w:jc w:val="both"/>
        <w:rPr>
          <w:b/>
        </w:rPr>
      </w:pPr>
      <w:r>
        <w:rPr>
          <w:b/>
        </w:rPr>
        <w:t>Rede de Comunicação e Suporte Técnico</w:t>
      </w:r>
    </w:p>
    <w:p w:rsidR="003E6588" w:rsidRDefault="003E6588">
      <w:pPr>
        <w:ind w:firstLine="1134"/>
        <w:jc w:val="both"/>
        <w:rPr>
          <w:b/>
          <w:u w:val="single"/>
        </w:rPr>
      </w:pPr>
    </w:p>
    <w:p w:rsidR="003E6588" w:rsidRDefault="003E6588">
      <w:pPr>
        <w:ind w:firstLine="1134"/>
        <w:jc w:val="both"/>
        <w:rPr>
          <w:color w:val="000000"/>
        </w:rPr>
      </w:pPr>
      <w:r>
        <w:rPr>
          <w:b/>
          <w:bCs/>
          <w:color w:val="000000"/>
        </w:rPr>
        <w:t xml:space="preserve">Promoção da infraestrutura para o projeto de ERP - </w:t>
      </w:r>
      <w:r>
        <w:rPr>
          <w:color w:val="000000"/>
        </w:rPr>
        <w:t>Foram disponibilizados recursos de infraestrutura de servidores virtualizados e área de armazenamento.</w:t>
      </w:r>
    </w:p>
    <w:p w:rsidR="003E6588" w:rsidRDefault="003E6588">
      <w:pPr>
        <w:ind w:firstLine="1134"/>
        <w:jc w:val="both"/>
        <w:rPr>
          <w:color w:val="000000"/>
        </w:rPr>
      </w:pPr>
      <w:r>
        <w:rPr>
          <w:b/>
          <w:bCs/>
          <w:color w:val="000000"/>
        </w:rPr>
        <w:lastRenderedPageBreak/>
        <w:t xml:space="preserve">Promoção da infraestrutura para novos projetos de hospedagem - </w:t>
      </w:r>
      <w:r>
        <w:rPr>
          <w:color w:val="000000"/>
        </w:rPr>
        <w:t>Foram feitas aquisições de novos servidores para melhorar a capacidade de processamento dos serviços da SPPREV e ampliação de área de armazenamento de dados. Foram disponibilizado recursos de infraestrutura virtual e armazenamento para o projeto UNIVESP e JUCESP.</w:t>
      </w:r>
    </w:p>
    <w:p w:rsidR="003E6588" w:rsidRDefault="003E6588">
      <w:pPr>
        <w:ind w:firstLine="1134"/>
        <w:jc w:val="both"/>
        <w:rPr>
          <w:b/>
          <w:bCs/>
          <w:color w:val="000000"/>
        </w:rPr>
      </w:pPr>
    </w:p>
    <w:p w:rsidR="003E6588" w:rsidRDefault="003E6588">
      <w:pPr>
        <w:ind w:firstLine="1134"/>
        <w:jc w:val="both"/>
        <w:rPr>
          <w:color w:val="000000"/>
        </w:rPr>
      </w:pPr>
      <w:r>
        <w:rPr>
          <w:b/>
          <w:bCs/>
          <w:color w:val="000000"/>
        </w:rPr>
        <w:t xml:space="preserve">Promoção da infraestrutura para novos projetos de desmaterização de procesos e documentos - </w:t>
      </w:r>
      <w:r>
        <w:rPr>
          <w:color w:val="000000"/>
        </w:rPr>
        <w:t>Foram disponibilizados recursos de infraestrutura de servidores virtualizados e área de armazenamento para o projeto JUCESP e SPPREV.</w:t>
      </w:r>
    </w:p>
    <w:p w:rsidR="00F0485F" w:rsidRDefault="00F0485F">
      <w:pPr>
        <w:ind w:firstLine="1134"/>
        <w:jc w:val="both"/>
        <w:rPr>
          <w:color w:val="000000"/>
        </w:rPr>
      </w:pPr>
    </w:p>
    <w:p w:rsidR="003E6588" w:rsidRDefault="003E6588">
      <w:pPr>
        <w:ind w:firstLine="1134"/>
        <w:jc w:val="both"/>
        <w:rPr>
          <w:b/>
          <w:bCs/>
          <w:i/>
          <w:color w:val="000000"/>
        </w:rPr>
      </w:pPr>
      <w:r>
        <w:rPr>
          <w:b/>
          <w:bCs/>
          <w:i/>
          <w:color w:val="000000"/>
        </w:rPr>
        <w:t>Help Desk</w:t>
      </w:r>
    </w:p>
    <w:p w:rsidR="003E6588" w:rsidRDefault="003E6588">
      <w:pPr>
        <w:ind w:firstLine="1134"/>
        <w:jc w:val="both"/>
        <w:rPr>
          <w:b/>
          <w:bCs/>
          <w:color w:val="000000"/>
          <w:u w:val="single"/>
        </w:rPr>
      </w:pPr>
    </w:p>
    <w:p w:rsidR="003E6588" w:rsidRDefault="003E6588">
      <w:pPr>
        <w:ind w:firstLine="1134"/>
        <w:jc w:val="both"/>
        <w:rPr>
          <w:color w:val="000000"/>
        </w:rPr>
      </w:pPr>
      <w:r>
        <w:rPr>
          <w:b/>
          <w:bCs/>
          <w:color w:val="000000"/>
        </w:rPr>
        <w:t xml:space="preserve">Adequação do processo de atendimento de chamados e reestruturação da ferramenta SOL (Suporte </w:t>
      </w:r>
      <w:r>
        <w:rPr>
          <w:b/>
          <w:bCs/>
          <w:i/>
          <w:color w:val="000000"/>
        </w:rPr>
        <w:t>On line</w:t>
      </w:r>
      <w:r>
        <w:rPr>
          <w:b/>
          <w:bCs/>
          <w:color w:val="000000"/>
        </w:rPr>
        <w:t xml:space="preserve">) - </w:t>
      </w:r>
      <w:r>
        <w:rPr>
          <w:color w:val="000000"/>
        </w:rPr>
        <w:t>Adequamos o fluxo de atendimento, sobretudo para os chamados que representam novo serviço ou disponibilização de ativos, exigindo participação ativa da área solicitante. Isso permitiu o refinamento do tempo necessário à solução dos chamados. Foram implementadas alterações no sistema SOL</w:t>
      </w:r>
      <w:r w:rsidR="00F0485F">
        <w:rPr>
          <w:color w:val="000000"/>
        </w:rPr>
        <w:t>,</w:t>
      </w:r>
      <w:r>
        <w:rPr>
          <w:color w:val="000000"/>
        </w:rPr>
        <w:t xml:space="preserve"> de forma a permitir a adequação desse novo fluxo de trabalho.</w:t>
      </w:r>
    </w:p>
    <w:p w:rsidR="003E6588" w:rsidRDefault="003E6588">
      <w:pPr>
        <w:ind w:firstLine="1134"/>
        <w:jc w:val="both"/>
        <w:rPr>
          <w:color w:val="000000"/>
        </w:rPr>
      </w:pPr>
    </w:p>
    <w:p w:rsidR="003E6588" w:rsidRDefault="003E6588">
      <w:pPr>
        <w:ind w:firstLine="1134"/>
        <w:jc w:val="both"/>
        <w:rPr>
          <w:color w:val="000000"/>
        </w:rPr>
      </w:pPr>
      <w:r>
        <w:rPr>
          <w:b/>
          <w:bCs/>
          <w:color w:val="000000"/>
        </w:rPr>
        <w:t xml:space="preserve">Implementação de módulo de controle de ativos de TI - </w:t>
      </w:r>
      <w:r>
        <w:rPr>
          <w:color w:val="000000"/>
        </w:rPr>
        <w:t xml:space="preserve">Desenvolvimento e implementação de módulo específico para a gestão de ativos de tecnologia no sistema SOL </w:t>
      </w:r>
      <w:smartTag w:uri="urn:schemas-microsoft-com:office:smarttags" w:element="PersonName">
        <w:smartTagPr>
          <w:attr w:name="ProductID" w:val="em arquitetura Win"/>
        </w:smartTagPr>
        <w:r>
          <w:rPr>
            <w:color w:val="000000"/>
          </w:rPr>
          <w:t>em arquitetura Win</w:t>
        </w:r>
      </w:smartTag>
      <w:r>
        <w:rPr>
          <w:color w:val="000000"/>
        </w:rPr>
        <w:t>32. Essa implementação possibilitará associarmos os chamado técnicos diretamente ao ativos e identificar ativos críticos no parque ou condições do ambiente tecnológico que ocasionem os problemas.</w:t>
      </w:r>
    </w:p>
    <w:p w:rsidR="002244A6" w:rsidRDefault="002244A6">
      <w:pPr>
        <w:ind w:firstLine="1134"/>
        <w:jc w:val="both"/>
        <w:rPr>
          <w:color w:val="000000"/>
        </w:rPr>
      </w:pPr>
    </w:p>
    <w:p w:rsidR="003E6588" w:rsidRDefault="003E6588">
      <w:pPr>
        <w:ind w:firstLine="1134"/>
        <w:jc w:val="both"/>
        <w:rPr>
          <w:b/>
          <w:bCs/>
          <w:i/>
          <w:color w:val="000000"/>
        </w:rPr>
      </w:pPr>
      <w:r>
        <w:rPr>
          <w:b/>
          <w:bCs/>
          <w:color w:val="000000"/>
        </w:rPr>
        <w:t xml:space="preserve">Sistemas </w:t>
      </w:r>
      <w:r>
        <w:rPr>
          <w:b/>
          <w:bCs/>
          <w:i/>
          <w:color w:val="000000"/>
        </w:rPr>
        <w:t>Web</w:t>
      </w:r>
    </w:p>
    <w:p w:rsidR="003E6588" w:rsidRDefault="003E6588">
      <w:pPr>
        <w:ind w:firstLine="1134"/>
        <w:jc w:val="both"/>
        <w:rPr>
          <w:b/>
          <w:bCs/>
          <w:color w:val="000000"/>
        </w:rPr>
      </w:pPr>
    </w:p>
    <w:p w:rsidR="003E6588" w:rsidRDefault="003E6588">
      <w:pPr>
        <w:ind w:firstLine="1134"/>
        <w:jc w:val="both"/>
        <w:rPr>
          <w:color w:val="000000"/>
        </w:rPr>
      </w:pPr>
      <w:r>
        <w:rPr>
          <w:b/>
          <w:bCs/>
          <w:color w:val="000000"/>
        </w:rPr>
        <w:t>Manutenção da Central de Clientes e Fornecedores - CDCF -</w:t>
      </w:r>
      <w:r>
        <w:rPr>
          <w:color w:val="000000"/>
        </w:rPr>
        <w:t xml:space="preserve"> Central de integração de dados e autenticação de clientes e fornecedores, que permite a sincronização do cadastro de clientes e fornecedores entre os diversos sistemas existentes na IMESP.</w:t>
      </w:r>
    </w:p>
    <w:p w:rsidR="003E6588" w:rsidRDefault="003E6588">
      <w:pPr>
        <w:ind w:firstLine="1134"/>
        <w:jc w:val="both"/>
        <w:rPr>
          <w:color w:val="000000"/>
        </w:rPr>
      </w:pPr>
    </w:p>
    <w:p w:rsidR="003E6588" w:rsidRDefault="003E6588">
      <w:pPr>
        <w:ind w:firstLine="1134"/>
        <w:jc w:val="both"/>
        <w:rPr>
          <w:color w:val="000000"/>
        </w:rPr>
      </w:pPr>
      <w:r>
        <w:rPr>
          <w:b/>
          <w:bCs/>
          <w:color w:val="000000"/>
        </w:rPr>
        <w:t>Manutenção da Central de Pagamentos -</w:t>
      </w:r>
      <w:r>
        <w:rPr>
          <w:color w:val="000000"/>
        </w:rPr>
        <w:t xml:space="preserve"> Central de integração de dados de pagamentos entre nossas Lojas Virtuais, Operadoras de Cartão de Crédito e o Sistema Corporativo Financeiro da Imprensa Oficial.</w:t>
      </w:r>
    </w:p>
    <w:p w:rsidR="003E6588" w:rsidRDefault="003E6588">
      <w:pPr>
        <w:ind w:firstLine="1134"/>
        <w:jc w:val="both"/>
        <w:rPr>
          <w:color w:val="000000"/>
        </w:rPr>
      </w:pPr>
    </w:p>
    <w:p w:rsidR="003E6588" w:rsidRDefault="003E6588">
      <w:pPr>
        <w:ind w:firstLine="1134"/>
        <w:jc w:val="both"/>
        <w:rPr>
          <w:color w:val="000000"/>
        </w:rPr>
      </w:pPr>
      <w:r>
        <w:rPr>
          <w:b/>
          <w:bCs/>
          <w:color w:val="000000"/>
        </w:rPr>
        <w:t xml:space="preserve">Implantação de melhorias no sistema de captação de matérias PUBNET - </w:t>
      </w:r>
      <w:r>
        <w:rPr>
          <w:color w:val="000000"/>
        </w:rPr>
        <w:t>Foram disponibilizadas diversas melhorias no sistema de captação de matérias</w:t>
      </w:r>
      <w:r w:rsidR="00F0485F">
        <w:rPr>
          <w:color w:val="000000"/>
        </w:rPr>
        <w:t>,</w:t>
      </w:r>
      <w:r>
        <w:rPr>
          <w:color w:val="000000"/>
        </w:rPr>
        <w:t xml:space="preserve"> como a criação de modalidades para envio de matérias e aprimoramento de </w:t>
      </w:r>
      <w:r>
        <w:rPr>
          <w:i/>
          <w:color w:val="000000"/>
        </w:rPr>
        <w:t>WebService</w:t>
      </w:r>
      <w:r w:rsidR="00F0485F">
        <w:rPr>
          <w:i/>
          <w:color w:val="000000"/>
        </w:rPr>
        <w:t>,</w:t>
      </w:r>
      <w:r>
        <w:rPr>
          <w:color w:val="000000"/>
        </w:rPr>
        <w:t xml:space="preserve"> para retornar estrutura de caderno, espelho, retranca e tipo de matéria para uso da Prefeitura de São Paulo. </w:t>
      </w:r>
      <w:r w:rsidR="00F0485F">
        <w:rPr>
          <w:color w:val="000000"/>
        </w:rPr>
        <w:t xml:space="preserve">Foi </w:t>
      </w:r>
      <w:r>
        <w:rPr>
          <w:color w:val="000000"/>
        </w:rPr>
        <w:t>entregue recurso para permitir ação de contigência</w:t>
      </w:r>
      <w:r w:rsidR="00F0485F">
        <w:rPr>
          <w:color w:val="000000"/>
        </w:rPr>
        <w:t>,</w:t>
      </w:r>
      <w:r>
        <w:rPr>
          <w:color w:val="000000"/>
        </w:rPr>
        <w:t xml:space="preserve"> para gerar lote de matérias a serem trabalhadas pela diagramação do Diário Oficial e sua posterior publicação.</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Melhoria no Serviço para permitir agendamento </w:t>
      </w:r>
      <w:r>
        <w:rPr>
          <w:b/>
          <w:i/>
          <w:color w:val="000000"/>
        </w:rPr>
        <w:t>on line</w:t>
      </w:r>
      <w:r>
        <w:rPr>
          <w:b/>
          <w:color w:val="000000"/>
        </w:rPr>
        <w:t xml:space="preserve"> para obtenção de certificado digital -</w:t>
      </w:r>
      <w:r>
        <w:rPr>
          <w:color w:val="000000"/>
        </w:rPr>
        <w:t xml:space="preserve"> </w:t>
      </w:r>
      <w:r w:rsidR="0070180E">
        <w:rPr>
          <w:color w:val="000000"/>
        </w:rPr>
        <w:t xml:space="preserve">Serviço </w:t>
      </w:r>
      <w:r>
        <w:rPr>
          <w:color w:val="000000"/>
        </w:rPr>
        <w:t>em uso pela Secretaria da Fazenda</w:t>
      </w:r>
      <w:r w:rsidR="0070180E">
        <w:rPr>
          <w:color w:val="000000"/>
        </w:rPr>
        <w:t>,</w:t>
      </w:r>
      <w:r>
        <w:rPr>
          <w:color w:val="000000"/>
        </w:rPr>
        <w:t xml:space="preserve"> para que seus colaboradores possam obter crachás </w:t>
      </w:r>
      <w:r>
        <w:rPr>
          <w:color w:val="000000"/>
        </w:rPr>
        <w:lastRenderedPageBreak/>
        <w:t xml:space="preserve">funcionais acompanhados do certificado digital e </w:t>
      </w:r>
      <w:r w:rsidR="0070180E">
        <w:rPr>
          <w:color w:val="000000"/>
        </w:rPr>
        <w:t xml:space="preserve">o órgão possa </w:t>
      </w:r>
      <w:r>
        <w:rPr>
          <w:color w:val="000000"/>
        </w:rPr>
        <w:t>consultar relação de certificados que foram emitidos, que venceram/vencerão e que foram revogados.</w:t>
      </w:r>
    </w:p>
    <w:p w:rsidR="003E6588" w:rsidRDefault="003E6588">
      <w:pPr>
        <w:ind w:firstLine="1134"/>
        <w:jc w:val="both"/>
        <w:rPr>
          <w:color w:val="000000"/>
        </w:rPr>
      </w:pPr>
    </w:p>
    <w:p w:rsidR="003E6588" w:rsidRDefault="003E6588">
      <w:pPr>
        <w:ind w:firstLine="1134"/>
        <w:jc w:val="both"/>
        <w:rPr>
          <w:color w:val="000000"/>
        </w:rPr>
      </w:pPr>
      <w:r>
        <w:rPr>
          <w:b/>
          <w:color w:val="000000"/>
        </w:rPr>
        <w:t>Evoluções no Sistema de Gestão de Demandas -</w:t>
      </w:r>
      <w:r>
        <w:rPr>
          <w:color w:val="000000"/>
        </w:rPr>
        <w:t xml:space="preserve"> Controla as demandas de emissão de certificados digitais, tendo como principal cliente o Tribunal de Justiça do Estado de São Paulo que</w:t>
      </w:r>
      <w:r w:rsidR="0070180E">
        <w:rPr>
          <w:color w:val="000000"/>
        </w:rPr>
        <w:t>,</w:t>
      </w:r>
      <w:r>
        <w:rPr>
          <w:color w:val="000000"/>
        </w:rPr>
        <w:t xml:space="preserve"> durante seu processo de modernização</w:t>
      </w:r>
      <w:r w:rsidR="0070180E">
        <w:rPr>
          <w:color w:val="000000"/>
        </w:rPr>
        <w:t>,</w:t>
      </w:r>
      <w:r>
        <w:rPr>
          <w:color w:val="000000"/>
        </w:rPr>
        <w:t xml:space="preserve"> vem estimulando o uso da certificação digital internamente.</w:t>
      </w:r>
    </w:p>
    <w:p w:rsidR="003E6588" w:rsidRDefault="003E6588">
      <w:pPr>
        <w:ind w:firstLine="1134"/>
        <w:jc w:val="both"/>
        <w:rPr>
          <w:color w:val="000000"/>
        </w:rPr>
      </w:pPr>
    </w:p>
    <w:p w:rsidR="003E6588" w:rsidRDefault="003E6588">
      <w:pPr>
        <w:ind w:firstLine="1134"/>
        <w:jc w:val="both"/>
        <w:rPr>
          <w:color w:val="000000"/>
        </w:rPr>
      </w:pPr>
      <w:r>
        <w:rPr>
          <w:b/>
          <w:color w:val="000000"/>
        </w:rPr>
        <w:t>Consulta a Suplementos do Diário Oficial -</w:t>
      </w:r>
      <w:r>
        <w:rPr>
          <w:color w:val="000000"/>
        </w:rPr>
        <w:t xml:space="preserve"> Foram disponibilizadas consultas estuturadas para localizar com mais facilidade e precisão conteúdo publicado no caderno Suplementos do Diário Oficial de São Paulo. Os principais publicantes foram Secretaria da Fazenda e Secretaria da Educação.</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Desenvolvimento de integração entre sistemas utilizando essencialmente </w:t>
      </w:r>
      <w:r>
        <w:rPr>
          <w:b/>
          <w:i/>
          <w:color w:val="000000"/>
        </w:rPr>
        <w:t>WebServices</w:t>
      </w:r>
      <w:r>
        <w:rPr>
          <w:b/>
          <w:color w:val="000000"/>
        </w:rPr>
        <w:t xml:space="preserve"> -</w:t>
      </w:r>
      <w:r>
        <w:rPr>
          <w:color w:val="000000"/>
        </w:rPr>
        <w:t xml:space="preserve"> Integração entre sistemas desenvolvi</w:t>
      </w:r>
      <w:r w:rsidR="0070180E">
        <w:rPr>
          <w:color w:val="000000"/>
        </w:rPr>
        <w:t>d</w:t>
      </w:r>
      <w:r>
        <w:rPr>
          <w:color w:val="000000"/>
        </w:rPr>
        <w:t>os internamente, tais como Central de Clientes e Fornecedores, Pubnet, Sistema de Gestão de Demandas, JucespOnLine</w:t>
      </w:r>
      <w:r w:rsidR="0070180E">
        <w:rPr>
          <w:color w:val="000000"/>
        </w:rPr>
        <w:t>,</w:t>
      </w:r>
      <w:r>
        <w:rPr>
          <w:color w:val="000000"/>
        </w:rPr>
        <w:t xml:space="preserve"> e sistemas de empresas terceiras, tais como Sistemas Corporativos Administrativo, Financeiro, Comercial, de Recursos Humanos, Sistema de Gestão Eletrônica de Documentos e Sistema de Provedor de Serviços de Suporte </w:t>
      </w:r>
      <w:smartTag w:uri="urn:schemas-microsoft-com:office:smarttags" w:element="PersonName">
        <w:smartTagPr>
          <w:attr w:name="ProductID" w:val="em Certifica￧￣o Digital."/>
        </w:smartTagPr>
        <w:r>
          <w:rPr>
            <w:color w:val="000000"/>
          </w:rPr>
          <w:t>em Certificação Digital.</w:t>
        </w:r>
      </w:smartTag>
    </w:p>
    <w:p w:rsidR="003E6588" w:rsidRDefault="003E6588">
      <w:pPr>
        <w:ind w:firstLine="1134"/>
        <w:jc w:val="both"/>
        <w:rPr>
          <w:color w:val="000000"/>
        </w:rPr>
      </w:pPr>
    </w:p>
    <w:p w:rsidR="003E6588" w:rsidRDefault="003E6588">
      <w:pPr>
        <w:ind w:firstLine="1134"/>
        <w:jc w:val="both"/>
        <w:rPr>
          <w:color w:val="000000"/>
        </w:rPr>
      </w:pPr>
      <w:r>
        <w:rPr>
          <w:b/>
          <w:color w:val="000000"/>
        </w:rPr>
        <w:t>Apoio na confecção de memorial descritivo para contratação de serviço de monitoramento de mídia e auditoria de imagem -</w:t>
      </w:r>
      <w:r>
        <w:rPr>
          <w:color w:val="000000"/>
        </w:rPr>
        <w:t xml:space="preserve"> Serviço de busca e de acompanhamento diário de matérias jornalísticas veiculadas em diversas mídias (rádio, TV, jornal, </w:t>
      </w:r>
      <w:r>
        <w:rPr>
          <w:i/>
          <w:color w:val="000000"/>
        </w:rPr>
        <w:t>internet</w:t>
      </w:r>
      <w:r>
        <w:rPr>
          <w:color w:val="000000"/>
        </w:rPr>
        <w:t>)</w:t>
      </w:r>
      <w:r w:rsidR="0070180E">
        <w:rPr>
          <w:color w:val="000000"/>
        </w:rPr>
        <w:t>,</w:t>
      </w:r>
      <w:r>
        <w:rPr>
          <w:color w:val="000000"/>
        </w:rPr>
        <w:t xml:space="preserve"> que permite fazer pesquisas sobre conteúdos específicos.</w:t>
      </w:r>
    </w:p>
    <w:p w:rsidR="003E6588" w:rsidRDefault="003E6588">
      <w:pPr>
        <w:pStyle w:val="PargrafodaLista10"/>
        <w:spacing w:after="0" w:line="240" w:lineRule="auto"/>
        <w:ind w:left="0" w:firstLine="1134"/>
        <w:jc w:val="both"/>
        <w:rPr>
          <w:rFonts w:ascii="Times New Roman" w:hAnsi="Times New Roman"/>
          <w:color w:val="000000"/>
          <w:sz w:val="24"/>
          <w:szCs w:val="24"/>
        </w:rPr>
      </w:pPr>
    </w:p>
    <w:p w:rsidR="003E6588" w:rsidRDefault="003E6588">
      <w:pPr>
        <w:ind w:firstLine="1134"/>
        <w:jc w:val="both"/>
        <w:rPr>
          <w:color w:val="000000"/>
        </w:rPr>
      </w:pPr>
      <w:r>
        <w:rPr>
          <w:b/>
          <w:color w:val="000000"/>
        </w:rPr>
        <w:t xml:space="preserve">Manutenção do </w:t>
      </w:r>
      <w:r>
        <w:rPr>
          <w:b/>
          <w:i/>
          <w:color w:val="000000"/>
        </w:rPr>
        <w:t>iClipping</w:t>
      </w:r>
      <w:r>
        <w:rPr>
          <w:b/>
          <w:color w:val="000000"/>
        </w:rPr>
        <w:t xml:space="preserve"> e da LojaIO -</w:t>
      </w:r>
      <w:r>
        <w:rPr>
          <w:color w:val="000000"/>
        </w:rPr>
        <w:t xml:space="preserve"> A LojaIO permite realização do </w:t>
      </w:r>
      <w:r>
        <w:rPr>
          <w:i/>
          <w:color w:val="000000"/>
        </w:rPr>
        <w:t>download</w:t>
      </w:r>
      <w:r>
        <w:rPr>
          <w:color w:val="000000"/>
        </w:rPr>
        <w:t xml:space="preserve"> e instalação do aplicativo que oferece consulta ao </w:t>
      </w:r>
      <w:r>
        <w:rPr>
          <w:i/>
          <w:color w:val="000000"/>
        </w:rPr>
        <w:t>clipping</w:t>
      </w:r>
      <w:r>
        <w:rPr>
          <w:color w:val="000000"/>
        </w:rPr>
        <w:t xml:space="preserve"> de notícias da Imprensa Oficial pelo </w:t>
      </w:r>
      <w:r>
        <w:rPr>
          <w:i/>
          <w:color w:val="000000"/>
        </w:rPr>
        <w:t>iPad.</w:t>
      </w:r>
      <w:r>
        <w:rPr>
          <w:color w:val="000000"/>
        </w:rPr>
        <w:t xml:space="preserve"> Ao </w:t>
      </w:r>
      <w:r>
        <w:rPr>
          <w:i/>
          <w:color w:val="000000"/>
        </w:rPr>
        <w:t xml:space="preserve">iClipping </w:t>
      </w:r>
      <w:r>
        <w:rPr>
          <w:color w:val="000000"/>
        </w:rPr>
        <w:t>foi vinculada pesquisa para receb</w:t>
      </w:r>
      <w:r w:rsidR="0070180E">
        <w:rPr>
          <w:color w:val="000000"/>
        </w:rPr>
        <w:t>i</w:t>
      </w:r>
      <w:r>
        <w:rPr>
          <w:color w:val="000000"/>
        </w:rPr>
        <w:t>m</w:t>
      </w:r>
      <w:r w:rsidR="0070180E">
        <w:rPr>
          <w:color w:val="000000"/>
        </w:rPr>
        <w:t>ent</w:t>
      </w:r>
      <w:r>
        <w:rPr>
          <w:color w:val="000000"/>
        </w:rPr>
        <w:t>o</w:t>
      </w:r>
      <w:r w:rsidR="0070180E">
        <w:rPr>
          <w:color w:val="000000"/>
        </w:rPr>
        <w:t xml:space="preserve"> de</w:t>
      </w:r>
      <w:r>
        <w:rPr>
          <w:color w:val="000000"/>
        </w:rPr>
        <w:t xml:space="preserve"> retorno da satisfação de clientes a respeito deste produto.</w:t>
      </w:r>
    </w:p>
    <w:p w:rsidR="003E6588" w:rsidRDefault="003E6588">
      <w:pPr>
        <w:ind w:firstLine="1134"/>
        <w:jc w:val="both"/>
        <w:rPr>
          <w:color w:val="000000"/>
        </w:rPr>
      </w:pPr>
    </w:p>
    <w:p w:rsidR="003E6588" w:rsidRDefault="003E6588">
      <w:pPr>
        <w:ind w:firstLine="1134"/>
        <w:jc w:val="both"/>
        <w:rPr>
          <w:color w:val="000000"/>
        </w:rPr>
      </w:pPr>
      <w:r w:rsidRPr="0070180E">
        <w:rPr>
          <w:b/>
          <w:color w:val="000000"/>
        </w:rPr>
        <w:t>Divulgação dos balanços do ano de 2013 das Empresas Públicas de São Paulo -</w:t>
      </w:r>
      <w:r w:rsidRPr="0070180E">
        <w:rPr>
          <w:color w:val="000000"/>
        </w:rPr>
        <w:t xml:space="preserve"> O </w:t>
      </w:r>
      <w:r w:rsidRPr="0070180E">
        <w:rPr>
          <w:i/>
          <w:color w:val="000000"/>
        </w:rPr>
        <w:t>site</w:t>
      </w:r>
      <w:r w:rsidRPr="0070180E">
        <w:rPr>
          <w:color w:val="000000"/>
        </w:rPr>
        <w:t xml:space="preserve"> </w:t>
      </w:r>
      <w:hyperlink r:id="rId19" w:history="1">
        <w:r w:rsidRPr="00956EBD">
          <w:rPr>
            <w:rStyle w:val="Hyperlink"/>
            <w:color w:val="000000"/>
            <w:u w:val="none"/>
          </w:rPr>
          <w:t>http://empresaspublicas.imprensaoficial.com.br</w:t>
        </w:r>
      </w:hyperlink>
      <w:r w:rsidR="00956EBD">
        <w:rPr>
          <w:color w:val="000000"/>
        </w:rPr>
        <w:t>,</w:t>
      </w:r>
      <w:r w:rsidRPr="0070180E">
        <w:rPr>
          <w:color w:val="000000"/>
        </w:rPr>
        <w:t xml:space="preserve"> traz balanços desde 2005 de todas as empresas públicas do Estado.</w:t>
      </w:r>
    </w:p>
    <w:p w:rsidR="003E6588" w:rsidRDefault="003E6588">
      <w:pPr>
        <w:ind w:firstLine="1134"/>
        <w:jc w:val="both"/>
        <w:rPr>
          <w:color w:val="000000"/>
        </w:rPr>
      </w:pPr>
    </w:p>
    <w:p w:rsidR="003E6588" w:rsidRDefault="003E6588">
      <w:pPr>
        <w:ind w:firstLine="1134"/>
        <w:jc w:val="both"/>
        <w:rPr>
          <w:color w:val="000000"/>
        </w:rPr>
      </w:pPr>
      <w:r>
        <w:rPr>
          <w:b/>
          <w:color w:val="000000"/>
        </w:rPr>
        <w:t>Monitoramento dos autos de infração gerados pela Secretaria da Fazenda -</w:t>
      </w:r>
      <w:r>
        <w:rPr>
          <w:color w:val="000000"/>
        </w:rPr>
        <w:t xml:space="preserve"> O sistema recebe autos de infração da SEFAZ para serem enviados aos correios e entregues às empresas autuadas</w:t>
      </w:r>
      <w:r w:rsidR="0070180E">
        <w:rPr>
          <w:color w:val="000000"/>
        </w:rPr>
        <w:t>;</w:t>
      </w:r>
      <w:r>
        <w:rPr>
          <w:color w:val="000000"/>
        </w:rPr>
        <w:t xml:space="preserve"> quando </w:t>
      </w:r>
      <w:r w:rsidR="0070180E">
        <w:rPr>
          <w:color w:val="000000"/>
        </w:rPr>
        <w:t>s</w:t>
      </w:r>
      <w:r>
        <w:rPr>
          <w:color w:val="000000"/>
        </w:rPr>
        <w:t>ão encontradas</w:t>
      </w:r>
      <w:r w:rsidR="0070180E">
        <w:rPr>
          <w:color w:val="000000"/>
        </w:rPr>
        <w:t>,</w:t>
      </w:r>
      <w:r>
        <w:rPr>
          <w:color w:val="000000"/>
        </w:rPr>
        <w:t xml:space="preserve"> os autos são publicados no Diário Oficial.</w:t>
      </w:r>
    </w:p>
    <w:p w:rsidR="003E6588" w:rsidRDefault="003E6588">
      <w:pPr>
        <w:ind w:firstLine="1134"/>
        <w:jc w:val="both"/>
        <w:rPr>
          <w:b/>
          <w:color w:val="000000"/>
        </w:rPr>
      </w:pPr>
    </w:p>
    <w:p w:rsidR="003E6588" w:rsidRDefault="003E6588">
      <w:pPr>
        <w:ind w:firstLine="1134"/>
        <w:jc w:val="both"/>
        <w:rPr>
          <w:color w:val="000000"/>
        </w:rPr>
      </w:pPr>
      <w:r>
        <w:rPr>
          <w:b/>
          <w:color w:val="000000"/>
        </w:rPr>
        <w:t>Melhoramentos na ferramenta de busca do Diário Oficial -</w:t>
      </w:r>
      <w:r>
        <w:rPr>
          <w:color w:val="000000"/>
        </w:rPr>
        <w:t xml:space="preserve"> O sistema permite consultas gratuitas do Diário Oficial do Estado de São Paulo por caderno e período e as páginas podem ser certificadas. A reestruturação do índice da ferramenta continua a ser realizada para inclusão de mais um </w:t>
      </w:r>
      <w:r>
        <w:rPr>
          <w:i/>
          <w:color w:val="000000"/>
        </w:rPr>
        <w:t>cluster</w:t>
      </w:r>
      <w:r>
        <w:rPr>
          <w:color w:val="000000"/>
        </w:rPr>
        <w:t>, melhorando o desempenho das buscas.</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Manutenção do Jucesp </w:t>
      </w:r>
      <w:r>
        <w:rPr>
          <w:b/>
          <w:i/>
          <w:color w:val="000000"/>
        </w:rPr>
        <w:t>On Line</w:t>
      </w:r>
      <w:r>
        <w:rPr>
          <w:b/>
          <w:color w:val="000000"/>
        </w:rPr>
        <w:t xml:space="preserve"> -</w:t>
      </w:r>
      <w:r>
        <w:rPr>
          <w:color w:val="000000"/>
        </w:rPr>
        <w:t xml:space="preserve"> Ajustes foram realizados para continuar a oferecer os dados da Junta Comercial do Estado de São Paulo aos cidadãos</w:t>
      </w:r>
      <w:r w:rsidR="0070180E">
        <w:rPr>
          <w:color w:val="000000"/>
        </w:rPr>
        <w:t>,</w:t>
      </w:r>
      <w:r>
        <w:rPr>
          <w:color w:val="000000"/>
        </w:rPr>
        <w:t xml:space="preserve"> por meio de Fichas Cadastrais e </w:t>
      </w:r>
      <w:r>
        <w:rPr>
          <w:color w:val="000000"/>
        </w:rPr>
        <w:lastRenderedPageBreak/>
        <w:t xml:space="preserve">Certidões, bem como permitir a consulta por meio de </w:t>
      </w:r>
      <w:r>
        <w:rPr>
          <w:i/>
          <w:color w:val="000000"/>
        </w:rPr>
        <w:t>WebService</w:t>
      </w:r>
      <w:r w:rsidR="0070180E">
        <w:rPr>
          <w:i/>
          <w:color w:val="000000"/>
        </w:rPr>
        <w:t>,</w:t>
      </w:r>
      <w:r>
        <w:rPr>
          <w:color w:val="000000"/>
        </w:rPr>
        <w:t xml:space="preserve"> que viabiliza a interoperabilidade. Foi desenvolvi</w:t>
      </w:r>
      <w:r w:rsidR="0070180E">
        <w:rPr>
          <w:color w:val="000000"/>
        </w:rPr>
        <w:t>d</w:t>
      </w:r>
      <w:r>
        <w:rPr>
          <w:color w:val="000000"/>
        </w:rPr>
        <w:t>o novo serviço denominado Certidão de Inteiro Teor</w:t>
      </w:r>
      <w:r w:rsidR="0070180E">
        <w:rPr>
          <w:color w:val="000000"/>
        </w:rPr>
        <w:t>,</w:t>
      </w:r>
      <w:r>
        <w:rPr>
          <w:color w:val="000000"/>
        </w:rPr>
        <w:t xml:space="preserve"> que atribui ao documento digitalizado assinatura digital e carimbo de tempo.</w:t>
      </w:r>
    </w:p>
    <w:p w:rsidR="003E6588" w:rsidRDefault="003E6588">
      <w:pPr>
        <w:ind w:firstLine="1134"/>
        <w:jc w:val="both"/>
        <w:rPr>
          <w:color w:val="000000"/>
        </w:rPr>
      </w:pPr>
    </w:p>
    <w:p w:rsidR="003E6588" w:rsidRDefault="003E6588">
      <w:pPr>
        <w:ind w:firstLine="1134"/>
        <w:jc w:val="both"/>
        <w:rPr>
          <w:color w:val="000000"/>
        </w:rPr>
      </w:pPr>
      <w:r>
        <w:rPr>
          <w:b/>
          <w:color w:val="000000"/>
        </w:rPr>
        <w:t>Manutenção da LivrariaIO -</w:t>
      </w:r>
      <w:r>
        <w:rPr>
          <w:color w:val="000000"/>
        </w:rPr>
        <w:t xml:space="preserve"> Manutenções preventivas e corretivas foram implementadas para possibilitar a continuidade das vendas de livros da Editora Imprensa Oficial por meio de sua loja virtual. A LivrariaIO</w:t>
      </w:r>
      <w:r w:rsidR="0070180E">
        <w:rPr>
          <w:color w:val="000000"/>
        </w:rPr>
        <w:t>,</w:t>
      </w:r>
      <w:r>
        <w:rPr>
          <w:color w:val="000000"/>
        </w:rPr>
        <w:t xml:space="preserve"> baseada na versão Enterprise da solução de comércio eletrônico Magento, que é paga, foi migrada para versão </w:t>
      </w:r>
      <w:r>
        <w:rPr>
          <w:i/>
          <w:color w:val="000000"/>
        </w:rPr>
        <w:t>Community</w:t>
      </w:r>
      <w:r>
        <w:rPr>
          <w:color w:val="000000"/>
        </w:rPr>
        <w:t>, que é gratuita.</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Manutenção do </w:t>
      </w:r>
      <w:smartTag w:uri="urn:schemas-microsoft-com:office:smarttags" w:element="PersonName">
        <w:r>
          <w:rPr>
            <w:b/>
            <w:color w:val="000000"/>
          </w:rPr>
          <w:t>Portal Corporativo</w:t>
        </w:r>
      </w:smartTag>
      <w:r>
        <w:rPr>
          <w:b/>
          <w:color w:val="000000"/>
        </w:rPr>
        <w:t xml:space="preserve"> da Imprensa Oficial -</w:t>
      </w:r>
      <w:r>
        <w:rPr>
          <w:color w:val="000000"/>
        </w:rPr>
        <w:t xml:space="preserve"> O conteúdo sobre a empresa e seus funcionários sofreu mudanças com o intuito de melhorar a divulgação de fatos e registrar procedimentos internos.</w:t>
      </w:r>
    </w:p>
    <w:p w:rsidR="003E6588" w:rsidRDefault="003E6588">
      <w:pPr>
        <w:ind w:firstLine="1134"/>
        <w:jc w:val="both"/>
        <w:rPr>
          <w:color w:val="000000"/>
        </w:rPr>
      </w:pPr>
    </w:p>
    <w:p w:rsidR="003E6588" w:rsidRDefault="003E6588">
      <w:pPr>
        <w:ind w:firstLine="1134"/>
        <w:jc w:val="both"/>
        <w:rPr>
          <w:color w:val="000000"/>
        </w:rPr>
      </w:pPr>
      <w:r>
        <w:rPr>
          <w:b/>
          <w:color w:val="000000"/>
        </w:rPr>
        <w:t>Modernização da Secretaria Geral -</w:t>
      </w:r>
      <w:r>
        <w:rPr>
          <w:color w:val="000000"/>
        </w:rPr>
        <w:t xml:space="preserve"> Melhorias foram entregues para o sistema que controla o fluxo dos documentos administrativos, como contratos e ofícios da Imprensa Oficial. Destaque para o </w:t>
      </w:r>
      <w:r>
        <w:rPr>
          <w:i/>
          <w:color w:val="000000"/>
        </w:rPr>
        <w:t>BackOffice</w:t>
      </w:r>
      <w:r w:rsidR="0070180E">
        <w:rPr>
          <w:i/>
          <w:color w:val="000000"/>
        </w:rPr>
        <w:t>,</w:t>
      </w:r>
      <w:r>
        <w:rPr>
          <w:color w:val="000000"/>
        </w:rPr>
        <w:t xml:space="preserve"> acessível para funcionários deficientes visuais.</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Aplicação de melhorias no Assinador Digital - </w:t>
      </w:r>
      <w:r>
        <w:rPr>
          <w:color w:val="000000"/>
        </w:rPr>
        <w:t>Produto utilizado por clientes como Secretaria da Fazenda, Cetesb, Procuradoria Geral do Estado, Tribunal de Justiça, Jucesp</w:t>
      </w:r>
      <w:r w:rsidR="0070180E">
        <w:rPr>
          <w:color w:val="000000"/>
        </w:rPr>
        <w:t>,</w:t>
      </w:r>
      <w:r>
        <w:rPr>
          <w:color w:val="000000"/>
        </w:rPr>
        <w:t xml:space="preserve"> para assinar digitalmente documentos eletrônicos com o uso de certificado digital e carimbo de tempo.</w:t>
      </w:r>
    </w:p>
    <w:p w:rsidR="0070180E" w:rsidRDefault="0070180E">
      <w:pPr>
        <w:ind w:firstLine="1134"/>
        <w:jc w:val="both"/>
        <w:rPr>
          <w:color w:val="000000"/>
        </w:rPr>
      </w:pPr>
    </w:p>
    <w:p w:rsidR="003E6588" w:rsidRDefault="003E6588">
      <w:pPr>
        <w:ind w:firstLine="1134"/>
        <w:jc w:val="both"/>
        <w:rPr>
          <w:color w:val="000000"/>
        </w:rPr>
      </w:pPr>
      <w:r>
        <w:rPr>
          <w:b/>
          <w:bCs/>
          <w:color w:val="000000"/>
        </w:rPr>
        <w:t xml:space="preserve">Manutenção do Portal do Conselho Fiscal - </w:t>
      </w:r>
      <w:r>
        <w:rPr>
          <w:bCs/>
          <w:color w:val="000000"/>
        </w:rPr>
        <w:t>P</w:t>
      </w:r>
      <w:r>
        <w:rPr>
          <w:color w:val="000000"/>
        </w:rPr>
        <w:t xml:space="preserve">ortal colaborativo para compartilhamento de documentos e acompanhamento das reuniões do Conselho Fiscal da empresa, seja por computador pessoal, seja por dispositivo móvel como </w:t>
      </w:r>
      <w:r w:rsidRPr="002244A6">
        <w:rPr>
          <w:i/>
          <w:color w:val="000000"/>
        </w:rPr>
        <w:t>tablets</w:t>
      </w:r>
      <w:r>
        <w:rPr>
          <w:color w:val="000000"/>
        </w:rPr>
        <w:t xml:space="preserve"> ou </w:t>
      </w:r>
      <w:r w:rsidRPr="002244A6">
        <w:rPr>
          <w:i/>
          <w:color w:val="000000"/>
        </w:rPr>
        <w:t>smartphones</w:t>
      </w:r>
      <w:r>
        <w:rPr>
          <w:color w:val="000000"/>
        </w:rPr>
        <w:t>.</w:t>
      </w:r>
    </w:p>
    <w:p w:rsidR="003E6588" w:rsidRDefault="003E6588">
      <w:pPr>
        <w:ind w:firstLine="1134"/>
        <w:jc w:val="both"/>
        <w:rPr>
          <w:color w:val="000000"/>
        </w:rPr>
      </w:pPr>
    </w:p>
    <w:p w:rsidR="003E6588" w:rsidRDefault="003E6588">
      <w:pPr>
        <w:ind w:firstLine="1134"/>
        <w:jc w:val="both"/>
        <w:rPr>
          <w:color w:val="000000"/>
        </w:rPr>
      </w:pPr>
      <w:r>
        <w:rPr>
          <w:b/>
          <w:bCs/>
          <w:color w:val="000000"/>
        </w:rPr>
        <w:t xml:space="preserve">Manutenção do Portal Cetesb - </w:t>
      </w:r>
      <w:r>
        <w:rPr>
          <w:bCs/>
          <w:color w:val="000000"/>
        </w:rPr>
        <w:t>Por este canal</w:t>
      </w:r>
      <w:r w:rsidR="0070180E">
        <w:rPr>
          <w:bCs/>
          <w:color w:val="000000"/>
        </w:rPr>
        <w:t>,</w:t>
      </w:r>
      <w:r>
        <w:rPr>
          <w:bCs/>
          <w:color w:val="000000"/>
        </w:rPr>
        <w:t xml:space="preserve"> as empresas podem enviar publicação de licenciamento ambiental</w:t>
      </w:r>
      <w:r>
        <w:rPr>
          <w:color w:val="000000"/>
        </w:rPr>
        <w:t>. A precificação e o cálculo da centimetragem foram modificados para permitir o envio de maior número de caracteres.</w:t>
      </w:r>
    </w:p>
    <w:p w:rsidR="003E6588" w:rsidRDefault="003E6588">
      <w:pPr>
        <w:ind w:firstLine="1134"/>
        <w:jc w:val="both"/>
        <w:rPr>
          <w:color w:val="000000"/>
        </w:rPr>
      </w:pPr>
    </w:p>
    <w:p w:rsidR="003E6588" w:rsidRDefault="003E6588">
      <w:pPr>
        <w:ind w:firstLine="1134"/>
        <w:jc w:val="both"/>
        <w:rPr>
          <w:color w:val="000000"/>
        </w:rPr>
      </w:pPr>
      <w:r>
        <w:rPr>
          <w:b/>
          <w:color w:val="000000"/>
        </w:rPr>
        <w:t>Manutenção do Portal de Negócios da Imprensa Oficial -</w:t>
      </w:r>
      <w:r>
        <w:rPr>
          <w:color w:val="000000"/>
        </w:rPr>
        <w:t xml:space="preserve"> Mudança de conteúdo de várias áreas do portal, principalmente das associadas à certificação digital, visando oferecer esclarecimentos e proximidade do cliente.</w:t>
      </w:r>
    </w:p>
    <w:p w:rsidR="003E6588" w:rsidRDefault="003E6588">
      <w:pPr>
        <w:ind w:firstLine="1134"/>
        <w:jc w:val="both"/>
        <w:rPr>
          <w:color w:val="000000"/>
        </w:rPr>
      </w:pPr>
    </w:p>
    <w:p w:rsidR="003E6588" w:rsidRDefault="003E6588">
      <w:pPr>
        <w:ind w:firstLine="1134"/>
        <w:jc w:val="both"/>
        <w:rPr>
          <w:color w:val="000000"/>
        </w:rPr>
      </w:pPr>
      <w:r>
        <w:rPr>
          <w:b/>
          <w:color w:val="000000"/>
        </w:rPr>
        <w:t>Manutenção de Sistema de Gestão Eletrônica de Documentos -</w:t>
      </w:r>
      <w:r>
        <w:rPr>
          <w:color w:val="000000"/>
        </w:rPr>
        <w:t xml:space="preserve"> Realizado suporte às soluções utilizadas pelos clientes Junta Comercial do Estado de São Paulo - Jucesp e São Paulo Previdência </w:t>
      </w:r>
      <w:r w:rsidR="002244A6">
        <w:rPr>
          <w:color w:val="000000"/>
        </w:rPr>
        <w:t>-</w:t>
      </w:r>
      <w:r>
        <w:rPr>
          <w:color w:val="000000"/>
        </w:rPr>
        <w:t xml:space="preserve"> SPPrev</w:t>
      </w:r>
      <w:r w:rsidR="0070180E">
        <w:rPr>
          <w:color w:val="000000"/>
        </w:rPr>
        <w:t>,</w:t>
      </w:r>
      <w:r>
        <w:rPr>
          <w:color w:val="000000"/>
        </w:rPr>
        <w:t xml:space="preserve"> para gestão eletrônica de documentos.</w:t>
      </w:r>
    </w:p>
    <w:p w:rsidR="003E6588" w:rsidRDefault="003E6588">
      <w:pPr>
        <w:ind w:firstLine="1134"/>
        <w:jc w:val="both"/>
        <w:rPr>
          <w:color w:val="000000"/>
        </w:rPr>
      </w:pPr>
    </w:p>
    <w:p w:rsidR="003E6588" w:rsidRDefault="003E6588">
      <w:pPr>
        <w:ind w:firstLine="1134"/>
        <w:jc w:val="both"/>
        <w:rPr>
          <w:color w:val="000000"/>
        </w:rPr>
      </w:pPr>
      <w:r>
        <w:rPr>
          <w:b/>
          <w:color w:val="000000"/>
        </w:rPr>
        <w:t>Manutenção do AssinaSP -</w:t>
      </w:r>
      <w:r>
        <w:rPr>
          <w:color w:val="000000"/>
        </w:rPr>
        <w:t xml:space="preserve"> Portal de assinatura digital de documentos eletrônicos. O </w:t>
      </w:r>
      <w:r>
        <w:rPr>
          <w:i/>
          <w:color w:val="000000"/>
        </w:rPr>
        <w:t>layout</w:t>
      </w:r>
      <w:r>
        <w:rPr>
          <w:color w:val="000000"/>
        </w:rPr>
        <w:t xml:space="preserve"> do portal foi ajustado de acordo com o padrão da Imprensa Oficial, bem como foram realizados testes para avaliação do comportamento do </w:t>
      </w:r>
      <w:r>
        <w:rPr>
          <w:i/>
          <w:color w:val="000000"/>
        </w:rPr>
        <w:t>site</w:t>
      </w:r>
      <w:r>
        <w:rPr>
          <w:color w:val="000000"/>
        </w:rPr>
        <w:t xml:space="preserve"> frente à submissão de diversificados tipos de documentos.</w:t>
      </w:r>
    </w:p>
    <w:p w:rsidR="003E6588" w:rsidRDefault="003E6588">
      <w:pPr>
        <w:ind w:firstLine="1134"/>
        <w:jc w:val="both"/>
        <w:rPr>
          <w:color w:val="000000"/>
        </w:rPr>
      </w:pPr>
    </w:p>
    <w:p w:rsidR="003E6588" w:rsidRDefault="003E6588">
      <w:pPr>
        <w:ind w:firstLine="1134"/>
        <w:jc w:val="both"/>
        <w:rPr>
          <w:color w:val="000000"/>
        </w:rPr>
      </w:pPr>
      <w:r>
        <w:rPr>
          <w:b/>
          <w:color w:val="000000"/>
        </w:rPr>
        <w:lastRenderedPageBreak/>
        <w:t xml:space="preserve">Manutenção do </w:t>
      </w:r>
      <w:r>
        <w:rPr>
          <w:b/>
          <w:i/>
          <w:color w:val="000000"/>
        </w:rPr>
        <w:t>BackOffice</w:t>
      </w:r>
      <w:r>
        <w:rPr>
          <w:b/>
          <w:color w:val="000000"/>
        </w:rPr>
        <w:t xml:space="preserve"> e dos mecanismos de integração da Autoridade Certificadora do Sistema de Autenticação e Transmissão - ACSAT -</w:t>
      </w:r>
      <w:r>
        <w:rPr>
          <w:color w:val="000000"/>
        </w:rPr>
        <w:t xml:space="preserve"> A Secretaria da Fazenda</w:t>
      </w:r>
      <w:r w:rsidR="002806E1">
        <w:rPr>
          <w:color w:val="000000"/>
        </w:rPr>
        <w:t>,</w:t>
      </w:r>
      <w:r>
        <w:rPr>
          <w:color w:val="000000"/>
        </w:rPr>
        <w:t xml:space="preserve"> em substituição ao cupom fiscal emitido por equipamento Emissor de Cupom Fiscal </w:t>
      </w:r>
      <w:r w:rsidR="002244A6">
        <w:rPr>
          <w:color w:val="000000"/>
        </w:rPr>
        <w:t>-</w:t>
      </w:r>
      <w:r>
        <w:rPr>
          <w:color w:val="000000"/>
        </w:rPr>
        <w:t xml:space="preserve"> ECF</w:t>
      </w:r>
      <w:r w:rsidR="002806E1">
        <w:rPr>
          <w:color w:val="000000"/>
        </w:rPr>
        <w:t>,</w:t>
      </w:r>
      <w:r>
        <w:rPr>
          <w:color w:val="000000"/>
        </w:rPr>
        <w:t xml:space="preserve"> oferecerá o Cupom Fiscal Eletrônico - CF-e por meio do Sistema de Autenticação e Transmissão - SAT e a Imprensa Oficial emitirá os certificados digitais para os contribuintes assinarem digitalmente o CF-e-SAT</w:t>
      </w:r>
      <w:r w:rsidR="002806E1">
        <w:rPr>
          <w:color w:val="000000"/>
        </w:rPr>
        <w:t>,</w:t>
      </w:r>
      <w:r>
        <w:rPr>
          <w:color w:val="000000"/>
        </w:rPr>
        <w:t xml:space="preserve"> de forma a garantir a sua validade jurídica. Foram realizados testes de carga para avaliar a capacidade de geração e obtenção dos certificados digitais.</w:t>
      </w:r>
    </w:p>
    <w:p w:rsidR="002244A6" w:rsidRDefault="002244A6">
      <w:pPr>
        <w:ind w:firstLine="1134"/>
        <w:jc w:val="both"/>
        <w:rPr>
          <w:color w:val="000000"/>
        </w:rPr>
      </w:pPr>
    </w:p>
    <w:p w:rsidR="003E6588" w:rsidRDefault="003E6588">
      <w:pPr>
        <w:ind w:firstLine="1134"/>
        <w:jc w:val="both"/>
        <w:rPr>
          <w:b/>
          <w:bCs/>
        </w:rPr>
      </w:pPr>
      <w:r>
        <w:rPr>
          <w:b/>
          <w:bCs/>
        </w:rPr>
        <w:t>Sistemas Internos</w:t>
      </w:r>
    </w:p>
    <w:p w:rsidR="003E6588" w:rsidRDefault="003E6588">
      <w:pPr>
        <w:ind w:firstLine="1134"/>
        <w:jc w:val="both"/>
        <w:rPr>
          <w:b/>
          <w:bCs/>
          <w:u w:val="single"/>
        </w:rPr>
      </w:pPr>
    </w:p>
    <w:p w:rsidR="003E6588" w:rsidRDefault="003E6588">
      <w:pPr>
        <w:ind w:firstLine="1134"/>
        <w:jc w:val="both"/>
      </w:pPr>
      <w:r>
        <w:rPr>
          <w:b/>
          <w:bCs/>
        </w:rPr>
        <w:t>Ordem de Fornecimento -</w:t>
      </w:r>
      <w:r>
        <w:t xml:space="preserve"> Foi parametrizado e implementado pela equipe de Sistemas Internos o módulo de Ordem de Fornecimento</w:t>
      </w:r>
      <w:r w:rsidR="002806E1">
        <w:t>,</w:t>
      </w:r>
      <w:r>
        <w:t xml:space="preserve"> que agilizou o processo de recebimento de matérias primas e outros materiais de consumo.</w:t>
      </w:r>
    </w:p>
    <w:p w:rsidR="003E6588" w:rsidRDefault="003E6588">
      <w:pPr>
        <w:ind w:firstLine="1134"/>
        <w:jc w:val="both"/>
      </w:pPr>
    </w:p>
    <w:p w:rsidR="003E6588" w:rsidRDefault="003E6588">
      <w:pPr>
        <w:ind w:firstLine="1134"/>
        <w:jc w:val="both"/>
      </w:pPr>
      <w:r>
        <w:rPr>
          <w:b/>
          <w:bCs/>
        </w:rPr>
        <w:t>Adequação das Anomalias dos Funcionários à PLR</w:t>
      </w:r>
      <w:r>
        <w:t xml:space="preserve"> - A equipe de Sistemas Internos</w:t>
      </w:r>
      <w:r w:rsidR="002806E1">
        <w:t>,</w:t>
      </w:r>
      <w:r>
        <w:t xml:space="preserve"> em conjunto com a equipe de RH</w:t>
      </w:r>
      <w:r w:rsidR="002806E1">
        <w:t>,</w:t>
      </w:r>
      <w:r>
        <w:t xml:space="preserve"> automatizou no ERP de Recursos Humanos as rotinas para considerar todas as anomalias dos funcionários. Essa implementação teve como objetivo melhorar o índice de absenteísmo na empresa.</w:t>
      </w:r>
    </w:p>
    <w:p w:rsidR="003E6588" w:rsidRDefault="003E6588">
      <w:pPr>
        <w:ind w:firstLine="1134"/>
        <w:jc w:val="both"/>
        <w:rPr>
          <w:b/>
          <w:bCs/>
        </w:rPr>
      </w:pPr>
    </w:p>
    <w:p w:rsidR="003E6588" w:rsidRDefault="003E6588">
      <w:pPr>
        <w:ind w:firstLine="1134"/>
        <w:jc w:val="both"/>
      </w:pPr>
      <w:r>
        <w:rPr>
          <w:b/>
          <w:bCs/>
        </w:rPr>
        <w:t xml:space="preserve">Integrações do ERP da </w:t>
      </w:r>
      <w:r>
        <w:rPr>
          <w:b/>
          <w:bCs/>
          <w:i/>
        </w:rPr>
        <w:t>StarSoft</w:t>
      </w:r>
      <w:r>
        <w:rPr>
          <w:b/>
          <w:bCs/>
        </w:rPr>
        <w:t xml:space="preserve"> com Sistemas Legados do RH - </w:t>
      </w:r>
      <w:r>
        <w:t>A equipe de Sistemas Internos</w:t>
      </w:r>
      <w:r w:rsidR="002806E1">
        <w:t>,</w:t>
      </w:r>
      <w:r>
        <w:t xml:space="preserve"> em conjunto com a equipe </w:t>
      </w:r>
      <w:r>
        <w:rPr>
          <w:i/>
        </w:rPr>
        <w:t xml:space="preserve">web </w:t>
      </w:r>
      <w:r>
        <w:t>desenvolve</w:t>
      </w:r>
      <w:r w:rsidR="002806E1">
        <w:t>u</w:t>
      </w:r>
      <w:r>
        <w:t xml:space="preserve"> todas as Integrações do ERP </w:t>
      </w:r>
      <w:r>
        <w:rPr>
          <w:i/>
        </w:rPr>
        <w:t>StarSoft</w:t>
      </w:r>
      <w:r>
        <w:t xml:space="preserve"> para os Sistemas Legados</w:t>
      </w:r>
      <w:r w:rsidR="002806E1">
        <w:t>,</w:t>
      </w:r>
      <w:r>
        <w:t xml:space="preserve"> </w:t>
      </w:r>
      <w:r w:rsidR="002806E1">
        <w:t>u</w:t>
      </w:r>
      <w:r>
        <w:t xml:space="preserve">sando a tecnologia </w:t>
      </w:r>
      <w:r>
        <w:rPr>
          <w:i/>
        </w:rPr>
        <w:t>Web Services</w:t>
      </w:r>
      <w:r>
        <w:t>.</w:t>
      </w:r>
    </w:p>
    <w:p w:rsidR="003E6588" w:rsidRDefault="003E6588">
      <w:pPr>
        <w:ind w:firstLine="1134"/>
        <w:jc w:val="both"/>
      </w:pPr>
    </w:p>
    <w:p w:rsidR="003E6588" w:rsidRDefault="003E6588">
      <w:pPr>
        <w:ind w:firstLine="1134"/>
        <w:jc w:val="both"/>
        <w:rPr>
          <w:i/>
        </w:rPr>
      </w:pPr>
      <w:r>
        <w:rPr>
          <w:b/>
          <w:bCs/>
        </w:rPr>
        <w:t xml:space="preserve">Integração dos Relógios de Ponto com o Sistema </w:t>
      </w:r>
      <w:r>
        <w:rPr>
          <w:b/>
          <w:bCs/>
          <w:i/>
        </w:rPr>
        <w:t xml:space="preserve">StarSoft </w:t>
      </w:r>
      <w:r>
        <w:rPr>
          <w:b/>
          <w:bCs/>
        </w:rPr>
        <w:t xml:space="preserve">- </w:t>
      </w:r>
      <w:r>
        <w:t xml:space="preserve">A equipe de Sistemas Internos deu informações e suporte para a realização das rotinas de Integração dos Relógios de Ponto Telemática para o Sistema </w:t>
      </w:r>
      <w:r>
        <w:rPr>
          <w:i/>
        </w:rPr>
        <w:t>StarSoft.</w:t>
      </w:r>
    </w:p>
    <w:p w:rsidR="00956EBD" w:rsidRPr="00956EBD" w:rsidRDefault="00956EBD">
      <w:pPr>
        <w:ind w:firstLine="1134"/>
        <w:jc w:val="both"/>
      </w:pPr>
    </w:p>
    <w:p w:rsidR="003E6588" w:rsidRDefault="003E6588" w:rsidP="002244A6">
      <w:pPr>
        <w:ind w:firstLine="1134"/>
        <w:jc w:val="both"/>
      </w:pPr>
      <w:r>
        <w:rPr>
          <w:b/>
          <w:bCs/>
        </w:rPr>
        <w:t>Digitalização - Conversão Digital de Documentos</w:t>
      </w:r>
      <w:r w:rsidR="002244A6">
        <w:rPr>
          <w:b/>
          <w:bCs/>
        </w:rPr>
        <w:t xml:space="preserve"> - </w:t>
      </w:r>
      <w:r>
        <w:t>Contratação</w:t>
      </w:r>
      <w:r w:rsidR="002806E1">
        <w:t>,</w:t>
      </w:r>
      <w:r>
        <w:t xml:space="preserve"> por meio de pregão eletrônico</w:t>
      </w:r>
      <w:r w:rsidR="002806E1">
        <w:t>,</w:t>
      </w:r>
      <w:r>
        <w:t xml:space="preserve"> de empresa especializada na prestação de serviços de processamento eletrônico de documentos para a conversão digital de documentos de 30 milhões de páginas, compreendidos em diversos tipos, formatos, cores e tamanhos entre A4 e A2.</w:t>
      </w:r>
    </w:p>
    <w:p w:rsidR="003E6588" w:rsidRDefault="003E6588">
      <w:pPr>
        <w:pStyle w:val="Commarcadores"/>
      </w:pPr>
    </w:p>
    <w:p w:rsidR="003E6588" w:rsidRDefault="003E6588">
      <w:pPr>
        <w:pStyle w:val="Commarcadores"/>
      </w:pPr>
      <w:r>
        <w:t xml:space="preserve">O contrato prevê o fornecimento de solução de gerenciamento de documentos físicos e de Gerenciamento Eletrônico de Documentos - GED com certificação digital, montagem de </w:t>
      </w:r>
      <w:r>
        <w:rPr>
          <w:i/>
        </w:rPr>
        <w:t>bureaus</w:t>
      </w:r>
      <w:r>
        <w:t xml:space="preserve"> para a conversão digital, desenvolvimento e implantação da solução e disponibilização das imagens para consulta em sistemas específicos, para atender aos clientes, sendo eles:</w:t>
      </w:r>
    </w:p>
    <w:p w:rsidR="003E6588" w:rsidRDefault="003E6588">
      <w:pPr>
        <w:pStyle w:val="Commarcadores"/>
      </w:pPr>
    </w:p>
    <w:p w:rsidR="003E6588" w:rsidRDefault="003E6588">
      <w:pPr>
        <w:pStyle w:val="Commarcadores"/>
      </w:pPr>
      <w:r>
        <w:rPr>
          <w:b/>
          <w:bCs/>
        </w:rPr>
        <w:t>JUCESP - Junta Comercial de São Paulo</w:t>
      </w:r>
      <w:r>
        <w:t xml:space="preserve"> - Digitalização dos documentos que tramitam diariamente na Junta Comercial e escritórios regionais, bem como saneamento do Legado;</w:t>
      </w:r>
    </w:p>
    <w:p w:rsidR="003E6588" w:rsidRDefault="003E6588">
      <w:pPr>
        <w:pStyle w:val="Commarcadores"/>
      </w:pPr>
    </w:p>
    <w:p w:rsidR="003E6588" w:rsidRDefault="003E6588">
      <w:pPr>
        <w:pStyle w:val="Commarcadores"/>
      </w:pPr>
      <w:r>
        <w:rPr>
          <w:b/>
          <w:bCs/>
        </w:rPr>
        <w:t>SPPREV - São Paulo Previdência -</w:t>
      </w:r>
      <w:r>
        <w:t xml:space="preserve"> Digitalização dos documentos de aposentadoria e pensão dos funcionários públicos do Estado, que tramitam dentro e fora da SPPREV, como também gestão e guarda das caixas de documentos que estão armazenadas no Arquivo Público do Estado;</w:t>
      </w:r>
    </w:p>
    <w:p w:rsidR="003E6588" w:rsidRDefault="003E6588">
      <w:pPr>
        <w:pStyle w:val="Commarcadores"/>
      </w:pPr>
      <w:r>
        <w:rPr>
          <w:b/>
          <w:bCs/>
        </w:rPr>
        <w:lastRenderedPageBreak/>
        <w:t>PGE</w:t>
      </w:r>
      <w:r>
        <w:t xml:space="preserve"> - </w:t>
      </w:r>
      <w:r>
        <w:rPr>
          <w:b/>
          <w:bCs/>
        </w:rPr>
        <w:t>Procuradoria Geral do Estado</w:t>
      </w:r>
      <w:r>
        <w:t xml:space="preserve"> - Digitalização dos documentos referentes a manda</w:t>
      </w:r>
      <w:r w:rsidR="002806E1">
        <w:t>d</w:t>
      </w:r>
      <w:r>
        <w:t>os judiciais;</w:t>
      </w:r>
    </w:p>
    <w:p w:rsidR="003E6588" w:rsidRDefault="003E6588">
      <w:pPr>
        <w:pStyle w:val="Commarcadores"/>
      </w:pPr>
    </w:p>
    <w:p w:rsidR="003E6588" w:rsidRDefault="003E6588">
      <w:pPr>
        <w:pStyle w:val="Commarcadores"/>
      </w:pPr>
      <w:r>
        <w:rPr>
          <w:b/>
          <w:bCs/>
        </w:rPr>
        <w:t xml:space="preserve">SEFAZ - Secretaria da Fazenda - </w:t>
      </w:r>
      <w:r>
        <w:t>Documento “Aviso de Recebimento”</w:t>
      </w:r>
      <w:r w:rsidR="002806E1">
        <w:t>,</w:t>
      </w:r>
      <w:r>
        <w:t xml:space="preserve"> impresso e digitalizado na Imprensa Oficial, entregue pelos Correios.</w:t>
      </w:r>
    </w:p>
    <w:p w:rsidR="003E6588" w:rsidRDefault="003E6588">
      <w:pPr>
        <w:pStyle w:val="Commarcadores"/>
      </w:pPr>
    </w:p>
    <w:p w:rsidR="003E6588" w:rsidRDefault="002806E1">
      <w:pPr>
        <w:pStyle w:val="Commarcadores"/>
      </w:pPr>
      <w:r>
        <w:rPr>
          <w:i/>
        </w:rPr>
        <w:t>Bureau</w:t>
      </w:r>
      <w:r>
        <w:t xml:space="preserve"> </w:t>
      </w:r>
      <w:r w:rsidR="003E6588">
        <w:t>para a conversão digital de documentos do Legado SPPREV, JUCESP, Manutenção dos Diários Oficiais, documentos internos (Recursos Humanos, Financeiro e Licitações) e demandas de novos clientes.</w:t>
      </w:r>
    </w:p>
    <w:p w:rsidR="003E6588" w:rsidRDefault="003E6588">
      <w:pPr>
        <w:pStyle w:val="Commarcadores"/>
      </w:pPr>
    </w:p>
    <w:p w:rsidR="003E6588" w:rsidRDefault="003E6588" w:rsidP="002806E1">
      <w:pPr>
        <w:ind w:firstLine="1134"/>
        <w:jc w:val="both"/>
      </w:pPr>
      <w:r>
        <w:rPr>
          <w:b/>
        </w:rPr>
        <w:t xml:space="preserve">Produtos de Tecnologia - Certificação Digital - </w:t>
      </w:r>
      <w:r w:rsidR="002806E1">
        <w:t xml:space="preserve">Início </w:t>
      </w:r>
      <w:r>
        <w:t>do processo de mudança da plataforma tecnológica de emissão e gerenciamento de vida dos certificados digitais, iniciativa que representa importante salto qualitativo e de independência tecnológica na área de certificação digital da Imprensa Oficial. A plataforma possibilitará atingir novo patamar de comercialização de certificados digitais, bem como dará ferramentas para desenvolvimento de novos projetos para o setor público.</w:t>
      </w:r>
    </w:p>
    <w:p w:rsidR="003E6588" w:rsidRDefault="003E6588">
      <w:pPr>
        <w:pStyle w:val="Commarcadores"/>
      </w:pPr>
    </w:p>
    <w:p w:rsidR="003E6588" w:rsidRPr="002806E1" w:rsidRDefault="003E6588">
      <w:pPr>
        <w:pStyle w:val="Commarcadores"/>
        <w:rPr>
          <w:b/>
        </w:rPr>
      </w:pPr>
      <w:r w:rsidRPr="002806E1">
        <w:rPr>
          <w:b/>
        </w:rPr>
        <w:t>Projetos desenvolvidos</w:t>
      </w:r>
    </w:p>
    <w:p w:rsidR="003E6588" w:rsidRDefault="003E6588">
      <w:pPr>
        <w:pStyle w:val="Commarcadores"/>
      </w:pPr>
    </w:p>
    <w:p w:rsidR="003E6588" w:rsidRDefault="003E6588">
      <w:pPr>
        <w:pStyle w:val="Commarcadores"/>
      </w:pPr>
      <w:r>
        <w:rPr>
          <w:b/>
        </w:rPr>
        <w:t xml:space="preserve">Mudança de plataforma tecnológica da Autoridade Certificadora Imprensa Oficial - </w:t>
      </w:r>
      <w:r>
        <w:t>Elaboração d</w:t>
      </w:r>
      <w:r w:rsidR="002806E1">
        <w:t>e</w:t>
      </w:r>
      <w:r>
        <w:t xml:space="preserve"> projeto e edital de pregão eletrônico para contratação de Prestador de Serviço de Suporte </w:t>
      </w:r>
      <w:r w:rsidR="002244A6">
        <w:t>-</w:t>
      </w:r>
      <w:r>
        <w:t xml:space="preserve"> PSS</w:t>
      </w:r>
      <w:r w:rsidR="002806E1">
        <w:t>,</w:t>
      </w:r>
      <w:r>
        <w:t xml:space="preserve"> para infraestrutura física, lógica e de recursos humanos especializados em certificação digital, de acordo com as normas da ICP Brasil (Infraestrutura de Chaves Públicas Brasileira). A substituição do prestador de serviço de suporte da autoridade certificadora é inédito por vários aspectos: abrangência, especificações técnicas e ganho de potencial para </w:t>
      </w:r>
      <w:r w:rsidR="002806E1">
        <w:t>expansão da operação.</w:t>
      </w:r>
    </w:p>
    <w:p w:rsidR="003E6588" w:rsidRDefault="003E6588">
      <w:pPr>
        <w:pStyle w:val="Commarcadores"/>
      </w:pPr>
    </w:p>
    <w:p w:rsidR="003E6588" w:rsidRDefault="003E6588">
      <w:pPr>
        <w:pStyle w:val="Commarcadores"/>
      </w:pPr>
      <w:r>
        <w:rPr>
          <w:b/>
        </w:rPr>
        <w:t xml:space="preserve">Portal de assinaturas </w:t>
      </w:r>
      <w:r>
        <w:rPr>
          <w:b/>
          <w:i/>
        </w:rPr>
        <w:t>- assina.sp</w:t>
      </w:r>
      <w:r>
        <w:rPr>
          <w:b/>
        </w:rPr>
        <w:t xml:space="preserve"> - </w:t>
      </w:r>
      <w:r>
        <w:t xml:space="preserve">Plataforma de serviços que permite a assinatura de documentos eletrônicos, via </w:t>
      </w:r>
      <w:r>
        <w:rPr>
          <w:i/>
        </w:rPr>
        <w:t>web.</w:t>
      </w:r>
      <w:r>
        <w:t xml:space="preserve"> A assinatura eletrônica substitui a assinatura manuscrita e tem a mesma validade jurídica, utilizando os Certificados Digitais Imprensa Oficial (ICP-Brasil), com o selo de segurança da Imprensa Oficial do Estado, certificadora oficial do governo paulista (conforme Decreto nº 48.599/2004). O serviço está sendo utilizado em alguns procedimentos internos da Imprensa Oficial e, de forma experimental, no Gabinete do Secretário-Adjunto da Secretaria dos Direitos da Pes</w:t>
      </w:r>
      <w:r w:rsidR="00ED17C6">
        <w:t>soa com Deficiência.</w:t>
      </w:r>
    </w:p>
    <w:p w:rsidR="003E6588" w:rsidRDefault="003E6588">
      <w:pPr>
        <w:pStyle w:val="Commarcadores"/>
        <w:rPr>
          <w:b/>
        </w:rPr>
      </w:pPr>
    </w:p>
    <w:p w:rsidR="003E6588" w:rsidRDefault="003E6588">
      <w:pPr>
        <w:pStyle w:val="Commarcadores"/>
      </w:pPr>
      <w:r>
        <w:rPr>
          <w:b/>
        </w:rPr>
        <w:t>Projeto AC SEFAZ - SAT</w:t>
      </w:r>
      <w:r>
        <w:t xml:space="preserve"> (Serviços de autorização e transmissão do cupom fiscal eletrônico). O projeto disponibiliza </w:t>
      </w:r>
      <w:r w:rsidR="00ED17C6">
        <w:t xml:space="preserve">Autoridade Certificadora Privada </w:t>
      </w:r>
      <w:r>
        <w:t xml:space="preserve">para a Secretaria da Fazenda, possibilitando utilização de Cupons Fiscais Eletrônicos - CF-e com assinatura digital. As seguintes etapas do projeto foram executadas: mudança de plataforma tecnológica com expressivas melhorias para o sistema; emissão manual e sistêmica de certificados com </w:t>
      </w:r>
      <w:r>
        <w:rPr>
          <w:i/>
        </w:rPr>
        <w:t>layout</w:t>
      </w:r>
      <w:r>
        <w:t xml:space="preserve"> ICP-Brasil; e monitoramento de ambientes de teste e de produção.</w:t>
      </w:r>
    </w:p>
    <w:p w:rsidR="003E6588" w:rsidRDefault="003E6588">
      <w:pPr>
        <w:pStyle w:val="Commarcadores"/>
      </w:pPr>
    </w:p>
    <w:p w:rsidR="003E6588" w:rsidRDefault="003E6588">
      <w:pPr>
        <w:pStyle w:val="Commarcadores"/>
      </w:pPr>
      <w:r>
        <w:rPr>
          <w:b/>
        </w:rPr>
        <w:t>Fundação Casa -</w:t>
      </w:r>
      <w:r>
        <w:t xml:space="preserve"> O projeto prevê a emissão de certificados digitais para identificação e acesso de funcionários. </w:t>
      </w:r>
      <w:r w:rsidRPr="00ED17C6">
        <w:t xml:space="preserve">Em fase posterior, a tecnologia da certificação digital será utilizada nos demais processos administrativos da Fundação. Estão previstos </w:t>
      </w:r>
      <w:r>
        <w:t xml:space="preserve">a emissão de 10 mil certificados de atributo </w:t>
      </w:r>
      <w:r>
        <w:lastRenderedPageBreak/>
        <w:t>(que qualifica a pessoa, com informações sobre cargo, função, profissão). O projeto prevê a implantação da solução SDK para adequação das aplicações existentes na utilização do certificado digital nos processos.</w:t>
      </w:r>
    </w:p>
    <w:p w:rsidR="003E6588" w:rsidRDefault="003E6588">
      <w:pPr>
        <w:pStyle w:val="Commarcadores"/>
      </w:pPr>
    </w:p>
    <w:p w:rsidR="003E6588" w:rsidRDefault="003E6588">
      <w:pPr>
        <w:ind w:firstLine="1134"/>
        <w:jc w:val="both"/>
      </w:pPr>
      <w:r>
        <w:rPr>
          <w:b/>
        </w:rPr>
        <w:t>Projeto Graprohab</w:t>
      </w:r>
      <w:r>
        <w:t xml:space="preserve"> - (</w:t>
      </w:r>
      <w:r>
        <w:rPr>
          <w:color w:val="000000"/>
        </w:rPr>
        <w:t>Grupo de Análise e Aprovação de Projetos Habitacionais do Estado de São Paulo)</w:t>
      </w:r>
      <w:r>
        <w:rPr>
          <w:color w:val="444444"/>
          <w:shd w:val="clear" w:color="auto" w:fill="FFFFFF"/>
        </w:rPr>
        <w:t xml:space="preserve"> </w:t>
      </w:r>
      <w:r w:rsidR="00ED17C6">
        <w:rPr>
          <w:color w:val="444444"/>
          <w:shd w:val="clear" w:color="auto" w:fill="FFFFFF"/>
        </w:rPr>
        <w:t>-</w:t>
      </w:r>
      <w:r>
        <w:t xml:space="preserve"> </w:t>
      </w:r>
      <w:r w:rsidR="00ED17C6">
        <w:t xml:space="preserve">Tem </w:t>
      </w:r>
      <w:r>
        <w:t xml:space="preserve">como escopo a implantação da solução de </w:t>
      </w:r>
      <w:r>
        <w:rPr>
          <w:i/>
        </w:rPr>
        <w:t>Workflow</w:t>
      </w:r>
      <w:r>
        <w:t xml:space="preserve"> para automatização do processo da instituição. A solução é responsável pela avaliação técnica de processos habitacionais, como a construção de unidades da CDHU, e compreende a disponibilização e implantação de solução e da infraestrutura necessária. A utilização de ferramenta de </w:t>
      </w:r>
      <w:r>
        <w:rPr>
          <w:i/>
        </w:rPr>
        <w:t>Workflow</w:t>
      </w:r>
      <w:r>
        <w:t xml:space="preserve"> com certificação digital dá ao órgão agilidade, acessibilidade, diminuição de consultas presenciais, redução de prazos, com confiabilidade, não-repúdio, sigilo e integridade dos dados. Foram executadas atividades de suporte para a conclusão do projeto.</w:t>
      </w:r>
    </w:p>
    <w:p w:rsidR="003E6588" w:rsidRDefault="003E6588">
      <w:pPr>
        <w:pStyle w:val="msolistparagraph0"/>
        <w:ind w:left="0" w:firstLine="1134"/>
        <w:jc w:val="both"/>
        <w:rPr>
          <w:rFonts w:ascii="Times New Roman" w:hAnsi="Times New Roman" w:cs="Times New Roman"/>
        </w:rPr>
      </w:pPr>
    </w:p>
    <w:p w:rsidR="003E6588" w:rsidRDefault="003E6588">
      <w:pPr>
        <w:pStyle w:val="msolistparagraph0"/>
        <w:ind w:left="0" w:firstLine="1134"/>
        <w:jc w:val="both"/>
        <w:rPr>
          <w:rFonts w:ascii="Times New Roman" w:hAnsi="Times New Roman" w:cs="Times New Roman"/>
          <w:color w:val="auto"/>
        </w:rPr>
      </w:pPr>
      <w:r>
        <w:rPr>
          <w:rFonts w:ascii="Times New Roman" w:hAnsi="Times New Roman" w:cs="Times New Roman"/>
          <w:b/>
          <w:color w:val="auto"/>
        </w:rPr>
        <w:t>Projeto Polícia Científica -</w:t>
      </w:r>
      <w:r>
        <w:rPr>
          <w:rFonts w:ascii="Times New Roman" w:hAnsi="Times New Roman" w:cs="Times New Roman"/>
          <w:color w:val="auto"/>
        </w:rPr>
        <w:t xml:space="preserve"> Gestão eletrônica de documentos (laudos de 10, 15 anos)</w:t>
      </w:r>
      <w:r w:rsidR="00ED17C6">
        <w:rPr>
          <w:rFonts w:ascii="Times New Roman" w:hAnsi="Times New Roman" w:cs="Times New Roman"/>
          <w:color w:val="auto"/>
        </w:rPr>
        <w:t>,</w:t>
      </w:r>
      <w:r>
        <w:rPr>
          <w:rFonts w:ascii="Times New Roman" w:hAnsi="Times New Roman" w:cs="Times New Roman"/>
          <w:color w:val="auto"/>
        </w:rPr>
        <w:t xml:space="preserve"> com garantia de perenidade e validade jurídica, por meio da certificação digital. São 3 mil funcionários e 800 peritos no Estado e 1,2 milhão de laudos/ano, com 5 milhões de folhas de papel. Ambiente integrado, garantia de autenticidade e de conteúdo. Agilidade, acessibilidade, identificação do passivo, de espaço físico de arquivamento. Finalização do contrato, com entrega de 1.530 </w:t>
      </w:r>
      <w:r>
        <w:rPr>
          <w:rFonts w:ascii="Times New Roman" w:hAnsi="Times New Roman" w:cs="Times New Roman"/>
          <w:i/>
          <w:color w:val="auto"/>
        </w:rPr>
        <w:t>kits</w:t>
      </w:r>
      <w:r>
        <w:rPr>
          <w:rFonts w:ascii="Times New Roman" w:hAnsi="Times New Roman" w:cs="Times New Roman"/>
          <w:color w:val="auto"/>
        </w:rPr>
        <w:t xml:space="preserve"> de certificados digitais.</w:t>
      </w:r>
    </w:p>
    <w:p w:rsidR="003E6588" w:rsidRDefault="003E6588">
      <w:pPr>
        <w:pStyle w:val="msolistparagraph0"/>
        <w:ind w:left="0" w:firstLine="1134"/>
        <w:rPr>
          <w:rFonts w:ascii="Times New Roman" w:hAnsi="Times New Roman" w:cs="Times New Roman"/>
          <w:color w:val="auto"/>
        </w:rPr>
      </w:pPr>
    </w:p>
    <w:p w:rsidR="003E6588" w:rsidRDefault="003E6588">
      <w:pPr>
        <w:ind w:firstLine="1134"/>
        <w:jc w:val="both"/>
      </w:pPr>
      <w:r>
        <w:rPr>
          <w:b/>
        </w:rPr>
        <w:t>Projeto Incor</w:t>
      </w:r>
      <w:r>
        <w:t xml:space="preserve"> - Assinatura digital, por meio de certificados digitais, no processo do atendimento ambulatorial</w:t>
      </w:r>
      <w:r w:rsidR="00ED17C6">
        <w:t>,</w:t>
      </w:r>
      <w:r>
        <w:t xml:space="preserve"> de modo que o registro eletrônico final tenha validade jurídica. Projeto piloto com 1.500 atendimentos com assinatura digital no Sistema Integrado de Informações Institucionais (SI3) e emissão de 50 certificados digitais. Potencial de eliminar a impressão de 750.000 documentos/ano. Entrega de 556 certificados digitais.</w:t>
      </w:r>
    </w:p>
    <w:p w:rsidR="003E6588" w:rsidRDefault="003E6588">
      <w:pPr>
        <w:pStyle w:val="Commarcadores"/>
      </w:pPr>
    </w:p>
    <w:p w:rsidR="003E6588" w:rsidRDefault="003E6588">
      <w:pPr>
        <w:pStyle w:val="Commarcadores"/>
      </w:pPr>
      <w:r>
        <w:rPr>
          <w:b/>
        </w:rPr>
        <w:t xml:space="preserve">Projeto Jucesp </w:t>
      </w:r>
      <w:r>
        <w:rPr>
          <w:b/>
          <w:i/>
        </w:rPr>
        <w:t>On line -</w:t>
      </w:r>
      <w:r>
        <w:t xml:space="preserve"> Projeto que disponibiliza grande maioria de seus serviços via portal e a certificação digital, provida pela Imprensa Oficial do Estado, permite a validação jurídica dos documentos. Esses serviços são gratuitos e disponíveis 24 horas por dia, sete dias por semana. Dados expressivos, desde o início do projeto:</w:t>
      </w:r>
    </w:p>
    <w:p w:rsidR="003E6588" w:rsidRDefault="003E6588">
      <w:pPr>
        <w:pStyle w:val="Commarcadores"/>
      </w:pPr>
    </w:p>
    <w:p w:rsidR="003E6588" w:rsidRDefault="003E6588" w:rsidP="00ED17C6">
      <w:pPr>
        <w:ind w:firstLine="1134"/>
        <w:jc w:val="both"/>
      </w:pPr>
      <w:r>
        <w:t>- Pesquisa de empresas - 99.922.020.</w:t>
      </w:r>
    </w:p>
    <w:p w:rsidR="003E6588" w:rsidRDefault="003E6588" w:rsidP="00ED17C6">
      <w:pPr>
        <w:jc w:val="both"/>
      </w:pPr>
    </w:p>
    <w:p w:rsidR="003E6588" w:rsidRDefault="003E6588" w:rsidP="00ED17C6">
      <w:pPr>
        <w:ind w:firstLine="1134"/>
        <w:jc w:val="both"/>
      </w:pPr>
      <w:r>
        <w:t>- Dados cadastrais (FBR e Ficha Cadastral) - 33.775.266.</w:t>
      </w:r>
    </w:p>
    <w:p w:rsidR="00ED17C6" w:rsidRDefault="00ED17C6" w:rsidP="00ED17C6">
      <w:pPr>
        <w:ind w:firstLine="1134"/>
        <w:jc w:val="both"/>
      </w:pPr>
    </w:p>
    <w:p w:rsidR="003E6588" w:rsidRDefault="003E6588" w:rsidP="00ED17C6">
      <w:pPr>
        <w:ind w:firstLine="1134"/>
        <w:jc w:val="both"/>
      </w:pPr>
      <w:r>
        <w:t>- Certidões (simplificada e específica pré-formatada) - 2.704.237.</w:t>
      </w:r>
    </w:p>
    <w:p w:rsidR="003E6588" w:rsidRDefault="003E6588" w:rsidP="00ED17C6">
      <w:pPr>
        <w:ind w:firstLine="1134"/>
        <w:jc w:val="both"/>
      </w:pPr>
    </w:p>
    <w:p w:rsidR="003E6588" w:rsidRDefault="003E6588" w:rsidP="00ED17C6">
      <w:pPr>
        <w:ind w:firstLine="1134"/>
        <w:jc w:val="both"/>
      </w:pPr>
      <w:r>
        <w:t>- Consulta de nome empresarial - 1.163.491.</w:t>
      </w:r>
    </w:p>
    <w:p w:rsidR="003E6588" w:rsidRDefault="003E6588" w:rsidP="00ED17C6">
      <w:pPr>
        <w:ind w:firstLine="1134"/>
        <w:jc w:val="both"/>
      </w:pPr>
    </w:p>
    <w:p w:rsidR="003E6588" w:rsidRDefault="003E6588" w:rsidP="00ED17C6">
      <w:pPr>
        <w:ind w:firstLine="1134"/>
        <w:jc w:val="both"/>
      </w:pPr>
      <w:r>
        <w:t>- Documentos digitalizados (exceto FBR) - 4.972.769.</w:t>
      </w:r>
    </w:p>
    <w:p w:rsidR="003E6588" w:rsidRDefault="003E6588" w:rsidP="00ED17C6">
      <w:pPr>
        <w:ind w:firstLine="1134"/>
        <w:jc w:val="both"/>
      </w:pPr>
    </w:p>
    <w:p w:rsidR="003E6588" w:rsidRDefault="003E6588" w:rsidP="00ED17C6">
      <w:pPr>
        <w:ind w:firstLine="1134"/>
        <w:jc w:val="both"/>
      </w:pPr>
      <w:r>
        <w:t>- Total de consulta de autenticidade - 141.242.060.</w:t>
      </w:r>
    </w:p>
    <w:p w:rsidR="003E6588" w:rsidRDefault="003E6588" w:rsidP="00ED17C6">
      <w:pPr>
        <w:ind w:firstLine="1134"/>
        <w:jc w:val="both"/>
      </w:pPr>
    </w:p>
    <w:p w:rsidR="003E6588" w:rsidRDefault="003E6588" w:rsidP="00ED17C6">
      <w:pPr>
        <w:ind w:firstLine="1134"/>
        <w:jc w:val="both"/>
      </w:pPr>
      <w:r>
        <w:lastRenderedPageBreak/>
        <w:t>- Total de empresas cadastradas - 7.737.853.</w:t>
      </w:r>
    </w:p>
    <w:p w:rsidR="003E6588" w:rsidRDefault="003E6588" w:rsidP="00956EBD">
      <w:pPr>
        <w:ind w:firstLine="1134"/>
        <w:jc w:val="left"/>
      </w:pPr>
    </w:p>
    <w:p w:rsidR="003E6588" w:rsidRDefault="003E6588" w:rsidP="00ED17C6">
      <w:pPr>
        <w:ind w:firstLine="1134"/>
        <w:jc w:val="both"/>
      </w:pPr>
      <w:r>
        <w:t>- Total de solicitações - 147.334.</w:t>
      </w:r>
    </w:p>
    <w:p w:rsidR="003E6588" w:rsidRDefault="003E6588" w:rsidP="00ED17C6">
      <w:pPr>
        <w:ind w:firstLine="1134"/>
        <w:jc w:val="both"/>
      </w:pPr>
    </w:p>
    <w:p w:rsidR="003E6588" w:rsidRDefault="003E6588" w:rsidP="00ED17C6">
      <w:pPr>
        <w:ind w:firstLine="1134"/>
        <w:jc w:val="both"/>
      </w:pPr>
      <w:r>
        <w:t>- Total de clientes - 684.650.</w:t>
      </w:r>
    </w:p>
    <w:p w:rsidR="003E6588" w:rsidRDefault="003E6588" w:rsidP="00ED17C6">
      <w:pPr>
        <w:ind w:firstLine="1134"/>
        <w:jc w:val="both"/>
      </w:pPr>
    </w:p>
    <w:p w:rsidR="003E6588" w:rsidRDefault="003E6588" w:rsidP="00ED17C6">
      <w:pPr>
        <w:ind w:firstLine="1134"/>
        <w:jc w:val="both"/>
      </w:pPr>
      <w:r>
        <w:t>- Total de acessos de clientes - 32.389.268.</w:t>
      </w:r>
    </w:p>
    <w:p w:rsidR="003E6588" w:rsidRDefault="003E6588" w:rsidP="00ED17C6">
      <w:pPr>
        <w:ind w:firstLine="1134"/>
        <w:jc w:val="both"/>
      </w:pPr>
    </w:p>
    <w:p w:rsidR="003E6588" w:rsidRDefault="003E6588" w:rsidP="00ED17C6">
      <w:pPr>
        <w:ind w:firstLine="1134"/>
        <w:jc w:val="both"/>
      </w:pPr>
      <w:r>
        <w:t>- Total de documentos digitalizados (FBR e Cópia Digitalizada) - 5.390.025.</w:t>
      </w:r>
    </w:p>
    <w:p w:rsidR="003E6588" w:rsidRDefault="003E6588">
      <w:pPr>
        <w:pStyle w:val="Commarcadores"/>
      </w:pPr>
    </w:p>
    <w:p w:rsidR="003E6588" w:rsidRDefault="003E6588">
      <w:pPr>
        <w:pStyle w:val="Commarcadores"/>
      </w:pPr>
      <w:r>
        <w:rPr>
          <w:b/>
        </w:rPr>
        <w:t>Projeto de digitalização São Paulo Previdência -</w:t>
      </w:r>
      <w:r>
        <w:t xml:space="preserve"> </w:t>
      </w:r>
      <w:r>
        <w:rPr>
          <w:b/>
        </w:rPr>
        <w:t>SPPREV</w:t>
      </w:r>
      <w:r>
        <w:t xml:space="preserve"> - O projeto prevê a digitalização de 30 milhões de páginas.</w:t>
      </w:r>
    </w:p>
    <w:p w:rsidR="003E6588" w:rsidRDefault="003E6588">
      <w:pPr>
        <w:pStyle w:val="Commarcadores"/>
      </w:pPr>
    </w:p>
    <w:p w:rsidR="003E6588" w:rsidRDefault="003E6588" w:rsidP="00ED17C6">
      <w:pPr>
        <w:ind w:firstLine="1134"/>
        <w:jc w:val="both"/>
        <w:rPr>
          <w:b/>
        </w:rPr>
      </w:pPr>
      <w:r>
        <w:rPr>
          <w:b/>
        </w:rPr>
        <w:t>Soluções de hospedagem</w:t>
      </w:r>
      <w:r>
        <w:rPr>
          <w:b/>
          <w:color w:val="FF0000"/>
        </w:rPr>
        <w:t xml:space="preserve"> </w:t>
      </w:r>
      <w:r>
        <w:rPr>
          <w:b/>
        </w:rPr>
        <w:t>com certificação digital</w:t>
      </w:r>
    </w:p>
    <w:p w:rsidR="003E6588" w:rsidRDefault="003E6588">
      <w:pPr>
        <w:ind w:firstLine="1134"/>
        <w:rPr>
          <w:b/>
        </w:rPr>
      </w:pPr>
    </w:p>
    <w:p w:rsidR="003E6588" w:rsidRDefault="003E6588" w:rsidP="00ED17C6">
      <w:pPr>
        <w:ind w:firstLine="1134"/>
        <w:jc w:val="both"/>
      </w:pPr>
      <w:r>
        <w:t xml:space="preserve">São Paulo Previdência - SPPREV - Solução de hospedagem - </w:t>
      </w:r>
      <w:r>
        <w:rPr>
          <w:i/>
        </w:rPr>
        <w:t xml:space="preserve">Site </w:t>
      </w:r>
      <w:r>
        <w:t xml:space="preserve">institucional, sistema Sigeprev (Sistema de Gestão de Benefícios Previdenciários), </w:t>
      </w:r>
      <w:r>
        <w:rPr>
          <w:i/>
        </w:rPr>
        <w:t>Content Manager</w:t>
      </w:r>
      <w:r>
        <w:t xml:space="preserve"> e </w:t>
      </w:r>
      <w:r>
        <w:rPr>
          <w:i/>
        </w:rPr>
        <w:t>Record Manager</w:t>
      </w:r>
      <w:r w:rsidR="00ED17C6">
        <w:rPr>
          <w:i/>
        </w:rPr>
        <w:t>,</w:t>
      </w:r>
      <w:r>
        <w:t xml:space="preserve"> estes dois últimos utilizados na solução de desmaterialização/digitalização de processos e documentos.</w:t>
      </w:r>
    </w:p>
    <w:p w:rsidR="003E6588" w:rsidRDefault="003E6588" w:rsidP="00ED17C6">
      <w:pPr>
        <w:ind w:firstLine="1134"/>
        <w:jc w:val="both"/>
      </w:pPr>
    </w:p>
    <w:p w:rsidR="003E6588" w:rsidRDefault="003E6588" w:rsidP="00ED17C6">
      <w:pPr>
        <w:ind w:firstLine="1134"/>
        <w:jc w:val="both"/>
      </w:pPr>
      <w:r>
        <w:t xml:space="preserve">Universidade Virtual do Estado de São Paulo - Univesp - Hospedagem de </w:t>
      </w:r>
      <w:r>
        <w:rPr>
          <w:i/>
        </w:rPr>
        <w:t>site</w:t>
      </w:r>
      <w:r>
        <w:t xml:space="preserve"> da Fundação, cujo principal objetivo é utilizar a tecnologia a serviço da educação e da cidadania, levando conhecimento e educação de qualidade.</w:t>
      </w:r>
    </w:p>
    <w:p w:rsidR="003E6588" w:rsidRDefault="003E6588" w:rsidP="00ED17C6">
      <w:pPr>
        <w:ind w:firstLine="1134"/>
        <w:jc w:val="both"/>
      </w:pPr>
    </w:p>
    <w:p w:rsidR="003E6588" w:rsidRDefault="003E6588" w:rsidP="00ED17C6">
      <w:pPr>
        <w:ind w:firstLine="1134"/>
        <w:jc w:val="both"/>
      </w:pPr>
      <w:r>
        <w:t xml:space="preserve">Secretaria dos Direitos da Pessoa com Deficiência - Hospedagem do </w:t>
      </w:r>
      <w:r>
        <w:rPr>
          <w:i/>
        </w:rPr>
        <w:t>site</w:t>
      </w:r>
      <w:r>
        <w:t xml:space="preserve"> da Secretaria.</w:t>
      </w:r>
    </w:p>
    <w:p w:rsidR="003E6588" w:rsidRDefault="003E6588" w:rsidP="00ED17C6">
      <w:pPr>
        <w:ind w:firstLine="1134"/>
        <w:jc w:val="both"/>
      </w:pPr>
    </w:p>
    <w:p w:rsidR="003E6588" w:rsidRDefault="003E6588" w:rsidP="00ED17C6">
      <w:pPr>
        <w:pStyle w:val="Ttulo"/>
        <w:ind w:firstLine="1134"/>
        <w:jc w:val="both"/>
        <w:rPr>
          <w:b w:val="0"/>
          <w:color w:val="000000"/>
        </w:rPr>
      </w:pPr>
      <w:r>
        <w:t xml:space="preserve">Implantação de assinatura digital - </w:t>
      </w:r>
      <w:r>
        <w:rPr>
          <w:b w:val="0"/>
          <w:color w:val="000000"/>
        </w:rPr>
        <w:t xml:space="preserve">Desenvolvimento e implantação de </w:t>
      </w:r>
      <w:r>
        <w:rPr>
          <w:b w:val="0"/>
          <w:i/>
          <w:color w:val="000000"/>
        </w:rPr>
        <w:t>WebService</w:t>
      </w:r>
      <w:r>
        <w:rPr>
          <w:b w:val="0"/>
          <w:color w:val="000000"/>
        </w:rPr>
        <w:t xml:space="preserve"> para assinaturas digitais de formulários do processo de multas da Secretaria dos Transportes Metropolitanos, com utilização de SDK Java, desenvolvimento de </w:t>
      </w:r>
      <w:r>
        <w:rPr>
          <w:b w:val="0"/>
          <w:i/>
          <w:color w:val="000000"/>
        </w:rPr>
        <w:t>WebService</w:t>
      </w:r>
      <w:r>
        <w:rPr>
          <w:b w:val="0"/>
          <w:color w:val="000000"/>
        </w:rPr>
        <w:t xml:space="preserve"> de consulta e hospedagem da solução na Imprensa Oficial.</w:t>
      </w:r>
    </w:p>
    <w:p w:rsidR="003E6588" w:rsidRDefault="003E6588" w:rsidP="00ED17C6">
      <w:pPr>
        <w:ind w:firstLine="1134"/>
        <w:jc w:val="both"/>
        <w:rPr>
          <w:lang w:eastAsia="en-US"/>
        </w:rPr>
      </w:pPr>
    </w:p>
    <w:p w:rsidR="003E6588" w:rsidRDefault="003E6588">
      <w:pPr>
        <w:pStyle w:val="Commarcadores"/>
      </w:pPr>
      <w:r>
        <w:rPr>
          <w:b/>
        </w:rPr>
        <w:t>Implantação do Sistema Dossiê Eletrônico</w:t>
      </w:r>
      <w:r>
        <w:t xml:space="preserve"> - Desenvolvido a partir do sistema de digitalização utilizado pela autoridade de registro Imprensa Oficial do Rio de Janeiro, vinculada à autoridade certificadora Imprensa Oficial, o </w:t>
      </w:r>
      <w:r>
        <w:rPr>
          <w:i/>
        </w:rPr>
        <w:t>Dossiê</w:t>
      </w:r>
      <w:r>
        <w:t xml:space="preserve"> Eletrônico complementa processo de comunicação interna para a emis</w:t>
      </w:r>
      <w:r w:rsidR="00ED17C6">
        <w:t>são de certificados digitais e faz a guarda dos documentos.</w:t>
      </w:r>
    </w:p>
    <w:p w:rsidR="00ED17C6" w:rsidRDefault="00ED17C6">
      <w:pPr>
        <w:pStyle w:val="Commarcadores"/>
      </w:pPr>
    </w:p>
    <w:p w:rsidR="003E6588" w:rsidRDefault="003E6588">
      <w:pPr>
        <w:ind w:firstLine="1134"/>
        <w:jc w:val="both"/>
      </w:pPr>
      <w:r>
        <w:rPr>
          <w:b/>
        </w:rPr>
        <w:t>Implementação de Projeto SDK</w:t>
      </w:r>
      <w:r>
        <w:t xml:space="preserve"> - Bibliotecas criptográficas para implantação do sistema de assinatura digital da Prodesp.</w:t>
      </w:r>
    </w:p>
    <w:p w:rsidR="003E6588" w:rsidRDefault="003E6588" w:rsidP="00ED17C6">
      <w:pPr>
        <w:ind w:firstLine="1134"/>
        <w:jc w:val="both"/>
      </w:pPr>
    </w:p>
    <w:p w:rsidR="003E6588" w:rsidRDefault="003E6588">
      <w:pPr>
        <w:ind w:firstLine="1134"/>
        <w:jc w:val="both"/>
      </w:pPr>
      <w:r>
        <w:rPr>
          <w:b/>
          <w:bCs/>
        </w:rPr>
        <w:t xml:space="preserve">Treinamentos - </w:t>
      </w:r>
      <w:r>
        <w:t>A equipe de certificação digital capacitou 64 agentes de registro, profissionais que atuam nas autoridades de registro vinculadas à AC Imprensa Oficial. Desenvolveu e ministrou treinamentos de conceitos básicos e avançados em Certificação Digital para 28 profissionais, atendendo aos seguintes clientes: Fundação Casa e Secretaria da Fazenda.</w:t>
      </w:r>
    </w:p>
    <w:p w:rsidR="003E6588" w:rsidRDefault="003E6588">
      <w:pPr>
        <w:ind w:firstLine="1134"/>
      </w:pPr>
    </w:p>
    <w:p w:rsidR="003E6588" w:rsidRDefault="003E6588">
      <w:pPr>
        <w:ind w:firstLine="1134"/>
        <w:jc w:val="both"/>
      </w:pPr>
      <w:r>
        <w:rPr>
          <w:b/>
        </w:rPr>
        <w:lastRenderedPageBreak/>
        <w:t xml:space="preserve">Produtos Jornalísticos e Informação - </w:t>
      </w:r>
      <w:r>
        <w:t>Principais realizações em cada área de produtos jornalísticos e informação:</w:t>
      </w:r>
    </w:p>
    <w:p w:rsidR="003E6588" w:rsidRDefault="003E6588">
      <w:pPr>
        <w:ind w:firstLine="1134"/>
        <w:jc w:val="both"/>
      </w:pPr>
    </w:p>
    <w:p w:rsidR="003E6588" w:rsidRDefault="003E6588">
      <w:pPr>
        <w:ind w:firstLine="1134"/>
        <w:jc w:val="both"/>
      </w:pPr>
      <w:r>
        <w:rPr>
          <w:b/>
        </w:rPr>
        <w:t xml:space="preserve">Diário Oficial - </w:t>
      </w:r>
      <w:r>
        <w:t xml:space="preserve">Contínua evolução e atualização da plataforma de sistemas de operação do Diário Oficial em razão de novas ferramentas de tecnologia da informação, garantindo condição de vanguarda com os preceitos da publicidade, perenidade e autenticidade dos atos públicos, colocando </w:t>
      </w:r>
      <w:r w:rsidR="00ED17C6">
        <w:t>à</w:t>
      </w:r>
      <w:r>
        <w:t xml:space="preserve"> disposição do publicante linha de atendimento direta para eventuais dúvidas quanto à prestação de serviços do Diário Oficial.</w:t>
      </w:r>
    </w:p>
    <w:p w:rsidR="003E6588" w:rsidRDefault="003E6588">
      <w:pPr>
        <w:pStyle w:val="Commarcadores"/>
      </w:pPr>
    </w:p>
    <w:p w:rsidR="003E6588" w:rsidRDefault="003E6588">
      <w:pPr>
        <w:pStyle w:val="Commarcadores"/>
      </w:pPr>
      <w:r>
        <w:t xml:space="preserve">É continua a tendência de utilização da </w:t>
      </w:r>
      <w:r>
        <w:rPr>
          <w:i/>
        </w:rPr>
        <w:t>internet</w:t>
      </w:r>
      <w:r>
        <w:t xml:space="preserve"> pelo cidadão ao acesso do Diário Oficial, onde gratuitamente é disponibilizado todo acervo. Desta forma, é real a redução da quantidade de exemplares impressos devido </w:t>
      </w:r>
      <w:r w:rsidR="00ED17C6">
        <w:t>à</w:t>
      </w:r>
      <w:r>
        <w:t xml:space="preserve"> maior utilização da versão eletrônica, disponível na </w:t>
      </w:r>
      <w:r>
        <w:rPr>
          <w:i/>
        </w:rPr>
        <w:t>internet</w:t>
      </w:r>
      <w:r>
        <w:t>.</w:t>
      </w:r>
    </w:p>
    <w:p w:rsidR="003E6588" w:rsidRDefault="003E6588">
      <w:pPr>
        <w:ind w:firstLine="1134"/>
        <w:jc w:val="both"/>
        <w:rPr>
          <w:b/>
        </w:rPr>
      </w:pPr>
    </w:p>
    <w:p w:rsidR="003E6588" w:rsidRDefault="003E6588">
      <w:pPr>
        <w:ind w:firstLine="1134"/>
        <w:jc w:val="both"/>
      </w:pPr>
      <w:r>
        <w:rPr>
          <w:b/>
          <w:i/>
        </w:rPr>
        <w:t>iClipping</w:t>
      </w:r>
      <w:r>
        <w:rPr>
          <w:b/>
        </w:rPr>
        <w:t xml:space="preserve"> - </w:t>
      </w:r>
      <w:r>
        <w:t xml:space="preserve">Disponível no </w:t>
      </w:r>
      <w:r>
        <w:rPr>
          <w:i/>
        </w:rPr>
        <w:t>iPad</w:t>
      </w:r>
      <w:r>
        <w:t xml:space="preserve">, o </w:t>
      </w:r>
      <w:r>
        <w:rPr>
          <w:i/>
        </w:rPr>
        <w:t>iClipping</w:t>
      </w:r>
      <w:r>
        <w:t xml:space="preserve"> é solução que acompanha as tendências e inovações das ferramentas cibernéticas de comunicação, produto o</w:t>
      </w:r>
      <w:r w:rsidR="00ED17C6">
        <w:t>ferecido pela Imprensa Oficial.</w:t>
      </w:r>
    </w:p>
    <w:p w:rsidR="003E6588" w:rsidRDefault="003E6588">
      <w:pPr>
        <w:ind w:firstLine="1134"/>
        <w:jc w:val="both"/>
        <w:rPr>
          <w:b/>
        </w:rPr>
      </w:pPr>
    </w:p>
    <w:p w:rsidR="003E6588" w:rsidRDefault="003E6588">
      <w:pPr>
        <w:ind w:firstLine="1134"/>
        <w:jc w:val="both"/>
        <w:rPr>
          <w:bCs/>
        </w:rPr>
      </w:pPr>
      <w:r w:rsidRPr="002244A6">
        <w:rPr>
          <w:b/>
          <w:i/>
        </w:rPr>
        <w:t>Clipping</w:t>
      </w:r>
      <w:r>
        <w:rPr>
          <w:b/>
        </w:rPr>
        <w:t xml:space="preserve"> Multimeios - </w:t>
      </w:r>
      <w:r w:rsidR="00ED17C6">
        <w:t xml:space="preserve">A </w:t>
      </w:r>
      <w:r>
        <w:t>Imprensa Oficial vem investindo em novas tecnologias e processos de gestão</w:t>
      </w:r>
      <w:r>
        <w:rPr>
          <w:bCs/>
        </w:rPr>
        <w:t xml:space="preserve"> na área de gerenciamento de informações.</w:t>
      </w:r>
    </w:p>
    <w:p w:rsidR="003E6588" w:rsidRDefault="003E6588">
      <w:pPr>
        <w:ind w:firstLine="1134"/>
        <w:jc w:val="both"/>
        <w:rPr>
          <w:bCs/>
        </w:rPr>
      </w:pPr>
    </w:p>
    <w:p w:rsidR="003E6588" w:rsidRDefault="003E6588">
      <w:pPr>
        <w:ind w:firstLine="1134"/>
        <w:jc w:val="both"/>
      </w:pPr>
      <w:r>
        <w:t>O projeto</w:t>
      </w:r>
      <w:r>
        <w:rPr>
          <w:bCs/>
        </w:rPr>
        <w:t xml:space="preserve"> </w:t>
      </w:r>
      <w:r>
        <w:rPr>
          <w:bCs/>
          <w:i/>
        </w:rPr>
        <w:t xml:space="preserve">Clipping </w:t>
      </w:r>
      <w:r>
        <w:rPr>
          <w:bCs/>
        </w:rPr>
        <w:t>Multimeios</w:t>
      </w:r>
      <w:r>
        <w:t xml:space="preserve">, </w:t>
      </w:r>
      <w:r>
        <w:rPr>
          <w:bCs/>
        </w:rPr>
        <w:t>é</w:t>
      </w:r>
      <w:r>
        <w:t xml:space="preserve"> desenvolvido especificamente para captação, gerenciamento e disponibilização da informação de forma ágil, organizada e personalizada, e vem para inovar o modo de fazer </w:t>
      </w:r>
      <w:r>
        <w:rPr>
          <w:i/>
        </w:rPr>
        <w:t>Clipping</w:t>
      </w:r>
      <w:r>
        <w:t>.</w:t>
      </w:r>
    </w:p>
    <w:p w:rsidR="003E6588" w:rsidRDefault="003E6588">
      <w:pPr>
        <w:ind w:firstLine="1134"/>
        <w:jc w:val="both"/>
        <w:rPr>
          <w:bCs/>
        </w:rPr>
      </w:pPr>
    </w:p>
    <w:p w:rsidR="003E6588" w:rsidRDefault="003E6588">
      <w:pPr>
        <w:ind w:firstLine="1134"/>
        <w:jc w:val="both"/>
      </w:pPr>
      <w:r>
        <w:t>Dinâmico e interativo</w:t>
      </w:r>
      <w:r w:rsidR="00ED17C6">
        <w:t>,</w:t>
      </w:r>
      <w:r>
        <w:t xml:space="preserve"> apresenta conteúdos com acesso em tempo real, produz dados estatísticos e gráficos, pesquisas por palavras-chave, análises qualitativas, alertas em tempo real via </w:t>
      </w:r>
      <w:r>
        <w:rPr>
          <w:i/>
        </w:rPr>
        <w:t>e-mail</w:t>
      </w:r>
      <w:r>
        <w:t xml:space="preserve"> e telefonia móvel, gerenciador de crise, boletins eletrônicos, integração com </w:t>
      </w:r>
      <w:r>
        <w:rPr>
          <w:i/>
        </w:rPr>
        <w:t>sites</w:t>
      </w:r>
      <w:r>
        <w:t xml:space="preserve"> corporativos dos clientes de forma personalizada, sistemas interativos com redes sociais, além de aumentar exponencialmente o número de mídias monitoradas e seus meios, uma vez que o sistema engloba a captação de notícias não só de mídias impressas, mas de </w:t>
      </w:r>
      <w:r>
        <w:rPr>
          <w:i/>
        </w:rPr>
        <w:t>internet</w:t>
      </w:r>
      <w:r>
        <w:t>, rádio e TV.</w:t>
      </w:r>
    </w:p>
    <w:p w:rsidR="003E6588" w:rsidRDefault="003E6588">
      <w:pPr>
        <w:ind w:firstLine="1134"/>
        <w:jc w:val="both"/>
        <w:rPr>
          <w:bCs/>
        </w:rPr>
      </w:pPr>
    </w:p>
    <w:p w:rsidR="003E6588" w:rsidRDefault="00ED17C6">
      <w:pPr>
        <w:ind w:firstLine="1134"/>
        <w:jc w:val="both"/>
      </w:pPr>
      <w:r>
        <w:t xml:space="preserve">O </w:t>
      </w:r>
      <w:r w:rsidR="003E6588">
        <w:rPr>
          <w:i/>
        </w:rPr>
        <w:t>Clipping</w:t>
      </w:r>
      <w:r w:rsidR="003E6588">
        <w:t xml:space="preserve"> Multimeios está disponível </w:t>
      </w:r>
      <w:r w:rsidR="003E6588">
        <w:rPr>
          <w:i/>
        </w:rPr>
        <w:t>on line</w:t>
      </w:r>
      <w:r w:rsidR="003E6588">
        <w:t>, em qualquer país do mundo, 24 horas por dia, 365 dias por ano, por meio de qualquer dispositivo eletrônico.</w:t>
      </w:r>
    </w:p>
    <w:p w:rsidR="00ED17C6" w:rsidRDefault="00ED17C6">
      <w:pPr>
        <w:ind w:firstLine="1134"/>
        <w:jc w:val="both"/>
      </w:pPr>
    </w:p>
    <w:p w:rsidR="003E6588" w:rsidRDefault="003E6588">
      <w:pPr>
        <w:ind w:firstLine="1134"/>
        <w:jc w:val="both"/>
      </w:pPr>
      <w:r>
        <w:rPr>
          <w:b/>
        </w:rPr>
        <w:t xml:space="preserve">Conteúdo Editorial - </w:t>
      </w:r>
      <w:r>
        <w:t>Investindo em novos processos tecnológicos, e com versátil e competente equipe de jornalistas, além de produzir diariamente as páginas editorias do Diário Oficial, o setor desenvolve projetos de comunicação, informação e notícia para dar agilidade, aumentar a publicidade e manter transparência aos acontecimentos do Governo do Estado aos diversos órgãos a ele vinculados e às suas empresas.</w:t>
      </w:r>
    </w:p>
    <w:p w:rsidR="003E6588" w:rsidRDefault="003E6588">
      <w:pPr>
        <w:ind w:firstLine="1134"/>
        <w:jc w:val="both"/>
      </w:pPr>
    </w:p>
    <w:p w:rsidR="003E6588" w:rsidRDefault="003E6588">
      <w:pPr>
        <w:ind w:firstLine="1134"/>
        <w:jc w:val="both"/>
      </w:pPr>
      <w:r>
        <w:t>A área se estrutura cada vez mais para proporcionar à sociedade paulista nova experiência em compartilhamento de informação e notícias, atualizadas diariamente, podendo ser acessadas por meio de qualquer dispositivo eletrônico.</w:t>
      </w:r>
    </w:p>
    <w:p w:rsidR="003E6588" w:rsidRDefault="003E6588">
      <w:pPr>
        <w:ind w:firstLine="1134"/>
        <w:jc w:val="both"/>
      </w:pPr>
    </w:p>
    <w:p w:rsidR="003E6588" w:rsidRDefault="003E6588">
      <w:pPr>
        <w:ind w:firstLine="1134"/>
        <w:jc w:val="both"/>
      </w:pPr>
      <w:r>
        <w:rPr>
          <w:b/>
        </w:rPr>
        <w:lastRenderedPageBreak/>
        <w:t xml:space="preserve">Produtos Gráficos e de Informação - </w:t>
      </w:r>
      <w:r>
        <w:t>Principais realizações na área de negócios</w:t>
      </w:r>
      <w:r w:rsidR="00ED17C6">
        <w:t>,</w:t>
      </w:r>
      <w:r>
        <w:t xml:space="preserve"> com ênfase em produtos gráficos e de informação:</w:t>
      </w:r>
    </w:p>
    <w:p w:rsidR="003E6588" w:rsidRDefault="003E6588">
      <w:pPr>
        <w:ind w:firstLine="1134"/>
        <w:jc w:val="both"/>
        <w:rPr>
          <w:b/>
        </w:rPr>
      </w:pPr>
    </w:p>
    <w:p w:rsidR="003E6588" w:rsidRDefault="003E6588">
      <w:pPr>
        <w:ind w:firstLine="1134"/>
        <w:jc w:val="both"/>
      </w:pPr>
      <w:r>
        <w:rPr>
          <w:b/>
        </w:rPr>
        <w:t xml:space="preserve">Vendas de Serviços Gráficos - </w:t>
      </w:r>
      <w:r w:rsidR="00ED17C6">
        <w:t xml:space="preserve">Mudança </w:t>
      </w:r>
      <w:r>
        <w:t>estratégica nos rumos da Gráfica da Imprensa Oficial, consolida</w:t>
      </w:r>
      <w:r w:rsidR="00236C8C">
        <w:t>r</w:t>
      </w:r>
      <w:r>
        <w:t xml:space="preserve"> a tendência já identificada nos últimos anos na impressão dos matérias didáticos da Secretaria da Educação.</w:t>
      </w:r>
    </w:p>
    <w:p w:rsidR="003E6588" w:rsidRDefault="003E6588">
      <w:pPr>
        <w:ind w:firstLine="1134"/>
        <w:jc w:val="both"/>
      </w:pPr>
    </w:p>
    <w:p w:rsidR="003E6588" w:rsidRDefault="003E6588">
      <w:pPr>
        <w:ind w:firstLine="1134"/>
        <w:jc w:val="both"/>
      </w:pPr>
      <w:r>
        <w:t>Tod</w:t>
      </w:r>
      <w:r w:rsidR="00236C8C">
        <w:t>o</w:t>
      </w:r>
      <w:r>
        <w:t xml:space="preserve"> o potencial das oficinas gráficas da Imprensa Oficial integraram-se em projeto de grande escala, estruturado para fornecer todo material didático para alunos da rede pública, imprimindo e distribuindo 75 milhões de livros.</w:t>
      </w:r>
    </w:p>
    <w:p w:rsidR="003E6588" w:rsidRDefault="003E6588">
      <w:pPr>
        <w:ind w:firstLine="1134"/>
        <w:jc w:val="both"/>
      </w:pPr>
    </w:p>
    <w:p w:rsidR="003E6588" w:rsidRDefault="003E6588">
      <w:pPr>
        <w:pStyle w:val="Commarcadores"/>
      </w:pPr>
      <w:r w:rsidRPr="00236C8C">
        <w:t>O faturamento de serviços gráficos deve ser impactado de forma significativa em decorrência da produção destes materiais contratados pela Secretaria da Educação.</w:t>
      </w:r>
    </w:p>
    <w:p w:rsidR="003E6588" w:rsidRDefault="003E6588">
      <w:pPr>
        <w:pStyle w:val="Commarcadores"/>
      </w:pPr>
    </w:p>
    <w:p w:rsidR="003E6588" w:rsidRDefault="003E6588">
      <w:pPr>
        <w:ind w:firstLine="1134"/>
        <w:jc w:val="both"/>
        <w:rPr>
          <w:b/>
        </w:rPr>
      </w:pPr>
      <w:r>
        <w:rPr>
          <w:b/>
        </w:rPr>
        <w:t>Produtos Editoriais e Institucionais</w:t>
      </w:r>
    </w:p>
    <w:p w:rsidR="003E6588" w:rsidRDefault="003E6588">
      <w:pPr>
        <w:ind w:firstLine="1134"/>
        <w:jc w:val="both"/>
        <w:rPr>
          <w:b/>
        </w:rPr>
      </w:pPr>
    </w:p>
    <w:p w:rsidR="003E6588" w:rsidRDefault="003E6588">
      <w:pPr>
        <w:ind w:firstLine="1134"/>
        <w:jc w:val="both"/>
        <w:rPr>
          <w:lang w:val="pt-PT"/>
        </w:rPr>
      </w:pPr>
      <w:r>
        <w:rPr>
          <w:b/>
        </w:rPr>
        <w:t xml:space="preserve">Editora - </w:t>
      </w:r>
      <w:r>
        <w:rPr>
          <w:lang w:val="pt-PT"/>
        </w:rPr>
        <w:t>A Editora da Imprensa Oficial produziu e imprimiu 5 edições e 8 coedições.</w:t>
      </w:r>
    </w:p>
    <w:p w:rsidR="003E6588" w:rsidRDefault="003E6588">
      <w:pPr>
        <w:shd w:val="clear" w:color="auto" w:fill="FFFFFF"/>
        <w:ind w:firstLine="1134"/>
        <w:jc w:val="both"/>
        <w:rPr>
          <w:lang w:val="pt-PT"/>
        </w:rPr>
      </w:pPr>
    </w:p>
    <w:p w:rsidR="003E6588" w:rsidRDefault="003E6588">
      <w:pPr>
        <w:shd w:val="clear" w:color="auto" w:fill="FFFFFF"/>
        <w:ind w:firstLine="1134"/>
        <w:jc w:val="both"/>
        <w:rPr>
          <w:lang w:val="pt-PT"/>
        </w:rPr>
      </w:pPr>
      <w:r>
        <w:rPr>
          <w:lang w:val="pt-PT"/>
        </w:rPr>
        <w:t xml:space="preserve">Aguardando a impressão gráfica </w:t>
      </w:r>
      <w:r w:rsidR="00ED344A">
        <w:rPr>
          <w:lang w:val="pt-PT"/>
        </w:rPr>
        <w:t xml:space="preserve">foram previstos mais </w:t>
      </w:r>
      <w:r>
        <w:rPr>
          <w:lang w:val="pt-PT"/>
        </w:rPr>
        <w:t>16 novos títulos</w:t>
      </w:r>
      <w:r w:rsidR="00ED344A">
        <w:rPr>
          <w:lang w:val="pt-PT"/>
        </w:rPr>
        <w:t>,</w:t>
      </w:r>
      <w:r>
        <w:rPr>
          <w:lang w:val="pt-PT"/>
        </w:rPr>
        <w:t xml:space="preserve"> entre os quais</w:t>
      </w:r>
      <w:r w:rsidR="00ED344A">
        <w:rPr>
          <w:lang w:val="pt-PT"/>
        </w:rPr>
        <w:t xml:space="preserve"> destacamos</w:t>
      </w:r>
      <w:r>
        <w:rPr>
          <w:lang w:val="pt-PT"/>
        </w:rPr>
        <w:t>: Caixa das Revistas Modernismo 1922-1929, Cadernos de Desenho Flávio de Carvalho</w:t>
      </w:r>
      <w:r>
        <w:rPr>
          <w:i/>
          <w:lang w:val="pt-PT"/>
        </w:rPr>
        <w:t xml:space="preserve">, </w:t>
      </w:r>
      <w:r>
        <w:rPr>
          <w:lang w:val="pt-PT"/>
        </w:rPr>
        <w:t xml:space="preserve">Pittoresco de Antonio Sagese, Sobre o Espírito e a Letra na filosofia - Coleção a Formação da Estética e da Coleção Série Essencial Alberto Santos Dumont, Medeiros e Albuquerque, Alceu Amoroso Lima. </w:t>
      </w:r>
      <w:r w:rsidR="00ED344A">
        <w:rPr>
          <w:lang w:val="pt-PT"/>
        </w:rPr>
        <w:t xml:space="preserve">Totaliza </w:t>
      </w:r>
      <w:r>
        <w:rPr>
          <w:lang w:val="pt-PT"/>
        </w:rPr>
        <w:t>24 coedições e 5 edições próprias.</w:t>
      </w:r>
    </w:p>
    <w:p w:rsidR="003E6588" w:rsidRDefault="003E6588">
      <w:pPr>
        <w:shd w:val="clear" w:color="auto" w:fill="FFFFFF"/>
        <w:ind w:firstLine="1134"/>
        <w:jc w:val="both"/>
        <w:rPr>
          <w:lang w:val="pt-PT"/>
        </w:rPr>
      </w:pPr>
    </w:p>
    <w:p w:rsidR="003E6588" w:rsidRDefault="003E6588" w:rsidP="00ED344A">
      <w:pPr>
        <w:shd w:val="clear" w:color="auto" w:fill="FFFFFF"/>
        <w:ind w:firstLine="1134"/>
        <w:jc w:val="both"/>
        <w:rPr>
          <w:lang w:val="pt-PT"/>
        </w:rPr>
      </w:pPr>
      <w:r>
        <w:rPr>
          <w:lang w:val="pt-PT"/>
        </w:rPr>
        <w:t xml:space="preserve">Entre as edições e coedições produzidas, destacamos: 1964 na visão do Ministro do Trabalho João Goulart; Livro do Ex-libris; O Carnaval de Pixinguinha e Pixinguinhas e Outras pautas; Teatro Oficina fotografias de Lenise Pinheiro; Trilogia do Copan volume 1: A histótia do Edifício Copan; História da Escola </w:t>
      </w:r>
      <w:smartTag w:uri="urn:schemas-microsoft-com:office:smarttags" w:element="PersonName">
        <w:smartTagPr>
          <w:attr w:name="ProductID" w:val="em S￣o Paulo"/>
        </w:smartTagPr>
        <w:r>
          <w:rPr>
            <w:lang w:val="pt-PT"/>
          </w:rPr>
          <w:t>em São Paulo</w:t>
        </w:r>
      </w:smartTag>
      <w:r>
        <w:rPr>
          <w:lang w:val="pt-PT"/>
        </w:rPr>
        <w:t xml:space="preserve"> e no Brasil; e A São Paulo de German Lorca.</w:t>
      </w:r>
    </w:p>
    <w:p w:rsidR="003E6588" w:rsidRDefault="003E6588" w:rsidP="00ED344A">
      <w:pPr>
        <w:shd w:val="clear" w:color="auto" w:fill="FFFFFF"/>
        <w:ind w:firstLine="1134"/>
        <w:jc w:val="both"/>
        <w:rPr>
          <w:lang w:val="pt-PT"/>
        </w:rPr>
      </w:pPr>
    </w:p>
    <w:p w:rsidR="003E6588" w:rsidRDefault="003E6588" w:rsidP="00ED344A">
      <w:pPr>
        <w:ind w:firstLine="1134"/>
        <w:jc w:val="both"/>
      </w:pPr>
      <w:r>
        <w:t xml:space="preserve">A Imprensa Oficial foi agraciada com o Prêmio Jabuti pelo primeiro lugar na categoria Capa, pela Câmara Brasileira do Livro - CBL com o livro </w:t>
      </w:r>
      <w:r>
        <w:rPr>
          <w:i/>
          <w:iCs/>
        </w:rPr>
        <w:t>A São Paulo de German Lorca</w:t>
      </w:r>
      <w:r>
        <w:t>, uma coedição da Imprensa Oficial e Casa da Imagem.</w:t>
      </w:r>
    </w:p>
    <w:p w:rsidR="00ED344A" w:rsidRDefault="00ED344A" w:rsidP="00ED344A">
      <w:pPr>
        <w:ind w:firstLine="1134"/>
        <w:jc w:val="both"/>
      </w:pPr>
    </w:p>
    <w:p w:rsidR="003E6588" w:rsidRDefault="003E6588">
      <w:pPr>
        <w:shd w:val="clear" w:color="auto" w:fill="FFFFFF"/>
        <w:ind w:firstLine="1134"/>
        <w:jc w:val="both"/>
      </w:pPr>
      <w:r>
        <w:rPr>
          <w:lang w:val="pt-PT"/>
        </w:rPr>
        <w:t xml:space="preserve">A Editora da Imprensa Oficial é representativa no mercado editorial, produz livros com relevância cultural e </w:t>
      </w:r>
      <w:r>
        <w:rPr>
          <w:rStyle w:val="Textos"/>
          <w:rFonts w:ascii="Times New Roman" w:hAnsi="Times New Roman" w:cs="Times New Roman"/>
          <w:sz w:val="24"/>
          <w:szCs w:val="24"/>
        </w:rPr>
        <w:t>vem consolidando importantes parcerias com instituições culturais de interesse público e sem fins lucrativos, como Academia Brasileira de Letras, Biblioteca Brasiliana Guita e José Mindlin, Fundação Biblioteca Nacional, Instituto Moreira Salles, Instituto Pró-Livro, Museu da Casa Brasileira, Pinacoteca do Estado, Secretaria da Cultura, Secretaria Municipal de Desenvolvimento Urbano, SESC, Instituto Fernand Braudel</w:t>
      </w:r>
      <w:r>
        <w:rPr>
          <w:lang w:val="pt-PT"/>
        </w:rPr>
        <w:t>,</w:t>
      </w:r>
      <w:r>
        <w:t xml:space="preserve"> </w:t>
      </w:r>
      <w:r>
        <w:rPr>
          <w:lang w:val="pt-PT"/>
        </w:rPr>
        <w:t xml:space="preserve">Oficina do Livro Rubens Borba de Moares, Museu Lasar Segall, Fundação do Desenvolvimento Administrativo - FUNDAP, Secretaria Municipal de Cultura, Casa da Imagem, Arquivo do Estado, </w:t>
      </w:r>
      <w:r>
        <w:rPr>
          <w:rStyle w:val="Textos"/>
          <w:rFonts w:ascii="Times New Roman" w:hAnsi="Times New Roman" w:cs="Times New Roman"/>
          <w:sz w:val="24"/>
          <w:szCs w:val="24"/>
        </w:rPr>
        <w:t>além de parcerias com editoras universitárias como a EDUSP, UNESP, UNICAMP e EDUFMG.</w:t>
      </w:r>
    </w:p>
    <w:p w:rsidR="003E6588" w:rsidRDefault="003E6588">
      <w:pPr>
        <w:shd w:val="clear" w:color="auto" w:fill="FFFFFF"/>
        <w:ind w:firstLine="1134"/>
      </w:pPr>
    </w:p>
    <w:p w:rsidR="003E6588" w:rsidRDefault="003E6588" w:rsidP="00ED344A">
      <w:pPr>
        <w:ind w:firstLine="1134"/>
        <w:jc w:val="both"/>
      </w:pPr>
      <w:r>
        <w:rPr>
          <w:b/>
          <w:bCs/>
        </w:rPr>
        <w:lastRenderedPageBreak/>
        <w:t xml:space="preserve">Responsabilidade Social - </w:t>
      </w:r>
      <w:r>
        <w:t>A Imprensa Oficial promove ações de responsabilidade social e participa de projetos que valorizam a cidadania e a inclusão social.</w:t>
      </w:r>
    </w:p>
    <w:p w:rsidR="003E6588" w:rsidRDefault="003E6588">
      <w:pPr>
        <w:ind w:firstLine="1134"/>
      </w:pPr>
    </w:p>
    <w:p w:rsidR="003E6588" w:rsidRDefault="003E6588">
      <w:pPr>
        <w:ind w:firstLine="1134"/>
        <w:jc w:val="both"/>
      </w:pPr>
      <w:r>
        <w:rPr>
          <w:b/>
        </w:rPr>
        <w:t>Programa Doação de Aparas e Materiais Inservíveis</w:t>
      </w:r>
      <w:r>
        <w:t xml:space="preserve"> - A iniciativa é importante fonte de recursos</w:t>
      </w:r>
      <w:r w:rsidR="00ED344A">
        <w:t>,</w:t>
      </w:r>
      <w:r>
        <w:t xml:space="preserve"> que garante mensalmente melhorias nos diferentes projetos das cinco entidades beneficiadas.</w:t>
      </w:r>
    </w:p>
    <w:p w:rsidR="003E6588" w:rsidRDefault="003E6588">
      <w:pPr>
        <w:ind w:firstLine="1134"/>
        <w:jc w:val="both"/>
      </w:pPr>
    </w:p>
    <w:p w:rsidR="003E6588" w:rsidRDefault="003E6588">
      <w:pPr>
        <w:ind w:firstLine="1134"/>
        <w:jc w:val="both"/>
        <w:rPr>
          <w:color w:val="1F497D"/>
        </w:rPr>
      </w:pPr>
      <w:r>
        <w:t>Foram doadas aparas mistas e branca de papel, papel jornal, tambores, chapas de alumínio, etc</w:t>
      </w:r>
      <w:r>
        <w:rPr>
          <w:color w:val="1F497D"/>
        </w:rPr>
        <w:t>.</w:t>
      </w:r>
    </w:p>
    <w:p w:rsidR="003E6588" w:rsidRDefault="003E6588">
      <w:pPr>
        <w:ind w:firstLine="1134"/>
        <w:jc w:val="both"/>
      </w:pPr>
    </w:p>
    <w:p w:rsidR="003E6588" w:rsidRDefault="003E6588">
      <w:pPr>
        <w:ind w:firstLine="1134"/>
        <w:jc w:val="both"/>
      </w:pPr>
      <w:r w:rsidRPr="00ED344A">
        <w:rPr>
          <w:color w:val="000000"/>
        </w:rPr>
        <w:t>Totalizando R$ 196 mil</w:t>
      </w:r>
      <w:r w:rsidR="00ED344A">
        <w:rPr>
          <w:color w:val="000000"/>
        </w:rPr>
        <w:t>,</w:t>
      </w:r>
      <w:r w:rsidRPr="00ED344A">
        <w:rPr>
          <w:color w:val="000000"/>
        </w:rPr>
        <w:t xml:space="preserve"> </w:t>
      </w:r>
      <w:r w:rsidR="00ED344A">
        <w:rPr>
          <w:color w:val="000000"/>
        </w:rPr>
        <w:t>a</w:t>
      </w:r>
      <w:r w:rsidRPr="00ED344A">
        <w:t>s entidades beneficiadas foram:</w:t>
      </w:r>
    </w:p>
    <w:p w:rsidR="003E6588" w:rsidRDefault="003E6588">
      <w:pPr>
        <w:ind w:firstLine="1134"/>
        <w:jc w:val="both"/>
      </w:pPr>
    </w:p>
    <w:p w:rsidR="003E6588" w:rsidRDefault="002244A6">
      <w:pPr>
        <w:pStyle w:val="Commarcadores"/>
        <w:rPr>
          <w:szCs w:val="24"/>
        </w:rPr>
      </w:pPr>
      <w:r>
        <w:rPr>
          <w:szCs w:val="24"/>
        </w:rPr>
        <w:t xml:space="preserve">- </w:t>
      </w:r>
      <w:r w:rsidR="003E6588">
        <w:rPr>
          <w:szCs w:val="24"/>
        </w:rPr>
        <w:t>Associação de Pais e Amigos dos Excepcionais de São Paulo - APAE;</w:t>
      </w:r>
    </w:p>
    <w:p w:rsidR="003E6588" w:rsidRDefault="003E6588">
      <w:pPr>
        <w:pStyle w:val="Commarcadores"/>
        <w:rPr>
          <w:szCs w:val="24"/>
        </w:rPr>
      </w:pPr>
    </w:p>
    <w:p w:rsidR="003E6588" w:rsidRDefault="002244A6">
      <w:pPr>
        <w:pStyle w:val="Commarcadores"/>
        <w:rPr>
          <w:szCs w:val="24"/>
        </w:rPr>
      </w:pPr>
      <w:r>
        <w:rPr>
          <w:szCs w:val="24"/>
        </w:rPr>
        <w:t xml:space="preserve">- </w:t>
      </w:r>
      <w:r w:rsidR="003E6588">
        <w:rPr>
          <w:szCs w:val="24"/>
        </w:rPr>
        <w:t>Fundação Dorina Nowill para Cegos;</w:t>
      </w:r>
    </w:p>
    <w:p w:rsidR="003E6588" w:rsidRDefault="003E6588">
      <w:pPr>
        <w:pStyle w:val="Commarcadores"/>
        <w:rPr>
          <w:szCs w:val="24"/>
        </w:rPr>
      </w:pPr>
    </w:p>
    <w:p w:rsidR="003E6588" w:rsidRDefault="002244A6">
      <w:pPr>
        <w:pStyle w:val="Commarcadores"/>
        <w:rPr>
          <w:szCs w:val="24"/>
        </w:rPr>
      </w:pPr>
      <w:r>
        <w:rPr>
          <w:szCs w:val="24"/>
        </w:rPr>
        <w:t xml:space="preserve">- </w:t>
      </w:r>
      <w:r w:rsidR="003E6588">
        <w:rPr>
          <w:szCs w:val="24"/>
        </w:rPr>
        <w:t>Fundação Antônio Prudente</w:t>
      </w:r>
      <w:r w:rsidR="003E6588">
        <w:rPr>
          <w:color w:val="1F497D"/>
          <w:szCs w:val="24"/>
        </w:rPr>
        <w:t xml:space="preserve"> -</w:t>
      </w:r>
      <w:r w:rsidR="003E6588">
        <w:rPr>
          <w:szCs w:val="24"/>
        </w:rPr>
        <w:t xml:space="preserve"> Mantenedora do AC Camargo Câncer;</w:t>
      </w:r>
    </w:p>
    <w:p w:rsidR="003E6588" w:rsidRDefault="003E6588">
      <w:pPr>
        <w:pStyle w:val="Commarcadores"/>
        <w:rPr>
          <w:szCs w:val="24"/>
        </w:rPr>
      </w:pPr>
    </w:p>
    <w:p w:rsidR="003E6588" w:rsidRDefault="002244A6">
      <w:pPr>
        <w:pStyle w:val="Commarcadores"/>
        <w:rPr>
          <w:szCs w:val="24"/>
        </w:rPr>
      </w:pPr>
      <w:r>
        <w:rPr>
          <w:szCs w:val="24"/>
        </w:rPr>
        <w:t xml:space="preserve">- </w:t>
      </w:r>
      <w:r w:rsidR="003E6588">
        <w:rPr>
          <w:szCs w:val="24"/>
        </w:rPr>
        <w:t>AACD - Lar Escola São Francisco;</w:t>
      </w:r>
    </w:p>
    <w:p w:rsidR="003E6588" w:rsidRDefault="003E6588">
      <w:pPr>
        <w:pStyle w:val="Commarcadores"/>
        <w:rPr>
          <w:szCs w:val="24"/>
        </w:rPr>
      </w:pPr>
    </w:p>
    <w:p w:rsidR="003E6588" w:rsidRDefault="002244A6">
      <w:pPr>
        <w:pStyle w:val="Commarcadores"/>
        <w:rPr>
          <w:szCs w:val="24"/>
        </w:rPr>
      </w:pPr>
      <w:r>
        <w:rPr>
          <w:szCs w:val="24"/>
        </w:rPr>
        <w:t xml:space="preserve">- </w:t>
      </w:r>
      <w:r w:rsidR="003E6588">
        <w:rPr>
          <w:szCs w:val="24"/>
        </w:rPr>
        <w:t>Instituto Criança Cidadã.</w:t>
      </w:r>
    </w:p>
    <w:p w:rsidR="003E6588" w:rsidRDefault="003E6588">
      <w:pPr>
        <w:ind w:firstLine="1134"/>
        <w:jc w:val="both"/>
        <w:rPr>
          <w:b/>
        </w:rPr>
      </w:pPr>
    </w:p>
    <w:p w:rsidR="003E6588" w:rsidRDefault="003E6588">
      <w:pPr>
        <w:ind w:firstLine="1134"/>
        <w:jc w:val="both"/>
        <w:rPr>
          <w:lang w:val="pt-PT"/>
        </w:rPr>
      </w:pPr>
      <w:r>
        <w:rPr>
          <w:b/>
          <w:color w:val="000000"/>
        </w:rPr>
        <w:t xml:space="preserve">Lei </w:t>
      </w:r>
      <w:r>
        <w:rPr>
          <w:b/>
          <w:i/>
          <w:color w:val="000000"/>
        </w:rPr>
        <w:t xml:space="preserve">Rouanet </w:t>
      </w:r>
      <w:r>
        <w:rPr>
          <w:b/>
          <w:color w:val="000000"/>
        </w:rPr>
        <w:t xml:space="preserve">- </w:t>
      </w:r>
      <w:r>
        <w:rPr>
          <w:color w:val="000000"/>
        </w:rPr>
        <w:t xml:space="preserve">A Imprensa Oficial repassou R$ 389.265,77 por meio de prestação de serviços gráficos e repasse de recursos. </w:t>
      </w:r>
      <w:r>
        <w:rPr>
          <w:lang w:val="pt-PT"/>
        </w:rPr>
        <w:t xml:space="preserve">4 publicações com os subsídios da Lei </w:t>
      </w:r>
      <w:r>
        <w:rPr>
          <w:i/>
          <w:lang w:val="pt-PT"/>
        </w:rPr>
        <w:t>Rouanet</w:t>
      </w:r>
      <w:r>
        <w:rPr>
          <w:lang w:val="pt-PT"/>
        </w:rPr>
        <w:t>.</w:t>
      </w:r>
    </w:p>
    <w:p w:rsidR="003E6588" w:rsidRDefault="003E6588">
      <w:pPr>
        <w:ind w:firstLine="1134"/>
        <w:jc w:val="both"/>
        <w:rPr>
          <w:lang w:val="pt-PT"/>
        </w:rPr>
      </w:pPr>
    </w:p>
    <w:p w:rsidR="003E6588" w:rsidRDefault="003E6588">
      <w:pPr>
        <w:ind w:firstLine="1134"/>
        <w:jc w:val="both"/>
        <w:rPr>
          <w:color w:val="000000"/>
        </w:rPr>
      </w:pPr>
      <w:r>
        <w:rPr>
          <w:color w:val="000000"/>
        </w:rPr>
        <w:t xml:space="preserve">Destacamos o apoio </w:t>
      </w:r>
      <w:r w:rsidR="00ED344A">
        <w:rPr>
          <w:color w:val="000000"/>
        </w:rPr>
        <w:t>à</w:t>
      </w:r>
      <w:r>
        <w:rPr>
          <w:color w:val="000000"/>
        </w:rPr>
        <w:t xml:space="preserve">s publicações - As Memórias de João Gomes de Araújo e De Anita Malfatti ao Museu de Arte Moderna, além do apoio à realização da </w:t>
      </w:r>
      <w:r w:rsidR="00ED344A">
        <w:rPr>
          <w:color w:val="000000"/>
        </w:rPr>
        <w:t>“</w:t>
      </w:r>
      <w:r>
        <w:rPr>
          <w:color w:val="000000"/>
        </w:rPr>
        <w:t>38ª Mostra Internacional de Cinema</w:t>
      </w:r>
      <w:r w:rsidR="00ED344A">
        <w:rPr>
          <w:color w:val="000000"/>
        </w:rPr>
        <w:t>”</w:t>
      </w:r>
      <w:r>
        <w:rPr>
          <w:color w:val="000000"/>
        </w:rPr>
        <w:t xml:space="preserve">, </w:t>
      </w:r>
      <w:r w:rsidR="00ED344A">
        <w:rPr>
          <w:color w:val="000000"/>
        </w:rPr>
        <w:t>“</w:t>
      </w:r>
      <w:r>
        <w:rPr>
          <w:color w:val="000000"/>
        </w:rPr>
        <w:t>31ª Bienal de São Paulo</w:t>
      </w:r>
      <w:r w:rsidR="00ED344A">
        <w:rPr>
          <w:color w:val="000000"/>
        </w:rPr>
        <w:t>”</w:t>
      </w:r>
      <w:r>
        <w:rPr>
          <w:color w:val="000000"/>
        </w:rPr>
        <w:t xml:space="preserve"> e </w:t>
      </w:r>
      <w:r w:rsidR="00ED344A">
        <w:rPr>
          <w:color w:val="000000"/>
        </w:rPr>
        <w:t>“</w:t>
      </w:r>
      <w:r>
        <w:rPr>
          <w:color w:val="000000"/>
        </w:rPr>
        <w:t>3ª Semana Assad - São João da Boa Vista</w:t>
      </w:r>
      <w:r w:rsidR="00ED344A">
        <w:rPr>
          <w:color w:val="000000"/>
        </w:rPr>
        <w:t>”</w:t>
      </w:r>
      <w:r>
        <w:rPr>
          <w:color w:val="000000"/>
        </w:rPr>
        <w:t>.</w:t>
      </w:r>
    </w:p>
    <w:p w:rsidR="003E6588" w:rsidRDefault="003E6588" w:rsidP="002244A6">
      <w:pPr>
        <w:ind w:firstLine="1134"/>
        <w:jc w:val="both"/>
        <w:rPr>
          <w:color w:val="000000"/>
        </w:rPr>
      </w:pPr>
    </w:p>
    <w:p w:rsidR="003E6588" w:rsidRDefault="003E6588">
      <w:pPr>
        <w:ind w:firstLine="1134"/>
        <w:jc w:val="both"/>
        <w:rPr>
          <w:b/>
        </w:rPr>
      </w:pPr>
      <w:r>
        <w:rPr>
          <w:b/>
        </w:rPr>
        <w:t>Programa da Qualidade</w:t>
      </w:r>
    </w:p>
    <w:p w:rsidR="003E6588" w:rsidRDefault="003E6588">
      <w:pPr>
        <w:ind w:firstLine="1134"/>
        <w:jc w:val="both"/>
        <w:rPr>
          <w:b/>
        </w:rPr>
      </w:pPr>
    </w:p>
    <w:p w:rsidR="003E6588" w:rsidRDefault="003E6588">
      <w:pPr>
        <w:ind w:firstLine="1134"/>
        <w:jc w:val="both"/>
      </w:pPr>
      <w:r>
        <w:rPr>
          <w:b/>
        </w:rPr>
        <w:t xml:space="preserve">Indicadores e Metas - </w:t>
      </w:r>
      <w:r>
        <w:t xml:space="preserve">Foram estabelecidas 6 metas para o Programa de Participação nos Lucros e Resultados </w:t>
      </w:r>
      <w:r w:rsidR="002244A6">
        <w:t>-</w:t>
      </w:r>
      <w:r>
        <w:t xml:space="preserve"> PLR</w:t>
      </w:r>
      <w:r w:rsidR="00ED344A">
        <w:t>,</w:t>
      </w:r>
      <w:r>
        <w:t xml:space="preserve"> separadas conforme determina o Decreto nº</w:t>
      </w:r>
      <w:r w:rsidR="002244A6">
        <w:t xml:space="preserve"> </w:t>
      </w:r>
      <w:r>
        <w:t>59.598/2013 e alinhadas com o planejamento estratégico da empresa.</w:t>
      </w:r>
    </w:p>
    <w:p w:rsidR="003E6588" w:rsidRDefault="003E6588">
      <w:pPr>
        <w:ind w:firstLine="1134"/>
        <w:jc w:val="both"/>
      </w:pPr>
    </w:p>
    <w:p w:rsidR="003E6588" w:rsidRDefault="003E6588">
      <w:pPr>
        <w:ind w:firstLine="1134"/>
        <w:jc w:val="both"/>
      </w:pPr>
      <w:r>
        <w:t xml:space="preserve">Para o Sistema de Gestão da Qualidade </w:t>
      </w:r>
      <w:r w:rsidR="002244A6">
        <w:t>-</w:t>
      </w:r>
      <w:r>
        <w:t xml:space="preserve"> SGQ</w:t>
      </w:r>
      <w:r w:rsidR="00ED344A">
        <w:t>,</w:t>
      </w:r>
      <w:r>
        <w:t xml:space="preserve"> foram estabelecidos 20 indicadores de desempenho.</w:t>
      </w:r>
    </w:p>
    <w:p w:rsidR="003E6588" w:rsidRDefault="003E6588">
      <w:pPr>
        <w:ind w:firstLine="1134"/>
        <w:jc w:val="both"/>
      </w:pPr>
    </w:p>
    <w:p w:rsidR="003E6588" w:rsidRDefault="003E6588">
      <w:pPr>
        <w:ind w:firstLine="1134"/>
        <w:jc w:val="both"/>
      </w:pPr>
      <w:r>
        <w:rPr>
          <w:b/>
        </w:rPr>
        <w:t xml:space="preserve">Norma NBR ISO 9001:2008 - </w:t>
      </w:r>
      <w:r>
        <w:t>Possu</w:t>
      </w:r>
      <w:r w:rsidR="00ED344A">
        <w:t>i</w:t>
      </w:r>
      <w:r>
        <w:t xml:space="preserve"> o Selo ISO 9001</w:t>
      </w:r>
      <w:r w:rsidR="00ED344A">
        <w:t>,</w:t>
      </w:r>
      <w:r>
        <w:t xml:space="preserve"> para o escopo Certificação Digital desde 2006 e para o escopo Gráfica desde 2007.</w:t>
      </w:r>
    </w:p>
    <w:p w:rsidR="003E6588" w:rsidRDefault="003E6588">
      <w:pPr>
        <w:pStyle w:val="Commarcadores"/>
        <w:rPr>
          <w:szCs w:val="24"/>
        </w:rPr>
      </w:pPr>
    </w:p>
    <w:p w:rsidR="003E6588" w:rsidRDefault="003E6588">
      <w:pPr>
        <w:ind w:firstLine="1134"/>
        <w:jc w:val="both"/>
      </w:pPr>
      <w:r>
        <w:rPr>
          <w:b/>
        </w:rPr>
        <w:t xml:space="preserve">Compras e Contratações - </w:t>
      </w:r>
      <w:r w:rsidR="000E7043">
        <w:t xml:space="preserve">Principais </w:t>
      </w:r>
      <w:r>
        <w:t>números da gestão de Compras e Contratações:</w:t>
      </w:r>
    </w:p>
    <w:p w:rsidR="003E6588" w:rsidRDefault="003E6588">
      <w:pPr>
        <w:jc w:val="both"/>
        <w:rPr>
          <w:b/>
        </w:rPr>
      </w:pPr>
    </w:p>
    <w:p w:rsidR="00956EBD" w:rsidRDefault="00956EBD">
      <w:pPr>
        <w:jc w:val="both"/>
        <w:rPr>
          <w:b/>
        </w:rPr>
      </w:pPr>
    </w:p>
    <w:tbl>
      <w:tblPr>
        <w:tblW w:w="3245" w:type="dxa"/>
        <w:jc w:val="center"/>
        <w:tblInd w:w="-15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BF"/>
      </w:tblPr>
      <w:tblGrid>
        <w:gridCol w:w="2379"/>
        <w:gridCol w:w="866"/>
      </w:tblGrid>
      <w:tr w:rsidR="000E7043" w:rsidTr="00956EBD">
        <w:trPr>
          <w:trHeight w:val="143"/>
          <w:jc w:val="center"/>
        </w:trPr>
        <w:tc>
          <w:tcPr>
            <w:tcW w:w="2379" w:type="dxa"/>
            <w:shd w:val="clear" w:color="auto" w:fill="E6E6E6"/>
          </w:tcPr>
          <w:p w:rsidR="000E7043" w:rsidRDefault="000E7043">
            <w:pPr>
              <w:rPr>
                <w:b/>
                <w:sz w:val="20"/>
                <w:szCs w:val="20"/>
              </w:rPr>
            </w:pPr>
            <w:r>
              <w:rPr>
                <w:b/>
                <w:sz w:val="20"/>
                <w:szCs w:val="20"/>
              </w:rPr>
              <w:lastRenderedPageBreak/>
              <w:t>Modalidade</w:t>
            </w:r>
          </w:p>
        </w:tc>
        <w:tc>
          <w:tcPr>
            <w:tcW w:w="866" w:type="dxa"/>
            <w:shd w:val="clear" w:color="auto" w:fill="E6E6E6"/>
          </w:tcPr>
          <w:p w:rsidR="000E7043" w:rsidRDefault="000E7043">
            <w:pPr>
              <w:rPr>
                <w:b/>
                <w:sz w:val="20"/>
                <w:szCs w:val="20"/>
              </w:rPr>
            </w:pPr>
          </w:p>
        </w:tc>
      </w:tr>
      <w:tr w:rsidR="000E7043" w:rsidTr="00956EBD">
        <w:trPr>
          <w:jc w:val="center"/>
        </w:trPr>
        <w:tc>
          <w:tcPr>
            <w:tcW w:w="2379" w:type="dxa"/>
          </w:tcPr>
          <w:p w:rsidR="000E7043" w:rsidRDefault="000E7043">
            <w:pPr>
              <w:jc w:val="both"/>
              <w:rPr>
                <w:sz w:val="20"/>
                <w:szCs w:val="20"/>
              </w:rPr>
            </w:pPr>
            <w:r>
              <w:rPr>
                <w:sz w:val="20"/>
                <w:szCs w:val="20"/>
              </w:rPr>
              <w:t>Pregão Presencial</w:t>
            </w:r>
          </w:p>
        </w:tc>
        <w:tc>
          <w:tcPr>
            <w:tcW w:w="866" w:type="dxa"/>
          </w:tcPr>
          <w:p w:rsidR="000E7043" w:rsidRDefault="000E7043">
            <w:pPr>
              <w:rPr>
                <w:sz w:val="20"/>
                <w:szCs w:val="20"/>
              </w:rPr>
            </w:pPr>
            <w:r>
              <w:rPr>
                <w:sz w:val="20"/>
                <w:szCs w:val="20"/>
              </w:rPr>
              <w:t>1</w:t>
            </w:r>
          </w:p>
        </w:tc>
      </w:tr>
      <w:tr w:rsidR="000E7043" w:rsidTr="00956EBD">
        <w:trPr>
          <w:jc w:val="center"/>
        </w:trPr>
        <w:tc>
          <w:tcPr>
            <w:tcW w:w="2379" w:type="dxa"/>
          </w:tcPr>
          <w:p w:rsidR="000E7043" w:rsidRDefault="000E7043">
            <w:pPr>
              <w:jc w:val="both"/>
              <w:rPr>
                <w:sz w:val="20"/>
                <w:szCs w:val="20"/>
              </w:rPr>
            </w:pPr>
            <w:r>
              <w:rPr>
                <w:sz w:val="20"/>
                <w:szCs w:val="20"/>
              </w:rPr>
              <w:t>Pregão Eletrônico</w:t>
            </w:r>
          </w:p>
        </w:tc>
        <w:tc>
          <w:tcPr>
            <w:tcW w:w="866" w:type="dxa"/>
          </w:tcPr>
          <w:p w:rsidR="000E7043" w:rsidRDefault="000E7043">
            <w:pPr>
              <w:rPr>
                <w:sz w:val="20"/>
                <w:szCs w:val="20"/>
              </w:rPr>
            </w:pPr>
            <w:r>
              <w:rPr>
                <w:sz w:val="20"/>
                <w:szCs w:val="20"/>
              </w:rPr>
              <w:t>84</w:t>
            </w:r>
          </w:p>
        </w:tc>
      </w:tr>
      <w:tr w:rsidR="000E7043" w:rsidTr="00956EBD">
        <w:trPr>
          <w:jc w:val="center"/>
        </w:trPr>
        <w:tc>
          <w:tcPr>
            <w:tcW w:w="2379" w:type="dxa"/>
          </w:tcPr>
          <w:p w:rsidR="000E7043" w:rsidRDefault="000E7043">
            <w:pPr>
              <w:jc w:val="both"/>
              <w:rPr>
                <w:sz w:val="20"/>
                <w:szCs w:val="20"/>
              </w:rPr>
            </w:pPr>
            <w:r>
              <w:rPr>
                <w:sz w:val="20"/>
                <w:szCs w:val="20"/>
              </w:rPr>
              <w:t>Concorrência</w:t>
            </w:r>
          </w:p>
        </w:tc>
        <w:tc>
          <w:tcPr>
            <w:tcW w:w="866" w:type="dxa"/>
          </w:tcPr>
          <w:p w:rsidR="000E7043" w:rsidRDefault="000E7043">
            <w:pPr>
              <w:rPr>
                <w:sz w:val="20"/>
                <w:szCs w:val="20"/>
              </w:rPr>
            </w:pPr>
            <w:r>
              <w:rPr>
                <w:sz w:val="20"/>
                <w:szCs w:val="20"/>
              </w:rPr>
              <w:t>0</w:t>
            </w:r>
          </w:p>
        </w:tc>
      </w:tr>
      <w:tr w:rsidR="000E7043" w:rsidTr="00956EBD">
        <w:trPr>
          <w:jc w:val="center"/>
        </w:trPr>
        <w:tc>
          <w:tcPr>
            <w:tcW w:w="2379" w:type="dxa"/>
          </w:tcPr>
          <w:p w:rsidR="000E7043" w:rsidRDefault="000E7043">
            <w:pPr>
              <w:jc w:val="both"/>
              <w:rPr>
                <w:sz w:val="20"/>
                <w:szCs w:val="20"/>
              </w:rPr>
            </w:pPr>
            <w:r>
              <w:rPr>
                <w:sz w:val="20"/>
                <w:szCs w:val="20"/>
              </w:rPr>
              <w:t>Tomada de preços</w:t>
            </w:r>
          </w:p>
        </w:tc>
        <w:tc>
          <w:tcPr>
            <w:tcW w:w="866" w:type="dxa"/>
          </w:tcPr>
          <w:p w:rsidR="000E7043" w:rsidRDefault="000E7043">
            <w:pPr>
              <w:rPr>
                <w:sz w:val="20"/>
                <w:szCs w:val="20"/>
              </w:rPr>
            </w:pPr>
            <w:r>
              <w:rPr>
                <w:sz w:val="20"/>
                <w:szCs w:val="20"/>
              </w:rPr>
              <w:t>2</w:t>
            </w:r>
          </w:p>
        </w:tc>
      </w:tr>
      <w:tr w:rsidR="000E7043" w:rsidTr="00956EBD">
        <w:trPr>
          <w:jc w:val="center"/>
        </w:trPr>
        <w:tc>
          <w:tcPr>
            <w:tcW w:w="2379" w:type="dxa"/>
          </w:tcPr>
          <w:p w:rsidR="000E7043" w:rsidRDefault="000E7043">
            <w:pPr>
              <w:jc w:val="both"/>
              <w:rPr>
                <w:sz w:val="20"/>
                <w:szCs w:val="20"/>
              </w:rPr>
            </w:pPr>
            <w:r>
              <w:rPr>
                <w:sz w:val="20"/>
                <w:szCs w:val="20"/>
              </w:rPr>
              <w:t>Convite</w:t>
            </w:r>
          </w:p>
        </w:tc>
        <w:tc>
          <w:tcPr>
            <w:tcW w:w="866" w:type="dxa"/>
          </w:tcPr>
          <w:p w:rsidR="000E7043" w:rsidRDefault="000E7043">
            <w:pPr>
              <w:rPr>
                <w:sz w:val="20"/>
                <w:szCs w:val="20"/>
              </w:rPr>
            </w:pPr>
            <w:r>
              <w:rPr>
                <w:sz w:val="20"/>
                <w:szCs w:val="20"/>
              </w:rPr>
              <w:t>0</w:t>
            </w:r>
          </w:p>
        </w:tc>
      </w:tr>
      <w:tr w:rsidR="000E7043" w:rsidTr="00956EBD">
        <w:trPr>
          <w:jc w:val="center"/>
        </w:trPr>
        <w:tc>
          <w:tcPr>
            <w:tcW w:w="2379" w:type="dxa"/>
          </w:tcPr>
          <w:p w:rsidR="000E7043" w:rsidRDefault="000E7043">
            <w:pPr>
              <w:jc w:val="both"/>
              <w:rPr>
                <w:sz w:val="20"/>
                <w:szCs w:val="20"/>
              </w:rPr>
            </w:pPr>
            <w:r>
              <w:rPr>
                <w:sz w:val="20"/>
                <w:szCs w:val="20"/>
              </w:rPr>
              <w:t>Compras diretas</w:t>
            </w:r>
          </w:p>
        </w:tc>
        <w:tc>
          <w:tcPr>
            <w:tcW w:w="866" w:type="dxa"/>
          </w:tcPr>
          <w:p w:rsidR="000E7043" w:rsidRDefault="000E7043">
            <w:pPr>
              <w:rPr>
                <w:sz w:val="20"/>
                <w:szCs w:val="20"/>
              </w:rPr>
            </w:pPr>
            <w:r>
              <w:rPr>
                <w:sz w:val="20"/>
                <w:szCs w:val="20"/>
              </w:rPr>
              <w:t>680</w:t>
            </w:r>
          </w:p>
        </w:tc>
      </w:tr>
      <w:tr w:rsidR="000E7043" w:rsidTr="00956EBD">
        <w:trPr>
          <w:jc w:val="center"/>
        </w:trPr>
        <w:tc>
          <w:tcPr>
            <w:tcW w:w="2379" w:type="dxa"/>
          </w:tcPr>
          <w:p w:rsidR="000E7043" w:rsidRDefault="000E7043">
            <w:pPr>
              <w:jc w:val="both"/>
              <w:rPr>
                <w:sz w:val="20"/>
                <w:szCs w:val="20"/>
              </w:rPr>
            </w:pPr>
            <w:r>
              <w:rPr>
                <w:sz w:val="20"/>
                <w:szCs w:val="20"/>
              </w:rPr>
              <w:t>Inexigibilidade</w:t>
            </w:r>
          </w:p>
        </w:tc>
        <w:tc>
          <w:tcPr>
            <w:tcW w:w="866" w:type="dxa"/>
          </w:tcPr>
          <w:p w:rsidR="000E7043" w:rsidRDefault="000E7043">
            <w:pPr>
              <w:rPr>
                <w:sz w:val="20"/>
                <w:szCs w:val="20"/>
              </w:rPr>
            </w:pPr>
            <w:r>
              <w:rPr>
                <w:sz w:val="20"/>
                <w:szCs w:val="20"/>
              </w:rPr>
              <w:t>16</w:t>
            </w:r>
          </w:p>
        </w:tc>
      </w:tr>
      <w:tr w:rsidR="000E7043" w:rsidTr="00956EBD">
        <w:trPr>
          <w:jc w:val="center"/>
        </w:trPr>
        <w:tc>
          <w:tcPr>
            <w:tcW w:w="2379" w:type="dxa"/>
          </w:tcPr>
          <w:p w:rsidR="000E7043" w:rsidRDefault="000E7043">
            <w:pPr>
              <w:jc w:val="both"/>
              <w:rPr>
                <w:sz w:val="20"/>
                <w:szCs w:val="20"/>
              </w:rPr>
            </w:pPr>
            <w:r>
              <w:rPr>
                <w:sz w:val="20"/>
                <w:szCs w:val="20"/>
              </w:rPr>
              <w:t>Dispensa</w:t>
            </w:r>
          </w:p>
        </w:tc>
        <w:tc>
          <w:tcPr>
            <w:tcW w:w="866" w:type="dxa"/>
          </w:tcPr>
          <w:p w:rsidR="000E7043" w:rsidRDefault="000E7043">
            <w:pPr>
              <w:rPr>
                <w:sz w:val="20"/>
                <w:szCs w:val="20"/>
              </w:rPr>
            </w:pPr>
            <w:r>
              <w:rPr>
                <w:sz w:val="20"/>
                <w:szCs w:val="20"/>
              </w:rPr>
              <w:t>14</w:t>
            </w:r>
          </w:p>
        </w:tc>
      </w:tr>
      <w:tr w:rsidR="000E7043" w:rsidTr="00956EBD">
        <w:trPr>
          <w:jc w:val="center"/>
        </w:trPr>
        <w:tc>
          <w:tcPr>
            <w:tcW w:w="2379" w:type="dxa"/>
          </w:tcPr>
          <w:p w:rsidR="000E7043" w:rsidRDefault="000E7043">
            <w:pPr>
              <w:jc w:val="both"/>
              <w:rPr>
                <w:sz w:val="20"/>
                <w:szCs w:val="20"/>
              </w:rPr>
            </w:pPr>
            <w:r>
              <w:rPr>
                <w:sz w:val="20"/>
                <w:szCs w:val="20"/>
              </w:rPr>
              <w:t>Parceria</w:t>
            </w:r>
          </w:p>
        </w:tc>
        <w:tc>
          <w:tcPr>
            <w:tcW w:w="866" w:type="dxa"/>
          </w:tcPr>
          <w:p w:rsidR="000E7043" w:rsidRDefault="000E7043">
            <w:pPr>
              <w:rPr>
                <w:sz w:val="20"/>
                <w:szCs w:val="20"/>
              </w:rPr>
            </w:pPr>
            <w:r>
              <w:rPr>
                <w:sz w:val="20"/>
                <w:szCs w:val="20"/>
              </w:rPr>
              <w:t>0</w:t>
            </w:r>
          </w:p>
        </w:tc>
      </w:tr>
      <w:tr w:rsidR="000E7043" w:rsidTr="00956EBD">
        <w:trPr>
          <w:jc w:val="center"/>
        </w:trPr>
        <w:tc>
          <w:tcPr>
            <w:tcW w:w="2379" w:type="dxa"/>
          </w:tcPr>
          <w:p w:rsidR="000E7043" w:rsidRDefault="000E7043">
            <w:pPr>
              <w:jc w:val="both"/>
              <w:rPr>
                <w:sz w:val="20"/>
                <w:szCs w:val="20"/>
              </w:rPr>
            </w:pPr>
            <w:r>
              <w:rPr>
                <w:sz w:val="20"/>
                <w:szCs w:val="20"/>
              </w:rPr>
              <w:t>Doações de bens</w:t>
            </w:r>
          </w:p>
        </w:tc>
        <w:tc>
          <w:tcPr>
            <w:tcW w:w="866" w:type="dxa"/>
          </w:tcPr>
          <w:p w:rsidR="000E7043" w:rsidRDefault="000E7043">
            <w:pPr>
              <w:rPr>
                <w:sz w:val="20"/>
                <w:szCs w:val="20"/>
              </w:rPr>
            </w:pPr>
            <w:r>
              <w:rPr>
                <w:sz w:val="20"/>
                <w:szCs w:val="20"/>
              </w:rPr>
              <w:t>2</w:t>
            </w:r>
          </w:p>
        </w:tc>
      </w:tr>
      <w:tr w:rsidR="000E7043" w:rsidTr="00956EBD">
        <w:trPr>
          <w:jc w:val="center"/>
        </w:trPr>
        <w:tc>
          <w:tcPr>
            <w:tcW w:w="2379" w:type="dxa"/>
          </w:tcPr>
          <w:p w:rsidR="000E7043" w:rsidRDefault="000E7043">
            <w:pPr>
              <w:jc w:val="both"/>
              <w:rPr>
                <w:sz w:val="20"/>
                <w:szCs w:val="20"/>
              </w:rPr>
            </w:pPr>
            <w:r>
              <w:rPr>
                <w:sz w:val="20"/>
                <w:szCs w:val="20"/>
              </w:rPr>
              <w:t>Cessão de uso</w:t>
            </w:r>
          </w:p>
        </w:tc>
        <w:tc>
          <w:tcPr>
            <w:tcW w:w="866" w:type="dxa"/>
          </w:tcPr>
          <w:p w:rsidR="000E7043" w:rsidRDefault="000E7043">
            <w:pPr>
              <w:rPr>
                <w:sz w:val="20"/>
                <w:szCs w:val="20"/>
              </w:rPr>
            </w:pPr>
            <w:r>
              <w:rPr>
                <w:sz w:val="20"/>
                <w:szCs w:val="20"/>
              </w:rPr>
              <w:t>1</w:t>
            </w:r>
          </w:p>
        </w:tc>
      </w:tr>
      <w:tr w:rsidR="000E7043" w:rsidTr="00956EBD">
        <w:trPr>
          <w:jc w:val="center"/>
        </w:trPr>
        <w:tc>
          <w:tcPr>
            <w:tcW w:w="2379" w:type="dxa"/>
          </w:tcPr>
          <w:p w:rsidR="000E7043" w:rsidRDefault="000E7043">
            <w:pPr>
              <w:jc w:val="both"/>
              <w:rPr>
                <w:sz w:val="20"/>
                <w:szCs w:val="20"/>
              </w:rPr>
            </w:pPr>
            <w:r>
              <w:rPr>
                <w:sz w:val="20"/>
                <w:szCs w:val="20"/>
              </w:rPr>
              <w:t>Leilão</w:t>
            </w:r>
          </w:p>
        </w:tc>
        <w:tc>
          <w:tcPr>
            <w:tcW w:w="866" w:type="dxa"/>
          </w:tcPr>
          <w:p w:rsidR="000E7043" w:rsidRDefault="000E7043">
            <w:pPr>
              <w:rPr>
                <w:sz w:val="20"/>
                <w:szCs w:val="20"/>
              </w:rPr>
            </w:pPr>
            <w:r>
              <w:rPr>
                <w:sz w:val="20"/>
                <w:szCs w:val="20"/>
              </w:rPr>
              <w:t>2</w:t>
            </w:r>
          </w:p>
        </w:tc>
      </w:tr>
      <w:tr w:rsidR="000E7043" w:rsidTr="00956EBD">
        <w:trPr>
          <w:jc w:val="center"/>
        </w:trPr>
        <w:tc>
          <w:tcPr>
            <w:tcW w:w="2379" w:type="dxa"/>
          </w:tcPr>
          <w:p w:rsidR="000E7043" w:rsidRDefault="000E7043">
            <w:pPr>
              <w:jc w:val="both"/>
              <w:rPr>
                <w:b/>
                <w:sz w:val="20"/>
                <w:szCs w:val="20"/>
              </w:rPr>
            </w:pPr>
            <w:r>
              <w:rPr>
                <w:b/>
                <w:sz w:val="20"/>
                <w:szCs w:val="20"/>
              </w:rPr>
              <w:t>Totais</w:t>
            </w:r>
          </w:p>
        </w:tc>
        <w:tc>
          <w:tcPr>
            <w:tcW w:w="866" w:type="dxa"/>
          </w:tcPr>
          <w:p w:rsidR="000E7043" w:rsidRDefault="000E7043">
            <w:pPr>
              <w:rPr>
                <w:b/>
                <w:sz w:val="20"/>
                <w:szCs w:val="20"/>
              </w:rPr>
            </w:pPr>
            <w:r>
              <w:rPr>
                <w:b/>
                <w:sz w:val="20"/>
                <w:szCs w:val="20"/>
              </w:rPr>
              <w:t>802</w:t>
            </w:r>
          </w:p>
        </w:tc>
      </w:tr>
      <w:tr w:rsidR="000E7043" w:rsidTr="00956EBD">
        <w:trPr>
          <w:jc w:val="center"/>
        </w:trPr>
        <w:tc>
          <w:tcPr>
            <w:tcW w:w="2379" w:type="dxa"/>
          </w:tcPr>
          <w:p w:rsidR="000E7043" w:rsidRDefault="000E7043">
            <w:pPr>
              <w:jc w:val="both"/>
              <w:rPr>
                <w:sz w:val="20"/>
                <w:szCs w:val="20"/>
              </w:rPr>
            </w:pPr>
            <w:r>
              <w:rPr>
                <w:sz w:val="20"/>
                <w:szCs w:val="20"/>
              </w:rPr>
              <w:t>Contratos emitidos</w:t>
            </w:r>
          </w:p>
        </w:tc>
        <w:tc>
          <w:tcPr>
            <w:tcW w:w="866" w:type="dxa"/>
          </w:tcPr>
          <w:p w:rsidR="000E7043" w:rsidRDefault="000E7043">
            <w:pPr>
              <w:rPr>
                <w:sz w:val="20"/>
                <w:szCs w:val="20"/>
              </w:rPr>
            </w:pPr>
            <w:r>
              <w:rPr>
                <w:sz w:val="20"/>
                <w:szCs w:val="20"/>
              </w:rPr>
              <w:t>166</w:t>
            </w:r>
          </w:p>
        </w:tc>
      </w:tr>
      <w:tr w:rsidR="000E7043" w:rsidTr="00956EBD">
        <w:trPr>
          <w:jc w:val="center"/>
        </w:trPr>
        <w:tc>
          <w:tcPr>
            <w:tcW w:w="2379" w:type="dxa"/>
          </w:tcPr>
          <w:p w:rsidR="000E7043" w:rsidRDefault="000E7043">
            <w:pPr>
              <w:jc w:val="both"/>
              <w:rPr>
                <w:sz w:val="20"/>
                <w:szCs w:val="20"/>
              </w:rPr>
            </w:pPr>
            <w:r>
              <w:rPr>
                <w:sz w:val="20"/>
                <w:szCs w:val="20"/>
              </w:rPr>
              <w:t>Aditivos emitidos</w:t>
            </w:r>
          </w:p>
        </w:tc>
        <w:tc>
          <w:tcPr>
            <w:tcW w:w="866" w:type="dxa"/>
          </w:tcPr>
          <w:p w:rsidR="000E7043" w:rsidRDefault="000E7043">
            <w:pPr>
              <w:rPr>
                <w:sz w:val="20"/>
                <w:szCs w:val="20"/>
              </w:rPr>
            </w:pPr>
            <w:r>
              <w:rPr>
                <w:sz w:val="20"/>
                <w:szCs w:val="20"/>
              </w:rPr>
              <w:t>71</w:t>
            </w:r>
          </w:p>
        </w:tc>
      </w:tr>
    </w:tbl>
    <w:p w:rsidR="003E6588" w:rsidRDefault="003E6588">
      <w:pPr>
        <w:jc w:val="both"/>
        <w:rPr>
          <w:b/>
        </w:rPr>
      </w:pPr>
    </w:p>
    <w:p w:rsidR="003E6588" w:rsidRDefault="003E6588">
      <w:pPr>
        <w:ind w:firstLine="1134"/>
        <w:jc w:val="both"/>
      </w:pPr>
      <w:r>
        <w:rPr>
          <w:b/>
        </w:rPr>
        <w:t xml:space="preserve">Economia - </w:t>
      </w:r>
      <w:r>
        <w:t>Economia de 56.19% nos pregões eletrônicos realizados, o que representa R$ 176 milhões em relação ao valor referencial dos produtos e serviços adquiridos.</w:t>
      </w:r>
    </w:p>
    <w:p w:rsidR="003E6588" w:rsidRDefault="003E6588">
      <w:pPr>
        <w:ind w:firstLine="1134"/>
        <w:jc w:val="both"/>
      </w:pPr>
    </w:p>
    <w:p w:rsidR="003E6588" w:rsidRDefault="003E6588">
      <w:pPr>
        <w:ind w:firstLine="1134"/>
        <w:jc w:val="both"/>
      </w:pPr>
      <w:r>
        <w:rPr>
          <w:b/>
        </w:rPr>
        <w:t xml:space="preserve">Infraestrutura - </w:t>
      </w:r>
      <w:r>
        <w:t>Projeto de instalações de combate a incêndio e aprovação no Corpo de Bombeiros, com emissão do laudo de AVCB - Em andamento. Vantagem - Prover a empresa de novo projeto e instalações de combate à incêndio, adequadas às novas configurações dos setores produtivos e administrativos.</w:t>
      </w:r>
    </w:p>
    <w:p w:rsidR="003E6588" w:rsidRDefault="003E6588">
      <w:pPr>
        <w:pStyle w:val="Commarcadores"/>
        <w:rPr>
          <w:szCs w:val="24"/>
        </w:rPr>
      </w:pPr>
    </w:p>
    <w:p w:rsidR="003E6588" w:rsidRDefault="003E6588">
      <w:pPr>
        <w:pStyle w:val="Commarcadores"/>
        <w:rPr>
          <w:szCs w:val="24"/>
        </w:rPr>
      </w:pPr>
      <w:r>
        <w:rPr>
          <w:szCs w:val="24"/>
        </w:rPr>
        <w:t>Contrato de manutenções corretiva e preventiva para a Rotativa Goss - M-600. Vantagem - Manter o equipamento em produção contínua.</w:t>
      </w:r>
    </w:p>
    <w:p w:rsidR="00956EBD" w:rsidRDefault="00956EBD">
      <w:pPr>
        <w:pStyle w:val="Commarcadores"/>
        <w:rPr>
          <w:szCs w:val="24"/>
        </w:rPr>
      </w:pPr>
    </w:p>
    <w:p w:rsidR="003E6588" w:rsidRDefault="003E6588">
      <w:pPr>
        <w:pStyle w:val="Commarcadores"/>
        <w:rPr>
          <w:szCs w:val="24"/>
        </w:rPr>
      </w:pPr>
      <w:r>
        <w:rPr>
          <w:szCs w:val="24"/>
        </w:rPr>
        <w:t xml:space="preserve">Contrato de manutenções corretiva e preventiva para os equipamentos de impressão e acabamento </w:t>
      </w:r>
      <w:r>
        <w:rPr>
          <w:i/>
          <w:szCs w:val="24"/>
        </w:rPr>
        <w:t>Heidelberg.</w:t>
      </w:r>
      <w:r>
        <w:rPr>
          <w:szCs w:val="24"/>
        </w:rPr>
        <w:t xml:space="preserve"> Vantagem: Manter os equipamentos em produção contínua, de acordo com as especificações e recomendações do fabricante.</w:t>
      </w:r>
    </w:p>
    <w:p w:rsidR="003E6588" w:rsidRDefault="003E6588">
      <w:pPr>
        <w:pStyle w:val="Commarcadores"/>
        <w:rPr>
          <w:szCs w:val="24"/>
        </w:rPr>
      </w:pPr>
    </w:p>
    <w:p w:rsidR="003E6588" w:rsidRDefault="003E6588">
      <w:pPr>
        <w:pStyle w:val="Commarcadores"/>
        <w:rPr>
          <w:szCs w:val="24"/>
        </w:rPr>
      </w:pPr>
      <w:r>
        <w:rPr>
          <w:szCs w:val="24"/>
        </w:rPr>
        <w:t>Contrato de manutenções corretiva e preventiva para os equipamentos de costura e acabamento de impressões digitais. Vantagem: Manter os equipamentos em produção contínua.</w:t>
      </w:r>
    </w:p>
    <w:p w:rsidR="003E6588" w:rsidRDefault="003E6588">
      <w:pPr>
        <w:pStyle w:val="Commarcadores"/>
        <w:rPr>
          <w:szCs w:val="24"/>
        </w:rPr>
      </w:pPr>
    </w:p>
    <w:p w:rsidR="003E6588" w:rsidRDefault="003E6588">
      <w:pPr>
        <w:pStyle w:val="Commarcadores"/>
        <w:rPr>
          <w:szCs w:val="24"/>
        </w:rPr>
      </w:pPr>
      <w:r>
        <w:rPr>
          <w:szCs w:val="24"/>
        </w:rPr>
        <w:t>Contrato de empresa especializada em limpeza e desentupimento de caixas de gordura e esgotos da Imesp, garantindo o fluxo e a captação de esgot</w:t>
      </w:r>
      <w:r w:rsidR="000E7043">
        <w:rPr>
          <w:szCs w:val="24"/>
        </w:rPr>
        <w:t>os e destinação à rede pública.</w:t>
      </w:r>
    </w:p>
    <w:p w:rsidR="003E6588" w:rsidRDefault="003E6588">
      <w:pPr>
        <w:pStyle w:val="Commarcadores"/>
        <w:rPr>
          <w:szCs w:val="24"/>
        </w:rPr>
      </w:pPr>
    </w:p>
    <w:p w:rsidR="003E6588" w:rsidRDefault="003E6588">
      <w:pPr>
        <w:pStyle w:val="Commarcadores"/>
        <w:rPr>
          <w:szCs w:val="24"/>
        </w:rPr>
      </w:pPr>
      <w:r>
        <w:rPr>
          <w:szCs w:val="24"/>
        </w:rPr>
        <w:t>Aquisição de plataforma de trabalho elétrica, facilitando o trabalho em locais altos e telhados</w:t>
      </w:r>
      <w:r w:rsidR="000E7043">
        <w:rPr>
          <w:szCs w:val="24"/>
        </w:rPr>
        <w:t xml:space="preserve"> e</w:t>
      </w:r>
      <w:r>
        <w:rPr>
          <w:szCs w:val="24"/>
        </w:rPr>
        <w:t xml:space="preserve"> a execução das atividades para os empregados das áreas de elétrica, mecânica, manutenção predial e serviços gerais.</w:t>
      </w:r>
    </w:p>
    <w:p w:rsidR="003E6588" w:rsidRDefault="003E6588">
      <w:pPr>
        <w:pStyle w:val="Commarcadores"/>
        <w:rPr>
          <w:szCs w:val="24"/>
        </w:rPr>
      </w:pPr>
    </w:p>
    <w:p w:rsidR="003E6588" w:rsidRDefault="003E6588">
      <w:pPr>
        <w:pStyle w:val="Commarcadores"/>
        <w:rPr>
          <w:szCs w:val="24"/>
        </w:rPr>
      </w:pPr>
      <w:r>
        <w:rPr>
          <w:szCs w:val="24"/>
        </w:rPr>
        <w:t xml:space="preserve">Contrato de manutenção e limpeza nas calhas de águas pluviais nos edifícios da Imesp. Vantagem: Manter os coletores e calhas sempre limpos e evitar vazamentos e transbordamentos </w:t>
      </w:r>
      <w:r>
        <w:rPr>
          <w:szCs w:val="24"/>
        </w:rPr>
        <w:lastRenderedPageBreak/>
        <w:t>internos.</w:t>
      </w:r>
    </w:p>
    <w:p w:rsidR="002244A6" w:rsidRDefault="002244A6">
      <w:pPr>
        <w:pStyle w:val="Commarcadores"/>
        <w:rPr>
          <w:szCs w:val="24"/>
        </w:rPr>
      </w:pPr>
    </w:p>
    <w:p w:rsidR="003E6588" w:rsidRDefault="003E6588">
      <w:pPr>
        <w:pStyle w:val="Commarcadores"/>
        <w:rPr>
          <w:szCs w:val="24"/>
        </w:rPr>
      </w:pPr>
      <w:r>
        <w:rPr>
          <w:szCs w:val="24"/>
        </w:rPr>
        <w:t xml:space="preserve">Reforma no corredor 39 - Em andamento - substituição de pavimentacão e refazimento de caixas de esgoto e águas pluviais. Vantagem: Regularização de piso, com aumento de resistência à tráfego de cargas pesadas e melhorias no fluxo de resíduos e dejetos provenientes de banheiros do edifício. </w:t>
      </w:r>
    </w:p>
    <w:p w:rsidR="003E6588" w:rsidRDefault="003E6588">
      <w:pPr>
        <w:pStyle w:val="Commarcadores"/>
        <w:rPr>
          <w:szCs w:val="24"/>
        </w:rPr>
      </w:pPr>
    </w:p>
    <w:p w:rsidR="003E6588" w:rsidRDefault="003E6588">
      <w:pPr>
        <w:pStyle w:val="Commarcadores"/>
        <w:rPr>
          <w:szCs w:val="24"/>
        </w:rPr>
      </w:pPr>
      <w:r>
        <w:rPr>
          <w:szCs w:val="24"/>
        </w:rPr>
        <w:t>Impermeabilização de reservatórios de água potável - Em an</w:t>
      </w:r>
      <w:r w:rsidR="00956EBD">
        <w:rPr>
          <w:szCs w:val="24"/>
        </w:rPr>
        <w:t>d</w:t>
      </w:r>
      <w:r>
        <w:rPr>
          <w:szCs w:val="24"/>
        </w:rPr>
        <w:t>amento - Vantagem: Garantir o fornecimento de água potável aos edifícios e evitar infiltrações e vazamentos.</w:t>
      </w:r>
    </w:p>
    <w:p w:rsidR="003E6588" w:rsidRDefault="003E6588">
      <w:pPr>
        <w:pStyle w:val="Commarcadores"/>
        <w:rPr>
          <w:szCs w:val="24"/>
        </w:rPr>
      </w:pPr>
    </w:p>
    <w:p w:rsidR="003E6588" w:rsidRDefault="003E6588">
      <w:pPr>
        <w:pStyle w:val="Commarcadores"/>
        <w:rPr>
          <w:szCs w:val="24"/>
        </w:rPr>
      </w:pPr>
      <w:r>
        <w:rPr>
          <w:szCs w:val="24"/>
        </w:rPr>
        <w:t>Seguro de riscos nomeados - Seguro para cobertura de sinistros de riscos nomeados. Vantagem: garantir o patrimônio em casos de sinistros</w:t>
      </w:r>
      <w:r w:rsidR="000E7043">
        <w:rPr>
          <w:szCs w:val="24"/>
        </w:rPr>
        <w:t>,</w:t>
      </w:r>
      <w:r>
        <w:rPr>
          <w:szCs w:val="24"/>
        </w:rPr>
        <w:t xml:space="preserve"> tais como incêndio, vendaval, danos materiais a equipamentos e edifícios.</w:t>
      </w:r>
    </w:p>
    <w:p w:rsidR="003E6588" w:rsidRDefault="003E6588">
      <w:pPr>
        <w:pStyle w:val="Commarcadores"/>
        <w:rPr>
          <w:szCs w:val="24"/>
        </w:rPr>
      </w:pPr>
    </w:p>
    <w:p w:rsidR="003E6588" w:rsidRDefault="003E6588">
      <w:pPr>
        <w:pStyle w:val="Commarcadores"/>
        <w:rPr>
          <w:szCs w:val="24"/>
        </w:rPr>
      </w:pPr>
      <w:r>
        <w:rPr>
          <w:szCs w:val="24"/>
        </w:rPr>
        <w:t>Almoxarifado - criação do comitê de papel que evoluiu para a possibilidade da empresa reduzir significativamente seus estoques de papel destinados à impressão de serviços gráficos e de produtos acabados, com a conseqüente redução dos gastos com serviços de armazenagem terceirizados.</w:t>
      </w:r>
    </w:p>
    <w:p w:rsidR="003E6588" w:rsidRDefault="003E6588">
      <w:pPr>
        <w:pStyle w:val="Commarcadores"/>
        <w:rPr>
          <w:szCs w:val="24"/>
        </w:rPr>
      </w:pPr>
    </w:p>
    <w:p w:rsidR="003E6588" w:rsidRDefault="003E6588">
      <w:pPr>
        <w:ind w:firstLine="1134"/>
        <w:jc w:val="both"/>
        <w:rPr>
          <w:b/>
        </w:rPr>
      </w:pPr>
      <w:r>
        <w:rPr>
          <w:b/>
        </w:rPr>
        <w:t>Recursos Humanos</w:t>
      </w:r>
    </w:p>
    <w:p w:rsidR="003E6588" w:rsidRDefault="003E6588">
      <w:pPr>
        <w:ind w:firstLine="1134"/>
        <w:jc w:val="both"/>
      </w:pPr>
    </w:p>
    <w:p w:rsidR="003E6588" w:rsidRDefault="003E6588">
      <w:pPr>
        <w:pStyle w:val="Commarcadores"/>
        <w:rPr>
          <w:szCs w:val="24"/>
        </w:rPr>
      </w:pPr>
      <w:r>
        <w:rPr>
          <w:b/>
          <w:szCs w:val="24"/>
        </w:rPr>
        <w:t>Treinamento</w:t>
      </w:r>
      <w:r>
        <w:rPr>
          <w:szCs w:val="24"/>
        </w:rPr>
        <w:t xml:space="preserve"> - Objetivando cumprir as demandas e necessidades apresentadas pelas áreas relativas ao aprimoramento e aperfeiçoamento profissional dos empregados, bem como cumprir as determinações legais, foram realizados os seguintes cursos: Segurança em Instalações e Serviços em Eletricidade - NR-10, Operador de Empilhadeira, Direção Defensiva, CIPA.</w:t>
      </w:r>
    </w:p>
    <w:p w:rsidR="003E6588" w:rsidRDefault="003E6588">
      <w:pPr>
        <w:ind w:firstLine="1134"/>
        <w:jc w:val="both"/>
      </w:pPr>
    </w:p>
    <w:p w:rsidR="003E6588" w:rsidRDefault="003E6588">
      <w:pPr>
        <w:ind w:firstLine="1134"/>
        <w:jc w:val="both"/>
      </w:pPr>
      <w:r>
        <w:t>Os investimentos em capacitação, reciclagem e aperfeiçoamento foram de R$ 24 mil, equivalente a 1.530 horas de treinamentos.</w:t>
      </w:r>
    </w:p>
    <w:p w:rsidR="00B86C0D" w:rsidRDefault="00B86C0D">
      <w:pPr>
        <w:ind w:firstLine="1134"/>
        <w:jc w:val="both"/>
      </w:pPr>
    </w:p>
    <w:p w:rsidR="003E6588" w:rsidRDefault="003E6588">
      <w:pPr>
        <w:ind w:firstLine="1134"/>
        <w:jc w:val="both"/>
      </w:pPr>
      <w:r>
        <w:rPr>
          <w:b/>
        </w:rPr>
        <w:t xml:space="preserve">Bolsa de Estudos - </w:t>
      </w:r>
      <w:r>
        <w:t>Foram concedidas 10 bolsas de estudo com objetivo de estimular a participação dos empregados nos estudos e buscar seu aprimoramento profissional e educacional nas diferentes áreas do conhecimento científico e tecnológico relacionados com o seu cargo e área de atuação. O percentual subsidiado pela empresa foi de 1 bolsa com 40%, 1 bolsa com 60% e 8 bolsas com 50%. O valor total  subsidiado foi de R$ 32 mil.</w:t>
      </w:r>
    </w:p>
    <w:p w:rsidR="003E6588" w:rsidRDefault="003E6588">
      <w:pPr>
        <w:pStyle w:val="Commarcadores"/>
        <w:rPr>
          <w:szCs w:val="24"/>
        </w:rPr>
      </w:pPr>
    </w:p>
    <w:p w:rsidR="003E6588" w:rsidRDefault="003E6588">
      <w:pPr>
        <w:pStyle w:val="Commarcadores"/>
        <w:rPr>
          <w:szCs w:val="24"/>
        </w:rPr>
      </w:pPr>
      <w:r>
        <w:rPr>
          <w:b/>
          <w:szCs w:val="24"/>
        </w:rPr>
        <w:t xml:space="preserve">Estagiários </w:t>
      </w:r>
      <w:r>
        <w:rPr>
          <w:szCs w:val="24"/>
        </w:rPr>
        <w:t>- Com objetivo social de preparar e treinar jovens para o mercado de trabalho, a empresa firm</w:t>
      </w:r>
      <w:r w:rsidR="000E7043">
        <w:rPr>
          <w:szCs w:val="24"/>
        </w:rPr>
        <w:t>ou seu quadro em 17 estagiários</w:t>
      </w:r>
      <w:r>
        <w:rPr>
          <w:szCs w:val="24"/>
        </w:rPr>
        <w:t>.</w:t>
      </w:r>
    </w:p>
    <w:p w:rsidR="003E6588" w:rsidRDefault="003E6588">
      <w:pPr>
        <w:pStyle w:val="Commarcadores"/>
        <w:rPr>
          <w:szCs w:val="24"/>
        </w:rPr>
      </w:pPr>
    </w:p>
    <w:p w:rsidR="003E6588" w:rsidRDefault="003E6588">
      <w:pPr>
        <w:ind w:firstLine="1134"/>
        <w:jc w:val="both"/>
      </w:pPr>
      <w:r>
        <w:t>O quadro atual é composto por estagiários de Educação Superior. Os investimentos foram de R$ 53 mil.</w:t>
      </w:r>
    </w:p>
    <w:p w:rsidR="003E6588" w:rsidRDefault="003E6588">
      <w:pPr>
        <w:pStyle w:val="Commarcadores"/>
        <w:rPr>
          <w:szCs w:val="24"/>
        </w:rPr>
      </w:pPr>
    </w:p>
    <w:p w:rsidR="003E6588" w:rsidRDefault="003E6588">
      <w:pPr>
        <w:pStyle w:val="Commarcadores"/>
        <w:rPr>
          <w:szCs w:val="24"/>
        </w:rPr>
      </w:pPr>
      <w:r>
        <w:rPr>
          <w:b/>
          <w:szCs w:val="24"/>
        </w:rPr>
        <w:t>Aprendizes -</w:t>
      </w:r>
      <w:r>
        <w:rPr>
          <w:szCs w:val="24"/>
        </w:rPr>
        <w:t xml:space="preserve"> Com o objetivo de cumprir a cota estabelecida por lei, que no caso da Imesp é de no mínimo 22 aprendizes, </w:t>
      </w:r>
      <w:r w:rsidR="000E7043">
        <w:rPr>
          <w:szCs w:val="24"/>
        </w:rPr>
        <w:t xml:space="preserve">foi </w:t>
      </w:r>
      <w:r>
        <w:rPr>
          <w:szCs w:val="24"/>
        </w:rPr>
        <w:t>estabelec</w:t>
      </w:r>
      <w:r w:rsidR="000E7043">
        <w:rPr>
          <w:szCs w:val="24"/>
        </w:rPr>
        <w:t>id</w:t>
      </w:r>
      <w:r>
        <w:rPr>
          <w:szCs w:val="24"/>
        </w:rPr>
        <w:t>o, em parceria com 3 escolas SENAI, o processo seletivo externo visando preencher a cota legal.</w:t>
      </w:r>
    </w:p>
    <w:p w:rsidR="003E6588" w:rsidRDefault="003E6588">
      <w:pPr>
        <w:pStyle w:val="Commarcadores"/>
        <w:rPr>
          <w:szCs w:val="24"/>
        </w:rPr>
      </w:pPr>
      <w:r>
        <w:rPr>
          <w:szCs w:val="24"/>
        </w:rPr>
        <w:lastRenderedPageBreak/>
        <w:t>O processo seletivo aberto ofertou 22 vagas distribuídas entre as 3 escolas SENAI. A fase atual é de matrícula nas escolas e</w:t>
      </w:r>
      <w:r w:rsidR="000E7043">
        <w:rPr>
          <w:szCs w:val="24"/>
        </w:rPr>
        <w:t xml:space="preserve"> adesão dos aprendizes à Imesp.</w:t>
      </w:r>
    </w:p>
    <w:p w:rsidR="003E6588" w:rsidRDefault="003E6588">
      <w:pPr>
        <w:pStyle w:val="Commarcadores"/>
        <w:rPr>
          <w:szCs w:val="24"/>
        </w:rPr>
      </w:pPr>
    </w:p>
    <w:p w:rsidR="003E6588" w:rsidRDefault="000E7043">
      <w:pPr>
        <w:ind w:firstLine="1134"/>
        <w:jc w:val="both"/>
      </w:pPr>
      <w:r>
        <w:t xml:space="preserve">São </w:t>
      </w:r>
      <w:r w:rsidR="003E6588" w:rsidRPr="000E7043">
        <w:t>13 aprendizes ativos</w:t>
      </w:r>
      <w:r>
        <w:t>.</w:t>
      </w:r>
      <w:r w:rsidR="003E6588" w:rsidRPr="000E7043">
        <w:t xml:space="preserve"> Os investimentos foram de R$ 556 mil.</w:t>
      </w:r>
    </w:p>
    <w:p w:rsidR="003E6588" w:rsidRDefault="003E6588">
      <w:pPr>
        <w:pStyle w:val="Commarcadores"/>
        <w:rPr>
          <w:szCs w:val="24"/>
        </w:rPr>
      </w:pPr>
    </w:p>
    <w:p w:rsidR="003E6588" w:rsidRDefault="003E6588">
      <w:pPr>
        <w:ind w:firstLine="1134"/>
        <w:jc w:val="both"/>
      </w:pPr>
      <w:r>
        <w:rPr>
          <w:b/>
        </w:rPr>
        <w:t xml:space="preserve">Campanhas de Qualidade de Vida no Trabalho - </w:t>
      </w:r>
      <w:r>
        <w:t>A Imesp promoveu ações voltadas à prevenção de doenças ocupacionais, dentre elas: Censo Audiométrico dos empregados expostos ao ruído, Avaliações Bioquímicas Específicas para Agentes Químicos existentes no processo produtivo industrial, exames de Acuidade Visual para os impressores e Campanha de Vacinação contra Gripe.</w:t>
      </w:r>
    </w:p>
    <w:p w:rsidR="003E6588" w:rsidRDefault="003E6588">
      <w:pPr>
        <w:ind w:firstLine="1134"/>
        <w:jc w:val="both"/>
      </w:pPr>
    </w:p>
    <w:p w:rsidR="003E6588" w:rsidRDefault="003E6588">
      <w:pPr>
        <w:ind w:firstLine="1134"/>
        <w:jc w:val="both"/>
      </w:pPr>
      <w:r>
        <w:t>Realizou ações voltadas à Promoção de Saúde com realização da Semana da Saúde</w:t>
      </w:r>
      <w:r w:rsidR="000E7043">
        <w:t>,</w:t>
      </w:r>
      <w:r>
        <w:t xml:space="preserve"> que tem como objetivo trabalhar aspectos voltados à saúde do trabalhador e incentivar atitudes de vida saudável. Houve a disponibilização de Quiosque de Enfermagem para verificação de pressão arterial do empregado, medição de glicemia, massagem em cadeira eletrônica, avaliação capilar e maquiagem. </w:t>
      </w:r>
      <w:r w:rsidR="000E7043">
        <w:t xml:space="preserve">Foram </w:t>
      </w:r>
      <w:r>
        <w:t xml:space="preserve">abordados temas referentes à saúde bucal, </w:t>
      </w:r>
      <w:r w:rsidR="000E7043">
        <w:t xml:space="preserve">por meio </w:t>
      </w:r>
      <w:r>
        <w:t>de avaliação preventiva de doenças bucais, prevenção de cancêr de pele e codependência química e emocial.</w:t>
      </w:r>
    </w:p>
    <w:p w:rsidR="003E6588" w:rsidRDefault="003E6588">
      <w:pPr>
        <w:ind w:left="1800" w:firstLine="1134"/>
        <w:jc w:val="both"/>
        <w:rPr>
          <w:highlight w:val="lightGray"/>
        </w:rPr>
      </w:pPr>
    </w:p>
    <w:p w:rsidR="003E6588" w:rsidRDefault="003E6588">
      <w:pPr>
        <w:ind w:firstLine="1134"/>
        <w:jc w:val="both"/>
      </w:pPr>
      <w:r>
        <w:rPr>
          <w:b/>
        </w:rPr>
        <w:t xml:space="preserve">Serviço de Atendimento ao Usuário - </w:t>
      </w:r>
      <w:r>
        <w:t>Foram atendidos no Acessa São Paulo 4.587 usuários</w:t>
      </w:r>
      <w:r w:rsidR="000E7043">
        <w:t>,</w:t>
      </w:r>
      <w:r>
        <w:t xml:space="preserve"> conforme registro de frequência; 2.400 consultas na biblioteca; 28 solicitações de empréstimo de material bibliográfico do acervo da biblioteca da IO e de material externo; 108 títulos encaminhados a título de cooperação para </w:t>
      </w:r>
      <w:r>
        <w:rPr>
          <w:i/>
        </w:rPr>
        <w:t>The Library of Congress</w:t>
      </w:r>
      <w:r>
        <w:t>.</w:t>
      </w:r>
    </w:p>
    <w:p w:rsidR="003E6588" w:rsidRDefault="003E6588">
      <w:pPr>
        <w:pStyle w:val="Commarcadores"/>
        <w:rPr>
          <w:szCs w:val="24"/>
        </w:rPr>
      </w:pPr>
    </w:p>
    <w:p w:rsidR="003E6588" w:rsidRDefault="003E6588">
      <w:pPr>
        <w:ind w:firstLine="1134"/>
        <w:jc w:val="both"/>
      </w:pPr>
      <w:r>
        <w:rPr>
          <w:b/>
        </w:rPr>
        <w:t xml:space="preserve">Assessoria de Imprensa - </w:t>
      </w:r>
      <w:r>
        <w:t xml:space="preserve">As divulgações das ações da empresa foram intensificadas ao seu público interno (empregados), via </w:t>
      </w:r>
      <w:smartTag w:uri="urn:schemas-microsoft-com:office:smarttags" w:element="PersonName">
        <w:r>
          <w:t>Portal Corporativo</w:t>
        </w:r>
      </w:smartTag>
      <w:r>
        <w:t xml:space="preserve">. As divulgações externas foram feitas por meio de </w:t>
      </w:r>
      <w:r>
        <w:rPr>
          <w:i/>
        </w:rPr>
        <w:t>releases</w:t>
      </w:r>
      <w:r>
        <w:t xml:space="preserve"> e contatos telefônicos, com abrangência nacional, em especial à praça de São Paulo. Diversos veículos de comunicação publicaram matérias sugeridas pela assessoria de imprensa e vários veículos entraram em contato espontâneo com a empresa, em busca de informações para divulgação.</w:t>
      </w:r>
    </w:p>
    <w:p w:rsidR="002D23B6" w:rsidRDefault="002D23B6">
      <w:pPr>
        <w:ind w:firstLine="1134"/>
        <w:jc w:val="both"/>
        <w:rPr>
          <w:b/>
          <w:i/>
        </w:rPr>
      </w:pPr>
    </w:p>
    <w:p w:rsidR="003E6588" w:rsidRDefault="003E6588">
      <w:pPr>
        <w:ind w:firstLine="1134"/>
        <w:jc w:val="both"/>
        <w:rPr>
          <w:b/>
        </w:rPr>
      </w:pPr>
      <w:r>
        <w:rPr>
          <w:b/>
          <w:i/>
        </w:rPr>
        <w:t xml:space="preserve">Releases </w:t>
      </w:r>
      <w:r>
        <w:rPr>
          <w:b/>
        </w:rPr>
        <w:t xml:space="preserve">- </w:t>
      </w:r>
      <w:r w:rsidR="007E47B5">
        <w:t>Divulgação de livros</w:t>
      </w:r>
    </w:p>
    <w:p w:rsidR="003E6588" w:rsidRDefault="003E6588">
      <w:pPr>
        <w:ind w:left="1080" w:firstLine="1134"/>
        <w:jc w:val="both"/>
      </w:pPr>
    </w:p>
    <w:p w:rsidR="003E6588" w:rsidRDefault="003E6588">
      <w:pPr>
        <w:ind w:firstLine="1134"/>
        <w:jc w:val="both"/>
      </w:pPr>
      <w:r>
        <w:t>Travessia Periférica - A trajetória do pintor Waldemar Belisário. Ana Maria Barbosa de Faria Marcondes. Edição - Imprensa Oficial do Estado de São Paulo.</w:t>
      </w:r>
    </w:p>
    <w:p w:rsidR="003E6588" w:rsidRDefault="003E6588">
      <w:pPr>
        <w:ind w:firstLine="1134"/>
        <w:jc w:val="both"/>
      </w:pPr>
    </w:p>
    <w:p w:rsidR="003E6588" w:rsidRDefault="003E6588">
      <w:pPr>
        <w:ind w:firstLine="1134"/>
        <w:jc w:val="both"/>
      </w:pPr>
      <w:r>
        <w:t>1964 na visão do Ministro do trabalho de João Goulart. Almino Affonso. Coedição - Imprensa Oficial do Estado de São Paulo e Fundação do Desenvolvimento Administrativo.</w:t>
      </w:r>
    </w:p>
    <w:p w:rsidR="003E6588" w:rsidRDefault="003E6588">
      <w:pPr>
        <w:ind w:firstLine="1134"/>
        <w:rPr>
          <w:b/>
        </w:rPr>
      </w:pPr>
    </w:p>
    <w:p w:rsidR="003E6588" w:rsidRDefault="003E6588">
      <w:pPr>
        <w:ind w:firstLine="1134"/>
        <w:jc w:val="both"/>
      </w:pPr>
      <w:r>
        <w:t xml:space="preserve">Livro dos Ex-Líbris - Coedição - </w:t>
      </w:r>
      <w:smartTag w:uri="urn:schemas-microsoft-com:office:smarttags" w:element="PersonName">
        <w:smartTagPr>
          <w:attr w:name="ProductID" w:val="Academia Brasileira de Letras"/>
        </w:smartTagPr>
        <w:smartTag w:uri="urn:schemas-microsoft-com:office:smarttags" w:element="metricconverter">
          <w:smartTagPr>
            <w:attr w:name="ProductID" w:val="27,6 cm"/>
          </w:smartTagPr>
          <w:r>
            <w:t>Academia Brasileira de Letras</w:t>
          </w:r>
        </w:smartTag>
      </w:smartTag>
      <w:r>
        <w:t xml:space="preserve"> e Imprensa Oficial do Estado de São Paulo. Organização - Alberto da Costa e Silva e Anselmo Maciel</w:t>
      </w:r>
    </w:p>
    <w:p w:rsidR="003E6588" w:rsidRDefault="003E6588">
      <w:pPr>
        <w:ind w:firstLine="1134"/>
      </w:pPr>
    </w:p>
    <w:p w:rsidR="003E6588" w:rsidRDefault="003E6588">
      <w:pPr>
        <w:ind w:firstLine="1134"/>
        <w:jc w:val="both"/>
      </w:pPr>
      <w:r>
        <w:rPr>
          <w:bCs/>
          <w:iCs/>
        </w:rPr>
        <w:t>A história do edifício Copan [vol.1Trilogia do Copan</w:t>
      </w:r>
      <w:r>
        <w:rPr>
          <w:b/>
          <w:bCs/>
          <w:iCs/>
        </w:rPr>
        <w:t>].</w:t>
      </w:r>
      <w:r>
        <w:rPr>
          <w:b/>
          <w:bCs/>
          <w:i/>
          <w:iCs/>
        </w:rPr>
        <w:t xml:space="preserve"> </w:t>
      </w:r>
      <w:r>
        <w:t xml:space="preserve">Carlos Alberto Cerqueira Lemos. </w:t>
      </w:r>
      <w:r>
        <w:rPr>
          <w:bCs/>
          <w:iCs/>
        </w:rPr>
        <w:t>Edição -</w:t>
      </w:r>
      <w:r>
        <w:rPr>
          <w:b/>
          <w:bCs/>
          <w:i/>
          <w:iCs/>
        </w:rPr>
        <w:t xml:space="preserve"> </w:t>
      </w:r>
      <w:r>
        <w:t>Imprensa Oficial do Estado de São Paulo.</w:t>
      </w:r>
    </w:p>
    <w:p w:rsidR="003E6588" w:rsidRDefault="003E6588">
      <w:pPr>
        <w:ind w:firstLine="1134"/>
        <w:rPr>
          <w:b/>
          <w:bCs/>
          <w:i/>
          <w:iCs/>
        </w:rPr>
      </w:pPr>
    </w:p>
    <w:p w:rsidR="003E6588" w:rsidRDefault="003E6588">
      <w:pPr>
        <w:ind w:firstLine="1134"/>
        <w:jc w:val="both"/>
      </w:pPr>
      <w:r>
        <w:rPr>
          <w:rStyle w:val="ttulos"/>
          <w:rFonts w:ascii="Times New Roman" w:hAnsi="Times New Roman" w:cs="Times New Roman"/>
          <w:b w:val="0"/>
        </w:rPr>
        <w:lastRenderedPageBreak/>
        <w:t>Desenhando Longe - Cadernos de Viagem, EUA Copa 94</w:t>
      </w:r>
      <w:r>
        <w:rPr>
          <w:rStyle w:val="ttulos"/>
          <w:rFonts w:ascii="Times New Roman" w:hAnsi="Times New Roman" w:cs="Times New Roman"/>
          <w:b w:val="0"/>
          <w:bCs w:val="0"/>
        </w:rPr>
        <w:t>.</w:t>
      </w:r>
      <w:r>
        <w:t xml:space="preserve"> Paulo Caruso. Edição - Imprensa Oficial do Estado de São Paulo.</w:t>
      </w:r>
    </w:p>
    <w:p w:rsidR="002244A6" w:rsidRDefault="002244A6">
      <w:pPr>
        <w:ind w:firstLine="1134"/>
        <w:jc w:val="both"/>
      </w:pPr>
    </w:p>
    <w:p w:rsidR="003E6588" w:rsidRDefault="003E6588">
      <w:pPr>
        <w:ind w:firstLine="1134"/>
        <w:jc w:val="both"/>
      </w:pPr>
      <w:r>
        <w:t>Teatro Oficina. Lenise Pinheiro. Edição - Imprensa Oficial do Estado de São Paulo.</w:t>
      </w:r>
    </w:p>
    <w:p w:rsidR="003E6588" w:rsidRDefault="003E6588">
      <w:pPr>
        <w:ind w:firstLine="1134"/>
        <w:jc w:val="both"/>
        <w:rPr>
          <w:b/>
        </w:rPr>
      </w:pPr>
    </w:p>
    <w:p w:rsidR="003E6588" w:rsidRDefault="003E6588">
      <w:pPr>
        <w:ind w:firstLine="1134"/>
        <w:jc w:val="both"/>
      </w:pPr>
      <w:r>
        <w:rPr>
          <w:b/>
        </w:rPr>
        <w:t xml:space="preserve">Veículos de comunicação que solicitaram material de divulgação ou divulgaram matérias sugeridas pela assessoria de imprensa - </w:t>
      </w:r>
      <w:r>
        <w:t xml:space="preserve">Art 1/Grupo Bandeirante, Canal Futura, </w:t>
      </w:r>
      <w:smartTag w:uri="urn:schemas-microsoft-com:office:smarttags" w:element="PersonName">
        <w:smartTagPr>
          <w:attr w:name="ProductID" w:val="Carta Capital"/>
        </w:smartTagPr>
        <w:r>
          <w:t>Carta Capital</w:t>
        </w:r>
      </w:smartTag>
      <w:r>
        <w:t xml:space="preserve">, Jornal O Estado de São Paulo, César Alves - </w:t>
      </w:r>
      <w:r>
        <w:rPr>
          <w:i/>
        </w:rPr>
        <w:t>free lancer</w:t>
      </w:r>
      <w:r>
        <w:t xml:space="preserve"> da Revista Brasileiros, Correio Braziliense, O Globo, Jornal do Comércio, Jornal DCI, Domingão do Faustão, Editora Atlantis, Editora Tip, Folha de São Paulo, Jornal da USP, Portal Mega Brasil/Jornal da Comunicação Corporativa, </w:t>
      </w:r>
      <w:smartTag w:uri="urn:schemas-microsoft-com:office:smarttags" w:element="PersonName">
        <w:r>
          <w:t>Assessoria de Imprensa</w:t>
        </w:r>
      </w:smartTag>
      <w:r>
        <w:t xml:space="preserve"> da Prefeitura de Ilha Bela, Livros em Revista/TV Geração Z, Teatro Jornal, TV Cultura, TV São Judas e TV SESC, </w:t>
      </w:r>
      <w:r>
        <w:rPr>
          <w:i/>
        </w:rPr>
        <w:t>Publishnews</w:t>
      </w:r>
      <w:r>
        <w:t xml:space="preserve">, Portal Imprensa, </w:t>
      </w:r>
      <w:r>
        <w:rPr>
          <w:i/>
        </w:rPr>
        <w:t xml:space="preserve">Site </w:t>
      </w:r>
      <w:r>
        <w:t>G1, Jornal Agora, Cândido - Jornal da Biblioteca Pública do Paraná, Rádio CBN.</w:t>
      </w:r>
    </w:p>
    <w:p w:rsidR="003E6588" w:rsidRDefault="003E6588">
      <w:pPr>
        <w:ind w:firstLine="1134"/>
        <w:jc w:val="both"/>
        <w:rPr>
          <w:b/>
        </w:rPr>
      </w:pPr>
    </w:p>
    <w:p w:rsidR="003E6588" w:rsidRDefault="003E6588">
      <w:pPr>
        <w:ind w:firstLine="1134"/>
        <w:jc w:val="both"/>
        <w:rPr>
          <w:color w:val="000000"/>
        </w:rPr>
      </w:pPr>
      <w:r>
        <w:rPr>
          <w:b/>
        </w:rPr>
        <w:t>Participações -</w:t>
      </w:r>
      <w:r>
        <w:t xml:space="preserve"> </w:t>
      </w:r>
      <w:r>
        <w:rPr>
          <w:color w:val="000000"/>
        </w:rPr>
        <w:t>3º Fórum da Rede de Publicações Oficiais Mexicanas - Repomex e Reunião Técnica da Rede de Boletins Oficiais das Américas - RedBoa, no México.</w:t>
      </w:r>
    </w:p>
    <w:p w:rsidR="003E6588" w:rsidRDefault="003E6588">
      <w:pPr>
        <w:ind w:firstLine="1134"/>
        <w:jc w:val="both"/>
        <w:rPr>
          <w:color w:val="000000"/>
        </w:rPr>
      </w:pPr>
    </w:p>
    <w:p w:rsidR="003E6588" w:rsidRDefault="003E6588">
      <w:pPr>
        <w:ind w:firstLine="1134"/>
        <w:jc w:val="both"/>
        <w:rPr>
          <w:b/>
        </w:rPr>
      </w:pPr>
      <w:r>
        <w:rPr>
          <w:b/>
        </w:rPr>
        <w:t>Produção de material</w:t>
      </w:r>
    </w:p>
    <w:p w:rsidR="003E6588" w:rsidRDefault="003E6588">
      <w:pPr>
        <w:ind w:firstLine="1134"/>
        <w:jc w:val="both"/>
        <w:rPr>
          <w:b/>
        </w:rPr>
      </w:pPr>
    </w:p>
    <w:p w:rsidR="003E6588" w:rsidRDefault="003E6588">
      <w:pPr>
        <w:pStyle w:val="Commarcadores"/>
        <w:rPr>
          <w:szCs w:val="24"/>
        </w:rPr>
      </w:pPr>
      <w:r>
        <w:rPr>
          <w:b/>
          <w:szCs w:val="24"/>
        </w:rPr>
        <w:t>IO Informativo</w:t>
      </w:r>
      <w:r>
        <w:rPr>
          <w:szCs w:val="24"/>
        </w:rPr>
        <w:t xml:space="preserve"> - Publicação interna da empresa. Foram produzidas cinco edições.</w:t>
      </w:r>
    </w:p>
    <w:p w:rsidR="003E6588" w:rsidRDefault="003E6588">
      <w:pPr>
        <w:pStyle w:val="Commarcadores"/>
        <w:rPr>
          <w:szCs w:val="24"/>
        </w:rPr>
      </w:pPr>
    </w:p>
    <w:p w:rsidR="003E6588" w:rsidRDefault="003E6588">
      <w:pPr>
        <w:pStyle w:val="Commarcadores"/>
        <w:rPr>
          <w:szCs w:val="24"/>
        </w:rPr>
      </w:pPr>
      <w:r>
        <w:rPr>
          <w:b/>
          <w:szCs w:val="24"/>
        </w:rPr>
        <w:t>Cartilhas</w:t>
      </w:r>
      <w:r>
        <w:rPr>
          <w:szCs w:val="24"/>
        </w:rPr>
        <w:t xml:space="preserve"> para distribuição aos empregados sobre plano de saúde; seguro de vida; somente edição para EPI - Equipamento de Produção Individual.</w:t>
      </w:r>
    </w:p>
    <w:p w:rsidR="003E6588" w:rsidRDefault="003E6588">
      <w:pPr>
        <w:pStyle w:val="Commarcadores"/>
        <w:rPr>
          <w:szCs w:val="24"/>
        </w:rPr>
      </w:pPr>
    </w:p>
    <w:p w:rsidR="003E6588" w:rsidRDefault="003E6588">
      <w:pPr>
        <w:ind w:firstLine="1134"/>
        <w:jc w:val="both"/>
      </w:pPr>
      <w:r>
        <w:rPr>
          <w:b/>
        </w:rPr>
        <w:t xml:space="preserve">Portal Corporativo - </w:t>
      </w:r>
      <w:r>
        <w:t>Principal canal de comunicação interna da empresa. Disponibiliza informações</w:t>
      </w:r>
      <w:smartTag w:uri="urn:schemas-microsoft-com:office:smarttags" w:element="PersonName">
        <w:r>
          <w:t>,</w:t>
        </w:r>
      </w:smartTag>
      <w:r>
        <w:t xml:space="preserve"> sistemas e normas</w:t>
      </w:r>
      <w:r w:rsidR="007E47B5">
        <w:t>,</w:t>
      </w:r>
      <w:r>
        <w:t xml:space="preserve"> promovendo integração entre as áreas e mais agilidade nos processos internos. A equipe do </w:t>
      </w:r>
      <w:smartTag w:uri="urn:schemas-microsoft-com:office:smarttags" w:element="PersonName">
        <w:r>
          <w:t>Portal Corporativo</w:t>
        </w:r>
      </w:smartTag>
      <w:r w:rsidR="007E47B5">
        <w:t xml:space="preserve"> publicou 207 matérias</w:t>
      </w:r>
      <w:r>
        <w:t xml:space="preserve"> </w:t>
      </w:r>
      <w:r w:rsidR="007E47B5">
        <w:t xml:space="preserve">e </w:t>
      </w:r>
      <w:r>
        <w:t xml:space="preserve">fez divulgações especiais de campanha contra o desperdício da água e matéria de prevenção da dengue, com distribuição de cartazes </w:t>
      </w:r>
      <w:r w:rsidR="007E47B5">
        <w:t>n</w:t>
      </w:r>
      <w:r>
        <w:t>as dependências da empresa. O número de visitas ao portal, foi de 360.941.</w:t>
      </w:r>
    </w:p>
    <w:p w:rsidR="002D23B6" w:rsidRDefault="002D23B6">
      <w:pPr>
        <w:ind w:firstLine="1134"/>
        <w:jc w:val="both"/>
        <w:rPr>
          <w:b/>
        </w:rPr>
      </w:pPr>
    </w:p>
    <w:p w:rsidR="003E6588" w:rsidRDefault="003E6588">
      <w:pPr>
        <w:ind w:firstLine="1134"/>
        <w:jc w:val="both"/>
        <w:rPr>
          <w:b/>
        </w:rPr>
      </w:pPr>
      <w:r>
        <w:rPr>
          <w:b/>
        </w:rPr>
        <w:t>Gestão de Clientes</w:t>
      </w:r>
    </w:p>
    <w:p w:rsidR="003E6588" w:rsidRDefault="003E6588">
      <w:pPr>
        <w:ind w:firstLine="1134"/>
        <w:jc w:val="both"/>
        <w:rPr>
          <w:b/>
        </w:rPr>
      </w:pPr>
    </w:p>
    <w:p w:rsidR="003E6588" w:rsidRDefault="003E6588">
      <w:pPr>
        <w:ind w:firstLine="1134"/>
        <w:jc w:val="both"/>
      </w:pPr>
      <w:r>
        <w:rPr>
          <w:b/>
        </w:rPr>
        <w:t xml:space="preserve">SAC - </w:t>
      </w:r>
      <w:r>
        <w:t xml:space="preserve">Foi operado pela empresa </w:t>
      </w:r>
      <w:r>
        <w:rPr>
          <w:i/>
        </w:rPr>
        <w:t>Call</w:t>
      </w:r>
      <w:r>
        <w:t xml:space="preserve"> Tecnologia e Serviços que apresentava uma excelente estrutura operacional favorecendo o cumprimento dos SLA’s estabelecidos em contrato </w:t>
      </w:r>
      <w:r w:rsidR="00396B69">
        <w:t xml:space="preserve">e atualmente, </w:t>
      </w:r>
      <w:r>
        <w:t>está sendo operado pela empresa PVRN - Comérico e Serviço de Informática.</w:t>
      </w:r>
    </w:p>
    <w:p w:rsidR="003E6588" w:rsidRDefault="003E6588">
      <w:pPr>
        <w:ind w:firstLine="1134"/>
        <w:jc w:val="both"/>
      </w:pPr>
    </w:p>
    <w:p w:rsidR="003E6588" w:rsidRDefault="003E6588">
      <w:pPr>
        <w:ind w:firstLine="1134"/>
        <w:jc w:val="both"/>
      </w:pPr>
      <w:r>
        <w:t>O SAC registrou 71.337 chamados e são registrados em sua totalidade, permitindo acompanhamento eficaz de todas as demandas dos clientes.</w:t>
      </w:r>
    </w:p>
    <w:p w:rsidR="003E6588" w:rsidRDefault="003E6588">
      <w:pPr>
        <w:ind w:firstLine="1134"/>
        <w:jc w:val="both"/>
      </w:pPr>
    </w:p>
    <w:p w:rsidR="003E6588" w:rsidRDefault="003E6588">
      <w:pPr>
        <w:ind w:firstLine="1134"/>
        <w:jc w:val="both"/>
      </w:pPr>
      <w:r w:rsidRPr="00396B69">
        <w:t>Nossas necessidades são embasadas na análise crítica das reclamações e sugestões para implantação de ações de melhoria contínua.</w:t>
      </w:r>
    </w:p>
    <w:p w:rsidR="003E6588" w:rsidRDefault="003E6588">
      <w:pPr>
        <w:ind w:firstLine="1134"/>
        <w:jc w:val="both"/>
      </w:pPr>
    </w:p>
    <w:tbl>
      <w:tblPr>
        <w:tblW w:w="3700" w:type="dxa"/>
        <w:jc w:val="center"/>
        <w:tblInd w:w="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tblPr>
      <w:tblGrid>
        <w:gridCol w:w="1420"/>
        <w:gridCol w:w="1140"/>
        <w:gridCol w:w="1140"/>
      </w:tblGrid>
      <w:tr w:rsidR="00396B69" w:rsidTr="00B86C0D">
        <w:trPr>
          <w:trHeight w:val="330"/>
          <w:jc w:val="center"/>
        </w:trPr>
        <w:tc>
          <w:tcPr>
            <w:tcW w:w="1420" w:type="dxa"/>
            <w:shd w:val="clear" w:color="auto" w:fill="auto"/>
            <w:vAlign w:val="center"/>
          </w:tcPr>
          <w:p w:rsidR="00396B69" w:rsidRDefault="00396B69">
            <w:pPr>
              <w:rPr>
                <w:b/>
                <w:bCs/>
                <w:sz w:val="20"/>
                <w:szCs w:val="20"/>
              </w:rPr>
            </w:pPr>
            <w:r>
              <w:rPr>
                <w:b/>
                <w:bCs/>
                <w:sz w:val="20"/>
                <w:szCs w:val="20"/>
              </w:rPr>
              <w:lastRenderedPageBreak/>
              <w:t>Atendimento</w:t>
            </w:r>
          </w:p>
        </w:tc>
        <w:tc>
          <w:tcPr>
            <w:tcW w:w="2280" w:type="dxa"/>
            <w:gridSpan w:val="2"/>
            <w:shd w:val="clear" w:color="auto" w:fill="auto"/>
            <w:vAlign w:val="center"/>
          </w:tcPr>
          <w:p w:rsidR="00396B69" w:rsidRDefault="00396B69">
            <w:pPr>
              <w:rPr>
                <w:b/>
                <w:bCs/>
                <w:sz w:val="20"/>
                <w:szCs w:val="20"/>
              </w:rPr>
            </w:pPr>
            <w:r>
              <w:rPr>
                <w:b/>
                <w:bCs/>
                <w:sz w:val="20"/>
                <w:szCs w:val="20"/>
              </w:rPr>
              <w:t>Total Geral</w:t>
            </w:r>
          </w:p>
        </w:tc>
      </w:tr>
      <w:tr w:rsidR="00396B69" w:rsidTr="00B86C0D">
        <w:trPr>
          <w:trHeight w:val="330"/>
          <w:jc w:val="center"/>
        </w:trPr>
        <w:tc>
          <w:tcPr>
            <w:tcW w:w="1420" w:type="dxa"/>
            <w:shd w:val="clear" w:color="auto" w:fill="auto"/>
            <w:vAlign w:val="center"/>
          </w:tcPr>
          <w:p w:rsidR="00396B69" w:rsidRDefault="00396B69">
            <w:pPr>
              <w:rPr>
                <w:sz w:val="20"/>
                <w:szCs w:val="20"/>
              </w:rPr>
            </w:pPr>
            <w:r>
              <w:rPr>
                <w:bCs/>
                <w:sz w:val="20"/>
                <w:szCs w:val="20"/>
              </w:rPr>
              <w:t>Nível 1</w:t>
            </w:r>
          </w:p>
        </w:tc>
        <w:tc>
          <w:tcPr>
            <w:tcW w:w="1140" w:type="dxa"/>
            <w:shd w:val="clear" w:color="auto" w:fill="auto"/>
            <w:vAlign w:val="center"/>
          </w:tcPr>
          <w:p w:rsidR="00396B69" w:rsidRDefault="00396B69">
            <w:pPr>
              <w:rPr>
                <w:sz w:val="20"/>
                <w:szCs w:val="20"/>
              </w:rPr>
            </w:pPr>
            <w:r>
              <w:rPr>
                <w:bCs/>
                <w:sz w:val="20"/>
                <w:szCs w:val="20"/>
              </w:rPr>
              <w:t>48.688</w:t>
            </w:r>
          </w:p>
        </w:tc>
        <w:tc>
          <w:tcPr>
            <w:tcW w:w="1140" w:type="dxa"/>
            <w:shd w:val="clear" w:color="auto" w:fill="auto"/>
            <w:vAlign w:val="center"/>
          </w:tcPr>
          <w:p w:rsidR="00396B69" w:rsidRDefault="00396B69">
            <w:pPr>
              <w:rPr>
                <w:bCs/>
                <w:sz w:val="20"/>
                <w:szCs w:val="20"/>
              </w:rPr>
            </w:pPr>
            <w:r>
              <w:rPr>
                <w:bCs/>
                <w:sz w:val="20"/>
                <w:szCs w:val="20"/>
              </w:rPr>
              <w:t>68,25%</w:t>
            </w:r>
          </w:p>
        </w:tc>
      </w:tr>
      <w:tr w:rsidR="00396B69" w:rsidTr="00B86C0D">
        <w:trPr>
          <w:trHeight w:val="330"/>
          <w:jc w:val="center"/>
        </w:trPr>
        <w:tc>
          <w:tcPr>
            <w:tcW w:w="1420" w:type="dxa"/>
            <w:shd w:val="clear" w:color="auto" w:fill="auto"/>
            <w:vAlign w:val="center"/>
          </w:tcPr>
          <w:p w:rsidR="00396B69" w:rsidRDefault="00396B69">
            <w:pPr>
              <w:rPr>
                <w:sz w:val="20"/>
                <w:szCs w:val="20"/>
              </w:rPr>
            </w:pPr>
            <w:r>
              <w:rPr>
                <w:bCs/>
                <w:sz w:val="20"/>
                <w:szCs w:val="20"/>
              </w:rPr>
              <w:t>Nível 2</w:t>
            </w:r>
          </w:p>
        </w:tc>
        <w:tc>
          <w:tcPr>
            <w:tcW w:w="1140" w:type="dxa"/>
            <w:shd w:val="clear" w:color="auto" w:fill="auto"/>
            <w:vAlign w:val="center"/>
          </w:tcPr>
          <w:p w:rsidR="00396B69" w:rsidRDefault="00396B69">
            <w:pPr>
              <w:rPr>
                <w:sz w:val="20"/>
                <w:szCs w:val="20"/>
              </w:rPr>
            </w:pPr>
            <w:r>
              <w:rPr>
                <w:sz w:val="20"/>
                <w:szCs w:val="20"/>
              </w:rPr>
              <w:t>20.981</w:t>
            </w:r>
          </w:p>
        </w:tc>
        <w:tc>
          <w:tcPr>
            <w:tcW w:w="1140" w:type="dxa"/>
            <w:shd w:val="clear" w:color="auto" w:fill="auto"/>
            <w:vAlign w:val="center"/>
          </w:tcPr>
          <w:p w:rsidR="00396B69" w:rsidRDefault="00396B69">
            <w:pPr>
              <w:rPr>
                <w:sz w:val="20"/>
                <w:szCs w:val="20"/>
              </w:rPr>
            </w:pPr>
            <w:r>
              <w:rPr>
                <w:bCs/>
                <w:sz w:val="20"/>
                <w:szCs w:val="20"/>
              </w:rPr>
              <w:t>29,41%</w:t>
            </w:r>
          </w:p>
        </w:tc>
      </w:tr>
      <w:tr w:rsidR="00396B69" w:rsidTr="00B86C0D">
        <w:trPr>
          <w:trHeight w:val="330"/>
          <w:jc w:val="center"/>
        </w:trPr>
        <w:tc>
          <w:tcPr>
            <w:tcW w:w="1420" w:type="dxa"/>
            <w:shd w:val="clear" w:color="auto" w:fill="auto"/>
            <w:vAlign w:val="center"/>
          </w:tcPr>
          <w:p w:rsidR="00396B69" w:rsidRDefault="00396B69">
            <w:pPr>
              <w:rPr>
                <w:sz w:val="20"/>
                <w:szCs w:val="20"/>
              </w:rPr>
            </w:pPr>
            <w:r>
              <w:rPr>
                <w:bCs/>
                <w:sz w:val="20"/>
                <w:szCs w:val="20"/>
              </w:rPr>
              <w:t>Nível 3 e 4</w:t>
            </w:r>
          </w:p>
        </w:tc>
        <w:tc>
          <w:tcPr>
            <w:tcW w:w="1140" w:type="dxa"/>
            <w:shd w:val="clear" w:color="auto" w:fill="auto"/>
            <w:vAlign w:val="center"/>
          </w:tcPr>
          <w:p w:rsidR="00396B69" w:rsidRDefault="00396B69">
            <w:pPr>
              <w:rPr>
                <w:sz w:val="20"/>
                <w:szCs w:val="20"/>
              </w:rPr>
            </w:pPr>
            <w:r>
              <w:rPr>
                <w:bCs/>
                <w:sz w:val="20"/>
                <w:szCs w:val="20"/>
              </w:rPr>
              <w:t>1.668</w:t>
            </w:r>
          </w:p>
        </w:tc>
        <w:tc>
          <w:tcPr>
            <w:tcW w:w="1140" w:type="dxa"/>
            <w:shd w:val="clear" w:color="auto" w:fill="auto"/>
            <w:vAlign w:val="center"/>
          </w:tcPr>
          <w:p w:rsidR="00396B69" w:rsidRDefault="00396B69">
            <w:pPr>
              <w:rPr>
                <w:sz w:val="20"/>
                <w:szCs w:val="20"/>
              </w:rPr>
            </w:pPr>
            <w:r>
              <w:rPr>
                <w:sz w:val="20"/>
                <w:szCs w:val="20"/>
              </w:rPr>
              <w:t>2,34%</w:t>
            </w:r>
          </w:p>
        </w:tc>
      </w:tr>
      <w:tr w:rsidR="00396B69" w:rsidTr="00B86C0D">
        <w:trPr>
          <w:trHeight w:val="330"/>
          <w:jc w:val="center"/>
        </w:trPr>
        <w:tc>
          <w:tcPr>
            <w:tcW w:w="1420" w:type="dxa"/>
            <w:shd w:val="clear" w:color="auto" w:fill="auto"/>
            <w:vAlign w:val="center"/>
          </w:tcPr>
          <w:p w:rsidR="00396B69" w:rsidRDefault="00396B69">
            <w:pPr>
              <w:rPr>
                <w:b/>
                <w:bCs/>
                <w:sz w:val="20"/>
                <w:szCs w:val="20"/>
              </w:rPr>
            </w:pPr>
            <w:r>
              <w:rPr>
                <w:b/>
                <w:bCs/>
                <w:sz w:val="20"/>
                <w:szCs w:val="20"/>
              </w:rPr>
              <w:t>Totais</w:t>
            </w:r>
          </w:p>
        </w:tc>
        <w:tc>
          <w:tcPr>
            <w:tcW w:w="1140" w:type="dxa"/>
            <w:shd w:val="clear" w:color="auto" w:fill="auto"/>
            <w:vAlign w:val="center"/>
          </w:tcPr>
          <w:p w:rsidR="00396B69" w:rsidRDefault="00396B69">
            <w:pPr>
              <w:rPr>
                <w:b/>
                <w:bCs/>
                <w:sz w:val="20"/>
                <w:szCs w:val="20"/>
              </w:rPr>
            </w:pPr>
            <w:r>
              <w:rPr>
                <w:b/>
                <w:bCs/>
                <w:sz w:val="20"/>
                <w:szCs w:val="20"/>
              </w:rPr>
              <w:t>71.337</w:t>
            </w:r>
          </w:p>
        </w:tc>
        <w:tc>
          <w:tcPr>
            <w:tcW w:w="1140" w:type="dxa"/>
            <w:shd w:val="clear" w:color="auto" w:fill="auto"/>
            <w:vAlign w:val="center"/>
          </w:tcPr>
          <w:p w:rsidR="00396B69" w:rsidRDefault="00396B69">
            <w:pPr>
              <w:rPr>
                <w:b/>
                <w:bCs/>
                <w:sz w:val="20"/>
                <w:szCs w:val="20"/>
              </w:rPr>
            </w:pPr>
            <w:r>
              <w:rPr>
                <w:b/>
                <w:bCs/>
                <w:sz w:val="20"/>
                <w:szCs w:val="20"/>
              </w:rPr>
              <w:t>100,00%</w:t>
            </w:r>
          </w:p>
        </w:tc>
      </w:tr>
    </w:tbl>
    <w:p w:rsidR="003E6588" w:rsidRDefault="003E6588">
      <w:pPr>
        <w:ind w:firstLine="1134"/>
        <w:rPr>
          <w:b/>
          <w:bCs/>
        </w:rPr>
      </w:pPr>
    </w:p>
    <w:p w:rsidR="003E6588" w:rsidRDefault="003E6588" w:rsidP="00396B69">
      <w:pPr>
        <w:ind w:firstLine="1134"/>
        <w:jc w:val="both"/>
        <w:rPr>
          <w:b/>
          <w:bCs/>
        </w:rPr>
      </w:pPr>
      <w:r>
        <w:rPr>
          <w:b/>
          <w:bCs/>
        </w:rPr>
        <w:t>Chamados por Grupos de Atendimento</w:t>
      </w:r>
    </w:p>
    <w:p w:rsidR="003E6588" w:rsidRDefault="003E6588">
      <w:pPr>
        <w:ind w:firstLine="1134"/>
        <w:rPr>
          <w:b/>
          <w:bCs/>
        </w:rPr>
      </w:pPr>
    </w:p>
    <w:p w:rsidR="003E6588" w:rsidRDefault="00AD3B0F">
      <w:r>
        <w:rPr>
          <w:noProof/>
        </w:rPr>
        <w:drawing>
          <wp:inline distT="0" distB="0" distL="0" distR="0">
            <wp:extent cx="6181725" cy="2752725"/>
            <wp:effectExtent l="19050" t="0" r="9525"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6181725" cy="2752725"/>
                    </a:xfrm>
                    <a:prstGeom prst="rect">
                      <a:avLst/>
                    </a:prstGeom>
                    <a:noFill/>
                    <a:ln w="9525">
                      <a:noFill/>
                      <a:miter lim="800000"/>
                      <a:headEnd/>
                      <a:tailEnd/>
                    </a:ln>
                  </pic:spPr>
                </pic:pic>
              </a:graphicData>
            </a:graphic>
          </wp:inline>
        </w:drawing>
      </w:r>
    </w:p>
    <w:p w:rsidR="003E6588" w:rsidRDefault="003E6588">
      <w:pPr>
        <w:ind w:firstLine="1134"/>
        <w:jc w:val="both"/>
        <w:rPr>
          <w:sz w:val="22"/>
          <w:szCs w:val="22"/>
        </w:rPr>
      </w:pPr>
    </w:p>
    <w:p w:rsidR="003E6588" w:rsidRDefault="003E6588">
      <w:pPr>
        <w:ind w:firstLine="1134"/>
        <w:jc w:val="both"/>
        <w:rPr>
          <w:sz w:val="22"/>
          <w:szCs w:val="22"/>
        </w:rPr>
      </w:pPr>
      <w:r>
        <w:rPr>
          <w:sz w:val="22"/>
          <w:szCs w:val="22"/>
        </w:rPr>
        <w:t xml:space="preserve">Outros - ligação improdutiva, </w:t>
      </w:r>
      <w:r>
        <w:rPr>
          <w:i/>
          <w:sz w:val="22"/>
          <w:szCs w:val="22"/>
        </w:rPr>
        <w:t>e-mail</w:t>
      </w:r>
      <w:r>
        <w:rPr>
          <w:sz w:val="22"/>
          <w:szCs w:val="22"/>
        </w:rPr>
        <w:t xml:space="preserve"> improdutivo, erro de telefonia.</w:t>
      </w:r>
    </w:p>
    <w:p w:rsidR="003E6588" w:rsidRDefault="003E6588">
      <w:pPr>
        <w:autoSpaceDE w:val="0"/>
        <w:autoSpaceDN w:val="0"/>
        <w:adjustRightInd w:val="0"/>
        <w:jc w:val="both"/>
        <w:rPr>
          <w:b/>
          <w:bCs/>
          <w:color w:val="000000"/>
        </w:rPr>
      </w:pPr>
    </w:p>
    <w:p w:rsidR="00B86C0D" w:rsidRDefault="00B86C0D">
      <w:pPr>
        <w:autoSpaceDE w:val="0"/>
        <w:autoSpaceDN w:val="0"/>
        <w:adjustRightInd w:val="0"/>
        <w:jc w:val="both"/>
        <w:rPr>
          <w:b/>
          <w:bCs/>
          <w:color w:val="000000"/>
        </w:rPr>
      </w:pPr>
    </w:p>
    <w:p w:rsidR="003E6588" w:rsidRDefault="003E6588">
      <w:pPr>
        <w:pStyle w:val="Textonegrito"/>
        <w:tabs>
          <w:tab w:val="left" w:pos="0"/>
        </w:tabs>
        <w:spacing w:before="0" w:after="0" w:line="240" w:lineRule="auto"/>
        <w:jc w:val="center"/>
        <w:rPr>
          <w:rFonts w:ascii="Times New Roman" w:hAnsi="Times New Roman" w:cs="Times New Roman"/>
          <w:szCs w:val="24"/>
        </w:rPr>
      </w:pPr>
      <w:r>
        <w:rPr>
          <w:rFonts w:ascii="Times New Roman" w:hAnsi="Times New Roman" w:cs="Times New Roman"/>
          <w:szCs w:val="24"/>
        </w:rPr>
        <w:t>EMPRESA PAULISTA DE PLANEJAMENTO METROPOLITANO SA - EMPLASA</w:t>
      </w:r>
    </w:p>
    <w:p w:rsidR="003E6588" w:rsidRDefault="003E6588">
      <w:pPr>
        <w:pStyle w:val="PargrafodaLista"/>
        <w:ind w:left="0"/>
        <w:rPr>
          <w:rFonts w:ascii="Times New Roman" w:hAnsi="Times New Roman"/>
          <w:b/>
          <w:sz w:val="24"/>
          <w:szCs w:val="24"/>
        </w:rPr>
      </w:pPr>
    </w:p>
    <w:p w:rsidR="003E6588" w:rsidRDefault="003E6588">
      <w:pPr>
        <w:pStyle w:val="PargrafodaLista"/>
        <w:ind w:left="0"/>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Elaboração de Instrumentos Legais e Estatutos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tabs>
          <w:tab w:val="left" w:pos="426"/>
        </w:tabs>
        <w:ind w:left="0" w:firstLine="1134"/>
        <w:rPr>
          <w:rFonts w:ascii="Times New Roman" w:hAnsi="Times New Roman"/>
          <w:b/>
          <w:sz w:val="24"/>
          <w:szCs w:val="24"/>
        </w:rPr>
      </w:pPr>
      <w:r>
        <w:rPr>
          <w:rFonts w:ascii="Times New Roman" w:hAnsi="Times New Roman"/>
          <w:sz w:val="24"/>
          <w:szCs w:val="24"/>
        </w:rPr>
        <w:t xml:space="preserve">Aprovado </w:t>
      </w:r>
      <w:r w:rsidR="00396B69">
        <w:rPr>
          <w:rFonts w:ascii="Times New Roman" w:hAnsi="Times New Roman"/>
          <w:sz w:val="24"/>
          <w:szCs w:val="24"/>
        </w:rPr>
        <w:t>Pr</w:t>
      </w:r>
      <w:r>
        <w:rPr>
          <w:rFonts w:ascii="Times New Roman" w:hAnsi="Times New Roman"/>
          <w:sz w:val="24"/>
          <w:szCs w:val="24"/>
        </w:rPr>
        <w:t xml:space="preserve">ojeto de </w:t>
      </w:r>
      <w:r w:rsidR="00396B69">
        <w:rPr>
          <w:rFonts w:ascii="Times New Roman" w:hAnsi="Times New Roman"/>
          <w:sz w:val="24"/>
          <w:szCs w:val="24"/>
        </w:rPr>
        <w:t>Lei Comp</w:t>
      </w:r>
      <w:r>
        <w:rPr>
          <w:rFonts w:ascii="Times New Roman" w:hAnsi="Times New Roman"/>
          <w:sz w:val="24"/>
          <w:szCs w:val="24"/>
        </w:rPr>
        <w:t xml:space="preserve">lementar que cria a Agência Metropolitana da Região Metropolitana do Vale do Paraíba e Litoral Norte </w:t>
      </w:r>
      <w:r w:rsidR="00396B69">
        <w:rPr>
          <w:rFonts w:ascii="Times New Roman" w:hAnsi="Times New Roman"/>
          <w:sz w:val="24"/>
          <w:szCs w:val="24"/>
        </w:rPr>
        <w:t xml:space="preserve">- </w:t>
      </w:r>
      <w:r>
        <w:rPr>
          <w:rFonts w:ascii="Times New Roman" w:hAnsi="Times New Roman"/>
          <w:sz w:val="24"/>
          <w:szCs w:val="24"/>
        </w:rPr>
        <w:t>RMVPLN.</w:t>
      </w:r>
    </w:p>
    <w:p w:rsidR="003E6588" w:rsidRDefault="003E6588">
      <w:pPr>
        <w:pStyle w:val="PargrafodaLista"/>
        <w:tabs>
          <w:tab w:val="left" w:pos="426"/>
        </w:tabs>
        <w:ind w:left="0" w:firstLine="1134"/>
        <w:rPr>
          <w:rFonts w:ascii="Times New Roman" w:hAnsi="Times New Roman"/>
          <w:b/>
          <w:sz w:val="24"/>
          <w:szCs w:val="24"/>
        </w:rPr>
      </w:pPr>
    </w:p>
    <w:p w:rsidR="003E6588" w:rsidRDefault="003E6588">
      <w:pPr>
        <w:pStyle w:val="PargrafodaLista"/>
        <w:tabs>
          <w:tab w:val="left" w:pos="426"/>
        </w:tabs>
        <w:ind w:left="0" w:firstLine="1134"/>
        <w:rPr>
          <w:rFonts w:ascii="Times New Roman" w:hAnsi="Times New Roman"/>
          <w:b/>
          <w:sz w:val="24"/>
          <w:szCs w:val="24"/>
        </w:rPr>
      </w:pPr>
      <w:r w:rsidRPr="00396B69">
        <w:rPr>
          <w:rFonts w:ascii="Times New Roman" w:hAnsi="Times New Roman"/>
          <w:sz w:val="24"/>
          <w:szCs w:val="24"/>
        </w:rPr>
        <w:t xml:space="preserve">Em tramitação - Decretos que criam os Fundos de Desenvolvimento da Região Metropolitana de Sorocaba - RMS e das Aglomerações Urbanas e </w:t>
      </w:r>
      <w:r w:rsidR="00396B69" w:rsidRPr="00396B69">
        <w:rPr>
          <w:rFonts w:ascii="Times New Roman" w:hAnsi="Times New Roman"/>
          <w:sz w:val="24"/>
          <w:szCs w:val="24"/>
        </w:rPr>
        <w:t xml:space="preserve">Projeto </w:t>
      </w:r>
      <w:r w:rsidRPr="00396B69">
        <w:rPr>
          <w:rFonts w:ascii="Times New Roman" w:hAnsi="Times New Roman"/>
          <w:sz w:val="24"/>
          <w:szCs w:val="24"/>
        </w:rPr>
        <w:t xml:space="preserve">de </w:t>
      </w:r>
      <w:r w:rsidR="00396B69" w:rsidRPr="00396B69">
        <w:rPr>
          <w:rFonts w:ascii="Times New Roman" w:hAnsi="Times New Roman"/>
          <w:sz w:val="24"/>
          <w:szCs w:val="24"/>
        </w:rPr>
        <w:t>Lei</w:t>
      </w:r>
      <w:r w:rsidR="00396B69">
        <w:rPr>
          <w:rFonts w:ascii="Times New Roman" w:hAnsi="Times New Roman"/>
          <w:sz w:val="24"/>
          <w:szCs w:val="24"/>
        </w:rPr>
        <w:t xml:space="preserve"> Complementar </w:t>
      </w:r>
      <w:r>
        <w:rPr>
          <w:rFonts w:ascii="Times New Roman" w:hAnsi="Times New Roman"/>
          <w:sz w:val="24"/>
          <w:szCs w:val="24"/>
        </w:rPr>
        <w:t>que cria a Agência Metropolitana da RMS.</w:t>
      </w:r>
    </w:p>
    <w:p w:rsidR="003E6588" w:rsidRDefault="003E6588">
      <w:pPr>
        <w:pStyle w:val="PargrafodaLista"/>
        <w:tabs>
          <w:tab w:val="left" w:pos="426"/>
        </w:tabs>
        <w:ind w:left="0" w:firstLine="1134"/>
        <w:rPr>
          <w:rFonts w:ascii="Times New Roman" w:hAnsi="Times New Roman"/>
          <w:b/>
          <w:sz w:val="24"/>
          <w:szCs w:val="24"/>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sz w:val="24"/>
          <w:szCs w:val="24"/>
        </w:rPr>
        <w:t xml:space="preserve">Criação dos Gabinetes Metropolitanos de Gestão Estratégica de Segurança Pública </w:t>
      </w:r>
      <w:r w:rsidR="00396B69">
        <w:rPr>
          <w:rFonts w:ascii="Times New Roman" w:hAnsi="Times New Roman"/>
          <w:sz w:val="24"/>
          <w:szCs w:val="24"/>
        </w:rPr>
        <w:t xml:space="preserve">- </w:t>
      </w:r>
      <w:r>
        <w:rPr>
          <w:rFonts w:ascii="Times New Roman" w:hAnsi="Times New Roman"/>
          <w:sz w:val="24"/>
          <w:szCs w:val="24"/>
        </w:rPr>
        <w:t>Gamesp da RMS.</w:t>
      </w:r>
    </w:p>
    <w:p w:rsidR="003E6588" w:rsidRDefault="003E6588">
      <w:pPr>
        <w:pStyle w:val="PargrafodaLista"/>
        <w:tabs>
          <w:tab w:val="left" w:pos="426"/>
        </w:tabs>
        <w:ind w:left="0" w:firstLine="1134"/>
        <w:rPr>
          <w:rFonts w:ascii="Times New Roman" w:hAnsi="Times New Roman"/>
          <w:b/>
          <w:sz w:val="24"/>
          <w:szCs w:val="24"/>
        </w:rPr>
      </w:pPr>
      <w:r>
        <w:rPr>
          <w:rFonts w:ascii="Times New Roman" w:hAnsi="Times New Roman"/>
          <w:sz w:val="24"/>
          <w:szCs w:val="24"/>
        </w:rPr>
        <w:lastRenderedPageBreak/>
        <w:t>Conclusão dos estudos de viabilidade técnica para implantação de sistemas de videomonitoramento e dos Centros Integrados de Comando e Controle.</w:t>
      </w:r>
    </w:p>
    <w:p w:rsidR="003E6588" w:rsidRDefault="003E6588">
      <w:pPr>
        <w:pStyle w:val="PargrafodaLista"/>
        <w:tabs>
          <w:tab w:val="left" w:pos="426"/>
        </w:tabs>
        <w:ind w:left="0" w:firstLine="1134"/>
        <w:rPr>
          <w:rFonts w:ascii="Times New Roman" w:hAnsi="Times New Roman"/>
          <w:b/>
          <w:sz w:val="24"/>
          <w:szCs w:val="24"/>
        </w:rPr>
      </w:pPr>
    </w:p>
    <w:p w:rsidR="003E6588" w:rsidRDefault="003E6588">
      <w:pPr>
        <w:pStyle w:val="PargrafodaLista"/>
        <w:tabs>
          <w:tab w:val="left" w:pos="851"/>
        </w:tabs>
        <w:ind w:left="0" w:firstLine="1134"/>
        <w:rPr>
          <w:rFonts w:ascii="Times New Roman" w:hAnsi="Times New Roman"/>
          <w:b/>
          <w:sz w:val="24"/>
          <w:szCs w:val="24"/>
        </w:rPr>
      </w:pPr>
      <w:r>
        <w:rPr>
          <w:rFonts w:ascii="Times New Roman" w:hAnsi="Times New Roman"/>
          <w:b/>
          <w:sz w:val="24"/>
          <w:szCs w:val="24"/>
        </w:rPr>
        <w:t>Atividades de assessoramento</w:t>
      </w:r>
    </w:p>
    <w:p w:rsidR="003E6588" w:rsidRDefault="003E6588">
      <w:pPr>
        <w:pStyle w:val="PargrafodaLista"/>
        <w:tabs>
          <w:tab w:val="left" w:pos="851"/>
        </w:tabs>
        <w:ind w:left="0" w:firstLine="1134"/>
        <w:rPr>
          <w:rFonts w:ascii="Times New Roman" w:hAnsi="Times New Roman"/>
          <w:b/>
          <w:sz w:val="24"/>
          <w:szCs w:val="24"/>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sz w:val="24"/>
          <w:szCs w:val="24"/>
        </w:rPr>
        <w:t>- Secretaria Executiva dos Conselhos de Desenvolvimento das Regiões Metropolitanas de São Paulo - RMSP, Vale do Paraíba e Litoral Norte - RMVPLN e de Sorocaba - RMS e das Aglomerações Urbanas de Jundiaí - AUJ e de Piracicaba - AUP e dos Gamesps.</w:t>
      </w:r>
    </w:p>
    <w:p w:rsidR="003E6588" w:rsidRDefault="003E6588">
      <w:pPr>
        <w:pStyle w:val="PargrafodaLista"/>
        <w:tabs>
          <w:tab w:val="left" w:pos="426"/>
        </w:tabs>
        <w:ind w:left="0" w:firstLine="1134"/>
        <w:rPr>
          <w:rFonts w:ascii="Times New Roman" w:hAnsi="Times New Roman"/>
          <w:sz w:val="24"/>
          <w:szCs w:val="24"/>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sz w:val="24"/>
          <w:szCs w:val="24"/>
        </w:rPr>
        <w:t xml:space="preserve">- Consulta pública pela </w:t>
      </w:r>
      <w:r>
        <w:rPr>
          <w:rFonts w:ascii="Times New Roman" w:hAnsi="Times New Roman"/>
          <w:i/>
          <w:sz w:val="24"/>
          <w:szCs w:val="24"/>
        </w:rPr>
        <w:t xml:space="preserve">internet </w:t>
      </w:r>
      <w:r>
        <w:rPr>
          <w:rFonts w:ascii="Times New Roman" w:hAnsi="Times New Roman"/>
          <w:sz w:val="24"/>
          <w:szCs w:val="24"/>
        </w:rPr>
        <w:t>para levantamento de informações sobre a RMS.</w:t>
      </w:r>
    </w:p>
    <w:p w:rsidR="003E6588" w:rsidRDefault="003E6588">
      <w:pPr>
        <w:pStyle w:val="PargrafodaLista"/>
        <w:tabs>
          <w:tab w:val="left" w:pos="426"/>
        </w:tabs>
        <w:ind w:left="0" w:firstLine="1134"/>
        <w:rPr>
          <w:rFonts w:ascii="Times New Roman" w:hAnsi="Times New Roman"/>
          <w:sz w:val="24"/>
          <w:szCs w:val="24"/>
        </w:rPr>
      </w:pPr>
    </w:p>
    <w:p w:rsidR="003E6588" w:rsidRDefault="003E6588">
      <w:pPr>
        <w:pStyle w:val="PargrafodaLista"/>
        <w:tabs>
          <w:tab w:val="left" w:pos="426"/>
        </w:tabs>
        <w:ind w:left="0" w:firstLine="1134"/>
        <w:rPr>
          <w:rFonts w:ascii="Times New Roman" w:hAnsi="Times New Roman"/>
          <w:i/>
          <w:sz w:val="24"/>
          <w:szCs w:val="24"/>
        </w:rPr>
      </w:pPr>
      <w:r>
        <w:rPr>
          <w:rFonts w:ascii="Times New Roman" w:hAnsi="Times New Roman"/>
          <w:sz w:val="24"/>
          <w:szCs w:val="24"/>
        </w:rPr>
        <w:t xml:space="preserve">- Coordenação do Seminário Emplasa - </w:t>
      </w:r>
      <w:r>
        <w:rPr>
          <w:rFonts w:ascii="Times New Roman" w:hAnsi="Times New Roman"/>
          <w:bCs/>
          <w:sz w:val="24"/>
          <w:szCs w:val="24"/>
        </w:rPr>
        <w:t>40 anos de Planejamento Metropolitano</w:t>
      </w:r>
      <w:r>
        <w:rPr>
          <w:rFonts w:ascii="Times New Roman" w:hAnsi="Times New Roman"/>
          <w:bCs/>
          <w:i/>
          <w:sz w:val="24"/>
          <w:szCs w:val="24"/>
        </w:rPr>
        <w:t>.</w:t>
      </w:r>
    </w:p>
    <w:p w:rsidR="003E6588" w:rsidRDefault="003E6588">
      <w:pPr>
        <w:pStyle w:val="PargrafodaLista"/>
        <w:tabs>
          <w:tab w:val="left" w:pos="426"/>
        </w:tabs>
        <w:ind w:left="0" w:firstLine="1134"/>
        <w:rPr>
          <w:rFonts w:ascii="Times New Roman" w:hAnsi="Times New Roman"/>
          <w:i/>
          <w:sz w:val="24"/>
          <w:szCs w:val="24"/>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sz w:val="24"/>
          <w:szCs w:val="24"/>
        </w:rPr>
        <w:t>- Edição do livro e do calendário comemorativos dos 40 anos da Emplasa.</w:t>
      </w:r>
    </w:p>
    <w:p w:rsidR="003E6588" w:rsidRDefault="003E6588">
      <w:pPr>
        <w:pStyle w:val="PargrafodaLista"/>
        <w:tabs>
          <w:tab w:val="left" w:pos="426"/>
        </w:tabs>
        <w:ind w:left="0" w:firstLine="1134"/>
        <w:rPr>
          <w:rFonts w:ascii="Times New Roman" w:hAnsi="Times New Roman"/>
          <w:sz w:val="24"/>
          <w:szCs w:val="24"/>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sz w:val="24"/>
          <w:szCs w:val="24"/>
        </w:rPr>
        <w:t>- Lançamento do Atlas Digital das Unidades de Informações Territorializadas - UITs das AUs de Jundiaí e Piracicaba.</w:t>
      </w:r>
    </w:p>
    <w:p w:rsidR="003E6588" w:rsidRDefault="003E6588">
      <w:pPr>
        <w:pStyle w:val="PargrafodaLista"/>
        <w:tabs>
          <w:tab w:val="left" w:pos="426"/>
        </w:tabs>
        <w:ind w:left="0" w:firstLine="1134"/>
        <w:rPr>
          <w:rFonts w:ascii="Times New Roman" w:hAnsi="Times New Roman"/>
          <w:b/>
          <w:sz w:val="24"/>
          <w:szCs w:val="24"/>
        </w:rPr>
      </w:pPr>
    </w:p>
    <w:p w:rsidR="003E6588" w:rsidRDefault="003E6588">
      <w:pPr>
        <w:pStyle w:val="PargrafodaLista"/>
        <w:tabs>
          <w:tab w:val="left" w:pos="426"/>
        </w:tabs>
        <w:ind w:left="0" w:firstLine="1134"/>
        <w:rPr>
          <w:rFonts w:ascii="Times New Roman" w:hAnsi="Times New Roman"/>
          <w:b/>
          <w:sz w:val="24"/>
          <w:szCs w:val="24"/>
        </w:rPr>
      </w:pPr>
      <w:r>
        <w:rPr>
          <w:rFonts w:ascii="Times New Roman" w:hAnsi="Times New Roman"/>
          <w:b/>
          <w:sz w:val="24"/>
          <w:szCs w:val="24"/>
        </w:rPr>
        <w:t>Biblioteca Virtual</w:t>
      </w:r>
    </w:p>
    <w:p w:rsidR="003E6588" w:rsidRDefault="003E6588">
      <w:pPr>
        <w:pStyle w:val="PargrafodaLista"/>
        <w:tabs>
          <w:tab w:val="left" w:pos="426"/>
        </w:tabs>
        <w:ind w:left="0" w:firstLine="1134"/>
        <w:rPr>
          <w:rFonts w:ascii="Times New Roman" w:hAnsi="Times New Roman"/>
          <w:b/>
          <w:sz w:val="24"/>
          <w:szCs w:val="24"/>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sz w:val="24"/>
          <w:szCs w:val="24"/>
        </w:rPr>
        <w:t xml:space="preserve">Principais ações - Inserção do acervo técnico do Gegran (primeiro órgão metropolitano estadual) no banco de dados disponível para </w:t>
      </w:r>
      <w:r>
        <w:rPr>
          <w:rFonts w:ascii="Times New Roman" w:hAnsi="Times New Roman"/>
          <w:i/>
          <w:sz w:val="24"/>
          <w:szCs w:val="24"/>
        </w:rPr>
        <w:t>download</w:t>
      </w:r>
      <w:r>
        <w:rPr>
          <w:rFonts w:ascii="Times New Roman" w:hAnsi="Times New Roman"/>
          <w:sz w:val="24"/>
          <w:szCs w:val="24"/>
        </w:rPr>
        <w:t xml:space="preserve">; </w:t>
      </w:r>
      <w:r w:rsidR="00396B69">
        <w:rPr>
          <w:rFonts w:ascii="Times New Roman" w:hAnsi="Times New Roman"/>
          <w:sz w:val="24"/>
          <w:szCs w:val="24"/>
        </w:rPr>
        <w:t xml:space="preserve">Desenvolvimento </w:t>
      </w:r>
      <w:r>
        <w:rPr>
          <w:rFonts w:ascii="Times New Roman" w:hAnsi="Times New Roman"/>
          <w:sz w:val="24"/>
          <w:szCs w:val="24"/>
        </w:rPr>
        <w:t xml:space="preserve">das funcionalidades para a implantação das versões em inglês e espanhol da Biblioteca Virtual; </w:t>
      </w:r>
      <w:r w:rsidR="00396B69">
        <w:rPr>
          <w:rFonts w:ascii="Times New Roman" w:hAnsi="Times New Roman"/>
          <w:sz w:val="24"/>
          <w:szCs w:val="24"/>
        </w:rPr>
        <w:t xml:space="preserve">Digitalização </w:t>
      </w:r>
      <w:r>
        <w:rPr>
          <w:rFonts w:ascii="Times New Roman" w:hAnsi="Times New Roman"/>
          <w:sz w:val="24"/>
          <w:szCs w:val="24"/>
        </w:rPr>
        <w:t>da Filmoteca da Emplasa.</w:t>
      </w:r>
    </w:p>
    <w:p w:rsidR="003E6588" w:rsidRDefault="003E6588">
      <w:pPr>
        <w:pStyle w:val="PargrafodaLista"/>
        <w:tabs>
          <w:tab w:val="left" w:pos="426"/>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Acervo externo - 14.070 monografias, periódicos, vídeos, CDs.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Acervo Emplasa - 432 projetos/2.900 documentos e 5.493 mapas.</w:t>
      </w:r>
    </w:p>
    <w:p w:rsidR="00B86C0D" w:rsidRDefault="00B86C0D">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Acervo Gegran - 55 projetos/269 documentos/798 mapas.</w:t>
      </w: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w:t>
      </w: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xml:space="preserve"> Acervo da Filmoteca - 48 filmes digitalizados.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xml:space="preserve">- Usuários atendidos - 5.080 usuários fizeram 32.746 </w:t>
      </w:r>
      <w:r>
        <w:rPr>
          <w:rFonts w:ascii="Times New Roman" w:hAnsi="Times New Roman"/>
          <w:i/>
          <w:sz w:val="24"/>
          <w:szCs w:val="24"/>
        </w:rPr>
        <w:t>downloads</w:t>
      </w:r>
      <w:r>
        <w:rPr>
          <w:rFonts w:ascii="Times New Roman" w:hAnsi="Times New Roman"/>
          <w:sz w:val="24"/>
          <w:szCs w:val="24"/>
        </w:rPr>
        <w:t xml:space="preserve"> dos projetos realizados pela Emplasa e pelo Gegran (11.800 a mais que em 2013); 8.626 usuários visualizaram os filmes da filmoteca, que também já estão disponíveis para </w:t>
      </w:r>
      <w:r>
        <w:rPr>
          <w:rFonts w:ascii="Times New Roman" w:hAnsi="Times New Roman"/>
          <w:i/>
          <w:sz w:val="24"/>
          <w:szCs w:val="24"/>
        </w:rPr>
        <w:t>download</w:t>
      </w:r>
      <w:r>
        <w:rPr>
          <w:rFonts w:ascii="Times New Roman" w:hAnsi="Times New Roman"/>
          <w:sz w:val="24"/>
          <w:szCs w:val="24"/>
        </w:rPr>
        <w:t>.</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Sistema de Informações ao Cidadão - SIC - As cinco solicitações de informações encaminhadas à Emplasa foram respondidas e encerradas.</w:t>
      </w:r>
    </w:p>
    <w:p w:rsidR="003E6588" w:rsidRDefault="003E6588">
      <w:pPr>
        <w:ind w:firstLine="1134"/>
        <w:rPr>
          <w:b/>
        </w:rPr>
      </w:pPr>
    </w:p>
    <w:p w:rsidR="003E6588" w:rsidRDefault="003E6588">
      <w:pPr>
        <w:ind w:firstLine="1134"/>
        <w:jc w:val="both"/>
      </w:pPr>
      <w:r>
        <w:rPr>
          <w:b/>
        </w:rPr>
        <w:t xml:space="preserve">EmplasaGeo - Geoinformação para o cidadão - </w:t>
      </w:r>
      <w:r>
        <w:t>Agora mais amigável com a utilização do sistema em nuvem, visa democratizar as informações disponíveis na Emplasa.</w:t>
      </w:r>
    </w:p>
    <w:p w:rsidR="003E6588" w:rsidRDefault="003E6588">
      <w:pPr>
        <w:ind w:firstLine="1134"/>
        <w:jc w:val="both"/>
        <w:rPr>
          <w:b/>
        </w:rPr>
      </w:pPr>
    </w:p>
    <w:p w:rsidR="003E6588" w:rsidRDefault="003E6588">
      <w:pPr>
        <w:ind w:firstLine="1134"/>
        <w:jc w:val="both"/>
        <w:rPr>
          <w:b/>
        </w:rPr>
      </w:pPr>
      <w:r>
        <w:rPr>
          <w:b/>
        </w:rPr>
        <w:lastRenderedPageBreak/>
        <w:t>Diretoria de Planejamento</w:t>
      </w:r>
    </w:p>
    <w:p w:rsidR="003E6588" w:rsidRDefault="003E6588">
      <w:pPr>
        <w:ind w:firstLine="1134"/>
        <w:jc w:val="both"/>
        <w:rPr>
          <w:b/>
        </w:rPr>
      </w:pPr>
    </w:p>
    <w:p w:rsidR="003E6588" w:rsidRDefault="003E6588">
      <w:pPr>
        <w:pStyle w:val="Textorecuo"/>
        <w:numPr>
          <w:ilvl w:val="0"/>
          <w:numId w:val="0"/>
        </w:numPr>
        <w:tabs>
          <w:tab w:val="left" w:pos="284"/>
        </w:tabs>
        <w:spacing w:after="0" w:line="240" w:lineRule="auto"/>
        <w:ind w:firstLine="1134"/>
        <w:rPr>
          <w:rFonts w:ascii="Times New Roman" w:hAnsi="Times New Roman" w:cs="Times New Roman"/>
          <w:szCs w:val="24"/>
        </w:rPr>
      </w:pPr>
      <w:r>
        <w:rPr>
          <w:rFonts w:ascii="Times New Roman" w:hAnsi="Times New Roman" w:cs="Times New Roman"/>
          <w:b/>
          <w:szCs w:val="24"/>
        </w:rPr>
        <w:t xml:space="preserve">Projeto Mapeia São Paulo - </w:t>
      </w:r>
      <w:r>
        <w:rPr>
          <w:rFonts w:ascii="Times New Roman" w:hAnsi="Times New Roman" w:cs="Times New Roman"/>
          <w:szCs w:val="24"/>
        </w:rPr>
        <w:t>Objeto - Projeto de Atualização Cartográfica do Estado de São Paulo - Situação atual - na 1ª Etapa, foram geradas ortofotos na escala 1:10.000. Está em fase de implementação a 2ª Etapa, que prevê a contratação de serviços de restituição de elementos relativos a 13 categorias de informação (altimetria, hidrografia e sistema viário). Obtido financiamento da Fundação Estadual de Recursos Hídricos - Fehidro/SSRH para realização de levantamentos cartográficos e temáticos da Bacia do Alto Tietê, na RMSP.</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Cessão não onerosa de produtos do Sistema Cartográfico Metropolitano -</w:t>
      </w:r>
      <w:r>
        <w:rPr>
          <w:rFonts w:ascii="Times New Roman" w:hAnsi="Times New Roman" w:cs="Times New Roman"/>
          <w:szCs w:val="24"/>
        </w:rPr>
        <w:t xml:space="preserve"> Correspondeu a R$ 600 milhões, tendo sido realizada por meio de 230 contratos de licença de uso. A venda de produtos do SCM, a valores de mercado, equivaleu a RS 168.709,00.</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bCs/>
          <w:szCs w:val="24"/>
        </w:rPr>
        <w:t xml:space="preserve">Sistema de Visualização de Dados - </w:t>
      </w:r>
      <w:r>
        <w:rPr>
          <w:rFonts w:ascii="Times New Roman" w:hAnsi="Times New Roman" w:cs="Times New Roman"/>
          <w:bCs/>
          <w:szCs w:val="24"/>
        </w:rPr>
        <w:t>I</w:t>
      </w:r>
      <w:r>
        <w:rPr>
          <w:rFonts w:ascii="Times New Roman" w:hAnsi="Times New Roman" w:cs="Times New Roman"/>
          <w:szCs w:val="24"/>
        </w:rPr>
        <w:t>mplementado sistema de consulta pública de ortofotos, que permite visualização e impressão das imagens.</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 xml:space="preserve">Geoserviços - Acesso aos Dados do Sistema Cartográfico Metropolitano - </w:t>
      </w:r>
      <w:r>
        <w:rPr>
          <w:rFonts w:ascii="Times New Roman" w:hAnsi="Times New Roman" w:cs="Times New Roman"/>
          <w:szCs w:val="24"/>
        </w:rPr>
        <w:t>Gerados metadados e geoserviços que permitem acesso direto às principais coleções de mapeamentos temáticos.</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bCs/>
          <w:szCs w:val="24"/>
        </w:rPr>
      </w:pPr>
      <w:r>
        <w:rPr>
          <w:rFonts w:ascii="Times New Roman" w:hAnsi="Times New Roman" w:cs="Times New Roman"/>
          <w:bCs/>
          <w:szCs w:val="24"/>
        </w:rPr>
        <w:t xml:space="preserve">Digitalização de 35 mil fotografias aéreas do Sistema Cartográfico Metropolitano </w:t>
      </w:r>
      <w:r w:rsidR="00396B69">
        <w:rPr>
          <w:rFonts w:ascii="Times New Roman" w:hAnsi="Times New Roman" w:cs="Times New Roman"/>
          <w:bCs/>
          <w:szCs w:val="24"/>
        </w:rPr>
        <w:t xml:space="preserve">- </w:t>
      </w:r>
      <w:r>
        <w:rPr>
          <w:rFonts w:ascii="Times New Roman" w:hAnsi="Times New Roman" w:cs="Times New Roman"/>
          <w:bCs/>
          <w:szCs w:val="24"/>
        </w:rPr>
        <w:t>SCM.</w:t>
      </w:r>
    </w:p>
    <w:p w:rsidR="003E6588" w:rsidRDefault="003E6588">
      <w:pPr>
        <w:pStyle w:val="Textorecuo"/>
        <w:numPr>
          <w:ilvl w:val="0"/>
          <w:numId w:val="0"/>
        </w:numPr>
        <w:spacing w:after="0" w:line="240" w:lineRule="auto"/>
        <w:ind w:firstLine="1134"/>
        <w:rPr>
          <w:rFonts w:ascii="Times New Roman" w:hAnsi="Times New Roman" w:cs="Times New Roman"/>
          <w:b/>
          <w:bCs/>
          <w:szCs w:val="24"/>
        </w:rPr>
      </w:pPr>
    </w:p>
    <w:p w:rsidR="003E6588" w:rsidRDefault="003E6588">
      <w:pPr>
        <w:pStyle w:val="Textorecuo"/>
        <w:numPr>
          <w:ilvl w:val="0"/>
          <w:numId w:val="0"/>
        </w:numPr>
        <w:spacing w:after="0" w:line="240" w:lineRule="auto"/>
        <w:ind w:firstLine="1134"/>
        <w:rPr>
          <w:rFonts w:ascii="Times New Roman" w:hAnsi="Times New Roman" w:cs="Times New Roman"/>
          <w:bCs/>
          <w:szCs w:val="24"/>
        </w:rPr>
      </w:pPr>
      <w:r>
        <w:rPr>
          <w:rFonts w:ascii="Times New Roman" w:hAnsi="Times New Roman" w:cs="Times New Roman"/>
          <w:bCs/>
          <w:szCs w:val="24"/>
        </w:rPr>
        <w:t>Digitalização dos Mapeamentos Sistemáticos e Temáticos do Sistema Cartográfico Metropolitano - SCM.</w:t>
      </w:r>
    </w:p>
    <w:p w:rsidR="003E6588" w:rsidRDefault="003E6588">
      <w:pPr>
        <w:pStyle w:val="Textorecuo"/>
        <w:numPr>
          <w:ilvl w:val="0"/>
          <w:numId w:val="0"/>
        </w:numPr>
        <w:spacing w:after="0" w:line="240" w:lineRule="auto"/>
        <w:ind w:firstLine="1134"/>
        <w:rPr>
          <w:rFonts w:ascii="Times New Roman" w:hAnsi="Times New Roman" w:cs="Times New Roman"/>
          <w:b/>
          <w:bCs/>
          <w:szCs w:val="24"/>
        </w:rPr>
      </w:pPr>
    </w:p>
    <w:p w:rsidR="003E6588" w:rsidRDefault="003E6588">
      <w:pPr>
        <w:pStyle w:val="Textorecuo"/>
        <w:numPr>
          <w:ilvl w:val="0"/>
          <w:numId w:val="0"/>
        </w:numPr>
        <w:spacing w:after="0" w:line="240" w:lineRule="auto"/>
        <w:ind w:firstLine="1134"/>
        <w:rPr>
          <w:rFonts w:ascii="Times New Roman" w:hAnsi="Times New Roman" w:cs="Times New Roman"/>
          <w:bCs/>
          <w:szCs w:val="24"/>
        </w:rPr>
      </w:pPr>
      <w:r>
        <w:rPr>
          <w:rFonts w:ascii="Times New Roman" w:hAnsi="Times New Roman" w:cs="Times New Roman"/>
          <w:bCs/>
          <w:szCs w:val="24"/>
        </w:rPr>
        <w:t>Modernização do Sistema de Geoprocessamento da Emplasa</w:t>
      </w:r>
      <w:r>
        <w:rPr>
          <w:rFonts w:ascii="Times New Roman" w:hAnsi="Times New Roman" w:cs="Times New Roman"/>
          <w:b/>
          <w:bCs/>
          <w:szCs w:val="24"/>
        </w:rPr>
        <w:t xml:space="preserve"> </w:t>
      </w:r>
      <w:r>
        <w:rPr>
          <w:rFonts w:ascii="Times New Roman" w:hAnsi="Times New Roman" w:cs="Times New Roman"/>
          <w:bCs/>
          <w:szCs w:val="24"/>
        </w:rPr>
        <w:t xml:space="preserve">com armazenamento de dados “em nuvem”, utilizando a tecnologia </w:t>
      </w:r>
      <w:r>
        <w:rPr>
          <w:rFonts w:ascii="Times New Roman" w:hAnsi="Times New Roman" w:cs="Times New Roman"/>
          <w:bCs/>
          <w:i/>
          <w:szCs w:val="24"/>
        </w:rPr>
        <w:t>Google</w:t>
      </w:r>
      <w:r>
        <w:rPr>
          <w:rFonts w:ascii="Times New Roman" w:hAnsi="Times New Roman" w:cs="Times New Roman"/>
          <w:bCs/>
          <w:szCs w:val="24"/>
        </w:rPr>
        <w:t>.</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b/>
          <w:szCs w:val="24"/>
        </w:rPr>
      </w:pPr>
      <w:r>
        <w:rPr>
          <w:rFonts w:ascii="Times New Roman" w:hAnsi="Times New Roman" w:cs="Times New Roman"/>
          <w:b/>
          <w:szCs w:val="24"/>
        </w:rPr>
        <w:t>Desenvolvimento e implantação de novos sistemas de georreferenciamento</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r>
        <w:rPr>
          <w:rFonts w:ascii="Times New Roman" w:hAnsi="Times New Roman" w:cs="Times New Roman"/>
          <w:szCs w:val="24"/>
        </w:rPr>
        <w:t xml:space="preserve">SigaGeo - Sistema de acompanhamento de projetos prioritários do Governo do Estado de São </w:t>
      </w:r>
      <w:r w:rsidRPr="00797AE2">
        <w:rPr>
          <w:rFonts w:ascii="Times New Roman" w:hAnsi="Times New Roman" w:cs="Times New Roman"/>
          <w:szCs w:val="24"/>
        </w:rPr>
        <w:t xml:space="preserve">Paulo </w:t>
      </w:r>
      <w:r w:rsidRPr="00797AE2">
        <w:rPr>
          <w:rStyle w:val="Hyperlink"/>
          <w:rFonts w:ascii="Times New Roman" w:hAnsi="Times New Roman" w:cs="Times New Roman"/>
          <w:color w:val="auto"/>
          <w:szCs w:val="24"/>
        </w:rPr>
        <w:t>(</w:t>
      </w:r>
      <w:hyperlink r:id="rId21" w:history="1">
        <w:r w:rsidRPr="00797AE2">
          <w:rPr>
            <w:rStyle w:val="Hyperlink"/>
            <w:rFonts w:ascii="Times New Roman" w:hAnsi="Times New Roman" w:cs="Times New Roman"/>
            <w:color w:val="auto"/>
            <w:szCs w:val="24"/>
          </w:rPr>
          <w:t>www.sigageo.sp.gov.br</w:t>
        </w:r>
      </w:hyperlink>
      <w:r w:rsidRPr="00797AE2">
        <w:rPr>
          <w:rStyle w:val="Hyperlink"/>
          <w:rFonts w:ascii="Times New Roman" w:hAnsi="Times New Roman" w:cs="Times New Roman"/>
          <w:color w:val="auto"/>
          <w:szCs w:val="24"/>
        </w:rPr>
        <w:t>&gt;.</w:t>
      </w: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p>
    <w:p w:rsidR="003E6588" w:rsidRPr="00797AE2"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szCs w:val="24"/>
        </w:rPr>
        <w:t xml:space="preserve">UITsGeo - Sistema de consulta sobre Unidades de Informações Territorializadas </w:t>
      </w:r>
      <w:r w:rsidRPr="00797AE2">
        <w:rPr>
          <w:rStyle w:val="Hyperlink"/>
          <w:rFonts w:ascii="Times New Roman" w:hAnsi="Times New Roman" w:cs="Times New Roman"/>
          <w:color w:val="auto"/>
          <w:szCs w:val="24"/>
        </w:rPr>
        <w:t>&lt;</w:t>
      </w:r>
      <w:hyperlink r:id="rId22" w:history="1">
        <w:r w:rsidRPr="00797AE2">
          <w:rPr>
            <w:rStyle w:val="Hyperlink"/>
            <w:rFonts w:ascii="Times New Roman" w:hAnsi="Times New Roman" w:cs="Times New Roman"/>
            <w:color w:val="auto"/>
            <w:szCs w:val="24"/>
          </w:rPr>
          <w:t>www.uitgeo.sp.gov.br</w:t>
        </w:r>
      </w:hyperlink>
      <w:r w:rsidRPr="00797AE2">
        <w:rPr>
          <w:rStyle w:val="Hyperlink"/>
          <w:rFonts w:ascii="Times New Roman" w:hAnsi="Times New Roman" w:cs="Times New Roman"/>
          <w:color w:val="auto"/>
          <w:szCs w:val="24"/>
        </w:rPr>
        <w:t>&gt;</w:t>
      </w:r>
      <w:r w:rsidRPr="00797AE2">
        <w:rPr>
          <w:rFonts w:ascii="Times New Roman" w:hAnsi="Times New Roman" w:cs="Times New Roman"/>
          <w:szCs w:val="24"/>
        </w:rPr>
        <w:t>.</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r>
        <w:rPr>
          <w:rFonts w:ascii="Times New Roman" w:hAnsi="Times New Roman" w:cs="Times New Roman"/>
          <w:szCs w:val="24"/>
        </w:rPr>
        <w:t xml:space="preserve">Emplasageo - Sistema de consulta do cidadão, contendo dados e informações sobre infraestrutura e equipamentos, mapas de localização de endereços e mapas temáticos </w:t>
      </w:r>
      <w:r w:rsidRPr="00797AE2">
        <w:rPr>
          <w:rStyle w:val="Hyperlink"/>
          <w:rFonts w:ascii="Times New Roman" w:hAnsi="Times New Roman" w:cs="Times New Roman"/>
          <w:color w:val="auto"/>
          <w:szCs w:val="24"/>
        </w:rPr>
        <w:t>&lt;</w:t>
      </w:r>
      <w:hyperlink r:id="rId23" w:history="1">
        <w:r w:rsidRPr="00797AE2">
          <w:rPr>
            <w:rStyle w:val="Hyperlink"/>
            <w:rFonts w:ascii="Times New Roman" w:hAnsi="Times New Roman" w:cs="Times New Roman"/>
            <w:color w:val="auto"/>
            <w:szCs w:val="24"/>
          </w:rPr>
          <w:t>http://www.emplasageo.sp.gov.br</w:t>
        </w:r>
      </w:hyperlink>
      <w:r w:rsidRPr="00797AE2">
        <w:rPr>
          <w:rStyle w:val="Hyperlink"/>
          <w:rFonts w:ascii="Times New Roman" w:hAnsi="Times New Roman" w:cs="Times New Roman"/>
          <w:color w:val="auto"/>
          <w:szCs w:val="24"/>
        </w:rPr>
        <w:t>&gt;.</w:t>
      </w: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r>
        <w:rPr>
          <w:rFonts w:ascii="Times New Roman" w:hAnsi="Times New Roman" w:cs="Times New Roman"/>
          <w:szCs w:val="24"/>
        </w:rPr>
        <w:t xml:space="preserve">Sistema de Compartilhamento de Dados - SCDM - Migração do </w:t>
      </w:r>
      <w:r>
        <w:rPr>
          <w:rFonts w:ascii="Times New Roman" w:hAnsi="Times New Roman" w:cs="Times New Roman"/>
          <w:i/>
          <w:szCs w:val="24"/>
        </w:rPr>
        <w:t>site</w:t>
      </w:r>
      <w:r>
        <w:rPr>
          <w:rFonts w:ascii="Times New Roman" w:hAnsi="Times New Roman" w:cs="Times New Roman"/>
          <w:szCs w:val="24"/>
        </w:rPr>
        <w:t xml:space="preserve"> da Emplasa para a tecnologia em nuvem</w:t>
      </w:r>
      <w:r>
        <w:rPr>
          <w:rStyle w:val="Hyperlink"/>
          <w:rFonts w:ascii="Times New Roman" w:hAnsi="Times New Roman" w:cs="Times New Roman"/>
          <w:szCs w:val="24"/>
        </w:rPr>
        <w:t xml:space="preserve"> </w:t>
      </w:r>
      <w:r w:rsidRPr="00797AE2">
        <w:rPr>
          <w:rStyle w:val="Hyperlink"/>
          <w:rFonts w:ascii="Times New Roman" w:hAnsi="Times New Roman" w:cs="Times New Roman"/>
          <w:color w:val="auto"/>
          <w:szCs w:val="24"/>
        </w:rPr>
        <w:t>&lt;</w:t>
      </w:r>
      <w:hyperlink r:id="rId24" w:history="1">
        <w:r w:rsidRPr="00797AE2">
          <w:rPr>
            <w:rStyle w:val="Hyperlink"/>
            <w:rFonts w:ascii="Times New Roman" w:hAnsi="Times New Roman" w:cs="Times New Roman"/>
            <w:color w:val="auto"/>
            <w:szCs w:val="24"/>
          </w:rPr>
          <w:t>www.scm.emplasageo.sp.gov.br</w:t>
        </w:r>
      </w:hyperlink>
      <w:r w:rsidRPr="00797AE2">
        <w:rPr>
          <w:rStyle w:val="Hyperlink"/>
          <w:rFonts w:ascii="Times New Roman" w:hAnsi="Times New Roman" w:cs="Times New Roman"/>
          <w:color w:val="auto"/>
          <w:szCs w:val="24"/>
        </w:rPr>
        <w:t>&gt;.</w:t>
      </w: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p>
    <w:p w:rsidR="003E6588" w:rsidRPr="00797AE2"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i/>
          <w:szCs w:val="24"/>
        </w:rPr>
        <w:lastRenderedPageBreak/>
        <w:t>Site</w:t>
      </w:r>
      <w:r>
        <w:rPr>
          <w:rFonts w:ascii="Times New Roman" w:hAnsi="Times New Roman" w:cs="Times New Roman"/>
          <w:szCs w:val="24"/>
        </w:rPr>
        <w:t xml:space="preserve"> de visualização dos dados do Projeto do Rodoanel. Publicação de resultados de análises das Áreas de Interesse de Monitoramento - AIM do Rodoanel Mario Covas. </w:t>
      </w:r>
      <w:r w:rsidRPr="00797AE2">
        <w:rPr>
          <w:rStyle w:val="Hyperlink"/>
          <w:rFonts w:ascii="Times New Roman" w:hAnsi="Times New Roman" w:cs="Times New Roman"/>
          <w:color w:val="auto"/>
          <w:szCs w:val="24"/>
        </w:rPr>
        <w:t>&lt;</w:t>
      </w:r>
      <w:hyperlink r:id="rId25" w:history="1">
        <w:r w:rsidRPr="00797AE2">
          <w:rPr>
            <w:rStyle w:val="Hyperlink"/>
            <w:rFonts w:ascii="Times New Roman" w:hAnsi="Times New Roman" w:cs="Times New Roman"/>
            <w:color w:val="auto"/>
            <w:szCs w:val="24"/>
          </w:rPr>
          <w:t>www.rodoanel.emplasageo.sp.gov.br</w:t>
        </w:r>
      </w:hyperlink>
      <w:r w:rsidRPr="00797AE2">
        <w:rPr>
          <w:rFonts w:ascii="Times New Roman" w:hAnsi="Times New Roman" w:cs="Times New Roman"/>
          <w:szCs w:val="24"/>
        </w:rPr>
        <w:t>&gt;.</w:t>
      </w:r>
    </w:p>
    <w:p w:rsidR="002D23B6" w:rsidRDefault="002D23B6">
      <w:pPr>
        <w:pStyle w:val="Textorecuo"/>
        <w:numPr>
          <w:ilvl w:val="0"/>
          <w:numId w:val="0"/>
        </w:numPr>
        <w:spacing w:after="0" w:line="240" w:lineRule="auto"/>
        <w:ind w:firstLine="1134"/>
        <w:rPr>
          <w:rFonts w:ascii="Times New Roman" w:hAnsi="Times New Roman" w:cs="Times New Roman"/>
          <w:szCs w:val="24"/>
        </w:rPr>
      </w:pP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r>
        <w:rPr>
          <w:rFonts w:ascii="Times New Roman" w:hAnsi="Times New Roman" w:cs="Times New Roman"/>
          <w:szCs w:val="24"/>
        </w:rPr>
        <w:t xml:space="preserve">Mapeia SP - Sistema de visualização de bases do projeto de atualização cartográfica do Estado de São Paulo </w:t>
      </w:r>
      <w:r w:rsidRPr="00797AE2">
        <w:rPr>
          <w:rStyle w:val="Hyperlink"/>
          <w:rFonts w:ascii="Times New Roman" w:hAnsi="Times New Roman" w:cs="Times New Roman"/>
          <w:color w:val="auto"/>
          <w:szCs w:val="24"/>
        </w:rPr>
        <w:t>&lt;</w:t>
      </w:r>
      <w:hyperlink r:id="rId26" w:history="1">
        <w:r w:rsidRPr="00797AE2">
          <w:rPr>
            <w:rStyle w:val="Hyperlink"/>
            <w:rFonts w:ascii="Times New Roman" w:hAnsi="Times New Roman" w:cs="Times New Roman"/>
            <w:color w:val="auto"/>
            <w:szCs w:val="24"/>
          </w:rPr>
          <w:t>http://www.mapeiasp.sp.gov.br</w:t>
        </w:r>
      </w:hyperlink>
      <w:r w:rsidRPr="00797AE2">
        <w:rPr>
          <w:rStyle w:val="Hyperlink"/>
          <w:rFonts w:ascii="Times New Roman" w:hAnsi="Times New Roman" w:cs="Times New Roman"/>
          <w:color w:val="auto"/>
          <w:szCs w:val="24"/>
        </w:rPr>
        <w:t>&gt;.</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r>
        <w:rPr>
          <w:rFonts w:ascii="Times New Roman" w:hAnsi="Times New Roman" w:cs="Times New Roman"/>
          <w:szCs w:val="24"/>
        </w:rPr>
        <w:t xml:space="preserve">SiHab/São Paulo - </w:t>
      </w:r>
      <w:r>
        <w:rPr>
          <w:rFonts w:ascii="Times New Roman" w:hAnsi="Times New Roman" w:cs="Times New Roman"/>
          <w:i/>
          <w:szCs w:val="24"/>
        </w:rPr>
        <w:t>Site</w:t>
      </w:r>
      <w:r>
        <w:rPr>
          <w:rFonts w:ascii="Times New Roman" w:hAnsi="Times New Roman" w:cs="Times New Roman"/>
          <w:szCs w:val="24"/>
        </w:rPr>
        <w:t xml:space="preserve"> de visualização de dados habitacionais, implantado no âmbito do Contrato Emplasa/Secretaria da Habitação, que tem como objeto a implantação do Sistema - Integrado de Demanda Habitacional - Regiões Metropolitanas. </w:t>
      </w:r>
      <w:r w:rsidRPr="00797AE2">
        <w:rPr>
          <w:rStyle w:val="Hyperlink"/>
          <w:rFonts w:ascii="Times New Roman" w:hAnsi="Times New Roman" w:cs="Times New Roman"/>
          <w:color w:val="auto"/>
          <w:szCs w:val="24"/>
        </w:rPr>
        <w:t>&lt;</w:t>
      </w:r>
      <w:hyperlink r:id="rId27" w:history="1">
        <w:r w:rsidRPr="00797AE2">
          <w:rPr>
            <w:rStyle w:val="Hyperlink"/>
            <w:rFonts w:ascii="Times New Roman" w:hAnsi="Times New Roman" w:cs="Times New Roman"/>
            <w:color w:val="auto"/>
            <w:szCs w:val="24"/>
          </w:rPr>
          <w:t>www.sihab.emplasageo.sp.gov.br</w:t>
        </w:r>
      </w:hyperlink>
      <w:r w:rsidRPr="00797AE2">
        <w:rPr>
          <w:rStyle w:val="Hyperlink"/>
          <w:rFonts w:ascii="Times New Roman" w:hAnsi="Times New Roman" w:cs="Times New Roman"/>
          <w:color w:val="auto"/>
          <w:szCs w:val="24"/>
        </w:rPr>
        <w:t>&gt;.</w:t>
      </w: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p>
    <w:p w:rsidR="003E6588" w:rsidRPr="00797AE2" w:rsidRDefault="003E6588">
      <w:pPr>
        <w:pStyle w:val="Textorecuo"/>
        <w:numPr>
          <w:ilvl w:val="0"/>
          <w:numId w:val="0"/>
        </w:numPr>
        <w:spacing w:after="0" w:line="240" w:lineRule="auto"/>
        <w:ind w:firstLine="1134"/>
        <w:rPr>
          <w:rStyle w:val="Hyperlink"/>
          <w:rFonts w:ascii="Times New Roman" w:hAnsi="Times New Roman" w:cs="Times New Roman"/>
          <w:color w:val="auto"/>
          <w:szCs w:val="24"/>
        </w:rPr>
      </w:pPr>
      <w:r>
        <w:rPr>
          <w:rFonts w:ascii="Times New Roman" w:hAnsi="Times New Roman" w:cs="Times New Roman"/>
          <w:i/>
          <w:szCs w:val="24"/>
        </w:rPr>
        <w:t>Site</w:t>
      </w:r>
      <w:r>
        <w:rPr>
          <w:rFonts w:ascii="Times New Roman" w:hAnsi="Times New Roman" w:cs="Times New Roman"/>
          <w:szCs w:val="24"/>
        </w:rPr>
        <w:t xml:space="preserve"> Classes Sigemplasa - Aplicativo voltado aos usuários de Geoprocessamento da Emplasa, destinado à pesquisa de conteúdos do Banco de Dados Geográficos Sigemplasa. </w:t>
      </w:r>
      <w:r w:rsidRPr="00797AE2">
        <w:rPr>
          <w:rStyle w:val="Hyperlink"/>
          <w:rFonts w:ascii="Times New Roman" w:hAnsi="Times New Roman" w:cs="Times New Roman"/>
          <w:color w:val="auto"/>
          <w:szCs w:val="24"/>
        </w:rPr>
        <w:t>&lt;</w:t>
      </w:r>
      <w:hyperlink r:id="rId28" w:history="1">
        <w:r w:rsidRPr="00797AE2">
          <w:rPr>
            <w:rStyle w:val="Hyperlink"/>
            <w:rFonts w:ascii="Times New Roman" w:hAnsi="Times New Roman" w:cs="Times New Roman"/>
            <w:color w:val="auto"/>
            <w:szCs w:val="24"/>
          </w:rPr>
          <w:t>http://10.7.64.91/classesigemplasa/</w:t>
        </w:r>
      </w:hyperlink>
      <w:r w:rsidRPr="00797AE2">
        <w:rPr>
          <w:rStyle w:val="Hyperlink"/>
          <w:rFonts w:ascii="Times New Roman" w:hAnsi="Times New Roman" w:cs="Times New Roman"/>
          <w:color w:val="auto"/>
          <w:szCs w:val="24"/>
        </w:rPr>
        <w:t>&gt;.</w:t>
      </w:r>
    </w:p>
    <w:p w:rsidR="003E6588" w:rsidRPr="00797AE2" w:rsidRDefault="003E6588">
      <w:pPr>
        <w:pStyle w:val="Textorecuo"/>
        <w:numPr>
          <w:ilvl w:val="0"/>
          <w:numId w:val="0"/>
        </w:numPr>
        <w:spacing w:after="0" w:line="240" w:lineRule="auto"/>
        <w:ind w:left="1134"/>
        <w:rPr>
          <w:rStyle w:val="Hyperlink"/>
          <w:rFonts w:ascii="Times New Roman" w:hAnsi="Times New Roman" w:cs="Times New Roman"/>
          <w:color w:val="auto"/>
          <w:szCs w:val="24"/>
        </w:rPr>
      </w:pPr>
    </w:p>
    <w:p w:rsidR="003E6588" w:rsidRDefault="003E6588">
      <w:pPr>
        <w:pStyle w:val="Textorecuo"/>
        <w:numPr>
          <w:ilvl w:val="0"/>
          <w:numId w:val="0"/>
        </w:numPr>
        <w:spacing w:after="0" w:line="240" w:lineRule="auto"/>
        <w:ind w:firstLine="1134"/>
        <w:rPr>
          <w:rFonts w:ascii="Times New Roman" w:hAnsi="Times New Roman" w:cs="Times New Roman"/>
          <w:b/>
          <w:szCs w:val="24"/>
        </w:rPr>
      </w:pPr>
      <w:r>
        <w:rPr>
          <w:rFonts w:ascii="Times New Roman" w:hAnsi="Times New Roman" w:cs="Times New Roman"/>
          <w:b/>
          <w:szCs w:val="24"/>
        </w:rPr>
        <w:t>Parcerias em formalização</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Pr="00797AE2" w:rsidRDefault="003E6588">
      <w:pPr>
        <w:pStyle w:val="PargrafodaLista"/>
        <w:tabs>
          <w:tab w:val="left" w:pos="426"/>
        </w:tabs>
        <w:autoSpaceDE w:val="0"/>
        <w:autoSpaceDN w:val="0"/>
        <w:adjustRightInd w:val="0"/>
        <w:ind w:left="0" w:firstLine="1134"/>
        <w:contextualSpacing w:val="0"/>
        <w:rPr>
          <w:rStyle w:val="Hyperlink"/>
          <w:rFonts w:ascii="Times New Roman" w:hAnsi="Times New Roman"/>
          <w:color w:val="auto"/>
          <w:sz w:val="24"/>
          <w:szCs w:val="24"/>
        </w:rPr>
      </w:pPr>
      <w:r>
        <w:rPr>
          <w:rFonts w:ascii="Times New Roman" w:hAnsi="Times New Roman"/>
          <w:sz w:val="24"/>
          <w:szCs w:val="24"/>
        </w:rPr>
        <w:t xml:space="preserve">Secretaria do Meio Ambiente e Cetesb - Compartilhamento de dados em nuvem mantidos pelos partícipes, como é o caso das ortofotos do </w:t>
      </w:r>
      <w:r>
        <w:rPr>
          <w:rFonts w:ascii="Times New Roman" w:hAnsi="Times New Roman"/>
          <w:i/>
          <w:sz w:val="24"/>
          <w:szCs w:val="24"/>
        </w:rPr>
        <w:t xml:space="preserve">storage </w:t>
      </w:r>
      <w:r>
        <w:rPr>
          <w:rFonts w:ascii="Times New Roman" w:hAnsi="Times New Roman"/>
          <w:sz w:val="24"/>
          <w:szCs w:val="24"/>
        </w:rPr>
        <w:t xml:space="preserve">da Emplasa, e disponibilizada no </w:t>
      </w:r>
      <w:r>
        <w:rPr>
          <w:rFonts w:ascii="Times New Roman" w:hAnsi="Times New Roman"/>
          <w:i/>
          <w:sz w:val="24"/>
          <w:szCs w:val="24"/>
        </w:rPr>
        <w:t>sit</w:t>
      </w:r>
      <w:r>
        <w:rPr>
          <w:rFonts w:ascii="Times New Roman" w:hAnsi="Times New Roman"/>
          <w:sz w:val="24"/>
          <w:szCs w:val="24"/>
        </w:rPr>
        <w:t xml:space="preserve">e Sicar - Sistema de Cadastro Ambiental Rural da SMA/SP. </w:t>
      </w:r>
      <w:r w:rsidRPr="00797AE2">
        <w:rPr>
          <w:rStyle w:val="Hyperlink"/>
          <w:rFonts w:ascii="Times New Roman" w:hAnsi="Times New Roman"/>
          <w:color w:val="auto"/>
          <w:sz w:val="24"/>
          <w:szCs w:val="24"/>
        </w:rPr>
        <w:t>&lt;</w:t>
      </w:r>
      <w:hyperlink r:id="rId29" w:history="1">
        <w:r w:rsidRPr="00797AE2">
          <w:rPr>
            <w:rStyle w:val="Hyperlink"/>
            <w:rFonts w:ascii="Times New Roman" w:hAnsi="Times New Roman"/>
            <w:color w:val="auto"/>
            <w:sz w:val="24"/>
            <w:szCs w:val="24"/>
          </w:rPr>
          <w:t>http://www.sigam.ambiente.sp.gov.br/sigam2/ default.aspx?idPagina=13076</w:t>
        </w:r>
      </w:hyperlink>
      <w:r w:rsidRPr="00797AE2">
        <w:rPr>
          <w:rStyle w:val="Hyperlink"/>
          <w:rFonts w:ascii="Times New Roman" w:hAnsi="Times New Roman"/>
          <w:color w:val="auto"/>
          <w:sz w:val="24"/>
          <w:szCs w:val="24"/>
        </w:rPr>
        <w:t>&gt;.</w:t>
      </w:r>
    </w:p>
    <w:p w:rsidR="003E6588" w:rsidRPr="00797AE2" w:rsidRDefault="003E6588">
      <w:pPr>
        <w:pStyle w:val="PargrafodaLista"/>
        <w:tabs>
          <w:tab w:val="left" w:pos="426"/>
        </w:tabs>
        <w:autoSpaceDE w:val="0"/>
        <w:autoSpaceDN w:val="0"/>
        <w:adjustRightInd w:val="0"/>
        <w:ind w:left="0" w:firstLine="1134"/>
        <w:contextualSpacing w:val="0"/>
        <w:rPr>
          <w:rStyle w:val="Hyperlink"/>
          <w:rFonts w:ascii="Times New Roman" w:hAnsi="Times New Roman"/>
          <w:color w:val="auto"/>
          <w:sz w:val="24"/>
          <w:szCs w:val="24"/>
        </w:rPr>
      </w:pPr>
    </w:p>
    <w:p w:rsidR="003E6588" w:rsidRPr="00797AE2" w:rsidRDefault="003E6588">
      <w:pPr>
        <w:pStyle w:val="PargrafodaLista"/>
        <w:tabs>
          <w:tab w:val="left" w:pos="426"/>
        </w:tabs>
        <w:autoSpaceDE w:val="0"/>
        <w:autoSpaceDN w:val="0"/>
        <w:adjustRightInd w:val="0"/>
        <w:ind w:left="0" w:firstLine="1134"/>
        <w:contextualSpacing w:val="0"/>
        <w:rPr>
          <w:rFonts w:ascii="Times New Roman" w:hAnsi="Times New Roman"/>
          <w:sz w:val="24"/>
          <w:szCs w:val="24"/>
          <w:u w:val="single"/>
        </w:rPr>
      </w:pPr>
      <w:r>
        <w:rPr>
          <w:rFonts w:ascii="Times New Roman" w:hAnsi="Times New Roman"/>
          <w:sz w:val="24"/>
          <w:szCs w:val="24"/>
        </w:rPr>
        <w:t xml:space="preserve">Secretaria da Cultura - Conselho de Defesa do Patrimônio Histórico, Arqueológico, Artístico e Turístico do Estado de São Paulo - CONDEPHAAT - Unidade de Preservação do Patrimônio Histórico - UPPH - Compartilhamento do uso de dados de Licença de Uso, bem como do </w:t>
      </w:r>
      <w:r>
        <w:rPr>
          <w:rFonts w:ascii="Times New Roman" w:hAnsi="Times New Roman"/>
          <w:i/>
          <w:sz w:val="24"/>
          <w:szCs w:val="24"/>
        </w:rPr>
        <w:t>storage</w:t>
      </w:r>
      <w:r>
        <w:rPr>
          <w:rFonts w:ascii="Times New Roman" w:hAnsi="Times New Roman"/>
          <w:sz w:val="24"/>
          <w:szCs w:val="24"/>
        </w:rPr>
        <w:t xml:space="preserve"> e dos dados armazenados em nuvem pela Emplasa.</w:t>
      </w:r>
    </w:p>
    <w:p w:rsidR="003E6588" w:rsidRDefault="003E6588">
      <w:pPr>
        <w:pStyle w:val="Textorecuo"/>
        <w:numPr>
          <w:ilvl w:val="0"/>
          <w:numId w:val="0"/>
        </w:numPr>
        <w:tabs>
          <w:tab w:val="left" w:pos="284"/>
        </w:tabs>
        <w:spacing w:after="0" w:line="240" w:lineRule="auto"/>
        <w:ind w:firstLine="1134"/>
        <w:rPr>
          <w:rFonts w:ascii="Times New Roman" w:hAnsi="Times New Roman" w:cs="Times New Roman"/>
          <w:b/>
          <w:szCs w:val="24"/>
        </w:rPr>
      </w:pPr>
    </w:p>
    <w:p w:rsidR="003E6588" w:rsidRDefault="003E6588">
      <w:pPr>
        <w:pStyle w:val="Textorecuo"/>
        <w:numPr>
          <w:ilvl w:val="0"/>
          <w:numId w:val="0"/>
        </w:numPr>
        <w:tabs>
          <w:tab w:val="left" w:pos="284"/>
        </w:tabs>
        <w:spacing w:after="0" w:line="240" w:lineRule="auto"/>
        <w:ind w:firstLine="1134"/>
        <w:rPr>
          <w:rFonts w:ascii="Times New Roman" w:hAnsi="Times New Roman" w:cs="Times New Roman"/>
          <w:szCs w:val="24"/>
        </w:rPr>
      </w:pPr>
      <w:r>
        <w:rPr>
          <w:rFonts w:ascii="Times New Roman" w:hAnsi="Times New Roman" w:cs="Times New Roman"/>
          <w:b/>
          <w:szCs w:val="24"/>
        </w:rPr>
        <w:t xml:space="preserve">Monitoramento de Impactos do Uso do Solo na Área do Rodoanel - </w:t>
      </w:r>
      <w:r>
        <w:rPr>
          <w:rFonts w:ascii="Times New Roman" w:hAnsi="Times New Roman" w:cs="Times New Roman"/>
          <w:szCs w:val="24"/>
        </w:rPr>
        <w:t>Objeto - Monitoria do Trecho Norte, abrangendo análises técnicas da expansão urbana, realizadas com base em variáveis demográficas, ambientais e urbanas. Situação atual</w:t>
      </w:r>
      <w:r>
        <w:rPr>
          <w:rFonts w:ascii="Times New Roman" w:hAnsi="Times New Roman" w:cs="Times New Roman"/>
          <w:b/>
          <w:szCs w:val="24"/>
        </w:rPr>
        <w:t xml:space="preserve"> -</w:t>
      </w:r>
      <w:r>
        <w:rPr>
          <w:rFonts w:ascii="Times New Roman" w:hAnsi="Times New Roman" w:cs="Times New Roman"/>
          <w:szCs w:val="24"/>
        </w:rPr>
        <w:t xml:space="preserve"> Foram produzidos dois relatórios sobre o andamento de atividades de adaptação da metodologia desenvolvida para o Trecho Sul. Em negociação com a Dersa a continuidade das atividades de monitoramento do Trecho Sul.</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color w:val="000000"/>
          <w:szCs w:val="24"/>
        </w:rPr>
      </w:pPr>
      <w:r>
        <w:rPr>
          <w:rFonts w:ascii="Times New Roman" w:hAnsi="Times New Roman" w:cs="Times New Roman"/>
          <w:b/>
          <w:szCs w:val="24"/>
        </w:rPr>
        <w:t xml:space="preserve">Índice Paulista de Capacidade de Investimento - </w:t>
      </w:r>
      <w:r>
        <w:rPr>
          <w:rFonts w:ascii="Times New Roman" w:hAnsi="Times New Roman" w:cs="Times New Roman"/>
          <w:color w:val="000000"/>
        </w:rPr>
        <w:t xml:space="preserve">Objeto - Pesquisa, organização e análise de base de dados para avaliação da capacidade de financiamento dos municípios da MMP. </w:t>
      </w:r>
      <w:r>
        <w:rPr>
          <w:rFonts w:ascii="Times New Roman" w:hAnsi="Times New Roman" w:cs="Times New Roman"/>
          <w:color w:val="000000"/>
          <w:szCs w:val="24"/>
        </w:rPr>
        <w:t xml:space="preserve">Situação atual - Atualização da base de dados de finanças públicas dos municípios das RMs e AUs da MMP, incluindo dados/informações de 2012 e 2013, e cálculo do </w:t>
      </w:r>
      <w:r>
        <w:rPr>
          <w:rFonts w:ascii="Times New Roman" w:hAnsi="Times New Roman" w:cs="Times New Roman"/>
          <w:i/>
          <w:iCs/>
          <w:color w:val="000000"/>
          <w:szCs w:val="24"/>
        </w:rPr>
        <w:t>ranking</w:t>
      </w:r>
      <w:r>
        <w:rPr>
          <w:rFonts w:ascii="Times New Roman" w:hAnsi="Times New Roman" w:cs="Times New Roman"/>
          <w:color w:val="000000"/>
          <w:szCs w:val="24"/>
        </w:rPr>
        <w:t xml:space="preserve"> dos índices de capacidade de investimento com recursos próprios e de terceiros para os municípios da </w:t>
      </w:r>
      <w:r w:rsidR="00396B69">
        <w:rPr>
          <w:rFonts w:ascii="Times New Roman" w:hAnsi="Times New Roman" w:cs="Times New Roman"/>
          <w:color w:val="000000"/>
          <w:szCs w:val="24"/>
        </w:rPr>
        <w:t xml:space="preserve">Macrometrópole Paulista - </w:t>
      </w:r>
      <w:r>
        <w:rPr>
          <w:rFonts w:ascii="Times New Roman" w:hAnsi="Times New Roman" w:cs="Times New Roman"/>
          <w:color w:val="000000"/>
          <w:szCs w:val="24"/>
        </w:rPr>
        <w:t>MMP.</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b/>
          <w:szCs w:val="24"/>
        </w:rPr>
      </w:pPr>
      <w:r>
        <w:rPr>
          <w:rFonts w:ascii="Times New Roman" w:hAnsi="Times New Roman" w:cs="Times New Roman"/>
          <w:b/>
          <w:szCs w:val="24"/>
        </w:rPr>
        <w:t xml:space="preserve">Indicador de Valorização Imobiliária - </w:t>
      </w:r>
      <w:r>
        <w:rPr>
          <w:rFonts w:ascii="Times New Roman" w:hAnsi="Times New Roman" w:cs="Times New Roman"/>
          <w:szCs w:val="24"/>
        </w:rPr>
        <w:t xml:space="preserve">Objeto - Termo de Cooperação Técnica Emplasa/Fipe - FEA/USP e Associação dos Registradores Imobiliários de São Paulo </w:t>
      </w:r>
      <w:r w:rsidR="00396B69">
        <w:rPr>
          <w:rFonts w:ascii="Times New Roman" w:hAnsi="Times New Roman" w:cs="Times New Roman"/>
          <w:szCs w:val="24"/>
        </w:rPr>
        <w:t>-</w:t>
      </w:r>
      <w:r>
        <w:rPr>
          <w:rFonts w:ascii="Times New Roman" w:hAnsi="Times New Roman" w:cs="Times New Roman"/>
          <w:szCs w:val="24"/>
        </w:rPr>
        <w:t xml:space="preserve"> Arisp</w:t>
      </w:r>
      <w:r w:rsidR="00396B69">
        <w:rPr>
          <w:rFonts w:ascii="Times New Roman" w:hAnsi="Times New Roman" w:cs="Times New Roman"/>
          <w:szCs w:val="24"/>
        </w:rPr>
        <w:t>,</w:t>
      </w:r>
      <w:r>
        <w:rPr>
          <w:rFonts w:ascii="Times New Roman" w:hAnsi="Times New Roman" w:cs="Times New Roman"/>
          <w:szCs w:val="24"/>
        </w:rPr>
        <w:t xml:space="preserve"> para utilização de metodologia e acesso à base de dados Arisp sobre valor de imóveis em municípios da </w:t>
      </w:r>
      <w:r>
        <w:rPr>
          <w:rFonts w:ascii="Times New Roman" w:hAnsi="Times New Roman" w:cs="Times New Roman"/>
          <w:szCs w:val="24"/>
        </w:rPr>
        <w:lastRenderedPageBreak/>
        <w:t>MMP. Situação atual - Definição das agendas institucionais para estruturação da base de dados, definição e aprovação da metodologia de cálculo do índice e análise dos resultados obtidos na aplicação da metodologia na monitoria do Rodoanel Norte.</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 xml:space="preserve">Monitoramento do PPA 2012/2015 - </w:t>
      </w:r>
      <w:r>
        <w:rPr>
          <w:rFonts w:ascii="Times New Roman" w:hAnsi="Times New Roman" w:cs="Times New Roman"/>
          <w:szCs w:val="24"/>
        </w:rPr>
        <w:t>Situação atual</w:t>
      </w:r>
      <w:r>
        <w:rPr>
          <w:rFonts w:ascii="Times New Roman" w:hAnsi="Times New Roman" w:cs="Times New Roman"/>
          <w:b/>
          <w:szCs w:val="24"/>
        </w:rPr>
        <w:t xml:space="preserve"> -</w:t>
      </w:r>
      <w:r>
        <w:rPr>
          <w:rFonts w:ascii="Times New Roman" w:hAnsi="Times New Roman" w:cs="Times New Roman"/>
          <w:szCs w:val="24"/>
        </w:rPr>
        <w:t xml:space="preserve"> Acompanhamento de projetos/investimentos do PPA 2012/2015 considerados estruturadores do território da MMP (setores de transportes, saneamento ambiental e habitação), para avaliação de impactos dos investimentos públicos na organização/transformação do uso do solo na MMP.</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color w:val="000000"/>
          <w:szCs w:val="24"/>
        </w:rPr>
      </w:pPr>
      <w:r>
        <w:rPr>
          <w:rFonts w:ascii="Times New Roman" w:hAnsi="Times New Roman" w:cs="Times New Roman"/>
          <w:szCs w:val="24"/>
        </w:rPr>
        <w:t xml:space="preserve">Iniciativa Metropolis - Estudo Comparativo em Governança Metropolitana - </w:t>
      </w:r>
      <w:r>
        <w:rPr>
          <w:rFonts w:ascii="Times New Roman" w:hAnsi="Times New Roman" w:cs="Times New Roman"/>
          <w:b w:val="0"/>
          <w:szCs w:val="24"/>
        </w:rPr>
        <w:t>Situação atual - Formação de rede de parceria internacional coordenada pela Emplasa e apoiada por Metropolis (</w:t>
      </w:r>
      <w:r>
        <w:rPr>
          <w:rFonts w:ascii="Times New Roman" w:hAnsi="Times New Roman" w:cs="Times New Roman"/>
          <w:b w:val="0"/>
          <w:i/>
          <w:szCs w:val="24"/>
        </w:rPr>
        <w:t>The World Association of Major Metropolises</w:t>
      </w:r>
      <w:r>
        <w:rPr>
          <w:rFonts w:ascii="Times New Roman" w:hAnsi="Times New Roman" w:cs="Times New Roman"/>
          <w:b w:val="0"/>
          <w:szCs w:val="24"/>
        </w:rPr>
        <w:t>)</w:t>
      </w:r>
      <w:r w:rsidR="00396B69">
        <w:rPr>
          <w:rFonts w:ascii="Times New Roman" w:hAnsi="Times New Roman" w:cs="Times New Roman"/>
          <w:b w:val="0"/>
          <w:szCs w:val="24"/>
        </w:rPr>
        <w:t>,</w:t>
      </w:r>
      <w:r>
        <w:rPr>
          <w:rFonts w:ascii="Times New Roman" w:hAnsi="Times New Roman" w:cs="Times New Roman"/>
          <w:b w:val="0"/>
          <w:szCs w:val="24"/>
        </w:rPr>
        <w:t xml:space="preserve"> para realização de Estudo Comparativo em Governança Metropolitana</w:t>
      </w:r>
      <w:r w:rsidR="00396B69">
        <w:rPr>
          <w:rFonts w:ascii="Times New Roman" w:hAnsi="Times New Roman" w:cs="Times New Roman"/>
          <w:b w:val="0"/>
          <w:szCs w:val="24"/>
        </w:rPr>
        <w:t>,</w:t>
      </w:r>
      <w:r>
        <w:rPr>
          <w:rFonts w:ascii="Times New Roman" w:hAnsi="Times New Roman" w:cs="Times New Roman"/>
          <w:b w:val="0"/>
          <w:szCs w:val="24"/>
        </w:rPr>
        <w:t xml:space="preserve"> com foco na </w:t>
      </w:r>
      <w:r>
        <w:rPr>
          <w:rFonts w:ascii="Times New Roman" w:hAnsi="Times New Roman" w:cs="Times New Roman"/>
          <w:b w:val="0"/>
          <w:color w:val="000000"/>
          <w:szCs w:val="24"/>
        </w:rPr>
        <w:t>identificação de elementos básicos de arranjos institucionais e instrumentos financeiros capazes de tornar efetivo o financiamento de ações envolvendo mais de um município.</w:t>
      </w:r>
      <w:r w:rsidR="00396B69">
        <w:rPr>
          <w:rFonts w:ascii="Times New Roman" w:hAnsi="Times New Roman" w:cs="Times New Roman"/>
          <w:b w:val="0"/>
          <w:color w:val="000000"/>
          <w:szCs w:val="24"/>
        </w:rPr>
        <w:t xml:space="preserve"> O projeto foi concluído.</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 xml:space="preserve">Avaliação de Impactos Urbanísticos da Implantação de Corredores Metropolitanos de Ônibus na RMSP - </w:t>
      </w:r>
      <w:r>
        <w:rPr>
          <w:rFonts w:ascii="Times New Roman" w:hAnsi="Times New Roman" w:cs="Times New Roman"/>
          <w:b w:val="0"/>
          <w:szCs w:val="24"/>
        </w:rPr>
        <w:t>Situação atual</w:t>
      </w:r>
      <w:r>
        <w:rPr>
          <w:rFonts w:ascii="Times New Roman" w:hAnsi="Times New Roman" w:cs="Times New Roman"/>
          <w:szCs w:val="24"/>
        </w:rPr>
        <w:t xml:space="preserve"> -</w:t>
      </w:r>
      <w:r>
        <w:rPr>
          <w:rFonts w:ascii="Times New Roman" w:hAnsi="Times New Roman" w:cs="Times New Roman"/>
          <w:b w:val="0"/>
          <w:szCs w:val="24"/>
        </w:rPr>
        <w:t xml:space="preserve"> Contrato Emplasa/EMTU. Estudos de avaliação de impactos e transformações nas dinâmicas econômicas e urbanas nas áreas de influência das obras de implantação de Corredores Metropolitanos da RMSP (Alphaville, BRT Perimetral Alto Tietê e Corredor Itapevi/Cotia).</w:t>
      </w:r>
    </w:p>
    <w:p w:rsidR="003E6588" w:rsidRDefault="003E6588">
      <w:pPr>
        <w:pStyle w:val="Textonegrito"/>
        <w:spacing w:before="0" w:after="0" w:line="240" w:lineRule="auto"/>
        <w:ind w:firstLine="1134"/>
        <w:rPr>
          <w:rFonts w:ascii="Times New Roman" w:hAnsi="Times New Roman" w:cs="Times New Roman"/>
          <w:b w:val="0"/>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 xml:space="preserve">Impactos Urbanísticos da Implantação de Linhas do Metrô na RMSP - </w:t>
      </w:r>
      <w:r>
        <w:rPr>
          <w:rFonts w:ascii="Times New Roman" w:hAnsi="Times New Roman" w:cs="Times New Roman"/>
          <w:b w:val="0"/>
          <w:szCs w:val="24"/>
        </w:rPr>
        <w:t>Situação atual</w:t>
      </w:r>
      <w:r>
        <w:rPr>
          <w:rFonts w:ascii="Times New Roman" w:hAnsi="Times New Roman" w:cs="Times New Roman"/>
          <w:szCs w:val="24"/>
        </w:rPr>
        <w:t xml:space="preserve"> -</w:t>
      </w:r>
      <w:r>
        <w:rPr>
          <w:rFonts w:ascii="Times New Roman" w:hAnsi="Times New Roman" w:cs="Times New Roman"/>
          <w:b w:val="0"/>
          <w:szCs w:val="24"/>
        </w:rPr>
        <w:t xml:space="preserve"> Contrato Emplasa/Metrô para elaboração de estudos de impactos e transformações nas dinâmicas econômicas e urbanas nas áreas de influência de implantação de linhas de metrô na RMSP: Linha 2 - Verde (extensão - Estação Vila Prudente a Estação Dutra); Linha 6 - Laranja (Estação Rodovia Bandeirantes a Estação Cidade Líder); Linha 19 - Celeste (Estação Campo Belo a Tancredo Neves) e Linha 15 - Prata (Estação Ipiranga da CPTM a Estação Hospital Cidade Tiradentes).</w:t>
      </w:r>
    </w:p>
    <w:p w:rsidR="003E6588" w:rsidRDefault="003E6588">
      <w:pPr>
        <w:pStyle w:val="Textonegrito"/>
        <w:spacing w:before="0" w:after="0" w:line="240" w:lineRule="auto"/>
        <w:ind w:firstLine="1134"/>
        <w:rPr>
          <w:rFonts w:ascii="Times New Roman" w:hAnsi="Times New Roman" w:cs="Times New Roman"/>
          <w:b w:val="0"/>
          <w:szCs w:val="24"/>
        </w:rPr>
      </w:pPr>
    </w:p>
    <w:p w:rsidR="003E6588" w:rsidRDefault="003E6588">
      <w:pPr>
        <w:pStyle w:val="Textonegrito"/>
        <w:spacing w:before="0" w:after="0" w:line="240" w:lineRule="auto"/>
        <w:ind w:firstLine="1134"/>
        <w:rPr>
          <w:rFonts w:ascii="Times New Roman" w:hAnsi="Times New Roman" w:cs="Times New Roman"/>
          <w:szCs w:val="24"/>
        </w:rPr>
      </w:pPr>
      <w:r>
        <w:rPr>
          <w:rFonts w:ascii="Times New Roman" w:hAnsi="Times New Roman" w:cs="Times New Roman"/>
          <w:szCs w:val="24"/>
        </w:rPr>
        <w:t xml:space="preserve">Plano de Ação da Macrometrópole Paulista 2013/2040 - PAM - </w:t>
      </w:r>
      <w:r>
        <w:rPr>
          <w:rFonts w:ascii="Times New Roman" w:hAnsi="Times New Roman" w:cs="Times New Roman"/>
          <w:b w:val="0"/>
          <w:szCs w:val="24"/>
        </w:rPr>
        <w:t>Objeto - Plano de médio e longo prazos, que estabelece diretrizes, projetos e ações para a Macrometrópole Paulista - MMP. Situação atual - Publicação do PAM 2013-2040, abrangendo os seguintes volumes:</w:t>
      </w:r>
    </w:p>
    <w:p w:rsidR="003E6588" w:rsidRDefault="003E6588">
      <w:pPr>
        <w:pStyle w:val="Textorecuo"/>
        <w:numPr>
          <w:ilvl w:val="0"/>
          <w:numId w:val="0"/>
        </w:numPr>
        <w:tabs>
          <w:tab w:val="left" w:pos="0"/>
        </w:tabs>
        <w:spacing w:after="0" w:line="240" w:lineRule="auto"/>
        <w:ind w:firstLine="1134"/>
        <w:rPr>
          <w:rFonts w:ascii="Times New Roman" w:hAnsi="Times New Roman" w:cs="Times New Roman"/>
          <w:szCs w:val="24"/>
        </w:rPr>
      </w:pPr>
    </w:p>
    <w:p w:rsidR="003E6588" w:rsidRDefault="002D23B6">
      <w:pPr>
        <w:pStyle w:val="Textorecuo"/>
        <w:numPr>
          <w:ilvl w:val="0"/>
          <w:numId w:val="0"/>
        </w:numPr>
        <w:tabs>
          <w:tab w:val="left" w:pos="0"/>
        </w:tabs>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3E6588">
        <w:rPr>
          <w:rFonts w:ascii="Times New Roman" w:hAnsi="Times New Roman" w:cs="Times New Roman"/>
          <w:szCs w:val="24"/>
        </w:rPr>
        <w:t>Caderno 1 - Política de Desenvolvimento da Macrometrópole.</w:t>
      </w:r>
    </w:p>
    <w:p w:rsidR="003E6588" w:rsidRDefault="003E6588">
      <w:pPr>
        <w:pStyle w:val="Textorecuo"/>
        <w:numPr>
          <w:ilvl w:val="0"/>
          <w:numId w:val="0"/>
        </w:numPr>
        <w:tabs>
          <w:tab w:val="left" w:pos="0"/>
        </w:tabs>
        <w:spacing w:after="0" w:line="240" w:lineRule="auto"/>
        <w:ind w:left="1134"/>
        <w:rPr>
          <w:rFonts w:ascii="Times New Roman" w:hAnsi="Times New Roman" w:cs="Times New Roman"/>
          <w:szCs w:val="24"/>
        </w:rPr>
      </w:pPr>
    </w:p>
    <w:p w:rsidR="003E6588" w:rsidRDefault="002D23B6">
      <w:pPr>
        <w:pStyle w:val="Textorecuo"/>
        <w:numPr>
          <w:ilvl w:val="0"/>
          <w:numId w:val="0"/>
        </w:numPr>
        <w:tabs>
          <w:tab w:val="left" w:pos="0"/>
        </w:tabs>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3E6588">
        <w:rPr>
          <w:rFonts w:ascii="Times New Roman" w:hAnsi="Times New Roman" w:cs="Times New Roman"/>
          <w:szCs w:val="24"/>
        </w:rPr>
        <w:t>Caderno 2 - Uma visão da Macrometrópole.</w:t>
      </w:r>
    </w:p>
    <w:p w:rsidR="003E6588" w:rsidRDefault="003E6588">
      <w:pPr>
        <w:pStyle w:val="Textorecuo"/>
        <w:numPr>
          <w:ilvl w:val="0"/>
          <w:numId w:val="0"/>
        </w:numPr>
        <w:tabs>
          <w:tab w:val="left" w:pos="0"/>
        </w:tabs>
        <w:spacing w:after="0" w:line="240" w:lineRule="auto"/>
        <w:ind w:left="1134"/>
        <w:rPr>
          <w:rFonts w:ascii="Times New Roman" w:hAnsi="Times New Roman" w:cs="Times New Roman"/>
          <w:szCs w:val="24"/>
        </w:rPr>
      </w:pPr>
    </w:p>
    <w:p w:rsidR="003E6588" w:rsidRDefault="002D23B6">
      <w:pPr>
        <w:pStyle w:val="Textorecuo"/>
        <w:numPr>
          <w:ilvl w:val="0"/>
          <w:numId w:val="0"/>
        </w:numPr>
        <w:tabs>
          <w:tab w:val="left" w:pos="0"/>
        </w:tabs>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3E6588">
        <w:rPr>
          <w:rFonts w:ascii="Times New Roman" w:hAnsi="Times New Roman" w:cs="Times New Roman"/>
          <w:szCs w:val="24"/>
        </w:rPr>
        <w:t>Caderno 3 - Cenários e desafios da Macrometrópole.</w:t>
      </w:r>
    </w:p>
    <w:p w:rsidR="003E6588" w:rsidRDefault="003E6588">
      <w:pPr>
        <w:pStyle w:val="Textorecuo"/>
        <w:numPr>
          <w:ilvl w:val="0"/>
          <w:numId w:val="0"/>
        </w:numPr>
        <w:tabs>
          <w:tab w:val="left" w:pos="0"/>
        </w:tabs>
        <w:spacing w:after="0" w:line="240" w:lineRule="auto"/>
        <w:ind w:left="1134"/>
        <w:rPr>
          <w:rFonts w:ascii="Times New Roman" w:hAnsi="Times New Roman" w:cs="Times New Roman"/>
          <w:szCs w:val="24"/>
        </w:rPr>
      </w:pPr>
    </w:p>
    <w:p w:rsidR="003E6588" w:rsidRDefault="002D23B6">
      <w:pPr>
        <w:pStyle w:val="Textorecuo"/>
        <w:numPr>
          <w:ilvl w:val="0"/>
          <w:numId w:val="0"/>
        </w:numPr>
        <w:tabs>
          <w:tab w:val="left" w:pos="0"/>
        </w:tabs>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3E6588">
        <w:rPr>
          <w:rFonts w:ascii="Times New Roman" w:hAnsi="Times New Roman" w:cs="Times New Roman"/>
          <w:szCs w:val="24"/>
        </w:rPr>
        <w:t>Caderno 4 - Carteira de Projetos do PAM.</w:t>
      </w:r>
    </w:p>
    <w:p w:rsidR="003E6588" w:rsidRDefault="003E6588">
      <w:pPr>
        <w:pStyle w:val="Textorecuo"/>
        <w:numPr>
          <w:ilvl w:val="0"/>
          <w:numId w:val="0"/>
        </w:numPr>
        <w:tabs>
          <w:tab w:val="left" w:pos="0"/>
        </w:tabs>
        <w:spacing w:after="0" w:line="240" w:lineRule="auto"/>
        <w:ind w:firstLine="1134"/>
        <w:rPr>
          <w:rFonts w:ascii="Times New Roman" w:hAnsi="Times New Roman" w:cs="Times New Roman"/>
          <w:szCs w:val="24"/>
        </w:rPr>
      </w:pPr>
    </w:p>
    <w:p w:rsidR="003E6588" w:rsidRDefault="003E6588">
      <w:pPr>
        <w:pStyle w:val="Textorecuo"/>
        <w:numPr>
          <w:ilvl w:val="0"/>
          <w:numId w:val="0"/>
        </w:numPr>
        <w:tabs>
          <w:tab w:val="left" w:pos="0"/>
        </w:tabs>
        <w:spacing w:after="0" w:line="240" w:lineRule="auto"/>
        <w:ind w:firstLine="1134"/>
        <w:rPr>
          <w:rFonts w:ascii="Times New Roman" w:hAnsi="Times New Roman" w:cs="Times New Roman"/>
          <w:szCs w:val="24"/>
        </w:rPr>
      </w:pPr>
      <w:r>
        <w:rPr>
          <w:rFonts w:ascii="Times New Roman" w:hAnsi="Times New Roman" w:cs="Times New Roman"/>
          <w:szCs w:val="24"/>
        </w:rPr>
        <w:lastRenderedPageBreak/>
        <w:t>Foram realizad</w:t>
      </w:r>
      <w:r w:rsidR="00396B69">
        <w:rPr>
          <w:rFonts w:ascii="Times New Roman" w:hAnsi="Times New Roman" w:cs="Times New Roman"/>
          <w:szCs w:val="24"/>
        </w:rPr>
        <w:t>a</w:t>
      </w:r>
      <w:r>
        <w:rPr>
          <w:rFonts w:ascii="Times New Roman" w:hAnsi="Times New Roman" w:cs="Times New Roman"/>
          <w:szCs w:val="24"/>
        </w:rPr>
        <w:t>s reuniões e seminários com a assessoria do Programa das Nações Unidas para os Assentamentos Humanos (ONU/</w:t>
      </w:r>
      <w:r>
        <w:rPr>
          <w:rFonts w:ascii="Times New Roman" w:hAnsi="Times New Roman" w:cs="Times New Roman"/>
          <w:i/>
          <w:szCs w:val="24"/>
        </w:rPr>
        <w:t>Habitat</w:t>
      </w:r>
      <w:r>
        <w:rPr>
          <w:rFonts w:ascii="Times New Roman" w:hAnsi="Times New Roman" w:cs="Times New Roman"/>
          <w:szCs w:val="24"/>
        </w:rPr>
        <w:t>)</w:t>
      </w:r>
      <w:r w:rsidR="00396B69">
        <w:rPr>
          <w:rFonts w:ascii="Times New Roman" w:hAnsi="Times New Roman" w:cs="Times New Roman"/>
          <w:szCs w:val="24"/>
        </w:rPr>
        <w:t>,</w:t>
      </w:r>
      <w:r>
        <w:rPr>
          <w:rFonts w:ascii="Times New Roman" w:hAnsi="Times New Roman" w:cs="Times New Roman"/>
          <w:szCs w:val="24"/>
        </w:rPr>
        <w:t xml:space="preserve"> para ampliar a discussão pública e validação política dos projetos e ações incluídos na Carteira de Projetos do Plano.</w:t>
      </w:r>
    </w:p>
    <w:p w:rsidR="00396B69" w:rsidRDefault="00396B69">
      <w:pPr>
        <w:pStyle w:val="Textorecuo"/>
        <w:numPr>
          <w:ilvl w:val="0"/>
          <w:numId w:val="0"/>
        </w:numPr>
        <w:tabs>
          <w:tab w:val="left" w:pos="0"/>
        </w:tabs>
        <w:spacing w:after="0" w:line="240" w:lineRule="auto"/>
        <w:ind w:firstLine="1134"/>
        <w:rPr>
          <w:rFonts w:ascii="Times New Roman" w:hAnsi="Times New Roman" w:cs="Times New Roman"/>
          <w:szCs w:val="24"/>
        </w:rPr>
      </w:pPr>
    </w:p>
    <w:p w:rsidR="003E6588" w:rsidRDefault="003E6588">
      <w:pPr>
        <w:pStyle w:val="Textorecuo"/>
        <w:numPr>
          <w:ilvl w:val="0"/>
          <w:numId w:val="0"/>
        </w:numPr>
        <w:tabs>
          <w:tab w:val="left" w:pos="0"/>
        </w:tabs>
        <w:spacing w:after="0" w:line="240" w:lineRule="auto"/>
        <w:ind w:firstLine="1134"/>
        <w:rPr>
          <w:rFonts w:ascii="Times New Roman" w:hAnsi="Times New Roman" w:cs="Times New Roman"/>
          <w:szCs w:val="24"/>
        </w:rPr>
      </w:pPr>
      <w:r>
        <w:rPr>
          <w:rFonts w:ascii="Times New Roman" w:hAnsi="Times New Roman" w:cs="Times New Roman"/>
          <w:b/>
          <w:szCs w:val="24"/>
        </w:rPr>
        <w:t xml:space="preserve">Indicadores de Resultados do PAM - </w:t>
      </w:r>
      <w:r>
        <w:rPr>
          <w:rFonts w:ascii="Times New Roman" w:hAnsi="Times New Roman" w:cs="Times New Roman"/>
          <w:szCs w:val="24"/>
        </w:rPr>
        <w:t>Situação atual</w:t>
      </w:r>
      <w:r>
        <w:rPr>
          <w:rFonts w:ascii="Times New Roman" w:hAnsi="Times New Roman" w:cs="Times New Roman"/>
          <w:b/>
          <w:szCs w:val="24"/>
        </w:rPr>
        <w:t xml:space="preserve"> -</w:t>
      </w:r>
      <w:r>
        <w:rPr>
          <w:rFonts w:ascii="Times New Roman" w:hAnsi="Times New Roman" w:cs="Times New Roman"/>
          <w:szCs w:val="24"/>
        </w:rPr>
        <w:t xml:space="preserve"> Termo de Cooperação entre Emplasa e Investe SP (Agência Paulista de Promoção de Investimentos e Competitividade), da Secretaria de Desenvolvimento Econômico, Ciência, Tecnologia e Inovação, para definição e implementação dos indicadores de competitividade (Eixo 1 do PAM).</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szCs w:val="24"/>
        </w:rPr>
      </w:pPr>
      <w:r>
        <w:rPr>
          <w:rFonts w:ascii="Times New Roman" w:hAnsi="Times New Roman" w:cs="Times New Roman"/>
          <w:szCs w:val="24"/>
        </w:rPr>
        <w:t>Diretoria de Gestão de Projetos</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 xml:space="preserve">Plano Metropolitano de Desenvolvimento Habitacional </w:t>
      </w:r>
      <w:r w:rsidR="002D23B6">
        <w:rPr>
          <w:rFonts w:ascii="Times New Roman" w:hAnsi="Times New Roman" w:cs="Times New Roman"/>
          <w:szCs w:val="24"/>
        </w:rPr>
        <w:t>-</w:t>
      </w:r>
      <w:r>
        <w:rPr>
          <w:rFonts w:ascii="Times New Roman" w:hAnsi="Times New Roman" w:cs="Times New Roman"/>
          <w:szCs w:val="24"/>
        </w:rPr>
        <w:t xml:space="preserve"> PMDH - </w:t>
      </w:r>
      <w:r>
        <w:rPr>
          <w:rFonts w:ascii="Times New Roman" w:hAnsi="Times New Roman" w:cs="Times New Roman"/>
          <w:b w:val="0"/>
          <w:szCs w:val="24"/>
        </w:rPr>
        <w:t>Objeto</w:t>
      </w:r>
      <w:r>
        <w:rPr>
          <w:rFonts w:ascii="Times New Roman" w:hAnsi="Times New Roman" w:cs="Times New Roman"/>
          <w:szCs w:val="24"/>
        </w:rPr>
        <w:t xml:space="preserve"> -</w:t>
      </w:r>
      <w:r>
        <w:rPr>
          <w:rFonts w:ascii="Times New Roman" w:hAnsi="Times New Roman" w:cs="Times New Roman"/>
          <w:b w:val="0"/>
          <w:szCs w:val="24"/>
        </w:rPr>
        <w:t xml:space="preserve"> Bases para o desenvolvimento do Plano Metropolitano de Desenvolvimento Habitacional das Regiões Metropolitanas de São Paulo, Campinas, Baixada Santista, Vale do Paraíba e Litoral Norte</w:t>
      </w:r>
      <w:r w:rsidR="00396B69">
        <w:rPr>
          <w:rFonts w:ascii="Times New Roman" w:hAnsi="Times New Roman" w:cs="Times New Roman"/>
          <w:b w:val="0"/>
          <w:szCs w:val="24"/>
        </w:rPr>
        <w:t>,</w:t>
      </w:r>
      <w:r>
        <w:rPr>
          <w:rFonts w:ascii="Times New Roman" w:hAnsi="Times New Roman" w:cs="Times New Roman"/>
          <w:b w:val="0"/>
          <w:szCs w:val="24"/>
        </w:rPr>
        <w:t xml:space="preserve"> com foco na proposição de áreas prioritárias e eixos territoriais estratégicos para ação integrada de habitação e desenvolvimento urbano (Contrato Emplasa/SH-CDHU). Situação atual - Dinâmicas econômica, demográfica e migratória da MMP, com ênfase nas quatro RMs, para subsidiar o PMDH.</w:t>
      </w:r>
    </w:p>
    <w:p w:rsidR="003E6588" w:rsidRDefault="003E6588">
      <w:pPr>
        <w:pStyle w:val="Textorecuo"/>
        <w:numPr>
          <w:ilvl w:val="0"/>
          <w:numId w:val="0"/>
        </w:numPr>
        <w:spacing w:after="0" w:line="240" w:lineRule="auto"/>
        <w:ind w:left="1134"/>
        <w:rPr>
          <w:rFonts w:ascii="Times New Roman" w:hAnsi="Times New Roman" w:cs="Times New Roman"/>
          <w:szCs w:val="24"/>
        </w:rPr>
      </w:pPr>
    </w:p>
    <w:p w:rsidR="003E6588" w:rsidRDefault="003E6588" w:rsidP="005E330A">
      <w:pPr>
        <w:pStyle w:val="Textorecuo"/>
        <w:numPr>
          <w:ilvl w:val="0"/>
          <w:numId w:val="0"/>
        </w:numPr>
        <w:spacing w:after="0" w:line="240" w:lineRule="auto"/>
        <w:ind w:firstLine="1134"/>
        <w:rPr>
          <w:rFonts w:ascii="Times New Roman" w:hAnsi="Times New Roman" w:cs="Times New Roman"/>
          <w:b/>
          <w:szCs w:val="24"/>
        </w:rPr>
      </w:pPr>
      <w:r>
        <w:rPr>
          <w:rFonts w:ascii="Times New Roman" w:hAnsi="Times New Roman" w:cs="Times New Roman"/>
          <w:b/>
          <w:szCs w:val="24"/>
        </w:rPr>
        <w:t>Características da metropolização recente e seus condicionantes</w:t>
      </w:r>
      <w:r w:rsidR="005E330A">
        <w:rPr>
          <w:rFonts w:ascii="Times New Roman" w:hAnsi="Times New Roman" w:cs="Times New Roman"/>
          <w:b/>
          <w:szCs w:val="24"/>
        </w:rPr>
        <w:t xml:space="preserve"> - </w:t>
      </w:r>
      <w:r>
        <w:rPr>
          <w:rFonts w:ascii="Times New Roman" w:hAnsi="Times New Roman" w:cs="Times New Roman"/>
          <w:szCs w:val="24"/>
        </w:rPr>
        <w:t>Definição das nodalidades para subsidiar a identificação das Áreas e Eixos Estratégicos nas RMs;</w:t>
      </w:r>
      <w:r w:rsidR="005E330A">
        <w:rPr>
          <w:rFonts w:ascii="Times New Roman" w:hAnsi="Times New Roman" w:cs="Times New Roman"/>
          <w:szCs w:val="24"/>
        </w:rPr>
        <w:t xml:space="preserve"> </w:t>
      </w:r>
      <w:r>
        <w:rPr>
          <w:rFonts w:ascii="Times New Roman" w:hAnsi="Times New Roman" w:cs="Times New Roman"/>
          <w:szCs w:val="24"/>
        </w:rPr>
        <w:t>Análise sintética dos índices e indicadores construídos para avaliar a dinâmica territorial recente nas RMs.</w:t>
      </w:r>
    </w:p>
    <w:p w:rsidR="003E6588" w:rsidRDefault="003E6588">
      <w:pPr>
        <w:pStyle w:val="Textorecuo"/>
        <w:numPr>
          <w:ilvl w:val="0"/>
          <w:numId w:val="0"/>
        </w:numPr>
        <w:spacing w:after="0" w:line="240" w:lineRule="auto"/>
        <w:ind w:left="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Macrozoneamento</w:t>
      </w:r>
      <w:r>
        <w:rPr>
          <w:rFonts w:ascii="Times New Roman" w:hAnsi="Times New Roman" w:cs="Times New Roman"/>
          <w:szCs w:val="24"/>
        </w:rPr>
        <w:t xml:space="preserve"> </w:t>
      </w:r>
      <w:r>
        <w:rPr>
          <w:rFonts w:ascii="Times New Roman" w:hAnsi="Times New Roman" w:cs="Times New Roman"/>
          <w:b/>
          <w:szCs w:val="24"/>
        </w:rPr>
        <w:t>dos Municípios Metropolitanos -</w:t>
      </w:r>
      <w:r>
        <w:rPr>
          <w:rFonts w:ascii="Times New Roman" w:hAnsi="Times New Roman" w:cs="Times New Roman"/>
          <w:szCs w:val="24"/>
        </w:rPr>
        <w:t xml:space="preserve"> Georreferenciamento do zoneamento dos municípios pertencentes às RMs e agregação dessas zonas em quatro macrozonas (urbana, rural, interesse ambiental e proteção integral).</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szCs w:val="24"/>
        </w:rPr>
        <w:t>Metodologia visando à potencialização do aproveitamento de terras prospectadas para atender à demanda habitacional - estudos de caso.</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Regularização fundiária -</w:t>
      </w:r>
      <w:r>
        <w:rPr>
          <w:rFonts w:ascii="Times New Roman" w:hAnsi="Times New Roman" w:cs="Times New Roman"/>
          <w:szCs w:val="24"/>
        </w:rPr>
        <w:t xml:space="preserve"> Levantamento, espacialização e análise da atividade de regularização fundiária realizada pela SH e parceria com os municípios metropolitanos; organização, mapeamento e análise, por RM e entre RMs, dos dados do processo de regularização de núcleos habitacionais pelo Programa Cidade Legal e de conjuntos habitacionais pela CDHU.</w:t>
      </w:r>
    </w:p>
    <w:p w:rsidR="003E6588" w:rsidRDefault="003E6588">
      <w:pPr>
        <w:pStyle w:val="Textorecuo"/>
        <w:numPr>
          <w:ilvl w:val="0"/>
          <w:numId w:val="0"/>
        </w:numPr>
        <w:spacing w:after="0" w:line="240" w:lineRule="auto"/>
        <w:ind w:firstLine="1418"/>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Linhas e Programas Habitacionais -</w:t>
      </w:r>
      <w:r>
        <w:rPr>
          <w:rFonts w:ascii="Times New Roman" w:hAnsi="Times New Roman" w:cs="Times New Roman"/>
          <w:szCs w:val="24"/>
        </w:rPr>
        <w:t xml:space="preserve"> Levantamento e análise das políticas habitacionais atuantes nas RMs;</w:t>
      </w:r>
      <w:r>
        <w:rPr>
          <w:rFonts w:ascii="Times New Roman" w:hAnsi="Times New Roman" w:cs="Times New Roman"/>
          <w:bCs/>
          <w:szCs w:val="24"/>
        </w:rPr>
        <w:t xml:space="preserve"> espacialização e análise da oferta habitacional nas RMs;</w:t>
      </w:r>
      <w:r>
        <w:rPr>
          <w:rFonts w:ascii="Times New Roman" w:hAnsi="Times New Roman" w:cs="Times New Roman"/>
          <w:szCs w:val="24"/>
        </w:rPr>
        <w:t xml:space="preserve"> identificação e análise dos padrões de necessidade e de atendimento habitacionais;</w:t>
      </w:r>
      <w:r>
        <w:rPr>
          <w:rFonts w:ascii="Times New Roman" w:hAnsi="Times New Roman" w:cs="Times New Roman"/>
          <w:bCs/>
          <w:szCs w:val="24"/>
        </w:rPr>
        <w:t xml:space="preserve"> análise das</w:t>
      </w:r>
      <w:r>
        <w:rPr>
          <w:rFonts w:ascii="Times New Roman" w:hAnsi="Times New Roman" w:cs="Times New Roman"/>
          <w:b/>
          <w:bCs/>
          <w:szCs w:val="24"/>
        </w:rPr>
        <w:t xml:space="preserve"> </w:t>
      </w:r>
      <w:r>
        <w:rPr>
          <w:rFonts w:ascii="Times New Roman" w:hAnsi="Times New Roman" w:cs="Times New Roman"/>
          <w:bCs/>
          <w:szCs w:val="24"/>
        </w:rPr>
        <w:t>linhas de ação e dos programas habitacionais realizados pelos governos estadual e federal nesse território; análise dos programas e da produção habitacional a partir do tamanho dos municípios; análise da oferta habitacional a partir dos estudos de “Tipologia dos Municípios” e “Proatividade Municipal” da Fundação Seade; análise do ambiente institucional e capacidade de investimento dos municípios;</w:t>
      </w:r>
      <w:r>
        <w:rPr>
          <w:rFonts w:ascii="Times New Roman" w:hAnsi="Times New Roman" w:cs="Times New Roman"/>
          <w:szCs w:val="24"/>
        </w:rPr>
        <w:t xml:space="preserve"> análise de indicadores e dimensões considerados relevantes no sentido de interferência nas dinâmicas socioeconômicas, considerados na proposição de linhas de ação para programas habitacionais nos municípios das RMs.</w:t>
      </w: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lastRenderedPageBreak/>
        <w:t>Áreas de Oportunidade e Iniciativas Estratégicas para a Política Habitacional -</w:t>
      </w:r>
      <w:r>
        <w:rPr>
          <w:rFonts w:ascii="Times New Roman" w:hAnsi="Times New Roman" w:cs="Times New Roman"/>
          <w:szCs w:val="24"/>
        </w:rPr>
        <w:t xml:space="preserve"> Prospecção e espacialização de cerca de cinco mil áreas potenciais para empreendimentos habitacionais para o PMDH.</w:t>
      </w:r>
    </w:p>
    <w:p w:rsidR="003E6588" w:rsidRDefault="003E6588">
      <w:pPr>
        <w:pStyle w:val="Textorecuo"/>
        <w:numPr>
          <w:ilvl w:val="0"/>
          <w:numId w:val="0"/>
        </w:numPr>
        <w:spacing w:after="0" w:line="240" w:lineRule="auto"/>
        <w:ind w:firstLine="1418"/>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Modelos Facilitadores para a Promoção Habitacional</w:t>
      </w:r>
      <w:r>
        <w:rPr>
          <w:rFonts w:ascii="Times New Roman" w:hAnsi="Times New Roman" w:cs="Times New Roman"/>
          <w:szCs w:val="24"/>
        </w:rPr>
        <w:t xml:space="preserve"> - Experiência de Parceria Público-Privada e Habitação no Estado.</w:t>
      </w:r>
    </w:p>
    <w:p w:rsidR="003E6588" w:rsidRDefault="003E6588">
      <w:pPr>
        <w:pStyle w:val="Textorecuo"/>
        <w:numPr>
          <w:ilvl w:val="0"/>
          <w:numId w:val="0"/>
        </w:numPr>
        <w:spacing w:after="0" w:line="240" w:lineRule="auto"/>
        <w:ind w:firstLine="1418"/>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sidRPr="002D23B6">
        <w:rPr>
          <w:rFonts w:ascii="Times New Roman" w:hAnsi="Times New Roman" w:cs="Times New Roman"/>
          <w:b/>
          <w:szCs w:val="24"/>
        </w:rPr>
        <w:t>Vetores Sistêmicos de Desenvolvimento Ambiental e Habitacional do PAM</w:t>
      </w:r>
      <w:r>
        <w:rPr>
          <w:rFonts w:ascii="Times New Roman" w:hAnsi="Times New Roman" w:cs="Times New Roman"/>
          <w:szCs w:val="24"/>
        </w:rPr>
        <w:t>.</w:t>
      </w:r>
    </w:p>
    <w:p w:rsidR="003E6588" w:rsidRDefault="003E6588">
      <w:pPr>
        <w:pStyle w:val="Textonegrito"/>
        <w:spacing w:before="0" w:after="0" w:line="240" w:lineRule="auto"/>
        <w:ind w:firstLine="1418"/>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 xml:space="preserve">Sistema Integrado de Demanda Habitacional - Regiões Metropolitanas - SiHab - </w:t>
      </w:r>
      <w:r>
        <w:rPr>
          <w:rFonts w:ascii="Times New Roman" w:hAnsi="Times New Roman" w:cs="Times New Roman"/>
          <w:b w:val="0"/>
          <w:szCs w:val="24"/>
        </w:rPr>
        <w:t xml:space="preserve">Objeto </w:t>
      </w:r>
      <w:r>
        <w:rPr>
          <w:rFonts w:ascii="Times New Roman" w:hAnsi="Times New Roman" w:cs="Times New Roman"/>
          <w:szCs w:val="24"/>
        </w:rPr>
        <w:t>-</w:t>
      </w:r>
      <w:r>
        <w:rPr>
          <w:rFonts w:ascii="Times New Roman" w:hAnsi="Times New Roman" w:cs="Times New Roman"/>
          <w:b w:val="0"/>
          <w:szCs w:val="24"/>
        </w:rPr>
        <w:t xml:space="preserve"> Elaboração de sistema integrado de consulta aos cadastros de pessoas beneficiadas com atendimento habitacional. Projeto de transferência de tecnologia para implantação de sistema municipal de inscrição padronizado. Situação atual - Concepção do Sistema de Demanda Habitacional - elaboração de instrumental para Seleção de Interessado.</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Ambiente de Visualização de Dados Habitacionais</w:t>
      </w:r>
      <w:r w:rsidR="002D23B6">
        <w:rPr>
          <w:rFonts w:ascii="Times New Roman" w:hAnsi="Times New Roman" w:cs="Times New Roman"/>
          <w:b/>
          <w:szCs w:val="24"/>
        </w:rPr>
        <w:t xml:space="preserve"> - </w:t>
      </w:r>
      <w:r w:rsidR="005E330A">
        <w:rPr>
          <w:rFonts w:ascii="Times New Roman" w:hAnsi="Times New Roman" w:cs="Times New Roman"/>
          <w:szCs w:val="24"/>
        </w:rPr>
        <w:t xml:space="preserve">Caracterização </w:t>
      </w:r>
      <w:r>
        <w:rPr>
          <w:rFonts w:ascii="Times New Roman" w:hAnsi="Times New Roman" w:cs="Times New Roman"/>
          <w:szCs w:val="24"/>
        </w:rPr>
        <w:t>e potencialidades do SiHab e proposição, requisitos e funcionalidades do Sistema de Visualização Preliminar de Dados Habitacionais do SiHab, necessário para a apresentação das informações de forma georreferenciada;</w:t>
      </w:r>
      <w:r w:rsidR="002D23B6">
        <w:rPr>
          <w:rFonts w:ascii="Times New Roman" w:hAnsi="Times New Roman" w:cs="Times New Roman"/>
          <w:szCs w:val="24"/>
        </w:rPr>
        <w:t xml:space="preserve"> </w:t>
      </w:r>
      <w:r>
        <w:rPr>
          <w:rFonts w:ascii="Times New Roman" w:hAnsi="Times New Roman" w:cs="Times New Roman"/>
          <w:szCs w:val="24"/>
        </w:rPr>
        <w:t>recomendações técnicas para a modelagem de dados com vistas ao georreferenciamento.</w:t>
      </w:r>
    </w:p>
    <w:p w:rsidR="003E6588" w:rsidRDefault="003E6588">
      <w:pPr>
        <w:pStyle w:val="Textorecuo"/>
        <w:numPr>
          <w:ilvl w:val="0"/>
          <w:numId w:val="0"/>
        </w:numPr>
        <w:spacing w:after="0" w:line="240" w:lineRule="auto"/>
        <w:ind w:firstLine="1134"/>
        <w:rPr>
          <w:rFonts w:ascii="Times New Roman" w:hAnsi="Times New Roman" w:cs="Times New Roman"/>
          <w:b/>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b/>
          <w:szCs w:val="24"/>
        </w:rPr>
        <w:t>Sistema de Beneficiados -</w:t>
      </w:r>
      <w:r>
        <w:rPr>
          <w:rFonts w:ascii="Times New Roman" w:hAnsi="Times New Roman" w:cs="Times New Roman"/>
          <w:szCs w:val="24"/>
        </w:rPr>
        <w:t xml:space="preserve"> Em funcionamento na SH, possibilita o monitoramento da participação de famílias em programas habitacionais, por meio da consulta dos CPFs dos interessados no Cadastro Nacional de Mutuários - Cadmut da Caixa.</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Pesquisas para apoiar o PMDH - Emplasa/</w:t>
      </w:r>
      <w:r w:rsidR="005E330A">
        <w:rPr>
          <w:rFonts w:ascii="Times New Roman" w:hAnsi="Times New Roman" w:cs="Times New Roman"/>
          <w:szCs w:val="24"/>
        </w:rPr>
        <w:t>F</w:t>
      </w:r>
      <w:r>
        <w:rPr>
          <w:rFonts w:ascii="Times New Roman" w:hAnsi="Times New Roman" w:cs="Times New Roman"/>
          <w:szCs w:val="24"/>
        </w:rPr>
        <w:t xml:space="preserve">Seade - </w:t>
      </w:r>
      <w:r>
        <w:rPr>
          <w:rFonts w:ascii="Times New Roman" w:hAnsi="Times New Roman" w:cs="Times New Roman"/>
          <w:b w:val="0"/>
          <w:szCs w:val="24"/>
        </w:rPr>
        <w:t>Objeto - Pesquisas sobre subhabitação; legislação municipal específica sobre habitação popular; oferta habitacional com recursos municipais, estaduais e federais e ações normativas. Compreende, ainda, a adaptação da metodologia da PMU para municípios metropolitanos, a capacitação e sensibilização dos municípios para participação na pesquisa, e inclui a produçã</w:t>
      </w:r>
      <w:r w:rsidR="005E330A">
        <w:rPr>
          <w:rFonts w:ascii="Times New Roman" w:hAnsi="Times New Roman" w:cs="Times New Roman"/>
          <w:b w:val="0"/>
          <w:szCs w:val="24"/>
        </w:rPr>
        <w:t>o da base de dados. Abrangência -</w:t>
      </w:r>
      <w:r>
        <w:rPr>
          <w:rFonts w:ascii="Times New Roman" w:hAnsi="Times New Roman" w:cs="Times New Roman"/>
          <w:b w:val="0"/>
          <w:szCs w:val="24"/>
        </w:rPr>
        <w:t xml:space="preserve"> 172 municípios que compõem a Macrometrópole.</w:t>
      </w:r>
    </w:p>
    <w:p w:rsidR="00B86C0D" w:rsidRDefault="00B86C0D">
      <w:pPr>
        <w:pStyle w:val="Textonegrito"/>
        <w:spacing w:before="0" w:after="0" w:line="240" w:lineRule="auto"/>
        <w:ind w:firstLine="1134"/>
        <w:rPr>
          <w:rFonts w:ascii="Times New Roman" w:hAnsi="Times New Roman" w:cs="Times New Roman"/>
          <w:b w:val="0"/>
          <w:szCs w:val="24"/>
        </w:rPr>
      </w:pPr>
    </w:p>
    <w:p w:rsidR="003E6588" w:rsidRDefault="003E6588">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b/>
          <w:szCs w:val="24"/>
        </w:rPr>
        <w:t>Pesquisa Municipal Habitacional da Macrometrópole</w:t>
      </w:r>
      <w:r>
        <w:rPr>
          <w:rFonts w:ascii="Times New Roman" w:hAnsi="Times New Roman" w:cs="Times New Roman"/>
          <w:szCs w:val="24"/>
        </w:rPr>
        <w:t>:</w:t>
      </w:r>
    </w:p>
    <w:p w:rsidR="003E6588" w:rsidRDefault="003E6588">
      <w:pPr>
        <w:pStyle w:val="Textorecuo"/>
        <w:numPr>
          <w:ilvl w:val="0"/>
          <w:numId w:val="0"/>
        </w:numPr>
        <w:spacing w:after="0" w:line="240" w:lineRule="auto"/>
        <w:ind w:left="1276"/>
        <w:rPr>
          <w:rFonts w:ascii="Times New Roman" w:hAnsi="Times New Roman" w:cs="Times New Roman"/>
          <w:szCs w:val="24"/>
        </w:rPr>
      </w:pPr>
    </w:p>
    <w:p w:rsidR="003E6588" w:rsidRDefault="002D23B6">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5E330A">
        <w:rPr>
          <w:rFonts w:ascii="Times New Roman" w:hAnsi="Times New Roman" w:cs="Times New Roman"/>
          <w:szCs w:val="24"/>
        </w:rPr>
        <w:t xml:space="preserve">Precariedade </w:t>
      </w:r>
      <w:r w:rsidR="003E6588">
        <w:rPr>
          <w:rFonts w:ascii="Times New Roman" w:hAnsi="Times New Roman" w:cs="Times New Roman"/>
          <w:szCs w:val="24"/>
        </w:rPr>
        <w:t>habitacional;</w:t>
      </w:r>
    </w:p>
    <w:p w:rsidR="003E6588" w:rsidRDefault="003E6588">
      <w:pPr>
        <w:pStyle w:val="Textorecuo"/>
        <w:numPr>
          <w:ilvl w:val="0"/>
          <w:numId w:val="0"/>
        </w:numPr>
        <w:spacing w:after="0" w:line="240" w:lineRule="auto"/>
        <w:ind w:left="1134"/>
        <w:rPr>
          <w:rFonts w:ascii="Times New Roman" w:hAnsi="Times New Roman" w:cs="Times New Roman"/>
          <w:szCs w:val="24"/>
        </w:rPr>
      </w:pPr>
    </w:p>
    <w:p w:rsidR="003E6588" w:rsidRDefault="002D23B6">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5E330A">
        <w:rPr>
          <w:rFonts w:ascii="Times New Roman" w:hAnsi="Times New Roman" w:cs="Times New Roman"/>
          <w:szCs w:val="24"/>
        </w:rPr>
        <w:t xml:space="preserve">Legislação </w:t>
      </w:r>
      <w:r w:rsidR="003E6588">
        <w:rPr>
          <w:rFonts w:ascii="Times New Roman" w:hAnsi="Times New Roman" w:cs="Times New Roman"/>
          <w:szCs w:val="24"/>
        </w:rPr>
        <w:t>municipal específica sobre habitação de interesse social;</w:t>
      </w:r>
    </w:p>
    <w:p w:rsidR="003E6588" w:rsidRDefault="003E6588">
      <w:pPr>
        <w:pStyle w:val="Textorecuo"/>
        <w:numPr>
          <w:ilvl w:val="0"/>
          <w:numId w:val="0"/>
        </w:numPr>
        <w:spacing w:after="0" w:line="240" w:lineRule="auto"/>
        <w:ind w:left="1134"/>
        <w:rPr>
          <w:rFonts w:ascii="Times New Roman" w:hAnsi="Times New Roman" w:cs="Times New Roman"/>
          <w:szCs w:val="24"/>
        </w:rPr>
      </w:pPr>
    </w:p>
    <w:p w:rsidR="003E6588" w:rsidRDefault="002D23B6">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5E330A">
        <w:rPr>
          <w:rFonts w:ascii="Times New Roman" w:hAnsi="Times New Roman" w:cs="Times New Roman"/>
          <w:szCs w:val="24"/>
        </w:rPr>
        <w:t xml:space="preserve">Oferta </w:t>
      </w:r>
      <w:r w:rsidR="003E6588">
        <w:rPr>
          <w:rFonts w:ascii="Times New Roman" w:hAnsi="Times New Roman" w:cs="Times New Roman"/>
          <w:szCs w:val="24"/>
        </w:rPr>
        <w:t>habitacional, recursos municipais, estaduais e federais;</w:t>
      </w:r>
    </w:p>
    <w:p w:rsidR="003E6588" w:rsidRDefault="003E6588">
      <w:pPr>
        <w:pStyle w:val="Textorecuo"/>
        <w:numPr>
          <w:ilvl w:val="0"/>
          <w:numId w:val="0"/>
        </w:numPr>
        <w:spacing w:after="0" w:line="240" w:lineRule="auto"/>
        <w:ind w:left="1134"/>
        <w:rPr>
          <w:rFonts w:ascii="Times New Roman" w:hAnsi="Times New Roman" w:cs="Times New Roman"/>
          <w:szCs w:val="24"/>
        </w:rPr>
      </w:pPr>
    </w:p>
    <w:p w:rsidR="003E6588" w:rsidRDefault="002D23B6">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5E330A">
        <w:rPr>
          <w:rFonts w:ascii="Times New Roman" w:hAnsi="Times New Roman" w:cs="Times New Roman"/>
          <w:szCs w:val="24"/>
        </w:rPr>
        <w:t xml:space="preserve">Legislação </w:t>
      </w:r>
      <w:r w:rsidR="003E6588">
        <w:rPr>
          <w:rFonts w:ascii="Times New Roman" w:hAnsi="Times New Roman" w:cs="Times New Roman"/>
          <w:szCs w:val="24"/>
        </w:rPr>
        <w:t>urbanística e capacidade de gestão dos municípios.</w:t>
      </w:r>
    </w:p>
    <w:p w:rsidR="005E330A" w:rsidRDefault="005E330A">
      <w:pPr>
        <w:pStyle w:val="Textorecuo"/>
        <w:numPr>
          <w:ilvl w:val="0"/>
          <w:numId w:val="0"/>
        </w:numPr>
        <w:spacing w:after="0" w:line="240" w:lineRule="auto"/>
        <w:ind w:left="1134"/>
        <w:rPr>
          <w:rFonts w:ascii="Times New Roman" w:hAnsi="Times New Roman" w:cs="Times New Roman"/>
          <w:b/>
          <w:szCs w:val="24"/>
        </w:rPr>
      </w:pPr>
    </w:p>
    <w:p w:rsidR="003E6588" w:rsidRDefault="003E6588">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b/>
          <w:szCs w:val="24"/>
        </w:rPr>
        <w:t>Pesquisa para atualização dos indicadores de</w:t>
      </w:r>
      <w:r>
        <w:rPr>
          <w:rFonts w:ascii="Times New Roman" w:hAnsi="Times New Roman" w:cs="Times New Roman"/>
          <w:szCs w:val="24"/>
        </w:rPr>
        <w:t>:</w:t>
      </w:r>
    </w:p>
    <w:p w:rsidR="003E6588" w:rsidRDefault="003E6588">
      <w:pPr>
        <w:pStyle w:val="Textorecuo"/>
        <w:numPr>
          <w:ilvl w:val="0"/>
          <w:numId w:val="0"/>
        </w:numPr>
        <w:spacing w:after="0" w:line="240" w:lineRule="auto"/>
        <w:ind w:left="1134"/>
        <w:rPr>
          <w:rFonts w:ascii="Times New Roman" w:hAnsi="Times New Roman" w:cs="Times New Roman"/>
          <w:szCs w:val="24"/>
        </w:rPr>
      </w:pPr>
    </w:p>
    <w:p w:rsidR="003E6588" w:rsidRDefault="002D23B6">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szCs w:val="24"/>
        </w:rPr>
        <w:lastRenderedPageBreak/>
        <w:t xml:space="preserve">- </w:t>
      </w:r>
      <w:r w:rsidR="003E6588">
        <w:rPr>
          <w:rFonts w:ascii="Times New Roman" w:hAnsi="Times New Roman" w:cs="Times New Roman"/>
          <w:szCs w:val="24"/>
        </w:rPr>
        <w:t>"Tipologia Socioeconômica</w:t>
      </w:r>
      <w:r w:rsidR="00B86C0D">
        <w:rPr>
          <w:rFonts w:ascii="Times New Roman" w:hAnsi="Times New Roman" w:cs="Times New Roman"/>
          <w:szCs w:val="24"/>
        </w:rPr>
        <w:t xml:space="preserve"> e Habitacional de Municípios";</w:t>
      </w:r>
    </w:p>
    <w:p w:rsidR="002D23B6" w:rsidRDefault="002D23B6">
      <w:pPr>
        <w:pStyle w:val="Textorecuo"/>
        <w:numPr>
          <w:ilvl w:val="0"/>
          <w:numId w:val="0"/>
        </w:numPr>
        <w:spacing w:after="0" w:line="240" w:lineRule="auto"/>
        <w:ind w:left="1134"/>
        <w:rPr>
          <w:rFonts w:ascii="Times New Roman" w:hAnsi="Times New Roman" w:cs="Times New Roman"/>
          <w:szCs w:val="24"/>
        </w:rPr>
      </w:pPr>
    </w:p>
    <w:p w:rsidR="003E6588" w:rsidRDefault="002D23B6">
      <w:pPr>
        <w:pStyle w:val="Textorecuo"/>
        <w:numPr>
          <w:ilvl w:val="0"/>
          <w:numId w:val="0"/>
        </w:numPr>
        <w:spacing w:after="0" w:line="240" w:lineRule="auto"/>
        <w:ind w:left="1134"/>
        <w:rPr>
          <w:rFonts w:ascii="Times New Roman" w:hAnsi="Times New Roman" w:cs="Times New Roman"/>
          <w:szCs w:val="24"/>
        </w:rPr>
      </w:pPr>
      <w:r>
        <w:rPr>
          <w:rFonts w:ascii="Times New Roman" w:hAnsi="Times New Roman" w:cs="Times New Roman"/>
          <w:szCs w:val="24"/>
        </w:rPr>
        <w:t xml:space="preserve">- </w:t>
      </w:r>
      <w:r w:rsidR="003E6588">
        <w:rPr>
          <w:rFonts w:ascii="Times New Roman" w:hAnsi="Times New Roman" w:cs="Times New Roman"/>
          <w:szCs w:val="24"/>
        </w:rPr>
        <w:t>"Proatividade Municipal".</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 xml:space="preserve">Projeto Governança Metropolitana no Brasil - </w:t>
      </w:r>
      <w:r>
        <w:rPr>
          <w:rFonts w:ascii="Times New Roman" w:hAnsi="Times New Roman" w:cs="Times New Roman"/>
          <w:b w:val="0"/>
          <w:szCs w:val="24"/>
        </w:rPr>
        <w:t xml:space="preserve">Objeto - Caracterização e avaliação da governança metropolitana e da gestão das funções públicas de interesse comum, visando subsidiar a agenda de políticas públicas para o </w:t>
      </w:r>
      <w:r w:rsidR="00957E14">
        <w:rPr>
          <w:rFonts w:ascii="Times New Roman" w:hAnsi="Times New Roman" w:cs="Times New Roman"/>
          <w:b w:val="0"/>
          <w:szCs w:val="24"/>
        </w:rPr>
        <w:t>País</w:t>
      </w:r>
      <w:r>
        <w:rPr>
          <w:rFonts w:ascii="Times New Roman" w:hAnsi="Times New Roman" w:cs="Times New Roman"/>
          <w:b w:val="0"/>
          <w:szCs w:val="24"/>
        </w:rPr>
        <w:t xml:space="preserve">. Parceria Emplasa/Ipea, no âmbito da Plataforma Ipea de Pesquisa em Rede. Situação atual </w:t>
      </w:r>
      <w:r>
        <w:rPr>
          <w:rFonts w:ascii="Times New Roman" w:hAnsi="Times New Roman" w:cs="Times New Roman"/>
          <w:szCs w:val="24"/>
        </w:rPr>
        <w:t xml:space="preserve">- </w:t>
      </w:r>
      <w:r>
        <w:rPr>
          <w:rFonts w:ascii="Times New Roman" w:hAnsi="Times New Roman" w:cs="Times New Roman"/>
          <w:b w:val="0"/>
          <w:szCs w:val="24"/>
        </w:rPr>
        <w:t xml:space="preserve">Publicação de dois livros - "Funções Públicas de Interesse Comum nas Metrópoles Brasileiras" e "Relatos e Estudos de Caso da Gestão Metropolitana no Brasil" (Ipea, 2014), onde se destacam três capítulos produzidos pela Emplasa; - Publicação de três </w:t>
      </w:r>
      <w:r>
        <w:rPr>
          <w:rFonts w:ascii="Times New Roman" w:hAnsi="Times New Roman" w:cs="Times New Roman"/>
          <w:b w:val="0"/>
          <w:i/>
          <w:szCs w:val="24"/>
        </w:rPr>
        <w:t>e-books</w:t>
      </w:r>
      <w:r>
        <w:rPr>
          <w:rFonts w:ascii="Times New Roman" w:hAnsi="Times New Roman" w:cs="Times New Roman"/>
          <w:b w:val="0"/>
          <w:szCs w:val="24"/>
        </w:rPr>
        <w:t xml:space="preserve"> com o conteúdo dos relatórios produzidos pela Emplasa.</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rsidP="005E330A">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szCs w:val="24"/>
        </w:rPr>
        <w:t>No âmbito do Projeto Governança Metropolitana, foram desenvolvidos em parceria DGP/DPL os seguintes produtos:</w:t>
      </w:r>
      <w:r w:rsidR="002D23B6">
        <w:rPr>
          <w:rFonts w:ascii="Times New Roman" w:hAnsi="Times New Roman" w:cs="Times New Roman"/>
          <w:szCs w:val="24"/>
        </w:rPr>
        <w:t xml:space="preserve"> </w:t>
      </w:r>
      <w:r>
        <w:rPr>
          <w:rFonts w:ascii="Times New Roman" w:hAnsi="Times New Roman" w:cs="Times New Roman"/>
          <w:szCs w:val="24"/>
        </w:rPr>
        <w:t xml:space="preserve">Subsídios ao "Atlas do Desenvolvimento Humano nas Regiões Metropolitanas Brasileiras" - Pnud/Ipea/FJP para as Regiões Metropolitanas de São Paulo, Campinas, Baixada Santista e Vale do Paraíba e Litoral Norte. Instituto Nacional de Ciência e Tecnologia em Políticas Públicas e Desenvolvimento Territorial </w:t>
      </w:r>
      <w:r w:rsidR="00B86C0D">
        <w:rPr>
          <w:rFonts w:ascii="Times New Roman" w:hAnsi="Times New Roman" w:cs="Times New Roman"/>
          <w:szCs w:val="24"/>
        </w:rPr>
        <w:t xml:space="preserve">- </w:t>
      </w:r>
      <w:r>
        <w:rPr>
          <w:rFonts w:ascii="Times New Roman" w:hAnsi="Times New Roman" w:cs="Times New Roman"/>
          <w:szCs w:val="24"/>
        </w:rPr>
        <w:t>CNPq - proposta de criação do Núcleo Emplasa para desenvolvimento dos seguintes projetos: atualização dos Estudos da Rede Urbana Paulista; Sistema de informações para monitoramento das configurações territoriais da Rede Urbana da MMP; Governança da Carteira de Projetos de infraestrutura da MMP; Elaboração dos Planos de Desenvolvimento das Regiões Metropolitanas de São Paulo, Campinas, Sorocaba e Vale do Paraíba e Litoral Norte a partir do PAM 2013-2040; Mobilidade Urbana na Região Metropolitana de São Paulo.</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 xml:space="preserve">Sistema de Informações Geográficas para o Planejamento Metropolitano </w:t>
      </w:r>
      <w:r w:rsidR="00B86C0D">
        <w:rPr>
          <w:rFonts w:ascii="Times New Roman" w:hAnsi="Times New Roman" w:cs="Times New Roman"/>
          <w:szCs w:val="24"/>
        </w:rPr>
        <w:t xml:space="preserve">- </w:t>
      </w:r>
      <w:r>
        <w:rPr>
          <w:rFonts w:ascii="Times New Roman" w:hAnsi="Times New Roman" w:cs="Times New Roman"/>
          <w:szCs w:val="24"/>
        </w:rPr>
        <w:t xml:space="preserve">Sigplam - </w:t>
      </w:r>
      <w:r>
        <w:rPr>
          <w:rFonts w:ascii="Times New Roman" w:hAnsi="Times New Roman" w:cs="Times New Roman"/>
          <w:b w:val="0"/>
          <w:szCs w:val="24"/>
        </w:rPr>
        <w:t>Objeto - Instrumento de apoio à articulação institucional, que viabiliza o compartilhamento eletrônico de informações sobre obras de expansão dos serviços públicos e análises referentes à sua inserção territorial. Inclui: redes de infraestrutura, áreas de risco e dados de setores censitários 2010, bem como a produção de dados cartográficos para disponibilizar aos partícipes do Sigplam e para uso da Emplasa, no desenvolvimento dos produtos referentes a contratos com a Secretaria da Habitação, Metrô e Dersa. Partícipes do Sistema: SPDR, IGC, AGEM/BS, Emplasa, SSRH, Sabesp, STM, Metrô, CPTM, EMTU, PGE, PPI, Seade, IPT, Dersa, SMA, FCPF, Caesp, Sehab, CDHU.</w:t>
      </w:r>
    </w:p>
    <w:p w:rsidR="00B86C0D" w:rsidRDefault="00B86C0D">
      <w:pPr>
        <w:pStyle w:val="Textonegrito"/>
        <w:spacing w:before="0" w:after="0" w:line="240" w:lineRule="auto"/>
        <w:ind w:firstLine="1134"/>
        <w:rPr>
          <w:rFonts w:ascii="Times New Roman" w:hAnsi="Times New Roman" w:cs="Times New Roman"/>
          <w:b w:val="0"/>
          <w:szCs w:val="24"/>
        </w:rPr>
      </w:pPr>
    </w:p>
    <w:p w:rsidR="003E6588" w:rsidRDefault="003E6588">
      <w:pPr>
        <w:pStyle w:val="Textonegrito"/>
        <w:spacing w:before="0" w:after="0" w:line="240" w:lineRule="auto"/>
        <w:ind w:firstLine="1134"/>
        <w:rPr>
          <w:rFonts w:ascii="Times New Roman" w:hAnsi="Times New Roman" w:cs="Times New Roman"/>
          <w:b w:val="0"/>
          <w:color w:val="000000"/>
          <w:szCs w:val="24"/>
        </w:rPr>
      </w:pPr>
      <w:r>
        <w:rPr>
          <w:rFonts w:ascii="Times New Roman" w:hAnsi="Times New Roman" w:cs="Times New Roman"/>
          <w:szCs w:val="24"/>
        </w:rPr>
        <w:t xml:space="preserve">Grupo de Análise e Aprovação de Projetos Habitacionais - Graprohab - </w:t>
      </w:r>
      <w:r>
        <w:rPr>
          <w:rFonts w:ascii="Times New Roman" w:hAnsi="Times New Roman" w:cs="Times New Roman"/>
          <w:b w:val="0"/>
          <w:color w:val="000000"/>
          <w:szCs w:val="24"/>
        </w:rPr>
        <w:t xml:space="preserve">Objeto - Análise dos empreendimentos de parcelamento do solo para fins residenciais e de núcleos habitacionais a serem implantados nas regiões metropolitanas paulistas, nos termos do Decreto </w:t>
      </w:r>
      <w:r w:rsidR="00B86C0D">
        <w:rPr>
          <w:rFonts w:ascii="Times New Roman" w:hAnsi="Times New Roman" w:cs="Times New Roman"/>
          <w:b w:val="0"/>
          <w:color w:val="000000"/>
          <w:szCs w:val="24"/>
        </w:rPr>
        <w:t xml:space="preserve">nº </w:t>
      </w:r>
      <w:r>
        <w:rPr>
          <w:rFonts w:ascii="Times New Roman" w:hAnsi="Times New Roman" w:cs="Times New Roman"/>
          <w:b w:val="0"/>
          <w:color w:val="000000"/>
          <w:szCs w:val="24"/>
        </w:rPr>
        <w:t>52.053/2007.</w:t>
      </w:r>
    </w:p>
    <w:p w:rsidR="003E6588" w:rsidRDefault="003E6588">
      <w:pPr>
        <w:pStyle w:val="Texto3"/>
        <w:spacing w:after="0" w:line="240" w:lineRule="auto"/>
        <w:ind w:left="0" w:firstLine="1134"/>
        <w:rPr>
          <w:rFonts w:ascii="Times New Roman" w:eastAsia="Calibri" w:hAnsi="Times New Roman" w:cs="Times New Roman"/>
          <w:color w:val="000000"/>
          <w:sz w:val="24"/>
          <w:szCs w:val="24"/>
        </w:rPr>
      </w:pPr>
    </w:p>
    <w:p w:rsidR="003E6588" w:rsidRDefault="003E6588">
      <w:pPr>
        <w:pStyle w:val="Textonegrito"/>
        <w:spacing w:before="0" w:after="0" w:line="240" w:lineRule="auto"/>
        <w:ind w:firstLine="1134"/>
        <w:rPr>
          <w:rFonts w:ascii="Times New Roman" w:hAnsi="Times New Roman" w:cs="Times New Roman"/>
          <w:szCs w:val="24"/>
        </w:rPr>
      </w:pPr>
      <w:r>
        <w:rPr>
          <w:rFonts w:ascii="Times New Roman" w:hAnsi="Times New Roman" w:cs="Times New Roman"/>
          <w:szCs w:val="24"/>
        </w:rPr>
        <w:t>Situação atual</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szCs w:val="24"/>
        </w:rPr>
        <w:t>308 projetos encaminhados, entre empreendimentos novos para análise e certificação e aqueles somente para complementação e confirmação de voto.</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szCs w:val="24"/>
        </w:rPr>
        <w:t>Mapeados 942 empreendimentos habitacionais das quatro regiões metropolitanas paulistas.</w:t>
      </w:r>
    </w:p>
    <w:p w:rsidR="003E6588" w:rsidRDefault="003E6588">
      <w:pPr>
        <w:pStyle w:val="Textorecuo"/>
        <w:numPr>
          <w:ilvl w:val="0"/>
          <w:numId w:val="0"/>
        </w:numPr>
        <w:spacing w:after="0" w:line="240" w:lineRule="auto"/>
        <w:ind w:firstLine="1134"/>
        <w:rPr>
          <w:rFonts w:ascii="Times New Roman" w:hAnsi="Times New Roman" w:cs="Times New Roman"/>
          <w:szCs w:val="24"/>
        </w:rPr>
      </w:pPr>
    </w:p>
    <w:p w:rsidR="003E6588" w:rsidRDefault="003E6588">
      <w:pPr>
        <w:pStyle w:val="Textorecuo"/>
        <w:numPr>
          <w:ilvl w:val="0"/>
          <w:numId w:val="0"/>
        </w:numPr>
        <w:spacing w:after="0" w:line="240" w:lineRule="auto"/>
        <w:ind w:firstLine="1134"/>
        <w:rPr>
          <w:rFonts w:ascii="Times New Roman" w:hAnsi="Times New Roman" w:cs="Times New Roman"/>
          <w:szCs w:val="24"/>
        </w:rPr>
      </w:pPr>
      <w:r>
        <w:rPr>
          <w:rFonts w:ascii="Times New Roman" w:hAnsi="Times New Roman" w:cs="Times New Roman"/>
          <w:szCs w:val="24"/>
        </w:rPr>
        <w:lastRenderedPageBreak/>
        <w:t>Atualização do Manual de Orientação para a aprovação de Projetos Habitacionais do Graprohab e para acompanhamento do processo de Certificação Digital.</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b w:val="0"/>
          <w:szCs w:val="24"/>
        </w:rPr>
      </w:pPr>
      <w:r>
        <w:rPr>
          <w:rFonts w:ascii="Times New Roman" w:hAnsi="Times New Roman" w:cs="Times New Roman"/>
          <w:szCs w:val="24"/>
        </w:rPr>
        <w:t xml:space="preserve">Projeto Emplasa/Universidade do Sul da Califórnia - </w:t>
      </w:r>
      <w:r>
        <w:rPr>
          <w:rFonts w:ascii="Times New Roman" w:hAnsi="Times New Roman" w:cs="Times New Roman"/>
          <w:i/>
          <w:szCs w:val="24"/>
        </w:rPr>
        <w:t>Price School of Public Policy</w:t>
      </w:r>
      <w:r>
        <w:rPr>
          <w:rFonts w:ascii="Times New Roman" w:hAnsi="Times New Roman" w:cs="Times New Roman"/>
          <w:szCs w:val="24"/>
        </w:rPr>
        <w:t xml:space="preserve">/FAU-USP - </w:t>
      </w:r>
      <w:r>
        <w:rPr>
          <w:rFonts w:ascii="Times New Roman" w:hAnsi="Times New Roman" w:cs="Times New Roman"/>
          <w:b w:val="0"/>
          <w:szCs w:val="24"/>
        </w:rPr>
        <w:t>Situação atual</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recuo"/>
        <w:numPr>
          <w:ilvl w:val="0"/>
          <w:numId w:val="0"/>
        </w:numPr>
        <w:tabs>
          <w:tab w:val="left" w:pos="426"/>
        </w:tabs>
        <w:spacing w:after="0" w:line="240" w:lineRule="auto"/>
        <w:ind w:firstLine="1134"/>
        <w:rPr>
          <w:rFonts w:ascii="Times New Roman" w:hAnsi="Times New Roman" w:cs="Times New Roman"/>
          <w:b/>
          <w:szCs w:val="24"/>
        </w:rPr>
      </w:pPr>
      <w:r>
        <w:rPr>
          <w:rFonts w:ascii="Times New Roman" w:hAnsi="Times New Roman" w:cs="Times New Roman"/>
          <w:b/>
          <w:i/>
          <w:szCs w:val="24"/>
        </w:rPr>
        <w:t>"International Laboratory Project" -</w:t>
      </w:r>
      <w:r>
        <w:rPr>
          <w:rFonts w:ascii="Times New Roman" w:hAnsi="Times New Roman" w:cs="Times New Roman"/>
          <w:szCs w:val="24"/>
        </w:rPr>
        <w:t xml:space="preserve"> </w:t>
      </w:r>
      <w:r w:rsidR="005E330A">
        <w:rPr>
          <w:rFonts w:ascii="Times New Roman" w:hAnsi="Times New Roman" w:cs="Times New Roman"/>
          <w:szCs w:val="24"/>
        </w:rPr>
        <w:t xml:space="preserve">Objetivo </w:t>
      </w:r>
      <w:r>
        <w:rPr>
          <w:rFonts w:ascii="Times New Roman" w:hAnsi="Times New Roman" w:cs="Times New Roman"/>
          <w:szCs w:val="24"/>
        </w:rPr>
        <w:t>de capacitar estudantes da USC em projetos estratégicos em curso em diferentes países, visando à elaboração e ao aperfeiçoamento das análises sobre o desempenho das políticas públicas. Reuniu 28 pesquisadores da USC e a equipe da DGP.</w:t>
      </w:r>
    </w:p>
    <w:p w:rsidR="003E6588" w:rsidRDefault="003E6588">
      <w:pPr>
        <w:pStyle w:val="Textorecuo"/>
        <w:numPr>
          <w:ilvl w:val="0"/>
          <w:numId w:val="0"/>
        </w:numPr>
        <w:tabs>
          <w:tab w:val="left" w:pos="426"/>
        </w:tabs>
        <w:spacing w:after="0" w:line="240" w:lineRule="auto"/>
        <w:ind w:firstLine="1134"/>
        <w:rPr>
          <w:rFonts w:ascii="Times New Roman" w:hAnsi="Times New Roman" w:cs="Times New Roman"/>
          <w:b/>
          <w:i/>
          <w:szCs w:val="24"/>
        </w:rPr>
      </w:pPr>
    </w:p>
    <w:p w:rsidR="003E6588" w:rsidRDefault="003E6588">
      <w:pPr>
        <w:pStyle w:val="Textorecuo"/>
        <w:numPr>
          <w:ilvl w:val="0"/>
          <w:numId w:val="0"/>
        </w:numPr>
        <w:tabs>
          <w:tab w:val="left" w:pos="426"/>
        </w:tabs>
        <w:spacing w:after="0" w:line="240" w:lineRule="auto"/>
        <w:ind w:firstLine="1134"/>
        <w:rPr>
          <w:rFonts w:ascii="Times New Roman" w:hAnsi="Times New Roman" w:cs="Times New Roman"/>
          <w:b/>
          <w:szCs w:val="24"/>
        </w:rPr>
      </w:pPr>
      <w:r>
        <w:rPr>
          <w:rFonts w:ascii="Times New Roman" w:hAnsi="Times New Roman" w:cs="Times New Roman"/>
          <w:b/>
          <w:i/>
          <w:szCs w:val="24"/>
        </w:rPr>
        <w:t>“Measuring Housing Needs in Brazil</w:t>
      </w:r>
      <w:r>
        <w:rPr>
          <w:rFonts w:ascii="Times New Roman" w:hAnsi="Times New Roman" w:cs="Times New Roman"/>
          <w:szCs w:val="24"/>
        </w:rPr>
        <w:t xml:space="preserve">” - Pesquisa desenvolvida no âmbito do Acordo de Cooperação, cujos resultados foram apresentados em </w:t>
      </w:r>
      <w:r>
        <w:rPr>
          <w:rFonts w:ascii="Times New Roman" w:hAnsi="Times New Roman" w:cs="Times New Roman"/>
          <w:i/>
          <w:szCs w:val="24"/>
        </w:rPr>
        <w:t>workshop</w:t>
      </w:r>
      <w:r>
        <w:rPr>
          <w:rFonts w:ascii="Times New Roman" w:hAnsi="Times New Roman" w:cs="Times New Roman"/>
          <w:szCs w:val="24"/>
        </w:rPr>
        <w:t xml:space="preserve"> realizado com apresentações de Diana Motta, do professor Richard Green e do pesquisador Arthur Acoca da </w:t>
      </w:r>
      <w:r>
        <w:rPr>
          <w:rFonts w:ascii="Times New Roman" w:hAnsi="Times New Roman" w:cs="Times New Roman"/>
          <w:i/>
          <w:szCs w:val="24"/>
        </w:rPr>
        <w:t>Price School of Public Policy</w:t>
      </w:r>
      <w:r>
        <w:rPr>
          <w:rFonts w:ascii="Times New Roman" w:hAnsi="Times New Roman" w:cs="Times New Roman"/>
          <w:szCs w:val="24"/>
        </w:rPr>
        <w:t xml:space="preserve"> da USC, tendo como debatedores</w:t>
      </w:r>
      <w:r>
        <w:rPr>
          <w:rFonts w:ascii="Times New Roman" w:hAnsi="Times New Roman" w:cs="Times New Roman"/>
          <w:i/>
          <w:szCs w:val="24"/>
        </w:rPr>
        <w:t xml:space="preserve"> </w:t>
      </w:r>
      <w:r>
        <w:rPr>
          <w:rFonts w:ascii="Times New Roman" w:hAnsi="Times New Roman" w:cs="Times New Roman"/>
          <w:szCs w:val="24"/>
        </w:rPr>
        <w:t xml:space="preserve">os professores José Eustáquio, da ENCE/IBGE, e Emílio Haddad, da FAU-USP. Governança de Serviços Ecossistêmicos na Macrometrópole Paulista: elaboração de trabalho e apresentação no </w:t>
      </w:r>
      <w:r>
        <w:rPr>
          <w:rFonts w:ascii="Times New Roman" w:hAnsi="Times New Roman" w:cs="Times New Roman"/>
          <w:i/>
          <w:szCs w:val="24"/>
        </w:rPr>
        <w:t>International Workshop</w:t>
      </w:r>
      <w:r>
        <w:rPr>
          <w:rFonts w:ascii="Times New Roman" w:hAnsi="Times New Roman" w:cs="Times New Roman"/>
          <w:szCs w:val="24"/>
        </w:rPr>
        <w:t xml:space="preserve"> </w:t>
      </w:r>
      <w:r>
        <w:rPr>
          <w:rFonts w:ascii="Times New Roman" w:hAnsi="Times New Roman" w:cs="Times New Roman"/>
          <w:i/>
          <w:szCs w:val="24"/>
        </w:rPr>
        <w:t>Governance of Ecosystem Services: Challenges for Sustainable Development</w:t>
      </w:r>
      <w:r>
        <w:rPr>
          <w:rFonts w:ascii="Times New Roman" w:hAnsi="Times New Roman" w:cs="Times New Roman"/>
          <w:szCs w:val="24"/>
        </w:rPr>
        <w:t>, Frankfurt, Alemanha. O trabalho identifica e analisa os ativos ambientais da MMP e as iniciativas de pagamentos por serviços ambientais. Esse trabalho foi incorporado ao PMDH e ao PAM.</w:t>
      </w:r>
    </w:p>
    <w:p w:rsidR="003E6588" w:rsidRDefault="003E6588">
      <w:pPr>
        <w:pStyle w:val="Textonegrito"/>
        <w:spacing w:before="0" w:after="0" w:line="240" w:lineRule="auto"/>
        <w:ind w:firstLine="1134"/>
        <w:rPr>
          <w:rFonts w:ascii="Times New Roman" w:hAnsi="Times New Roman" w:cs="Times New Roman"/>
          <w:szCs w:val="24"/>
        </w:rPr>
      </w:pPr>
    </w:p>
    <w:p w:rsidR="003E6588" w:rsidRDefault="003E6588">
      <w:pPr>
        <w:pStyle w:val="Textonegrito"/>
        <w:spacing w:before="0" w:after="0" w:line="240" w:lineRule="auto"/>
        <w:ind w:firstLine="1134"/>
        <w:rPr>
          <w:rFonts w:ascii="Times New Roman" w:hAnsi="Times New Roman" w:cs="Times New Roman"/>
          <w:szCs w:val="24"/>
        </w:rPr>
      </w:pPr>
      <w:r>
        <w:rPr>
          <w:rFonts w:ascii="Times New Roman" w:hAnsi="Times New Roman" w:cs="Times New Roman"/>
          <w:szCs w:val="24"/>
        </w:rPr>
        <w:t>Diretoria Administrativa e Financeira</w:t>
      </w:r>
    </w:p>
    <w:p w:rsidR="003E6588" w:rsidRDefault="003E6588">
      <w:pPr>
        <w:ind w:firstLine="1134"/>
        <w:jc w:val="both"/>
        <w:rPr>
          <w:b/>
        </w:rPr>
      </w:pPr>
      <w:bookmarkStart w:id="1" w:name="_Toc342030227"/>
      <w:bookmarkStart w:id="2" w:name="_Toc342030280"/>
    </w:p>
    <w:p w:rsidR="003E6588" w:rsidRDefault="003E6588">
      <w:pPr>
        <w:ind w:firstLine="1134"/>
        <w:jc w:val="both"/>
      </w:pPr>
      <w:r>
        <w:rPr>
          <w:b/>
        </w:rPr>
        <w:t>Concurso público</w:t>
      </w:r>
      <w:bookmarkEnd w:id="1"/>
      <w:bookmarkEnd w:id="2"/>
      <w:r>
        <w:rPr>
          <w:b/>
        </w:rPr>
        <w:t xml:space="preserve"> - </w:t>
      </w:r>
      <w:r w:rsidR="005E330A">
        <w:t xml:space="preserve">Para </w:t>
      </w:r>
      <w:r>
        <w:t>o preenchimento de 91 vagas nos cargos</w:t>
      </w:r>
      <w:r>
        <w:rPr>
          <w:i/>
        </w:rPr>
        <w:t xml:space="preserve"> </w:t>
      </w:r>
      <w:r>
        <w:t xml:space="preserve">de Assistente Administrativo, Assistente Técnico, Analista Administrativo, Analista de Desenvolvimento Urbano e Regional, Analista de Geomática e Analista Jurídico. </w:t>
      </w:r>
      <w:r w:rsidRPr="005E330A">
        <w:t xml:space="preserve">A primeira convocação dos aprovados ocorreu para 55 candidatos. </w:t>
      </w:r>
      <w:r w:rsidR="005E330A" w:rsidRPr="00D121EC">
        <w:t xml:space="preserve">Outros </w:t>
      </w:r>
      <w:r w:rsidRPr="00D121EC">
        <w:t>seis foram convocados e em mais 19</w:t>
      </w:r>
      <w:r w:rsidRPr="005E330A">
        <w:t>. Do total de convocados até o momento, 56 estão efetivados, restando outros 3</w:t>
      </w:r>
      <w:r>
        <w:t>5</w:t>
      </w:r>
      <w:bookmarkStart w:id="3" w:name="_Toc342030228"/>
      <w:bookmarkStart w:id="4" w:name="_Toc342030281"/>
      <w:r>
        <w:t>.</w:t>
      </w:r>
    </w:p>
    <w:p w:rsidR="003E6588" w:rsidRDefault="003E6588">
      <w:pPr>
        <w:ind w:firstLine="1134"/>
        <w:jc w:val="both"/>
      </w:pPr>
    </w:p>
    <w:p w:rsidR="003E6588" w:rsidRDefault="003E6588">
      <w:pPr>
        <w:ind w:firstLine="1134"/>
        <w:jc w:val="both"/>
        <w:rPr>
          <w:rFonts w:eastAsia="Calibri"/>
          <w:color w:val="000000"/>
        </w:rPr>
      </w:pPr>
      <w:r>
        <w:rPr>
          <w:b/>
        </w:rPr>
        <w:t>Adequação de áreas para expansão da Emplasa</w:t>
      </w:r>
      <w:bookmarkEnd w:id="3"/>
      <w:bookmarkEnd w:id="4"/>
      <w:r>
        <w:rPr>
          <w:b/>
        </w:rPr>
        <w:t xml:space="preserve"> - </w:t>
      </w:r>
      <w:r>
        <w:rPr>
          <w:rFonts w:eastAsia="Calibri"/>
          <w:color w:val="000000"/>
        </w:rPr>
        <w:t xml:space="preserve">As adequações do Edifício Cidade IV, contemplando o 1° e o 2° pavimentos, foi concluída com implantação de novo </w:t>
      </w:r>
      <w:r>
        <w:rPr>
          <w:rFonts w:eastAsia="Calibri"/>
          <w:i/>
          <w:color w:val="000000"/>
        </w:rPr>
        <w:t>layout</w:t>
      </w:r>
      <w:r>
        <w:rPr>
          <w:rFonts w:eastAsia="Calibri"/>
          <w:color w:val="000000"/>
        </w:rPr>
        <w:t xml:space="preserve">, novos acabamentos e reforma das instalações elétrica, lógica e de segurança. </w:t>
      </w:r>
      <w:r w:rsidRPr="005E330A">
        <w:rPr>
          <w:rFonts w:eastAsia="Calibri"/>
          <w:color w:val="000000"/>
        </w:rPr>
        <w:t>Restam, ainda, os ajustes de ar-condicionado, a cargo da administradora do condomínio.</w:t>
      </w:r>
    </w:p>
    <w:p w:rsidR="00B86C0D" w:rsidRDefault="00B86C0D">
      <w:pPr>
        <w:ind w:firstLine="1134"/>
        <w:jc w:val="both"/>
        <w:rPr>
          <w:rFonts w:eastAsia="Calibri"/>
          <w:color w:val="000000"/>
        </w:rPr>
      </w:pPr>
    </w:p>
    <w:p w:rsidR="003E6588" w:rsidRDefault="003E6588">
      <w:pPr>
        <w:ind w:firstLine="1134"/>
        <w:jc w:val="both"/>
        <w:rPr>
          <w:rFonts w:eastAsia="Calibri"/>
          <w:color w:val="000000"/>
        </w:rPr>
      </w:pPr>
      <w:r>
        <w:rPr>
          <w:rFonts w:eastAsia="Calibri"/>
          <w:b/>
          <w:bCs/>
          <w:color w:val="000000"/>
        </w:rPr>
        <w:t xml:space="preserve">Instalação e manutenção do </w:t>
      </w:r>
      <w:r>
        <w:rPr>
          <w:rFonts w:eastAsia="Calibri"/>
          <w:b/>
          <w:bCs/>
          <w:i/>
          <w:color w:val="000000"/>
        </w:rPr>
        <w:t>Data Center</w:t>
      </w:r>
      <w:r>
        <w:rPr>
          <w:rFonts w:eastAsia="Calibri"/>
          <w:b/>
          <w:bCs/>
          <w:color w:val="000000"/>
        </w:rPr>
        <w:t xml:space="preserve"> - </w:t>
      </w:r>
      <w:r>
        <w:rPr>
          <w:rFonts w:eastAsia="Calibri"/>
          <w:color w:val="000000"/>
        </w:rPr>
        <w:t xml:space="preserve">O </w:t>
      </w:r>
      <w:r>
        <w:rPr>
          <w:rFonts w:eastAsia="Calibri"/>
          <w:i/>
          <w:color w:val="000000"/>
        </w:rPr>
        <w:t>Data Center</w:t>
      </w:r>
      <w:r>
        <w:rPr>
          <w:rFonts w:eastAsia="Calibri"/>
          <w:color w:val="000000"/>
        </w:rPr>
        <w:t xml:space="preserve"> Certificado da Emplasa, constituído por Sala-Cofre, Sala UPS (</w:t>
      </w:r>
      <w:r>
        <w:rPr>
          <w:rFonts w:eastAsia="Calibri"/>
          <w:i/>
          <w:iCs/>
          <w:color w:val="000000"/>
        </w:rPr>
        <w:t xml:space="preserve">Uninterruptible Power Supply), </w:t>
      </w:r>
      <w:r>
        <w:rPr>
          <w:rFonts w:eastAsia="Calibri"/>
          <w:color w:val="000000"/>
        </w:rPr>
        <w:t>Sala de Telecomunicações e Sala NOC (</w:t>
      </w:r>
      <w:r>
        <w:rPr>
          <w:rFonts w:eastAsia="Calibri"/>
          <w:i/>
          <w:iCs/>
          <w:color w:val="000000"/>
        </w:rPr>
        <w:t xml:space="preserve">Network Operations Center, </w:t>
      </w:r>
      <w:r>
        <w:rPr>
          <w:rFonts w:eastAsia="Calibri"/>
          <w:color w:val="000000"/>
        </w:rPr>
        <w:t xml:space="preserve">além de um gerador dedicado, conta com eficiente serviço de manutenção de suas instalações e seus componentes. A certificação protege fisicamente os equipamentos e possibilita o funcionamento contínuo de todos os servidores, </w:t>
      </w:r>
      <w:r>
        <w:rPr>
          <w:rFonts w:eastAsia="Calibri"/>
          <w:i/>
          <w:iCs/>
          <w:color w:val="000000"/>
        </w:rPr>
        <w:t>storages, switches, routers e tape library</w:t>
      </w:r>
      <w:r>
        <w:rPr>
          <w:rFonts w:eastAsia="Calibri"/>
          <w:color w:val="000000"/>
        </w:rPr>
        <w:t xml:space="preserve">, preservando arquivos e dados e permitindo a disponibilização das diversas aplicações da Emplasa via </w:t>
      </w:r>
      <w:r>
        <w:rPr>
          <w:rFonts w:eastAsia="Calibri"/>
          <w:i/>
          <w:color w:val="000000"/>
        </w:rPr>
        <w:t>internet</w:t>
      </w:r>
      <w:r>
        <w:rPr>
          <w:rFonts w:eastAsia="Calibri"/>
          <w:color w:val="000000"/>
        </w:rPr>
        <w:t>, de forma ininterrupta.</w:t>
      </w:r>
    </w:p>
    <w:p w:rsidR="003E6588" w:rsidRDefault="003E6588">
      <w:pPr>
        <w:ind w:firstLine="1134"/>
        <w:jc w:val="both"/>
        <w:rPr>
          <w:rFonts w:eastAsia="Calibri"/>
          <w:b/>
          <w:bCs/>
          <w:color w:val="000000"/>
        </w:rPr>
      </w:pPr>
    </w:p>
    <w:p w:rsidR="003E6588" w:rsidRDefault="003E6588">
      <w:pPr>
        <w:ind w:firstLine="1134"/>
        <w:jc w:val="both"/>
        <w:rPr>
          <w:rFonts w:eastAsia="Calibri"/>
          <w:color w:val="000000"/>
        </w:rPr>
      </w:pPr>
      <w:r>
        <w:rPr>
          <w:rFonts w:eastAsia="Calibri"/>
          <w:b/>
          <w:bCs/>
          <w:color w:val="000000"/>
        </w:rPr>
        <w:t xml:space="preserve">Implementação de Projetos de Tecnologia da Informação - </w:t>
      </w:r>
      <w:r>
        <w:rPr>
          <w:rFonts w:eastAsia="Calibri"/>
          <w:color w:val="000000"/>
        </w:rPr>
        <w:t xml:space="preserve">Vislumbrando a adoção de um Plano Diretor de TI, foram implementados diversos projetos, tais como: aquisição de 100 </w:t>
      </w:r>
      <w:r>
        <w:rPr>
          <w:rFonts w:eastAsia="Calibri"/>
          <w:i/>
          <w:color w:val="000000"/>
        </w:rPr>
        <w:t>desktops,</w:t>
      </w:r>
      <w:r>
        <w:rPr>
          <w:rFonts w:eastAsia="Calibri"/>
          <w:color w:val="000000"/>
        </w:rPr>
        <w:t xml:space="preserve"> </w:t>
      </w:r>
      <w:r>
        <w:rPr>
          <w:rFonts w:eastAsia="Calibri"/>
          <w:color w:val="000000"/>
        </w:rPr>
        <w:lastRenderedPageBreak/>
        <w:t xml:space="preserve">atualização tecnológica de ativos de rede e telefonia IP, celebração de contrato de manutenção do </w:t>
      </w:r>
      <w:r>
        <w:rPr>
          <w:rFonts w:eastAsia="Calibri"/>
          <w:i/>
          <w:color w:val="000000"/>
        </w:rPr>
        <w:t>Data Center,</w:t>
      </w:r>
      <w:r>
        <w:rPr>
          <w:rFonts w:eastAsia="Calibri"/>
          <w:color w:val="000000"/>
        </w:rPr>
        <w:t xml:space="preserve"> implementação de </w:t>
      </w:r>
      <w:r>
        <w:rPr>
          <w:rFonts w:eastAsia="Calibri"/>
          <w:i/>
          <w:color w:val="000000"/>
        </w:rPr>
        <w:t>Outsourcing</w:t>
      </w:r>
      <w:r>
        <w:rPr>
          <w:rFonts w:eastAsia="Calibri"/>
          <w:color w:val="000000"/>
        </w:rPr>
        <w:t xml:space="preserve"> de Impressão e Reprografia.</w:t>
      </w:r>
    </w:p>
    <w:p w:rsidR="003E6588" w:rsidRDefault="003E6588">
      <w:pPr>
        <w:autoSpaceDE w:val="0"/>
        <w:autoSpaceDN w:val="0"/>
        <w:adjustRightInd w:val="0"/>
        <w:jc w:val="both"/>
        <w:rPr>
          <w:b/>
          <w:bCs/>
          <w:color w:val="000000"/>
        </w:rPr>
      </w:pPr>
    </w:p>
    <w:p w:rsidR="003E6588" w:rsidRDefault="003E6588" w:rsidP="00B5278B">
      <w:pPr>
        <w:rPr>
          <w:b/>
          <w:bCs/>
        </w:rPr>
      </w:pPr>
      <w:r>
        <w:rPr>
          <w:b/>
          <w:bCs/>
        </w:rPr>
        <w:br w:type="page"/>
      </w:r>
      <w:r>
        <w:rPr>
          <w:b/>
          <w:bCs/>
        </w:rPr>
        <w:lastRenderedPageBreak/>
        <w:t>CASA MILITAR</w:t>
      </w:r>
    </w:p>
    <w:p w:rsidR="003E6588" w:rsidRDefault="003E6588"/>
    <w:p w:rsidR="003E6588" w:rsidRDefault="003E6588"/>
    <w:p w:rsidR="003E6588" w:rsidRDefault="003E6588">
      <w:pPr>
        <w:ind w:firstLine="1134"/>
        <w:jc w:val="both"/>
      </w:pPr>
      <w:r>
        <w:t>A Casa Militar, por meio do Departamento Estadual de Defesa Civil, realizou as seguintes atividades:</w:t>
      </w:r>
    </w:p>
    <w:p w:rsidR="003E6588" w:rsidRDefault="003E6588">
      <w:pPr>
        <w:ind w:firstLine="1134"/>
        <w:jc w:val="both"/>
      </w:pPr>
    </w:p>
    <w:p w:rsidR="003E6588" w:rsidRDefault="003E6588">
      <w:pPr>
        <w:ind w:firstLine="1134"/>
        <w:jc w:val="both"/>
        <w:rPr>
          <w:rFonts w:eastAsia="Arial Unicode MS"/>
          <w:lang w:val="pt-PT"/>
        </w:rPr>
      </w:pPr>
      <w:r>
        <w:rPr>
          <w:b/>
          <w:color w:val="000000"/>
        </w:rPr>
        <w:t xml:space="preserve">Capacitação - </w:t>
      </w:r>
      <w:r>
        <w:rPr>
          <w:rFonts w:eastAsia="Arial Unicode MS"/>
          <w:color w:val="000000"/>
          <w:lang w:val="pt-PT"/>
        </w:rPr>
        <w:t>Foram realizadas 10 oficinas nas Regiões Administrativas do Estado, com ênfase em oficinas preparatórias</w:t>
      </w:r>
      <w:r>
        <w:rPr>
          <w:color w:val="000000"/>
        </w:rPr>
        <w:t xml:space="preserve"> para o período da Operação Estiagem,</w:t>
      </w:r>
      <w:r>
        <w:rPr>
          <w:rFonts w:eastAsia="Arial Unicode MS"/>
          <w:color w:val="000000"/>
          <w:lang w:val="pt-PT"/>
        </w:rPr>
        <w:t xml:space="preserve"> visando à capacitação de agentes públicos dos municípios, </w:t>
      </w:r>
      <w:r>
        <w:rPr>
          <w:color w:val="000000"/>
        </w:rPr>
        <w:t>possibilitando a apreensão de conhecimentos e a utilização de equipamentos de combate a incêndios em coberturas vegetais, culminando com o</w:t>
      </w:r>
      <w:r>
        <w:rPr>
          <w:rFonts w:eastAsia="Arial Unicode MS"/>
          <w:color w:val="000000"/>
          <w:lang w:val="pt-PT"/>
        </w:rPr>
        <w:t xml:space="preserve"> treinamento </w:t>
      </w:r>
      <w:r>
        <w:rPr>
          <w:rFonts w:eastAsia="Arial Unicode MS"/>
          <w:lang w:val="pt-PT"/>
        </w:rPr>
        <w:t>de 1</w:t>
      </w:r>
      <w:r>
        <w:t>.683 pessoas</w:t>
      </w:r>
      <w:r>
        <w:rPr>
          <w:rFonts w:eastAsia="Arial Unicode MS"/>
          <w:lang w:val="pt-PT"/>
        </w:rPr>
        <w:t>.</w:t>
      </w:r>
    </w:p>
    <w:p w:rsidR="003E6588" w:rsidRDefault="003E6588">
      <w:pPr>
        <w:ind w:firstLine="1134"/>
        <w:jc w:val="both"/>
        <w:rPr>
          <w:rFonts w:eastAsia="Arial Unicode MS"/>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lang w:val="pt-PT"/>
        </w:rPr>
        <w:t>Foram</w:t>
      </w:r>
      <w:r>
        <w:rPr>
          <w:rFonts w:eastAsia="Arial Unicode MS"/>
          <w:color w:val="000000"/>
          <w:u w:color="000000"/>
          <w:lang w:val="pt-PT"/>
        </w:rPr>
        <w:t xml:space="preserve"> realizadas 7 oficinas específicas para a operação dos Planos Preventivos de Defesa Civil - PPDC, voltados ao período de chuvas (Operação Verão), capacitando </w:t>
      </w:r>
      <w:r>
        <w:rPr>
          <w:rFonts w:eastAsia="Arial Unicode MS"/>
          <w:u w:color="000000"/>
          <w:lang w:val="pt-PT"/>
        </w:rPr>
        <w:t>mais 1.182 pessoas.</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color w:val="000000"/>
        </w:rPr>
      </w:pPr>
      <w:r>
        <w:rPr>
          <w:color w:val="000000"/>
        </w:rPr>
        <w:t xml:space="preserve">Realização em conjunto com o Instituto Geológico do “VI Seminário de Estratégias para Redução de Riscos”, com objetivo de avaliar as estratégias e ações de redução de risco e desastre em nível estadual, regional e internacional, capacitando </w:t>
      </w:r>
      <w:r>
        <w:t>74 pessoas.</w:t>
      </w:r>
    </w:p>
    <w:p w:rsidR="003E6588" w:rsidRDefault="003E6588">
      <w:pPr>
        <w:ind w:firstLine="1134"/>
        <w:jc w:val="both"/>
        <w:outlineLvl w:val="0"/>
        <w:rPr>
          <w:color w:val="000000"/>
        </w:rPr>
      </w:pPr>
    </w:p>
    <w:p w:rsidR="003E6588" w:rsidRDefault="003E6588">
      <w:pPr>
        <w:ind w:firstLine="1134"/>
        <w:jc w:val="both"/>
        <w:outlineLvl w:val="0"/>
        <w:rPr>
          <w:color w:val="000000"/>
        </w:rPr>
      </w:pPr>
      <w:r>
        <w:rPr>
          <w:color w:val="000000"/>
        </w:rPr>
        <w:t>A Secretaria Nacional de Proteção e Defesa Civil - SEDEC, em parceria com o Centro Universitário de Estudos e Pesquisas sobre Desastres - CEPED de Santa Catarina e a Coordenadoria Estadual de Defesa Civil do Estado, promoveu a capacitação Gestão de Recursos Federais de Defesa Civil, visando à ampliação da capacidade dos gestores integrantes da administração pública estadual e municipal no processo de captação, aplicação e prestação de contas de recursos federais, com o propósito de produzirem projetos passíveis de aprovação pela SEDEC e o aprimoramento nas transferências de recursos federais para ações de Proteção e Defesa Civil no Estado. Essa capacitação ocorreu em duas fases, contando com 40 vagas por curso.</w:t>
      </w:r>
    </w:p>
    <w:p w:rsidR="003E6588" w:rsidRDefault="003E6588">
      <w:pPr>
        <w:ind w:firstLine="1134"/>
        <w:jc w:val="both"/>
        <w:outlineLvl w:val="0"/>
        <w:rPr>
          <w:color w:val="000000"/>
        </w:rPr>
      </w:pPr>
    </w:p>
    <w:p w:rsidR="003E6588" w:rsidRDefault="003E6588">
      <w:pPr>
        <w:ind w:firstLine="1134"/>
        <w:jc w:val="both"/>
        <w:outlineLvl w:val="0"/>
        <w:rPr>
          <w:color w:val="000000"/>
        </w:rPr>
      </w:pPr>
      <w:r>
        <w:rPr>
          <w:color w:val="000000"/>
        </w:rPr>
        <w:t>O Centro de Estudos e Pesquisas sobre Desastres - CEPED do Rio Grande do Sul, em parceria com a Coordanadoria Estadual de Defesa Civil do Estado de São Paulo e o Instituto de Pesquisas Tecnológicas - IPT, realizou a Oficina de Capacitação em Gestão de Riscos, contando com a presença de 40 integrantes das Coordenadorias Municipais do Estado, com o propósito de capacitar as defesas civis na gestão e análises técnicas das áreas de risco sob suas jurisdições.</w:t>
      </w:r>
    </w:p>
    <w:p w:rsidR="003E6588" w:rsidRDefault="003E6588">
      <w:pPr>
        <w:ind w:firstLine="1134"/>
        <w:jc w:val="both"/>
        <w:outlineLvl w:val="0"/>
        <w:rPr>
          <w:color w:val="000000"/>
        </w:rPr>
      </w:pPr>
    </w:p>
    <w:p w:rsidR="003E6588" w:rsidRPr="00657F97" w:rsidRDefault="003E6588">
      <w:pPr>
        <w:ind w:firstLine="1134"/>
        <w:jc w:val="both"/>
      </w:pPr>
      <w:r>
        <w:rPr>
          <w:color w:val="000000"/>
        </w:rPr>
        <w:t xml:space="preserve">Realização em conjunto com o Instituto Geológico de treinamento para capacitação de servidores municipais, na percepção, reconhecimento e avaliação de áreas de risco, no Município de Campos do Jordão, </w:t>
      </w:r>
      <w:r>
        <w:t>capacitando 55 pessoas</w:t>
      </w:r>
      <w:r>
        <w:rPr>
          <w:color w:val="000000"/>
        </w:rPr>
        <w:t>, com objetivo de preparar a equipe municipal, que terá melhores condições de realizar a atualização constante da cartografia de risco e monitoramento de suas áreas problemáticas, possibilitando uma melhor operação do plano preventivo de defesa civil e planejamento da ocupação do seu território.</w:t>
      </w:r>
    </w:p>
    <w:p w:rsidR="003E6588" w:rsidRDefault="003E6588">
      <w:pPr>
        <w:jc w:val="both"/>
      </w:pPr>
    </w:p>
    <w:p w:rsidR="00DC62E6" w:rsidRDefault="00DC62E6" w:rsidP="00DC62E6">
      <w:pPr>
        <w:ind w:firstLine="1134"/>
        <w:jc w:val="both"/>
      </w:pPr>
      <w:r>
        <w:rPr>
          <w:b/>
        </w:rPr>
        <w:lastRenderedPageBreak/>
        <w:t>Objetivo -</w:t>
      </w:r>
      <w:r>
        <w:t xml:space="preserve"> Preparar e </w:t>
      </w:r>
      <w:r>
        <w:rPr>
          <w:lang w:val="pt-PT"/>
        </w:rPr>
        <w:t>prevenir</w:t>
      </w:r>
      <w:r>
        <w:t xml:space="preserve"> os desastres, com o treinamento sistêmico, de forma que os danos humanos, ambientais e materiais sejam evitados ou minimizados, assim como a vulnerabilidade das comunidades.</w:t>
      </w:r>
    </w:p>
    <w:p w:rsidR="00DC62E6" w:rsidRDefault="00DC62E6" w:rsidP="00DC62E6">
      <w:pPr>
        <w:ind w:firstLine="1134"/>
        <w:jc w:val="both"/>
      </w:pPr>
    </w:p>
    <w:p w:rsidR="00DC62E6" w:rsidRDefault="00DC62E6" w:rsidP="00DC62E6">
      <w:pPr>
        <w:ind w:firstLine="1134"/>
        <w:jc w:val="both"/>
      </w:pPr>
      <w:r>
        <w:rPr>
          <w:b/>
        </w:rPr>
        <w:t>Participantes -</w:t>
      </w:r>
      <w:r>
        <w:t xml:space="preserve"> 3.110 pessoas. </w:t>
      </w:r>
      <w:r>
        <w:rPr>
          <w:b/>
        </w:rPr>
        <w:t xml:space="preserve">Municípios atendidos - </w:t>
      </w:r>
      <w:r>
        <w:t>645.</w:t>
      </w:r>
    </w:p>
    <w:p w:rsidR="00DC62E6" w:rsidRDefault="00DC62E6" w:rsidP="00DC62E6">
      <w:pPr>
        <w:ind w:right="-108" w:firstLine="1134"/>
        <w:jc w:val="both"/>
        <w:rPr>
          <w:b/>
        </w:rPr>
      </w:pPr>
    </w:p>
    <w:p w:rsidR="00DC62E6" w:rsidRDefault="00DC62E6" w:rsidP="00DC62E6">
      <w:pPr>
        <w:ind w:right="-108" w:firstLine="1134"/>
        <w:jc w:val="both"/>
      </w:pPr>
      <w:r>
        <w:rPr>
          <w:b/>
        </w:rPr>
        <w:t>Treinamento -</w:t>
      </w:r>
      <w:r>
        <w:t xml:space="preserve"> Representantes municipais, integrantes do Sistema Estadual de Defesa Civil, tais como:</w:t>
      </w:r>
    </w:p>
    <w:p w:rsidR="00DC62E6" w:rsidRDefault="00DC62E6" w:rsidP="00DC62E6">
      <w:pPr>
        <w:ind w:right="-108" w:firstLine="1134"/>
        <w:jc w:val="both"/>
      </w:pPr>
    </w:p>
    <w:p w:rsidR="00DC62E6" w:rsidRDefault="00DC62E6" w:rsidP="00DC62E6">
      <w:pPr>
        <w:ind w:firstLine="1134"/>
        <w:jc w:val="both"/>
      </w:pPr>
      <w:r>
        <w:t>Coordenadores Regionais e Municipais, Agentes Voluntários de Defesa Civil e todos os órgãos afetos às atividades de Defesa Civil.</w:t>
      </w:r>
    </w:p>
    <w:p w:rsidR="003E6588" w:rsidRDefault="003E6588">
      <w:pPr>
        <w:ind w:right="-284"/>
        <w:jc w:val="both"/>
        <w:rPr>
          <w:rFonts w:eastAsia="Arial Unicode MS"/>
          <w:color w:val="000000"/>
          <w:lang w:val="pt-PT"/>
        </w:rPr>
      </w:pPr>
    </w:p>
    <w:p w:rsidR="003E6588" w:rsidRDefault="003E6588">
      <w:pPr>
        <w:ind w:right="-40" w:firstLine="1134"/>
        <w:jc w:val="both"/>
        <w:rPr>
          <w:rFonts w:eastAsia="Arial Unicode MS"/>
          <w:color w:val="000000"/>
          <w:lang w:val="pt-PT"/>
        </w:rPr>
      </w:pPr>
      <w:r>
        <w:rPr>
          <w:rFonts w:eastAsia="Arial Unicode MS"/>
          <w:color w:val="000000"/>
          <w:lang w:val="pt-PT"/>
        </w:rPr>
        <w:t>Com as citadas ações, a meta definida no PPA para a ação “Colmeia do Saber - Ensinando Defesa Civil” (realização de 15 eventos, com o objetivo de capacitar 3.000 pessoas anualmente) foi superada.</w:t>
      </w:r>
    </w:p>
    <w:p w:rsidR="003E6588" w:rsidRDefault="003E6588">
      <w:pPr>
        <w:ind w:firstLine="1134"/>
        <w:jc w:val="both"/>
        <w:outlineLvl w:val="0"/>
        <w:rPr>
          <w:rFonts w:eastAsia="Arial Unicode MS"/>
          <w:b/>
          <w:color w:val="000000"/>
          <w:u w:color="000000"/>
          <w:lang w:val="pt-PT"/>
        </w:rPr>
      </w:pPr>
    </w:p>
    <w:p w:rsidR="003E6588" w:rsidRDefault="003E6588">
      <w:pPr>
        <w:ind w:firstLine="1134"/>
        <w:jc w:val="both"/>
        <w:rPr>
          <w:rFonts w:eastAsia="Arial Unicode MS"/>
          <w:color w:val="000000"/>
          <w:u w:color="000000"/>
          <w:lang w:val="pt-PT"/>
        </w:rPr>
      </w:pPr>
      <w:r>
        <w:rPr>
          <w:b/>
          <w:color w:val="000000"/>
        </w:rPr>
        <w:t xml:space="preserve">Conferência - </w:t>
      </w:r>
      <w:r>
        <w:rPr>
          <w:rFonts w:eastAsia="Arial Unicode MS"/>
          <w:color w:val="000000"/>
          <w:u w:color="000000"/>
          <w:lang w:val="pt-PT"/>
        </w:rPr>
        <w:t>A Coordenadoria Estadual de Defesa Civil realizou a “1ª Conferência Estadual de Proteção e Defesa Civil”, contando com a presença de 850 representantes de todas as regiões do Estado.</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Foram realizadas 19 conferências intermunicipais e outras municipais, com a colaboração dos Coordenadores Regionais e Adjuntos de Defesa Civil.</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Foram indicadas as diretrizes e princípios que melhor representam os anseios da municipalidade do Estado.</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 xml:space="preserve">Para defender os princípios e diretrizes escolhidas, foram eleitos </w:t>
      </w:r>
      <w:r>
        <w:rPr>
          <w:rFonts w:eastAsia="Arial Unicode MS"/>
          <w:color w:val="000000"/>
          <w:lang w:val="pt-PT"/>
        </w:rPr>
        <w:t>100 delegados</w:t>
      </w:r>
      <w:r>
        <w:rPr>
          <w:rFonts w:eastAsia="Arial Unicode MS"/>
          <w:color w:val="000000"/>
          <w:u w:color="000000"/>
          <w:lang w:val="pt-PT"/>
        </w:rPr>
        <w:t xml:space="preserve"> representantes da sociedade civil, poder público e agentes de defesa civil, conselhos profissionais e de políticas públicas e da comunidade científica, que participaram da Conferência Nacional, em Brasília.</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Ao longo dos dois dias de Conferência, foi discutido o tema: "Proteção e Defesa Civil: Novos Paradigmas para o Sistema Nacional”, divididos em quatro eixos:</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 Gestão Integrada de Riscos e Resposta a Desastres;</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 Integração de Políticas Públicas relacionadas à Proteção e à Defesa Civil;</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 Gestão do Conhecimento em Proteção e Defesa Civil;</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 Mobilização e Promoção de uma Cultura de Proteção e Defesa Civil na busca de Cidades Resilientes.</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lastRenderedPageBreak/>
        <w:t>A Conferência teve por objetivo principal avaliar e propor ações governamentais, em especial quanto ao direcionamento da Politica Estadual de Proteção e Defesa Civil, considerando as inovações trazidas pela Lei nº 12.608/2012, fortalecendo assim todo o Sistema Nacional.</w:t>
      </w:r>
    </w:p>
    <w:p w:rsidR="00DC62E6" w:rsidRDefault="00DC62E6">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O evento mostrou diagnóstico dos problemas enfrentados pelos municípios paulistas e a oportunidade de proposições e iniciativas que poderão ser espelhadas por todo o Brasil.</w:t>
      </w:r>
    </w:p>
    <w:p w:rsidR="003E6588" w:rsidRDefault="003E6588">
      <w:pPr>
        <w:ind w:firstLine="1134"/>
        <w:jc w:val="both"/>
        <w:outlineLvl w:val="0"/>
        <w:rPr>
          <w:rFonts w:eastAsia="Arial Unicode MS"/>
          <w:color w:val="000000"/>
          <w:u w:color="000000"/>
          <w:lang w:val="pt-PT"/>
        </w:rPr>
      </w:pPr>
    </w:p>
    <w:p w:rsidR="003E6588" w:rsidRDefault="003E6588">
      <w:pPr>
        <w:ind w:firstLine="1134"/>
        <w:jc w:val="both"/>
        <w:outlineLvl w:val="0"/>
        <w:rPr>
          <w:rFonts w:eastAsia="Arial Unicode MS"/>
          <w:color w:val="000000"/>
          <w:u w:color="000000"/>
          <w:lang w:val="pt-PT"/>
        </w:rPr>
      </w:pPr>
      <w:r>
        <w:rPr>
          <w:rFonts w:eastAsia="Arial Unicode MS"/>
          <w:color w:val="000000"/>
          <w:u w:color="000000"/>
          <w:lang w:val="pt-PT"/>
        </w:rPr>
        <w:t xml:space="preserve">Em Brasília, foi realizada a “2ª Conferência Nacional de Proteção e Defesa Civil”, com a participação de 120 integrantes do Estado, onde puderam debater, colaborar e votar nos princípios e diretrizes aprovados pelos 26 Estados da Federação e do Distrito Federal, que nortearão o Sistema Nacional de Proteção e Defesa Civil no </w:t>
      </w:r>
      <w:r w:rsidR="00957E14">
        <w:rPr>
          <w:rFonts w:eastAsia="Arial Unicode MS"/>
          <w:color w:val="000000"/>
          <w:u w:color="000000"/>
          <w:lang w:val="pt-PT"/>
        </w:rPr>
        <w:t>País</w:t>
      </w:r>
      <w:r>
        <w:rPr>
          <w:rFonts w:eastAsia="Arial Unicode MS"/>
          <w:color w:val="000000"/>
          <w:u w:color="000000"/>
          <w:lang w:val="pt-PT"/>
        </w:rPr>
        <w:t xml:space="preserve"> nos próximos anos.</w:t>
      </w:r>
    </w:p>
    <w:p w:rsidR="003E6588" w:rsidRDefault="003E6588">
      <w:pPr>
        <w:ind w:firstLine="1134"/>
        <w:jc w:val="both"/>
        <w:rPr>
          <w:rFonts w:eastAsia="Arial Unicode MS"/>
          <w:color w:val="000000"/>
          <w:lang w:val="pt-PT"/>
        </w:rPr>
      </w:pPr>
    </w:p>
    <w:p w:rsidR="003E6588" w:rsidRDefault="003E6588">
      <w:pPr>
        <w:ind w:firstLine="1134"/>
        <w:jc w:val="both"/>
        <w:rPr>
          <w:bCs/>
          <w:color w:val="000000"/>
        </w:rPr>
      </w:pPr>
      <w:r>
        <w:rPr>
          <w:b/>
          <w:color w:val="000000"/>
        </w:rPr>
        <w:t xml:space="preserve">Parcerias com outras Secretarias - </w:t>
      </w:r>
      <w:r>
        <w:rPr>
          <w:color w:val="000000"/>
          <w:lang w:eastAsia="ar-SA"/>
        </w:rPr>
        <w:t xml:space="preserve">Assinatura de termos de cooperação técnica com o Instituto Geológico - IG objetivando a implementação de ações adequadas para mapeamento de áreas de risco de escorregamentos, inundações e erosão no Município de Campos Jordão e Itaóca, no valor R$ 469.815,90, englobando o </w:t>
      </w:r>
      <w:r>
        <w:rPr>
          <w:bCs/>
          <w:color w:val="000000"/>
        </w:rPr>
        <w:t>apoio técnico, assessoria e atendimento emergencial em situações de riscos geológico-geotécnicos de escorregamentos com possibilidade de dano a moradias em áreas abrangidas por planos preventivos e de contingência de defesa civil.</w:t>
      </w:r>
    </w:p>
    <w:p w:rsidR="003E6588" w:rsidRDefault="003E6588">
      <w:pPr>
        <w:tabs>
          <w:tab w:val="left" w:pos="1701"/>
          <w:tab w:val="left" w:pos="1843"/>
        </w:tabs>
        <w:ind w:right="-1" w:firstLine="1134"/>
        <w:jc w:val="both"/>
        <w:rPr>
          <w:bCs/>
          <w:color w:val="000000"/>
        </w:rPr>
      </w:pPr>
    </w:p>
    <w:p w:rsidR="003E6588" w:rsidRDefault="003E6588">
      <w:pPr>
        <w:ind w:firstLine="1134"/>
        <w:jc w:val="both"/>
        <w:rPr>
          <w:b/>
          <w:color w:val="000000"/>
        </w:rPr>
      </w:pPr>
      <w:r>
        <w:rPr>
          <w:bCs/>
          <w:color w:val="000000"/>
        </w:rPr>
        <w:t>Assinatura de termo de contrato com o Instituto de Pesquisas Tecnológicas - IPT objetivando a prestação de serviço de mapeamento de áreas de risco alto e muito alto de deslizamentos e inundações de 42 municípios abrangidos pelo Plano Preventivo de Defesa Civil coordenado pela CEDEC, no valor de R$ 272.000,00.</w:t>
      </w:r>
    </w:p>
    <w:p w:rsidR="003E6588" w:rsidRDefault="003E6588">
      <w:pPr>
        <w:ind w:firstLine="1134"/>
        <w:jc w:val="both"/>
        <w:outlineLvl w:val="0"/>
        <w:rPr>
          <w:b/>
          <w:color w:val="000000"/>
        </w:rPr>
      </w:pPr>
    </w:p>
    <w:p w:rsidR="003E6588" w:rsidRDefault="003E6588">
      <w:pPr>
        <w:ind w:firstLine="1134"/>
        <w:jc w:val="both"/>
        <w:rPr>
          <w:color w:val="000000"/>
        </w:rPr>
      </w:pPr>
      <w:r>
        <w:rPr>
          <w:color w:val="000000"/>
        </w:rPr>
        <w:t xml:space="preserve">Continuidade da parceria entre a Casa Militar e a Secretaria da Educação, por meio da Coordenadoria Estadual da Defesa Civil - CEDEC e da Escola Virtual de Programas Educacionais do Estado de São Paulo - EVESP, com outros estados e redes particulares de ensino para utilização do curso em formato de </w:t>
      </w:r>
      <w:r>
        <w:rPr>
          <w:i/>
          <w:color w:val="000000"/>
        </w:rPr>
        <w:t>game</w:t>
      </w:r>
      <w:r>
        <w:rPr>
          <w:color w:val="000000"/>
        </w:rPr>
        <w:t>, destinado aos alunos do ensino fundamental e médio, na busca da disseminação da cultura de redução de riscos de desastres.</w:t>
      </w:r>
    </w:p>
    <w:p w:rsidR="003E6588" w:rsidRDefault="003E6588">
      <w:pPr>
        <w:ind w:firstLine="1134"/>
        <w:jc w:val="both"/>
        <w:rPr>
          <w:color w:val="000000"/>
        </w:rPr>
      </w:pPr>
    </w:p>
    <w:p w:rsidR="003E6588" w:rsidRDefault="003E6588">
      <w:pPr>
        <w:ind w:firstLine="1134"/>
        <w:jc w:val="both"/>
        <w:rPr>
          <w:color w:val="000000"/>
        </w:rPr>
      </w:pPr>
      <w:r>
        <w:rPr>
          <w:color w:val="000000"/>
        </w:rPr>
        <w:t>A Casa Militar e a Secretaria de Desenvolvimento Social - SDS assinaram termo de cooperação entre o Programa São Paulo Voluntário e a Coordenadoria Estadual de Defesa Civil. O objetivo foi a implantação e desenvolvimento de projetos de voluntariado para apoiar a gestão de recursos materiais para atendimento das emergências; auxiliar as ações de acolhimento nos abrigos e desenvolvimento de tecnologia para o voluntariado.</w:t>
      </w:r>
    </w:p>
    <w:p w:rsidR="003E6588" w:rsidRDefault="003E6588">
      <w:pPr>
        <w:ind w:firstLine="1134"/>
        <w:jc w:val="both"/>
        <w:rPr>
          <w:color w:val="000000"/>
        </w:rPr>
      </w:pPr>
    </w:p>
    <w:p w:rsidR="003E6588" w:rsidRDefault="003E6588">
      <w:pPr>
        <w:ind w:firstLine="1134"/>
        <w:jc w:val="both"/>
        <w:rPr>
          <w:color w:val="000000"/>
        </w:rPr>
      </w:pPr>
      <w:r>
        <w:rPr>
          <w:color w:val="000000"/>
        </w:rPr>
        <w:t>Com a assinatura do termo, ficou a cargo da Coordenadoria Estadual de Defesa Civil - CEDEC prestar apoio necessário à SDS, sendo algumas das funções: gerenciar o cadastro de voluntários; promover reuniões com os voluntários capacitados a fim de motivá-los periodicamente; contribuir para a capacitação prática dos voluntários, seja ela na forma de treinamentos específicos ou demonstrações práticas e convidar os municípios a participarem das capacitações.</w:t>
      </w:r>
    </w:p>
    <w:p w:rsidR="003E6588" w:rsidRDefault="003E6588">
      <w:pPr>
        <w:ind w:firstLine="1134"/>
        <w:jc w:val="both"/>
        <w:rPr>
          <w:color w:val="000000"/>
        </w:rPr>
      </w:pPr>
    </w:p>
    <w:p w:rsidR="003E6588" w:rsidRDefault="003E6588">
      <w:pPr>
        <w:ind w:firstLine="1134"/>
        <w:jc w:val="both"/>
        <w:rPr>
          <w:color w:val="000000"/>
        </w:rPr>
      </w:pPr>
      <w:r>
        <w:rPr>
          <w:b/>
          <w:color w:val="000000"/>
        </w:rPr>
        <w:lastRenderedPageBreak/>
        <w:t xml:space="preserve">Outras parcerias - </w:t>
      </w:r>
      <w:r>
        <w:rPr>
          <w:color w:val="000000"/>
        </w:rPr>
        <w:t>Realização do Curso para Agentes de Defesa Civil em parceria com a Universidade Virtual do Estado de São Paulo - UNIVESP, com 3 módulos do curso à distância - EAD já realizados, com 979 alunos inscritos e 190 alunos aprovados na última etapa.</w:t>
      </w:r>
    </w:p>
    <w:p w:rsidR="003E6588" w:rsidRDefault="003E6588">
      <w:pPr>
        <w:ind w:firstLine="1134"/>
        <w:jc w:val="both"/>
        <w:outlineLvl w:val="0"/>
        <w:rPr>
          <w:rFonts w:eastAsia="Arial Unicode MS"/>
          <w:color w:val="000000"/>
          <w:lang w:val="pt-PT"/>
        </w:rPr>
      </w:pPr>
    </w:p>
    <w:p w:rsidR="003E6588" w:rsidRDefault="003E6588">
      <w:pPr>
        <w:ind w:firstLine="1134"/>
        <w:jc w:val="both"/>
        <w:outlineLvl w:val="0"/>
        <w:rPr>
          <w:rFonts w:eastAsia="Arial Unicode MS"/>
          <w:color w:val="000000"/>
          <w:lang w:val="pt-PT"/>
        </w:rPr>
      </w:pPr>
      <w:r>
        <w:rPr>
          <w:rFonts w:eastAsia="Arial Unicode MS"/>
          <w:color w:val="000000"/>
          <w:lang w:val="pt-PT"/>
        </w:rPr>
        <w:t xml:space="preserve">Expansão do Programa de Estagiários da Fundação do Desenvolvimento Administrativo - FUNDAP nas áreas de Ciências da Computação, </w:t>
      </w:r>
      <w:r>
        <w:rPr>
          <w:rFonts w:eastAsia="Arial Unicode MS"/>
          <w:i/>
          <w:color w:val="000000"/>
          <w:lang w:val="pt-PT"/>
        </w:rPr>
        <w:t>Marketing</w:t>
      </w:r>
      <w:r>
        <w:rPr>
          <w:rFonts w:eastAsia="Arial Unicode MS"/>
          <w:color w:val="000000"/>
          <w:lang w:val="pt-PT"/>
        </w:rPr>
        <w:t xml:space="preserve"> e Engenharia Civil.</w:t>
      </w:r>
    </w:p>
    <w:p w:rsidR="003E6588" w:rsidRDefault="003E6588">
      <w:pPr>
        <w:ind w:firstLine="1134"/>
        <w:jc w:val="both"/>
        <w:outlineLvl w:val="0"/>
        <w:rPr>
          <w:rFonts w:eastAsia="Arial Unicode MS"/>
          <w:color w:val="000000"/>
          <w:lang w:val="pt-PT"/>
        </w:rPr>
      </w:pPr>
    </w:p>
    <w:p w:rsidR="003E6588" w:rsidRDefault="003E6588">
      <w:pPr>
        <w:ind w:firstLine="1134"/>
        <w:jc w:val="both"/>
        <w:outlineLvl w:val="0"/>
        <w:rPr>
          <w:rFonts w:eastAsia="Arial Unicode MS"/>
          <w:color w:val="000000"/>
          <w:lang w:val="pt-PT"/>
        </w:rPr>
      </w:pPr>
      <w:r>
        <w:rPr>
          <w:rFonts w:eastAsia="Arial Unicode MS"/>
          <w:color w:val="000000"/>
          <w:lang w:val="pt-PT"/>
        </w:rPr>
        <w:t xml:space="preserve">Acordo de Cooperação Técnica entre a União, por intermédio do Ministério da Ciência, Tecnologia e Inovação - MCTI e do Centro Nacional de Monitoramento e Alertas de Desastres Naturais - CEMADEN, com a </w:t>
      </w:r>
      <w:r>
        <w:rPr>
          <w:color w:val="000000"/>
        </w:rPr>
        <w:t xml:space="preserve">Casa Militar, por meio da Coordenadoria Estadual da Defesa Civil - CEDEC, para </w:t>
      </w:r>
      <w:r>
        <w:rPr>
          <w:rFonts w:eastAsia="Arial Unicode MS"/>
          <w:color w:val="000000"/>
          <w:lang w:val="pt-PT"/>
        </w:rPr>
        <w:t>definição dos parâmetros necessários à efetivação de instalação de plataformas de coleta de dados ambientais - PCD’s (ex: pluviômetro(s) automático(s), estação(s) hidrológica(s), estações agrometeorológicas, sensores de umidade ou outros instrumentos geotécnicos), em espaços físicos situados na região de atuação da CMIL. Estabelece também o diálogo entre as partes para desenvolver atividades e pesquisas na área de desastres naturais e seus deflagradores, bem como compartilhamento de informações geológicas, pedológicas e registros históricos de dados meteorológicos, hidrológicos e de desastres em áreas de risco de desastres naturais.</w:t>
      </w:r>
    </w:p>
    <w:p w:rsidR="003E6588" w:rsidRDefault="003E6588">
      <w:pPr>
        <w:ind w:firstLine="1134"/>
        <w:jc w:val="both"/>
        <w:outlineLvl w:val="0"/>
        <w:rPr>
          <w:rFonts w:eastAsia="Arial Unicode MS"/>
          <w:color w:val="000000"/>
          <w:lang w:val="pt-PT"/>
        </w:rPr>
      </w:pPr>
    </w:p>
    <w:p w:rsidR="003E6588" w:rsidRDefault="003E6588">
      <w:pPr>
        <w:ind w:firstLine="1134"/>
        <w:jc w:val="both"/>
        <w:outlineLvl w:val="0"/>
        <w:rPr>
          <w:rFonts w:eastAsia="Arial Unicode MS"/>
          <w:color w:val="000000"/>
          <w:lang w:val="pt-PT"/>
        </w:rPr>
      </w:pPr>
      <w:r>
        <w:rPr>
          <w:rFonts w:eastAsia="Arial Unicode MS"/>
          <w:b/>
          <w:bCs/>
          <w:color w:val="000000"/>
        </w:rPr>
        <w:t xml:space="preserve">Campanha Construindo Cidades Resilientes - </w:t>
      </w:r>
      <w:r>
        <w:rPr>
          <w:rFonts w:eastAsia="Arial Unicode MS"/>
          <w:color w:val="000000"/>
          <w:lang w:val="pt-PT"/>
        </w:rPr>
        <w:t>O Escritório das Nações Unidas para a Redução de Riscos de Desastres - UNISDR, ponto focal das Nações Unidas para a coordenação das atividades de redução de riscos de desastres, lidera uma rede dinâmica, que inclui Estados membros da ONU, organizações intergovernamentais e não governamentais, instituições financeiras, setor privado, órgãos técnicos e científicos e a sociedade civil. A UNISDR lidera a atual campanha para criar uma consciência global e dos benefícios da redução de riscos de desastres e capacitar pessoas para reduzirem sua vulnerabilidade às ameaças. A campanha surgiu após a Plataforma Global de Redução de Desastres (Genebra maio de 2011), em entrevistas com diversos prefeitos. Criando os 10 passos, sendo que 5 deles dizem respeito às prioridades estabelecidas em 2005 pelo Marco de Ação de Hyogo (Japão), quando 168 países se comprometeram a adotar medidas para reduzir o risco de desastres até 2015.</w:t>
      </w:r>
    </w:p>
    <w:p w:rsidR="003E6588" w:rsidRDefault="003E6588">
      <w:pPr>
        <w:ind w:firstLine="1134"/>
        <w:jc w:val="both"/>
        <w:outlineLvl w:val="0"/>
        <w:rPr>
          <w:rFonts w:eastAsia="Arial Unicode MS"/>
          <w:color w:val="000000"/>
          <w:lang w:val="pt-PT"/>
        </w:rPr>
      </w:pPr>
    </w:p>
    <w:p w:rsidR="003E6588" w:rsidRDefault="003E6588">
      <w:pPr>
        <w:ind w:firstLine="1134"/>
        <w:jc w:val="both"/>
        <w:outlineLvl w:val="0"/>
        <w:rPr>
          <w:rFonts w:eastAsia="Arial Unicode MS"/>
          <w:color w:val="000000"/>
        </w:rPr>
      </w:pPr>
      <w:r>
        <w:rPr>
          <w:rFonts w:eastAsia="Arial Unicode MS"/>
          <w:color w:val="000000"/>
          <w:lang w:val="pt-PT"/>
        </w:rPr>
        <w:t xml:space="preserve">Atualmente, o Estado de São Paulo possui o maior número de cidades resilientes do </w:t>
      </w:r>
      <w:r w:rsidR="00957E14">
        <w:rPr>
          <w:rFonts w:eastAsia="Arial Unicode MS"/>
          <w:color w:val="000000"/>
          <w:lang w:val="pt-PT"/>
        </w:rPr>
        <w:t>País</w:t>
      </w:r>
      <w:r>
        <w:rPr>
          <w:rFonts w:eastAsia="Arial Unicode MS"/>
          <w:color w:val="000000"/>
          <w:lang w:val="pt-PT"/>
        </w:rPr>
        <w:t>. Das 299 participações do Brasil na campanha demonstrando os 10 passos essenciais para resistir, absorver e</w:t>
      </w:r>
      <w:r>
        <w:rPr>
          <w:rFonts w:eastAsia="Arial Unicode MS"/>
          <w:color w:val="000000"/>
        </w:rPr>
        <w:t xml:space="preserve"> se recuperar de forma eficiente dos efeitos de um desastre, 214 são paulistas. O motivo da aceitação dos municípios paulistas na campanha deve-se ao fato de que a Defesa Civil do Estado tem trabalhado estrategicamente para aumentar o número de adesões em especial nas regiões mais vulneráveis.</w:t>
      </w:r>
    </w:p>
    <w:p w:rsidR="003E6588" w:rsidRDefault="003E6588">
      <w:pPr>
        <w:ind w:firstLine="1134"/>
        <w:jc w:val="both"/>
        <w:outlineLvl w:val="0"/>
        <w:rPr>
          <w:rFonts w:eastAsia="Arial Unicode MS"/>
          <w:color w:val="000000"/>
        </w:rPr>
      </w:pPr>
    </w:p>
    <w:p w:rsidR="003E6588" w:rsidRDefault="003E6588">
      <w:pPr>
        <w:ind w:firstLine="1134"/>
        <w:jc w:val="both"/>
        <w:outlineLvl w:val="0"/>
        <w:rPr>
          <w:rFonts w:eastAsia="Arial Unicode MS"/>
          <w:color w:val="000000"/>
        </w:rPr>
      </w:pPr>
      <w:r>
        <w:rPr>
          <w:rFonts w:eastAsia="Arial Unicode MS"/>
          <w:color w:val="000000"/>
        </w:rPr>
        <w:t xml:space="preserve">Paralelamente, o Estado aderiu à campanha e tornou-se o “1º Estado Modelo” no </w:t>
      </w:r>
      <w:r w:rsidR="00957E14">
        <w:rPr>
          <w:rFonts w:eastAsia="Arial Unicode MS"/>
          <w:color w:val="000000"/>
        </w:rPr>
        <w:t>País</w:t>
      </w:r>
      <w:r>
        <w:rPr>
          <w:rFonts w:eastAsia="Arial Unicode MS"/>
          <w:color w:val="000000"/>
        </w:rPr>
        <w:t>, onde recebeu o Certificado de Reconhecimento como “Modelo para Gestão do Sistema Integrado de Construção de Resiliência” pela Organização das Nações Unidas.</w:t>
      </w:r>
    </w:p>
    <w:p w:rsidR="003E6588" w:rsidRDefault="003E6588">
      <w:pPr>
        <w:ind w:firstLine="1134"/>
        <w:outlineLvl w:val="0"/>
        <w:rPr>
          <w:rFonts w:eastAsia="Arial Unicode MS"/>
          <w:color w:val="000000"/>
        </w:rPr>
      </w:pPr>
    </w:p>
    <w:p w:rsidR="003E6588" w:rsidRDefault="003E6588">
      <w:pPr>
        <w:ind w:firstLine="1134"/>
        <w:jc w:val="both"/>
        <w:rPr>
          <w:rFonts w:eastAsia="Arial Unicode MS"/>
          <w:color w:val="000000"/>
          <w:lang w:val="pt-PT"/>
        </w:rPr>
      </w:pPr>
      <w:r>
        <w:rPr>
          <w:rFonts w:eastAsia="Arial Unicode MS"/>
          <w:b/>
          <w:color w:val="000000"/>
          <w:lang w:val="pt-PT"/>
        </w:rPr>
        <w:t xml:space="preserve">Fortalecimento do Sistema Estadual de Defesa Civil - </w:t>
      </w:r>
      <w:r>
        <w:rPr>
          <w:rFonts w:eastAsia="Arial Unicode MS"/>
          <w:color w:val="000000"/>
          <w:lang w:val="pt-PT"/>
        </w:rPr>
        <w:t xml:space="preserve">Fornecimento de 61 </w:t>
      </w:r>
      <w:r>
        <w:rPr>
          <w:rFonts w:eastAsia="Arial Unicode MS"/>
          <w:i/>
          <w:color w:val="000000"/>
          <w:lang w:val="pt-PT"/>
        </w:rPr>
        <w:t>kits</w:t>
      </w:r>
      <w:r>
        <w:rPr>
          <w:rFonts w:eastAsia="Arial Unicode MS"/>
          <w:color w:val="000000"/>
          <w:lang w:val="pt-PT"/>
        </w:rPr>
        <w:t xml:space="preserve"> de estiagem, contendo equipamentos para combate a incêndios em coberturas vegetais, para os municípios </w:t>
      </w:r>
      <w:r>
        <w:rPr>
          <w:color w:val="000000"/>
        </w:rPr>
        <w:lastRenderedPageBreak/>
        <w:t>localizados nas regiões mais vulneráveis do Estado</w:t>
      </w:r>
      <w:r>
        <w:rPr>
          <w:rFonts w:eastAsia="Arial Unicode MS"/>
          <w:color w:val="000000"/>
          <w:lang w:val="pt-PT"/>
        </w:rPr>
        <w:t>, meta do Programa de Governo estabelecida pela Casa Militar, no valor de R$ 158.024,16.</w:t>
      </w:r>
    </w:p>
    <w:p w:rsidR="003E6588" w:rsidRDefault="003E6588">
      <w:pPr>
        <w:ind w:firstLine="1134"/>
        <w:jc w:val="both"/>
        <w:outlineLvl w:val="0"/>
        <w:rPr>
          <w:rFonts w:eastAsia="Arial Unicode MS"/>
          <w:color w:val="000000"/>
          <w:lang w:val="pt-PT"/>
        </w:rPr>
      </w:pPr>
    </w:p>
    <w:p w:rsidR="003E6588" w:rsidRDefault="003E6588">
      <w:pPr>
        <w:ind w:firstLine="1134"/>
        <w:jc w:val="both"/>
        <w:outlineLvl w:val="0"/>
        <w:rPr>
          <w:rFonts w:eastAsia="Arial Unicode MS"/>
          <w:color w:val="000000"/>
          <w:lang w:val="pt-PT"/>
        </w:rPr>
      </w:pPr>
      <w:r>
        <w:rPr>
          <w:rFonts w:eastAsia="Arial Unicode MS"/>
          <w:color w:val="000000"/>
          <w:lang w:val="pt-PT"/>
        </w:rPr>
        <w:t>Emprego de aeronaves, em apoio ao Corpo de Bombeiros, na atuação de combate a incêndios em coberturas vegetais em 1 município paulista, com 3 acionamentos, ao custo de R$ 14.820,00.</w:t>
      </w:r>
    </w:p>
    <w:p w:rsidR="003E6588" w:rsidRDefault="003E6588">
      <w:pPr>
        <w:ind w:firstLine="1134"/>
        <w:jc w:val="both"/>
        <w:outlineLvl w:val="0"/>
        <w:rPr>
          <w:rFonts w:eastAsia="Arial Unicode MS"/>
          <w:color w:val="000000"/>
          <w:lang w:val="pt-PT"/>
        </w:rPr>
      </w:pPr>
    </w:p>
    <w:p w:rsidR="003E6588" w:rsidRDefault="003E6588">
      <w:pPr>
        <w:ind w:firstLine="1134"/>
        <w:jc w:val="both"/>
      </w:pPr>
      <w:r>
        <w:t>Repassado material de estruturação para as Coordenadorias Municipais de Defesa Civil - 40 municípios contemplados, com investimento de R$ 48.288,04.</w:t>
      </w:r>
    </w:p>
    <w:p w:rsidR="003E6588" w:rsidRDefault="003E6588">
      <w:pPr>
        <w:ind w:firstLine="1134"/>
        <w:jc w:val="both"/>
      </w:pPr>
    </w:p>
    <w:p w:rsidR="003E6588" w:rsidRDefault="003E6588">
      <w:pPr>
        <w:ind w:firstLine="1134"/>
        <w:jc w:val="both"/>
      </w:pPr>
      <w:r>
        <w:t>Investimento destinado aos 10 Escritórios Regionais de Defesa Civil com a aquisição de materiais (móveis e equipamentos), no valor de R$ 37.257,92.</w:t>
      </w:r>
    </w:p>
    <w:p w:rsidR="003E6588" w:rsidRDefault="003E6588">
      <w:pPr>
        <w:ind w:firstLine="1134"/>
        <w:jc w:val="both"/>
        <w:outlineLvl w:val="0"/>
        <w:rPr>
          <w:color w:val="000000"/>
          <w:lang w:eastAsia="ar-SA"/>
        </w:rPr>
      </w:pPr>
    </w:p>
    <w:p w:rsidR="003E6588" w:rsidRDefault="003E6588">
      <w:pPr>
        <w:ind w:firstLine="1134"/>
        <w:jc w:val="both"/>
        <w:rPr>
          <w:bCs/>
          <w:color w:val="000000"/>
        </w:rPr>
      </w:pPr>
      <w:r>
        <w:rPr>
          <w:b/>
          <w:color w:val="000000"/>
        </w:rPr>
        <w:t xml:space="preserve">Ações assistenciais - </w:t>
      </w:r>
      <w:r>
        <w:rPr>
          <w:bCs/>
          <w:color w:val="000000"/>
        </w:rPr>
        <w:t>Auxílio a 29 municípios paulistas que decretaram situação de anormalidade quanto ao preenchimento adequado de documentação exigida em legislação, sendo que desses processos 16 obtiveram a Homologação do Governador do Estado (5 por estiagem e 11 por chuvas), após análise e parecer do Coordenador Estadual de Defesa Civil.</w:t>
      </w:r>
    </w:p>
    <w:p w:rsidR="003E6588" w:rsidRDefault="003E6588">
      <w:pPr>
        <w:tabs>
          <w:tab w:val="left" w:pos="1701"/>
          <w:tab w:val="left" w:pos="1843"/>
        </w:tabs>
        <w:ind w:right="-1" w:firstLine="1134"/>
        <w:jc w:val="both"/>
        <w:rPr>
          <w:bCs/>
          <w:color w:val="000000"/>
        </w:rPr>
      </w:pPr>
    </w:p>
    <w:p w:rsidR="003E6588" w:rsidRDefault="003E6588">
      <w:pPr>
        <w:ind w:firstLine="1134"/>
        <w:jc w:val="both"/>
      </w:pPr>
      <w:r>
        <w:t>27 Municípios receberam material de ajuda humanitária, no valor de R$ 595.265,77.</w:t>
      </w:r>
    </w:p>
    <w:p w:rsidR="003E6588" w:rsidRDefault="003E6588">
      <w:pPr>
        <w:ind w:firstLine="1134"/>
        <w:jc w:val="both"/>
      </w:pPr>
    </w:p>
    <w:p w:rsidR="003E6588" w:rsidRDefault="003E6588">
      <w:pPr>
        <w:tabs>
          <w:tab w:val="num" w:pos="720"/>
          <w:tab w:val="left" w:pos="1701"/>
          <w:tab w:val="left" w:pos="1843"/>
        </w:tabs>
        <w:ind w:right="-1" w:firstLine="1134"/>
        <w:jc w:val="both"/>
        <w:rPr>
          <w:bCs/>
          <w:color w:val="000000"/>
        </w:rPr>
      </w:pPr>
      <w:r>
        <w:rPr>
          <w:b/>
          <w:bCs/>
          <w:color w:val="000000"/>
        </w:rPr>
        <w:t>Principais atendimentos</w:t>
      </w:r>
    </w:p>
    <w:p w:rsidR="003E6588" w:rsidRDefault="003E6588">
      <w:pPr>
        <w:tabs>
          <w:tab w:val="num" w:pos="720"/>
          <w:tab w:val="left" w:pos="1701"/>
          <w:tab w:val="left" w:pos="1843"/>
        </w:tabs>
        <w:ind w:right="-1" w:firstLine="1134"/>
        <w:jc w:val="both"/>
        <w:rPr>
          <w:bCs/>
          <w:color w:val="000000"/>
        </w:rPr>
      </w:pPr>
    </w:p>
    <w:p w:rsidR="003E6588" w:rsidRDefault="003E6588">
      <w:pPr>
        <w:tabs>
          <w:tab w:val="num" w:pos="720"/>
          <w:tab w:val="left" w:pos="1701"/>
          <w:tab w:val="left" w:pos="1843"/>
        </w:tabs>
        <w:ind w:right="-1" w:firstLine="1134"/>
        <w:jc w:val="both"/>
        <w:rPr>
          <w:bCs/>
          <w:color w:val="000000"/>
        </w:rPr>
      </w:pPr>
      <w:r>
        <w:rPr>
          <w:b/>
          <w:bCs/>
          <w:color w:val="000000"/>
        </w:rPr>
        <w:t xml:space="preserve">Itaóca - </w:t>
      </w:r>
      <w:r>
        <w:rPr>
          <w:rFonts w:eastAsia="Arial Unicode MS"/>
          <w:color w:val="000000"/>
          <w:lang w:val="pt-PT"/>
        </w:rPr>
        <w:t xml:space="preserve">Envio de materiais de ajuda humanitária - 329 cestas básicas, 856 colchões, 359 </w:t>
      </w:r>
      <w:r>
        <w:rPr>
          <w:rFonts w:eastAsia="Arial Unicode MS"/>
          <w:i/>
          <w:color w:val="000000"/>
          <w:lang w:val="pt-PT"/>
        </w:rPr>
        <w:t>kits</w:t>
      </w:r>
      <w:r>
        <w:rPr>
          <w:rFonts w:eastAsia="Arial Unicode MS"/>
          <w:color w:val="000000"/>
          <w:lang w:val="pt-PT"/>
        </w:rPr>
        <w:t xml:space="preserve"> vestuário, 72 </w:t>
      </w:r>
      <w:r>
        <w:rPr>
          <w:rFonts w:eastAsia="Arial Unicode MS"/>
          <w:i/>
          <w:color w:val="000000"/>
          <w:lang w:val="pt-PT"/>
        </w:rPr>
        <w:t>kits</w:t>
      </w:r>
      <w:r>
        <w:rPr>
          <w:rFonts w:eastAsia="Arial Unicode MS"/>
          <w:color w:val="000000"/>
          <w:lang w:val="pt-PT"/>
        </w:rPr>
        <w:t xml:space="preserve"> higiene e 90 </w:t>
      </w:r>
      <w:r>
        <w:rPr>
          <w:rFonts w:eastAsia="Arial Unicode MS"/>
          <w:i/>
          <w:color w:val="000000"/>
          <w:lang w:val="pt-PT"/>
        </w:rPr>
        <w:t>kits</w:t>
      </w:r>
      <w:r>
        <w:rPr>
          <w:rFonts w:eastAsia="Arial Unicode MS"/>
          <w:color w:val="000000"/>
          <w:lang w:val="pt-PT"/>
        </w:rPr>
        <w:t xml:space="preserve"> limpeza (R$ 99.105,15); Contratação de maquinário (trator de esteira, escavadeira e caminhões basculantes) da CODASP para a limpeza e desobstrução de vias (R$ 83.571,36); Locação de banheiros químicos para atender a população e os agentes públicos (R$ 16.020,00); Locação de cabines de banho para atender os desabrigados (R$ 3.600,00); Formalização de convênio para a reconstrução de ponte no centro da cidade (R$ 1.498.274,48); </w:t>
      </w:r>
      <w:r>
        <w:rPr>
          <w:bCs/>
          <w:color w:val="000000"/>
        </w:rPr>
        <w:t>Valor total dos investimentos</w:t>
      </w:r>
      <w:r>
        <w:rPr>
          <w:b/>
          <w:bCs/>
          <w:color w:val="000000"/>
        </w:rPr>
        <w:t xml:space="preserve"> -</w:t>
      </w:r>
      <w:r>
        <w:rPr>
          <w:bCs/>
          <w:color w:val="000000"/>
        </w:rPr>
        <w:t xml:space="preserve"> R$ 1.700.570,99.</w:t>
      </w:r>
    </w:p>
    <w:p w:rsidR="003E6588" w:rsidRDefault="003E6588">
      <w:pPr>
        <w:tabs>
          <w:tab w:val="num" w:pos="720"/>
          <w:tab w:val="left" w:pos="1701"/>
          <w:tab w:val="left" w:pos="1843"/>
        </w:tabs>
        <w:ind w:right="-1" w:firstLine="1134"/>
        <w:jc w:val="both"/>
        <w:rPr>
          <w:bCs/>
          <w:color w:val="000000"/>
        </w:rPr>
      </w:pPr>
    </w:p>
    <w:p w:rsidR="003E6588" w:rsidRDefault="003E6588">
      <w:pPr>
        <w:tabs>
          <w:tab w:val="num" w:pos="720"/>
          <w:tab w:val="left" w:pos="1701"/>
          <w:tab w:val="left" w:pos="1843"/>
        </w:tabs>
        <w:ind w:right="-1" w:firstLine="1134"/>
        <w:jc w:val="both"/>
        <w:rPr>
          <w:bCs/>
          <w:color w:val="000000"/>
        </w:rPr>
      </w:pPr>
      <w:r>
        <w:rPr>
          <w:b/>
          <w:bCs/>
          <w:color w:val="000000"/>
        </w:rPr>
        <w:t xml:space="preserve">Tambaú - </w:t>
      </w:r>
      <w:r>
        <w:rPr>
          <w:bCs/>
          <w:color w:val="000000"/>
        </w:rPr>
        <w:t>Locação de Caminhões Pipa - R$ 662.882,00 - 1º Contrato e R$ 588.000,00 - 2º Contrato; Valor Total dos Investimentos - R$ 1.250.882,00.</w:t>
      </w:r>
    </w:p>
    <w:p w:rsidR="003E6588" w:rsidRDefault="003E6588">
      <w:pPr>
        <w:tabs>
          <w:tab w:val="num" w:pos="720"/>
          <w:tab w:val="left" w:pos="1701"/>
          <w:tab w:val="left" w:pos="1843"/>
        </w:tabs>
        <w:ind w:right="-1" w:firstLine="1134"/>
        <w:jc w:val="both"/>
        <w:rPr>
          <w:bCs/>
          <w:color w:val="000000"/>
        </w:rPr>
      </w:pPr>
    </w:p>
    <w:p w:rsidR="003E6588" w:rsidRDefault="003E6588">
      <w:pPr>
        <w:tabs>
          <w:tab w:val="num" w:pos="720"/>
          <w:tab w:val="left" w:pos="1701"/>
          <w:tab w:val="left" w:pos="1843"/>
        </w:tabs>
        <w:ind w:right="-1" w:firstLine="1134"/>
        <w:jc w:val="both"/>
        <w:rPr>
          <w:bCs/>
          <w:color w:val="000000"/>
        </w:rPr>
      </w:pPr>
      <w:r>
        <w:rPr>
          <w:b/>
          <w:bCs/>
          <w:color w:val="000000"/>
        </w:rPr>
        <w:t xml:space="preserve">Itu - </w:t>
      </w:r>
      <w:r>
        <w:rPr>
          <w:bCs/>
        </w:rPr>
        <w:t xml:space="preserve">Contratação de 20 caminhões pipa para fornecimento de água potável para 41 dias; </w:t>
      </w:r>
      <w:r>
        <w:rPr>
          <w:bCs/>
          <w:color w:val="000000"/>
        </w:rPr>
        <w:t>Valor Total dos Investimentos</w:t>
      </w:r>
      <w:r>
        <w:rPr>
          <w:b/>
          <w:bCs/>
          <w:color w:val="000000"/>
        </w:rPr>
        <w:t xml:space="preserve"> -</w:t>
      </w:r>
      <w:r>
        <w:rPr>
          <w:bCs/>
          <w:color w:val="000000"/>
        </w:rPr>
        <w:t xml:space="preserve"> R$ 1.984.400,00.</w:t>
      </w:r>
    </w:p>
    <w:p w:rsidR="003E6588" w:rsidRPr="008145C4" w:rsidRDefault="003E6588">
      <w:pPr>
        <w:tabs>
          <w:tab w:val="left" w:pos="1701"/>
          <w:tab w:val="left" w:pos="1843"/>
        </w:tabs>
        <w:ind w:right="-1" w:firstLine="1134"/>
        <w:jc w:val="both"/>
        <w:rPr>
          <w:b/>
          <w:bCs/>
        </w:rPr>
      </w:pPr>
    </w:p>
    <w:p w:rsidR="003E6588" w:rsidRDefault="003E6588">
      <w:pPr>
        <w:ind w:firstLine="1134"/>
        <w:jc w:val="both"/>
        <w:rPr>
          <w:rFonts w:eastAsia="Arial Unicode MS"/>
          <w:color w:val="000000"/>
          <w:lang w:val="pt-PT"/>
        </w:rPr>
      </w:pPr>
      <w:r>
        <w:rPr>
          <w:rFonts w:eastAsia="Arial Unicode MS"/>
          <w:color w:val="000000"/>
          <w:lang w:val="pt-PT"/>
        </w:rPr>
        <w:t>Com as citadas ações, a meta definida no PPA para a ação “Assistência Humanitária” (o atendimento a 3.000 pessoas/ano) foi superada.</w:t>
      </w:r>
    </w:p>
    <w:p w:rsidR="003E6588" w:rsidRDefault="003E6588">
      <w:pPr>
        <w:ind w:firstLine="1134"/>
        <w:jc w:val="both"/>
        <w:rPr>
          <w:b/>
          <w:color w:val="000000"/>
        </w:rPr>
      </w:pPr>
    </w:p>
    <w:p w:rsidR="003E6588" w:rsidRDefault="003E6588">
      <w:pPr>
        <w:ind w:firstLine="1134"/>
        <w:jc w:val="both"/>
        <w:rPr>
          <w:bCs/>
          <w:color w:val="000000"/>
        </w:rPr>
      </w:pPr>
      <w:r>
        <w:rPr>
          <w:b/>
          <w:color w:val="000000"/>
        </w:rPr>
        <w:t xml:space="preserve">Convênios - </w:t>
      </w:r>
      <w:r>
        <w:rPr>
          <w:color w:val="000000"/>
        </w:rPr>
        <w:t xml:space="preserve">O Governo do Estado, por meio da Coordenadoria Estadual de Defesa Civil, celebrou 35 convênios, com 32 prefeituras. Investimento total de R$ </w:t>
      </w:r>
      <w:r>
        <w:t>19.527.609,89</w:t>
      </w:r>
      <w:r>
        <w:rPr>
          <w:bCs/>
        </w:rPr>
        <w:t xml:space="preserve"> </w:t>
      </w:r>
      <w:r>
        <w:rPr>
          <w:bCs/>
          <w:color w:val="000000"/>
        </w:rPr>
        <w:t>em obras preventivas e recuperativas de Defesa Civil.</w:t>
      </w:r>
    </w:p>
    <w:p w:rsidR="003E6588" w:rsidRDefault="003E6588"/>
    <w:p w:rsidR="003E6588" w:rsidRDefault="00AD3B0F">
      <w:r>
        <w:rPr>
          <w:noProof/>
        </w:rPr>
        <w:lastRenderedPageBreak/>
        <w:drawing>
          <wp:inline distT="0" distB="0" distL="0" distR="0">
            <wp:extent cx="6162675" cy="3286125"/>
            <wp:effectExtent l="19050" t="0" r="952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a:stretch>
                      <a:fillRect/>
                    </a:stretch>
                  </pic:blipFill>
                  <pic:spPr bwMode="auto">
                    <a:xfrm>
                      <a:off x="0" y="0"/>
                      <a:ext cx="6162675" cy="3286125"/>
                    </a:xfrm>
                    <a:prstGeom prst="rect">
                      <a:avLst/>
                    </a:prstGeom>
                    <a:noFill/>
                    <a:ln w="9525">
                      <a:noFill/>
                      <a:miter lim="800000"/>
                      <a:headEnd/>
                      <a:tailEnd/>
                    </a:ln>
                  </pic:spPr>
                </pic:pic>
              </a:graphicData>
            </a:graphic>
          </wp:inline>
        </w:drawing>
      </w:r>
    </w:p>
    <w:p w:rsidR="003E6588" w:rsidRDefault="003E6588"/>
    <w:p w:rsidR="003E6588" w:rsidRDefault="00AD3B0F">
      <w:r>
        <w:rPr>
          <w:noProof/>
        </w:rPr>
        <w:drawing>
          <wp:inline distT="0" distB="0" distL="0" distR="0">
            <wp:extent cx="6134100" cy="3990975"/>
            <wp:effectExtent l="1905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srcRect/>
                    <a:stretch>
                      <a:fillRect/>
                    </a:stretch>
                  </pic:blipFill>
                  <pic:spPr bwMode="auto">
                    <a:xfrm>
                      <a:off x="0" y="0"/>
                      <a:ext cx="6134100" cy="3990975"/>
                    </a:xfrm>
                    <a:prstGeom prst="rect">
                      <a:avLst/>
                    </a:prstGeom>
                    <a:noFill/>
                    <a:ln w="9525">
                      <a:noFill/>
                      <a:miter lim="800000"/>
                      <a:headEnd/>
                      <a:tailEnd/>
                    </a:ln>
                  </pic:spPr>
                </pic:pic>
              </a:graphicData>
            </a:graphic>
          </wp:inline>
        </w:drawing>
      </w:r>
    </w:p>
    <w:p w:rsidR="003E6588" w:rsidRDefault="00AD3B0F">
      <w:r>
        <w:rPr>
          <w:noProof/>
        </w:rPr>
        <w:lastRenderedPageBreak/>
        <w:drawing>
          <wp:inline distT="0" distB="0" distL="0" distR="0">
            <wp:extent cx="6105525" cy="3095625"/>
            <wp:effectExtent l="19050" t="0" r="952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6105525" cy="3095625"/>
                    </a:xfrm>
                    <a:prstGeom prst="rect">
                      <a:avLst/>
                    </a:prstGeom>
                    <a:noFill/>
                    <a:ln w="9525">
                      <a:noFill/>
                      <a:miter lim="800000"/>
                      <a:headEnd/>
                      <a:tailEnd/>
                    </a:ln>
                  </pic:spPr>
                </pic:pic>
              </a:graphicData>
            </a:graphic>
          </wp:inline>
        </w:drawing>
      </w:r>
    </w:p>
    <w:p w:rsidR="003E6588" w:rsidRDefault="003E6588"/>
    <w:p w:rsidR="003E6588" w:rsidRDefault="00AD3B0F">
      <w:r>
        <w:rPr>
          <w:noProof/>
        </w:rPr>
        <w:drawing>
          <wp:inline distT="0" distB="0" distL="0" distR="0">
            <wp:extent cx="6143625" cy="1276350"/>
            <wp:effectExtent l="19050" t="0" r="952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srcRect/>
                    <a:stretch>
                      <a:fillRect/>
                    </a:stretch>
                  </pic:blipFill>
                  <pic:spPr bwMode="auto">
                    <a:xfrm>
                      <a:off x="0" y="0"/>
                      <a:ext cx="6143625" cy="1276350"/>
                    </a:xfrm>
                    <a:prstGeom prst="rect">
                      <a:avLst/>
                    </a:prstGeom>
                    <a:noFill/>
                    <a:ln w="9525">
                      <a:noFill/>
                      <a:miter lim="800000"/>
                      <a:headEnd/>
                      <a:tailEnd/>
                    </a:ln>
                  </pic:spPr>
                </pic:pic>
              </a:graphicData>
            </a:graphic>
          </wp:inline>
        </w:drawing>
      </w:r>
    </w:p>
    <w:p w:rsidR="003E6588" w:rsidRDefault="003E6588">
      <w:pPr>
        <w:rPr>
          <w:sz w:val="16"/>
          <w:szCs w:val="16"/>
        </w:rPr>
      </w:pPr>
    </w:p>
    <w:p w:rsidR="003E6588" w:rsidRDefault="00AD3B0F">
      <w:r>
        <w:rPr>
          <w:noProof/>
        </w:rPr>
        <w:drawing>
          <wp:inline distT="0" distB="0" distL="0" distR="0">
            <wp:extent cx="6143625" cy="2771775"/>
            <wp:effectExtent l="19050" t="0" r="952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srcRect/>
                    <a:stretch>
                      <a:fillRect/>
                    </a:stretch>
                  </pic:blipFill>
                  <pic:spPr bwMode="auto">
                    <a:xfrm>
                      <a:off x="0" y="0"/>
                      <a:ext cx="6143625" cy="2771775"/>
                    </a:xfrm>
                    <a:prstGeom prst="rect">
                      <a:avLst/>
                    </a:prstGeom>
                    <a:noFill/>
                    <a:ln w="9525">
                      <a:noFill/>
                      <a:miter lim="800000"/>
                      <a:headEnd/>
                      <a:tailEnd/>
                    </a:ln>
                  </pic:spPr>
                </pic:pic>
              </a:graphicData>
            </a:graphic>
          </wp:inline>
        </w:drawing>
      </w:r>
    </w:p>
    <w:p w:rsidR="003E6588" w:rsidRDefault="003E6588">
      <w:pPr>
        <w:ind w:firstLine="1134"/>
        <w:jc w:val="both"/>
      </w:pPr>
      <w:r>
        <w:rPr>
          <w:b/>
          <w:color w:val="000000"/>
        </w:rPr>
        <w:lastRenderedPageBreak/>
        <w:t xml:space="preserve">Atendimento ao Público - </w:t>
      </w:r>
      <w:r>
        <w:t xml:space="preserve">Mantém contato constante com o público interno e externo através do </w:t>
      </w:r>
      <w:r>
        <w:rPr>
          <w:i/>
        </w:rPr>
        <w:t>e-mail</w:t>
      </w:r>
      <w:r>
        <w:t xml:space="preserve"> (</w:t>
      </w:r>
      <w:hyperlink r:id="rId35" w:history="1">
        <w:r w:rsidRPr="00657F97">
          <w:rPr>
            <w:u w:val="single"/>
          </w:rPr>
          <w:t>defesacivil@sp.gov.br</w:t>
        </w:r>
      </w:hyperlink>
      <w:r w:rsidRPr="00657F97">
        <w:rPr>
          <w:u w:val="single"/>
        </w:rPr>
        <w:t xml:space="preserve">) </w:t>
      </w:r>
      <w:r>
        <w:t xml:space="preserve">e da página </w:t>
      </w:r>
      <w:r w:rsidRPr="00657F97">
        <w:rPr>
          <w:u w:val="single"/>
        </w:rPr>
        <w:t>(</w:t>
      </w:r>
      <w:hyperlink r:id="rId36" w:history="1">
        <w:r w:rsidRPr="00657F97">
          <w:rPr>
            <w:u w:val="single"/>
          </w:rPr>
          <w:t>www.defesacivil.sp.gov.br</w:t>
        </w:r>
      </w:hyperlink>
      <w:r w:rsidRPr="00657F97">
        <w:rPr>
          <w:u w:val="single"/>
        </w:rPr>
        <w:t>).</w:t>
      </w:r>
    </w:p>
    <w:p w:rsidR="003E6588" w:rsidRDefault="003E6588"/>
    <w:p w:rsidR="003E6588" w:rsidRDefault="003E6588">
      <w:pPr>
        <w:ind w:firstLine="1134"/>
        <w:jc w:val="both"/>
        <w:rPr>
          <w:i/>
        </w:rPr>
      </w:pPr>
      <w:r>
        <w:rPr>
          <w:b/>
        </w:rPr>
        <w:t xml:space="preserve">Contatos recebidos e respondidos (correspondências/dia) - </w:t>
      </w:r>
      <w:r>
        <w:t xml:space="preserve">150 pela rede </w:t>
      </w:r>
      <w:r>
        <w:rPr>
          <w:i/>
        </w:rPr>
        <w:t>notes</w:t>
      </w:r>
      <w:r>
        <w:t>, o número aumenta durante o período da “Operação Verão” para 170 correspondências/dia.</w:t>
      </w:r>
    </w:p>
    <w:p w:rsidR="003E6588" w:rsidRDefault="003E6588">
      <w:pPr>
        <w:ind w:firstLine="1134"/>
        <w:jc w:val="both"/>
        <w:rPr>
          <w:i/>
        </w:rPr>
      </w:pPr>
    </w:p>
    <w:p w:rsidR="003E6588" w:rsidRDefault="003E6588">
      <w:pPr>
        <w:ind w:firstLine="1134"/>
        <w:jc w:val="both"/>
      </w:pPr>
      <w:r>
        <w:rPr>
          <w:b/>
        </w:rPr>
        <w:t>Realizações -</w:t>
      </w:r>
      <w:r>
        <w:t xml:space="preserve"> Atendimento por telefone, desde orientações de como agir em situações de emergências, até a explicação sobre qual órgão buscar para resoluções de problemas.</w:t>
      </w:r>
    </w:p>
    <w:p w:rsidR="003E6588" w:rsidRDefault="003E6588" w:rsidP="00DC62E6">
      <w:pPr>
        <w:jc w:val="both"/>
      </w:pPr>
    </w:p>
    <w:p w:rsidR="003E6588" w:rsidRDefault="003E6588">
      <w:pPr>
        <w:ind w:firstLine="1134"/>
        <w:jc w:val="both"/>
      </w:pPr>
      <w:r>
        <w:rPr>
          <w:b/>
          <w:color w:val="000000"/>
        </w:rPr>
        <w:t xml:space="preserve">Atendimento a Imprensa - </w:t>
      </w:r>
      <w:r>
        <w:t>Manter a população orientada e informada foi o objetivo da Divisão de Comunicação Social.</w:t>
      </w:r>
    </w:p>
    <w:p w:rsidR="003E6588" w:rsidRDefault="003E6588" w:rsidP="00DC62E6">
      <w:pPr>
        <w:ind w:firstLine="1134"/>
        <w:jc w:val="both"/>
      </w:pPr>
    </w:p>
    <w:p w:rsidR="003E6588" w:rsidRDefault="003E6588">
      <w:pPr>
        <w:ind w:firstLine="1134"/>
        <w:jc w:val="both"/>
      </w:pPr>
      <w:r>
        <w:t xml:space="preserve">Distribuiu materiais de divulgação e informações gerais disponibilizadas na página da </w:t>
      </w:r>
      <w:r>
        <w:rPr>
          <w:i/>
        </w:rPr>
        <w:t>internet</w:t>
      </w:r>
      <w:r>
        <w:t>.</w:t>
      </w:r>
    </w:p>
    <w:p w:rsidR="003E6588" w:rsidRDefault="003E6588">
      <w:pPr>
        <w:ind w:firstLine="1134"/>
        <w:jc w:val="both"/>
      </w:pPr>
    </w:p>
    <w:p w:rsidR="003E6588" w:rsidRDefault="003E6588">
      <w:pPr>
        <w:ind w:firstLine="1134"/>
        <w:jc w:val="both"/>
      </w:pPr>
      <w:r>
        <w:rPr>
          <w:b/>
        </w:rPr>
        <w:t>Informações e Orientações -</w:t>
      </w:r>
      <w:r>
        <w:t xml:space="preserve"> 202 notas de imprensa e 105.784 acessos ao </w:t>
      </w:r>
      <w:r>
        <w:rPr>
          <w:i/>
        </w:rPr>
        <w:t>site</w:t>
      </w:r>
      <w:r>
        <w:t xml:space="preserve"> da Defesa Civil.</w:t>
      </w:r>
    </w:p>
    <w:p w:rsidR="003E6588" w:rsidRPr="00DC62E6" w:rsidRDefault="003E6588" w:rsidP="00DC62E6">
      <w:pPr>
        <w:jc w:val="both"/>
        <w:rPr>
          <w:color w:val="000000"/>
        </w:rPr>
      </w:pPr>
    </w:p>
    <w:p w:rsidR="003E6588" w:rsidRDefault="003E6588">
      <w:pPr>
        <w:ind w:firstLine="1134"/>
        <w:jc w:val="both"/>
        <w:rPr>
          <w:bCs/>
        </w:rPr>
      </w:pPr>
      <w:r>
        <w:rPr>
          <w:b/>
          <w:color w:val="000000"/>
        </w:rPr>
        <w:t xml:space="preserve">Material de Divulgação - </w:t>
      </w:r>
      <w:r>
        <w:rPr>
          <w:bCs/>
          <w:color w:val="000000"/>
        </w:rPr>
        <w:t>Ferramentas digitais -</w:t>
      </w:r>
      <w:r>
        <w:rPr>
          <w:bCs/>
        </w:rPr>
        <w:t xml:space="preserve"> Portal eletrônico, páginas de relacionamento e </w:t>
      </w:r>
      <w:r>
        <w:rPr>
          <w:bCs/>
          <w:i/>
        </w:rPr>
        <w:t>e-mails</w:t>
      </w:r>
      <w:r>
        <w:rPr>
          <w:bCs/>
        </w:rPr>
        <w:t xml:space="preserve">. A página da Defesa Civil sempre é aperfeiçoada e remodelada, com a atualização diária de fatos e informações da Casa Militar, de ações de defesa civil nos municípios. Ícones de consulta - Cadastro eletrônico de interessados em receber as notícias divulgadas no </w:t>
      </w:r>
      <w:r>
        <w:rPr>
          <w:bCs/>
          <w:i/>
        </w:rPr>
        <w:t xml:space="preserve">site, </w:t>
      </w:r>
      <w:r>
        <w:rPr>
          <w:bCs/>
        </w:rPr>
        <w:t xml:space="preserve">em tempo real, e o Sistema Integrado de Defesa Civil - SIDEC, propiciando maior proximidade com a Defesa Civil do Estado, sítio que teve 309.480 acessos. Manutenção do </w:t>
      </w:r>
      <w:r>
        <w:rPr>
          <w:bCs/>
          <w:i/>
        </w:rPr>
        <w:t xml:space="preserve">Facebook </w:t>
      </w:r>
      <w:r>
        <w:rPr>
          <w:bCs/>
        </w:rPr>
        <w:t>com 7.540</w:t>
      </w:r>
      <w:r>
        <w:t xml:space="preserve"> na página da Defesa Civil, </w:t>
      </w:r>
      <w:r>
        <w:rPr>
          <w:bCs/>
        </w:rPr>
        <w:t xml:space="preserve">seguidores, </w:t>
      </w:r>
      <w:r>
        <w:rPr>
          <w:bCs/>
          <w:i/>
        </w:rPr>
        <w:t>Youtube,</w:t>
      </w:r>
      <w:r>
        <w:t xml:space="preserve"> dinâmica efetiva de resposta aos usuários das redes sociais, sendo formuladas 3.000 respostas a </w:t>
      </w:r>
      <w:r>
        <w:rPr>
          <w:i/>
        </w:rPr>
        <w:t>e-mails</w:t>
      </w:r>
      <w:r>
        <w:t>, sendo 260 pelo Sistema de Atendimento ao Cidadão - SAC e 2.740 respostas</w:t>
      </w:r>
      <w:r>
        <w:rPr>
          <w:bCs/>
        </w:rPr>
        <w:t>.</w:t>
      </w:r>
    </w:p>
    <w:p w:rsidR="003E6588" w:rsidRDefault="003E6588">
      <w:pPr>
        <w:autoSpaceDE w:val="0"/>
        <w:autoSpaceDN w:val="0"/>
        <w:adjustRightInd w:val="0"/>
        <w:jc w:val="both"/>
      </w:pPr>
    </w:p>
    <w:p w:rsidR="003E6588" w:rsidRDefault="003E6588">
      <w:pPr>
        <w:autoSpaceDE w:val="0"/>
        <w:autoSpaceDN w:val="0"/>
        <w:adjustRightInd w:val="0"/>
        <w:ind w:firstLine="1134"/>
        <w:jc w:val="both"/>
      </w:pPr>
      <w:r>
        <w:rPr>
          <w:b/>
        </w:rPr>
        <w:t>Realizações -</w:t>
      </w:r>
      <w:r>
        <w:rPr>
          <w:i/>
        </w:rPr>
        <w:t xml:space="preserve"> </w:t>
      </w:r>
      <w:r>
        <w:rPr>
          <w:b/>
        </w:rPr>
        <w:t>Benefício aos Municípios do Estado</w:t>
      </w:r>
      <w:r>
        <w:t xml:space="preserve"> - Foram distribuídos mais de 403.457 itens em materiais de divulgação com orientações preventivas para fenômenos naturais, utilizados em campanhas educativas nas escolas; cursos de administração de emergências, cursos preparatórios para a Operação Verão, palestras, eventos sociais, feiras; procedida a c</w:t>
      </w:r>
      <w:r>
        <w:rPr>
          <w:rFonts w:eastAsia="Arial Unicode MS"/>
          <w:color w:val="000000"/>
          <w:lang w:val="pt-PT"/>
        </w:rPr>
        <w:t>ampanha em parceria com a SABESP de divulgação de alerta de riscos de acidentes com raios nas praias paulistas, por meio da distribuição de 150 faixas informativas.</w:t>
      </w:r>
    </w:p>
    <w:p w:rsidR="003E6588" w:rsidRDefault="003E6588">
      <w:pPr>
        <w:autoSpaceDE w:val="0"/>
        <w:autoSpaceDN w:val="0"/>
        <w:adjustRightInd w:val="0"/>
        <w:jc w:val="both"/>
      </w:pPr>
    </w:p>
    <w:p w:rsidR="003E6588" w:rsidRDefault="003E6588">
      <w:pPr>
        <w:rPr>
          <w:b/>
          <w:bCs/>
        </w:rPr>
      </w:pPr>
      <w:r>
        <w:br w:type="page"/>
      </w:r>
      <w:r>
        <w:rPr>
          <w:b/>
          <w:bCs/>
        </w:rPr>
        <w:lastRenderedPageBreak/>
        <w:t>SECRETARIA DA ADMINISTRAÇÃO PENITENCIÁRIA</w:t>
      </w:r>
    </w:p>
    <w:p w:rsidR="003E6588" w:rsidRDefault="003E6588"/>
    <w:p w:rsidR="003E6588" w:rsidRDefault="003E6588"/>
    <w:p w:rsidR="003E6588" w:rsidRDefault="003E6588">
      <w:pPr>
        <w:pStyle w:val="Relatrio2010"/>
        <w:spacing w:after="0" w:afterAutospacing="0"/>
        <w:ind w:firstLine="1134"/>
        <w:rPr>
          <w:szCs w:val="24"/>
        </w:rPr>
      </w:pPr>
      <w:r>
        <w:rPr>
          <w:b/>
          <w:szCs w:val="24"/>
        </w:rPr>
        <w:t>Missão -</w:t>
      </w:r>
      <w:r>
        <w:rPr>
          <w:szCs w:val="24"/>
        </w:rPr>
        <w:t xml:space="preserve"> Aplicação da Lei de Execução Penal, de acordo com a sentença judicial, visando à ressocialização das pessoas presas, internadas, cumpridoras de penas restritivas de direitos e egressas, de modo a prevenir a reincidência no crime e proporcionar-lhes a reintegração à sociedade.</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Diretrizes -</w:t>
      </w:r>
      <w:r>
        <w:rPr>
          <w:szCs w:val="24"/>
        </w:rPr>
        <w:t xml:space="preserve"> Promover a convergência dos esforços humanos, materiais e financeiros, necessários ao cumprimento da missão, por intermédio dos órgãos ligados à estrutura da Pasta ou a ela vinculados, estabelecendo e desenvolvendo ações, metas, projetos e programas dirigidos à assistência de seu público alvo, objetivando prevenir a reincidência no crime e orientar o retorno ao meio social.</w:t>
      </w:r>
    </w:p>
    <w:p w:rsidR="003E6588" w:rsidRDefault="003E6588">
      <w:pPr>
        <w:pStyle w:val="Relatrio2010"/>
        <w:spacing w:after="0" w:afterAutospacing="0"/>
        <w:ind w:firstLine="1134"/>
        <w:rPr>
          <w:szCs w:val="24"/>
        </w:rPr>
      </w:pPr>
    </w:p>
    <w:p w:rsidR="003E6588" w:rsidRDefault="003E6588">
      <w:pPr>
        <w:pStyle w:val="Relatrio2010"/>
        <w:tabs>
          <w:tab w:val="left" w:pos="284"/>
        </w:tabs>
        <w:spacing w:after="0" w:afterAutospacing="0"/>
        <w:ind w:firstLine="1134"/>
        <w:rPr>
          <w:b/>
          <w:szCs w:val="24"/>
        </w:rPr>
      </w:pPr>
      <w:r>
        <w:rPr>
          <w:b/>
          <w:szCs w:val="24"/>
        </w:rPr>
        <w:t>Informações Gerais</w:t>
      </w:r>
    </w:p>
    <w:p w:rsidR="003E6588" w:rsidRDefault="003E6588">
      <w:pPr>
        <w:pStyle w:val="Relatrio2010"/>
        <w:tabs>
          <w:tab w:val="left" w:pos="284"/>
        </w:tabs>
        <w:spacing w:after="0" w:afterAutospacing="0"/>
        <w:ind w:firstLine="1134"/>
        <w:rPr>
          <w:b/>
          <w:szCs w:val="24"/>
        </w:rPr>
      </w:pPr>
    </w:p>
    <w:p w:rsidR="003E6588" w:rsidRDefault="003E6588">
      <w:pPr>
        <w:tabs>
          <w:tab w:val="left" w:pos="284"/>
        </w:tabs>
        <w:autoSpaceDE w:val="0"/>
        <w:autoSpaceDN w:val="0"/>
        <w:adjustRightInd w:val="0"/>
        <w:ind w:firstLine="1134"/>
        <w:jc w:val="both"/>
        <w:rPr>
          <w:color w:val="000000"/>
        </w:rPr>
      </w:pPr>
      <w:r>
        <w:rPr>
          <w:color w:val="000000"/>
        </w:rPr>
        <w:t>- 160 unidades prisionais;</w:t>
      </w:r>
    </w:p>
    <w:p w:rsidR="003E6588" w:rsidRDefault="003E6588">
      <w:pPr>
        <w:tabs>
          <w:tab w:val="left" w:pos="284"/>
        </w:tabs>
        <w:autoSpaceDE w:val="0"/>
        <w:autoSpaceDN w:val="0"/>
        <w:adjustRightInd w:val="0"/>
        <w:ind w:firstLine="1134"/>
        <w:jc w:val="both"/>
        <w:rPr>
          <w:color w:val="000000"/>
        </w:rPr>
      </w:pPr>
    </w:p>
    <w:p w:rsidR="003E6588" w:rsidRDefault="003E6588">
      <w:pPr>
        <w:tabs>
          <w:tab w:val="left" w:pos="284"/>
        </w:tabs>
        <w:autoSpaceDE w:val="0"/>
        <w:autoSpaceDN w:val="0"/>
        <w:adjustRightInd w:val="0"/>
        <w:ind w:firstLine="1134"/>
        <w:jc w:val="both"/>
        <w:rPr>
          <w:color w:val="000000"/>
        </w:rPr>
      </w:pPr>
      <w:r>
        <w:rPr>
          <w:color w:val="000000"/>
        </w:rPr>
        <w:t>- 215.189 pessoas presas na SAP;</w:t>
      </w:r>
    </w:p>
    <w:p w:rsidR="003E6588" w:rsidRDefault="003E6588">
      <w:pPr>
        <w:tabs>
          <w:tab w:val="left" w:pos="284"/>
        </w:tabs>
        <w:autoSpaceDE w:val="0"/>
        <w:autoSpaceDN w:val="0"/>
        <w:adjustRightInd w:val="0"/>
        <w:ind w:firstLine="1134"/>
        <w:jc w:val="both"/>
      </w:pPr>
    </w:p>
    <w:p w:rsidR="003E6588" w:rsidRDefault="003E6588">
      <w:pPr>
        <w:tabs>
          <w:tab w:val="left" w:pos="284"/>
        </w:tabs>
        <w:autoSpaceDE w:val="0"/>
        <w:autoSpaceDN w:val="0"/>
        <w:adjustRightInd w:val="0"/>
        <w:ind w:firstLine="1134"/>
        <w:jc w:val="both"/>
      </w:pPr>
      <w:r>
        <w:t>- 128.731 vagas.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pPr>
      <w:r>
        <w:rPr>
          <w:color w:val="000000"/>
        </w:rPr>
        <w:t xml:space="preserve">A SAP </w:t>
      </w:r>
      <w:r>
        <w:t>recebeu 101.321 pessoas presas, oriundas da S</w:t>
      </w:r>
      <w:r w:rsidR="00C42082">
        <w:t xml:space="preserve">ecretaria da </w:t>
      </w:r>
      <w:r>
        <w:t>S</w:t>
      </w:r>
      <w:r w:rsidR="00C42082">
        <w:t xml:space="preserve">egurança </w:t>
      </w:r>
      <w:r>
        <w:t>P</w:t>
      </w:r>
      <w:r w:rsidR="00C42082">
        <w:t>ública - SSP</w:t>
      </w:r>
      <w:r>
        <w:t>. Há nas unidades carcerárias da SSP 3.177 pessoas presas, sendo 2.222 do sexo masculino e 955 do sexo feminino. Destaca-se desse total 551 homens e 2 mulheres que não foram recolhidos no sistema penitenciário, porque estão submetidos à prisão civil. A Pasta concedeu 566 vagas para outros órgãos/Estados (Polícia Federal, Exército).</w:t>
      </w:r>
    </w:p>
    <w:p w:rsidR="003E6588" w:rsidRDefault="003E6588">
      <w:pPr>
        <w:autoSpaceDE w:val="0"/>
        <w:autoSpaceDN w:val="0"/>
        <w:adjustRightInd w:val="0"/>
        <w:ind w:firstLine="1134"/>
        <w:jc w:val="both"/>
        <w:rPr>
          <w:color w:val="000000"/>
        </w:rPr>
      </w:pPr>
    </w:p>
    <w:p w:rsidR="003E6588" w:rsidRDefault="003E6588">
      <w:pPr>
        <w:tabs>
          <w:tab w:val="left" w:pos="284"/>
        </w:tabs>
        <w:autoSpaceDE w:val="0"/>
        <w:autoSpaceDN w:val="0"/>
        <w:adjustRightInd w:val="0"/>
        <w:ind w:firstLine="1134"/>
        <w:jc w:val="both"/>
      </w:pPr>
      <w:r>
        <w:rPr>
          <w:b/>
        </w:rPr>
        <w:t xml:space="preserve">Programa de Expansão e Modernização do Sistema Prisional Paulista - </w:t>
      </w:r>
      <w:r>
        <w:t>Dando continuidade às ações visando à minimização do problema da superlotação vivenciado nas unidades prisionais que integram a SAP, mantivemos em execução o Programa de Expansão e Modernização do Sistema Prisional Paulista, que visa gerar 39,5 mil vagas, por intermédio da edificação de novas unidades prisionais em todo Estado.</w:t>
      </w:r>
    </w:p>
    <w:p w:rsidR="003E6588" w:rsidRDefault="003E6588">
      <w:pPr>
        <w:pStyle w:val="Relatrio2010"/>
        <w:spacing w:after="0" w:afterAutospacing="0"/>
        <w:ind w:firstLine="1134"/>
        <w:rPr>
          <w:szCs w:val="24"/>
        </w:rPr>
      </w:pPr>
    </w:p>
    <w:p w:rsidR="003E6588" w:rsidRDefault="003E6588">
      <w:pPr>
        <w:tabs>
          <w:tab w:val="left" w:pos="284"/>
        </w:tabs>
        <w:ind w:firstLine="1134"/>
        <w:jc w:val="both"/>
        <w:rPr>
          <w:bCs/>
        </w:rPr>
      </w:pPr>
      <w:r>
        <w:rPr>
          <w:bCs/>
        </w:rPr>
        <w:t xml:space="preserve">Obras finalizadas de 3 unidades prisionais, que geraram 2.586 vagas, sendo 768 vagas para as </w:t>
      </w:r>
      <w:r w:rsidRPr="00220601">
        <w:rPr>
          <w:bCs/>
        </w:rPr>
        <w:t>Penitenciárias Masculinas</w:t>
      </w:r>
      <w:r>
        <w:rPr>
          <w:bCs/>
        </w:rPr>
        <w:t xml:space="preserve"> e 1.048 para o CPP:</w:t>
      </w:r>
    </w:p>
    <w:p w:rsidR="003E6588" w:rsidRDefault="003E6588">
      <w:pPr>
        <w:tabs>
          <w:tab w:val="left" w:pos="285"/>
        </w:tabs>
        <w:ind w:left="426" w:firstLine="1134"/>
        <w:jc w:val="both"/>
        <w:rPr>
          <w:bCs/>
        </w:rPr>
      </w:pPr>
    </w:p>
    <w:p w:rsidR="003E6588" w:rsidRDefault="00220601">
      <w:pPr>
        <w:tabs>
          <w:tab w:val="left" w:pos="0"/>
        </w:tabs>
        <w:ind w:firstLine="1134"/>
        <w:jc w:val="both"/>
        <w:rPr>
          <w:bCs/>
        </w:rPr>
      </w:pPr>
      <w:r>
        <w:rPr>
          <w:bCs/>
        </w:rPr>
        <w:t xml:space="preserve">- </w:t>
      </w:r>
      <w:r w:rsidR="003E6588">
        <w:rPr>
          <w:bCs/>
        </w:rPr>
        <w:t>Penitenciária Masculina de Bernardino de Campos;</w:t>
      </w:r>
    </w:p>
    <w:p w:rsidR="003E6588" w:rsidRDefault="003E6588">
      <w:pPr>
        <w:tabs>
          <w:tab w:val="left" w:pos="426"/>
        </w:tabs>
        <w:ind w:firstLine="1134"/>
        <w:jc w:val="both"/>
        <w:rPr>
          <w:bCs/>
        </w:rPr>
      </w:pPr>
    </w:p>
    <w:p w:rsidR="003E6588" w:rsidRDefault="00220601">
      <w:pPr>
        <w:tabs>
          <w:tab w:val="left" w:pos="426"/>
        </w:tabs>
        <w:ind w:firstLine="1134"/>
        <w:jc w:val="both"/>
        <w:rPr>
          <w:bCs/>
        </w:rPr>
      </w:pPr>
      <w:r>
        <w:rPr>
          <w:bCs/>
        </w:rPr>
        <w:t xml:space="preserve">- </w:t>
      </w:r>
      <w:r w:rsidR="003E6588">
        <w:rPr>
          <w:bCs/>
        </w:rPr>
        <w:t>Centro de Progressão Penitenciária de Porto Feliz;</w:t>
      </w:r>
    </w:p>
    <w:p w:rsidR="003E6588" w:rsidRDefault="003E6588">
      <w:pPr>
        <w:tabs>
          <w:tab w:val="left" w:pos="426"/>
        </w:tabs>
        <w:ind w:firstLine="1134"/>
        <w:jc w:val="both"/>
        <w:rPr>
          <w:bCs/>
        </w:rPr>
      </w:pPr>
    </w:p>
    <w:p w:rsidR="003E6588" w:rsidRDefault="00220601">
      <w:pPr>
        <w:tabs>
          <w:tab w:val="left" w:pos="426"/>
        </w:tabs>
        <w:ind w:firstLine="1134"/>
        <w:jc w:val="both"/>
        <w:rPr>
          <w:bCs/>
        </w:rPr>
      </w:pPr>
      <w:r>
        <w:rPr>
          <w:bCs/>
        </w:rPr>
        <w:t xml:space="preserve">- </w:t>
      </w:r>
      <w:r w:rsidR="003E6588">
        <w:rPr>
          <w:bCs/>
        </w:rPr>
        <w:t>Penitenciária Masculina de Taquarituba.</w:t>
      </w:r>
    </w:p>
    <w:p w:rsidR="003E6588" w:rsidRDefault="003E6588">
      <w:pPr>
        <w:tabs>
          <w:tab w:val="left" w:pos="1276"/>
        </w:tabs>
        <w:ind w:firstLine="1134"/>
        <w:jc w:val="both"/>
      </w:pPr>
    </w:p>
    <w:p w:rsidR="003E6588" w:rsidRDefault="003E6588">
      <w:pPr>
        <w:tabs>
          <w:tab w:val="left" w:pos="142"/>
          <w:tab w:val="left" w:pos="284"/>
        </w:tabs>
        <w:ind w:firstLine="1134"/>
        <w:jc w:val="both"/>
      </w:pPr>
      <w:r>
        <w:lastRenderedPageBreak/>
        <w:t>Obras em execução de 8 unidades prisionais que, gerarão 6.144 vagas, o que representa 768 vagas para cada um dos seguintes Centros de Detenção Provisória - CDP e das Penitenciárias Femininas e Masculinas:</w:t>
      </w:r>
    </w:p>
    <w:p w:rsidR="003E6588" w:rsidRDefault="003E6588" w:rsidP="00657F97">
      <w:pPr>
        <w:tabs>
          <w:tab w:val="left" w:pos="142"/>
          <w:tab w:val="left" w:pos="709"/>
        </w:tabs>
        <w:ind w:firstLine="1134"/>
        <w:jc w:val="both"/>
      </w:pPr>
    </w:p>
    <w:p w:rsidR="003E6588" w:rsidRDefault="00220601">
      <w:pPr>
        <w:tabs>
          <w:tab w:val="left" w:pos="142"/>
          <w:tab w:val="left" w:pos="709"/>
        </w:tabs>
        <w:ind w:firstLine="1134"/>
        <w:jc w:val="both"/>
      </w:pPr>
      <w:r>
        <w:t xml:space="preserve">- </w:t>
      </w:r>
      <w:r w:rsidR="003E6588">
        <w:t>Centro de Detenção Provisória de Icém</w:t>
      </w:r>
      <w:r w:rsidR="003E6588">
        <w:rPr>
          <w:bCs/>
        </w:rPr>
        <w:t>;</w:t>
      </w:r>
    </w:p>
    <w:p w:rsidR="003E6588" w:rsidRDefault="003E6588">
      <w:pPr>
        <w:tabs>
          <w:tab w:val="left" w:pos="142"/>
          <w:tab w:val="left" w:pos="709"/>
        </w:tabs>
        <w:ind w:firstLine="1134"/>
        <w:jc w:val="both"/>
      </w:pPr>
    </w:p>
    <w:p w:rsidR="003E6588" w:rsidRDefault="00220601">
      <w:pPr>
        <w:tabs>
          <w:tab w:val="left" w:pos="142"/>
          <w:tab w:val="left" w:pos="709"/>
        </w:tabs>
        <w:ind w:firstLine="1134"/>
        <w:jc w:val="both"/>
      </w:pPr>
      <w:r>
        <w:t xml:space="preserve">- </w:t>
      </w:r>
      <w:r w:rsidR="003E6588">
        <w:t>Centro de Detenção Provisória de Itatinga;</w:t>
      </w:r>
    </w:p>
    <w:p w:rsidR="003E6588" w:rsidRDefault="003E6588">
      <w:pPr>
        <w:tabs>
          <w:tab w:val="left" w:pos="142"/>
          <w:tab w:val="left" w:pos="709"/>
        </w:tabs>
        <w:ind w:firstLine="1134"/>
        <w:jc w:val="both"/>
      </w:pPr>
    </w:p>
    <w:p w:rsidR="003E6588" w:rsidRDefault="00220601">
      <w:pPr>
        <w:tabs>
          <w:tab w:val="left" w:pos="142"/>
          <w:tab w:val="left" w:pos="709"/>
        </w:tabs>
        <w:ind w:firstLine="1134"/>
        <w:jc w:val="both"/>
      </w:pPr>
      <w:r>
        <w:t xml:space="preserve">- </w:t>
      </w:r>
      <w:r w:rsidR="003E6588">
        <w:t>Penitenciária Feminina de Guariba</w:t>
      </w:r>
      <w:r w:rsidR="003E6588">
        <w:rPr>
          <w:bCs/>
        </w:rPr>
        <w:t>;</w:t>
      </w:r>
    </w:p>
    <w:p w:rsidR="003E6588" w:rsidRDefault="003E6588">
      <w:pPr>
        <w:tabs>
          <w:tab w:val="left" w:pos="142"/>
          <w:tab w:val="left" w:pos="709"/>
        </w:tabs>
        <w:ind w:firstLine="1134"/>
        <w:jc w:val="both"/>
      </w:pPr>
    </w:p>
    <w:p w:rsidR="003E6588" w:rsidRDefault="00220601">
      <w:pPr>
        <w:tabs>
          <w:tab w:val="left" w:pos="142"/>
          <w:tab w:val="left" w:pos="709"/>
        </w:tabs>
        <w:ind w:firstLine="1134"/>
        <w:jc w:val="both"/>
      </w:pPr>
      <w:r>
        <w:t xml:space="preserve">- </w:t>
      </w:r>
      <w:r w:rsidR="003E6588">
        <w:t>Penitenciária Feminina de Mogi Guaçu</w:t>
      </w:r>
      <w:r w:rsidR="003E6588">
        <w:rPr>
          <w:bCs/>
        </w:rPr>
        <w:t>;</w:t>
      </w:r>
    </w:p>
    <w:p w:rsidR="003E6588" w:rsidRDefault="003E6588">
      <w:pPr>
        <w:tabs>
          <w:tab w:val="left" w:pos="142"/>
          <w:tab w:val="left" w:pos="709"/>
        </w:tabs>
        <w:ind w:firstLine="1134"/>
        <w:jc w:val="both"/>
      </w:pPr>
    </w:p>
    <w:p w:rsidR="003E6588" w:rsidRDefault="00220601">
      <w:pPr>
        <w:tabs>
          <w:tab w:val="left" w:pos="142"/>
          <w:tab w:val="left" w:pos="709"/>
        </w:tabs>
        <w:ind w:firstLine="1134"/>
        <w:jc w:val="both"/>
      </w:pPr>
      <w:r>
        <w:t xml:space="preserve">- </w:t>
      </w:r>
      <w:r w:rsidR="003E6588">
        <w:t>Penitenciária Feminina de Votorantim</w:t>
      </w:r>
      <w:r w:rsidR="003E6588">
        <w:rPr>
          <w:bCs/>
        </w:rPr>
        <w:t>;</w:t>
      </w:r>
    </w:p>
    <w:p w:rsidR="003E6588" w:rsidRDefault="003E6588">
      <w:pPr>
        <w:tabs>
          <w:tab w:val="left" w:pos="142"/>
          <w:tab w:val="left" w:pos="709"/>
        </w:tabs>
        <w:ind w:firstLine="1134"/>
        <w:jc w:val="both"/>
        <w:rPr>
          <w:bCs/>
        </w:rPr>
      </w:pPr>
    </w:p>
    <w:p w:rsidR="003E6588" w:rsidRDefault="00220601">
      <w:pPr>
        <w:tabs>
          <w:tab w:val="left" w:pos="142"/>
          <w:tab w:val="left" w:pos="709"/>
        </w:tabs>
        <w:ind w:firstLine="1134"/>
        <w:jc w:val="both"/>
      </w:pPr>
      <w:r>
        <w:rPr>
          <w:bCs/>
        </w:rPr>
        <w:t xml:space="preserve">- </w:t>
      </w:r>
      <w:r w:rsidR="003E6588">
        <w:rPr>
          <w:bCs/>
        </w:rPr>
        <w:t>Penitenciária Masculina de Florínea;</w:t>
      </w:r>
    </w:p>
    <w:p w:rsidR="003E6588" w:rsidRDefault="003E6588">
      <w:pPr>
        <w:tabs>
          <w:tab w:val="left" w:pos="142"/>
          <w:tab w:val="left" w:pos="709"/>
        </w:tabs>
        <w:ind w:firstLine="1134"/>
        <w:jc w:val="both"/>
      </w:pPr>
    </w:p>
    <w:p w:rsidR="003E6588" w:rsidRDefault="00220601">
      <w:pPr>
        <w:tabs>
          <w:tab w:val="left" w:pos="142"/>
          <w:tab w:val="left" w:pos="709"/>
        </w:tabs>
        <w:ind w:firstLine="1134"/>
        <w:jc w:val="both"/>
      </w:pPr>
      <w:r>
        <w:t xml:space="preserve">- </w:t>
      </w:r>
      <w:r w:rsidR="003E6588">
        <w:t>Penitenciária Masculina de Mairinque</w:t>
      </w:r>
      <w:r w:rsidR="003E6588">
        <w:rPr>
          <w:bCs/>
        </w:rPr>
        <w:t>;</w:t>
      </w:r>
    </w:p>
    <w:p w:rsidR="003E6588" w:rsidRDefault="003E6588">
      <w:pPr>
        <w:tabs>
          <w:tab w:val="left" w:pos="142"/>
          <w:tab w:val="left" w:pos="709"/>
        </w:tabs>
        <w:ind w:firstLine="1134"/>
        <w:jc w:val="both"/>
      </w:pPr>
    </w:p>
    <w:p w:rsidR="003E6588" w:rsidRDefault="00220601">
      <w:pPr>
        <w:tabs>
          <w:tab w:val="left" w:pos="142"/>
          <w:tab w:val="left" w:pos="709"/>
        </w:tabs>
        <w:ind w:firstLine="1134"/>
        <w:jc w:val="both"/>
      </w:pPr>
      <w:r>
        <w:t xml:space="preserve">- </w:t>
      </w:r>
      <w:r w:rsidR="003E6588">
        <w:t>Penitenciária Masculina de Piracicaba</w:t>
      </w:r>
      <w:r w:rsidR="003E6588">
        <w:rPr>
          <w:bCs/>
        </w:rPr>
        <w:t>.</w:t>
      </w:r>
    </w:p>
    <w:p w:rsidR="003E6588" w:rsidRDefault="003E6588">
      <w:pPr>
        <w:tabs>
          <w:tab w:val="left" w:pos="142"/>
          <w:tab w:val="left" w:pos="709"/>
        </w:tabs>
        <w:ind w:firstLine="1134"/>
        <w:jc w:val="both"/>
        <w:rPr>
          <w:bCs/>
        </w:rPr>
      </w:pPr>
    </w:p>
    <w:p w:rsidR="003E6588" w:rsidRDefault="003E6588">
      <w:pPr>
        <w:pStyle w:val="Relatrio2010"/>
        <w:tabs>
          <w:tab w:val="left" w:pos="284"/>
        </w:tabs>
        <w:spacing w:after="0" w:afterAutospacing="0"/>
        <w:ind w:firstLine="1134"/>
        <w:rPr>
          <w:szCs w:val="24"/>
        </w:rPr>
      </w:pPr>
      <w:r>
        <w:rPr>
          <w:b/>
          <w:szCs w:val="24"/>
        </w:rPr>
        <w:t>Programa de Ampliação de Vagas para o regime semiaberto</w:t>
      </w:r>
      <w:r>
        <w:rPr>
          <w:szCs w:val="24"/>
        </w:rPr>
        <w:t xml:space="preserve"> - Prevê a entrega de 11.013 vagas, das quais 4.308 se encontram em obra, sendo 402 vagas femininas e 3.906 masculinas; 432 vagas masculinas aguardam os trâmites processuais que antecedem o processo de licitação.</w:t>
      </w:r>
    </w:p>
    <w:p w:rsidR="003E6588" w:rsidRDefault="003E6588">
      <w:pPr>
        <w:pStyle w:val="Relatrio2010"/>
        <w:spacing w:after="0" w:afterAutospacing="0"/>
        <w:ind w:firstLine="1134"/>
        <w:rPr>
          <w:szCs w:val="24"/>
        </w:rPr>
      </w:pPr>
    </w:p>
    <w:p w:rsidR="003E6588" w:rsidRDefault="003E6588">
      <w:pPr>
        <w:pStyle w:val="NormalWeb"/>
        <w:shd w:val="clear" w:color="auto" w:fill="FFFFFF"/>
        <w:spacing w:before="0" w:beforeAutospacing="0" w:after="0" w:afterAutospacing="0"/>
        <w:ind w:firstLine="1134"/>
        <w:jc w:val="both"/>
      </w:pPr>
      <w:r>
        <w:rPr>
          <w:b/>
        </w:rPr>
        <w:t>Automação das Portas das Celas</w:t>
      </w:r>
      <w:r>
        <w:t xml:space="preserve"> - 21 unidades receberam automação nas portas das celas e 10 unidades estão em processo de instalação. O projeto e a implantação do sistema de automação das celas nas unidades prisionais são executados por mão-de-obra funcional.</w:t>
      </w:r>
    </w:p>
    <w:p w:rsidR="003E6588" w:rsidRDefault="003E6588">
      <w:pPr>
        <w:pStyle w:val="NormalWeb"/>
        <w:shd w:val="clear" w:color="auto" w:fill="FFFFFF"/>
        <w:spacing w:before="0" w:beforeAutospacing="0" w:after="0" w:afterAutospacing="0"/>
        <w:ind w:firstLine="1134"/>
        <w:jc w:val="both"/>
      </w:pPr>
    </w:p>
    <w:p w:rsidR="003E6588" w:rsidRDefault="003E6588">
      <w:pPr>
        <w:pStyle w:val="Relatrio2010"/>
        <w:spacing w:after="0" w:afterAutospacing="0"/>
        <w:ind w:firstLine="1134"/>
        <w:rPr>
          <w:szCs w:val="24"/>
        </w:rPr>
      </w:pPr>
      <w:r>
        <w:rPr>
          <w:b/>
          <w:szCs w:val="24"/>
        </w:rPr>
        <w:t xml:space="preserve">Convênio entre SAP e Defensoria Pública - </w:t>
      </w:r>
      <w:r>
        <w:rPr>
          <w:szCs w:val="24"/>
        </w:rPr>
        <w:t>A Pasta e a Defensoria Pública Estadual firmaram termo de cooperação técnica para implantação e operacionalização da política de atendimento aos presos provisórios dos Centros de Detenção Provisória da Capital. O projeto piloto teve início, foram realizados 4.525 atendimentos em 9 CDPs, resultando em 972 solturas.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 xml:space="preserve">Monitoramento Eletrônico - </w:t>
      </w:r>
      <w:r>
        <w:rPr>
          <w:szCs w:val="24"/>
        </w:rPr>
        <w:t>Com relação ao monitoramento eletrônico de pessoas presas sob o regime semiaberto, por meio do uso de tornozeleiras, foram acompanhadas, 9.781 pessoas presas em saídas temporárias nas seguintes ocasiões - Dia das Mães: 2.068; Páscoa: 1.639; Dia dos Pais: 3.291; Dia das Crianças: 2.428; Dia de Finados: 74 e Aniversários 281.</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Além disso, diariamente, 2.770 pessoas presas em regime semiaberto foram monitoradas quando saíram para trabalhar em empresas públicas, privadas e estabelecimentos comerciais.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color w:val="000000"/>
        </w:rPr>
      </w:pPr>
      <w:r>
        <w:rPr>
          <w:b/>
          <w:szCs w:val="24"/>
        </w:rPr>
        <w:t xml:space="preserve">Bloqueadores de Sinais de Radiocomunicações - </w:t>
      </w:r>
      <w:r>
        <w:rPr>
          <w:color w:val="000000"/>
        </w:rPr>
        <w:t>Há contrato firmado para instalação em 23 unidades prisionais.</w:t>
      </w:r>
    </w:p>
    <w:p w:rsidR="003E6588" w:rsidRDefault="003E6588">
      <w:pPr>
        <w:autoSpaceDE w:val="0"/>
        <w:autoSpaceDN w:val="0"/>
        <w:adjustRightInd w:val="0"/>
        <w:ind w:firstLine="1134"/>
        <w:jc w:val="both"/>
      </w:pPr>
      <w:r>
        <w:lastRenderedPageBreak/>
        <w:t>Unidades 100% bloqueadas - 10 - Penitenciária II de Presidente Venceslau; Centro de Readaptação Penitenciária de Presidente Bernardes; Penitenciária de Valparaíso; Penitenciária de Getulina; Penitenciária de Iperó; Penitenciária de Casa Branca; CDP de Hortolândia; Penitenciária I de Avaré; Penitenciária I de Mirandópolis e CDP de Campinas.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Bloqueadores em ajustes - 12 - Penitenciária de Ribeirão Preto; Penitenciária I de Serra Azul; Penitenciária II de Mirandópolis; Penitenciária de Álvaro de Carvalho; CDP São Vicente; Penitenciária I de São Vicente; Penitenciária I de Potim; Penitenciária II de Potim; Penitenciária I de Guarulhos; CDP II de Guarulhos; CDP II Belém e CDP IV de Pinheiros.</w:t>
      </w:r>
    </w:p>
    <w:p w:rsidR="003E6588" w:rsidRDefault="003E6588">
      <w:pPr>
        <w:autoSpaceDE w:val="0"/>
        <w:autoSpaceDN w:val="0"/>
        <w:adjustRightInd w:val="0"/>
        <w:ind w:firstLine="1134"/>
        <w:jc w:val="both"/>
        <w:rPr>
          <w:color w:val="000000"/>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Escolta Armada de Presos pelos Agentes de Escolta e Vigilância Penitenciária </w:t>
      </w:r>
      <w:r w:rsidR="00220601">
        <w:rPr>
          <w:rFonts w:ascii="Times New Roman" w:hAnsi="Times New Roman"/>
          <w:b/>
          <w:sz w:val="24"/>
          <w:szCs w:val="24"/>
        </w:rPr>
        <w:t>-</w:t>
      </w:r>
      <w:r>
        <w:rPr>
          <w:rFonts w:ascii="Times New Roman" w:hAnsi="Times New Roman"/>
          <w:b/>
          <w:sz w:val="24"/>
          <w:szCs w:val="24"/>
        </w:rPr>
        <w:t xml:space="preserve"> AEVPs - </w:t>
      </w:r>
      <w:r>
        <w:rPr>
          <w:rFonts w:ascii="Times New Roman" w:hAnsi="Times New Roman"/>
          <w:sz w:val="24"/>
          <w:szCs w:val="24"/>
        </w:rPr>
        <w:t>A escolta de presos na Região Metropolitana do Estado tem sido realizada pelos AEVPs, em substituição à Polícia Militar, permitindo-se dessa forma que o efetivo da referida organização passasse a exercer sua atividade fim, ou seja, a de proporcionar segurança à sociedade.</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xml:space="preserve">Realiza-se nas unidades prisionais da Região Metropolitana do Estado, em </w:t>
      </w:r>
      <w:r w:rsidRPr="00220601">
        <w:t>média,</w:t>
      </w:r>
      <w:r>
        <w:rPr>
          <w:color w:val="000000"/>
        </w:rPr>
        <w:t xml:space="preserve"> 500 apresentações de presos, compreendendo escoltas armadas para audiências judiciais, consultas médicas especializadas, remoções interestaduais, distritos policiais, velório, INSS, visitas domiciliares, hospitais para atendimento de emergências e urgências.</w:t>
      </w:r>
    </w:p>
    <w:p w:rsidR="003E6588" w:rsidRDefault="003E6588">
      <w:pPr>
        <w:autoSpaceDE w:val="0"/>
        <w:autoSpaceDN w:val="0"/>
        <w:adjustRightInd w:val="0"/>
        <w:ind w:firstLine="1134"/>
        <w:jc w:val="both"/>
        <w:rPr>
          <w:color w:val="000000"/>
        </w:rPr>
      </w:pPr>
    </w:p>
    <w:p w:rsidR="003E6588" w:rsidRDefault="003E6588">
      <w:pPr>
        <w:pStyle w:val="Relatrio2010"/>
        <w:spacing w:after="0" w:afterAutospacing="0"/>
        <w:ind w:firstLine="1134"/>
        <w:rPr>
          <w:szCs w:val="24"/>
        </w:rPr>
      </w:pPr>
      <w:r>
        <w:rPr>
          <w:b/>
          <w:szCs w:val="24"/>
        </w:rPr>
        <w:t xml:space="preserve">Teleaudiências - </w:t>
      </w:r>
      <w:r>
        <w:rPr>
          <w:szCs w:val="24"/>
        </w:rPr>
        <w:t>Por força da parceria firmada entre SAP, o Tribunal de Justiça do Estado de São Paulo - TJSP, Tribunal Regional Federal 3ª Região, Secretaria de Gestão Pública e a Companhia de Processamento de Dados do Estado de São Paulo - PRODESP, foi possível realizar 5.558 teleaudiências, possibilitando aceleração no julgamento dos processos e eliminação dos riscos de fugas e resgates de pessoas presas. São 78 salas, sendo 46 em unidades prisionais, 25 em fóruns do Tribunal de Justiça do Estado de São Paulo e 7 em fóruns do Tribunal Regional Federal da 3ª Região - TRF3.</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 xml:space="preserve">Sistema Gestão Prisional Única - GPU - </w:t>
      </w:r>
      <w:r>
        <w:rPr>
          <w:szCs w:val="24"/>
        </w:rPr>
        <w:t>Foi dada continuidade na implementação de sistema único nos seguintes módulos: Rol de Visitas - cadastrar, controlar, disponibilizar informações dos visitantes dos presos, tendo como produto final controle de visitas e presos visitas, além de inibição de visitas para mais de um preso para o mesmo relacionamento; Qualificativa; Numerário e Pecúlio - padronização e uniformização de controle do numerário e pecúlio dos presos, destacando, dentre as várias de suas funcionalidades, a eficácia em manter o controle do numerário pertencente aos presos, inclusive do seu pecúlio, bem como efetuar o registro de entrada e saída do numerário e pecúlio dos presos no Sistema Integrado de Administração Financeira para Estados e Municípios - SIAFEM. Inclusão/</w:t>
      </w:r>
      <w:r>
        <w:rPr>
          <w:i/>
          <w:szCs w:val="24"/>
        </w:rPr>
        <w:t xml:space="preserve">Kit </w:t>
      </w:r>
      <w:r>
        <w:rPr>
          <w:szCs w:val="24"/>
        </w:rPr>
        <w:t xml:space="preserve">Preso - padronização no fornecimento de materiais de higiene e vestuário aos presos custodiados nas unidades prisionais da Pasta, controlando estoque do almoxarifado e da inclusão, bem como itens que serão fornecidos e/ou estão em poder do reeducando; Escolta AEVP - padronização e organização das escoltas com os AEVPs - Agente de Escolta e Vigilância Penitenciária de presos quanto às unidades prisionais subordinadas à Coordenadoria de Unidades Prisionais da Região Metropolitana do Estado - COREMETRO; Implantação pioneira de biometria em algumas unidades para definição da melhor solução; Mapa da População Carcerária - </w:t>
      </w:r>
      <w:r w:rsidRPr="00220601">
        <w:rPr>
          <w:szCs w:val="24"/>
        </w:rPr>
        <w:t>geral, por coordenadoria e unidade,</w:t>
      </w:r>
      <w:r>
        <w:rPr>
          <w:color w:val="FF0000"/>
          <w:szCs w:val="24"/>
        </w:rPr>
        <w:t xml:space="preserve"> </w:t>
      </w:r>
      <w:r>
        <w:rPr>
          <w:szCs w:val="24"/>
        </w:rPr>
        <w:t>chegando até a qualificativa de cada preso.</w:t>
      </w:r>
    </w:p>
    <w:p w:rsidR="003E6588" w:rsidRDefault="003E6588">
      <w:pPr>
        <w:pStyle w:val="Relatrio2010"/>
        <w:spacing w:after="0" w:afterAutospacing="0"/>
        <w:ind w:firstLine="1134"/>
        <w:rPr>
          <w:szCs w:val="24"/>
        </w:rPr>
      </w:pPr>
      <w:r>
        <w:rPr>
          <w:b/>
          <w:szCs w:val="24"/>
        </w:rPr>
        <w:lastRenderedPageBreak/>
        <w:t xml:space="preserve">Gestão da Modernização da Administração Penitenciária - </w:t>
      </w:r>
      <w:r w:rsidR="00220601">
        <w:rPr>
          <w:b/>
          <w:szCs w:val="24"/>
        </w:rPr>
        <w:t xml:space="preserve">Parque Tecnológico </w:t>
      </w:r>
      <w:r>
        <w:rPr>
          <w:b/>
          <w:szCs w:val="24"/>
        </w:rPr>
        <w:t xml:space="preserve">- </w:t>
      </w:r>
      <w:r>
        <w:rPr>
          <w:szCs w:val="24"/>
        </w:rPr>
        <w:t xml:space="preserve">Foi dado início à execução da atualização do </w:t>
      </w:r>
      <w:r w:rsidR="00220601">
        <w:rPr>
          <w:szCs w:val="24"/>
        </w:rPr>
        <w:t xml:space="preserve">Parque Tecnológico </w:t>
      </w:r>
      <w:r>
        <w:rPr>
          <w:szCs w:val="24"/>
        </w:rPr>
        <w:t xml:space="preserve">do Sistema Prisional Paulista, com aquisição dos seguintes itens - Filtro de conteúdo de acessos à </w:t>
      </w:r>
      <w:r>
        <w:rPr>
          <w:i/>
          <w:szCs w:val="24"/>
        </w:rPr>
        <w:t>internet</w:t>
      </w:r>
      <w:r>
        <w:rPr>
          <w:szCs w:val="24"/>
        </w:rPr>
        <w:t xml:space="preserve">, Solução de </w:t>
      </w:r>
      <w:r>
        <w:rPr>
          <w:i/>
          <w:szCs w:val="24"/>
        </w:rPr>
        <w:t xml:space="preserve">backup </w:t>
      </w:r>
      <w:r>
        <w:rPr>
          <w:szCs w:val="24"/>
        </w:rPr>
        <w:t xml:space="preserve">(cópia de segurança dados), </w:t>
      </w:r>
      <w:r>
        <w:rPr>
          <w:i/>
          <w:szCs w:val="24"/>
        </w:rPr>
        <w:t>switch</w:t>
      </w:r>
      <w:r>
        <w:rPr>
          <w:szCs w:val="24"/>
        </w:rPr>
        <w:t xml:space="preserve">+fibra (cabeamento de rede e equipamento de conectividade) da Sede 1, </w:t>
      </w:r>
      <w:r>
        <w:rPr>
          <w:i/>
          <w:szCs w:val="24"/>
        </w:rPr>
        <w:t>desktops</w:t>
      </w:r>
      <w:r>
        <w:rPr>
          <w:szCs w:val="24"/>
        </w:rPr>
        <w:t xml:space="preserve"> (2.192), Solução de </w:t>
      </w:r>
      <w:r>
        <w:rPr>
          <w:i/>
          <w:szCs w:val="24"/>
        </w:rPr>
        <w:t>Storage</w:t>
      </w:r>
      <w:r>
        <w:rPr>
          <w:szCs w:val="24"/>
        </w:rPr>
        <w:t xml:space="preserve"> (armazenamento de dados), representando 13% do projeto.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 xml:space="preserve">Projeto Certificação Digital - GEPEN - Gestão Penitenciária - Boletim Informativo - </w:t>
      </w:r>
      <w:r>
        <w:rPr>
          <w:szCs w:val="24"/>
        </w:rPr>
        <w:t>Foi dada continuidade ao projeto de assinatura digital do Boletim Informativo - relatório do Sistema de Gestão Penitenciária. Está em produção a assinatura digital, e teve início a liberação para as unidades assinarem com certificado digital, totalizando 1.153 boletins informativos assinados digitalmente</w:t>
      </w:r>
      <w:r w:rsidR="00220601">
        <w:rPr>
          <w:szCs w:val="24"/>
        </w:rPr>
        <w:t>.</w:t>
      </w:r>
    </w:p>
    <w:p w:rsidR="003E6588" w:rsidRDefault="003E6588">
      <w:pPr>
        <w:pStyle w:val="Relatrio2010"/>
        <w:spacing w:after="0" w:afterAutospacing="0"/>
        <w:ind w:firstLine="1134"/>
        <w:rPr>
          <w:szCs w:val="24"/>
        </w:rPr>
      </w:pPr>
    </w:p>
    <w:p w:rsidR="003E6588" w:rsidRDefault="003E6588">
      <w:pPr>
        <w:autoSpaceDE w:val="0"/>
        <w:autoSpaceDN w:val="0"/>
        <w:adjustRightInd w:val="0"/>
        <w:ind w:firstLine="1134"/>
        <w:jc w:val="both"/>
      </w:pPr>
      <w:r>
        <w:rPr>
          <w:b/>
        </w:rPr>
        <w:t xml:space="preserve">Orçamento por Resultado - OpR e Sistema de Custos de Serviços Públicos - </w:t>
      </w:r>
      <w:r>
        <w:t>O desenvolvimento do sistema de custos começou a se desenvolver nesta Pasta e foram gerados, como teste, alguns Relatórios do Sistema - Dados Preliminares, definindo os “Objetos de Custos” por unidade prisional. As provas de conceito foram realizadas e testadas pela equipe da SAP, FIPE, SEFAZ e PRODESP, e as primeiras telas do sistema em desenvolvimento foram abertas para conhecimento e nova bateria de testes.</w:t>
      </w:r>
    </w:p>
    <w:p w:rsidR="003E6588" w:rsidRDefault="003E6588">
      <w:pPr>
        <w:ind w:firstLine="1134"/>
        <w:jc w:val="both"/>
      </w:pPr>
    </w:p>
    <w:p w:rsidR="003E6588" w:rsidRDefault="003E6588">
      <w:pPr>
        <w:ind w:firstLine="1134"/>
        <w:jc w:val="both"/>
      </w:pPr>
      <w:r>
        <w:t>Por meio desses resultados, foi desenvolvido o Orçamento por Resultados - OpR, e que, aliado ao Sistema de Custos do Serviço Público, contribuiu para a decisão de ajustar o PPA. Foi dada continuidade à implantação desta nova sistemática, com o aprimoramento das ações programáticas, que, incrementaram mais três ações, totalizando 13 para o mesmo programa orçamentário. A nova ótica acerca do Orçamento da Pasta exigiu reformulação em programas e ações até então vigentes.</w:t>
      </w:r>
    </w:p>
    <w:p w:rsidR="003E6588" w:rsidRDefault="003E6588">
      <w:pPr>
        <w:ind w:firstLine="1134"/>
        <w:jc w:val="both"/>
      </w:pPr>
    </w:p>
    <w:p w:rsidR="003E6588" w:rsidRDefault="003E6588">
      <w:pPr>
        <w:tabs>
          <w:tab w:val="left" w:pos="284"/>
        </w:tabs>
        <w:ind w:firstLine="1134"/>
        <w:jc w:val="both"/>
      </w:pPr>
      <w:r>
        <w:rPr>
          <w:b/>
        </w:rPr>
        <w:t xml:space="preserve">Programa de Uso Racional da Água - PURA - </w:t>
      </w:r>
      <w:r>
        <w:t>O objetivo deste programa, que é de exclusividade da Companhia de Saneamento Básico de São Paulo - SABESP, é atuar sobre a demanda de água, contribuindo para sustentabilidade por meio do consumo racional, em virtude da escassez na Região Metropolitana de São Paulo.</w:t>
      </w:r>
    </w:p>
    <w:p w:rsidR="003E6588" w:rsidRDefault="003E6588">
      <w:pPr>
        <w:ind w:firstLine="1134"/>
        <w:jc w:val="both"/>
      </w:pPr>
    </w:p>
    <w:p w:rsidR="003E6588" w:rsidRDefault="003E6588">
      <w:pPr>
        <w:ind w:firstLine="1134"/>
        <w:jc w:val="both"/>
      </w:pPr>
      <w:r>
        <w:t xml:space="preserve">Os principais benefícios que a implantação do programa oferece são o desconto de 25% sobre a tarifa incidente e a redução de no mínimo 10% no consumo, após o término dos serviços contratados. Foram assinados contratos de tarifação com a SABESP, em antecipado para as unidades: Centro de Progressão Penitenciária de Mongaguá, Penitenciaria I de Tremembé. Foram realizadas pela SABESP visitas técnicas e estudos de adequação em 34 unidades prisionais, para atender ao programa em questão, divididas entre as Coordenadorias de Unidades Prisionais e Hospitais das Regiões Metropolitana, Vale do Paraíba e Litoral, Central, Noroeste e Oeste, com a assinatura de 30 contratos. Foram vistoriadas as Sedes da SAP I (Ataliba), que vai necessitar de adequação para posterior assinatura de contrato, e Sede II (Libero), devidamente aprovada. Foram garantidos recursos para adequação e futuro contrato das seguintes unidades: Penitenciária Feminina da Capital, Centros de Detenção Provisória Belém I e Pinheiros I, Centro de Progressão Penitenciária de Franco da Rocha. Para atendimento do Decreto nº 59.327/2013, foi apresentado Plano de Implantação do Programa de Uso Racional do Consumo de Água. Para as unidades não elencadas no Projeto PURA da Sabesp, destaca-se a capacitação de servidores das unidades, em curso específico sobre vazamento. Foram </w:t>
      </w:r>
      <w:r>
        <w:lastRenderedPageBreak/>
        <w:t>realizados 4 cursos de Pesquisa de Vazamento, ministrado pela Sabesp, dirigidos aos servidores da área de manutenção e guardiões do Programa Melhoria dos Gastos Públicos, num total de 73 servidores da Coordenadoria da Região Metropolitana, e 9 cursos no interior, para 245 servidores de 87 unidades prisionais. Foi promovida pela DECA - metais sanitários - em parceria com a Sabesp - capacitação para os servidores da área de manutenção, num total de 63 servidores de 63 unidades prisionais do interior. O curso específico de Gestão de Economia de Água, promovido e realizado pela SABESP, capacitou 9 servidores, guardiões da economia de cada uma de nossas Coordenadorias e Sede. Em parceria SABESP e SAP, promoveram reunião de trabalho “</w:t>
      </w:r>
      <w:r>
        <w:rPr>
          <w:i/>
        </w:rPr>
        <w:t>Workshop</w:t>
      </w:r>
      <w:r>
        <w:t xml:space="preserve"> de Tecnologia e Praticas economizadoras de Água”, reunindo os diretores gerais das unidades prisionais, guardiões da economia, coordenadores, diretor de escola e demais órgãos da SAP, com objetivo de sensibilizar os servidores quanto ao uso racional da água e boas práticas no sistema prisional com referência ao uso racional da água e medidas de economia.</w:t>
      </w:r>
    </w:p>
    <w:p w:rsidR="003E6588" w:rsidRDefault="003E6588">
      <w:pPr>
        <w:ind w:firstLine="1134"/>
        <w:jc w:val="both"/>
      </w:pPr>
    </w:p>
    <w:p w:rsidR="003E6588" w:rsidRDefault="003E6588">
      <w:pPr>
        <w:tabs>
          <w:tab w:val="left" w:pos="284"/>
        </w:tabs>
        <w:ind w:firstLine="1134"/>
        <w:jc w:val="both"/>
      </w:pPr>
      <w:r>
        <w:rPr>
          <w:b/>
        </w:rPr>
        <w:t xml:space="preserve">Programa de Eficiência Energética - Contratos de Consumo - </w:t>
      </w:r>
      <w:r>
        <w:t>Em conjunto com a Secretaria de Energia - SEE, cujo objetivo principal é a readequação dos contratos de energia elétrica junto às, para análise da tarifa e da demanda contratadas. 62 unidades prisionais estão com os contratos de energia elétrica adequados. As demais 98 unidades tiveram seus contratos renegociados.</w:t>
      </w:r>
    </w:p>
    <w:p w:rsidR="003E6588" w:rsidRDefault="003E6588">
      <w:pPr>
        <w:ind w:firstLine="1134"/>
        <w:jc w:val="both"/>
      </w:pPr>
    </w:p>
    <w:p w:rsidR="003E6588" w:rsidRDefault="003E6588">
      <w:pPr>
        <w:tabs>
          <w:tab w:val="left" w:pos="284"/>
        </w:tabs>
        <w:ind w:firstLine="1134"/>
        <w:jc w:val="both"/>
      </w:pPr>
      <w:r>
        <w:rPr>
          <w:b/>
        </w:rPr>
        <w:t xml:space="preserve">Programa de Eficiência Energética - Retrofit - </w:t>
      </w:r>
      <w:r>
        <w:t>Seguiram-se as ações do Retrofit, visando à troca de lâmpadas e de equipamentos por itens mais econômicos - SELO PROCEL e à instalação de sensores de presença. Essas medidas, somadas à mudança de atitude, atinentes à conscientização da população carcerária em apagar a luz e desligar monitores ao sair do ambiente, propiciam redução do consumo em kwh.</w:t>
      </w:r>
    </w:p>
    <w:p w:rsidR="003E6588" w:rsidRDefault="003E6588">
      <w:pPr>
        <w:ind w:firstLine="1134"/>
        <w:jc w:val="both"/>
      </w:pPr>
    </w:p>
    <w:p w:rsidR="003E6588" w:rsidRDefault="003E6588">
      <w:pPr>
        <w:tabs>
          <w:tab w:val="left" w:pos="284"/>
        </w:tabs>
        <w:ind w:firstLine="1134"/>
        <w:jc w:val="both"/>
      </w:pPr>
      <w:r>
        <w:rPr>
          <w:b/>
        </w:rPr>
        <w:t xml:space="preserve">Programa de Eficiência Energética - Banco de Capacitores - </w:t>
      </w:r>
      <w:r>
        <w:t>Por meio das ações de engenheiros elétricos sediados na Sede e Coordenadorias, unidades foram objeto de estudos para verificação da necessidade de instalação de banco capacitor, equipamento para corrigir o baixo fator de potência e correto dimensionamento, o que elimina gastos desnecessários de kwh e consequente multa nas faturas por ultrapassar os valores de demanda contratados. 12% das unidades, principalmente do interior, estão com o banco capacitor.</w:t>
      </w:r>
    </w:p>
    <w:p w:rsidR="003E6588" w:rsidRDefault="003E6588">
      <w:pPr>
        <w:ind w:firstLine="1134"/>
        <w:jc w:val="both"/>
      </w:pPr>
    </w:p>
    <w:p w:rsidR="003E6588" w:rsidRDefault="003E6588">
      <w:pPr>
        <w:tabs>
          <w:tab w:val="left" w:pos="284"/>
        </w:tabs>
        <w:ind w:firstLine="1134"/>
        <w:jc w:val="both"/>
      </w:pPr>
      <w:r>
        <w:rPr>
          <w:b/>
        </w:rPr>
        <w:t xml:space="preserve">Programa de Eficientização Energética - </w:t>
      </w:r>
      <w:r>
        <w:rPr>
          <w:b/>
          <w:bCs/>
        </w:rPr>
        <w:t xml:space="preserve">Lei nº 9.991/2000 - Aneel - </w:t>
      </w:r>
      <w:r>
        <w:t>As concessionárias e permissionárias de serviços públicos de distribuição de energia elétrica ficam obrigadas a aplicar, anualmente, o montante de, no mínimo, setenta e cinco centésimos por cento de sua receita operacional líquida em pesquisa e desenvolvimento do setor elétrico e</w:t>
      </w:r>
      <w:r>
        <w:rPr>
          <w:b/>
          <w:bCs/>
        </w:rPr>
        <w:t xml:space="preserve">, </w:t>
      </w:r>
      <w:r>
        <w:rPr>
          <w:bCs/>
        </w:rPr>
        <w:t>no mínimo, vinte e cinco centésimos por cento em programas de eficiência energética no uso final.</w:t>
      </w:r>
      <w:r>
        <w:rPr>
          <w:b/>
          <w:bCs/>
        </w:rPr>
        <w:t xml:space="preserve"> </w:t>
      </w:r>
      <w:r>
        <w:rPr>
          <w:bCs/>
        </w:rPr>
        <w:t>A SAP solicitou às concessionárias Eletropaulo, Elektro, CPFL e Bandeirantes a inserção das unidades prisionais no programa. Foram atendidas 16 unidades, o que propiciou troca de 12.200 lâmpadas</w:t>
      </w:r>
      <w:r>
        <w:rPr>
          <w:bCs/>
          <w:color w:val="000000"/>
        </w:rPr>
        <w:t>.</w:t>
      </w:r>
    </w:p>
    <w:p w:rsidR="003E6588" w:rsidRDefault="003E6588">
      <w:pPr>
        <w:ind w:firstLine="1134"/>
        <w:jc w:val="both"/>
      </w:pPr>
    </w:p>
    <w:p w:rsidR="003E6588" w:rsidRDefault="003E6588">
      <w:pPr>
        <w:tabs>
          <w:tab w:val="left" w:pos="284"/>
        </w:tabs>
        <w:ind w:firstLine="1134"/>
        <w:jc w:val="both"/>
      </w:pPr>
      <w:r>
        <w:rPr>
          <w:b/>
        </w:rPr>
        <w:t xml:space="preserve">Programa Melhoria dos Gastos Públicos - </w:t>
      </w:r>
      <w:r>
        <w:t xml:space="preserve">Instituído pelo Decreto nº 57.829/2012, criou a figura do “Guardião da Economia”. A SAP nomeou guardião para cada unidade prisional, sede e Escola da Administração Penitenciária - EAP, com reuniões de trabalho efetuadas por meio de </w:t>
      </w:r>
      <w:r>
        <w:rPr>
          <w:i/>
        </w:rPr>
        <w:t>streaming</w:t>
      </w:r>
      <w:r>
        <w:t xml:space="preserve"> - reuniões virtuais. Foram realizadas 8 reuniões, nas quais foram transmitidas e atualizadas</w:t>
      </w:r>
      <w:r>
        <w:rPr>
          <w:color w:val="FF0000"/>
        </w:rPr>
        <w:t xml:space="preserve"> </w:t>
      </w:r>
      <w:r>
        <w:lastRenderedPageBreak/>
        <w:t>as informações sobre economias e boas práticas realizadas por servidores das unidades prisionais. A EAP realizou 22 palestras de economicidade e melhoria dos gastos públicos, recém convocado grupo de aproximadamente 800 Agentes de Segurança Penitenciária - ASP, com a finalidade de sensibilizá-los quanto ao bom uso do recurso público e a necessidade de se evitar desperdícios.</w:t>
      </w:r>
    </w:p>
    <w:p w:rsidR="003E6588" w:rsidRPr="00487E60" w:rsidRDefault="003E6588">
      <w:pPr>
        <w:ind w:firstLine="1134"/>
        <w:jc w:val="both"/>
      </w:pPr>
    </w:p>
    <w:p w:rsidR="003E6588" w:rsidRDefault="003E6588">
      <w:pPr>
        <w:tabs>
          <w:tab w:val="left" w:pos="284"/>
        </w:tabs>
        <w:ind w:firstLine="1134"/>
        <w:jc w:val="both"/>
      </w:pPr>
      <w:r>
        <w:rPr>
          <w:b/>
        </w:rPr>
        <w:t xml:space="preserve">Procedimentos operacionais padronizados para descarte de recipientes individuais aluminizados descartáveis e recicláveis, utilizados nos serviços de nutrição e alimentação do Sistema Penitenciário do Estado - </w:t>
      </w:r>
      <w:r>
        <w:t>Criou-se o projeto para correta eliminação dos recipientes descartáveis, aluminizados, que são utilizados nas unidades dos Centros de Detenção Provisória que não possuem em sua estrutura física ala para cozinha industrial, que deve atender à padronização verificada nas demais unidades prisionais.</w:t>
      </w:r>
    </w:p>
    <w:p w:rsidR="003E6588" w:rsidRDefault="003E6588">
      <w:pPr>
        <w:ind w:firstLine="1134"/>
        <w:jc w:val="both"/>
      </w:pPr>
    </w:p>
    <w:p w:rsidR="003E6588" w:rsidRDefault="003E6588">
      <w:pPr>
        <w:ind w:firstLine="1134"/>
        <w:jc w:val="both"/>
        <w:rPr>
          <w:strike/>
        </w:rPr>
      </w:pPr>
      <w:r>
        <w:t>O projeto foi aprovado pelo setor competente e, em função das atualizações dos estudos técnicos dos serviços terceirizados (CADTERC), os procedimentos serão contemplados na próxima edição do Volume 5 - Prestação de Serviços de Nutrição e Alimentação de Pessoas Presas.</w:t>
      </w:r>
    </w:p>
    <w:p w:rsidR="003E6588" w:rsidRDefault="003E6588">
      <w:pPr>
        <w:tabs>
          <w:tab w:val="left" w:pos="284"/>
        </w:tabs>
        <w:ind w:firstLine="1276"/>
        <w:jc w:val="both"/>
        <w:rPr>
          <w:b/>
        </w:rPr>
      </w:pPr>
    </w:p>
    <w:p w:rsidR="003E6588" w:rsidRDefault="003E6588">
      <w:pPr>
        <w:tabs>
          <w:tab w:val="left" w:pos="284"/>
        </w:tabs>
        <w:ind w:firstLine="1276"/>
        <w:jc w:val="both"/>
      </w:pPr>
      <w:r>
        <w:rPr>
          <w:b/>
        </w:rPr>
        <w:t xml:space="preserve">Manual de Boas Práticas para Serviços de Nutrição &amp; Alimentação do Sistema Penitenciário do Estado de São Paulo - </w:t>
      </w:r>
      <w:r>
        <w:t>Visa estabelecer procedimentos operacionais padronizados no serviço de alimentação das unidades prisionais, considerando desde estrutura física necessária até capacitação da mão-de-obra utilizada.</w:t>
      </w:r>
    </w:p>
    <w:p w:rsidR="003E6588" w:rsidRDefault="003E6588">
      <w:pPr>
        <w:ind w:firstLine="1134"/>
        <w:jc w:val="both"/>
      </w:pPr>
    </w:p>
    <w:p w:rsidR="003E6588" w:rsidRDefault="003E6588">
      <w:pPr>
        <w:ind w:firstLine="1134"/>
        <w:jc w:val="both"/>
        <w:rPr>
          <w:strike/>
        </w:rPr>
      </w:pPr>
      <w:r>
        <w:t>Aos Núcleos de Saúde das Coordenadorias da SAP, por intermédio de suas nutricionistas compete a distribuição dos manuais e a sensibilização dos servidores e custodiados que atuam nas cozinhas.</w:t>
      </w:r>
    </w:p>
    <w:p w:rsidR="003E6588" w:rsidRDefault="003E6588">
      <w:pPr>
        <w:ind w:firstLine="1134"/>
        <w:jc w:val="both"/>
      </w:pPr>
    </w:p>
    <w:p w:rsidR="003E6588" w:rsidRDefault="003E6588">
      <w:pPr>
        <w:tabs>
          <w:tab w:val="left" w:pos="284"/>
        </w:tabs>
        <w:ind w:firstLine="1134"/>
        <w:jc w:val="both"/>
      </w:pPr>
      <w:r>
        <w:rPr>
          <w:b/>
        </w:rPr>
        <w:t xml:space="preserve">Campanha Papel não é Lixo - </w:t>
      </w:r>
      <w:r>
        <w:t>Conscientização dos servidores da Sede da SAP e da Escola de Administração Penitenciária “Dr. Luiz Camargo Wolfman” - EAP, no recolhimento de papel/papelão e afins não servíveis, para encaminhamento ao Fundo Social de Solidariedade do Estado de São Paulo - FUSSESP. Foram recolhidos, em média, 700 quilogramas mensais.</w:t>
      </w:r>
    </w:p>
    <w:p w:rsidR="003E6588" w:rsidRDefault="003E6588">
      <w:pPr>
        <w:ind w:firstLine="1134"/>
        <w:jc w:val="both"/>
      </w:pPr>
    </w:p>
    <w:p w:rsidR="003E6588" w:rsidRDefault="003E6588">
      <w:pPr>
        <w:tabs>
          <w:tab w:val="left" w:pos="284"/>
        </w:tabs>
        <w:ind w:firstLine="1276"/>
        <w:jc w:val="both"/>
      </w:pPr>
      <w:r>
        <w:rPr>
          <w:b/>
        </w:rPr>
        <w:t xml:space="preserve">Gestão da Modernização da Administração Penitenciária do Parque Tecnológico do Sistema Penitenciário do Estado de São Paulo - </w:t>
      </w:r>
      <w:r>
        <w:t xml:space="preserve">Com base no Decreto nº 57.829/2012, que instituiu o Programa Melhoria do Gasto Público - Desperdício Zero, foi elaborado o projeto “Gestão da Modernização do Parque Tecnológico da SAP”, que resultou no aparelhamento da sede, coordenadorias, unidades e órgãos da Pasta, com mobiliário, infraestrutura tecnológica e quantidade de máquinas suficiente para operar os sistemas atuais e os futuros, medida que, além de servir de incentivo aos servidores, refletem na qualidade da administração e do controle do gasto em materiais e em segurança no tráfego de dados. Ademais, promove a integração das unidades administrativas da SAP em uma mesma plataforma, divorciando-se de sistemas pontuais por coordenadorias e unidades, agilizando a tomada de decisões gerenciais que reclamam tecnologia de suporte e ferramentas condizentes com a magnitude da Pasta. Cite-se, como exemplo, o Sistema de Administração de Materiais, Sistema GPU - módulos Rol de Visita, Sistema de Numerário e Pecúlio, Sistema de Custos, Sistema de Recursos Humanos - SisDrHu, Sistema de controle de transferências de funcionários (LPT </w:t>
      </w:r>
      <w:r>
        <w:lastRenderedPageBreak/>
        <w:t xml:space="preserve">e LPTR), Sistema de padronização de Editais e Contratos Administrativos, Sistema de controle de patrimônio - SISPAT, Sistema de controle de apurações preliminares - SISCAP, Sistema para controle de semiaberto e saída temporária - SASTE, Sistema de controle de tuberculose - </w:t>
      </w:r>
      <w:r w:rsidRPr="00220601">
        <w:t>EKOS e o Sistema</w:t>
      </w:r>
      <w:r>
        <w:t xml:space="preserve"> para controle de revistas, apreensões e fugas - SICRAFE.</w:t>
      </w:r>
    </w:p>
    <w:p w:rsidR="003E6588" w:rsidRDefault="003E6588">
      <w:pPr>
        <w:ind w:firstLine="1134"/>
        <w:jc w:val="both"/>
      </w:pPr>
    </w:p>
    <w:p w:rsidR="003E6588" w:rsidRDefault="003E6588">
      <w:pPr>
        <w:pStyle w:val="Relatrio2010"/>
        <w:spacing w:after="0" w:afterAutospacing="0"/>
        <w:ind w:firstLine="1134"/>
        <w:rPr>
          <w:szCs w:val="24"/>
        </w:rPr>
      </w:pPr>
      <w:r>
        <w:rPr>
          <w:b/>
          <w:szCs w:val="24"/>
        </w:rPr>
        <w:t xml:space="preserve">Assessoria de Imprensa - </w:t>
      </w:r>
      <w:r>
        <w:rPr>
          <w:szCs w:val="24"/>
        </w:rPr>
        <w:t>Houve mudanças na estratégia de comunicação da Pasta, com ênfase na comunicação interna, reforço nas redes sociais e na divulgação de pautas positivas sobre o sistema penitenciário.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 xml:space="preserve">Foram encaminhadas 874 notas de resposta aos veículos de imprensa, média de 80 ao mês. Foram disponibilizados 13 boletins do tipo </w:t>
      </w:r>
      <w:r>
        <w:rPr>
          <w:i/>
          <w:szCs w:val="24"/>
        </w:rPr>
        <w:t>Newsletter</w:t>
      </w:r>
      <w:r>
        <w:rPr>
          <w:szCs w:val="24"/>
        </w:rPr>
        <w:t xml:space="preserve">, publicada a edição nº 9 e diagramada a edição nº 10 da Revista SAP. Foram elaborados e distribuídos 20 </w:t>
      </w:r>
      <w:r>
        <w:rPr>
          <w:i/>
          <w:szCs w:val="24"/>
        </w:rPr>
        <w:t>releases</w:t>
      </w:r>
      <w:r>
        <w:rPr>
          <w:szCs w:val="24"/>
        </w:rPr>
        <w:t>, avisos de pauta e notas especiais aos veículos de comunicação.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Agenda do Secretário - Foi realizada cobertura e divulgação de 199 eventos/reuniões/ solenidades e elaborados 17 Informativos/</w:t>
      </w:r>
      <w:r>
        <w:rPr>
          <w:i/>
          <w:szCs w:val="24"/>
        </w:rPr>
        <w:t>Briefings</w:t>
      </w:r>
      <w:r>
        <w:rPr>
          <w:szCs w:val="24"/>
        </w:rPr>
        <w:t>.</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A Assessoria de Imprensa auxiliou o Departamento de Engenharia no cumprimento das exigências da Cetesb para liberação da Licença de Operação dos novos presídios do Estado, produzindo folder explicativo e release específico para obtenção da Licença para cada unidade.</w:t>
      </w:r>
    </w:p>
    <w:p w:rsidR="003E6588" w:rsidRDefault="003E6588">
      <w:pPr>
        <w:pStyle w:val="Relatrio2010"/>
        <w:spacing w:after="0" w:afterAutospacing="0"/>
        <w:ind w:firstLine="1134"/>
        <w:rPr>
          <w:szCs w:val="24"/>
        </w:rPr>
      </w:pPr>
    </w:p>
    <w:p w:rsidR="003E6588" w:rsidRDefault="003E6588">
      <w:pPr>
        <w:pStyle w:val="Relatrio2010"/>
        <w:tabs>
          <w:tab w:val="left" w:pos="284"/>
        </w:tabs>
        <w:spacing w:after="0" w:afterAutospacing="0"/>
        <w:ind w:left="1134"/>
        <w:rPr>
          <w:b/>
          <w:szCs w:val="24"/>
        </w:rPr>
      </w:pPr>
      <w:r>
        <w:rPr>
          <w:b/>
          <w:szCs w:val="24"/>
        </w:rPr>
        <w:t>Coordenadoria de Reintegração Social e Cidadania - CRSC</w:t>
      </w:r>
    </w:p>
    <w:p w:rsidR="003E6588" w:rsidRDefault="003E6588">
      <w:pPr>
        <w:pStyle w:val="Relatrio2010"/>
        <w:spacing w:after="0" w:afterAutospacing="0"/>
        <w:ind w:firstLine="1134"/>
        <w:rPr>
          <w:b/>
          <w:szCs w:val="24"/>
        </w:rPr>
      </w:pPr>
    </w:p>
    <w:p w:rsidR="003E6588" w:rsidRDefault="003E6588">
      <w:pPr>
        <w:pStyle w:val="Relatrio2010"/>
        <w:spacing w:after="0" w:afterAutospacing="0"/>
        <w:ind w:firstLine="1134"/>
      </w:pPr>
      <w:r>
        <w:rPr>
          <w:b/>
          <w:szCs w:val="24"/>
        </w:rPr>
        <w:t xml:space="preserve">Programa de Penas e Medidas Alternativas - </w:t>
      </w:r>
      <w:r>
        <w:t>Tem por finalidade difundir a prática da aplicação de medidas alternativas à prisão. Recebe pessoas destinadas a cumprir penas alternativas à prisão, em especial as de prestação de serviços à comunidade. No programa são realizados avaliação psicossocial e levantamento de demandas, além da avaliação de potencialidades, bem como das limitações/restrições dos apenados. Após, e de acordo com o perfil levantado na entrevista, são encaminhados a instituições, públicas ou não, porém sem fins lucrativos, para cumprimento das penas.</w:t>
      </w:r>
    </w:p>
    <w:p w:rsidR="003E6588" w:rsidRDefault="003E6588">
      <w:pPr>
        <w:tabs>
          <w:tab w:val="left" w:pos="5760"/>
        </w:tabs>
        <w:ind w:firstLine="1134"/>
        <w:jc w:val="both"/>
      </w:pPr>
    </w:p>
    <w:p w:rsidR="003E6588" w:rsidRDefault="003E6588">
      <w:pPr>
        <w:tabs>
          <w:tab w:val="left" w:pos="5760"/>
        </w:tabs>
        <w:ind w:firstLine="1134"/>
        <w:jc w:val="both"/>
      </w:pPr>
      <w:r>
        <w:t>O programa abrange a realização de atividades técnicas destinadas ao cumprimento de Medidas Educativas e Terapêuticas e de Mediação e Terapia Comunitária, voltadas aos usuários de drogas e seus familiares, além do encaminhamento, monitoramento e fiscalização dos locais de execução de pena, para verificação de seu efetivo cumprimento.</w:t>
      </w:r>
    </w:p>
    <w:p w:rsidR="003E6588" w:rsidRDefault="003E6588">
      <w:pPr>
        <w:tabs>
          <w:tab w:val="left" w:pos="5760"/>
        </w:tabs>
        <w:ind w:firstLine="1134"/>
        <w:jc w:val="both"/>
      </w:pPr>
    </w:p>
    <w:p w:rsidR="003E6588" w:rsidRDefault="003E6588">
      <w:pPr>
        <w:tabs>
          <w:tab w:val="left" w:pos="5760"/>
        </w:tabs>
        <w:ind w:firstLine="1134"/>
        <w:jc w:val="both"/>
        <w:rPr>
          <w:strike/>
        </w:rPr>
      </w:pPr>
      <w:r>
        <w:t>Atualmente são 61 Centrais de Penas e Medidas Alternativas em funcionamento, localizadas em 59 municípios do Estado. Seis delas foram inauguradas neste ano.</w:t>
      </w:r>
    </w:p>
    <w:p w:rsidR="003E6588" w:rsidRDefault="003E6588">
      <w:pPr>
        <w:tabs>
          <w:tab w:val="left" w:pos="5760"/>
        </w:tabs>
        <w:ind w:firstLine="1134"/>
        <w:jc w:val="both"/>
      </w:pPr>
    </w:p>
    <w:p w:rsidR="003E6588" w:rsidRDefault="003E6588">
      <w:pPr>
        <w:tabs>
          <w:tab w:val="left" w:pos="5760"/>
        </w:tabs>
        <w:ind w:firstLine="1134"/>
        <w:jc w:val="both"/>
      </w:pPr>
      <w:r>
        <w:t>O custo por apenado a pena alternativa é de R$ 26,08, um dos menores por beneficiário do Brasil, e a eficácia do programa está explícita no seu índice de reinclusão no programa, que é de apenas 5,3%.</w:t>
      </w:r>
    </w:p>
    <w:p w:rsidR="003E6588" w:rsidRDefault="003E6588">
      <w:pPr>
        <w:tabs>
          <w:tab w:val="left" w:pos="5760"/>
        </w:tabs>
        <w:ind w:firstLine="1134"/>
        <w:jc w:val="both"/>
      </w:pPr>
    </w:p>
    <w:p w:rsidR="003E6588" w:rsidRDefault="003E6588">
      <w:pPr>
        <w:tabs>
          <w:tab w:val="left" w:pos="5760"/>
        </w:tabs>
        <w:ind w:firstLine="1134"/>
        <w:jc w:val="both"/>
      </w:pPr>
      <w:r>
        <w:lastRenderedPageBreak/>
        <w:t>Foram cadastradas no programa, 11.865 pessoas e estão sendo acompanhadas 12.901 em cumprimento de pena.</w:t>
      </w:r>
    </w:p>
    <w:p w:rsidR="003E6588" w:rsidRDefault="003E6588">
      <w:pPr>
        <w:tabs>
          <w:tab w:val="left" w:pos="5760"/>
        </w:tabs>
        <w:ind w:firstLine="1134"/>
        <w:jc w:val="both"/>
      </w:pPr>
    </w:p>
    <w:p w:rsidR="003E6588" w:rsidRDefault="003E6588">
      <w:pPr>
        <w:tabs>
          <w:tab w:val="left" w:pos="5760"/>
        </w:tabs>
        <w:ind w:firstLine="1134"/>
        <w:jc w:val="both"/>
        <w:rPr>
          <w:bCs/>
        </w:rPr>
      </w:pPr>
      <w:r>
        <w:rPr>
          <w:bCs/>
        </w:rPr>
        <w:t>Atendimento de apenados a Medidas Educativas - para casos de usuários de drogas em atendimento ao que preconiza a Lei nº 11.343/2006: 568 pessoas encaminhadas para instituições especializadas.</w:t>
      </w:r>
    </w:p>
    <w:p w:rsidR="003E6588" w:rsidRDefault="003E6588">
      <w:pPr>
        <w:tabs>
          <w:tab w:val="left" w:pos="5760"/>
        </w:tabs>
        <w:ind w:firstLine="1134"/>
        <w:jc w:val="both"/>
      </w:pPr>
    </w:p>
    <w:p w:rsidR="003E6588" w:rsidRDefault="003E6588">
      <w:pPr>
        <w:tabs>
          <w:tab w:val="left" w:pos="5760"/>
        </w:tabs>
        <w:ind w:firstLine="1134"/>
        <w:jc w:val="both"/>
        <w:rPr>
          <w:bCs/>
        </w:rPr>
      </w:pPr>
      <w:r>
        <w:rPr>
          <w:b/>
          <w:bCs/>
        </w:rPr>
        <w:t>Programa Renda Cidadã e Ação Jovem -</w:t>
      </w:r>
      <w:r>
        <w:rPr>
          <w:bCs/>
        </w:rPr>
        <w:t xml:space="preserve"> Inscritas 25 pessoas para recebimento do benefício.</w:t>
      </w:r>
    </w:p>
    <w:p w:rsidR="003E6588" w:rsidRDefault="003E6588">
      <w:pPr>
        <w:tabs>
          <w:tab w:val="left" w:pos="5760"/>
        </w:tabs>
        <w:ind w:firstLine="1134"/>
        <w:jc w:val="both"/>
        <w:rPr>
          <w:bCs/>
        </w:rPr>
      </w:pPr>
    </w:p>
    <w:p w:rsidR="003E6588" w:rsidRDefault="003E6588">
      <w:pPr>
        <w:tabs>
          <w:tab w:val="left" w:pos="284"/>
        </w:tabs>
        <w:ind w:firstLine="1134"/>
        <w:jc w:val="both"/>
        <w:rPr>
          <w:bCs/>
        </w:rPr>
      </w:pPr>
      <w:r>
        <w:rPr>
          <w:bCs/>
        </w:rPr>
        <w:t>Central de Penas e Medidas Alternativas da Mulher - CPMA Mulher/2014 - Atendidas 477 apenadas e 3</w:t>
      </w:r>
      <w:r w:rsidR="00220601">
        <w:rPr>
          <w:bCs/>
        </w:rPr>
        <w:t>30 estão em cumprimento de pena.</w:t>
      </w:r>
    </w:p>
    <w:p w:rsidR="003E6588" w:rsidRDefault="003E6588">
      <w:pPr>
        <w:tabs>
          <w:tab w:val="left" w:pos="5760"/>
        </w:tabs>
        <w:ind w:firstLine="1134"/>
        <w:jc w:val="both"/>
        <w:rPr>
          <w:bCs/>
          <w:highlight w:val="yellow"/>
        </w:rPr>
      </w:pPr>
    </w:p>
    <w:p w:rsidR="003E6588" w:rsidRDefault="003E6588">
      <w:pPr>
        <w:pStyle w:val="Relatrio2010"/>
        <w:spacing w:after="0" w:afterAutospacing="0"/>
        <w:ind w:firstLine="1134"/>
        <w:rPr>
          <w:szCs w:val="24"/>
        </w:rPr>
      </w:pPr>
      <w:r>
        <w:rPr>
          <w:b/>
          <w:szCs w:val="24"/>
        </w:rPr>
        <w:t xml:space="preserve">Programa de Atenção ao Egresso e Família - </w:t>
      </w:r>
      <w:r>
        <w:rPr>
          <w:szCs w:val="24"/>
        </w:rPr>
        <w:t>Tem por finalidade dar assistência direta ao egresso contextualizado no seu âmbito familiar, com vistas à autonomia e postura cidadã para que possam retomar o convívio social mais amplo, promovendo a reintegração social dos egressos do Sistema Prisional Paulista.</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Egres</w:t>
      </w:r>
      <w:r w:rsidR="00220601">
        <w:rPr>
          <w:szCs w:val="24"/>
        </w:rPr>
        <w:t>sos/Egressas - 86.169 atendidos.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Familiares de Egressos/Egressas - 16.478 pessoas atendidas.</w:t>
      </w:r>
    </w:p>
    <w:p w:rsidR="003E6588" w:rsidRDefault="003E6588">
      <w:pPr>
        <w:pStyle w:val="Relatrio2010"/>
        <w:spacing w:after="0" w:afterAutospacing="0"/>
        <w:ind w:firstLine="1134"/>
        <w:rPr>
          <w:szCs w:val="24"/>
          <w:highlight w:val="yellow"/>
        </w:rPr>
      </w:pPr>
    </w:p>
    <w:p w:rsidR="003E6588" w:rsidRDefault="003E6588">
      <w:pPr>
        <w:pStyle w:val="Relatrio2010"/>
        <w:spacing w:after="0" w:afterAutospacing="0"/>
        <w:ind w:firstLine="1134"/>
        <w:rPr>
          <w:b/>
          <w:szCs w:val="24"/>
        </w:rPr>
      </w:pPr>
      <w:r>
        <w:rPr>
          <w:b/>
          <w:szCs w:val="24"/>
        </w:rPr>
        <w:t>Ações socioeducativas e de geração de renda</w:t>
      </w:r>
    </w:p>
    <w:p w:rsidR="003E6588" w:rsidRDefault="003E6588">
      <w:pPr>
        <w:pStyle w:val="Relatrio2010"/>
        <w:spacing w:after="0" w:afterAutospacing="0"/>
        <w:ind w:firstLine="1134"/>
        <w:rPr>
          <w:b/>
          <w:szCs w:val="24"/>
        </w:rPr>
      </w:pPr>
    </w:p>
    <w:p w:rsidR="003E6588" w:rsidRDefault="003E6588">
      <w:pPr>
        <w:pStyle w:val="Relatrio2010"/>
        <w:spacing w:after="0" w:afterAutospacing="0"/>
        <w:ind w:firstLine="1134"/>
        <w:rPr>
          <w:szCs w:val="24"/>
        </w:rPr>
      </w:pPr>
      <w:r>
        <w:rPr>
          <w:b/>
          <w:szCs w:val="24"/>
        </w:rPr>
        <w:t>Programa Renda Cidadã -</w:t>
      </w:r>
      <w:r>
        <w:rPr>
          <w:szCs w:val="24"/>
        </w:rPr>
        <w:t xml:space="preserve"> 2.362 pessoas atendidas, sendo 434 egressos, 177 egressas e 1.751 familiares cadastrado</w:t>
      </w:r>
      <w:r w:rsidR="00220601">
        <w:rPr>
          <w:szCs w:val="24"/>
        </w:rPr>
        <w:t>s para recebimento do benefício.</w:t>
      </w:r>
    </w:p>
    <w:p w:rsidR="003E6588" w:rsidRDefault="003E6588">
      <w:pPr>
        <w:pStyle w:val="Relatrio2010"/>
        <w:spacing w:after="0" w:afterAutospacing="0"/>
        <w:ind w:firstLine="1134"/>
        <w:rPr>
          <w:szCs w:val="24"/>
          <w:highlight w:val="yellow"/>
        </w:rPr>
      </w:pPr>
    </w:p>
    <w:p w:rsidR="003E6588" w:rsidRDefault="003E6588">
      <w:pPr>
        <w:pStyle w:val="Relatrio2010"/>
        <w:spacing w:after="0" w:afterAutospacing="0"/>
        <w:ind w:firstLine="1134"/>
        <w:rPr>
          <w:szCs w:val="24"/>
        </w:rPr>
      </w:pPr>
      <w:r>
        <w:rPr>
          <w:b/>
          <w:szCs w:val="24"/>
        </w:rPr>
        <w:t>Programa Ação Jovem -</w:t>
      </w:r>
      <w:r>
        <w:rPr>
          <w:szCs w:val="24"/>
        </w:rPr>
        <w:t xml:space="preserve"> 295 pessoas atendidas, sendo 60 egressos, 2 egressas e 233 familiares cadastrados.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Programa Pró Egresso</w:t>
      </w:r>
      <w:r>
        <w:rPr>
          <w:szCs w:val="24"/>
        </w:rPr>
        <w:t xml:space="preserve"> - 3.117 pessoas atendidas, sendo 2.683 egressos, 341 egressas e 93 familiares.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Programa de qualificação profissional Via Rápida da SDECTI</w:t>
      </w:r>
      <w:r>
        <w:rPr>
          <w:szCs w:val="24"/>
        </w:rPr>
        <w:t xml:space="preserve"> - Inseridos 1.952 egressos, sendo 1.479 egressos, 210 egressas e 263 familiares.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Programa Pró Egresso (Emprega São Paulo)</w:t>
      </w:r>
      <w:r>
        <w:rPr>
          <w:szCs w:val="24"/>
        </w:rPr>
        <w:t xml:space="preserve"> nas Unidades de Atendimento - Foram cadastrados 336 egressos </w:t>
      </w:r>
      <w:r>
        <w:rPr>
          <w:strike/>
          <w:szCs w:val="24"/>
        </w:rPr>
        <w:t>al</w:t>
      </w:r>
      <w:r>
        <w:rPr>
          <w:szCs w:val="24"/>
        </w:rPr>
        <w:t>, sendo 176 egressos, 15 egressas e 145 familiares.</w:t>
      </w:r>
    </w:p>
    <w:p w:rsidR="003E6588" w:rsidRDefault="003E6588">
      <w:pPr>
        <w:pStyle w:val="Relatrio2010"/>
        <w:spacing w:after="0" w:afterAutospacing="0"/>
        <w:ind w:firstLine="1134"/>
        <w:rPr>
          <w:szCs w:val="24"/>
          <w:highlight w:val="yellow"/>
        </w:rPr>
      </w:pPr>
    </w:p>
    <w:p w:rsidR="003E6588" w:rsidRDefault="003E6588">
      <w:pPr>
        <w:pStyle w:val="Relatrio2010"/>
        <w:spacing w:after="0" w:afterAutospacing="0"/>
        <w:ind w:firstLine="1134"/>
        <w:rPr>
          <w:szCs w:val="24"/>
        </w:rPr>
      </w:pPr>
      <w:r>
        <w:rPr>
          <w:szCs w:val="24"/>
        </w:rPr>
        <w:t>Existem 32 Centrais de Atenção ao Egresso e Famílias em funcionamento, em 32 municípios do Estado.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lastRenderedPageBreak/>
        <w:t xml:space="preserve">Grupo de Capacitação Aperfeiçoamento e Empregabilidade - </w:t>
      </w:r>
      <w:r>
        <w:rPr>
          <w:szCs w:val="24"/>
        </w:rPr>
        <w:t>Capacitação profissional das pessoas que cumprem pena em regime semiaberto, egresso: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3.282 pessoas foram capacitadas para o mercado de trabalho.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b/>
          <w:szCs w:val="24"/>
        </w:rPr>
        <w:t xml:space="preserve">Empregabilidade - </w:t>
      </w:r>
      <w:r>
        <w:rPr>
          <w:szCs w:val="24"/>
        </w:rPr>
        <w:t>No Programa Emergencial de Auxílio Desemprego Frente de Trabalho da Secretaria do Emprego e Relações do Trabalho - SERT, foram inseridas 434 pessoas presas (pré-egressos) no regime semiaberto.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No Programa de qualificação profissional Via Rápida da Secretaria de Desenvolvimento Econômico, Ciência, Tecnologia e Inovação - SDECTI, foram inseridos 1.340 presos.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Por meio da qualificação profissional no programa PEQ da SERT, foram inseridos 1.360 presos.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 xml:space="preserve">Por meio da qualificação profissional no </w:t>
      </w:r>
      <w:r>
        <w:rPr>
          <w:szCs w:val="24"/>
          <w:shd w:val="clear" w:color="auto" w:fill="FFFFFF"/>
        </w:rPr>
        <w:t>Programa Nacional de Acesso ao Ensino Técnico e Emprego -</w:t>
      </w:r>
      <w:r>
        <w:rPr>
          <w:szCs w:val="24"/>
        </w:rPr>
        <w:t xml:space="preserve"> </w:t>
      </w:r>
      <w:r>
        <w:rPr>
          <w:szCs w:val="24"/>
          <w:shd w:val="clear" w:color="auto" w:fill="FFFFFF"/>
        </w:rPr>
        <w:t xml:space="preserve">Programa Nacional de Acesso ao Ensino Técnico e Emprego - </w:t>
      </w:r>
      <w:r>
        <w:rPr>
          <w:szCs w:val="24"/>
        </w:rPr>
        <w:t>PRONATEC Ministério da Justiça - MJ - Departamento Penitenciário Nacional - DEPEN, foram inseridos 582 presos.</w:t>
      </w:r>
    </w:p>
    <w:p w:rsidR="003E6588" w:rsidRDefault="003E6588">
      <w:pPr>
        <w:pStyle w:val="Relatrio2010"/>
        <w:spacing w:after="0" w:afterAutospacing="0"/>
        <w:ind w:firstLine="1134"/>
        <w:rPr>
          <w:szCs w:val="24"/>
        </w:rPr>
      </w:pPr>
    </w:p>
    <w:p w:rsidR="003E6588" w:rsidRDefault="003E6588">
      <w:pPr>
        <w:pStyle w:val="Relatrio2010"/>
        <w:spacing w:after="0" w:afterAutospacing="0"/>
        <w:ind w:right="49" w:firstLine="1134"/>
        <w:rPr>
          <w:szCs w:val="24"/>
        </w:rPr>
      </w:pPr>
      <w:r>
        <w:rPr>
          <w:szCs w:val="24"/>
        </w:rPr>
        <w:t>Foram cadastrados 28.929 egressos no Programa Pró Egresso (Emprega São Paulo) por meio das Unidades Prisionais.</w:t>
      </w:r>
    </w:p>
    <w:p w:rsidR="003E6588" w:rsidRDefault="003E6588">
      <w:pPr>
        <w:pStyle w:val="Relatrio2010"/>
        <w:spacing w:after="0" w:afterAutospacing="0"/>
        <w:ind w:firstLine="1134"/>
        <w:rPr>
          <w:szCs w:val="24"/>
        </w:rPr>
      </w:pPr>
    </w:p>
    <w:p w:rsidR="003E6588" w:rsidRDefault="003E6588">
      <w:pPr>
        <w:pStyle w:val="Relatrio2010"/>
        <w:spacing w:after="0" w:afterAutospacing="0"/>
        <w:ind w:right="49" w:firstLine="1134"/>
        <w:rPr>
          <w:strike/>
          <w:szCs w:val="24"/>
        </w:rPr>
      </w:pPr>
      <w:r>
        <w:rPr>
          <w:szCs w:val="24"/>
        </w:rPr>
        <w:t>291 egressos conseguiram vagas de trabalho por meio do Programa Pró Egresso.</w:t>
      </w:r>
    </w:p>
    <w:p w:rsidR="003E6588" w:rsidRDefault="003E6588">
      <w:pPr>
        <w:pStyle w:val="Relatrio2010"/>
        <w:spacing w:after="0" w:afterAutospacing="0"/>
        <w:ind w:firstLine="1134"/>
        <w:rPr>
          <w:strike/>
          <w:szCs w:val="24"/>
        </w:rPr>
      </w:pPr>
    </w:p>
    <w:p w:rsidR="003E6588" w:rsidRDefault="003E6588">
      <w:pPr>
        <w:pStyle w:val="Relatrio2010"/>
        <w:spacing w:after="0" w:afterAutospacing="0"/>
        <w:ind w:right="49" w:firstLine="1134"/>
        <w:rPr>
          <w:strike/>
          <w:szCs w:val="24"/>
        </w:rPr>
      </w:pPr>
      <w:r>
        <w:rPr>
          <w:szCs w:val="24"/>
        </w:rPr>
        <w:t>847 egressos foram inseridos no mercado de trabalho pelo Programa Pró Egresso, por meio de ações das CAEFs.</w:t>
      </w:r>
    </w:p>
    <w:p w:rsidR="003E6588" w:rsidRDefault="003E6588">
      <w:pPr>
        <w:pStyle w:val="Relatrio2010"/>
        <w:spacing w:after="0" w:afterAutospacing="0"/>
        <w:ind w:firstLine="1134"/>
        <w:rPr>
          <w:szCs w:val="24"/>
        </w:rPr>
      </w:pPr>
    </w:p>
    <w:p w:rsidR="003E6588" w:rsidRDefault="003E6588">
      <w:pPr>
        <w:pStyle w:val="Relatrio2010"/>
        <w:spacing w:after="0" w:afterAutospacing="0"/>
        <w:ind w:right="49" w:firstLine="1134"/>
        <w:rPr>
          <w:szCs w:val="24"/>
        </w:rPr>
      </w:pPr>
      <w:r>
        <w:rPr>
          <w:b/>
          <w:szCs w:val="24"/>
        </w:rPr>
        <w:t xml:space="preserve">Programa de Ações de Reintegração Social - </w:t>
      </w:r>
      <w:r>
        <w:rPr>
          <w:szCs w:val="24"/>
        </w:rPr>
        <w:t>Monitoramento das Ações de Reintegração Social:</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 Atendimentos a pessoas presas - 530.487;</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 Documentos retirados - 32.100;</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 Ações dirigidas a familiares - 231.207;</w:t>
      </w:r>
    </w:p>
    <w:p w:rsidR="003E6588" w:rsidRDefault="003E6588">
      <w:pPr>
        <w:pStyle w:val="Relatrio2010"/>
        <w:spacing w:after="0" w:afterAutospacing="0"/>
        <w:ind w:firstLine="1134"/>
        <w:rPr>
          <w:strike/>
          <w:szCs w:val="24"/>
        </w:rPr>
      </w:pPr>
    </w:p>
    <w:p w:rsidR="003E6588" w:rsidRDefault="003E6588">
      <w:pPr>
        <w:pStyle w:val="Relatrio2010"/>
        <w:spacing w:after="0" w:afterAutospacing="0"/>
        <w:ind w:firstLine="1134"/>
        <w:rPr>
          <w:strike/>
          <w:szCs w:val="24"/>
        </w:rPr>
      </w:pPr>
      <w:r>
        <w:rPr>
          <w:szCs w:val="24"/>
        </w:rPr>
        <w:t>- Benefícios sociais e trabalhistas requeridos - 56.656</w:t>
      </w:r>
      <w:r w:rsidR="00487E60">
        <w:rPr>
          <w:szCs w:val="24"/>
        </w:rPr>
        <w:t>;</w:t>
      </w:r>
    </w:p>
    <w:p w:rsidR="003E6588" w:rsidRDefault="003E6588">
      <w:pPr>
        <w:pStyle w:val="Relatrio2010"/>
        <w:spacing w:after="0" w:afterAutospacing="0"/>
        <w:ind w:firstLine="1134"/>
        <w:rPr>
          <w:strike/>
          <w:szCs w:val="24"/>
        </w:rPr>
      </w:pPr>
    </w:p>
    <w:p w:rsidR="003E6588" w:rsidRDefault="003E6588">
      <w:pPr>
        <w:pStyle w:val="Relatrio2010"/>
        <w:spacing w:after="0" w:afterAutospacing="0"/>
        <w:ind w:firstLine="1134"/>
        <w:rPr>
          <w:szCs w:val="24"/>
        </w:rPr>
      </w:pPr>
      <w:r>
        <w:rPr>
          <w:szCs w:val="24"/>
        </w:rPr>
        <w:t>- Avaliações diversas: 97.438.</w:t>
      </w:r>
    </w:p>
    <w:p w:rsidR="003E6588" w:rsidRDefault="003E6588">
      <w:pPr>
        <w:pStyle w:val="Relatrio2010"/>
        <w:spacing w:after="0" w:afterAutospacing="0"/>
        <w:ind w:firstLine="1134"/>
        <w:rPr>
          <w:szCs w:val="24"/>
        </w:rPr>
      </w:pPr>
    </w:p>
    <w:p w:rsidR="003E6588" w:rsidRDefault="003E6588">
      <w:pPr>
        <w:pStyle w:val="Relatrio2010"/>
        <w:spacing w:after="0" w:afterAutospacing="0"/>
        <w:ind w:right="49" w:firstLine="1134"/>
        <w:rPr>
          <w:szCs w:val="24"/>
        </w:rPr>
      </w:pPr>
      <w:r>
        <w:rPr>
          <w:szCs w:val="24"/>
        </w:rPr>
        <w:t>As Equipes Volantes para Realização de Avaliações Técnicas às pessoas presas realizaram 2.164 avaliações psicológicas e 2.706 avaliações sociais.</w:t>
      </w:r>
    </w:p>
    <w:p w:rsidR="003E6588" w:rsidRDefault="003E6588">
      <w:pPr>
        <w:ind w:firstLine="1134"/>
      </w:pPr>
    </w:p>
    <w:p w:rsidR="003E6588" w:rsidRDefault="003E6588">
      <w:pPr>
        <w:pStyle w:val="Relatrio2010"/>
        <w:tabs>
          <w:tab w:val="left" w:pos="284"/>
        </w:tabs>
        <w:spacing w:after="0" w:afterAutospacing="0"/>
        <w:ind w:right="49" w:firstLine="1134"/>
        <w:rPr>
          <w:szCs w:val="24"/>
        </w:rPr>
      </w:pPr>
      <w:r>
        <w:rPr>
          <w:b/>
          <w:szCs w:val="24"/>
        </w:rPr>
        <w:lastRenderedPageBreak/>
        <w:t xml:space="preserve">Coordenadoria de Saúde do Sistema Penitenciário - CSSP - </w:t>
      </w:r>
      <w:r>
        <w:rPr>
          <w:szCs w:val="24"/>
        </w:rPr>
        <w:t>A Coordenadoria de Saúde do Sistema Penitenciário, promoveu, por meio de seus Grupos e Centros Regionais de Saúde, as seguintes atividades:</w:t>
      </w:r>
    </w:p>
    <w:p w:rsidR="003E6588" w:rsidRDefault="003E6588">
      <w:pPr>
        <w:pStyle w:val="Relatrio2010"/>
        <w:spacing w:after="0" w:afterAutospacing="0"/>
        <w:ind w:left="142" w:firstLine="1134"/>
        <w:rPr>
          <w:b/>
          <w:szCs w:val="24"/>
        </w:rPr>
      </w:pPr>
    </w:p>
    <w:p w:rsidR="003E6588" w:rsidRDefault="003E6588">
      <w:pPr>
        <w:pStyle w:val="Relatrio2010"/>
        <w:spacing w:after="0" w:afterAutospacing="0"/>
        <w:ind w:firstLine="1134"/>
        <w:rPr>
          <w:b/>
          <w:szCs w:val="24"/>
        </w:rPr>
      </w:pPr>
      <w:r>
        <w:rPr>
          <w:b/>
          <w:szCs w:val="24"/>
        </w:rPr>
        <w:t>Grupo de Planejamento e Gestão de Atenção à Saúde da População Prisional</w:t>
      </w:r>
    </w:p>
    <w:p w:rsidR="003E6588" w:rsidRDefault="003E6588">
      <w:pPr>
        <w:pStyle w:val="Relatrio2010"/>
        <w:spacing w:after="0" w:afterAutospacing="0"/>
        <w:ind w:firstLine="1134"/>
        <w:rPr>
          <w:b/>
          <w:szCs w:val="24"/>
        </w:rPr>
      </w:pPr>
    </w:p>
    <w:p w:rsidR="003E6588" w:rsidRDefault="003E6588">
      <w:pPr>
        <w:pStyle w:val="Relatrio2010"/>
        <w:spacing w:after="0" w:afterAutospacing="0"/>
        <w:ind w:firstLine="1134"/>
        <w:rPr>
          <w:szCs w:val="24"/>
        </w:rPr>
      </w:pPr>
      <w:r>
        <w:rPr>
          <w:b/>
          <w:szCs w:val="24"/>
        </w:rPr>
        <w:t>Capacitação de Servidores de Saúde e Afins - Videoconferências</w:t>
      </w:r>
    </w:p>
    <w:p w:rsidR="003E6588" w:rsidRDefault="003E6588">
      <w:pPr>
        <w:pStyle w:val="Relatrio2010"/>
        <w:spacing w:after="0" w:afterAutospacing="0"/>
        <w:ind w:firstLine="1134"/>
        <w:rPr>
          <w:szCs w:val="24"/>
        </w:rPr>
      </w:pPr>
    </w:p>
    <w:p w:rsidR="003E6588" w:rsidRDefault="003E6588">
      <w:pPr>
        <w:ind w:right="49" w:firstLine="1134"/>
        <w:jc w:val="both"/>
      </w:pPr>
      <w:r>
        <w:t>- Adesão ao Tratamento de Doenças Crônicas - Diabetes, Hipertensão, Tuberculose e Aids, ministrada por profissionais médicos do CHSP, irradiada em 10 polos para os profissionais de saúde da SAP.</w:t>
      </w:r>
    </w:p>
    <w:p w:rsidR="003E6588" w:rsidRDefault="003E6588">
      <w:pPr>
        <w:ind w:right="-142" w:firstLine="1134"/>
        <w:jc w:val="both"/>
      </w:pPr>
    </w:p>
    <w:p w:rsidR="003E6588" w:rsidRDefault="003E6588">
      <w:pPr>
        <w:ind w:right="49" w:firstLine="1134"/>
        <w:jc w:val="both"/>
      </w:pPr>
      <w:r>
        <w:t>- Teste Rápido de HIV por Fluído Oral, ministrado por técnica do CRT/DST-AIDS, irradiada para 12 polos, para os profissionais de saúde da SAP.</w:t>
      </w:r>
    </w:p>
    <w:p w:rsidR="003E6588" w:rsidRDefault="003E6588">
      <w:pPr>
        <w:ind w:right="-142" w:firstLine="1134"/>
        <w:jc w:val="both"/>
      </w:pPr>
    </w:p>
    <w:p w:rsidR="003E6588" w:rsidRDefault="003E6588">
      <w:pPr>
        <w:ind w:right="49" w:firstLine="1134"/>
        <w:jc w:val="both"/>
      </w:pPr>
      <w:r>
        <w:t>- Organização dos Dispensários de Medicamentos, ministrada pela Diretora Técnica de Assistência Farmacêutica e Insumos de Saúde da SAP</w:t>
      </w:r>
      <w:r>
        <w:rPr>
          <w:color w:val="FF0000"/>
        </w:rPr>
        <w:t xml:space="preserve">, </w:t>
      </w:r>
      <w:r>
        <w:t>irradiada para 14 polos, para os profissionais de saúde e responsáveis pelos dispensários nas unidades.</w:t>
      </w:r>
    </w:p>
    <w:p w:rsidR="003E6588" w:rsidRDefault="003E6588">
      <w:pPr>
        <w:ind w:left="142" w:right="-142" w:firstLine="1134"/>
        <w:jc w:val="both"/>
      </w:pPr>
    </w:p>
    <w:p w:rsidR="003E6588" w:rsidRDefault="003E6588">
      <w:pPr>
        <w:ind w:right="49" w:firstLine="1134"/>
        <w:jc w:val="both"/>
      </w:pPr>
      <w:r>
        <w:rPr>
          <w:b/>
        </w:rPr>
        <w:t xml:space="preserve">Capacitação Para a Prevenção dos Problemas Decorrentes do Uso de Substâncias Psicoativas no Sistema Prisional do Estado - </w:t>
      </w:r>
      <w:r>
        <w:t>Com apoio da Escola da Administração Penitenciária do Estado de São Paulo, a Coordenadoria de Saúde o “Curso de Capacitação para a Prevenção dos Problemas Decorrentes do Uso de Substâncias Psicoativas no Sistema Prisional do Estado de São Paulo”. Grupo de Trabalho (Resolução SAP nº 35/2013), criado para propor ações voltadas ao tema e visou instrumentalizar os profissionais na implantação de ações de promoção de saúde, prevenção e tratamento dos transtornos decorrentes do uso indevido de álcool, tabaco e outras drogas nas unidades do sistema prisional do Estado. O Grupo de Trabalho vem atuando na reestruturação do Curso e adequação à realidade prisional paulista. Foram reconfiguradas as parceiras firmadas com a Unesp de Botucatu e Unifesp.</w:t>
      </w:r>
    </w:p>
    <w:p w:rsidR="003E6588" w:rsidRDefault="003E6588">
      <w:pPr>
        <w:ind w:left="142" w:right="-142" w:firstLine="1134"/>
        <w:jc w:val="both"/>
      </w:pPr>
    </w:p>
    <w:p w:rsidR="003E6588" w:rsidRDefault="003E6588">
      <w:pPr>
        <w:widowControl w:val="0"/>
        <w:tabs>
          <w:tab w:val="left" w:pos="567"/>
          <w:tab w:val="left" w:pos="709"/>
        </w:tabs>
        <w:autoSpaceDE w:val="0"/>
        <w:autoSpaceDN w:val="0"/>
        <w:adjustRightInd w:val="0"/>
        <w:ind w:right="-32" w:firstLine="1134"/>
        <w:jc w:val="both"/>
        <w:rPr>
          <w:bCs/>
        </w:rPr>
      </w:pPr>
      <w:r>
        <w:rPr>
          <w:b/>
          <w:bCs/>
        </w:rPr>
        <w:t xml:space="preserve">Capacitação de Profissionais Aplicadores e Multiplicadores em Teste Rápido para HIV, Sífilis, Hepatite e Aconselhamento Para Equipes de Saúde do Sistema Penitenciário - </w:t>
      </w:r>
      <w:r>
        <w:rPr>
          <w:bCs/>
        </w:rPr>
        <w:t>A parceria entre a Coordenadoria de Saúde - SAP e o CRT - Centro de Referência e Treinamento DST/AIDS deu passo de importância para ampliação das ações de detecção e prevenção das doenças sexualmente transmissíveis no sistema prisional. Foram capacitados pelo CRT/SP e SAP 94 técnicos de saúde da SAP que irão atuar como profissionais multiplicadores de capacitação em teste rápido para HIV, Sífilis, Hepatite e aconselhamento. A partir desse investimento, a Coordenadoria de Saúde da SAP ampliará as ações de capacitação das equipes de saú</w:t>
      </w:r>
      <w:r w:rsidR="00410EE0">
        <w:rPr>
          <w:bCs/>
        </w:rPr>
        <w:t>de do sistema penitenciário do E</w:t>
      </w:r>
      <w:r>
        <w:rPr>
          <w:bCs/>
        </w:rPr>
        <w:t>stado.</w:t>
      </w:r>
    </w:p>
    <w:p w:rsidR="003E6588" w:rsidRPr="00817BB0" w:rsidRDefault="003E6588">
      <w:pPr>
        <w:ind w:firstLine="1134"/>
        <w:jc w:val="both"/>
        <w:rPr>
          <w:b/>
          <w:sz w:val="16"/>
          <w:szCs w:val="16"/>
        </w:rPr>
      </w:pPr>
    </w:p>
    <w:p w:rsidR="003E6588" w:rsidRDefault="003E6588">
      <w:pPr>
        <w:ind w:firstLine="1134"/>
        <w:jc w:val="both"/>
      </w:pPr>
      <w:r>
        <w:rPr>
          <w:b/>
        </w:rPr>
        <w:t>Encontros e Eventos</w:t>
      </w:r>
    </w:p>
    <w:p w:rsidR="003E6588" w:rsidRPr="00817BB0" w:rsidRDefault="003E6588">
      <w:pPr>
        <w:ind w:firstLine="1134"/>
        <w:jc w:val="both"/>
        <w:rPr>
          <w:sz w:val="16"/>
          <w:szCs w:val="16"/>
        </w:rPr>
      </w:pPr>
    </w:p>
    <w:p w:rsidR="003E6588" w:rsidRDefault="003E6588">
      <w:pPr>
        <w:ind w:firstLine="1134"/>
        <w:jc w:val="both"/>
      </w:pPr>
      <w:r>
        <w:lastRenderedPageBreak/>
        <w:t>- “Saúde do Homem” - CEFOR; Ministério da Saúde, Secretaria da Saúde e Secretaria Municipal de Saúde</w:t>
      </w:r>
      <w:r>
        <w:rPr>
          <w:color w:val="FF0000"/>
        </w:rPr>
        <w:t>:</w:t>
      </w:r>
      <w:r>
        <w:t xml:space="preserve"> apresentação das ações preventivas e de saúde da SAP, voltadas em particular para a população masculina.</w:t>
      </w:r>
    </w:p>
    <w:p w:rsidR="003E6588" w:rsidRDefault="003E6588">
      <w:pPr>
        <w:ind w:firstLine="1134"/>
        <w:jc w:val="both"/>
      </w:pPr>
    </w:p>
    <w:p w:rsidR="003E6588" w:rsidRDefault="003E6588">
      <w:pPr>
        <w:ind w:firstLine="1134"/>
        <w:jc w:val="both"/>
      </w:pPr>
      <w:r>
        <w:t xml:space="preserve">- “Reunião Comissão DST/HIV/AIDS/Hepatites </w:t>
      </w:r>
      <w:r w:rsidRPr="00487E60">
        <w:t>Virais” - Ministério da Saúde, Secretaria da Saúde, CRT- DST/Aids, Entidades da Sociedade Civil - apres</w:t>
      </w:r>
      <w:r>
        <w:t>entação das ações específicas de prevenção, tratamento e vigilância.</w:t>
      </w:r>
    </w:p>
    <w:p w:rsidR="00487E60" w:rsidRDefault="00487E60">
      <w:pPr>
        <w:ind w:firstLine="1134"/>
        <w:jc w:val="both"/>
      </w:pPr>
    </w:p>
    <w:p w:rsidR="003E6588" w:rsidRPr="00487E60" w:rsidRDefault="003E6588">
      <w:pPr>
        <w:ind w:firstLine="1134"/>
        <w:jc w:val="both"/>
      </w:pPr>
      <w:r>
        <w:t>- “Oficinas de Prevenção e Controle de TB/</w:t>
      </w:r>
      <w:r w:rsidRPr="00487E60">
        <w:t>DST” - realizadas nas Coordenadorias Regionais da SAP, em parceria com a EAP. Coordenação dos Diretores Regionais de Saúde.</w:t>
      </w:r>
    </w:p>
    <w:p w:rsidR="003E6588" w:rsidRPr="00487E60" w:rsidRDefault="003E6588">
      <w:pPr>
        <w:ind w:left="142" w:firstLine="1134"/>
        <w:jc w:val="both"/>
      </w:pPr>
    </w:p>
    <w:p w:rsidR="003E6588" w:rsidRDefault="003E6588">
      <w:pPr>
        <w:ind w:firstLine="1134"/>
        <w:jc w:val="both"/>
      </w:pPr>
      <w:r>
        <w:rPr>
          <w:b/>
        </w:rPr>
        <w:t xml:space="preserve">Encontros Regionais SAP/CRT- DST/AIDS - </w:t>
      </w:r>
      <w:r>
        <w:t>Realizados nas 5 regionais da SAP, com participação da GVEs, DRSs, para discussão de ações preventivas de atenção e vigilância epidemiológica em relação à Aids e Sífilis:</w:t>
      </w:r>
    </w:p>
    <w:p w:rsidR="003E6588" w:rsidRDefault="003E6588">
      <w:pPr>
        <w:ind w:firstLine="1134"/>
        <w:jc w:val="both"/>
      </w:pPr>
    </w:p>
    <w:p w:rsidR="003E6588" w:rsidRDefault="003E6588">
      <w:pPr>
        <w:ind w:firstLine="1134"/>
        <w:jc w:val="both"/>
      </w:pPr>
      <w:r>
        <w:t>- “Driblando a Tuberculose” - Encontro e premiação das Ações de Tuberculose no âmbito municipal. Foram premiadas unidades da SAP.</w:t>
      </w:r>
    </w:p>
    <w:p w:rsidR="003E6588" w:rsidRDefault="003E6588">
      <w:pPr>
        <w:ind w:firstLine="1134"/>
        <w:jc w:val="both"/>
      </w:pPr>
    </w:p>
    <w:p w:rsidR="003E6588" w:rsidRDefault="003E6588">
      <w:pPr>
        <w:ind w:firstLine="1134"/>
        <w:jc w:val="both"/>
      </w:pPr>
      <w:r>
        <w:t>- “</w:t>
      </w:r>
      <w:r w:rsidRPr="00487E60">
        <w:t>Maternidade e Sistema Prisional” - Publicação da Faculdade de Saúde Pública, em parceria com a SAP, de importantes proposições dessa relação, baseadas em curso realizado por ocasião da capacitação de servidores</w:t>
      </w:r>
      <w:r>
        <w:t xml:space="preserve"> para a unidade materno-infantil.</w:t>
      </w:r>
    </w:p>
    <w:p w:rsidR="003E6588" w:rsidRDefault="003E6588">
      <w:pPr>
        <w:ind w:left="142" w:firstLine="1134"/>
        <w:jc w:val="both"/>
      </w:pPr>
    </w:p>
    <w:p w:rsidR="003E6588" w:rsidRDefault="003E6588">
      <w:pPr>
        <w:autoSpaceDE w:val="0"/>
        <w:ind w:right="136" w:firstLine="1134"/>
        <w:jc w:val="both"/>
      </w:pPr>
      <w:r>
        <w:rPr>
          <w:b/>
        </w:rPr>
        <w:t xml:space="preserve">Intersetorialidade e Parcerias - </w:t>
      </w:r>
      <w:r>
        <w:t>Encaminhamento de carta de intenções ao Convênio Unifesp/UDED-Senad, para participação no projeto de implantação de Centros Regionais de Referência de Capacitação de Agentes de Atenção ao Dependente Químico.</w:t>
      </w:r>
    </w:p>
    <w:p w:rsidR="003E6588" w:rsidRDefault="003E6588">
      <w:pPr>
        <w:autoSpaceDE w:val="0"/>
        <w:ind w:left="142" w:right="135" w:firstLine="1134"/>
        <w:jc w:val="both"/>
      </w:pPr>
    </w:p>
    <w:p w:rsidR="003E6588" w:rsidRDefault="003E6588">
      <w:pPr>
        <w:autoSpaceDE w:val="0"/>
        <w:ind w:right="135" w:firstLine="1134"/>
        <w:jc w:val="both"/>
        <w:rPr>
          <w:strike/>
        </w:rPr>
      </w:pPr>
      <w:r>
        <w:rPr>
          <w:b/>
        </w:rPr>
        <w:t xml:space="preserve">Campanhas - </w:t>
      </w:r>
      <w:r>
        <w:t xml:space="preserve">A </w:t>
      </w:r>
      <w:r>
        <w:rPr>
          <w:bCs/>
        </w:rPr>
        <w:t xml:space="preserve">Campanha Nacional de Vacinação - 2014 </w:t>
      </w:r>
      <w:r>
        <w:t>no Estado envolveu parceria entre a Coordenadoria de Saúde da SAP e Secretaria da Saúde (Divisão de Imunização e Área Técnica de Saúde da População Privada de Liberdade) e as Secretarias Municipais de Saúde dos municípios onde há unidades prisionais.</w:t>
      </w:r>
    </w:p>
    <w:p w:rsidR="003E6588" w:rsidRDefault="003E6588">
      <w:pPr>
        <w:autoSpaceDE w:val="0"/>
        <w:autoSpaceDN w:val="0"/>
        <w:adjustRightInd w:val="0"/>
        <w:ind w:right="-1" w:firstLine="1134"/>
        <w:jc w:val="both"/>
      </w:pPr>
    </w:p>
    <w:p w:rsidR="003E6588" w:rsidRDefault="003E6588">
      <w:pPr>
        <w:autoSpaceDE w:val="0"/>
        <w:autoSpaceDN w:val="0"/>
        <w:adjustRightInd w:val="0"/>
        <w:ind w:right="-1" w:firstLine="1134"/>
        <w:jc w:val="both"/>
        <w:rPr>
          <w:strike/>
        </w:rPr>
      </w:pPr>
      <w:r>
        <w:rPr>
          <w:b/>
        </w:rPr>
        <w:t xml:space="preserve">Hepatite 1ª, 2ª e 3ª doses - </w:t>
      </w:r>
      <w:r>
        <w:t xml:space="preserve">A Campanha ocorreu em 68% das 156 unidades prisionais e nos 3 Hospitais de Custódia e Tratamento Psiquiátrico do </w:t>
      </w:r>
      <w:r w:rsidR="00410EE0">
        <w:t>Estado</w:t>
      </w:r>
      <w:r>
        <w:t>, atingindo 83.450 presos, o que representa 25,85 % da população carcerária. Foram imunizados 5.186 servidores penitenciários, o que representa 14,48%, não contemplando aqueles que se valeram diretamente do serviço da rede pública de saúde.</w:t>
      </w:r>
    </w:p>
    <w:p w:rsidR="003E6588" w:rsidRDefault="003E6588">
      <w:pPr>
        <w:autoSpaceDE w:val="0"/>
        <w:autoSpaceDN w:val="0"/>
        <w:adjustRightInd w:val="0"/>
        <w:ind w:right="-1" w:firstLine="1134"/>
        <w:jc w:val="both"/>
      </w:pPr>
    </w:p>
    <w:p w:rsidR="003E6588" w:rsidRDefault="003E6588">
      <w:pPr>
        <w:autoSpaceDE w:val="0"/>
        <w:autoSpaceDN w:val="0"/>
        <w:adjustRightInd w:val="0"/>
        <w:ind w:right="-1" w:firstLine="1134"/>
        <w:jc w:val="both"/>
        <w:rPr>
          <w:strike/>
        </w:rPr>
      </w:pPr>
      <w:r>
        <w:rPr>
          <w:b/>
        </w:rPr>
        <w:t xml:space="preserve">Influenza - </w:t>
      </w:r>
      <w:r>
        <w:t>A Campanha ocorreu em 100% das 156 unidades prisionais nos 3 Hospitais de Custódia e Tratamento Psiquiátrico do Estado nas Sedes da SAP. Atingiu 134.322 presos, o que representa 62,56 % da população prisional. Foram também imunizados 17.842 servidores do sistema penitenciário, percentual que representa 52,94%, não contemplando aqueles que se valeram diretamente o serviço da rede pública de saúde.</w:t>
      </w:r>
    </w:p>
    <w:p w:rsidR="003E6588" w:rsidRDefault="003E6588">
      <w:pPr>
        <w:autoSpaceDE w:val="0"/>
        <w:autoSpaceDN w:val="0"/>
        <w:adjustRightInd w:val="0"/>
        <w:ind w:right="-1" w:firstLine="1134"/>
        <w:jc w:val="both"/>
      </w:pPr>
    </w:p>
    <w:p w:rsidR="003E6588" w:rsidRDefault="003E6588">
      <w:pPr>
        <w:autoSpaceDE w:val="0"/>
        <w:autoSpaceDN w:val="0"/>
        <w:adjustRightInd w:val="0"/>
        <w:ind w:right="-1" w:firstLine="1134"/>
        <w:jc w:val="both"/>
      </w:pPr>
      <w:r>
        <w:rPr>
          <w:b/>
        </w:rPr>
        <w:lastRenderedPageBreak/>
        <w:t>Campanha de Mamografia “Mulheres de Peito”</w:t>
      </w:r>
      <w:r>
        <w:t xml:space="preserve"> - Com apoio da Secretaria da Saúde, deu-se início à realização de exames de mamografia nas unidades femininas, destinado tanto para as mulheres privadas de liberdade como para as servidoras que se amoldam ao perfil vigente para a realização desse procedimento.</w:t>
      </w:r>
    </w:p>
    <w:p w:rsidR="003E6588" w:rsidRDefault="003E6588">
      <w:pPr>
        <w:autoSpaceDE w:val="0"/>
        <w:autoSpaceDN w:val="0"/>
        <w:adjustRightInd w:val="0"/>
        <w:ind w:right="-1" w:firstLine="1134"/>
        <w:jc w:val="both"/>
      </w:pPr>
    </w:p>
    <w:p w:rsidR="003E6588" w:rsidRDefault="003E6588">
      <w:pPr>
        <w:autoSpaceDE w:val="0"/>
        <w:autoSpaceDN w:val="0"/>
        <w:adjustRightInd w:val="0"/>
        <w:ind w:right="-1" w:firstLine="1134"/>
        <w:jc w:val="both"/>
      </w:pPr>
      <w:r>
        <w:rPr>
          <w:b/>
        </w:rPr>
        <w:t>Campanha do Teste Rápido de HIV - “Fique sabendo”, em parceria com o CRT/DST Aids -</w:t>
      </w:r>
      <w:r>
        <w:t xml:space="preserve"> Campanha de diagnóstico de HIV por testes rápidos de punção digital e fluido oral, com adesão de 116 unidades prisionais no Estado.</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shd w:val="clear" w:color="auto" w:fill="FFFFFF"/>
        <w:ind w:firstLine="1134"/>
        <w:jc w:val="both"/>
      </w:pPr>
      <w:r>
        <w:rPr>
          <w:b/>
        </w:rPr>
        <w:t xml:space="preserve">Grupo de Planejamento e Ações de Saúde de Qualidade de Vida e Saúde do Servidor e Centros Regionais de Qualidade de Vida e Saúde do Servidor - </w:t>
      </w:r>
      <w:r>
        <w:t>As ações de saúde voltadas ao servidor penitenciário são desenvolvidas tanto no âmbito das unidades prisionais, com o apoio das Comissões Internas de Prevenção de Acidentes - CIPAs, quanto no atendimento biopsicossocial ambulatorial, realizados nos Centros Regionais.</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t>O CQVIDASS da Região Metropolitana estabeleceu parceria com a Supervisão de Vigilância em Saúde - Santana, para desenvolvimento de ação de imunização de servidores que não atuam diretamente nas unidades prisionais, tendo sido aplicadas 1.600 doses de vacinas para Hepatite B, e 295 p</w:t>
      </w:r>
      <w:r w:rsidR="00487E60">
        <w:t>ara Sarampo, Caxumba e Rubéola.</w:t>
      </w:r>
    </w:p>
    <w:p w:rsidR="003E6588" w:rsidRDefault="003E6588" w:rsidP="00487E60">
      <w:pPr>
        <w:ind w:firstLine="1134"/>
        <w:jc w:val="both"/>
        <w:rPr>
          <w:b/>
          <w:u w:val="single"/>
        </w:rPr>
      </w:pPr>
    </w:p>
    <w:p w:rsidR="003E6588" w:rsidRDefault="003E6588" w:rsidP="00487E60">
      <w:pPr>
        <w:ind w:firstLine="1134"/>
        <w:jc w:val="both"/>
        <w:rPr>
          <w:b/>
        </w:rPr>
      </w:pPr>
      <w:r>
        <w:rPr>
          <w:b/>
        </w:rPr>
        <w:t>Atendimentos</w:t>
      </w:r>
    </w:p>
    <w:p w:rsidR="003E6588" w:rsidRDefault="003E6588">
      <w:pPr>
        <w:autoSpaceDE w:val="0"/>
        <w:autoSpaceDN w:val="0"/>
        <w:ind w:firstLine="1134"/>
        <w:jc w:val="both"/>
      </w:pPr>
    </w:p>
    <w:p w:rsidR="003E6588" w:rsidRDefault="003E6588">
      <w:pPr>
        <w:autoSpaceDE w:val="0"/>
        <w:autoSpaceDN w:val="0"/>
        <w:ind w:firstLine="1134"/>
        <w:jc w:val="both"/>
      </w:pPr>
      <w:r>
        <w:t>Foram atendidos 3.555 servidores, para avaliação das condições de saúde por meio da aferição de pressão e exame de glicemia capilar.</w:t>
      </w:r>
    </w:p>
    <w:p w:rsidR="003E6588" w:rsidRDefault="003E6588">
      <w:pPr>
        <w:autoSpaceDE w:val="0"/>
        <w:autoSpaceDN w:val="0"/>
        <w:ind w:firstLine="1134"/>
        <w:jc w:val="both"/>
      </w:pPr>
    </w:p>
    <w:p w:rsidR="003E6588" w:rsidRDefault="003E6588">
      <w:pPr>
        <w:autoSpaceDE w:val="0"/>
        <w:autoSpaceDN w:val="0"/>
        <w:ind w:firstLine="1134"/>
        <w:jc w:val="both"/>
      </w:pPr>
      <w:r>
        <w:t>Foram realizados 4.633 atendimentos biopsicossocial, que compreendem as seguintes especialidades: médico (clínico e psiquiátrico), psicologia, nutrição, serviço social e enfermagem.</w:t>
      </w:r>
    </w:p>
    <w:p w:rsidR="003E6588" w:rsidRDefault="003E6588" w:rsidP="00487E60">
      <w:pPr>
        <w:pStyle w:val="NormalWeb"/>
        <w:spacing w:before="0" w:beforeAutospacing="0" w:after="0" w:afterAutospacing="0"/>
        <w:ind w:firstLine="1134"/>
        <w:jc w:val="both"/>
        <w:rPr>
          <w:b/>
        </w:rPr>
      </w:pPr>
    </w:p>
    <w:p w:rsidR="003E6588" w:rsidRDefault="003E6588">
      <w:pPr>
        <w:pStyle w:val="NormalWeb"/>
        <w:spacing w:before="0" w:beforeAutospacing="0" w:after="0" w:afterAutospacing="0"/>
        <w:ind w:firstLine="1134"/>
        <w:jc w:val="both"/>
      </w:pPr>
      <w:r>
        <w:rPr>
          <w:b/>
        </w:rPr>
        <w:t xml:space="preserve">Participação em Eventos e Premiações - </w:t>
      </w:r>
      <w:r>
        <w:t>Secretaria de Gestão Pública - 2º Prêmio Prevenir de Promoção e Proteção à Saúde, IAMSPE.</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rPr>
          <w:b/>
        </w:rPr>
      </w:pPr>
      <w:r>
        <w:rPr>
          <w:b/>
        </w:rPr>
        <w:t>Presidente Prudente</w:t>
      </w:r>
    </w:p>
    <w:p w:rsidR="003E6588" w:rsidRDefault="003E6588">
      <w:pPr>
        <w:pStyle w:val="NormalWeb"/>
        <w:spacing w:before="0" w:beforeAutospacing="0" w:after="0" w:afterAutospacing="0"/>
        <w:ind w:firstLine="1134"/>
        <w:jc w:val="both"/>
        <w:rPr>
          <w:b/>
        </w:rPr>
      </w:pPr>
    </w:p>
    <w:p w:rsidR="003E6588" w:rsidRDefault="003E6588">
      <w:pPr>
        <w:pStyle w:val="NormalWeb"/>
        <w:spacing w:before="0" w:beforeAutospacing="0" w:after="0" w:afterAutospacing="0"/>
        <w:ind w:firstLine="1134"/>
        <w:jc w:val="both"/>
      </w:pPr>
      <w:r>
        <w:t>1º lugar - Projeto Fique bem!</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t>2º lugar - Artesão da saúde - Esculpindo a saúde e qualidade de vida dentro do serviço público.</w:t>
      </w:r>
    </w:p>
    <w:p w:rsidR="00D02F08" w:rsidRDefault="00D02F0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t>4º lugar - Saúde do trabalhador: da fragmentação à totalidade.</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t>5º lugar - Qualidade de vida no trabalho.</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rPr>
          <w:b/>
        </w:rPr>
        <w:t xml:space="preserve">Ribeirão Preto - </w:t>
      </w:r>
      <w:r>
        <w:t>3º lugar - Projeto CIPA/CRN.</w:t>
      </w:r>
    </w:p>
    <w:p w:rsidR="003E6588" w:rsidRDefault="003E6588">
      <w:pPr>
        <w:pStyle w:val="NormalWeb"/>
        <w:spacing w:before="0" w:beforeAutospacing="0" w:after="0" w:afterAutospacing="0"/>
        <w:ind w:firstLine="1134"/>
        <w:jc w:val="both"/>
      </w:pPr>
      <w:r>
        <w:rPr>
          <w:b/>
        </w:rPr>
        <w:lastRenderedPageBreak/>
        <w:t xml:space="preserve">São Paulo - </w:t>
      </w:r>
      <w:r>
        <w:t>1º lugar - Atenção nutricional como fator de proteção à saúde dos servidores.</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t xml:space="preserve">Secretaria de Saúde </w:t>
      </w:r>
      <w:r w:rsidR="00D02F08">
        <w:t>-</w:t>
      </w:r>
      <w:r>
        <w:t xml:space="preserve"> “VI Fórum Estadual em Promoção da Saúde” e “III Encontro de Experiências Bem Sucedidas em Promoção da Alimentação Saudável”.</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t xml:space="preserve">Apresentação de </w:t>
      </w:r>
      <w:r>
        <w:rPr>
          <w:i/>
        </w:rPr>
        <w:t>pôster</w:t>
      </w:r>
      <w:r>
        <w:t xml:space="preserve"> dos Programas “Quero Parar de Fumar” e “Atenção Nutricional”.</w:t>
      </w:r>
    </w:p>
    <w:p w:rsidR="003E6588" w:rsidRDefault="003E6588">
      <w:pPr>
        <w:ind w:left="142" w:firstLine="1134"/>
        <w:rPr>
          <w:b/>
        </w:rPr>
      </w:pPr>
    </w:p>
    <w:p w:rsidR="003E6588" w:rsidRDefault="003E6588">
      <w:pPr>
        <w:ind w:firstLine="1134"/>
        <w:jc w:val="both"/>
      </w:pPr>
      <w:r>
        <w:rPr>
          <w:b/>
        </w:rPr>
        <w:t xml:space="preserve">Comissão Interna de Prevenção de Acidentes - </w:t>
      </w:r>
      <w:r>
        <w:t>A SAP é pioneira em instituir a CIPA na Administração Pública Direta. Todos os órgãos integrantes e unidades prisionais possuem CIPA. São 168 CIPAs instituídas e 968 “cipeiros” empossados para o biênio 2014/2015. Foram realizadas pelas CIPAs diversas campanhas de saúde, entre as principais: Agita SAP: Alusivo ao Dia Mundial da Atividade Física, Campanha de Prevenção DST/AIDS, Dia Mundial sem Tabaco, Outubro Rosa, Novembro Azul, Dia Mundial da Atividade Física. Aproximadamente 8.500 servidores participaram de 104 SIPATs desenvolvidas no Estado.</w:t>
      </w:r>
    </w:p>
    <w:p w:rsidR="003E6588" w:rsidRDefault="003E6588">
      <w:pPr>
        <w:pStyle w:val="NormalWeb"/>
        <w:spacing w:before="0" w:beforeAutospacing="0" w:after="0" w:afterAutospacing="0"/>
        <w:ind w:firstLine="1134"/>
        <w:jc w:val="both"/>
      </w:pPr>
    </w:p>
    <w:p w:rsidR="003E6588" w:rsidRDefault="003E6588">
      <w:pPr>
        <w:pStyle w:val="NormalWeb"/>
        <w:spacing w:before="0" w:beforeAutospacing="0" w:after="0" w:afterAutospacing="0"/>
        <w:ind w:firstLine="1134"/>
        <w:jc w:val="both"/>
      </w:pPr>
      <w:r>
        <w:rPr>
          <w:b/>
        </w:rPr>
        <w:t>Campanha “Lenço para Olga” -</w:t>
      </w:r>
      <w:r>
        <w:t xml:space="preserve"> Iniciada pela CIPA da Penitenciária Feminina de Pirajuí, atingiu todo o sistema prisional e gerou a campanha desenvolvida pela Imprensa SAP e GQVIDASS, intitulada “Câncer é só uma palavra, não uma sentença”.</w:t>
      </w:r>
    </w:p>
    <w:p w:rsidR="003E6588" w:rsidRDefault="003E6588" w:rsidP="00D02F08">
      <w:pPr>
        <w:pStyle w:val="NormalWeb"/>
        <w:spacing w:before="0" w:beforeAutospacing="0" w:after="0" w:afterAutospacing="0"/>
        <w:ind w:firstLine="1134"/>
        <w:jc w:val="both"/>
        <w:rPr>
          <w:b/>
        </w:rPr>
      </w:pPr>
    </w:p>
    <w:p w:rsidR="003E6588" w:rsidRDefault="003E6588">
      <w:pPr>
        <w:pStyle w:val="NormalWeb"/>
        <w:spacing w:before="0" w:beforeAutospacing="0" w:after="0" w:afterAutospacing="0"/>
        <w:ind w:firstLine="1134"/>
        <w:jc w:val="both"/>
      </w:pPr>
      <w:r>
        <w:rPr>
          <w:b/>
        </w:rPr>
        <w:t xml:space="preserve">Torneio de Futsal da SAP - </w:t>
      </w:r>
      <w:r>
        <w:t>Foi sediado pela Coordenadoria do Vale do Paraíba e Litoral. Pela primeira vez houve a participação de equipes femininas. Foram 200 atletas inscritos, representando as Coordenadorias de Unidades Prisionais, Coordenadoria de Saúde e Sede. Foram vencedoras a Coordenadoria da Região Noroeste no futsal masculino e Coordenadoria da Região Metropolitana no futsal feminino.</w:t>
      </w:r>
    </w:p>
    <w:p w:rsidR="003E6588" w:rsidRDefault="003E6588">
      <w:pPr>
        <w:pStyle w:val="NormalWeb"/>
        <w:spacing w:before="0" w:beforeAutospacing="0" w:after="0" w:afterAutospacing="0"/>
        <w:ind w:firstLine="1134"/>
        <w:jc w:val="both"/>
      </w:pPr>
    </w:p>
    <w:p w:rsidR="003E6588" w:rsidRDefault="003E6588" w:rsidP="00D02F08">
      <w:pPr>
        <w:ind w:firstLine="1134"/>
        <w:jc w:val="both"/>
      </w:pPr>
      <w:bookmarkStart w:id="5" w:name="_Toc345570149"/>
      <w:bookmarkStart w:id="6" w:name="_Toc404777490"/>
      <w:r>
        <w:t>Desenvolvimento de Parcerias com outras Entidades do Setor Público, Social ou Privado</w:t>
      </w:r>
      <w:bookmarkEnd w:id="5"/>
      <w:bookmarkEnd w:id="6"/>
      <w:r>
        <w:t>:</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Centro de Estudos Psicanalíticos - CEP;</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Universidade Mackenzie;</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Universidade do Oeste Paulista - UNOESTE de Presidente Prudente;</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SEBRAE, SESI, SENAC e SENAI de Presidente Prudente;</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CEREST de Presidente Prudente;</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CAPS - Centro de Atenção Psicossocial e CAPS AD - Centro de Atendimento Psicossocial para atendimento de Álcool e Droga;</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Ambulatórios de Saúde Mental e Centros de Saúde municipais;</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SEST SENAT de Presidente Prudente;</w:t>
      </w:r>
    </w:p>
    <w:p w:rsidR="003E6588" w:rsidRDefault="003E6588">
      <w:pPr>
        <w:widowControl w:val="0"/>
        <w:adjustRightInd w:val="0"/>
        <w:ind w:firstLine="1134"/>
        <w:jc w:val="both"/>
        <w:textAlignment w:val="baseline"/>
      </w:pPr>
      <w:r>
        <w:lastRenderedPageBreak/>
        <w:t>IAMSPE/CEAMA;</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UNESP de Presidente Prudente;</w:t>
      </w:r>
    </w:p>
    <w:p w:rsidR="003E6588" w:rsidRDefault="003E6588">
      <w:pPr>
        <w:widowControl w:val="0"/>
        <w:adjustRightInd w:val="0"/>
        <w:ind w:firstLine="1134"/>
        <w:jc w:val="both"/>
        <w:textAlignment w:val="baseline"/>
      </w:pPr>
    </w:p>
    <w:p w:rsidR="003E6588" w:rsidRDefault="003E6588">
      <w:pPr>
        <w:widowControl w:val="0"/>
        <w:adjustRightInd w:val="0"/>
        <w:ind w:firstLine="1134"/>
        <w:jc w:val="both"/>
        <w:textAlignment w:val="baseline"/>
      </w:pPr>
      <w:r>
        <w:t>ONG Saúde em Vida.</w:t>
      </w:r>
    </w:p>
    <w:p w:rsidR="003E6588" w:rsidRDefault="003E6588">
      <w:pPr>
        <w:widowControl w:val="0"/>
        <w:adjustRightInd w:val="0"/>
        <w:ind w:firstLine="1134"/>
        <w:jc w:val="both"/>
        <w:textAlignment w:val="baseline"/>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xml:space="preserve">Por intermédio das diretrizes estabelecidas pela Deliberação CIB nº 62/2012 foram firmados Termos de Compromisso para prover a Saúde do Preso no Sistema Prisional com 39 Municípios: Álvaro de Carvalho, Balbinos, Franca, Getulina, Guareí, Irapuru, Junqueirópolis, Pacaembu, Pirajuí, Pontal, Tupi Paulista, Taiúva, Iperó, Valparaíso, Mirandópolis, Lavínia, Riolândia, Flórida Paulista, Reginópolis, Itaí, Pracinha, Serra Azul, </w:t>
      </w:r>
      <w:r w:rsidR="00D02F08">
        <w:rPr>
          <w:rFonts w:ascii="Times New Roman" w:hAnsi="Times New Roman"/>
          <w:sz w:val="24"/>
          <w:szCs w:val="24"/>
        </w:rPr>
        <w:t>Avaré, Cerqueira César, Capela d</w:t>
      </w:r>
      <w:r>
        <w:rPr>
          <w:rFonts w:ascii="Times New Roman" w:hAnsi="Times New Roman"/>
          <w:sz w:val="24"/>
          <w:szCs w:val="24"/>
        </w:rPr>
        <w:t>o</w:t>
      </w:r>
      <w:r w:rsidR="00D02F08">
        <w:rPr>
          <w:rFonts w:ascii="Times New Roman" w:hAnsi="Times New Roman"/>
          <w:sz w:val="24"/>
          <w:szCs w:val="24"/>
        </w:rPr>
        <w:t xml:space="preserve"> Alto, Marabá Paulista, Franco d</w:t>
      </w:r>
      <w:r>
        <w:rPr>
          <w:rFonts w:ascii="Times New Roman" w:hAnsi="Times New Roman"/>
          <w:sz w:val="24"/>
          <w:szCs w:val="24"/>
        </w:rPr>
        <w:t>a Rocha, Avaré, Pirajuí, Presidente Venceslau, Caiuá, Reginópolis, Piracicaba, Porto Feliz, Votorantin, Itirapina, Mirandópolis, Icém, Guarulhos.</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A Coordenadoria de Saúde do Sistema iniciou obras de reformas e adequações das áreas de saúde, com recurso oriundo do Plano Nacional de Saúde, das seguintes unidades: Penitenciária Feminina da Capital, CDP de Suzano, Penitenciária II de Hortolândia, CDP de Piracicaba, Penitenciária Feminina de Ribeirão Preto.</w:t>
      </w:r>
    </w:p>
    <w:p w:rsidR="003E6588" w:rsidRDefault="003E6588">
      <w:pPr>
        <w:ind w:firstLine="1134"/>
        <w:jc w:val="both"/>
      </w:pPr>
    </w:p>
    <w:p w:rsidR="003E6588" w:rsidRDefault="003E6588">
      <w:pPr>
        <w:pStyle w:val="Relatrio2010"/>
        <w:tabs>
          <w:tab w:val="left" w:pos="284"/>
        </w:tabs>
        <w:spacing w:after="0" w:afterAutospacing="0"/>
        <w:ind w:firstLine="1134"/>
        <w:rPr>
          <w:szCs w:val="24"/>
        </w:rPr>
      </w:pPr>
      <w:r>
        <w:rPr>
          <w:b/>
          <w:szCs w:val="24"/>
        </w:rPr>
        <w:t xml:space="preserve">Escola de Administração Penitenciária “Dr. Luiz Camargo Wolfmann” - EAP - </w:t>
      </w:r>
      <w:r>
        <w:rPr>
          <w:szCs w:val="24"/>
        </w:rPr>
        <w:t>A Escola de Administração Penitenciária, além da capacitação, desenvolvimento e aperfeiçoamento dos servidores da Pasta, despendeu especial atenção aos servidores destinados à escolta armada de presos.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Além da formação, foram oferecidos treinamentos específicos, tais como: “Escolta de presos em movimentações externas”, formação continuada em “Técnicas de condução operacional para AEVPs” (condutores de veículos - Ciclo I), “Curso de condutores de veículos de emergência para AEVPs de Escolta”, em parceria com o SEST SENAT.</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Foi produzida a capacitação dos docentes específicos para as disciplinas de “Escolta Armada de Presos” e “Técnicas de Condução Operacional”, sempre almejando atuação de excelência dos servidores.</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Foi dado enfoque na formação técnico-profissional dos ASPs, nomeados e formados antes de exercerem suas funções em unidades prisionais, com a parceria da Secretaria da Educação, que disponibilizou locais para a realização dos cursos, com carga horária de 475 h/a por turma.</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 xml:space="preserve">Além dos cursos oferecidos para a </w:t>
      </w:r>
      <w:r w:rsidRPr="00D02F08">
        <w:rPr>
          <w:szCs w:val="24"/>
        </w:rPr>
        <w:t>área de segurança, a EAP busca a reinserção do homem preso na sociedade, com oferecimento de cursos, treinamentos</w:t>
      </w:r>
      <w:r>
        <w:rPr>
          <w:szCs w:val="24"/>
        </w:rPr>
        <w:t xml:space="preserve"> e palestras para servidores técnicos, administrativos e operacionais, oferecendo instrumentos que possibilitem melhor e mais adequado  atendimento das pessoas presas.</w:t>
      </w:r>
    </w:p>
    <w:p w:rsidR="00D02F08" w:rsidRDefault="00D02F08">
      <w:pPr>
        <w:pStyle w:val="Relatrio2010"/>
        <w:spacing w:after="0" w:afterAutospacing="0"/>
        <w:ind w:firstLine="1134"/>
        <w:rPr>
          <w:b/>
          <w:szCs w:val="24"/>
        </w:rPr>
      </w:pPr>
    </w:p>
    <w:p w:rsidR="003E6588" w:rsidRDefault="003E6588" w:rsidP="00D02F08">
      <w:pPr>
        <w:pStyle w:val="Relatrio2010"/>
        <w:spacing w:after="0" w:afterAutospacing="0"/>
        <w:ind w:firstLine="1134"/>
        <w:rPr>
          <w:b/>
          <w:szCs w:val="24"/>
        </w:rPr>
      </w:pPr>
      <w:r>
        <w:rPr>
          <w:b/>
          <w:szCs w:val="24"/>
        </w:rPr>
        <w:t>Programa Servidores Treinados</w:t>
      </w:r>
    </w:p>
    <w:p w:rsidR="003E6588" w:rsidRDefault="003E6588" w:rsidP="00D02F08">
      <w:pPr>
        <w:pStyle w:val="Relatrio2010"/>
        <w:spacing w:after="0" w:afterAutospacing="0"/>
        <w:ind w:firstLine="1134"/>
        <w:rPr>
          <w:b/>
          <w:szCs w:val="24"/>
        </w:rPr>
      </w:pPr>
    </w:p>
    <w:tbl>
      <w:tblPr>
        <w:tblpPr w:leftFromText="141" w:rightFromText="141" w:bottomFromText="160" w:vertAnchor="text" w:horzAnchor="margin" w:tblpXSpec="center" w:tblpY="76"/>
        <w:tblW w:w="8886" w:type="dxa"/>
        <w:tblBorders>
          <w:top w:val="thinThickSmallGap" w:sz="24" w:space="0" w:color="666699"/>
          <w:left w:val="thinThickSmallGap" w:sz="24" w:space="0" w:color="666699"/>
          <w:bottom w:val="thinThickSmallGap" w:sz="24" w:space="0" w:color="666699"/>
          <w:right w:val="thinThickSmallGap" w:sz="24" w:space="0" w:color="666699"/>
          <w:insideH w:val="thinThickSmallGap" w:sz="24" w:space="0" w:color="666699"/>
          <w:insideV w:val="thinThickSmallGap" w:sz="24" w:space="0" w:color="666699"/>
        </w:tblBorders>
        <w:tblCellMar>
          <w:left w:w="70" w:type="dxa"/>
          <w:right w:w="70" w:type="dxa"/>
        </w:tblCellMar>
        <w:tblLook w:val="04A0"/>
      </w:tblPr>
      <w:tblGrid>
        <w:gridCol w:w="4748"/>
        <w:gridCol w:w="1559"/>
        <w:gridCol w:w="1418"/>
        <w:gridCol w:w="1161"/>
      </w:tblGrid>
      <w:tr w:rsidR="003E6588" w:rsidTr="00D02F08">
        <w:trPr>
          <w:trHeight w:val="57"/>
        </w:trPr>
        <w:tc>
          <w:tcPr>
            <w:tcW w:w="474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b/>
                <w:bCs/>
                <w:sz w:val="20"/>
                <w:szCs w:val="20"/>
              </w:rPr>
            </w:pPr>
            <w:r>
              <w:rPr>
                <w:b/>
                <w:bCs/>
                <w:sz w:val="20"/>
                <w:szCs w:val="20"/>
              </w:rPr>
              <w:lastRenderedPageBreak/>
              <w:t>Eixo Temático</w:t>
            </w:r>
          </w:p>
        </w:tc>
        <w:tc>
          <w:tcPr>
            <w:tcW w:w="1559"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ind w:left="458" w:hanging="101"/>
              <w:rPr>
                <w:b/>
                <w:bCs/>
                <w:sz w:val="20"/>
                <w:szCs w:val="20"/>
              </w:rPr>
            </w:pPr>
            <w:r>
              <w:rPr>
                <w:b/>
                <w:bCs/>
                <w:sz w:val="20"/>
                <w:szCs w:val="20"/>
              </w:rPr>
              <w:t>CECADRH</w:t>
            </w:r>
          </w:p>
        </w:tc>
        <w:tc>
          <w:tcPr>
            <w:tcW w:w="141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b/>
                <w:bCs/>
                <w:sz w:val="20"/>
                <w:szCs w:val="20"/>
              </w:rPr>
            </w:pPr>
            <w:r>
              <w:rPr>
                <w:b/>
                <w:bCs/>
                <w:sz w:val="20"/>
                <w:szCs w:val="20"/>
              </w:rPr>
              <w:t>CFAASP</w:t>
            </w:r>
          </w:p>
        </w:tc>
        <w:tc>
          <w:tcPr>
            <w:tcW w:w="1161"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b/>
                <w:bCs/>
                <w:sz w:val="20"/>
                <w:szCs w:val="20"/>
              </w:rPr>
            </w:pPr>
            <w:r>
              <w:rPr>
                <w:b/>
                <w:bCs/>
                <w:sz w:val="20"/>
                <w:szCs w:val="20"/>
              </w:rPr>
              <w:t>TOTAL</w:t>
            </w:r>
          </w:p>
        </w:tc>
      </w:tr>
      <w:tr w:rsidR="003E6588">
        <w:trPr>
          <w:trHeight w:val="163"/>
        </w:trPr>
        <w:tc>
          <w:tcPr>
            <w:tcW w:w="474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jc w:val="both"/>
              <w:rPr>
                <w:sz w:val="20"/>
                <w:szCs w:val="20"/>
              </w:rPr>
            </w:pPr>
            <w:r>
              <w:rPr>
                <w:sz w:val="20"/>
                <w:szCs w:val="20"/>
              </w:rPr>
              <w:t>I - Ingressantes/Iniciação Funcional</w:t>
            </w:r>
          </w:p>
        </w:tc>
        <w:tc>
          <w:tcPr>
            <w:tcW w:w="1559"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w:t>
            </w:r>
          </w:p>
        </w:tc>
        <w:tc>
          <w:tcPr>
            <w:tcW w:w="141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817</w:t>
            </w:r>
          </w:p>
        </w:tc>
        <w:tc>
          <w:tcPr>
            <w:tcW w:w="1161"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817</w:t>
            </w:r>
          </w:p>
        </w:tc>
      </w:tr>
      <w:tr w:rsidR="003E6588">
        <w:tc>
          <w:tcPr>
            <w:tcW w:w="474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rsidP="00D02F08">
            <w:pPr>
              <w:jc w:val="both"/>
              <w:rPr>
                <w:sz w:val="20"/>
                <w:szCs w:val="20"/>
              </w:rPr>
            </w:pPr>
            <w:r>
              <w:rPr>
                <w:sz w:val="20"/>
                <w:szCs w:val="20"/>
              </w:rPr>
              <w:t>II - Desenvolvimento Humano/Qualidade de Vida</w:t>
            </w:r>
          </w:p>
        </w:tc>
        <w:tc>
          <w:tcPr>
            <w:tcW w:w="1559"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1.771</w:t>
            </w:r>
          </w:p>
        </w:tc>
        <w:tc>
          <w:tcPr>
            <w:tcW w:w="141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w:t>
            </w:r>
          </w:p>
        </w:tc>
        <w:tc>
          <w:tcPr>
            <w:tcW w:w="1161"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1.771</w:t>
            </w:r>
          </w:p>
        </w:tc>
      </w:tr>
      <w:tr w:rsidR="003E6588">
        <w:tc>
          <w:tcPr>
            <w:tcW w:w="474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jc w:val="both"/>
              <w:rPr>
                <w:sz w:val="20"/>
                <w:szCs w:val="20"/>
              </w:rPr>
            </w:pPr>
            <w:r>
              <w:rPr>
                <w:sz w:val="20"/>
                <w:szCs w:val="20"/>
              </w:rPr>
              <w:t>III - Administração/Gestão</w:t>
            </w:r>
          </w:p>
        </w:tc>
        <w:tc>
          <w:tcPr>
            <w:tcW w:w="1559"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1.740</w:t>
            </w:r>
          </w:p>
        </w:tc>
        <w:tc>
          <w:tcPr>
            <w:tcW w:w="141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196</w:t>
            </w:r>
          </w:p>
        </w:tc>
        <w:tc>
          <w:tcPr>
            <w:tcW w:w="1161"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1.936</w:t>
            </w:r>
          </w:p>
        </w:tc>
      </w:tr>
      <w:tr w:rsidR="003E6588">
        <w:tc>
          <w:tcPr>
            <w:tcW w:w="474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jc w:val="both"/>
              <w:rPr>
                <w:sz w:val="20"/>
                <w:szCs w:val="20"/>
              </w:rPr>
            </w:pPr>
            <w:r>
              <w:rPr>
                <w:sz w:val="20"/>
                <w:szCs w:val="20"/>
              </w:rPr>
              <w:t>IV - Segurança e Disciplina</w:t>
            </w:r>
          </w:p>
        </w:tc>
        <w:tc>
          <w:tcPr>
            <w:tcW w:w="1559"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1.416</w:t>
            </w:r>
          </w:p>
        </w:tc>
        <w:tc>
          <w:tcPr>
            <w:tcW w:w="141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783</w:t>
            </w:r>
          </w:p>
        </w:tc>
        <w:tc>
          <w:tcPr>
            <w:tcW w:w="1161"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2.199</w:t>
            </w:r>
          </w:p>
        </w:tc>
      </w:tr>
      <w:tr w:rsidR="003E6588">
        <w:tc>
          <w:tcPr>
            <w:tcW w:w="474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jc w:val="both"/>
              <w:rPr>
                <w:sz w:val="20"/>
                <w:szCs w:val="20"/>
              </w:rPr>
            </w:pPr>
            <w:r>
              <w:rPr>
                <w:sz w:val="20"/>
                <w:szCs w:val="20"/>
              </w:rPr>
              <w:t>V - Reintegração Social</w:t>
            </w:r>
          </w:p>
        </w:tc>
        <w:tc>
          <w:tcPr>
            <w:tcW w:w="1559"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96</w:t>
            </w:r>
          </w:p>
        </w:tc>
        <w:tc>
          <w:tcPr>
            <w:tcW w:w="141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219</w:t>
            </w:r>
          </w:p>
        </w:tc>
        <w:tc>
          <w:tcPr>
            <w:tcW w:w="1161"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sz w:val="20"/>
                <w:szCs w:val="20"/>
              </w:rPr>
            </w:pPr>
            <w:r>
              <w:rPr>
                <w:sz w:val="20"/>
                <w:szCs w:val="20"/>
              </w:rPr>
              <w:t>315</w:t>
            </w:r>
          </w:p>
        </w:tc>
      </w:tr>
      <w:tr w:rsidR="003E6588">
        <w:tc>
          <w:tcPr>
            <w:tcW w:w="474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jc w:val="both"/>
              <w:rPr>
                <w:b/>
                <w:sz w:val="20"/>
                <w:szCs w:val="20"/>
              </w:rPr>
            </w:pPr>
            <w:r>
              <w:rPr>
                <w:b/>
                <w:sz w:val="20"/>
                <w:szCs w:val="20"/>
              </w:rPr>
              <w:t>Total de Servidores Treinados</w:t>
            </w:r>
          </w:p>
        </w:tc>
        <w:tc>
          <w:tcPr>
            <w:tcW w:w="1559"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b/>
                <w:sz w:val="20"/>
                <w:szCs w:val="20"/>
              </w:rPr>
            </w:pPr>
            <w:r>
              <w:rPr>
                <w:b/>
                <w:sz w:val="20"/>
                <w:szCs w:val="20"/>
              </w:rPr>
              <w:t>5.023</w:t>
            </w:r>
          </w:p>
        </w:tc>
        <w:tc>
          <w:tcPr>
            <w:tcW w:w="1418"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b/>
                <w:sz w:val="20"/>
                <w:szCs w:val="20"/>
              </w:rPr>
            </w:pPr>
            <w:r>
              <w:rPr>
                <w:b/>
                <w:sz w:val="20"/>
                <w:szCs w:val="20"/>
              </w:rPr>
              <w:t>2.015</w:t>
            </w:r>
          </w:p>
        </w:tc>
        <w:tc>
          <w:tcPr>
            <w:tcW w:w="1161" w:type="dxa"/>
            <w:tcBorders>
              <w:top w:val="thinThickSmallGap" w:sz="24" w:space="0" w:color="666699"/>
              <w:left w:val="thinThickSmallGap" w:sz="24" w:space="0" w:color="666699"/>
              <w:bottom w:val="thinThickSmallGap" w:sz="24" w:space="0" w:color="666699"/>
              <w:right w:val="thinThickSmallGap" w:sz="24" w:space="0" w:color="666699"/>
            </w:tcBorders>
            <w:hideMark/>
          </w:tcPr>
          <w:p w:rsidR="003E6588" w:rsidRDefault="003E6588">
            <w:pPr>
              <w:rPr>
                <w:b/>
                <w:sz w:val="20"/>
                <w:szCs w:val="20"/>
              </w:rPr>
            </w:pPr>
            <w:r>
              <w:rPr>
                <w:b/>
                <w:sz w:val="20"/>
                <w:szCs w:val="20"/>
              </w:rPr>
              <w:t>7.038</w:t>
            </w:r>
          </w:p>
        </w:tc>
      </w:tr>
    </w:tbl>
    <w:p w:rsidR="003E6588" w:rsidRDefault="003E6588">
      <w:pPr>
        <w:pStyle w:val="Corpodetexto2"/>
        <w:ind w:left="567"/>
        <w:jc w:val="both"/>
        <w:rPr>
          <w:sz w:val="16"/>
          <w:szCs w:val="16"/>
        </w:rPr>
      </w:pPr>
      <w:r>
        <w:rPr>
          <w:sz w:val="16"/>
          <w:szCs w:val="16"/>
        </w:rPr>
        <w:t>CECAD-RH - Centro de Capacitação e Desenvolvimento de Recursos Humanos.</w:t>
      </w:r>
    </w:p>
    <w:p w:rsidR="003E6588" w:rsidRDefault="003E6588">
      <w:pPr>
        <w:pStyle w:val="Corpodetexto2"/>
        <w:ind w:left="567"/>
        <w:jc w:val="both"/>
        <w:rPr>
          <w:sz w:val="24"/>
          <w:szCs w:val="24"/>
        </w:rPr>
      </w:pPr>
      <w:r>
        <w:rPr>
          <w:sz w:val="16"/>
          <w:szCs w:val="16"/>
        </w:rPr>
        <w:t>CFAASP - Centro de Formação e Aperfeiçoamento de Agentes de Segurança Penitenciária.</w:t>
      </w:r>
    </w:p>
    <w:p w:rsidR="003E6588" w:rsidRDefault="003E6588">
      <w:pPr>
        <w:pStyle w:val="Relatrio2010"/>
        <w:spacing w:after="0" w:afterAutospacing="0"/>
        <w:ind w:firstLine="1134"/>
        <w:rPr>
          <w:b/>
          <w:szCs w:val="24"/>
        </w:rPr>
      </w:pPr>
    </w:p>
    <w:p w:rsidR="003E6588" w:rsidRDefault="003E6588">
      <w:pPr>
        <w:pStyle w:val="Relatrio2010"/>
        <w:spacing w:after="0" w:afterAutospacing="0"/>
        <w:ind w:firstLine="1134"/>
        <w:rPr>
          <w:b/>
          <w:szCs w:val="24"/>
        </w:rPr>
      </w:pPr>
    </w:p>
    <w:p w:rsidR="003E6588" w:rsidRDefault="003E6588">
      <w:pPr>
        <w:pStyle w:val="Relatrio2010"/>
        <w:tabs>
          <w:tab w:val="left" w:pos="284"/>
        </w:tabs>
        <w:spacing w:after="0" w:afterAutospacing="0"/>
        <w:jc w:val="center"/>
        <w:rPr>
          <w:b/>
          <w:szCs w:val="24"/>
        </w:rPr>
      </w:pPr>
      <w:r>
        <w:rPr>
          <w:b/>
          <w:szCs w:val="24"/>
        </w:rPr>
        <w:t>FUNDAÇÃO “PROF. DR. MANOEL PEDRO PIMENTEL” - FUNAP</w:t>
      </w:r>
    </w:p>
    <w:p w:rsidR="003E6588" w:rsidRDefault="003E6588">
      <w:pPr>
        <w:pStyle w:val="Relatrio2010"/>
        <w:tabs>
          <w:tab w:val="left" w:pos="284"/>
        </w:tabs>
        <w:spacing w:after="0" w:afterAutospacing="0"/>
        <w:ind w:firstLine="1134"/>
        <w:rPr>
          <w:b/>
          <w:szCs w:val="24"/>
        </w:rPr>
      </w:pPr>
    </w:p>
    <w:p w:rsidR="003E6588" w:rsidRDefault="003E6588">
      <w:pPr>
        <w:pStyle w:val="Relatrio2010"/>
        <w:tabs>
          <w:tab w:val="left" w:pos="284"/>
        </w:tabs>
        <w:spacing w:after="0" w:afterAutospacing="0"/>
        <w:ind w:firstLine="1134"/>
        <w:rPr>
          <w:b/>
          <w:szCs w:val="24"/>
        </w:rPr>
      </w:pPr>
    </w:p>
    <w:p w:rsidR="003E6588" w:rsidRDefault="003E6588">
      <w:pPr>
        <w:pStyle w:val="Relatrio2010"/>
        <w:tabs>
          <w:tab w:val="left" w:pos="284"/>
        </w:tabs>
        <w:spacing w:after="0" w:afterAutospacing="0"/>
        <w:ind w:firstLine="1134"/>
        <w:rPr>
          <w:szCs w:val="24"/>
        </w:rPr>
      </w:pPr>
      <w:r>
        <w:rPr>
          <w:szCs w:val="24"/>
        </w:rPr>
        <w:t xml:space="preserve">A Fundação "Prof. Dr. Manoel Pedro Pimentel" é vinculada à SAP e tem por missão contribuir para inclusão social de </w:t>
      </w:r>
      <w:r w:rsidRPr="00D02F08">
        <w:rPr>
          <w:szCs w:val="24"/>
        </w:rPr>
        <w:t>pessoas presas e</w:t>
      </w:r>
      <w:r>
        <w:rPr>
          <w:szCs w:val="24"/>
        </w:rPr>
        <w:t xml:space="preserve"> egressos, desenvolvendo seus potenciais como indivíduos, cidadãos e profissionais. Para isso, planeja, desenvolve e avalia programas sociais nas áreas da assistência jurídica, educação, cultura, capacitação profissional e trabalho para as pessoas privadas de liberdade.</w:t>
      </w:r>
    </w:p>
    <w:p w:rsidR="003E6588" w:rsidRDefault="003E6588">
      <w:pPr>
        <w:pStyle w:val="Relatrio2010"/>
        <w:spacing w:after="0" w:afterAutospacing="0"/>
        <w:ind w:firstLine="1134"/>
        <w:rPr>
          <w:b/>
          <w:szCs w:val="24"/>
        </w:rPr>
      </w:pPr>
    </w:p>
    <w:p w:rsidR="003E6588" w:rsidRDefault="003E6588">
      <w:pPr>
        <w:pStyle w:val="Relatrio2010"/>
        <w:spacing w:after="0" w:afterAutospacing="0"/>
        <w:ind w:firstLine="1134"/>
        <w:rPr>
          <w:color w:val="000000"/>
          <w:szCs w:val="24"/>
          <w:lang w:eastAsia="pt-BR" w:bidi="ar-SA"/>
        </w:rPr>
      </w:pPr>
      <w:r>
        <w:rPr>
          <w:b/>
          <w:szCs w:val="24"/>
        </w:rPr>
        <w:t xml:space="preserve">Programa JUS - </w:t>
      </w:r>
      <w:r>
        <w:rPr>
          <w:szCs w:val="24"/>
        </w:rPr>
        <w:t>apoio jurídico à pessoa presa - 100.529 atendimentos por mês</w:t>
      </w:r>
      <w:r>
        <w:rPr>
          <w:b/>
          <w:szCs w:val="24"/>
        </w:rPr>
        <w:t xml:space="preserve"> - </w:t>
      </w:r>
      <w:r>
        <w:rPr>
          <w:szCs w:val="24"/>
        </w:rPr>
        <w:t xml:space="preserve">O objetivo de prestar assistência jurídica integral às pessoas presas carentes de recursos financeiros. </w:t>
      </w:r>
      <w:r>
        <w:rPr>
          <w:szCs w:val="24"/>
          <w:lang w:eastAsia="pt-BR" w:bidi="ar-SA"/>
        </w:rPr>
        <w:t>Com a criação, junto à Procuradoria Geral do Estado, da Coordenadoria da Assistência Judiciária ao Preso, foi assinado convênio entre a Procuradoria Geral do Estado, a SAP e a Fundação, por meio do qual os advogados da FUNAP continuaram a prestar serviços nos estabelecimentos penais sob coordenação e orientação da Procuradoria. Com o advento da Lei Complementar nº 988/2006, o convênio passou a ser firmado com a Defensoria Pública, na qualidade de sucessora da Procuradoria Geral do Estado. Por força do convênio, os advogados da FUNAP prestam serviços de atendimento jurídico suplementar aos presos, incumbindo-lhes praticar os atos destinados a garantir a preservação dos direitos dos presos e internados, condenados ou provisórios, que não possuam advogado, entrevistando-os, formulando pedidos de benefícios e acompanhando sindicâncias administrativas disciplinares</w:t>
      </w:r>
      <w:r>
        <w:rPr>
          <w:color w:val="000000"/>
          <w:szCs w:val="24"/>
          <w:lang w:eastAsia="pt-BR" w:bidi="ar-SA"/>
        </w:rPr>
        <w:t>.</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Há 153 advogados, servidores da FUNAP, designados para atender as 160 unidades da SAP e algumas da Secretaria da Segurança Pública (Presídio da Polícia Civil, Presídio da Polícia Militar e algumas cadeias públicas).</w:t>
      </w:r>
    </w:p>
    <w:p w:rsidR="003E6588" w:rsidRDefault="003E6588">
      <w:pPr>
        <w:autoSpaceDE w:val="0"/>
        <w:autoSpaceDN w:val="0"/>
        <w:adjustRightInd w:val="0"/>
        <w:ind w:firstLine="1134"/>
        <w:jc w:val="both"/>
        <w:rPr>
          <w:color w:val="000000"/>
        </w:rPr>
      </w:pPr>
    </w:p>
    <w:p w:rsidR="003E6588" w:rsidRDefault="003E6588">
      <w:pPr>
        <w:pStyle w:val="Relatrio2010"/>
        <w:spacing w:after="0" w:afterAutospacing="0"/>
        <w:ind w:firstLine="1134"/>
        <w:rPr>
          <w:color w:val="000000"/>
          <w:szCs w:val="24"/>
          <w:lang w:eastAsia="pt-BR" w:bidi="ar-SA"/>
        </w:rPr>
      </w:pPr>
      <w:r>
        <w:rPr>
          <w:color w:val="000000"/>
          <w:szCs w:val="24"/>
          <w:lang w:eastAsia="pt-BR" w:bidi="ar-SA"/>
        </w:rPr>
        <w:t>Os advogados da FUNAP efetuaram 1.105.819 atendimentos, incluídos benefícios, participação em processos disciplinares e entrevistas pessoais.</w:t>
      </w:r>
    </w:p>
    <w:p w:rsidR="003E6588" w:rsidRDefault="003E6588">
      <w:pPr>
        <w:pStyle w:val="Relatrio2010"/>
        <w:spacing w:after="0" w:afterAutospacing="0"/>
        <w:ind w:firstLine="1134"/>
        <w:rPr>
          <w:b/>
          <w:szCs w:val="24"/>
        </w:rPr>
      </w:pPr>
    </w:p>
    <w:p w:rsidR="003E6588" w:rsidRDefault="003E6588">
      <w:pPr>
        <w:autoSpaceDE w:val="0"/>
        <w:autoSpaceDN w:val="0"/>
        <w:adjustRightInd w:val="0"/>
        <w:ind w:firstLine="1134"/>
        <w:jc w:val="both"/>
        <w:rPr>
          <w:color w:val="000000"/>
        </w:rPr>
      </w:pPr>
      <w:r>
        <w:rPr>
          <w:b/>
          <w:color w:val="000000"/>
        </w:rPr>
        <w:t xml:space="preserve">Programa de Atividades Culturais - </w:t>
      </w:r>
      <w:r>
        <w:rPr>
          <w:color w:val="000000"/>
        </w:rPr>
        <w:t xml:space="preserve">39.121 atendimentos por mês </w:t>
      </w:r>
      <w:r>
        <w:rPr>
          <w:b/>
          <w:color w:val="000000"/>
        </w:rPr>
        <w:t xml:space="preserve">- </w:t>
      </w:r>
      <w:r>
        <w:rPr>
          <w:color w:val="000000"/>
        </w:rPr>
        <w:t>Este programa abrange as salas de leitura e o empréstimos de livros.</w:t>
      </w:r>
    </w:p>
    <w:p w:rsidR="00D02F08" w:rsidRDefault="00D02F08">
      <w:pPr>
        <w:autoSpaceDE w:val="0"/>
        <w:autoSpaceDN w:val="0"/>
        <w:adjustRightInd w:val="0"/>
        <w:ind w:firstLine="1134"/>
        <w:jc w:val="both"/>
        <w:rPr>
          <w:color w:val="000000"/>
        </w:rPr>
      </w:pPr>
    </w:p>
    <w:p w:rsidR="003E6588" w:rsidRDefault="003E6588">
      <w:pPr>
        <w:pStyle w:val="Relatrio2010"/>
        <w:spacing w:after="0" w:afterAutospacing="0"/>
        <w:ind w:firstLine="1134"/>
        <w:rPr>
          <w:szCs w:val="24"/>
        </w:rPr>
      </w:pPr>
      <w:r>
        <w:rPr>
          <w:b/>
          <w:szCs w:val="24"/>
        </w:rPr>
        <w:t xml:space="preserve">Programa de Educação Básica - </w:t>
      </w:r>
      <w:r>
        <w:rPr>
          <w:szCs w:val="24"/>
        </w:rPr>
        <w:t>Passou a ser executado pela Secretaria da Educação, restando à FUNAP o atendimento das unidades não assumidas pela referida Pasta.</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Atendimento FUNAP - 367,3 por mês.</w:t>
      </w:r>
    </w:p>
    <w:p w:rsidR="003E6588" w:rsidRDefault="003E6588">
      <w:pPr>
        <w:pStyle w:val="Relatrio2010"/>
        <w:spacing w:after="0" w:afterAutospacing="0"/>
        <w:ind w:firstLine="1134"/>
        <w:rPr>
          <w:b/>
          <w:szCs w:val="24"/>
        </w:rPr>
      </w:pPr>
    </w:p>
    <w:p w:rsidR="003E6588" w:rsidRDefault="003E6588">
      <w:pPr>
        <w:pStyle w:val="Relatrio2010"/>
        <w:spacing w:after="0" w:afterAutospacing="0"/>
        <w:ind w:firstLine="1134"/>
      </w:pPr>
      <w:r>
        <w:rPr>
          <w:b/>
          <w:szCs w:val="24"/>
        </w:rPr>
        <w:t xml:space="preserve">Programa de Educação para o Trabalho - </w:t>
      </w:r>
      <w:r>
        <w:rPr>
          <w:szCs w:val="24"/>
        </w:rPr>
        <w:t xml:space="preserve">8.076,7 atendimentos por mês </w:t>
      </w:r>
      <w:r>
        <w:rPr>
          <w:b/>
          <w:szCs w:val="24"/>
        </w:rPr>
        <w:t xml:space="preserve">- </w:t>
      </w:r>
      <w:r>
        <w:t>Programa de política da SAP, desenvolvido pela FUNAP e certificado pelo Instituto de Educação e Ciências Aplicadas - Neutrópica.</w:t>
      </w:r>
    </w:p>
    <w:p w:rsidR="003E6588" w:rsidRDefault="003E6588">
      <w:pPr>
        <w:shd w:val="clear" w:color="auto" w:fill="FFFFFF"/>
        <w:ind w:firstLine="1134"/>
        <w:jc w:val="both"/>
      </w:pPr>
    </w:p>
    <w:p w:rsidR="003E6588" w:rsidRDefault="003E6588">
      <w:pPr>
        <w:shd w:val="clear" w:color="auto" w:fill="FFFFFF"/>
        <w:ind w:firstLine="1134"/>
        <w:jc w:val="both"/>
        <w:rPr>
          <w:iCs/>
        </w:rPr>
      </w:pPr>
      <w:r>
        <w:t xml:space="preserve">Tem como objetivo contribuir para inclusão social de pessoas em privação de liberdade, por meio do desenvolvimento de competência e habilidades que apossam ampliar as possibilidades de inserção no mundo do trabalho, geração de renda e participação da sociedade, com a finalidade de atender o princípio da formação integral - </w:t>
      </w:r>
      <w:r>
        <w:rPr>
          <w:iCs/>
        </w:rPr>
        <w:t>o saber ser e o saber fazer.</w:t>
      </w:r>
    </w:p>
    <w:p w:rsidR="003E6588" w:rsidRDefault="003E6588">
      <w:pPr>
        <w:shd w:val="clear" w:color="auto" w:fill="FFFFFF"/>
        <w:ind w:firstLine="1134"/>
        <w:jc w:val="both"/>
        <w:rPr>
          <w:i/>
          <w:iCs/>
        </w:rPr>
      </w:pPr>
    </w:p>
    <w:p w:rsidR="003E6588" w:rsidRDefault="003E6588">
      <w:pPr>
        <w:shd w:val="clear" w:color="auto" w:fill="FFFFFF"/>
        <w:ind w:firstLine="1134"/>
        <w:jc w:val="both"/>
      </w:pPr>
      <w:r>
        <w:t xml:space="preserve">Grade curricular modular projetada para 120 horas, com 10 módulos de 12 horas cada: Comunicação e expressão; O mundo do Trabalho; Arte e Trabalho; Caminhos e </w:t>
      </w:r>
      <w:r w:rsidR="00D02F08">
        <w:t>Possibilidades Pro</w:t>
      </w:r>
      <w:r>
        <w:t>fissionais; Empreendedorismo; Meio Ambiente e Sustentabilidade; Relações Sociais e Políticas; Cidadania e Ética; Posicionamento Estratégico; Superação, Criatividade e Inovação.</w:t>
      </w:r>
    </w:p>
    <w:p w:rsidR="003E6588" w:rsidRDefault="003E6588">
      <w:pPr>
        <w:pStyle w:val="Relatrio2010"/>
        <w:spacing w:after="0" w:afterAutospacing="0"/>
        <w:ind w:firstLine="1134"/>
        <w:rPr>
          <w:szCs w:val="24"/>
        </w:rPr>
      </w:pPr>
    </w:p>
    <w:p w:rsidR="003E6588" w:rsidRDefault="003E6588">
      <w:pPr>
        <w:autoSpaceDE w:val="0"/>
        <w:autoSpaceDN w:val="0"/>
        <w:adjustRightInd w:val="0"/>
        <w:ind w:firstLine="1134"/>
        <w:jc w:val="both"/>
      </w:pPr>
      <w:r>
        <w:rPr>
          <w:b/>
        </w:rPr>
        <w:t xml:space="preserve">Programa Trabalho e Geração de Renda - </w:t>
      </w:r>
      <w:r w:rsidR="00D02F08">
        <w:t xml:space="preserve">Média </w:t>
      </w:r>
      <w:r>
        <w:t>mensal de 52.068,8 pessoas presas.</w:t>
      </w:r>
      <w:r>
        <w:rPr>
          <w:b/>
        </w:rPr>
        <w:t xml:space="preserve"> </w:t>
      </w:r>
      <w:r>
        <w:t>A socialização nas prisões é uma das funções do encarceramento, permitindo a readaptação do recluso para a vida em sociedade, em que o trabalho é fundamental, engrandecedor e dignificante.</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Por meio do Programa de Alocação de Mão</w:t>
      </w:r>
      <w:r w:rsidR="00D02F08">
        <w:rPr>
          <w:szCs w:val="24"/>
        </w:rPr>
        <w:t>-</w:t>
      </w:r>
      <w:r>
        <w:rPr>
          <w:szCs w:val="24"/>
        </w:rPr>
        <w:t>de</w:t>
      </w:r>
      <w:r w:rsidR="00D02F08">
        <w:rPr>
          <w:szCs w:val="24"/>
        </w:rPr>
        <w:t>-</w:t>
      </w:r>
      <w:r>
        <w:rPr>
          <w:szCs w:val="24"/>
        </w:rPr>
        <w:t>Obra e mediante a utilização do parque fabril próprio, a FUNAP promove a capacitação profissional do preso nas áreas de confecção, metalurgia, móveis escolares (novos e reformados), móveis administrativos, laminados de espuma antichama.</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rPr>
          <w:szCs w:val="24"/>
        </w:rPr>
      </w:pPr>
      <w:r>
        <w:rPr>
          <w:szCs w:val="24"/>
        </w:rPr>
        <w:t>Os produtos produzidos pela FUNAP são comercializados com órgãos federais, estaduais e municipais, além de pessoas físicas e jurídicas, que podem adquirir bens e contratar os serviços produzidos dispensa de certame licitatório.</w:t>
      </w:r>
    </w:p>
    <w:p w:rsidR="003E6588" w:rsidRDefault="003E6588">
      <w:pPr>
        <w:pStyle w:val="Relatrio2010"/>
        <w:spacing w:after="0" w:afterAutospacing="0"/>
        <w:ind w:firstLine="1134"/>
        <w:rPr>
          <w:szCs w:val="24"/>
        </w:rPr>
      </w:pPr>
    </w:p>
    <w:p w:rsidR="003E6588" w:rsidRDefault="003E6588">
      <w:pPr>
        <w:pStyle w:val="Relatrio2010"/>
        <w:spacing w:after="0" w:afterAutospacing="0"/>
        <w:ind w:firstLine="1134"/>
      </w:pPr>
      <w:r>
        <w:rPr>
          <w:b/>
          <w:szCs w:val="24"/>
        </w:rPr>
        <w:t xml:space="preserve">DASPRE - </w:t>
      </w:r>
      <w:r>
        <w:t>A DASPRE desenvolve, por meio de criação e comercialização do artesanato de alta qualidade, a formação educacional e qualificação profissional das mulheres presas, que iniciam na condição de principiantes, com direito à percepção de bolsa no valor mínimo de ½ salário mínimo. Após a obtenção de certificação pela SUTACO, órgão vinculado ao Governo do Estado, passam a ser consideradas artesãs e a fazer jus ao recebimento de bolsa no valor equivalente à ¾ do salário mínimo. Trata-se de projeto reconhecido pela Fundação Banco do Brasil, que proporciona 250 vagas mensais em suas oficinas. As peças são vendidas na loja existente na sede da FUNAP ou em feiras e exposições.</w:t>
      </w:r>
    </w:p>
    <w:p w:rsidR="003E6588" w:rsidRDefault="003E6588">
      <w:pPr>
        <w:pStyle w:val="Relatrio2010"/>
        <w:spacing w:after="0" w:afterAutospacing="0"/>
        <w:ind w:firstLine="1134"/>
        <w:rPr>
          <w:color w:val="000000"/>
          <w:szCs w:val="24"/>
          <w:lang w:eastAsia="pt-BR" w:bidi="ar-SA"/>
        </w:rPr>
      </w:pPr>
    </w:p>
    <w:p w:rsidR="003E6588" w:rsidRDefault="003E6588">
      <w:pPr>
        <w:pStyle w:val="Relatrio2010"/>
        <w:spacing w:after="0" w:afterAutospacing="0"/>
        <w:ind w:firstLine="1134"/>
        <w:rPr>
          <w:iCs/>
          <w:szCs w:val="24"/>
          <w:lang w:eastAsia="pt-BR"/>
        </w:rPr>
      </w:pPr>
      <w:r>
        <w:rPr>
          <w:b/>
          <w:szCs w:val="24"/>
        </w:rPr>
        <w:t xml:space="preserve">Museu Penitenciário Paulista - MPP - </w:t>
      </w:r>
      <w:r>
        <w:rPr>
          <w:szCs w:val="24"/>
        </w:rPr>
        <w:t xml:space="preserve">Inauguradas </w:t>
      </w:r>
      <w:r w:rsidRPr="00D02F08">
        <w:rPr>
          <w:szCs w:val="24"/>
        </w:rPr>
        <w:t>as novas instalações</w:t>
      </w:r>
      <w:r>
        <w:rPr>
          <w:szCs w:val="24"/>
        </w:rPr>
        <w:t xml:space="preserve">. Visa </w:t>
      </w:r>
      <w:r>
        <w:rPr>
          <w:iCs/>
          <w:szCs w:val="24"/>
          <w:lang w:eastAsia="pt-BR"/>
        </w:rPr>
        <w:t xml:space="preserve">produzir informações e conhecimento sobre ciência jurídica penal e sua execução, observada na própria história </w:t>
      </w:r>
      <w:r>
        <w:rPr>
          <w:iCs/>
          <w:szCs w:val="24"/>
          <w:lang w:eastAsia="pt-BR"/>
        </w:rPr>
        <w:lastRenderedPageBreak/>
        <w:t>do Sistema Penitenciário Paulista, assim como abordar características, desenvolvimento e evolução. Tem como missão a disponibilização de espaço aberto ao público, capaz de propiciar a reflexão sobre a história penitenciária e a pena.</w:t>
      </w:r>
    </w:p>
    <w:p w:rsidR="003E6588" w:rsidRDefault="003E6588">
      <w:pPr>
        <w:pStyle w:val="Relatrio2010"/>
        <w:spacing w:after="0" w:afterAutospacing="0"/>
        <w:ind w:firstLine="1134"/>
        <w:rPr>
          <w:szCs w:val="24"/>
        </w:rPr>
      </w:pPr>
    </w:p>
    <w:p w:rsidR="003E6588" w:rsidRDefault="003E6588">
      <w:pPr>
        <w:autoSpaceDE w:val="0"/>
        <w:autoSpaceDN w:val="0"/>
        <w:adjustRightInd w:val="0"/>
        <w:ind w:right="-1" w:firstLine="1134"/>
        <w:jc w:val="both"/>
        <w:rPr>
          <w:strike/>
        </w:rPr>
      </w:pPr>
      <w:r>
        <w:t>Com o aumento da divulgação, as visitas ao Museu aumentaram mês a mês, atingindo marca superior a 3.000 visitantes.</w:t>
      </w:r>
    </w:p>
    <w:p w:rsidR="003E6588" w:rsidRDefault="003E6588">
      <w:pPr>
        <w:ind w:firstLine="1134"/>
        <w:jc w:val="both"/>
      </w:pPr>
    </w:p>
    <w:p w:rsidR="003E6588" w:rsidRDefault="003E6588">
      <w:pPr>
        <w:rPr>
          <w:b/>
          <w:bCs/>
        </w:rPr>
      </w:pPr>
      <w:r>
        <w:br w:type="page"/>
      </w:r>
      <w:r>
        <w:rPr>
          <w:b/>
          <w:bCs/>
        </w:rPr>
        <w:lastRenderedPageBreak/>
        <w:t>SECRETARIA DE AGRICULTURA E ABASTECIMENTO</w:t>
      </w:r>
    </w:p>
    <w:p w:rsidR="003E6588" w:rsidRDefault="003E6588"/>
    <w:p w:rsidR="003E6588" w:rsidRDefault="003E6588"/>
    <w:p w:rsidR="003E6588" w:rsidRDefault="003E6588">
      <w:pPr>
        <w:ind w:firstLine="1134"/>
        <w:jc w:val="both"/>
      </w:pPr>
      <w:r>
        <w:rPr>
          <w:b/>
        </w:rPr>
        <w:t xml:space="preserve">Introdução - </w:t>
      </w:r>
      <w:r>
        <w:t>O Plano Plurianual - PPA 2012-2015 do Governo do Estado especifica como diretrizes: Estado promotor do desenvolvimento humano com qualidade de vida; Estado indutor do desenvolvimento econômico comprometido com as futuras gerações; Estado integrador do desenvolvimento regional e metropolitano; e Estado criador de valor público pela excelência da gestão.</w:t>
      </w:r>
    </w:p>
    <w:p w:rsidR="003E6588" w:rsidRDefault="003E6588">
      <w:pPr>
        <w:ind w:firstLine="1134"/>
        <w:jc w:val="both"/>
      </w:pPr>
    </w:p>
    <w:p w:rsidR="003E6588" w:rsidRDefault="003E6588">
      <w:pPr>
        <w:ind w:firstLine="1134"/>
        <w:jc w:val="both"/>
      </w:pPr>
      <w:r>
        <w:t>Em consonância com essas diretrizes, os Programas para a Agricultura Paulista atuarão focados no sentido da concretização de uma sociedade democrática, plural, economicamente avançada, cada vez mais justa e empenhada em proporcionar igualdade de oportunidades aos seus integrantes.</w:t>
      </w:r>
    </w:p>
    <w:p w:rsidR="003E6588" w:rsidRPr="006C4823" w:rsidRDefault="003E6588">
      <w:pPr>
        <w:ind w:firstLine="1134"/>
        <w:jc w:val="both"/>
        <w:rPr>
          <w:strike/>
        </w:rPr>
      </w:pPr>
    </w:p>
    <w:p w:rsidR="003E6588" w:rsidRPr="006C4823" w:rsidRDefault="003E6588">
      <w:pPr>
        <w:ind w:firstLine="1134"/>
        <w:jc w:val="both"/>
        <w:rPr>
          <w:strike/>
        </w:rPr>
      </w:pPr>
      <w:r w:rsidRPr="006C4823">
        <w:t>O presente documento está organizado segundo os programas inseridos no PPA 2012-2015.</w:t>
      </w:r>
    </w:p>
    <w:p w:rsidR="003E6588" w:rsidRPr="006C4823" w:rsidRDefault="003E6588">
      <w:pPr>
        <w:ind w:firstLine="1134"/>
        <w:jc w:val="both"/>
        <w:rPr>
          <w:strike/>
        </w:rPr>
      </w:pPr>
    </w:p>
    <w:p w:rsidR="003E6588" w:rsidRDefault="003E6588">
      <w:pPr>
        <w:pStyle w:val="Corpodetexto"/>
        <w:ind w:firstLine="1134"/>
        <w:jc w:val="both"/>
        <w:rPr>
          <w:szCs w:val="24"/>
        </w:rPr>
      </w:pPr>
      <w:r>
        <w:rPr>
          <w:szCs w:val="24"/>
        </w:rPr>
        <w:t>Programa Geração e Transferência de Conhecimento e Tecnologias para o Agronegócio</w:t>
      </w:r>
    </w:p>
    <w:p w:rsidR="003E6588" w:rsidRDefault="003E6588">
      <w:pPr>
        <w:pStyle w:val="Corpodetexto"/>
        <w:ind w:firstLine="1134"/>
        <w:jc w:val="both"/>
        <w:rPr>
          <w:szCs w:val="24"/>
        </w:rPr>
      </w:pPr>
    </w:p>
    <w:p w:rsidR="003E6588" w:rsidRDefault="003E6588">
      <w:pPr>
        <w:pStyle w:val="Legenda"/>
        <w:ind w:firstLine="1134"/>
        <w:jc w:val="both"/>
        <w:rPr>
          <w:rFonts w:ascii="Times New Roman" w:hAnsi="Times New Roman"/>
          <w:b w:val="0"/>
          <w:snapToGrid w:val="0"/>
          <w:spacing w:val="0"/>
          <w:sz w:val="24"/>
          <w:szCs w:val="24"/>
        </w:rPr>
      </w:pPr>
      <w:r>
        <w:rPr>
          <w:rFonts w:ascii="Times New Roman" w:hAnsi="Times New Roman"/>
          <w:spacing w:val="0"/>
          <w:sz w:val="24"/>
          <w:szCs w:val="24"/>
        </w:rPr>
        <w:t>Objetivo -</w:t>
      </w:r>
      <w:r>
        <w:rPr>
          <w:rFonts w:ascii="Times New Roman" w:hAnsi="Times New Roman"/>
          <w:b w:val="0"/>
          <w:spacing w:val="0"/>
          <w:sz w:val="24"/>
          <w:szCs w:val="24"/>
        </w:rPr>
        <w:t xml:space="preserve"> Gerar e transferir conhecimentos relacionados à segurança alimentar, sustentabilidade agroambiental, organização do espaço rural e periurbano, bioenergia e aos produtos e processos estratégicos, permitindo crescimento da produtividade e da competitividade do agronegócio paulista, das oportunidades de novos negócios, da geração de emprego e renda e da inclusão social.</w:t>
      </w:r>
    </w:p>
    <w:p w:rsidR="003E6588" w:rsidRDefault="003E6588">
      <w:pPr>
        <w:jc w:val="both"/>
      </w:pPr>
    </w:p>
    <w:p w:rsidR="003E6588" w:rsidRDefault="003E6588">
      <w:pPr>
        <w:ind w:firstLine="1134"/>
        <w:jc w:val="both"/>
        <w:rPr>
          <w:b/>
        </w:rPr>
      </w:pPr>
      <w:r>
        <w:t xml:space="preserve">Na atividade de </w:t>
      </w:r>
      <w:r w:rsidRPr="00C43F8A">
        <w:t>geração do conhecimento,</w:t>
      </w:r>
      <w:r>
        <w:t xml:space="preserve"> no </w:t>
      </w:r>
      <w:r w:rsidRPr="007D1A1B">
        <w:t>foram executadas</w:t>
      </w:r>
      <w:r>
        <w:t xml:space="preserve"> na Agência Paulista de Tecnologia dos Agronegócios - APTA 1.418 pesquisas, destacando-se as participações dos grupos proteína animal (25,4% do total), hortícolas e agronegócios especiais (19,3% do total) e agroexportação (17,1% do total</w:t>
      </w:r>
      <w:r w:rsidRPr="00C43F8A">
        <w:t>)</w:t>
      </w:r>
      <w:r>
        <w:t>.</w:t>
      </w:r>
    </w:p>
    <w:p w:rsidR="003E6588" w:rsidRDefault="003E6588">
      <w:pPr>
        <w:jc w:val="both"/>
        <w:rPr>
          <w:b/>
        </w:rPr>
      </w:pPr>
    </w:p>
    <w:p w:rsidR="003E6588" w:rsidRDefault="003E6588">
      <w:pPr>
        <w:ind w:firstLine="1134"/>
        <w:jc w:val="both"/>
        <w:rPr>
          <w:b/>
        </w:rPr>
      </w:pPr>
      <w:r>
        <w:rPr>
          <w:b/>
        </w:rPr>
        <w:t>Geração do conhecimento, APTA, número de pesquisas em andamento</w:t>
      </w:r>
    </w:p>
    <w:p w:rsidR="003E6588" w:rsidRDefault="003E6588">
      <w:pPr>
        <w:ind w:firstLine="1134"/>
        <w:jc w:val="both"/>
      </w:pPr>
    </w:p>
    <w:tbl>
      <w:tblPr>
        <w:tblW w:w="5043" w:type="dxa"/>
        <w:jc w:val="center"/>
        <w:tblInd w:w="400" w:type="dxa"/>
        <w:tblLayout w:type="fixed"/>
        <w:tblCellMar>
          <w:left w:w="30" w:type="dxa"/>
          <w:right w:w="30" w:type="dxa"/>
        </w:tblCellMar>
        <w:tblLook w:val="04A0"/>
      </w:tblPr>
      <w:tblGrid>
        <w:gridCol w:w="3931"/>
        <w:gridCol w:w="1112"/>
      </w:tblGrid>
      <w:tr w:rsidR="003E6588" w:rsidTr="007E6934">
        <w:trPr>
          <w:trHeight w:val="87"/>
          <w:jc w:val="center"/>
        </w:trPr>
        <w:tc>
          <w:tcPr>
            <w:tcW w:w="3931" w:type="dxa"/>
            <w:tcBorders>
              <w:top w:val="single" w:sz="8" w:space="0" w:color="auto"/>
              <w:left w:val="nil"/>
              <w:bottom w:val="single" w:sz="8" w:space="0" w:color="auto"/>
              <w:right w:val="nil"/>
            </w:tcBorders>
            <w:hideMark/>
          </w:tcPr>
          <w:p w:rsidR="003E6588" w:rsidRDefault="003E6588">
            <w:pPr>
              <w:pStyle w:val="Ttulo1"/>
              <w:snapToGrid w:val="0"/>
              <w:spacing w:before="0" w:after="0"/>
              <w:rPr>
                <w:rFonts w:ascii="Times New Roman" w:hAnsi="Times New Roman"/>
                <w:sz w:val="20"/>
                <w:szCs w:val="20"/>
                <w:lang w:val="pt-BR" w:eastAsia="pt-BR"/>
              </w:rPr>
            </w:pPr>
            <w:r>
              <w:rPr>
                <w:rFonts w:ascii="Times New Roman" w:hAnsi="Times New Roman"/>
                <w:sz w:val="20"/>
                <w:szCs w:val="20"/>
                <w:lang w:val="pt-BR" w:eastAsia="pt-BR"/>
              </w:rPr>
              <w:t>Grupos</w:t>
            </w:r>
          </w:p>
        </w:tc>
        <w:tc>
          <w:tcPr>
            <w:tcW w:w="1112" w:type="dxa"/>
            <w:tcBorders>
              <w:top w:val="single" w:sz="8" w:space="0" w:color="auto"/>
              <w:left w:val="nil"/>
              <w:bottom w:val="single" w:sz="8" w:space="0" w:color="auto"/>
              <w:right w:val="nil"/>
            </w:tcBorders>
            <w:hideMark/>
          </w:tcPr>
          <w:p w:rsidR="003E6588" w:rsidRDefault="003E6588">
            <w:pPr>
              <w:tabs>
                <w:tab w:val="left" w:pos="210"/>
              </w:tabs>
              <w:snapToGrid w:val="0"/>
              <w:rPr>
                <w:b/>
                <w:sz w:val="20"/>
                <w:szCs w:val="20"/>
              </w:rPr>
            </w:pPr>
          </w:p>
        </w:tc>
      </w:tr>
      <w:tr w:rsidR="003E6588" w:rsidTr="007E6934">
        <w:trPr>
          <w:trHeight w:val="75"/>
          <w:jc w:val="center"/>
        </w:trPr>
        <w:tc>
          <w:tcPr>
            <w:tcW w:w="3931" w:type="dxa"/>
            <w:tcBorders>
              <w:top w:val="single" w:sz="8" w:space="0" w:color="auto"/>
              <w:left w:val="nil"/>
              <w:bottom w:val="nil"/>
              <w:right w:val="nil"/>
            </w:tcBorders>
            <w:hideMark/>
          </w:tcPr>
          <w:p w:rsidR="003E6588" w:rsidRDefault="003E6588">
            <w:pPr>
              <w:snapToGrid w:val="0"/>
              <w:jc w:val="both"/>
              <w:rPr>
                <w:sz w:val="20"/>
                <w:szCs w:val="20"/>
              </w:rPr>
            </w:pPr>
            <w:r>
              <w:rPr>
                <w:sz w:val="20"/>
                <w:szCs w:val="20"/>
              </w:rPr>
              <w:t>Agroexportação</w:t>
            </w:r>
          </w:p>
        </w:tc>
        <w:tc>
          <w:tcPr>
            <w:tcW w:w="1112" w:type="dxa"/>
            <w:tcBorders>
              <w:top w:val="single" w:sz="8" w:space="0" w:color="auto"/>
              <w:left w:val="nil"/>
              <w:bottom w:val="nil"/>
              <w:right w:val="nil"/>
            </w:tcBorders>
            <w:hideMark/>
          </w:tcPr>
          <w:p w:rsidR="003E6588" w:rsidRDefault="003E6588">
            <w:pPr>
              <w:snapToGrid w:val="0"/>
              <w:rPr>
                <w:sz w:val="20"/>
                <w:szCs w:val="20"/>
              </w:rPr>
            </w:pPr>
            <w:r>
              <w:rPr>
                <w:sz w:val="20"/>
                <w:szCs w:val="20"/>
              </w:rPr>
              <w:t>242</w:t>
            </w:r>
          </w:p>
        </w:tc>
      </w:tr>
      <w:tr w:rsidR="003E6588">
        <w:trPr>
          <w:trHeight w:val="75"/>
          <w:jc w:val="center"/>
        </w:trPr>
        <w:tc>
          <w:tcPr>
            <w:tcW w:w="3931" w:type="dxa"/>
            <w:hideMark/>
          </w:tcPr>
          <w:p w:rsidR="003E6588" w:rsidRDefault="003E6588">
            <w:pPr>
              <w:snapToGrid w:val="0"/>
              <w:jc w:val="both"/>
              <w:rPr>
                <w:sz w:val="20"/>
                <w:szCs w:val="20"/>
              </w:rPr>
            </w:pPr>
            <w:r>
              <w:rPr>
                <w:sz w:val="20"/>
                <w:szCs w:val="20"/>
              </w:rPr>
              <w:t>Grãos e Fibras</w:t>
            </w:r>
          </w:p>
        </w:tc>
        <w:tc>
          <w:tcPr>
            <w:tcW w:w="1112" w:type="dxa"/>
            <w:hideMark/>
          </w:tcPr>
          <w:p w:rsidR="003E6588" w:rsidRDefault="003E6588">
            <w:pPr>
              <w:snapToGrid w:val="0"/>
              <w:rPr>
                <w:sz w:val="20"/>
                <w:szCs w:val="20"/>
              </w:rPr>
            </w:pPr>
            <w:r>
              <w:rPr>
                <w:sz w:val="20"/>
                <w:szCs w:val="20"/>
              </w:rPr>
              <w:t>100</w:t>
            </w:r>
          </w:p>
        </w:tc>
      </w:tr>
      <w:tr w:rsidR="003E6588">
        <w:trPr>
          <w:trHeight w:val="75"/>
          <w:jc w:val="center"/>
        </w:trPr>
        <w:tc>
          <w:tcPr>
            <w:tcW w:w="3931" w:type="dxa"/>
            <w:hideMark/>
          </w:tcPr>
          <w:p w:rsidR="003E6588" w:rsidRDefault="003E6588">
            <w:pPr>
              <w:snapToGrid w:val="0"/>
              <w:jc w:val="both"/>
              <w:rPr>
                <w:sz w:val="20"/>
                <w:szCs w:val="20"/>
              </w:rPr>
            </w:pPr>
            <w:r>
              <w:rPr>
                <w:sz w:val="20"/>
                <w:szCs w:val="20"/>
              </w:rPr>
              <w:t>Proteína Animal</w:t>
            </w:r>
          </w:p>
        </w:tc>
        <w:tc>
          <w:tcPr>
            <w:tcW w:w="1112" w:type="dxa"/>
            <w:hideMark/>
          </w:tcPr>
          <w:p w:rsidR="003E6588" w:rsidRDefault="003E6588">
            <w:pPr>
              <w:snapToGrid w:val="0"/>
              <w:rPr>
                <w:sz w:val="20"/>
                <w:szCs w:val="20"/>
              </w:rPr>
            </w:pPr>
            <w:r>
              <w:rPr>
                <w:sz w:val="20"/>
                <w:szCs w:val="20"/>
              </w:rPr>
              <w:t>360</w:t>
            </w:r>
          </w:p>
        </w:tc>
      </w:tr>
      <w:tr w:rsidR="003E6588">
        <w:trPr>
          <w:trHeight w:val="75"/>
          <w:jc w:val="center"/>
        </w:trPr>
        <w:tc>
          <w:tcPr>
            <w:tcW w:w="3931" w:type="dxa"/>
            <w:hideMark/>
          </w:tcPr>
          <w:p w:rsidR="003E6588" w:rsidRDefault="003E6588">
            <w:pPr>
              <w:snapToGrid w:val="0"/>
              <w:jc w:val="both"/>
              <w:rPr>
                <w:sz w:val="20"/>
                <w:szCs w:val="20"/>
              </w:rPr>
            </w:pPr>
            <w:r>
              <w:rPr>
                <w:sz w:val="20"/>
                <w:szCs w:val="20"/>
              </w:rPr>
              <w:t>Hortícolas e Agronegócios Especiais</w:t>
            </w:r>
          </w:p>
        </w:tc>
        <w:tc>
          <w:tcPr>
            <w:tcW w:w="1112" w:type="dxa"/>
            <w:hideMark/>
          </w:tcPr>
          <w:p w:rsidR="003E6588" w:rsidRDefault="003E6588">
            <w:pPr>
              <w:snapToGrid w:val="0"/>
              <w:rPr>
                <w:sz w:val="20"/>
                <w:szCs w:val="20"/>
              </w:rPr>
            </w:pPr>
            <w:r>
              <w:rPr>
                <w:sz w:val="20"/>
                <w:szCs w:val="20"/>
              </w:rPr>
              <w:t>274</w:t>
            </w:r>
          </w:p>
        </w:tc>
      </w:tr>
      <w:tr w:rsidR="003E6588">
        <w:trPr>
          <w:trHeight w:val="75"/>
          <w:jc w:val="center"/>
        </w:trPr>
        <w:tc>
          <w:tcPr>
            <w:tcW w:w="3931" w:type="dxa"/>
            <w:hideMark/>
          </w:tcPr>
          <w:p w:rsidR="003E6588" w:rsidRDefault="003E6588">
            <w:pPr>
              <w:snapToGrid w:val="0"/>
              <w:jc w:val="both"/>
              <w:rPr>
                <w:sz w:val="20"/>
                <w:szCs w:val="20"/>
              </w:rPr>
            </w:pPr>
            <w:r>
              <w:rPr>
                <w:sz w:val="20"/>
                <w:szCs w:val="20"/>
              </w:rPr>
              <w:t>Desenvolvimento Regional</w:t>
            </w:r>
          </w:p>
        </w:tc>
        <w:tc>
          <w:tcPr>
            <w:tcW w:w="1112" w:type="dxa"/>
            <w:hideMark/>
          </w:tcPr>
          <w:p w:rsidR="003E6588" w:rsidRDefault="003E6588">
            <w:pPr>
              <w:snapToGrid w:val="0"/>
              <w:rPr>
                <w:sz w:val="20"/>
                <w:szCs w:val="20"/>
              </w:rPr>
            </w:pPr>
            <w:r>
              <w:rPr>
                <w:sz w:val="20"/>
                <w:szCs w:val="20"/>
              </w:rPr>
              <w:t>20</w:t>
            </w:r>
          </w:p>
        </w:tc>
      </w:tr>
      <w:tr w:rsidR="003E6588">
        <w:trPr>
          <w:trHeight w:val="75"/>
          <w:jc w:val="center"/>
        </w:trPr>
        <w:tc>
          <w:tcPr>
            <w:tcW w:w="3931" w:type="dxa"/>
            <w:hideMark/>
          </w:tcPr>
          <w:p w:rsidR="003E6588" w:rsidRDefault="003E6588">
            <w:pPr>
              <w:snapToGrid w:val="0"/>
              <w:jc w:val="both"/>
              <w:rPr>
                <w:sz w:val="20"/>
                <w:szCs w:val="20"/>
              </w:rPr>
            </w:pPr>
            <w:r>
              <w:rPr>
                <w:sz w:val="20"/>
                <w:szCs w:val="20"/>
              </w:rPr>
              <w:t>Bens de Capital e Informações</w:t>
            </w:r>
          </w:p>
        </w:tc>
        <w:tc>
          <w:tcPr>
            <w:tcW w:w="1112" w:type="dxa"/>
            <w:hideMark/>
          </w:tcPr>
          <w:p w:rsidR="003E6588" w:rsidRDefault="003E6588">
            <w:pPr>
              <w:snapToGrid w:val="0"/>
              <w:rPr>
                <w:sz w:val="20"/>
                <w:szCs w:val="20"/>
              </w:rPr>
            </w:pPr>
            <w:r>
              <w:rPr>
                <w:sz w:val="20"/>
                <w:szCs w:val="20"/>
              </w:rPr>
              <w:t>234</w:t>
            </w:r>
          </w:p>
        </w:tc>
      </w:tr>
      <w:tr w:rsidR="003E6588" w:rsidTr="007E6934">
        <w:trPr>
          <w:trHeight w:val="75"/>
          <w:jc w:val="center"/>
        </w:trPr>
        <w:tc>
          <w:tcPr>
            <w:tcW w:w="3931" w:type="dxa"/>
            <w:tcBorders>
              <w:top w:val="nil"/>
              <w:left w:val="nil"/>
              <w:bottom w:val="single" w:sz="8" w:space="0" w:color="auto"/>
              <w:right w:val="nil"/>
            </w:tcBorders>
            <w:hideMark/>
          </w:tcPr>
          <w:p w:rsidR="003E6588" w:rsidRDefault="003E6588">
            <w:pPr>
              <w:snapToGrid w:val="0"/>
              <w:jc w:val="both"/>
              <w:rPr>
                <w:sz w:val="20"/>
                <w:szCs w:val="20"/>
              </w:rPr>
            </w:pPr>
            <w:r>
              <w:rPr>
                <w:sz w:val="20"/>
                <w:szCs w:val="20"/>
              </w:rPr>
              <w:t>Políticas Públicas</w:t>
            </w:r>
          </w:p>
        </w:tc>
        <w:tc>
          <w:tcPr>
            <w:tcW w:w="1112" w:type="dxa"/>
            <w:tcBorders>
              <w:top w:val="nil"/>
              <w:left w:val="nil"/>
              <w:bottom w:val="single" w:sz="8" w:space="0" w:color="auto"/>
              <w:right w:val="nil"/>
            </w:tcBorders>
            <w:hideMark/>
          </w:tcPr>
          <w:p w:rsidR="003E6588" w:rsidRDefault="003E6588">
            <w:pPr>
              <w:snapToGrid w:val="0"/>
              <w:rPr>
                <w:sz w:val="20"/>
                <w:szCs w:val="20"/>
              </w:rPr>
            </w:pPr>
            <w:r>
              <w:rPr>
                <w:sz w:val="20"/>
                <w:szCs w:val="20"/>
              </w:rPr>
              <w:t>188</w:t>
            </w:r>
          </w:p>
        </w:tc>
      </w:tr>
      <w:tr w:rsidR="003E6588" w:rsidTr="007E6934">
        <w:trPr>
          <w:trHeight w:val="75"/>
          <w:jc w:val="center"/>
        </w:trPr>
        <w:tc>
          <w:tcPr>
            <w:tcW w:w="3931" w:type="dxa"/>
            <w:tcBorders>
              <w:top w:val="single" w:sz="8" w:space="0" w:color="auto"/>
              <w:left w:val="nil"/>
              <w:bottom w:val="single" w:sz="8" w:space="0" w:color="auto"/>
              <w:right w:val="nil"/>
            </w:tcBorders>
            <w:hideMark/>
          </w:tcPr>
          <w:p w:rsidR="003E6588" w:rsidRDefault="003E6588">
            <w:pPr>
              <w:snapToGrid w:val="0"/>
              <w:jc w:val="both"/>
              <w:rPr>
                <w:b/>
                <w:sz w:val="20"/>
                <w:szCs w:val="20"/>
              </w:rPr>
            </w:pPr>
            <w:r>
              <w:rPr>
                <w:b/>
                <w:sz w:val="20"/>
                <w:szCs w:val="20"/>
              </w:rPr>
              <w:t>TOTAL</w:t>
            </w:r>
          </w:p>
        </w:tc>
        <w:tc>
          <w:tcPr>
            <w:tcW w:w="1112" w:type="dxa"/>
            <w:tcBorders>
              <w:top w:val="single" w:sz="8" w:space="0" w:color="auto"/>
              <w:left w:val="nil"/>
              <w:bottom w:val="single" w:sz="8" w:space="0" w:color="auto"/>
              <w:right w:val="nil"/>
            </w:tcBorders>
            <w:hideMark/>
          </w:tcPr>
          <w:p w:rsidR="003E6588" w:rsidRDefault="003E6588">
            <w:pPr>
              <w:snapToGrid w:val="0"/>
              <w:rPr>
                <w:b/>
                <w:sz w:val="20"/>
                <w:szCs w:val="20"/>
              </w:rPr>
            </w:pPr>
            <w:r>
              <w:rPr>
                <w:b/>
                <w:sz w:val="20"/>
                <w:szCs w:val="20"/>
              </w:rPr>
              <w:t>1.418</w:t>
            </w:r>
          </w:p>
        </w:tc>
      </w:tr>
    </w:tbl>
    <w:p w:rsidR="003E6588" w:rsidRDefault="00C43F8A" w:rsidP="00C43F8A">
      <w:pPr>
        <w:pStyle w:val="Ttulo9"/>
        <w:spacing w:before="0" w:after="0"/>
        <w:ind w:left="2124"/>
        <w:jc w:val="left"/>
        <w:rPr>
          <w:rFonts w:ascii="Times New Roman" w:hAnsi="Times New Roman"/>
          <w:sz w:val="16"/>
          <w:szCs w:val="16"/>
        </w:rPr>
      </w:pPr>
      <w:r>
        <w:rPr>
          <w:rFonts w:ascii="Times New Roman" w:hAnsi="Times New Roman"/>
          <w:sz w:val="16"/>
          <w:szCs w:val="16"/>
        </w:rPr>
        <w:t xml:space="preserve">          </w:t>
      </w:r>
      <w:r w:rsidR="003E6588">
        <w:rPr>
          <w:rFonts w:ascii="Times New Roman" w:hAnsi="Times New Roman"/>
          <w:sz w:val="16"/>
          <w:szCs w:val="16"/>
        </w:rPr>
        <w:t>Fonte: APTA</w:t>
      </w:r>
    </w:p>
    <w:p w:rsidR="003E6588" w:rsidRDefault="003E6588">
      <w:pPr>
        <w:pStyle w:val="Ttulo9"/>
        <w:spacing w:before="0" w:after="0"/>
        <w:ind w:firstLine="708"/>
        <w:rPr>
          <w:rFonts w:ascii="Times New Roman" w:hAnsi="Times New Roman"/>
          <w:sz w:val="24"/>
          <w:szCs w:val="24"/>
        </w:rPr>
      </w:pPr>
    </w:p>
    <w:p w:rsidR="003E6588" w:rsidRDefault="003E6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134"/>
        <w:jc w:val="both"/>
      </w:pPr>
      <w:r w:rsidRPr="00C43F8A">
        <w:t>A transferência de tecnologia é preocupação permanente dos Institutos de Pesquisa vinculados à APTA. O ITAL-APTA teve seu curso de mestrado em C&amp;T de Alimentos recomendado pela CAPES e receberá a primeira</w:t>
      </w:r>
      <w:r>
        <w:t xml:space="preserve"> turma de alunos.</w:t>
      </w:r>
    </w:p>
    <w:p w:rsidR="003E6588" w:rsidRDefault="003E6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134"/>
        <w:jc w:val="both"/>
      </w:pPr>
    </w:p>
    <w:p w:rsidR="003E6588" w:rsidRDefault="003E6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134"/>
        <w:jc w:val="both"/>
      </w:pPr>
      <w:r>
        <w:lastRenderedPageBreak/>
        <w:t xml:space="preserve">Dos serviços prioritários oferecidos pelas unidades de pesquisa da APTA, destaca-se a disponibilização diária dos avanços tecnológicos em meio digital, por meio dos </w:t>
      </w:r>
      <w:r>
        <w:rPr>
          <w:i/>
          <w:iCs/>
        </w:rPr>
        <w:t>sites</w:t>
      </w:r>
      <w:r>
        <w:t xml:space="preserve"> institucionais, dando agilidade à transferência dos resultados de pesquisa a toda sociedade, com mecanismos onde os usuários podem esclarecer dúvidas e resolver problemas específicos diretamente com os pesquisadores especialistas nas diversas áreas.</w:t>
      </w:r>
    </w:p>
    <w:p w:rsidR="003E6588" w:rsidRDefault="003E65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134"/>
        <w:jc w:val="both"/>
      </w:pPr>
    </w:p>
    <w:p w:rsidR="003E6588" w:rsidRDefault="003E6588">
      <w:pPr>
        <w:ind w:firstLine="1134"/>
        <w:jc w:val="both"/>
      </w:pPr>
      <w:r>
        <w:t>Entre as ações de transferência do conhecimento, foram realizadas 295 mil análises laboratoriais</w:t>
      </w:r>
      <w:r w:rsidRPr="00C43F8A">
        <w:t>.</w:t>
      </w:r>
      <w:r>
        <w:rPr>
          <w:b/>
        </w:rPr>
        <w:t xml:space="preserve"> </w:t>
      </w:r>
      <w:r>
        <w:t>Esses serviços especializados prestados abrangem ampla gama de diagnoses, cobrindo desde insumos da produção rural até análises de alimentos prontos para consumo final.</w:t>
      </w:r>
    </w:p>
    <w:p w:rsidR="003E6588" w:rsidRDefault="003E6588">
      <w:pPr>
        <w:ind w:firstLine="1134"/>
        <w:jc w:val="both"/>
        <w:rPr>
          <w:b/>
        </w:rPr>
      </w:pPr>
    </w:p>
    <w:p w:rsidR="003E6588" w:rsidRDefault="003E6588" w:rsidP="00C43F8A">
      <w:pPr>
        <w:pStyle w:val="Ttulo9"/>
        <w:spacing w:before="0" w:after="0"/>
        <w:ind w:firstLine="1134"/>
        <w:jc w:val="both"/>
        <w:rPr>
          <w:rFonts w:ascii="Times New Roman" w:hAnsi="Times New Roman"/>
          <w:b/>
          <w:sz w:val="24"/>
          <w:szCs w:val="24"/>
          <w:lang w:val="pt-BR"/>
        </w:rPr>
      </w:pPr>
      <w:r>
        <w:rPr>
          <w:rFonts w:ascii="Times New Roman" w:hAnsi="Times New Roman"/>
          <w:b/>
          <w:sz w:val="24"/>
          <w:szCs w:val="24"/>
          <w:lang w:val="pt-BR"/>
        </w:rPr>
        <w:t>Tran</w:t>
      </w:r>
      <w:r w:rsidR="00A2529C">
        <w:rPr>
          <w:rFonts w:ascii="Times New Roman" w:hAnsi="Times New Roman"/>
          <w:b/>
          <w:sz w:val="24"/>
          <w:szCs w:val="24"/>
          <w:lang w:val="pt-BR"/>
        </w:rPr>
        <w:t>sferência do conhecimento, APTA</w:t>
      </w:r>
    </w:p>
    <w:p w:rsidR="003E6588" w:rsidRDefault="003E6588">
      <w:pPr>
        <w:rPr>
          <w:lang w:eastAsia="en-US"/>
        </w:rPr>
      </w:pPr>
    </w:p>
    <w:tbl>
      <w:tblPr>
        <w:tblW w:w="4376" w:type="dxa"/>
        <w:jc w:val="center"/>
        <w:tblInd w:w="70" w:type="dxa"/>
        <w:tblLayout w:type="fixed"/>
        <w:tblCellMar>
          <w:left w:w="70" w:type="dxa"/>
          <w:right w:w="70" w:type="dxa"/>
        </w:tblCellMar>
        <w:tblLook w:val="04A0"/>
      </w:tblPr>
      <w:tblGrid>
        <w:gridCol w:w="2959"/>
        <w:gridCol w:w="1417"/>
      </w:tblGrid>
      <w:tr w:rsidR="003E6588" w:rsidTr="003425B2">
        <w:trPr>
          <w:trHeight w:val="91"/>
          <w:jc w:val="center"/>
        </w:trPr>
        <w:tc>
          <w:tcPr>
            <w:tcW w:w="2959" w:type="dxa"/>
            <w:tcBorders>
              <w:top w:val="single" w:sz="8" w:space="0" w:color="auto"/>
              <w:left w:val="nil"/>
              <w:bottom w:val="single" w:sz="8" w:space="0" w:color="auto"/>
              <w:right w:val="nil"/>
            </w:tcBorders>
            <w:hideMark/>
          </w:tcPr>
          <w:p w:rsidR="003E6588" w:rsidRDefault="003E6588" w:rsidP="00A2529C">
            <w:pPr>
              <w:pStyle w:val="Cabealho"/>
              <w:tabs>
                <w:tab w:val="left" w:pos="708"/>
              </w:tabs>
              <w:snapToGrid w:val="0"/>
              <w:rPr>
                <w:b/>
                <w:sz w:val="20"/>
                <w:szCs w:val="20"/>
              </w:rPr>
            </w:pPr>
            <w:r>
              <w:rPr>
                <w:b/>
                <w:sz w:val="20"/>
                <w:szCs w:val="20"/>
              </w:rPr>
              <w:t>Item</w:t>
            </w:r>
          </w:p>
        </w:tc>
        <w:tc>
          <w:tcPr>
            <w:tcW w:w="1417" w:type="dxa"/>
            <w:tcBorders>
              <w:top w:val="single" w:sz="8" w:space="0" w:color="auto"/>
              <w:left w:val="nil"/>
              <w:bottom w:val="single" w:sz="8" w:space="0" w:color="auto"/>
              <w:right w:val="nil"/>
            </w:tcBorders>
            <w:hideMark/>
          </w:tcPr>
          <w:p w:rsidR="003E6588" w:rsidRDefault="003E6588">
            <w:pPr>
              <w:pStyle w:val="Cabealho"/>
              <w:tabs>
                <w:tab w:val="left" w:pos="708"/>
              </w:tabs>
              <w:snapToGrid w:val="0"/>
              <w:jc w:val="both"/>
              <w:rPr>
                <w:b/>
                <w:sz w:val="20"/>
                <w:szCs w:val="20"/>
              </w:rPr>
            </w:pPr>
          </w:p>
        </w:tc>
      </w:tr>
      <w:tr w:rsidR="003E6588" w:rsidTr="003425B2">
        <w:trPr>
          <w:trHeight w:val="199"/>
          <w:jc w:val="center"/>
        </w:trPr>
        <w:tc>
          <w:tcPr>
            <w:tcW w:w="2959" w:type="dxa"/>
            <w:tcBorders>
              <w:top w:val="single" w:sz="8" w:space="0" w:color="auto"/>
              <w:left w:val="nil"/>
              <w:bottom w:val="nil"/>
              <w:right w:val="nil"/>
            </w:tcBorders>
            <w:hideMark/>
          </w:tcPr>
          <w:p w:rsidR="003E6588" w:rsidRDefault="003E6588">
            <w:pPr>
              <w:pStyle w:val="Cabealho"/>
              <w:tabs>
                <w:tab w:val="left" w:pos="708"/>
              </w:tabs>
              <w:snapToGrid w:val="0"/>
              <w:jc w:val="both"/>
              <w:rPr>
                <w:sz w:val="20"/>
                <w:szCs w:val="20"/>
              </w:rPr>
            </w:pPr>
            <w:r>
              <w:rPr>
                <w:sz w:val="20"/>
                <w:szCs w:val="20"/>
              </w:rPr>
              <w:t>Análises laboratoriais (n°)</w:t>
            </w:r>
          </w:p>
        </w:tc>
        <w:tc>
          <w:tcPr>
            <w:tcW w:w="1417" w:type="dxa"/>
            <w:tcBorders>
              <w:top w:val="single" w:sz="8" w:space="0" w:color="auto"/>
              <w:left w:val="nil"/>
              <w:bottom w:val="nil"/>
              <w:right w:val="nil"/>
            </w:tcBorders>
            <w:hideMark/>
          </w:tcPr>
          <w:p w:rsidR="003E6588" w:rsidRDefault="003E6588" w:rsidP="00C43F8A">
            <w:pPr>
              <w:snapToGrid w:val="0"/>
              <w:jc w:val="right"/>
              <w:rPr>
                <w:sz w:val="20"/>
                <w:szCs w:val="20"/>
              </w:rPr>
            </w:pPr>
            <w:r>
              <w:rPr>
                <w:sz w:val="20"/>
                <w:szCs w:val="20"/>
              </w:rPr>
              <w:t>295.000</w:t>
            </w:r>
          </w:p>
        </w:tc>
      </w:tr>
      <w:tr w:rsidR="003E6588" w:rsidTr="00C43F8A">
        <w:trPr>
          <w:trHeight w:val="120"/>
          <w:jc w:val="center"/>
        </w:trPr>
        <w:tc>
          <w:tcPr>
            <w:tcW w:w="2959" w:type="dxa"/>
            <w:hideMark/>
          </w:tcPr>
          <w:p w:rsidR="003E6588" w:rsidRDefault="003E6588">
            <w:pPr>
              <w:pStyle w:val="Cabealho"/>
              <w:tabs>
                <w:tab w:val="left" w:pos="708"/>
              </w:tabs>
              <w:snapToGrid w:val="0"/>
              <w:jc w:val="both"/>
              <w:rPr>
                <w:sz w:val="20"/>
                <w:szCs w:val="20"/>
                <w:lang w:val="en-US"/>
              </w:rPr>
            </w:pPr>
            <w:r>
              <w:rPr>
                <w:sz w:val="20"/>
                <w:szCs w:val="20"/>
                <w:lang w:val="en-US"/>
              </w:rPr>
              <w:t xml:space="preserve">Sementes Básicas (kg) </w:t>
            </w:r>
          </w:p>
        </w:tc>
        <w:tc>
          <w:tcPr>
            <w:tcW w:w="1417" w:type="dxa"/>
            <w:hideMark/>
          </w:tcPr>
          <w:p w:rsidR="003E6588" w:rsidRDefault="003E6588" w:rsidP="00C43F8A">
            <w:pPr>
              <w:snapToGrid w:val="0"/>
              <w:jc w:val="right"/>
              <w:rPr>
                <w:sz w:val="20"/>
                <w:szCs w:val="20"/>
              </w:rPr>
            </w:pPr>
            <w:r>
              <w:rPr>
                <w:sz w:val="20"/>
                <w:szCs w:val="20"/>
              </w:rPr>
              <w:t>233.000</w:t>
            </w:r>
          </w:p>
        </w:tc>
      </w:tr>
      <w:tr w:rsidR="003E6588" w:rsidTr="00C43F8A">
        <w:trPr>
          <w:trHeight w:val="165"/>
          <w:jc w:val="center"/>
        </w:trPr>
        <w:tc>
          <w:tcPr>
            <w:tcW w:w="2959" w:type="dxa"/>
            <w:hideMark/>
          </w:tcPr>
          <w:p w:rsidR="003E6588" w:rsidRDefault="003E6588">
            <w:pPr>
              <w:pStyle w:val="Cabealho"/>
              <w:tabs>
                <w:tab w:val="left" w:pos="708"/>
              </w:tabs>
              <w:snapToGrid w:val="0"/>
              <w:jc w:val="both"/>
              <w:rPr>
                <w:sz w:val="20"/>
                <w:szCs w:val="20"/>
              </w:rPr>
            </w:pPr>
            <w:r>
              <w:rPr>
                <w:sz w:val="20"/>
                <w:szCs w:val="20"/>
              </w:rPr>
              <w:t>Atendimentos eletrônicos (n°)</w:t>
            </w:r>
          </w:p>
        </w:tc>
        <w:tc>
          <w:tcPr>
            <w:tcW w:w="1417" w:type="dxa"/>
            <w:hideMark/>
          </w:tcPr>
          <w:p w:rsidR="003E6588" w:rsidRDefault="003E6588" w:rsidP="00C43F8A">
            <w:pPr>
              <w:snapToGrid w:val="0"/>
              <w:jc w:val="right"/>
              <w:rPr>
                <w:sz w:val="20"/>
                <w:szCs w:val="20"/>
              </w:rPr>
            </w:pPr>
            <w:r>
              <w:rPr>
                <w:sz w:val="20"/>
                <w:szCs w:val="20"/>
              </w:rPr>
              <w:t>2.250.000</w:t>
            </w:r>
          </w:p>
        </w:tc>
      </w:tr>
      <w:tr w:rsidR="003E6588" w:rsidTr="00C43F8A">
        <w:trPr>
          <w:trHeight w:val="226"/>
          <w:jc w:val="center"/>
        </w:trPr>
        <w:tc>
          <w:tcPr>
            <w:tcW w:w="2959" w:type="dxa"/>
            <w:hideMark/>
          </w:tcPr>
          <w:p w:rsidR="003E6588" w:rsidRDefault="003E6588">
            <w:pPr>
              <w:pStyle w:val="Cabealho"/>
              <w:tabs>
                <w:tab w:val="left" w:pos="708"/>
              </w:tabs>
              <w:snapToGrid w:val="0"/>
              <w:jc w:val="both"/>
              <w:rPr>
                <w:sz w:val="20"/>
                <w:szCs w:val="20"/>
              </w:rPr>
            </w:pPr>
            <w:r>
              <w:rPr>
                <w:sz w:val="20"/>
                <w:szCs w:val="20"/>
              </w:rPr>
              <w:t>Atendimentos Técnicos (n°)</w:t>
            </w:r>
          </w:p>
        </w:tc>
        <w:tc>
          <w:tcPr>
            <w:tcW w:w="1417" w:type="dxa"/>
            <w:hideMark/>
          </w:tcPr>
          <w:p w:rsidR="003E6588" w:rsidRDefault="003E6588" w:rsidP="00C43F8A">
            <w:pPr>
              <w:snapToGrid w:val="0"/>
              <w:jc w:val="right"/>
              <w:rPr>
                <w:sz w:val="20"/>
                <w:szCs w:val="20"/>
              </w:rPr>
            </w:pPr>
            <w:r>
              <w:rPr>
                <w:sz w:val="20"/>
                <w:szCs w:val="20"/>
              </w:rPr>
              <w:t>700.000</w:t>
            </w:r>
          </w:p>
        </w:tc>
      </w:tr>
      <w:tr w:rsidR="003E6588" w:rsidTr="003425B2">
        <w:trPr>
          <w:trHeight w:val="129"/>
          <w:jc w:val="center"/>
        </w:trPr>
        <w:tc>
          <w:tcPr>
            <w:tcW w:w="2959" w:type="dxa"/>
            <w:hideMark/>
          </w:tcPr>
          <w:p w:rsidR="003E6588" w:rsidRDefault="003E6588">
            <w:pPr>
              <w:pStyle w:val="Cabealho"/>
              <w:tabs>
                <w:tab w:val="left" w:pos="708"/>
              </w:tabs>
              <w:snapToGrid w:val="0"/>
              <w:jc w:val="both"/>
              <w:rPr>
                <w:sz w:val="20"/>
                <w:szCs w:val="20"/>
              </w:rPr>
            </w:pPr>
            <w:r>
              <w:rPr>
                <w:sz w:val="20"/>
                <w:szCs w:val="20"/>
              </w:rPr>
              <w:t>Atendimentos Diretos (n°)</w:t>
            </w:r>
          </w:p>
        </w:tc>
        <w:tc>
          <w:tcPr>
            <w:tcW w:w="1417" w:type="dxa"/>
            <w:hideMark/>
          </w:tcPr>
          <w:p w:rsidR="003E6588" w:rsidRDefault="003E6588" w:rsidP="00C43F8A">
            <w:pPr>
              <w:snapToGrid w:val="0"/>
              <w:jc w:val="right"/>
              <w:rPr>
                <w:sz w:val="20"/>
                <w:szCs w:val="20"/>
              </w:rPr>
            </w:pPr>
            <w:r>
              <w:rPr>
                <w:sz w:val="20"/>
                <w:szCs w:val="20"/>
              </w:rPr>
              <w:t>630.000</w:t>
            </w:r>
          </w:p>
        </w:tc>
      </w:tr>
      <w:tr w:rsidR="003E6588" w:rsidTr="003425B2">
        <w:trPr>
          <w:trHeight w:val="190"/>
          <w:jc w:val="center"/>
        </w:trPr>
        <w:tc>
          <w:tcPr>
            <w:tcW w:w="2959" w:type="dxa"/>
            <w:tcBorders>
              <w:left w:val="nil"/>
              <w:bottom w:val="single" w:sz="8" w:space="0" w:color="auto"/>
              <w:right w:val="nil"/>
            </w:tcBorders>
            <w:hideMark/>
          </w:tcPr>
          <w:p w:rsidR="003E6588" w:rsidRDefault="003E6588">
            <w:pPr>
              <w:pStyle w:val="Cabealho"/>
              <w:tabs>
                <w:tab w:val="left" w:pos="708"/>
              </w:tabs>
              <w:snapToGrid w:val="0"/>
              <w:jc w:val="both"/>
              <w:rPr>
                <w:sz w:val="20"/>
                <w:szCs w:val="20"/>
              </w:rPr>
            </w:pPr>
            <w:r>
              <w:rPr>
                <w:sz w:val="20"/>
                <w:szCs w:val="20"/>
              </w:rPr>
              <w:t>Pessoas Treinadas (n°)</w:t>
            </w:r>
          </w:p>
        </w:tc>
        <w:tc>
          <w:tcPr>
            <w:tcW w:w="1417" w:type="dxa"/>
            <w:tcBorders>
              <w:left w:val="nil"/>
              <w:bottom w:val="single" w:sz="8" w:space="0" w:color="auto"/>
              <w:right w:val="nil"/>
            </w:tcBorders>
            <w:hideMark/>
          </w:tcPr>
          <w:p w:rsidR="003E6588" w:rsidRDefault="003E6588" w:rsidP="00C43F8A">
            <w:pPr>
              <w:snapToGrid w:val="0"/>
              <w:jc w:val="right"/>
              <w:rPr>
                <w:sz w:val="20"/>
                <w:szCs w:val="20"/>
              </w:rPr>
            </w:pPr>
            <w:r>
              <w:rPr>
                <w:sz w:val="20"/>
                <w:szCs w:val="20"/>
              </w:rPr>
              <w:t>70.000</w:t>
            </w:r>
          </w:p>
        </w:tc>
      </w:tr>
    </w:tbl>
    <w:p w:rsidR="003E6588" w:rsidRDefault="00C43F8A">
      <w:pPr>
        <w:ind w:left="2124"/>
        <w:jc w:val="both"/>
        <w:rPr>
          <w:sz w:val="16"/>
          <w:szCs w:val="16"/>
        </w:rPr>
      </w:pPr>
      <w:r>
        <w:rPr>
          <w:sz w:val="16"/>
          <w:szCs w:val="16"/>
        </w:rPr>
        <w:t xml:space="preserve">      </w:t>
      </w:r>
      <w:r w:rsidR="003E6588">
        <w:rPr>
          <w:sz w:val="16"/>
          <w:szCs w:val="16"/>
        </w:rPr>
        <w:t xml:space="preserve">   </w:t>
      </w:r>
      <w:r w:rsidR="003425B2">
        <w:rPr>
          <w:sz w:val="16"/>
          <w:szCs w:val="16"/>
        </w:rPr>
        <w:t xml:space="preserve"> </w:t>
      </w:r>
      <w:r w:rsidR="003E6588">
        <w:rPr>
          <w:sz w:val="16"/>
          <w:szCs w:val="16"/>
        </w:rPr>
        <w:t xml:space="preserve">        Fonte: APTA</w:t>
      </w:r>
    </w:p>
    <w:p w:rsidR="003E6588" w:rsidRDefault="003E6588">
      <w:pPr>
        <w:jc w:val="both"/>
        <w:rPr>
          <w:b/>
        </w:rPr>
      </w:pPr>
    </w:p>
    <w:p w:rsidR="003E6588" w:rsidRDefault="003E6588">
      <w:pPr>
        <w:ind w:firstLine="1134"/>
        <w:jc w:val="both"/>
      </w:pPr>
      <w:r>
        <w:t>Foram produzidos</w:t>
      </w:r>
      <w:r>
        <w:rPr>
          <w:b/>
          <w:bCs/>
        </w:rPr>
        <w:t xml:space="preserve"> </w:t>
      </w:r>
      <w:r>
        <w:rPr>
          <w:bCs/>
        </w:rPr>
        <w:t>233</w:t>
      </w:r>
      <w:r>
        <w:t xml:space="preserve"> mil kg de sementes básicas, destinadas à multiplicação comercial para atendimento da deman</w:t>
      </w:r>
      <w:r w:rsidR="00C43F8A">
        <w:t>da dos agricultores.</w:t>
      </w:r>
    </w:p>
    <w:p w:rsidR="003E6588" w:rsidRDefault="003E6588">
      <w:pPr>
        <w:ind w:firstLine="1134"/>
        <w:jc w:val="both"/>
      </w:pPr>
    </w:p>
    <w:p w:rsidR="003E6588" w:rsidRDefault="003E6588">
      <w:pPr>
        <w:ind w:firstLine="1134"/>
        <w:jc w:val="both"/>
      </w:pPr>
      <w:r>
        <w:t xml:space="preserve">Os atendimentos técnicos atingiram </w:t>
      </w:r>
      <w:r>
        <w:rPr>
          <w:bCs/>
        </w:rPr>
        <w:t>700 mil</w:t>
      </w:r>
      <w:r>
        <w:t xml:space="preserve">, dos quais 630 mil referem-se a atendimentos diretos e 70 mil a pessoas treinadas. Os acessos às informações via </w:t>
      </w:r>
      <w:r>
        <w:rPr>
          <w:i/>
        </w:rPr>
        <w:t>internet</w:t>
      </w:r>
      <w:r>
        <w:t xml:space="preserve"> somaram 2,25 milhões.</w:t>
      </w:r>
    </w:p>
    <w:p w:rsidR="003E6588" w:rsidRPr="00C43F8A" w:rsidRDefault="003E6588">
      <w:pPr>
        <w:ind w:firstLine="1134"/>
        <w:jc w:val="both"/>
        <w:rPr>
          <w:strike/>
          <w:highlight w:val="yellow"/>
        </w:rPr>
      </w:pPr>
    </w:p>
    <w:p w:rsidR="003E6588" w:rsidRPr="00C43F8A" w:rsidRDefault="003E6588">
      <w:pPr>
        <w:ind w:firstLine="1134"/>
        <w:jc w:val="both"/>
        <w:rPr>
          <w:bdr w:val="none" w:sz="0" w:space="0" w:color="auto" w:frame="1"/>
        </w:rPr>
      </w:pPr>
      <w:r w:rsidRPr="00C43F8A">
        <w:t>Durante a Agrishow, foi lançada a publicação “</w:t>
      </w:r>
      <w:r w:rsidRPr="00C43F8A">
        <w:rPr>
          <w:bdr w:val="none" w:sz="0" w:space="0" w:color="auto" w:frame="1"/>
        </w:rPr>
        <w:t xml:space="preserve">Ciência Agropecuária Paulista: pesquisa e inovação gerando produtividade e qualidade de vida”, com informações sobre desenvolvimento e transferência de tecnologias geradas pelos Institutos de Pesquisa para os produtores agrícolas. A abordagem de como os pacotes tecnológicos para os setores liderados por São Paulo, inovações para modernização da agroindústria paulista e tecnologias para pequenos produtores, evidenciam a presença da ciência agropecuária paulista no agronegócio </w:t>
      </w:r>
      <w:r w:rsidR="00C43F8A" w:rsidRPr="00C43F8A">
        <w:rPr>
          <w:bdr w:val="none" w:sz="0" w:space="0" w:color="auto" w:frame="1"/>
        </w:rPr>
        <w:t>d</w:t>
      </w:r>
      <w:r w:rsidRPr="00C43F8A">
        <w:rPr>
          <w:bdr w:val="none" w:sz="0" w:space="0" w:color="auto" w:frame="1"/>
        </w:rPr>
        <w:t>o Estado.</w:t>
      </w:r>
    </w:p>
    <w:p w:rsidR="003E6588" w:rsidRPr="00C43F8A" w:rsidRDefault="003E6588">
      <w:pPr>
        <w:ind w:firstLine="1134"/>
        <w:jc w:val="both"/>
        <w:rPr>
          <w:bdr w:val="none" w:sz="0" w:space="0" w:color="auto" w:frame="1"/>
        </w:rPr>
      </w:pPr>
    </w:p>
    <w:p w:rsidR="003E6588" w:rsidRDefault="003E6588">
      <w:pPr>
        <w:ind w:firstLine="1134"/>
        <w:jc w:val="both"/>
      </w:pPr>
      <w:r>
        <w:t>Os recursos aplicados continuamente pelo Governo do Estado nos Institutos de Pesquisa da Secretaria de Agricultura e Abastecimento, coordenados pela APTA, vêm mantendo o Estado no posto de principal produtor agrícola nacional, maior exportador de mercadorias do agronegócio e detentor dos níveis mais elevados de produtividade total de fatores. Os impactos dos contínuos aumentos de produtividade e eficiência na produção agrícola, propiciados pela pesquisa agropecuária, beneficiam todos os setores da economia paulista, gerando empregos, renda e diminuindo desigualdades.</w:t>
      </w:r>
    </w:p>
    <w:p w:rsidR="003E6588" w:rsidRDefault="003E6588">
      <w:pPr>
        <w:ind w:firstLine="1134"/>
        <w:jc w:val="both"/>
      </w:pPr>
    </w:p>
    <w:p w:rsidR="003E6588" w:rsidRPr="00DD397B" w:rsidRDefault="003E6588">
      <w:pPr>
        <w:ind w:firstLine="1134"/>
        <w:jc w:val="both"/>
      </w:pPr>
      <w:r>
        <w:t xml:space="preserve">Indicadores de impactos do Programa calculados pelo Instituto de Economia Agrícola - IEA-APTA - mostram que o valor da produção agropecuária do Estado (lavouras e explorações </w:t>
      </w:r>
      <w:r>
        <w:lastRenderedPageBreak/>
        <w:t xml:space="preserve">animais) </w:t>
      </w:r>
      <w:r w:rsidRPr="00DD397B">
        <w:t>atingiu R$ 56,9 bilhões. O valor das exportações do agronegócio paulista, de acordo com os dados do MAPA, deve superar US$ 18,0 bilhões.</w:t>
      </w:r>
    </w:p>
    <w:p w:rsidR="003E6588" w:rsidRPr="00DD397B" w:rsidRDefault="003E6588">
      <w:pPr>
        <w:ind w:firstLine="1134"/>
        <w:jc w:val="both"/>
      </w:pPr>
    </w:p>
    <w:p w:rsidR="003E6588" w:rsidRDefault="003E6588">
      <w:pPr>
        <w:ind w:firstLine="1134"/>
        <w:jc w:val="both"/>
      </w:pPr>
      <w:r>
        <w:t>A APTA tornou-se a instituição com maior número de normas e procedimentos credenciados no Brasil. São 220 normas e procedimentos laboratoriais credenciadas e/ou acreditadas com a ISO 17025.</w:t>
      </w:r>
    </w:p>
    <w:p w:rsidR="003E6588" w:rsidRDefault="003E6588">
      <w:pPr>
        <w:ind w:firstLine="1134"/>
        <w:jc w:val="both"/>
      </w:pPr>
    </w:p>
    <w:p w:rsidR="003E6588" w:rsidRDefault="003E6588">
      <w:pPr>
        <w:ind w:firstLine="1134"/>
        <w:jc w:val="both"/>
      </w:pPr>
      <w:r>
        <w:t>O Instituto Biológico realizou 117.252 análises, incluindo exames nas áreas de sanidade animal, sanidade vegetal e monitoramento ambiental.</w:t>
      </w:r>
    </w:p>
    <w:p w:rsidR="003E6588" w:rsidRDefault="003E6588">
      <w:pPr>
        <w:ind w:firstLine="1134"/>
        <w:jc w:val="both"/>
      </w:pPr>
    </w:p>
    <w:p w:rsidR="003E6588" w:rsidRPr="00DD397B" w:rsidRDefault="003E6588">
      <w:pPr>
        <w:ind w:firstLine="1134"/>
        <w:jc w:val="both"/>
      </w:pPr>
      <w:r w:rsidRPr="00DD397B">
        <w:t>O Programa de Sanidade em Agricultura Familiar - PROSAF, coordenado pelo Instituto Biológico, atendeu 466 pessoas, entre produtores rurais e técnicos do setor público e privado dos Municípios de São Bento do Sapucaí, Arujá, Guaratinguetá, Pindamonhangaba, Paraibuna, Caçapava e Tremembé, para abordagem de temas referentes a Pragas e Doenças da Atemoia, utilização de Controle Biológico em Ornamentais, Controle Estratégico do Carrapato dos Bovinos, Plantas Aromáticas e Medicinais, Aquicultura, Cana-de-Açúcar, Ácaro da Lichia, Manejo, Pragas e doenças do maracujá, PROSAF-mastite, clínica</w:t>
      </w:r>
      <w:r w:rsidR="00EB2E32">
        <w:t>-</w:t>
      </w:r>
      <w:r w:rsidRPr="00DD397B">
        <w:t>prevenção e controle da doença.</w:t>
      </w:r>
    </w:p>
    <w:p w:rsidR="003E6588" w:rsidRPr="00DD397B" w:rsidRDefault="003E6588">
      <w:pPr>
        <w:ind w:firstLine="1134"/>
        <w:jc w:val="both"/>
      </w:pPr>
    </w:p>
    <w:p w:rsidR="003E6588" w:rsidRPr="00DD397B" w:rsidRDefault="003E6588">
      <w:pPr>
        <w:ind w:firstLine="1134"/>
        <w:jc w:val="both"/>
        <w:rPr>
          <w:strike/>
        </w:rPr>
      </w:pPr>
      <w:r w:rsidRPr="00DD397B">
        <w:t xml:space="preserve">Com objetivo de capacitar os responsáveis técnicos que atuam no processo de certificação fitossanitária do Estado na identificação diversas pragas, foi realizado o </w:t>
      </w:r>
      <w:r w:rsidR="00DD397B" w:rsidRPr="00DD397B">
        <w:t>“</w:t>
      </w:r>
      <w:r w:rsidRPr="00DD397B">
        <w:t>39º Curso para Habilitação de Responsáveis Técnicos para Emissão de Certificado Fitossanitário de Origem/Certificado Fitossanitário de Origem Consolidado - CFO/CFOC</w:t>
      </w:r>
      <w:r w:rsidR="00DD397B" w:rsidRPr="00DD397B">
        <w:t>”</w:t>
      </w:r>
      <w:r w:rsidRPr="00DD397B">
        <w:t>, organizado pela Coordenadoria de Defesa Agropecuária e Instituto Biológico, após aprovação pelo Ministério da Agricultura, Pecuária e Abastecimento, que contou com a participação de 95 engenheiros agrônomos.</w:t>
      </w:r>
    </w:p>
    <w:p w:rsidR="003E6588" w:rsidRPr="00DD397B" w:rsidRDefault="003E6588">
      <w:pPr>
        <w:ind w:firstLine="1134"/>
        <w:jc w:val="both"/>
      </w:pPr>
    </w:p>
    <w:p w:rsidR="003E6588" w:rsidRDefault="003E6588">
      <w:pPr>
        <w:ind w:firstLine="1134"/>
        <w:jc w:val="both"/>
      </w:pPr>
      <w:r>
        <w:t xml:space="preserve">A exposição </w:t>
      </w:r>
      <w:r w:rsidR="00DD397B">
        <w:t>“</w:t>
      </w:r>
      <w:r>
        <w:t>Planeta Inseto</w:t>
      </w:r>
      <w:r w:rsidR="00DD397B">
        <w:t>”</w:t>
      </w:r>
      <w:r>
        <w:t>, sediada no Museu do Instituto Biológico</w:t>
      </w:r>
      <w:r w:rsidR="00DD397B">
        <w:t>,</w:t>
      </w:r>
      <w:r>
        <w:t xml:space="preserve"> tornou-se o primeiro Jardim Zoológico do gênero no Brasil. O objetivo desta exposição é explorar a biodiversidade desse grupo de animais, </w:t>
      </w:r>
      <w:r w:rsidR="00DD397B">
        <w:t xml:space="preserve">por meio </w:t>
      </w:r>
      <w:r>
        <w:t>de atividades que instigam a curiosidade. A exposição recebeu 16.226 visitantes.</w:t>
      </w:r>
    </w:p>
    <w:p w:rsidR="003E6588" w:rsidRDefault="003E6588">
      <w:pPr>
        <w:ind w:firstLine="1134"/>
        <w:jc w:val="both"/>
      </w:pPr>
    </w:p>
    <w:p w:rsidR="003E6588" w:rsidRDefault="003E6588">
      <w:pPr>
        <w:ind w:firstLine="1134"/>
        <w:jc w:val="both"/>
      </w:pPr>
      <w:r>
        <w:t>O curso de Capacitação Técnica em Agricultura Orgânica, realizado na UPD de São Roque, para atender demandas do Programa SP Orgânico</w:t>
      </w:r>
      <w:r>
        <w:rPr>
          <w:color w:val="FF0000"/>
        </w:rPr>
        <w:t xml:space="preserve">, </w:t>
      </w:r>
      <w:r>
        <w:t>treinou 454 técnicos em 14 cursos oferecidos.</w:t>
      </w:r>
    </w:p>
    <w:p w:rsidR="003E6588" w:rsidRDefault="003E6588">
      <w:pPr>
        <w:ind w:firstLine="1134"/>
        <w:jc w:val="both"/>
      </w:pPr>
    </w:p>
    <w:p w:rsidR="003E6588" w:rsidRPr="00DD397B" w:rsidRDefault="003E6588">
      <w:pPr>
        <w:ind w:firstLine="1134"/>
        <w:jc w:val="both"/>
      </w:pPr>
      <w:r w:rsidRPr="00DD397B">
        <w:t xml:space="preserve">Os pacotes tecnológicos gerados e transferidos pelo Instituto Agronômico de Campinas - IAC-APTA contribuíram para fazer de São Paulo o maior produtor nacional de borracha natural. O programa </w:t>
      </w:r>
      <w:r w:rsidR="00DD397B" w:rsidRPr="00DD397B">
        <w:t>“</w:t>
      </w:r>
      <w:r w:rsidRPr="00DD397B">
        <w:t>Seringueira do IAC</w:t>
      </w:r>
      <w:r w:rsidR="00DD397B" w:rsidRPr="00DD397B">
        <w:t>”</w:t>
      </w:r>
      <w:r w:rsidRPr="00DD397B">
        <w:t xml:space="preserve"> selecionou 15 novos clones em processo de regularização para lançamento. São Paulo, </w:t>
      </w:r>
      <w:r w:rsidR="00DD397B" w:rsidRPr="00DD397B">
        <w:t xml:space="preserve">Estado </w:t>
      </w:r>
      <w:r w:rsidRPr="00DD397B">
        <w:t>que possui os seringais mais produtivos do mundo, utiliza o clone Asiático RRIN 600, com produção de 1.250 kg de látex por hectare. Os clones IAC chegam a ser 38% mais produtivos, podendo chegar a 1.731 kg por hectare, além da característica de precocidade; alguns desses clones estarão aptos para iniciar a sangria em cinco anos e meio, enquanto, normalmente esse tempo é de sete anos.</w:t>
      </w:r>
    </w:p>
    <w:p w:rsidR="003E6588" w:rsidRPr="00DD397B" w:rsidRDefault="003E6588">
      <w:pPr>
        <w:ind w:firstLine="1134"/>
        <w:jc w:val="both"/>
      </w:pPr>
    </w:p>
    <w:p w:rsidR="003E6588" w:rsidRPr="00DD397B" w:rsidRDefault="003E6588">
      <w:pPr>
        <w:ind w:firstLine="1134"/>
        <w:jc w:val="both"/>
      </w:pPr>
      <w:r>
        <w:lastRenderedPageBreak/>
        <w:t xml:space="preserve">As cultivares de mandioca do IAC são exemplo de sucesso, em que a ciência agrícola contribui efetivamente para o </w:t>
      </w:r>
      <w:r w:rsidRPr="00DD397B">
        <w:t xml:space="preserve">desenvolvimento do setor. A cultivar de mesa, IAC 576-70, conhecida como “Amarelinha”, responde por 100% das 160 mil toneladas de mandioca de mesa comercializadas  em São Paulo e está em ampla difusão nos Estados do Mato Grosso do Sul, Paraná, Santa Catarina, Goiás e Distrito Federal, devido ao desempenho agrícola superior em comparação às demais variedades. A IAC 576-70 é resistente a doenças e se adapta bem às exigências da comercialização. A IAC 12, para uso industrial, sustenta a produção no cerrado brasileiro, graças à resistência à bacteriose, tolerância ao complexo de pragas, alta produtividade e teor de matéria seca. Em reconhecimento às pesquisas realizadas pelo Instituto, a Empresa Brasileira de Pesquisa Agropecuária - Embrapa anunciou que pesquisadora do IAC, do Programa de Melhoramento Genético de Mandioca, é a vencedora do </w:t>
      </w:r>
      <w:r w:rsidR="00DD397B">
        <w:t>“</w:t>
      </w:r>
      <w:r w:rsidRPr="00DD397B">
        <w:t>1º Concurso Frederico de Menezes Veiga</w:t>
      </w:r>
      <w:r w:rsidR="00DD397B">
        <w:t>”</w:t>
      </w:r>
      <w:r w:rsidRPr="00DD397B">
        <w:t>. O concurso teve o tema “Quatro décadas da moderna agropecuária brasileira - inovações para segurança alimentar, competitividade e sustentabilidade”. O objetivo da Embrapa é estimular pesquisas que contribuam para o desenvolvimento sustentável do espaço rural, em benefício dos diversos segmentos da sociedade brasileira.</w:t>
      </w:r>
    </w:p>
    <w:p w:rsidR="003E6588" w:rsidRDefault="003E6588">
      <w:pPr>
        <w:ind w:firstLine="1134"/>
        <w:jc w:val="both"/>
      </w:pPr>
    </w:p>
    <w:p w:rsidR="003E6588" w:rsidRDefault="003E6588">
      <w:pPr>
        <w:ind w:firstLine="1134"/>
        <w:jc w:val="both"/>
      </w:pPr>
      <w:r>
        <w:t>A capacitação do setor por meio de transferência de tecnologia do IAC e da avaliação das atividades dos participantes do Ensaio de Proficiência IAC para Laboratórios de Análise de Solo para Fins Agrícolas são constatadas em números. O IAC transfere métodos e fornece subsídios para que os laboratórios afiram a qualidade de suas análises feitas com as amostras do Programa Interlaboratorial.</w:t>
      </w:r>
    </w:p>
    <w:p w:rsidR="003E6588" w:rsidRDefault="003E6588">
      <w:pPr>
        <w:ind w:firstLine="1134"/>
        <w:jc w:val="both"/>
      </w:pPr>
    </w:p>
    <w:p w:rsidR="003E6588" w:rsidRPr="00DD397B" w:rsidRDefault="003E6588">
      <w:pPr>
        <w:ind w:firstLine="1134"/>
        <w:jc w:val="both"/>
      </w:pPr>
      <w:r w:rsidRPr="00DD397B">
        <w:t>A adesão ao Ensaio, que é voluntária, é estimulada pela procura dos usuários dos serviços, que buscam laboratórios participantes do Ensaio do Instituto Agronômico. As empresas que alcançam conceito A e B recebem selo, atestando proficiência nas análises realizadas. A adoção é ampla, atinge 122 laboratórios participantes, dos quais 82% são privados.</w:t>
      </w:r>
    </w:p>
    <w:p w:rsidR="003E6588" w:rsidRPr="00DD397B" w:rsidRDefault="003E6588">
      <w:pPr>
        <w:ind w:firstLine="1134"/>
        <w:jc w:val="both"/>
      </w:pPr>
    </w:p>
    <w:p w:rsidR="003E6588" w:rsidRPr="00DD397B" w:rsidRDefault="003E6588">
      <w:pPr>
        <w:ind w:firstLine="1134"/>
        <w:jc w:val="both"/>
      </w:pPr>
      <w:r w:rsidRPr="00DD397B">
        <w:t>Há unidades em 13 Estados brasileiros, sendo 61% delas paulistas. O Ensaio diferencia-se, sobretudo, por dois aspectos: a qualidade do método desenvolvido pelo IAC, pioneiro na área, e a constância do trabalho, somadas ao rigor na orientação e no acompanhamento dos laboratórios participantes.</w:t>
      </w:r>
    </w:p>
    <w:p w:rsidR="003E6588" w:rsidRPr="00DD397B" w:rsidRDefault="003E6588">
      <w:pPr>
        <w:ind w:firstLine="1134"/>
        <w:jc w:val="both"/>
      </w:pPr>
    </w:p>
    <w:p w:rsidR="003E6588" w:rsidRPr="00DD397B" w:rsidRDefault="003E6588">
      <w:pPr>
        <w:ind w:firstLine="1134"/>
        <w:jc w:val="both"/>
        <w:rPr>
          <w:strike/>
        </w:rPr>
      </w:pPr>
      <w:r w:rsidRPr="00DD397B">
        <w:t xml:space="preserve">O trabalho completou três décadas, sem interrupção. Recebeu Prêmio </w:t>
      </w:r>
      <w:r w:rsidR="00DD397B" w:rsidRPr="00DD397B">
        <w:t>“</w:t>
      </w:r>
      <w:r w:rsidRPr="00DD397B">
        <w:t>Finep de Inovação 2014</w:t>
      </w:r>
      <w:r w:rsidR="00DD397B" w:rsidRPr="00DD397B">
        <w:t>”</w:t>
      </w:r>
      <w:r w:rsidRPr="00DD397B">
        <w:t>, na categoria Instituição de Ciência e T</w:t>
      </w:r>
      <w:r w:rsidR="00DD397B" w:rsidRPr="00DD397B">
        <w:t>ecnologia, na Região Sudeste.</w:t>
      </w:r>
    </w:p>
    <w:p w:rsidR="003E6588" w:rsidRPr="00DD397B" w:rsidRDefault="003E6588">
      <w:pPr>
        <w:ind w:firstLine="1134"/>
        <w:jc w:val="both"/>
      </w:pPr>
    </w:p>
    <w:p w:rsidR="003E6588" w:rsidRPr="00DD397B" w:rsidRDefault="003E6588">
      <w:pPr>
        <w:ind w:firstLine="1134"/>
        <w:jc w:val="both"/>
      </w:pPr>
      <w:r w:rsidRPr="00DD397B">
        <w:t xml:space="preserve">Pesquisadora do Centro de Frutas, do IAC, foi agraciada com o Prêmio </w:t>
      </w:r>
      <w:r w:rsidR="00DD397B" w:rsidRPr="00DD397B">
        <w:t>“</w:t>
      </w:r>
      <w:r w:rsidRPr="00DD397B">
        <w:rPr>
          <w:i/>
        </w:rPr>
        <w:t>Miklos Faust</w:t>
      </w:r>
      <w:r w:rsidRPr="00DD397B">
        <w:t xml:space="preserve"> para Jovens Pomologistas</w:t>
      </w:r>
      <w:r w:rsidR="00DD397B" w:rsidRPr="00DD397B">
        <w:t>”</w:t>
      </w:r>
      <w:r w:rsidRPr="00DD397B">
        <w:t xml:space="preserve"> (</w:t>
      </w:r>
      <w:r w:rsidRPr="00DD397B">
        <w:rPr>
          <w:i/>
        </w:rPr>
        <w:t>Miklos Faust International Travel Award for Young Pomologists</w:t>
      </w:r>
      <w:r w:rsidRPr="00DD397B">
        <w:t>), oferecido pela Sociedade Americana de Horticultura - ASHS. A premiação, oferecida a um único pesquisador no mundo, a cada quatro anos, tem o objetivo de incentivar cientista com menos de 40 anos de idade a buscar constante aperfeiçoamento profissional e estabelecer intercâmbio científico.</w:t>
      </w:r>
    </w:p>
    <w:p w:rsidR="003E6588" w:rsidRPr="00DD397B" w:rsidRDefault="003E6588">
      <w:pPr>
        <w:ind w:firstLine="1134"/>
        <w:jc w:val="both"/>
      </w:pPr>
    </w:p>
    <w:p w:rsidR="003E6588" w:rsidRDefault="003E6588">
      <w:pPr>
        <w:ind w:firstLine="1134"/>
        <w:jc w:val="both"/>
      </w:pPr>
      <w:r>
        <w:t xml:space="preserve">O trabalho "Aplicação de micronutrientes na operação de plantio da cana-de-açúcar", do IAC, recebeu o prêmio </w:t>
      </w:r>
      <w:r w:rsidR="00DD397B">
        <w:t>“</w:t>
      </w:r>
      <w:r>
        <w:t>TOP Etanol</w:t>
      </w:r>
      <w:r w:rsidR="00DD397B">
        <w:t>”</w:t>
      </w:r>
      <w:r>
        <w:t xml:space="preserve"> em sua quinta edição, na modalidade de inovação tecnológica. O prêmio é iniciativa do Projeto AGORA, uma das maiores ações de comunicação e </w:t>
      </w:r>
      <w:r>
        <w:rPr>
          <w:i/>
        </w:rPr>
        <w:t>marketing</w:t>
      </w:r>
      <w:r>
        <w:t xml:space="preserve"> integrado </w:t>
      </w:r>
      <w:r>
        <w:lastRenderedPageBreak/>
        <w:t>do agronegócio brasileiro, com participação de 18 empresas e entidades ligadas à cadeia produtiva da cana-de-açúcar.</w:t>
      </w:r>
    </w:p>
    <w:p w:rsidR="003E6588" w:rsidRDefault="003E6588">
      <w:pPr>
        <w:ind w:firstLine="1134"/>
        <w:jc w:val="both"/>
      </w:pPr>
    </w:p>
    <w:p w:rsidR="003E6588" w:rsidRPr="00B65DEE" w:rsidRDefault="003E6588">
      <w:pPr>
        <w:ind w:firstLine="1134"/>
        <w:jc w:val="both"/>
      </w:pPr>
      <w:r w:rsidRPr="00B65DEE">
        <w:t xml:space="preserve">O IAC ocupa o quarto lugar nacional na categoria PP Top 10%, do </w:t>
      </w:r>
      <w:r w:rsidRPr="00B65DEE">
        <w:rPr>
          <w:i/>
        </w:rPr>
        <w:t>ranking</w:t>
      </w:r>
      <w:r w:rsidRPr="00B65DEE">
        <w:t xml:space="preserve"> </w:t>
      </w:r>
      <w:r w:rsidRPr="00B65DEE">
        <w:rPr>
          <w:i/>
        </w:rPr>
        <w:t>CWTS Brazilian Research Ranking</w:t>
      </w:r>
      <w:r w:rsidRPr="00B65DEE">
        <w:t xml:space="preserve">. O estudo da Universidade de </w:t>
      </w:r>
      <w:r w:rsidRPr="00B65DEE">
        <w:rPr>
          <w:i/>
        </w:rPr>
        <w:t>Leiden,</w:t>
      </w:r>
      <w:r w:rsidRPr="00B65DEE">
        <w:t xml:space="preserve"> na Holanda, veiculado, mostra que 7,1% dos 118 artigos científicos do IAC avaliados pertencem aos 10% dos artigos mais citados da sua área, quando comparados com o</w:t>
      </w:r>
      <w:r w:rsidR="00B65DEE" w:rsidRPr="00B65DEE">
        <w:t>utras publicações da mesma área</w:t>
      </w:r>
      <w:r w:rsidRPr="00B65DEE">
        <w:t xml:space="preserve">. Quando o </w:t>
      </w:r>
      <w:r w:rsidRPr="00B65DEE">
        <w:rPr>
          <w:i/>
        </w:rPr>
        <w:t>ranking</w:t>
      </w:r>
      <w:r w:rsidRPr="00B65DEE">
        <w:t xml:space="preserve"> é filtrado para instituições públicas de pesquisa na </w:t>
      </w:r>
      <w:r w:rsidR="00B65DEE" w:rsidRPr="00B65DEE">
        <w:t xml:space="preserve">Região </w:t>
      </w:r>
      <w:r w:rsidRPr="00B65DEE">
        <w:t>Sudeste, o IAC ocupa a segunda posição.</w:t>
      </w:r>
    </w:p>
    <w:p w:rsidR="003E6588" w:rsidRPr="00B65DEE" w:rsidRDefault="003E6588">
      <w:pPr>
        <w:ind w:firstLine="1134"/>
        <w:jc w:val="both"/>
      </w:pPr>
    </w:p>
    <w:p w:rsidR="003E6588" w:rsidRPr="00B65DEE" w:rsidRDefault="003E6588">
      <w:pPr>
        <w:ind w:firstLine="1134"/>
        <w:jc w:val="both"/>
      </w:pPr>
      <w:r w:rsidRPr="00B65DEE">
        <w:t xml:space="preserve">A biofábrica de cana-de-açúcar do IAC, </w:t>
      </w:r>
      <w:r w:rsidR="00B65DEE" w:rsidRPr="00B65DEE">
        <w:t xml:space="preserve">inaugurada, </w:t>
      </w:r>
      <w:r w:rsidRPr="00B65DEE">
        <w:t>tem capacidade para produzir 4 milhões de mudas de cana por ano. Com a estrutura, o IAC pode aumentar em 40 vezes sua capacidade de produção de muda. O Centro de Cana IAC é responsável pela administração da Coleção Mundial de Cana do Brasil, que</w:t>
      </w:r>
      <w:r w:rsidR="00B65DEE">
        <w:t xml:space="preserve"> é a terceira coleção no mundo.</w:t>
      </w:r>
    </w:p>
    <w:p w:rsidR="003E6588" w:rsidRPr="00B65DEE" w:rsidRDefault="003E6588">
      <w:pPr>
        <w:ind w:firstLine="1134"/>
        <w:jc w:val="both"/>
      </w:pPr>
    </w:p>
    <w:p w:rsidR="003E6588" w:rsidRPr="00B65DEE" w:rsidRDefault="003E6588">
      <w:pPr>
        <w:ind w:firstLine="1134"/>
        <w:jc w:val="both"/>
      </w:pPr>
      <w:r w:rsidRPr="00B65DEE">
        <w:t xml:space="preserve">Deu-se continuidade ao programa de cooperação técnico-científica para desenvolvimento de projetos de pesquisa e apoio à inovação entre o Instituto </w:t>
      </w:r>
      <w:r w:rsidRPr="00B65DEE">
        <w:rPr>
          <w:i/>
        </w:rPr>
        <w:t>Fraunhofer</w:t>
      </w:r>
      <w:r w:rsidRPr="00B65DEE">
        <w:t xml:space="preserve"> e o Instituto de Tecnologia de Alimentos - ITAL-APTA, que segue as ações sugeridas pelo </w:t>
      </w:r>
      <w:r w:rsidRPr="00B65DEE">
        <w:rPr>
          <w:rStyle w:val="apple-converted-space"/>
          <w:shd w:val="clear" w:color="auto" w:fill="FFFFFF"/>
        </w:rPr>
        <w:t xml:space="preserve">Plano de Relações Internacionais do Governo do Estado (Decreto nº 57.932/2012). A parceria visa </w:t>
      </w:r>
      <w:r w:rsidRPr="00B65DEE">
        <w:t xml:space="preserve">à cooperação para execução de projetos que atendam a Inovação em Alimentos e Biorecursos. O convênio entre o Instituto </w:t>
      </w:r>
      <w:r w:rsidRPr="00B65DEE">
        <w:rPr>
          <w:i/>
        </w:rPr>
        <w:t>Fraunhofer</w:t>
      </w:r>
      <w:r w:rsidRPr="00B65DEE">
        <w:t xml:space="preserve"> e o Governo do Estado, firmado por meio da Secretaria de Agricultura e Abastecimento, foi assinado e foram inauguradas as instalações que abrigam os equipamentos, materiais e outros recursos necessários ao andamento dos projetos.</w:t>
      </w:r>
    </w:p>
    <w:p w:rsidR="003E6588" w:rsidRPr="00B65DEE" w:rsidRDefault="003E6588">
      <w:pPr>
        <w:ind w:firstLine="1134"/>
        <w:jc w:val="both"/>
        <w:rPr>
          <w:strike/>
        </w:rPr>
      </w:pPr>
    </w:p>
    <w:p w:rsidR="003E6588" w:rsidRPr="00B65DEE" w:rsidRDefault="003E6588">
      <w:pPr>
        <w:ind w:firstLine="1134"/>
        <w:jc w:val="both"/>
      </w:pPr>
      <w:r w:rsidRPr="00B65DEE">
        <w:t xml:space="preserve">Foi incrementado o Programa de Cooperação com o Consórcio da “EU </w:t>
      </w:r>
      <w:r w:rsidRPr="00B65DEE">
        <w:rPr>
          <w:i/>
        </w:rPr>
        <w:t>Agri-Food &amp; Biotech Clusters on the World Stage -</w:t>
      </w:r>
      <w:r w:rsidR="00EB2E32">
        <w:rPr>
          <w:i/>
        </w:rPr>
        <w:t xml:space="preserve"> </w:t>
      </w:r>
      <w:r w:rsidRPr="00B65DEE">
        <w:rPr>
          <w:i/>
        </w:rPr>
        <w:t>"Feeding the Planet",</w:t>
      </w:r>
      <w:r w:rsidRPr="00B65DEE">
        <w:t xml:space="preserve"> com colaboração em eventos internacionais. Como produto da cooperação entre ITAL e Instituto </w:t>
      </w:r>
      <w:r w:rsidRPr="00B65DEE">
        <w:rPr>
          <w:i/>
        </w:rPr>
        <w:t>Fraunhofer</w:t>
      </w:r>
      <w:r w:rsidRPr="00B65DEE">
        <w:t xml:space="preserve">, foi conquistada a realização do </w:t>
      </w:r>
      <w:r w:rsidRPr="00B65DEE">
        <w:rPr>
          <w:i/>
        </w:rPr>
        <w:t>International Congress - Advances in Food Processing - Challenges for the Future</w:t>
      </w:r>
      <w:r w:rsidRPr="00B65DEE">
        <w:t xml:space="preserve">, em Campinas, organizado pela </w:t>
      </w:r>
      <w:r w:rsidRPr="00B65DEE">
        <w:rPr>
          <w:i/>
        </w:rPr>
        <w:t>Elsevier</w:t>
      </w:r>
      <w:r w:rsidRPr="00B65DEE">
        <w:t xml:space="preserve"> (líder mundial no provimento de informações científicas), com destaque para as discussões dos novos conceitos e tecnologias de suporte à sustentabilidade no processamento de alimentos.</w:t>
      </w:r>
    </w:p>
    <w:p w:rsidR="003E6588" w:rsidRPr="00B65DEE" w:rsidRDefault="003E6588">
      <w:pPr>
        <w:ind w:firstLine="1134"/>
        <w:jc w:val="both"/>
      </w:pPr>
    </w:p>
    <w:p w:rsidR="003E6588" w:rsidRDefault="003E6588">
      <w:pPr>
        <w:ind w:firstLine="1134"/>
        <w:jc w:val="both"/>
      </w:pPr>
      <w:r>
        <w:t xml:space="preserve">Em continuidade à série de publicações com escopo nas tendências em alimentos e embalagens, iniciada com o Brasil </w:t>
      </w:r>
      <w:r>
        <w:rPr>
          <w:i/>
        </w:rPr>
        <w:t>Food Trends</w:t>
      </w:r>
      <w:r>
        <w:t xml:space="preserve"> 2020 e Brasil </w:t>
      </w:r>
      <w:r>
        <w:rPr>
          <w:i/>
        </w:rPr>
        <w:t>Pack Trends</w:t>
      </w:r>
      <w:r>
        <w:t xml:space="preserve"> 2020, o ITAL lançou as publicações Brasil </w:t>
      </w:r>
      <w:r>
        <w:rPr>
          <w:i/>
        </w:rPr>
        <w:t>Ingredients Trends</w:t>
      </w:r>
      <w:r>
        <w:t xml:space="preserve"> 2020 e Brasil </w:t>
      </w:r>
      <w:r>
        <w:rPr>
          <w:i/>
        </w:rPr>
        <w:t>Bakery &amp; Confectionery Trends</w:t>
      </w:r>
      <w:r>
        <w:t xml:space="preserve"> 2020. Tais documentos são fonte de consulta frequente para tomada de decisões pelos vários agentes do setor de alimentos e embalagem.</w:t>
      </w:r>
    </w:p>
    <w:p w:rsidR="003E6588" w:rsidRPr="00B65DEE" w:rsidRDefault="003E6588">
      <w:pPr>
        <w:ind w:firstLine="1134"/>
        <w:jc w:val="both"/>
        <w:rPr>
          <w:strike/>
        </w:rPr>
      </w:pPr>
    </w:p>
    <w:p w:rsidR="003E6588" w:rsidRDefault="003E6588">
      <w:pPr>
        <w:ind w:firstLine="1134"/>
        <w:jc w:val="both"/>
        <w:rPr>
          <w:bCs/>
        </w:rPr>
      </w:pPr>
      <w:r w:rsidRPr="00B65DEE">
        <w:t xml:space="preserve">O ITAL, por meio do Centro de Chocolates, Balas, Confeitos e Panificação, dedicou-se ao Projeto para </w:t>
      </w:r>
      <w:r w:rsidRPr="00B65DEE">
        <w:rPr>
          <w:bCs/>
        </w:rPr>
        <w:t xml:space="preserve">Desenvolvimento de Tecnologias para Viabilizar a Inovação no Setor Industrial de Biscoitos com Incremento da Saudabilidade, aprovado dentro do Programa INOVA-AGRO (FINEP/BNDES). </w:t>
      </w:r>
      <w:r w:rsidR="00B65DEE" w:rsidRPr="00B65DEE">
        <w:rPr>
          <w:bCs/>
        </w:rPr>
        <w:t xml:space="preserve">A </w:t>
      </w:r>
      <w:r w:rsidRPr="00B65DEE">
        <w:rPr>
          <w:bCs/>
        </w:rPr>
        <w:t>previsão da transferência de tecnologias para inovação pode representar marco na formalização de parcerias para aplicação de tecnologias com alto valor de agregação. Buscando exercer o papel de agente inovador, o ITAL concorre dos editais para credenciamento como Instituição</w:t>
      </w:r>
      <w:r>
        <w:rPr>
          <w:bCs/>
        </w:rPr>
        <w:t xml:space="preserve"> </w:t>
      </w:r>
      <w:r>
        <w:rPr>
          <w:bCs/>
        </w:rPr>
        <w:lastRenderedPageBreak/>
        <w:t>Nacional de Ciência e Tecnologia - INCT/CNPq/FAPESP e da rede da Empresa Brasileira de Pesquisa e Inovação Industrial - EMBRAPII/MCTI, buscando tornar-se elemento transformador na área de processamento de alimentos e embalagens.</w:t>
      </w:r>
    </w:p>
    <w:p w:rsidR="003E6588" w:rsidRDefault="003E6588">
      <w:pPr>
        <w:ind w:firstLine="1134"/>
        <w:jc w:val="both"/>
      </w:pPr>
    </w:p>
    <w:p w:rsidR="003E6588" w:rsidRPr="00B65DEE" w:rsidRDefault="003E6588">
      <w:pPr>
        <w:ind w:firstLine="1134"/>
        <w:jc w:val="both"/>
      </w:pPr>
      <w:r w:rsidRPr="00B65DEE">
        <w:t>Um sistema de produção de ovelhas e cordeiros que reduz em 40% o tempo de abate triplica o número de animais por hectare e aumenta em</w:t>
      </w:r>
      <w:r w:rsidR="00B65DEE" w:rsidRPr="00B65DEE">
        <w:t xml:space="preserve"> seis vezes a renda do produtor</w:t>
      </w:r>
      <w:r w:rsidRPr="00B65DEE">
        <w:t xml:space="preserve"> foi exposto pelo Instituto de Zootecnia - IZ-APTA, na Agrishow, em Ribeirão Preto. Dentre os diferenciais proporcionados pelo Sistema IZ, destaca-se a alimentação dos animais, principalmente pelo pastejo drástico realizado pelos ovinos. O capim Aruana, desenvolvido pelo IZ, é mais nutritivo do que a braquiária e pode ser utilizado na criação de qualquer animal, mostrando-se ideal para </w:t>
      </w:r>
      <w:r w:rsidR="00B65DEE" w:rsidRPr="00B65DEE">
        <w:t xml:space="preserve">os </w:t>
      </w:r>
      <w:r w:rsidRPr="00B65DEE">
        <w:t>ovinos por se adaptar ao modo de alimentação destes animais.</w:t>
      </w:r>
    </w:p>
    <w:p w:rsidR="003E6588" w:rsidRPr="00B65DEE" w:rsidRDefault="003E6588">
      <w:pPr>
        <w:ind w:firstLine="1134"/>
        <w:jc w:val="both"/>
      </w:pPr>
    </w:p>
    <w:p w:rsidR="003E6588" w:rsidRDefault="003E6588">
      <w:pPr>
        <w:ind w:firstLine="1134"/>
        <w:jc w:val="both"/>
      </w:pPr>
      <w:r w:rsidRPr="00B65DEE">
        <w:t>No Laboratório</w:t>
      </w:r>
      <w:r>
        <w:t xml:space="preserve"> de Maricultura, em Santos, pesquisadores do Instituto de Pesca desenvolveram pacote tecnológico para cultivo das espécies nativas de camarões rosa e branco, em sistema fechado de circulação de água</w:t>
      </w:r>
      <w:r w:rsidR="00B65DEE">
        <w:t>,</w:t>
      </w:r>
      <w:r>
        <w:t xml:space="preserve"> para serem utilizados como isca-viva na pesca esportiva. O estudo envolveu a viabilidade econômica da implantação desse sistema inovador, com vistas a suprimir lacuna da sazonalidade na disponibilidade do recurso em ambiente natural.</w:t>
      </w:r>
    </w:p>
    <w:p w:rsidR="003E6588" w:rsidRDefault="003E6588">
      <w:pPr>
        <w:ind w:firstLine="1134"/>
        <w:jc w:val="both"/>
      </w:pPr>
    </w:p>
    <w:p w:rsidR="003E6588" w:rsidRPr="00B65DEE" w:rsidRDefault="003E6588">
      <w:pPr>
        <w:ind w:firstLine="1134"/>
        <w:jc w:val="both"/>
      </w:pPr>
      <w:r w:rsidRPr="00B65DEE">
        <w:t>O Laboratório de Estudos Estuarinos do Instituto de Pesca, realizou atividades de monitoramento e caracterização da fauna aquática existente e dos pescadores artesanais e comunidades tradicionais atuantes no estuário de Santos - São Vicente e área costeira adjacente, por meio da parceria com empreendedores portuários e órgãos de fomento. Tais ações foram decorrentes dos processos de avaliação de impacto da implantação de terminais portuários, abrangendo propostas de mitigação e compensação ambiental, relativos, respectivamente, aos recursos pesqueiros afetados e às comunidades pesqueiras locais.</w:t>
      </w:r>
    </w:p>
    <w:p w:rsidR="003E6588" w:rsidRPr="00B65DEE" w:rsidRDefault="003E6588">
      <w:pPr>
        <w:ind w:firstLine="1134"/>
        <w:jc w:val="both"/>
      </w:pPr>
    </w:p>
    <w:p w:rsidR="003E6588" w:rsidRPr="00B65DEE" w:rsidRDefault="003E6588">
      <w:pPr>
        <w:ind w:firstLine="1134"/>
        <w:jc w:val="both"/>
      </w:pPr>
      <w:r w:rsidRPr="00B65DEE">
        <w:t xml:space="preserve">Dentre as ações do Instituto de Pesca, destaca-se a inauguração do Centro de Pesquisa do Pescado Continental, com a participação de diversas autoridades, produtores e pescadores da região. </w:t>
      </w:r>
      <w:r w:rsidR="00B65DEE" w:rsidRPr="00B65DEE">
        <w:t xml:space="preserve">Foram </w:t>
      </w:r>
      <w:r w:rsidRPr="00B65DEE">
        <w:t xml:space="preserve">inauguradas as seguintes unidades: “Laboratório de Análises de Água Doutora Margarete Mallasen”, com 247 m², com capacidade para realizar </w:t>
      </w:r>
      <w:smartTag w:uri="urn:schemas-microsoft-com:office:smarttags" w:element="metricconverter">
        <w:smartTagPr>
          <w:attr w:name="ProductID" w:val="500 a"/>
        </w:smartTagPr>
        <w:r w:rsidRPr="00B65DEE">
          <w:t>500 a</w:t>
        </w:r>
      </w:smartTag>
      <w:r w:rsidRPr="00B65DEE">
        <w:t xml:space="preserve"> 600 análises de parâmetros de qualidade da água/mês; esse laboratório foi concebido estruturalmente para ser certificado e acreditado dentro das normativas do setor, possibilitando oferecer serviços de qualidade para usuários da pesquisa, produtores rurais, industriários e órgãos governamentais; “Laboratório de Reprodução e Larvicultura”, com capacidade para produzir 10 milhões de larvas/ano</w:t>
      </w:r>
      <w:r w:rsidR="00B65DEE" w:rsidRPr="00B65DEE">
        <w:t>,</w:t>
      </w:r>
      <w:r w:rsidRPr="00B65DEE">
        <w:t xml:space="preserve"> para serem disponibilizadas a produtores rurais e experimentos de pesquisa; “Laboratório de Nutrição e Sanidade de Organismos Aquáticos”, com capacidade de realizar 2.000 análises de parâmetros parasitológicos e microbiológicos</w:t>
      </w:r>
      <w:r w:rsidR="00B65DEE" w:rsidRPr="00B65DEE">
        <w:t>;</w:t>
      </w:r>
      <w:r w:rsidRPr="00B65DEE">
        <w:t xml:space="preserve"> e “Laboratório de Nutrição e Ensaios Biológicos”, equipado com 50 tanques experimentais de 310 L, que possibilitará a realização de projetos de pesquisa em sistema de recirculação de água, e em sistema de avaliação de parâmetros de digestibilidade em peixes. As pesquisas possibilitarão melhor qualidade das rações comerciais, menor impacto ambiental, aumento no rendimento do filé de peixe e melhor custo/benefício.</w:t>
      </w:r>
    </w:p>
    <w:p w:rsidR="003E6588" w:rsidRDefault="003E6588">
      <w:pPr>
        <w:ind w:firstLine="1134"/>
        <w:jc w:val="both"/>
        <w:rPr>
          <w:i/>
        </w:rPr>
      </w:pPr>
    </w:p>
    <w:p w:rsidR="002A500A" w:rsidRPr="00B65DEE" w:rsidRDefault="002A500A">
      <w:pPr>
        <w:ind w:firstLine="1134"/>
        <w:jc w:val="both"/>
        <w:rPr>
          <w:i/>
        </w:rPr>
      </w:pPr>
    </w:p>
    <w:p w:rsidR="003E6588" w:rsidRDefault="003E6588">
      <w:pPr>
        <w:ind w:firstLine="1134"/>
        <w:jc w:val="both"/>
        <w:rPr>
          <w:b/>
        </w:rPr>
      </w:pPr>
      <w:r w:rsidRPr="00B65DEE">
        <w:rPr>
          <w:b/>
        </w:rPr>
        <w:lastRenderedPageBreak/>
        <w:t>Programa</w:t>
      </w:r>
      <w:r>
        <w:rPr>
          <w:b/>
        </w:rPr>
        <w:t xml:space="preserve"> de Desenvolvimento Local Integrado Sustentável</w:t>
      </w:r>
    </w:p>
    <w:p w:rsidR="002A500A" w:rsidRDefault="002A500A">
      <w:pPr>
        <w:ind w:firstLine="1134"/>
        <w:jc w:val="both"/>
        <w:rPr>
          <w:b/>
        </w:rPr>
      </w:pPr>
    </w:p>
    <w:p w:rsidR="003E6588" w:rsidRDefault="003E6588">
      <w:pPr>
        <w:ind w:firstLine="1134"/>
        <w:jc w:val="both"/>
      </w:pPr>
      <w:r>
        <w:rPr>
          <w:b/>
        </w:rPr>
        <w:t>Objetivo</w:t>
      </w:r>
      <w:r>
        <w:t xml:space="preserve"> -</w:t>
      </w:r>
      <w:r>
        <w:rPr>
          <w:b/>
          <w:snapToGrid w:val="0"/>
        </w:rPr>
        <w:t xml:space="preserve"> </w:t>
      </w:r>
      <w:r>
        <w:rPr>
          <w:snapToGrid w:val="0"/>
        </w:rPr>
        <w:t>P</w:t>
      </w:r>
      <w:r>
        <w:t>romover os agentes locais de desenvolvimento como articuladores das forças presentes nos municípios, visando conjugar desenvolvimento econômico, promoção da cidadania e preservação do meio ambiente.</w:t>
      </w:r>
    </w:p>
    <w:p w:rsidR="003E6588" w:rsidRDefault="003E6588">
      <w:pPr>
        <w:ind w:firstLine="1134"/>
        <w:jc w:val="both"/>
      </w:pPr>
    </w:p>
    <w:p w:rsidR="003E6588" w:rsidRDefault="003E6588">
      <w:pPr>
        <w:ind w:firstLine="1134"/>
        <w:jc w:val="both"/>
      </w:pPr>
      <w:r>
        <w:rPr>
          <w:b/>
        </w:rPr>
        <w:t>Microbacias II - Acesso ao Mercado Para os Agricultores Familiares</w:t>
      </w:r>
    </w:p>
    <w:p w:rsidR="003E6588" w:rsidRDefault="003E6588">
      <w:pPr>
        <w:ind w:firstLine="1134"/>
        <w:jc w:val="both"/>
      </w:pPr>
    </w:p>
    <w:p w:rsidR="003E6588" w:rsidRDefault="003E6588">
      <w:pPr>
        <w:ind w:firstLine="1134"/>
        <w:jc w:val="both"/>
      </w:pPr>
      <w:r>
        <w:rPr>
          <w:b/>
        </w:rPr>
        <w:t>Finalidade -</w:t>
      </w:r>
      <w:r>
        <w:t xml:space="preserve"> Aumentar a competitividade da Agricultura Familiar do Estado, favorecendo acesso ao mercado e assegurando sustentabilidade ambiental e social da atividade.</w:t>
      </w:r>
    </w:p>
    <w:p w:rsidR="003E6588" w:rsidRDefault="003E6588">
      <w:pPr>
        <w:ind w:firstLine="1134"/>
        <w:jc w:val="both"/>
      </w:pPr>
    </w:p>
    <w:p w:rsidR="003E6588" w:rsidRDefault="003E6588">
      <w:pPr>
        <w:ind w:firstLine="1134"/>
        <w:jc w:val="both"/>
      </w:pPr>
      <w:r>
        <w:t xml:space="preserve">O Projeto de Desenvolvimento Rural Sustentável - Microbacias II - Acesso ao Mercado (PDRS - Microbacias II) apoia organizações de produtores rurais para que possam participar de maneira mais efetiva </w:t>
      </w:r>
      <w:r w:rsidR="00B65DEE">
        <w:t>n</w:t>
      </w:r>
      <w:r>
        <w:t xml:space="preserve">o mercado consumidor. </w:t>
      </w:r>
      <w:r w:rsidR="00B65DEE">
        <w:t xml:space="preserve">Consolida </w:t>
      </w:r>
      <w:r>
        <w:t>um novo perfil de agricultor familiar empresarial, capaz de gerar mais renda a partir da atividade rural e reduzir o êxodo rural da população mais jovem, permitindo que passem a participar do processo de gestão desses novos empreendimentos.</w:t>
      </w:r>
    </w:p>
    <w:p w:rsidR="003E6588" w:rsidRDefault="003E6588">
      <w:pPr>
        <w:ind w:firstLine="1134"/>
        <w:jc w:val="both"/>
      </w:pPr>
    </w:p>
    <w:p w:rsidR="003E6588" w:rsidRPr="00396F6B" w:rsidRDefault="003E6588">
      <w:pPr>
        <w:ind w:firstLine="1134"/>
        <w:jc w:val="both"/>
      </w:pPr>
      <w:r w:rsidRPr="00396F6B">
        <w:t xml:space="preserve">O PDRS - Microbacias II acumulou 153 planos de negócios aprovados e em execução, o que totaliza </w:t>
      </w:r>
      <w:r w:rsidR="00396F6B" w:rsidRPr="00396F6B">
        <w:t>R$ 63.170</w:t>
      </w:r>
      <w:r w:rsidRPr="00396F6B">
        <w:t xml:space="preserve"> milhões na forma de subvenção econômica e atendimento de 5.955 produtores e suas famílias, sendo 92% de agricultores familiares.</w:t>
      </w:r>
    </w:p>
    <w:p w:rsidR="003E6588" w:rsidRPr="00396F6B" w:rsidRDefault="003E6588">
      <w:pPr>
        <w:ind w:firstLine="1134"/>
        <w:jc w:val="both"/>
      </w:pPr>
    </w:p>
    <w:p w:rsidR="003E6588" w:rsidRDefault="003E6588">
      <w:pPr>
        <w:ind w:firstLine="1134"/>
        <w:jc w:val="both"/>
      </w:pPr>
      <w:r>
        <w:t>Foi aberta a quinta chamada pública, com participação de 90 organizações de produtores que manifestaram interesse em apresentar proposta de negócio ao projeto. Foram protocoladas 72 propostas de negócio para avaliação e há previsão de aprovação de 66 propostas, com valor de apoio de R$ 25.100.000,00.</w:t>
      </w:r>
    </w:p>
    <w:p w:rsidR="003E6588" w:rsidRDefault="003E6588">
      <w:pPr>
        <w:pStyle w:val="NormalWeb"/>
        <w:spacing w:before="0" w:beforeAutospacing="0" w:after="0" w:afterAutospacing="0"/>
        <w:ind w:firstLine="1134"/>
        <w:jc w:val="both"/>
        <w:rPr>
          <w:rFonts w:eastAsia="Calibri"/>
        </w:rPr>
      </w:pPr>
    </w:p>
    <w:p w:rsidR="003E6588" w:rsidRPr="00B05472" w:rsidRDefault="003E6588">
      <w:pPr>
        <w:pStyle w:val="NormalWeb"/>
        <w:spacing w:before="0" w:beforeAutospacing="0" w:after="0" w:afterAutospacing="0"/>
        <w:ind w:firstLine="1134"/>
        <w:jc w:val="both"/>
        <w:rPr>
          <w:rFonts w:eastAsia="Calibri"/>
        </w:rPr>
      </w:pPr>
      <w:r w:rsidRPr="00B05472">
        <w:rPr>
          <w:rFonts w:eastAsia="Calibri"/>
        </w:rPr>
        <w:t xml:space="preserve">Com a implementação das primeiras iniciativas de negócio, ocorreu efeito de irradiação desses empreendimentos junto às comunidades vizinhas. Este fato, aliado à definição dos instrumentos operacionais do Projeto, sinalizam crescimento exponencial dos desembolsos, considerando que, até a quarta chamada, estão previstos R$ 63,17 milhões em apoio às organizações de produtores para implantação </w:t>
      </w:r>
      <w:r w:rsidR="00B05472" w:rsidRPr="00B05472">
        <w:rPr>
          <w:rFonts w:eastAsia="Calibri"/>
        </w:rPr>
        <w:t xml:space="preserve">de </w:t>
      </w:r>
      <w:r w:rsidRPr="00B05472">
        <w:rPr>
          <w:rFonts w:eastAsia="Calibri"/>
        </w:rPr>
        <w:t>seus empreendimentos.</w:t>
      </w:r>
    </w:p>
    <w:p w:rsidR="003E6588" w:rsidRPr="00B05472" w:rsidRDefault="003E6588">
      <w:pPr>
        <w:pStyle w:val="NormalWeb"/>
        <w:spacing w:before="0" w:beforeAutospacing="0" w:after="0" w:afterAutospacing="0"/>
        <w:ind w:firstLine="1134"/>
        <w:jc w:val="both"/>
        <w:rPr>
          <w:rFonts w:eastAsia="Calibri"/>
        </w:rPr>
      </w:pPr>
    </w:p>
    <w:p w:rsidR="003E6588" w:rsidRPr="009C76A4" w:rsidRDefault="003E6588">
      <w:pPr>
        <w:ind w:right="-29" w:firstLine="1134"/>
        <w:jc w:val="both"/>
      </w:pPr>
      <w:r w:rsidRPr="009C76A4">
        <w:t xml:space="preserve">Foram trabalhados quatro objetivos estratégicos: Realização de serviços permanentes de Assistência Técnica e Extensão Rural nas Aldeias (46) e Quilombos (52); </w:t>
      </w:r>
      <w:r w:rsidR="00B05472" w:rsidRPr="009C76A4">
        <w:t xml:space="preserve">realização </w:t>
      </w:r>
      <w:r w:rsidRPr="009C76A4">
        <w:t xml:space="preserve">de cursos de capacitação para estas populações; </w:t>
      </w:r>
      <w:r w:rsidR="00B05472" w:rsidRPr="009C76A4">
        <w:t>elaboração</w:t>
      </w:r>
      <w:r w:rsidRPr="009C76A4">
        <w:t xml:space="preserve">, com comunidades e organizações parceiras (FUNAI e ITESP), de Planos de Etnodesenvolvimento, que contemplam diagnóstico integral de cada comunidade, com levantamento dos principais problemas e das potencialidades e talentos existentes; </w:t>
      </w:r>
      <w:r w:rsidR="00B05472" w:rsidRPr="009C76A4">
        <w:t xml:space="preserve">elaboração </w:t>
      </w:r>
      <w:r w:rsidRPr="009C76A4">
        <w:t>de propostas de investimentos a serem realizados pelo PDRS - Microbacias II, por meio das associações comunitárias.</w:t>
      </w:r>
    </w:p>
    <w:p w:rsidR="003E6588" w:rsidRPr="009C76A4" w:rsidRDefault="003E6588">
      <w:pPr>
        <w:ind w:right="-29" w:firstLine="1134"/>
        <w:jc w:val="both"/>
      </w:pPr>
    </w:p>
    <w:p w:rsidR="003E6588" w:rsidRPr="00B05472" w:rsidRDefault="003E6588">
      <w:pPr>
        <w:ind w:right="-29" w:firstLine="1134"/>
        <w:jc w:val="both"/>
      </w:pPr>
      <w:r>
        <w:t>As capacitações realizadas pela CATI</w:t>
      </w:r>
      <w:r w:rsidR="00B05472">
        <w:t>,</w:t>
      </w:r>
      <w:r>
        <w:t xml:space="preserve"> com recursos do PDRS - Microbacias II - Aces</w:t>
      </w:r>
      <w:r w:rsidR="00B05472">
        <w:t>so ao mercado, são apresentadas</w:t>
      </w:r>
      <w:r w:rsidRPr="00B05472">
        <w:t>.</w:t>
      </w:r>
    </w:p>
    <w:p w:rsidR="003E6588" w:rsidRDefault="003E6588">
      <w:pPr>
        <w:ind w:right="-29" w:firstLine="1134"/>
        <w:jc w:val="both"/>
      </w:pPr>
    </w:p>
    <w:p w:rsidR="003E6588" w:rsidRDefault="003E6588">
      <w:pPr>
        <w:ind w:right="1559" w:firstLine="1134"/>
        <w:jc w:val="both"/>
        <w:rPr>
          <w:b/>
        </w:rPr>
      </w:pPr>
      <w:r>
        <w:rPr>
          <w:b/>
        </w:rPr>
        <w:lastRenderedPageBreak/>
        <w:t>Número de eventos realizados com recursos do MBII</w:t>
      </w:r>
    </w:p>
    <w:p w:rsidR="003E6588" w:rsidRDefault="003E6588">
      <w:pPr>
        <w:ind w:left="1276" w:right="1559"/>
        <w:jc w:val="both"/>
        <w:rPr>
          <w:b/>
          <w:sz w:val="22"/>
          <w:szCs w:val="22"/>
        </w:rPr>
      </w:pPr>
    </w:p>
    <w:tbl>
      <w:tblPr>
        <w:tblW w:w="5106" w:type="dxa"/>
        <w:jc w:val="center"/>
        <w:tblInd w:w="1119" w:type="dxa"/>
        <w:tblBorders>
          <w:top w:val="single" w:sz="12" w:space="0" w:color="000000"/>
          <w:bottom w:val="single" w:sz="12" w:space="0" w:color="000000"/>
          <w:insideH w:val="single" w:sz="12" w:space="0" w:color="000000"/>
        </w:tblBorders>
        <w:tblCellMar>
          <w:left w:w="70" w:type="dxa"/>
          <w:right w:w="70" w:type="dxa"/>
        </w:tblCellMar>
        <w:tblLook w:val="04A0"/>
      </w:tblPr>
      <w:tblGrid>
        <w:gridCol w:w="2387"/>
        <w:gridCol w:w="8"/>
        <w:gridCol w:w="1577"/>
        <w:gridCol w:w="1134"/>
      </w:tblGrid>
      <w:tr w:rsidR="003E6588" w:rsidTr="007B6398">
        <w:trPr>
          <w:trHeight w:val="193"/>
          <w:jc w:val="center"/>
        </w:trPr>
        <w:tc>
          <w:tcPr>
            <w:tcW w:w="2395" w:type="dxa"/>
            <w:gridSpan w:val="2"/>
            <w:tcBorders>
              <w:top w:val="single" w:sz="8" w:space="0" w:color="000000"/>
              <w:bottom w:val="single" w:sz="8" w:space="0" w:color="000000"/>
            </w:tcBorders>
            <w:shd w:val="clear" w:color="auto" w:fill="auto"/>
            <w:noWrap/>
            <w:vAlign w:val="bottom"/>
            <w:hideMark/>
          </w:tcPr>
          <w:p w:rsidR="003E6588" w:rsidRDefault="003E6588">
            <w:pPr>
              <w:rPr>
                <w:b/>
                <w:bCs/>
                <w:sz w:val="20"/>
                <w:szCs w:val="20"/>
              </w:rPr>
            </w:pPr>
            <w:r>
              <w:rPr>
                <w:b/>
                <w:bCs/>
                <w:sz w:val="20"/>
                <w:szCs w:val="20"/>
              </w:rPr>
              <w:t>Categorias</w:t>
            </w:r>
          </w:p>
        </w:tc>
        <w:tc>
          <w:tcPr>
            <w:tcW w:w="1577" w:type="dxa"/>
            <w:tcBorders>
              <w:top w:val="single" w:sz="8" w:space="0" w:color="000000"/>
              <w:bottom w:val="single" w:sz="8" w:space="0" w:color="000000"/>
            </w:tcBorders>
            <w:shd w:val="clear" w:color="auto" w:fill="auto"/>
            <w:noWrap/>
            <w:vAlign w:val="bottom"/>
            <w:hideMark/>
          </w:tcPr>
          <w:p w:rsidR="003E6588" w:rsidRDefault="003E6588">
            <w:pPr>
              <w:rPr>
                <w:b/>
                <w:bCs/>
                <w:sz w:val="20"/>
                <w:szCs w:val="20"/>
              </w:rPr>
            </w:pPr>
            <w:r>
              <w:rPr>
                <w:b/>
                <w:bCs/>
                <w:sz w:val="20"/>
                <w:szCs w:val="20"/>
              </w:rPr>
              <w:t>nº de eventos</w:t>
            </w:r>
          </w:p>
        </w:tc>
        <w:tc>
          <w:tcPr>
            <w:tcW w:w="1134" w:type="dxa"/>
            <w:tcBorders>
              <w:top w:val="single" w:sz="8" w:space="0" w:color="000000"/>
              <w:bottom w:val="single" w:sz="8" w:space="0" w:color="000000"/>
            </w:tcBorders>
            <w:shd w:val="clear" w:color="auto" w:fill="auto"/>
            <w:noWrap/>
            <w:vAlign w:val="bottom"/>
            <w:hideMark/>
          </w:tcPr>
          <w:p w:rsidR="003E6588" w:rsidRDefault="003E6588">
            <w:pPr>
              <w:rPr>
                <w:b/>
                <w:bCs/>
                <w:sz w:val="20"/>
                <w:szCs w:val="20"/>
              </w:rPr>
            </w:pPr>
            <w:r>
              <w:rPr>
                <w:b/>
                <w:bCs/>
                <w:sz w:val="20"/>
                <w:szCs w:val="20"/>
              </w:rPr>
              <w:t>público</w:t>
            </w:r>
          </w:p>
        </w:tc>
      </w:tr>
      <w:tr w:rsidR="003E6588" w:rsidTr="007B6398">
        <w:trPr>
          <w:trHeight w:val="83"/>
          <w:jc w:val="center"/>
        </w:trPr>
        <w:tc>
          <w:tcPr>
            <w:tcW w:w="2387" w:type="dxa"/>
            <w:tcBorders>
              <w:top w:val="single" w:sz="8" w:space="0" w:color="000000"/>
              <w:bottom w:val="nil"/>
            </w:tcBorders>
            <w:shd w:val="clear" w:color="auto" w:fill="auto"/>
            <w:vAlign w:val="center"/>
            <w:hideMark/>
          </w:tcPr>
          <w:p w:rsidR="003E6588" w:rsidRDefault="003E6588">
            <w:pPr>
              <w:jc w:val="both"/>
              <w:rPr>
                <w:sz w:val="20"/>
                <w:szCs w:val="20"/>
              </w:rPr>
            </w:pPr>
            <w:r>
              <w:rPr>
                <w:sz w:val="20"/>
                <w:szCs w:val="20"/>
              </w:rPr>
              <w:t>Gestão associação</w:t>
            </w:r>
          </w:p>
        </w:tc>
        <w:tc>
          <w:tcPr>
            <w:tcW w:w="1585" w:type="dxa"/>
            <w:gridSpan w:val="2"/>
            <w:tcBorders>
              <w:top w:val="single" w:sz="8" w:space="0" w:color="000000"/>
              <w:bottom w:val="nil"/>
            </w:tcBorders>
            <w:shd w:val="clear" w:color="auto" w:fill="auto"/>
            <w:noWrap/>
            <w:vAlign w:val="bottom"/>
            <w:hideMark/>
          </w:tcPr>
          <w:p w:rsidR="003E6588" w:rsidRDefault="003E6588">
            <w:pPr>
              <w:ind w:right="721"/>
              <w:rPr>
                <w:color w:val="000000"/>
                <w:sz w:val="20"/>
                <w:szCs w:val="20"/>
              </w:rPr>
            </w:pPr>
            <w:r>
              <w:rPr>
                <w:color w:val="000000"/>
                <w:sz w:val="20"/>
                <w:szCs w:val="20"/>
              </w:rPr>
              <w:t>37</w:t>
            </w:r>
          </w:p>
        </w:tc>
        <w:tc>
          <w:tcPr>
            <w:tcW w:w="1134" w:type="dxa"/>
            <w:tcBorders>
              <w:top w:val="single" w:sz="8" w:space="0" w:color="000000"/>
              <w:bottom w:val="nil"/>
            </w:tcBorders>
            <w:shd w:val="clear" w:color="auto" w:fill="auto"/>
            <w:noWrap/>
            <w:vAlign w:val="bottom"/>
            <w:hideMark/>
          </w:tcPr>
          <w:p w:rsidR="003E6588" w:rsidRDefault="003E6588">
            <w:pPr>
              <w:rPr>
                <w:sz w:val="20"/>
                <w:szCs w:val="20"/>
              </w:rPr>
            </w:pPr>
            <w:r>
              <w:rPr>
                <w:sz w:val="20"/>
                <w:szCs w:val="20"/>
              </w:rPr>
              <w:t>1.601</w:t>
            </w:r>
          </w:p>
        </w:tc>
      </w:tr>
      <w:tr w:rsidR="003E6588" w:rsidTr="000B028A">
        <w:trPr>
          <w:trHeight w:val="54"/>
          <w:jc w:val="center"/>
        </w:trPr>
        <w:tc>
          <w:tcPr>
            <w:tcW w:w="2395" w:type="dxa"/>
            <w:gridSpan w:val="2"/>
            <w:tcBorders>
              <w:top w:val="nil"/>
              <w:bottom w:val="nil"/>
            </w:tcBorders>
            <w:shd w:val="clear" w:color="auto" w:fill="auto"/>
            <w:vAlign w:val="center"/>
            <w:hideMark/>
          </w:tcPr>
          <w:p w:rsidR="003E6588" w:rsidRDefault="003E6588">
            <w:pPr>
              <w:jc w:val="both"/>
              <w:rPr>
                <w:sz w:val="20"/>
                <w:szCs w:val="20"/>
              </w:rPr>
            </w:pPr>
            <w:r>
              <w:rPr>
                <w:sz w:val="20"/>
                <w:szCs w:val="20"/>
              </w:rPr>
              <w:t>Estradas rurais</w:t>
            </w:r>
          </w:p>
        </w:tc>
        <w:tc>
          <w:tcPr>
            <w:tcW w:w="1577" w:type="dxa"/>
            <w:tcBorders>
              <w:top w:val="nil"/>
              <w:bottom w:val="nil"/>
            </w:tcBorders>
            <w:shd w:val="clear" w:color="auto" w:fill="auto"/>
            <w:noWrap/>
            <w:vAlign w:val="bottom"/>
            <w:hideMark/>
          </w:tcPr>
          <w:p w:rsidR="003E6588" w:rsidRDefault="003E6588">
            <w:pPr>
              <w:ind w:right="721"/>
              <w:rPr>
                <w:color w:val="000000"/>
                <w:sz w:val="20"/>
                <w:szCs w:val="20"/>
              </w:rPr>
            </w:pPr>
            <w:r>
              <w:rPr>
                <w:color w:val="000000"/>
                <w:sz w:val="20"/>
                <w:szCs w:val="20"/>
              </w:rPr>
              <w:t>14</w:t>
            </w:r>
          </w:p>
        </w:tc>
        <w:tc>
          <w:tcPr>
            <w:tcW w:w="1134" w:type="dxa"/>
            <w:tcBorders>
              <w:top w:val="nil"/>
              <w:bottom w:val="nil"/>
            </w:tcBorders>
            <w:shd w:val="clear" w:color="auto" w:fill="auto"/>
            <w:noWrap/>
            <w:vAlign w:val="bottom"/>
            <w:hideMark/>
          </w:tcPr>
          <w:p w:rsidR="003E6588" w:rsidRDefault="003E6588">
            <w:pPr>
              <w:rPr>
                <w:sz w:val="20"/>
                <w:szCs w:val="20"/>
              </w:rPr>
            </w:pPr>
            <w:r>
              <w:rPr>
                <w:sz w:val="20"/>
                <w:szCs w:val="20"/>
              </w:rPr>
              <w:t>404</w:t>
            </w:r>
          </w:p>
        </w:tc>
      </w:tr>
      <w:tr w:rsidR="003E6588" w:rsidTr="000B028A">
        <w:trPr>
          <w:trHeight w:val="56"/>
          <w:jc w:val="center"/>
        </w:trPr>
        <w:tc>
          <w:tcPr>
            <w:tcW w:w="2395" w:type="dxa"/>
            <w:gridSpan w:val="2"/>
            <w:tcBorders>
              <w:top w:val="nil"/>
              <w:bottom w:val="nil"/>
            </w:tcBorders>
            <w:shd w:val="clear" w:color="auto" w:fill="auto"/>
            <w:vAlign w:val="center"/>
            <w:hideMark/>
          </w:tcPr>
          <w:p w:rsidR="003E6588" w:rsidRDefault="003E6588">
            <w:pPr>
              <w:jc w:val="both"/>
              <w:rPr>
                <w:sz w:val="20"/>
                <w:szCs w:val="20"/>
              </w:rPr>
            </w:pPr>
            <w:r>
              <w:rPr>
                <w:sz w:val="20"/>
                <w:szCs w:val="20"/>
              </w:rPr>
              <w:t>MBII</w:t>
            </w:r>
          </w:p>
        </w:tc>
        <w:tc>
          <w:tcPr>
            <w:tcW w:w="1577" w:type="dxa"/>
            <w:tcBorders>
              <w:top w:val="nil"/>
              <w:bottom w:val="nil"/>
            </w:tcBorders>
            <w:shd w:val="clear" w:color="auto" w:fill="auto"/>
            <w:noWrap/>
            <w:vAlign w:val="bottom"/>
            <w:hideMark/>
          </w:tcPr>
          <w:p w:rsidR="003E6588" w:rsidRDefault="003E6588">
            <w:pPr>
              <w:ind w:right="721"/>
              <w:rPr>
                <w:color w:val="000000"/>
                <w:sz w:val="20"/>
                <w:szCs w:val="20"/>
              </w:rPr>
            </w:pPr>
            <w:r>
              <w:rPr>
                <w:color w:val="000000"/>
                <w:sz w:val="20"/>
                <w:szCs w:val="20"/>
              </w:rPr>
              <w:t>21</w:t>
            </w:r>
          </w:p>
        </w:tc>
        <w:tc>
          <w:tcPr>
            <w:tcW w:w="1134" w:type="dxa"/>
            <w:tcBorders>
              <w:top w:val="nil"/>
              <w:bottom w:val="nil"/>
            </w:tcBorders>
            <w:shd w:val="clear" w:color="auto" w:fill="auto"/>
            <w:noWrap/>
            <w:vAlign w:val="bottom"/>
            <w:hideMark/>
          </w:tcPr>
          <w:p w:rsidR="003E6588" w:rsidRDefault="003E6588">
            <w:pPr>
              <w:rPr>
                <w:sz w:val="20"/>
                <w:szCs w:val="20"/>
              </w:rPr>
            </w:pPr>
            <w:r>
              <w:rPr>
                <w:sz w:val="20"/>
                <w:szCs w:val="20"/>
              </w:rPr>
              <w:t>666</w:t>
            </w:r>
          </w:p>
        </w:tc>
      </w:tr>
      <w:tr w:rsidR="003E6588" w:rsidTr="007B6398">
        <w:trPr>
          <w:trHeight w:val="102"/>
          <w:jc w:val="center"/>
        </w:trPr>
        <w:tc>
          <w:tcPr>
            <w:tcW w:w="2395" w:type="dxa"/>
            <w:gridSpan w:val="2"/>
            <w:tcBorders>
              <w:top w:val="nil"/>
              <w:bottom w:val="single" w:sz="8" w:space="0" w:color="000000"/>
            </w:tcBorders>
            <w:shd w:val="clear" w:color="auto" w:fill="auto"/>
            <w:vAlign w:val="bottom"/>
            <w:hideMark/>
          </w:tcPr>
          <w:p w:rsidR="003E6588" w:rsidRDefault="003E6588">
            <w:pPr>
              <w:jc w:val="both"/>
              <w:rPr>
                <w:sz w:val="20"/>
                <w:szCs w:val="20"/>
              </w:rPr>
            </w:pPr>
            <w:r>
              <w:rPr>
                <w:sz w:val="20"/>
                <w:szCs w:val="20"/>
              </w:rPr>
              <w:t>Outros</w:t>
            </w:r>
          </w:p>
        </w:tc>
        <w:tc>
          <w:tcPr>
            <w:tcW w:w="1577" w:type="dxa"/>
            <w:tcBorders>
              <w:top w:val="nil"/>
              <w:bottom w:val="single" w:sz="8" w:space="0" w:color="000000"/>
            </w:tcBorders>
            <w:shd w:val="clear" w:color="auto" w:fill="auto"/>
            <w:noWrap/>
            <w:vAlign w:val="bottom"/>
            <w:hideMark/>
          </w:tcPr>
          <w:p w:rsidR="003E6588" w:rsidRDefault="003E6588">
            <w:pPr>
              <w:ind w:right="721"/>
              <w:rPr>
                <w:color w:val="000000"/>
                <w:sz w:val="20"/>
                <w:szCs w:val="20"/>
              </w:rPr>
            </w:pPr>
            <w:r>
              <w:rPr>
                <w:color w:val="000000"/>
                <w:sz w:val="20"/>
                <w:szCs w:val="20"/>
              </w:rPr>
              <w:t>17</w:t>
            </w:r>
          </w:p>
        </w:tc>
        <w:tc>
          <w:tcPr>
            <w:tcW w:w="1134" w:type="dxa"/>
            <w:tcBorders>
              <w:top w:val="nil"/>
              <w:bottom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740</w:t>
            </w:r>
          </w:p>
        </w:tc>
      </w:tr>
      <w:tr w:rsidR="003E6588" w:rsidTr="007B6398">
        <w:trPr>
          <w:trHeight w:val="152"/>
          <w:jc w:val="center"/>
        </w:trPr>
        <w:tc>
          <w:tcPr>
            <w:tcW w:w="2395" w:type="dxa"/>
            <w:gridSpan w:val="2"/>
            <w:tcBorders>
              <w:top w:val="single" w:sz="8" w:space="0" w:color="000000"/>
              <w:bottom w:val="single" w:sz="8" w:space="0" w:color="000000"/>
            </w:tcBorders>
            <w:shd w:val="clear" w:color="auto" w:fill="auto"/>
            <w:noWrap/>
            <w:vAlign w:val="bottom"/>
            <w:hideMark/>
          </w:tcPr>
          <w:p w:rsidR="003E6588" w:rsidRDefault="003E6588">
            <w:pPr>
              <w:jc w:val="both"/>
              <w:rPr>
                <w:b/>
                <w:bCs/>
                <w:color w:val="000000"/>
                <w:sz w:val="20"/>
                <w:szCs w:val="20"/>
              </w:rPr>
            </w:pPr>
            <w:r>
              <w:rPr>
                <w:b/>
                <w:bCs/>
                <w:color w:val="000000"/>
                <w:sz w:val="20"/>
                <w:szCs w:val="20"/>
              </w:rPr>
              <w:t>Total</w:t>
            </w:r>
          </w:p>
        </w:tc>
        <w:tc>
          <w:tcPr>
            <w:tcW w:w="1577" w:type="dxa"/>
            <w:tcBorders>
              <w:top w:val="single" w:sz="8" w:space="0" w:color="000000"/>
              <w:bottom w:val="single" w:sz="8" w:space="0" w:color="000000"/>
            </w:tcBorders>
            <w:shd w:val="clear" w:color="auto" w:fill="auto"/>
            <w:noWrap/>
            <w:vAlign w:val="bottom"/>
            <w:hideMark/>
          </w:tcPr>
          <w:p w:rsidR="003E6588" w:rsidRDefault="003E6588">
            <w:pPr>
              <w:ind w:right="721"/>
              <w:rPr>
                <w:b/>
                <w:bCs/>
                <w:color w:val="000000"/>
                <w:sz w:val="20"/>
                <w:szCs w:val="20"/>
              </w:rPr>
            </w:pPr>
            <w:r>
              <w:rPr>
                <w:b/>
                <w:bCs/>
                <w:color w:val="000000"/>
                <w:sz w:val="20"/>
                <w:szCs w:val="20"/>
              </w:rPr>
              <w:t>90</w:t>
            </w:r>
          </w:p>
        </w:tc>
        <w:tc>
          <w:tcPr>
            <w:tcW w:w="1134" w:type="dxa"/>
            <w:tcBorders>
              <w:top w:val="single" w:sz="8" w:space="0" w:color="000000"/>
              <w:bottom w:val="single" w:sz="8" w:space="0" w:color="000000"/>
            </w:tcBorders>
            <w:shd w:val="clear" w:color="auto" w:fill="auto"/>
            <w:noWrap/>
            <w:vAlign w:val="bottom"/>
            <w:hideMark/>
          </w:tcPr>
          <w:p w:rsidR="003E6588" w:rsidRDefault="003E6588">
            <w:pPr>
              <w:rPr>
                <w:b/>
                <w:bCs/>
                <w:color w:val="000000"/>
                <w:sz w:val="20"/>
                <w:szCs w:val="20"/>
              </w:rPr>
            </w:pPr>
            <w:r>
              <w:rPr>
                <w:b/>
                <w:bCs/>
                <w:color w:val="000000"/>
                <w:sz w:val="20"/>
                <w:szCs w:val="20"/>
              </w:rPr>
              <w:t>3.411</w:t>
            </w:r>
          </w:p>
        </w:tc>
      </w:tr>
    </w:tbl>
    <w:p w:rsidR="003E6588" w:rsidRDefault="003E6588">
      <w:pPr>
        <w:ind w:left="2124" w:right="-29"/>
        <w:jc w:val="both"/>
        <w:rPr>
          <w:sz w:val="16"/>
          <w:szCs w:val="16"/>
        </w:rPr>
      </w:pPr>
      <w:r>
        <w:rPr>
          <w:sz w:val="16"/>
          <w:szCs w:val="16"/>
        </w:rPr>
        <w:t xml:space="preserve"> </w:t>
      </w:r>
      <w:r w:rsidR="00B05472">
        <w:rPr>
          <w:sz w:val="16"/>
          <w:szCs w:val="16"/>
        </w:rPr>
        <w:t xml:space="preserve">    </w:t>
      </w:r>
      <w:r>
        <w:rPr>
          <w:sz w:val="16"/>
          <w:szCs w:val="16"/>
        </w:rPr>
        <w:t xml:space="preserve">    Fonte: Centro de Treinamento/CATI/SAA.</w:t>
      </w:r>
    </w:p>
    <w:p w:rsidR="003E6588" w:rsidRDefault="003E6588">
      <w:pPr>
        <w:ind w:right="-29" w:firstLine="1134"/>
        <w:jc w:val="both"/>
      </w:pPr>
    </w:p>
    <w:p w:rsidR="003E6588" w:rsidRDefault="003E6588">
      <w:pPr>
        <w:ind w:left="426" w:firstLine="708"/>
        <w:jc w:val="both"/>
        <w:rPr>
          <w:b/>
        </w:rPr>
      </w:pPr>
      <w:r>
        <w:rPr>
          <w:b/>
        </w:rPr>
        <w:t>Abastecimento de Sementes e Mudas no Estado de São Paulo</w:t>
      </w:r>
    </w:p>
    <w:p w:rsidR="003E6588" w:rsidRDefault="003E6588">
      <w:pPr>
        <w:ind w:firstLine="1134"/>
        <w:jc w:val="both"/>
      </w:pPr>
    </w:p>
    <w:p w:rsidR="003E6588" w:rsidRDefault="003E6588">
      <w:pPr>
        <w:ind w:firstLine="1134"/>
        <w:jc w:val="both"/>
      </w:pPr>
      <w:r>
        <w:t>Finalidade: Abastecer supletivamente os agricultores dos</w:t>
      </w:r>
      <w:r w:rsidR="00B05472">
        <w:t xml:space="preserve"> </w:t>
      </w:r>
      <w:r>
        <w:t>municípios do Estado, com prioridade para a produção de sementes de culturas de alimentação básica e mudas de espécies frutíferas e florestais nativas.</w:t>
      </w:r>
    </w:p>
    <w:p w:rsidR="003E6588" w:rsidRDefault="003E6588">
      <w:pPr>
        <w:ind w:firstLine="1134"/>
        <w:jc w:val="both"/>
      </w:pPr>
    </w:p>
    <w:p w:rsidR="003E6588" w:rsidRDefault="003E6588">
      <w:pPr>
        <w:ind w:firstLine="1134"/>
        <w:jc w:val="both"/>
      </w:pPr>
      <w:r>
        <w:t>O atual cenário da produção de sementes no Brasil é de crescente oferta de espécies transgênicas. Em São Paulo, entretanto, a CATI, por meio do Departamento de Sementes, Mudas e Matrizes - DSMM, opta por oferecer sementes tipo “variedade”, não transgênicas, de ótimo potencial produtivo, adaptadas às condições paulistas. Estas variedades têm importância na agricultura convencional e na “orgânica”, onde os preceitos produtivos impedem qualquer uso de sementes geneticamente modificadas.</w:t>
      </w:r>
    </w:p>
    <w:p w:rsidR="003E6588" w:rsidRDefault="003E6588">
      <w:pPr>
        <w:ind w:right="-29" w:firstLine="1134"/>
        <w:jc w:val="both"/>
      </w:pPr>
    </w:p>
    <w:p w:rsidR="003E6588" w:rsidRDefault="003E6588">
      <w:pPr>
        <w:ind w:right="-29" w:firstLine="1134"/>
        <w:jc w:val="both"/>
      </w:pPr>
      <w:r>
        <w:t>O DSMM está em processo de ajuste da produção de sementes para alimentação básica como arroz, feijão, milho e trigo, sendo importante insumo de política de segurança alimentar</w:t>
      </w:r>
      <w:r w:rsidR="009C76A4">
        <w:t>.</w:t>
      </w:r>
      <w:r>
        <w:t xml:space="preserve"> </w:t>
      </w:r>
      <w:r w:rsidR="009C76A4">
        <w:t>D</w:t>
      </w:r>
      <w:r>
        <w:t>esenvolve projetos de produção de sementes no sistema orgânico de arroz, feijão e milho, para atender a crescente demanda dos agricultores familiares deste segmento.</w:t>
      </w:r>
    </w:p>
    <w:p w:rsidR="003E6588" w:rsidRDefault="003E6588">
      <w:pPr>
        <w:ind w:right="-29" w:firstLine="1134"/>
        <w:jc w:val="both"/>
      </w:pPr>
    </w:p>
    <w:p w:rsidR="003E6588" w:rsidRPr="009C76A4" w:rsidRDefault="009C76A4">
      <w:pPr>
        <w:ind w:right="-29" w:firstLine="1134"/>
        <w:jc w:val="both"/>
      </w:pPr>
      <w:r w:rsidRPr="009C76A4">
        <w:t xml:space="preserve">O </w:t>
      </w:r>
      <w:r w:rsidR="003E6588" w:rsidRPr="009C76A4">
        <w:t xml:space="preserve">DSMM instalou 61 campos de produção de sementes, num total de 2.877 hectares, em suas áreas próprias e por meio de cooperadores. Para condução destes campos de sementes, foi necessária a realização de 244 laudos de vistoria e </w:t>
      </w:r>
      <w:r w:rsidR="003E6588" w:rsidRPr="009C76A4">
        <w:rPr>
          <w:i/>
        </w:rPr>
        <w:t>roguing</w:t>
      </w:r>
      <w:r w:rsidR="003E6588" w:rsidRPr="009C76A4">
        <w:t xml:space="preserve"> (eliminação de plantas indesejadas). Desses campos, a produção bruta colhida de 2.763 toneladas resultou em 1.490 toneladas de sementes beneficiadas, das quais 1.200 toneladas dentro dos padrões oficiais de sementes. Foram comercializadas cerca de 1.234 toneladas de sementes.</w:t>
      </w:r>
    </w:p>
    <w:p w:rsidR="003E6588" w:rsidRPr="009C76A4" w:rsidRDefault="003E6588">
      <w:pPr>
        <w:ind w:right="-29" w:firstLine="1134"/>
        <w:jc w:val="both"/>
      </w:pPr>
    </w:p>
    <w:p w:rsidR="003E6588" w:rsidRDefault="003E6588">
      <w:pPr>
        <w:ind w:right="1133" w:firstLine="1134"/>
        <w:jc w:val="both"/>
        <w:rPr>
          <w:b/>
        </w:rPr>
      </w:pPr>
      <w:r>
        <w:rPr>
          <w:b/>
        </w:rPr>
        <w:t>Atividades DSMM/CATI</w:t>
      </w:r>
    </w:p>
    <w:p w:rsidR="003E6588" w:rsidRDefault="003E6588">
      <w:pPr>
        <w:ind w:left="2835" w:right="1133"/>
        <w:jc w:val="both"/>
        <w:rPr>
          <w:b/>
        </w:rPr>
      </w:pPr>
    </w:p>
    <w:tbl>
      <w:tblPr>
        <w:tblW w:w="3939" w:type="dxa"/>
        <w:jc w:val="center"/>
        <w:tblInd w:w="-639" w:type="dxa"/>
        <w:tblCellMar>
          <w:left w:w="70" w:type="dxa"/>
          <w:right w:w="70" w:type="dxa"/>
        </w:tblCellMar>
        <w:tblLook w:val="04A0"/>
      </w:tblPr>
      <w:tblGrid>
        <w:gridCol w:w="2585"/>
        <w:gridCol w:w="1354"/>
      </w:tblGrid>
      <w:tr w:rsidR="003E6588" w:rsidTr="007B6398">
        <w:trPr>
          <w:trHeight w:val="227"/>
          <w:jc w:val="center"/>
        </w:trPr>
        <w:tc>
          <w:tcPr>
            <w:tcW w:w="2585" w:type="dxa"/>
            <w:tcBorders>
              <w:top w:val="single" w:sz="8" w:space="0" w:color="000000"/>
              <w:left w:val="nil"/>
              <w:bottom w:val="single" w:sz="8" w:space="0" w:color="000000"/>
              <w:right w:val="nil"/>
            </w:tcBorders>
            <w:shd w:val="clear" w:color="auto" w:fill="auto"/>
            <w:vAlign w:val="bottom"/>
            <w:hideMark/>
          </w:tcPr>
          <w:p w:rsidR="003E6588" w:rsidRDefault="003E6588">
            <w:pPr>
              <w:rPr>
                <w:b/>
                <w:color w:val="000000"/>
                <w:sz w:val="20"/>
                <w:szCs w:val="20"/>
              </w:rPr>
            </w:pPr>
            <w:r>
              <w:rPr>
                <w:b/>
                <w:color w:val="000000"/>
                <w:sz w:val="20"/>
                <w:szCs w:val="20"/>
              </w:rPr>
              <w:t>Insumo</w:t>
            </w:r>
          </w:p>
        </w:tc>
        <w:tc>
          <w:tcPr>
            <w:tcW w:w="1354" w:type="dxa"/>
            <w:tcBorders>
              <w:top w:val="single" w:sz="8" w:space="0" w:color="000000"/>
              <w:left w:val="nil"/>
              <w:bottom w:val="single" w:sz="8" w:space="0" w:color="000000"/>
              <w:right w:val="nil"/>
            </w:tcBorders>
            <w:shd w:val="clear" w:color="auto" w:fill="auto"/>
            <w:vAlign w:val="bottom"/>
            <w:hideMark/>
          </w:tcPr>
          <w:p w:rsidR="003E6588" w:rsidRDefault="003E6588">
            <w:pPr>
              <w:rPr>
                <w:b/>
                <w:color w:val="000000"/>
                <w:sz w:val="20"/>
                <w:szCs w:val="20"/>
              </w:rPr>
            </w:pPr>
            <w:r>
              <w:rPr>
                <w:b/>
                <w:color w:val="000000"/>
                <w:sz w:val="20"/>
                <w:szCs w:val="20"/>
              </w:rPr>
              <w:t>Quantidade</w:t>
            </w:r>
          </w:p>
        </w:tc>
      </w:tr>
      <w:tr w:rsidR="003E6588" w:rsidTr="007B6398">
        <w:trPr>
          <w:trHeight w:val="227"/>
          <w:jc w:val="center"/>
        </w:trPr>
        <w:tc>
          <w:tcPr>
            <w:tcW w:w="2585" w:type="dxa"/>
            <w:tcBorders>
              <w:top w:val="single" w:sz="8" w:space="0" w:color="000000"/>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Sementes (kg)</w:t>
            </w:r>
          </w:p>
        </w:tc>
        <w:tc>
          <w:tcPr>
            <w:tcW w:w="1354" w:type="dxa"/>
            <w:tcBorders>
              <w:top w:val="single" w:sz="8" w:space="0" w:color="000000"/>
              <w:left w:val="nil"/>
              <w:bottom w:val="nil"/>
              <w:right w:val="nil"/>
            </w:tcBorders>
            <w:shd w:val="clear" w:color="auto" w:fill="auto"/>
            <w:vAlign w:val="bottom"/>
            <w:hideMark/>
          </w:tcPr>
          <w:p w:rsidR="003E6588" w:rsidRDefault="003E6588">
            <w:pPr>
              <w:rPr>
                <w:color w:val="000000"/>
                <w:sz w:val="20"/>
                <w:szCs w:val="20"/>
              </w:rPr>
            </w:pPr>
            <w:r>
              <w:rPr>
                <w:color w:val="000000"/>
                <w:sz w:val="20"/>
                <w:szCs w:val="20"/>
              </w:rPr>
              <w:t>1.200.000</w:t>
            </w:r>
          </w:p>
        </w:tc>
      </w:tr>
      <w:tr w:rsidR="003E6588">
        <w:trPr>
          <w:trHeight w:val="227"/>
          <w:jc w:val="center"/>
        </w:trPr>
        <w:tc>
          <w:tcPr>
            <w:tcW w:w="2585"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Mudas (unidade)</w:t>
            </w:r>
          </w:p>
        </w:tc>
        <w:tc>
          <w:tcPr>
            <w:tcW w:w="1354" w:type="dxa"/>
            <w:tcBorders>
              <w:top w:val="nil"/>
              <w:left w:val="nil"/>
              <w:bottom w:val="nil"/>
              <w:right w:val="nil"/>
            </w:tcBorders>
            <w:shd w:val="clear" w:color="auto" w:fill="auto"/>
            <w:vAlign w:val="bottom"/>
            <w:hideMark/>
          </w:tcPr>
          <w:p w:rsidR="003E6588" w:rsidRDefault="003E6588">
            <w:pPr>
              <w:rPr>
                <w:color w:val="000000"/>
                <w:sz w:val="20"/>
                <w:szCs w:val="20"/>
              </w:rPr>
            </w:pPr>
            <w:r>
              <w:rPr>
                <w:color w:val="000000"/>
                <w:sz w:val="20"/>
                <w:szCs w:val="20"/>
              </w:rPr>
              <w:t>1.100.000</w:t>
            </w:r>
          </w:p>
        </w:tc>
      </w:tr>
      <w:tr w:rsidR="003E6588">
        <w:trPr>
          <w:trHeight w:val="227"/>
          <w:jc w:val="center"/>
        </w:trPr>
        <w:tc>
          <w:tcPr>
            <w:tcW w:w="2585"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Análises sementes</w:t>
            </w:r>
          </w:p>
        </w:tc>
        <w:tc>
          <w:tcPr>
            <w:tcW w:w="1354" w:type="dxa"/>
            <w:tcBorders>
              <w:top w:val="nil"/>
              <w:left w:val="nil"/>
              <w:bottom w:val="nil"/>
              <w:right w:val="nil"/>
            </w:tcBorders>
            <w:shd w:val="clear" w:color="auto" w:fill="auto"/>
            <w:vAlign w:val="bottom"/>
            <w:hideMark/>
          </w:tcPr>
          <w:p w:rsidR="003E6588" w:rsidRDefault="003E6588">
            <w:pPr>
              <w:rPr>
                <w:color w:val="000000"/>
                <w:sz w:val="20"/>
                <w:szCs w:val="20"/>
              </w:rPr>
            </w:pPr>
            <w:r>
              <w:rPr>
                <w:color w:val="000000"/>
                <w:sz w:val="20"/>
                <w:szCs w:val="20"/>
              </w:rPr>
              <w:t>13.560</w:t>
            </w:r>
          </w:p>
        </w:tc>
      </w:tr>
      <w:tr w:rsidR="003E6588" w:rsidTr="007B6398">
        <w:trPr>
          <w:trHeight w:val="227"/>
          <w:jc w:val="center"/>
        </w:trPr>
        <w:tc>
          <w:tcPr>
            <w:tcW w:w="2585" w:type="dxa"/>
            <w:tcBorders>
              <w:top w:val="nil"/>
              <w:left w:val="nil"/>
              <w:right w:val="nil"/>
            </w:tcBorders>
            <w:shd w:val="clear" w:color="auto" w:fill="auto"/>
            <w:vAlign w:val="bottom"/>
            <w:hideMark/>
          </w:tcPr>
          <w:p w:rsidR="003E6588" w:rsidRDefault="003E6588">
            <w:pPr>
              <w:jc w:val="both"/>
              <w:rPr>
                <w:color w:val="000000"/>
                <w:sz w:val="20"/>
                <w:szCs w:val="20"/>
              </w:rPr>
            </w:pPr>
            <w:r>
              <w:rPr>
                <w:color w:val="000000"/>
                <w:sz w:val="20"/>
                <w:szCs w:val="20"/>
              </w:rPr>
              <w:t>Auditorias (horas)</w:t>
            </w:r>
          </w:p>
        </w:tc>
        <w:tc>
          <w:tcPr>
            <w:tcW w:w="1354" w:type="dxa"/>
            <w:tcBorders>
              <w:top w:val="nil"/>
              <w:left w:val="nil"/>
              <w:right w:val="nil"/>
            </w:tcBorders>
            <w:shd w:val="clear" w:color="auto" w:fill="auto"/>
            <w:vAlign w:val="bottom"/>
            <w:hideMark/>
          </w:tcPr>
          <w:p w:rsidR="003E6588" w:rsidRDefault="003E6588">
            <w:pPr>
              <w:rPr>
                <w:color w:val="000000"/>
                <w:sz w:val="20"/>
                <w:szCs w:val="20"/>
              </w:rPr>
            </w:pPr>
            <w:r>
              <w:rPr>
                <w:color w:val="000000"/>
                <w:sz w:val="20"/>
                <w:szCs w:val="20"/>
              </w:rPr>
              <w:t>488</w:t>
            </w:r>
          </w:p>
        </w:tc>
      </w:tr>
      <w:tr w:rsidR="003E6588" w:rsidTr="007B6398">
        <w:trPr>
          <w:trHeight w:val="227"/>
          <w:jc w:val="center"/>
        </w:trPr>
        <w:tc>
          <w:tcPr>
            <w:tcW w:w="2585" w:type="dxa"/>
            <w:tcBorders>
              <w:left w:val="nil"/>
              <w:bottom w:val="single" w:sz="8" w:space="0" w:color="000000"/>
              <w:right w:val="nil"/>
            </w:tcBorders>
            <w:shd w:val="clear" w:color="auto" w:fill="auto"/>
            <w:vAlign w:val="bottom"/>
            <w:hideMark/>
          </w:tcPr>
          <w:p w:rsidR="003E6588" w:rsidRDefault="003E6588">
            <w:pPr>
              <w:jc w:val="both"/>
              <w:rPr>
                <w:color w:val="000000"/>
                <w:sz w:val="20"/>
                <w:szCs w:val="20"/>
              </w:rPr>
            </w:pPr>
            <w:r>
              <w:rPr>
                <w:color w:val="000000"/>
                <w:sz w:val="20"/>
                <w:szCs w:val="20"/>
              </w:rPr>
              <w:t xml:space="preserve">Capacitação (horas) </w:t>
            </w:r>
          </w:p>
        </w:tc>
        <w:tc>
          <w:tcPr>
            <w:tcW w:w="1354" w:type="dxa"/>
            <w:tcBorders>
              <w:left w:val="nil"/>
              <w:bottom w:val="single" w:sz="8" w:space="0" w:color="000000"/>
              <w:right w:val="nil"/>
            </w:tcBorders>
            <w:shd w:val="clear" w:color="auto" w:fill="auto"/>
            <w:vAlign w:val="bottom"/>
            <w:hideMark/>
          </w:tcPr>
          <w:p w:rsidR="003E6588" w:rsidRDefault="003E6588">
            <w:pPr>
              <w:rPr>
                <w:color w:val="000000"/>
                <w:sz w:val="20"/>
                <w:szCs w:val="20"/>
              </w:rPr>
            </w:pPr>
            <w:r>
              <w:rPr>
                <w:color w:val="000000"/>
                <w:sz w:val="20"/>
                <w:szCs w:val="20"/>
              </w:rPr>
              <w:t>1.480</w:t>
            </w:r>
          </w:p>
        </w:tc>
      </w:tr>
    </w:tbl>
    <w:p w:rsidR="003E6588" w:rsidRDefault="009C76A4">
      <w:pPr>
        <w:pStyle w:val="t-Titulo1"/>
        <w:spacing w:before="0" w:after="0"/>
        <w:ind w:left="2835"/>
        <w:jc w:val="both"/>
        <w:rPr>
          <w:rFonts w:ascii="Times New Roman" w:eastAsia="Calibri" w:hAnsi="Times New Roman"/>
          <w:b w:val="0"/>
          <w:noProof w:val="0"/>
          <w:sz w:val="16"/>
          <w:szCs w:val="16"/>
        </w:rPr>
      </w:pPr>
      <w:r>
        <w:rPr>
          <w:rFonts w:ascii="Times New Roman" w:eastAsia="Calibri" w:hAnsi="Times New Roman"/>
          <w:b w:val="0"/>
          <w:noProof w:val="0"/>
          <w:sz w:val="16"/>
          <w:szCs w:val="16"/>
        </w:rPr>
        <w:t xml:space="preserve">      Fonte</w:t>
      </w:r>
      <w:r w:rsidR="003E6588">
        <w:rPr>
          <w:rFonts w:ascii="Times New Roman" w:eastAsia="Calibri" w:hAnsi="Times New Roman"/>
          <w:b w:val="0"/>
          <w:noProof w:val="0"/>
          <w:sz w:val="16"/>
          <w:szCs w:val="16"/>
        </w:rPr>
        <w:t>: DSMM/CATI/SAA</w:t>
      </w:r>
    </w:p>
    <w:p w:rsidR="003E6588" w:rsidRDefault="003E6588">
      <w:pPr>
        <w:ind w:right="-29" w:firstLine="708"/>
        <w:jc w:val="both"/>
      </w:pPr>
    </w:p>
    <w:p w:rsidR="003E6588" w:rsidRDefault="003E6588">
      <w:pPr>
        <w:ind w:right="-29" w:firstLine="1134"/>
        <w:jc w:val="both"/>
      </w:pPr>
      <w:r w:rsidRPr="009C76A4">
        <w:lastRenderedPageBreak/>
        <w:t>Foram disponibilizados</w:t>
      </w:r>
      <w:r>
        <w:t xml:space="preserve"> a todos os 645 municípios paulistas sementes e mudas de qualidade</w:t>
      </w:r>
      <w:r w:rsidR="009C76A4">
        <w:t>,</w:t>
      </w:r>
      <w:r>
        <w:t xml:space="preserve"> beneficiando 12 mil produtores rurais, principalmente os pequenos e médios produtores.</w:t>
      </w:r>
    </w:p>
    <w:p w:rsidR="007B6398" w:rsidRDefault="007B6398">
      <w:pPr>
        <w:ind w:right="-29" w:firstLine="1134"/>
        <w:jc w:val="both"/>
      </w:pPr>
    </w:p>
    <w:p w:rsidR="003E6588" w:rsidRPr="009C76A4" w:rsidRDefault="003E6588">
      <w:pPr>
        <w:ind w:right="-29" w:firstLine="1134"/>
        <w:jc w:val="both"/>
      </w:pPr>
      <w:r w:rsidRPr="009C76A4">
        <w:t>O Departamento de Sementes, Mudas e Matrizes realizou 13.500 atendimentos nos Núcleos de Produção de Sementes e Mudas, evidenciando a importância da CATI para a ATER - Assistência Técnica e Extensão Rural.</w:t>
      </w:r>
    </w:p>
    <w:p w:rsidR="003E6588" w:rsidRPr="009C76A4" w:rsidRDefault="003E6588">
      <w:pPr>
        <w:ind w:right="-29" w:firstLine="1134"/>
        <w:jc w:val="both"/>
      </w:pPr>
    </w:p>
    <w:p w:rsidR="003E6588" w:rsidRPr="009C76A4" w:rsidRDefault="003E6588">
      <w:pPr>
        <w:ind w:right="-29" w:firstLine="1134"/>
        <w:jc w:val="both"/>
      </w:pPr>
      <w:r w:rsidRPr="009C76A4">
        <w:t>A rede de laboratórios de análise de sementes da CATI realizou 13.560 análises em 3.390 amostras de sementes, emitindo 1.687 boletins oficiais de resultados, indispensáveis para a comercialização das sementes importadas. Foram realizadas 1.480 horas de treinamento</w:t>
      </w:r>
      <w:r w:rsidR="009C76A4" w:rsidRPr="009C76A4">
        <w:t xml:space="preserve"> </w:t>
      </w:r>
      <w:r w:rsidRPr="009C76A4">
        <w:t>em análise de sementes de 22 espécies para responsáveis técnicos e analistas de laboratórios de empresas de sementes. Foram realizadas 488 horas de auditorias em 12 laboratórios para fins de credenciamento pelo Ministério de Agricultura, Pecuária e Abastecimento.</w:t>
      </w:r>
    </w:p>
    <w:p w:rsidR="003E6588" w:rsidRPr="009C76A4" w:rsidRDefault="003E6588">
      <w:pPr>
        <w:ind w:right="-29" w:firstLine="1134"/>
        <w:jc w:val="both"/>
      </w:pPr>
    </w:p>
    <w:p w:rsidR="003E6588" w:rsidRDefault="003E6588">
      <w:pPr>
        <w:ind w:firstLine="1134"/>
        <w:jc w:val="both"/>
        <w:rPr>
          <w:b/>
        </w:rPr>
      </w:pPr>
      <w:r>
        <w:rPr>
          <w:b/>
        </w:rPr>
        <w:t>Assistência Técnica e Extensão Rural para Agricultura Sustentável - ATERAS</w:t>
      </w:r>
    </w:p>
    <w:p w:rsidR="003E6588" w:rsidRDefault="003E6588">
      <w:pPr>
        <w:ind w:firstLine="1134"/>
        <w:jc w:val="both"/>
      </w:pPr>
    </w:p>
    <w:p w:rsidR="003E6588" w:rsidRDefault="003E6588">
      <w:pPr>
        <w:ind w:firstLine="1134"/>
        <w:jc w:val="both"/>
      </w:pPr>
      <w:r w:rsidRPr="009C76A4">
        <w:t xml:space="preserve">Finalidade </w:t>
      </w:r>
      <w:r>
        <w:t>- Promover aumento da competitividade econômica dos agronegócios locais e regi</w:t>
      </w:r>
      <w:r w:rsidR="009C76A4">
        <w:t xml:space="preserve">onais, com </w:t>
      </w:r>
      <w:r>
        <w:t>geração de emprego e renda e preservação do meio ambiente.</w:t>
      </w:r>
    </w:p>
    <w:p w:rsidR="003E6588" w:rsidRDefault="003E6588">
      <w:pPr>
        <w:ind w:firstLine="1134"/>
        <w:jc w:val="both"/>
      </w:pPr>
    </w:p>
    <w:p w:rsidR="003E6588" w:rsidRPr="009C76A4" w:rsidRDefault="003E6588">
      <w:pPr>
        <w:ind w:firstLine="1134"/>
        <w:jc w:val="both"/>
      </w:pPr>
      <w:r w:rsidRPr="009C76A4">
        <w:t>A CATI, na condição de gestora do Sistema Estadual Integrado de Agricultura e Abastecimento - SEIAA, tem como objetivos integração dos esforços dos órgãos públicos com atribuições voltadas ao desenvolvimento do setor agropecuário, à preservação ambiental e a melhoria do ab</w:t>
      </w:r>
      <w:r w:rsidR="009C76A4" w:rsidRPr="009C76A4">
        <w:t xml:space="preserve">astecimento alimentar, visando </w:t>
      </w:r>
      <w:r w:rsidRPr="009C76A4">
        <w:t>maior eficácia dos serviços</w:t>
      </w:r>
      <w:r w:rsidR="009C76A4" w:rsidRPr="009C76A4">
        <w:t>;</w:t>
      </w:r>
      <w:r w:rsidRPr="009C76A4">
        <w:t xml:space="preserve"> formulação e execução da Política Agrícola do Estado</w:t>
      </w:r>
      <w:r w:rsidR="009C76A4" w:rsidRPr="009C76A4">
        <w:t>;</w:t>
      </w:r>
      <w:r w:rsidRPr="009C76A4">
        <w:t xml:space="preserve"> maior eficiência dos serviços de assistência técnica, extensão rural, orientação aos agronegócios</w:t>
      </w:r>
      <w:r w:rsidR="009C76A4" w:rsidRPr="009C76A4">
        <w:t>;</w:t>
      </w:r>
      <w:r w:rsidRPr="009C76A4">
        <w:t xml:space="preserve"> o atendimento de forma preferencial aos imóveis que cumpram a função social da propriedade e especialmente aos mini, pequenos e médios produtores rurais</w:t>
      </w:r>
      <w:r w:rsidR="009C76A4" w:rsidRPr="009C76A4">
        <w:t>;</w:t>
      </w:r>
      <w:r w:rsidRPr="009C76A4">
        <w:t xml:space="preserve"> e apoi</w:t>
      </w:r>
      <w:r w:rsidR="009C76A4" w:rsidRPr="009C76A4">
        <w:t>o</w:t>
      </w:r>
      <w:r w:rsidRPr="009C76A4">
        <w:t xml:space="preserve"> </w:t>
      </w:r>
      <w:r w:rsidR="009C76A4" w:rsidRPr="009C76A4">
        <w:t>a</w:t>
      </w:r>
      <w:r w:rsidRPr="009C76A4">
        <w:t>o desenvolvimento do cooperativismo e do associativismo rural.</w:t>
      </w:r>
    </w:p>
    <w:p w:rsidR="003E6588" w:rsidRPr="009C76A4" w:rsidRDefault="003E6588">
      <w:pPr>
        <w:ind w:firstLine="1134"/>
        <w:jc w:val="both"/>
        <w:rPr>
          <w:strike/>
        </w:rPr>
      </w:pPr>
    </w:p>
    <w:p w:rsidR="003E6588" w:rsidRPr="009C76A4" w:rsidRDefault="003E6588">
      <w:pPr>
        <w:ind w:firstLine="1134"/>
        <w:jc w:val="both"/>
      </w:pPr>
      <w:r w:rsidRPr="009C76A4">
        <w:t>Foram firmados</w:t>
      </w:r>
      <w:r>
        <w:t xml:space="preserve"> convênios SEIAA e estabelecidas parceiras com 298 municípios, o que possibilitou envolvimento de 662 servidores municipais no desenvolvimento dos trabalhos em ações de assistência técnica e extensão rural - ATER, criando rede eficiente no atendimento aos pequenos </w:t>
      </w:r>
      <w:r w:rsidRPr="009C76A4">
        <w:t>agricultores e desenvolvimento de Projetos de Desenvolvimento Rural Sustentável.</w:t>
      </w:r>
    </w:p>
    <w:p w:rsidR="003E6588" w:rsidRPr="009C76A4" w:rsidRDefault="003E6588">
      <w:pPr>
        <w:ind w:firstLine="1134"/>
        <w:jc w:val="both"/>
        <w:rPr>
          <w:strike/>
        </w:rPr>
      </w:pPr>
    </w:p>
    <w:p w:rsidR="003E6588" w:rsidRPr="009C76A4" w:rsidRDefault="003E6588">
      <w:pPr>
        <w:ind w:firstLine="1134"/>
        <w:jc w:val="both"/>
      </w:pPr>
      <w:r w:rsidRPr="009C76A4">
        <w:t>A CATI ampliou os trabalhos de aprimoramento das cadeias produtivas, por meio de atividades voltadas</w:t>
      </w:r>
      <w:r w:rsidR="009C76A4" w:rsidRPr="009C76A4">
        <w:t xml:space="preserve"> </w:t>
      </w:r>
      <w:r w:rsidRPr="009C76A4">
        <w:t>à recuperação de áreas degradadas e ao desenvolvimento das cadeias produtivas.</w:t>
      </w:r>
    </w:p>
    <w:p w:rsidR="003E6588" w:rsidRPr="009C76A4" w:rsidRDefault="003E6588">
      <w:pPr>
        <w:jc w:val="both"/>
      </w:pPr>
    </w:p>
    <w:p w:rsidR="003E6588" w:rsidRPr="009C76A4" w:rsidRDefault="003E6588">
      <w:pPr>
        <w:ind w:firstLine="1134"/>
        <w:jc w:val="both"/>
      </w:pPr>
      <w:r w:rsidRPr="009C76A4">
        <w:t>Foram cadastradas 1.477 propostas de trabalhos em 529 municípios</w:t>
      </w:r>
      <w:r w:rsidR="009C76A4" w:rsidRPr="009C76A4">
        <w:t>,</w:t>
      </w:r>
      <w:r w:rsidRPr="009C76A4">
        <w:t xml:space="preserve"> distribuídos nas cadeias de Aquicultura (59), Bovinocultura de Corte (115), Bovinocultura de Leite (297), Cafeicultura (71), Fruticultura (162), Heveicultura (83), Olericultura (278) e demanda (412) destinada a atender as atividades dos projetos não cadastrados na Casa da Agricultura.</w:t>
      </w:r>
    </w:p>
    <w:p w:rsidR="003E6588" w:rsidRPr="009C76A4" w:rsidRDefault="003E6588">
      <w:pPr>
        <w:ind w:firstLine="1134"/>
        <w:jc w:val="both"/>
      </w:pPr>
    </w:p>
    <w:p w:rsidR="003E6588" w:rsidRDefault="003E6588">
      <w:pPr>
        <w:ind w:firstLine="1134"/>
        <w:jc w:val="both"/>
      </w:pPr>
      <w:r w:rsidRPr="009C76A4">
        <w:t xml:space="preserve">Os trabalhos com as cadeias produtivas são direcionados </w:t>
      </w:r>
      <w:r w:rsidR="009C76A4" w:rsidRPr="009C76A4">
        <w:t>à</w:t>
      </w:r>
      <w:r w:rsidRPr="009C76A4">
        <w:t xml:space="preserve"> adoção das Boas Práticas Agropecuárias - BPAs, cujo objetivo é melhorar continuamente as condições sociais, ambientais, </w:t>
      </w:r>
      <w:r w:rsidRPr="009C76A4">
        <w:lastRenderedPageBreak/>
        <w:t>econômicas e produtivas das pessoas que tem seu sustento na atividade agropecuária, de fomentar a sustentabilidade nas cadeias produtivas e ampliar a quantidade de produtos que reúnem os critérios básicos da sustentabilidade.</w:t>
      </w:r>
    </w:p>
    <w:p w:rsidR="007B6398" w:rsidRPr="009C76A4" w:rsidRDefault="007B6398">
      <w:pPr>
        <w:ind w:firstLine="1134"/>
        <w:jc w:val="both"/>
      </w:pPr>
    </w:p>
    <w:p w:rsidR="003E6588" w:rsidRDefault="003E6588">
      <w:pPr>
        <w:ind w:firstLine="1134"/>
        <w:jc w:val="both"/>
      </w:pPr>
      <w:r>
        <w:t>As principais atividades desenvolvidas dentro de cada cadeia produtiva, de acordo com informação do sistema de gestão dos projetos</w:t>
      </w:r>
      <w:r w:rsidR="009C76A4">
        <w:t>,</w:t>
      </w:r>
      <w:r>
        <w:t xml:space="preserve"> são apresentadas</w:t>
      </w:r>
      <w:r>
        <w:rPr>
          <w:b/>
        </w:rPr>
        <w:t>.</w:t>
      </w:r>
    </w:p>
    <w:p w:rsidR="003E6588" w:rsidRPr="000B028A" w:rsidRDefault="003E6588">
      <w:pPr>
        <w:ind w:firstLine="1134"/>
        <w:jc w:val="both"/>
      </w:pPr>
    </w:p>
    <w:p w:rsidR="003E6588" w:rsidRDefault="003E6588">
      <w:pPr>
        <w:ind w:firstLine="1134"/>
        <w:jc w:val="both"/>
        <w:rPr>
          <w:b/>
        </w:rPr>
      </w:pPr>
      <w:r>
        <w:rPr>
          <w:b/>
        </w:rPr>
        <w:t>Atividades desenvolvidas nos "Projetos Institucionais" com recursos da ATERAS</w:t>
      </w:r>
    </w:p>
    <w:p w:rsidR="003E6588" w:rsidRPr="000B028A" w:rsidRDefault="003E6588">
      <w:pPr>
        <w:jc w:val="both"/>
        <w:rPr>
          <w:b/>
        </w:rPr>
      </w:pPr>
    </w:p>
    <w:tbl>
      <w:tblPr>
        <w:tblW w:w="9334" w:type="dxa"/>
        <w:jc w:val="center"/>
        <w:tblInd w:w="60" w:type="dxa"/>
        <w:tblCellMar>
          <w:left w:w="70" w:type="dxa"/>
          <w:right w:w="70" w:type="dxa"/>
        </w:tblCellMar>
        <w:tblLook w:val="04A0"/>
      </w:tblPr>
      <w:tblGrid>
        <w:gridCol w:w="3083"/>
        <w:gridCol w:w="1985"/>
        <w:gridCol w:w="1701"/>
        <w:gridCol w:w="1605"/>
        <w:gridCol w:w="960"/>
      </w:tblGrid>
      <w:tr w:rsidR="003E6588" w:rsidTr="007B6398">
        <w:trPr>
          <w:trHeight w:val="20"/>
          <w:jc w:val="center"/>
        </w:trPr>
        <w:tc>
          <w:tcPr>
            <w:tcW w:w="3083" w:type="dxa"/>
            <w:tcBorders>
              <w:top w:val="single" w:sz="8" w:space="0" w:color="auto"/>
              <w:bottom w:val="single" w:sz="8" w:space="0" w:color="auto"/>
            </w:tcBorders>
            <w:shd w:val="clear" w:color="auto" w:fill="auto"/>
            <w:vAlign w:val="center"/>
            <w:hideMark/>
          </w:tcPr>
          <w:p w:rsidR="003E6588" w:rsidRDefault="003E6588">
            <w:pPr>
              <w:rPr>
                <w:b/>
                <w:bCs/>
                <w:color w:val="000000"/>
                <w:sz w:val="20"/>
                <w:szCs w:val="20"/>
              </w:rPr>
            </w:pPr>
            <w:r>
              <w:rPr>
                <w:b/>
                <w:bCs/>
                <w:color w:val="000000"/>
                <w:sz w:val="20"/>
                <w:szCs w:val="20"/>
              </w:rPr>
              <w:t>PROJETO</w:t>
            </w:r>
          </w:p>
        </w:tc>
        <w:tc>
          <w:tcPr>
            <w:tcW w:w="1985" w:type="dxa"/>
            <w:tcBorders>
              <w:top w:val="single" w:sz="8" w:space="0" w:color="auto"/>
              <w:bottom w:val="single" w:sz="8" w:space="0" w:color="auto"/>
            </w:tcBorders>
            <w:shd w:val="clear" w:color="auto" w:fill="auto"/>
            <w:vAlign w:val="center"/>
            <w:hideMark/>
          </w:tcPr>
          <w:p w:rsidR="003E6588" w:rsidRDefault="003E6588">
            <w:pPr>
              <w:rPr>
                <w:b/>
                <w:bCs/>
                <w:color w:val="000000"/>
                <w:sz w:val="20"/>
                <w:szCs w:val="20"/>
              </w:rPr>
            </w:pPr>
            <w:r>
              <w:rPr>
                <w:b/>
                <w:bCs/>
                <w:color w:val="000000"/>
                <w:sz w:val="20"/>
                <w:szCs w:val="20"/>
              </w:rPr>
              <w:t>Acompanhamento Regional</w:t>
            </w:r>
            <w:r>
              <w:rPr>
                <w:b/>
                <w:bCs/>
                <w:color w:val="000000"/>
                <w:sz w:val="20"/>
                <w:szCs w:val="20"/>
                <w:vertAlign w:val="superscript"/>
              </w:rPr>
              <w:t>1</w:t>
            </w:r>
          </w:p>
        </w:tc>
        <w:tc>
          <w:tcPr>
            <w:tcW w:w="1701" w:type="dxa"/>
            <w:tcBorders>
              <w:top w:val="single" w:sz="8" w:space="0" w:color="auto"/>
              <w:bottom w:val="single" w:sz="8" w:space="0" w:color="auto"/>
            </w:tcBorders>
            <w:shd w:val="clear" w:color="auto" w:fill="auto"/>
            <w:vAlign w:val="center"/>
            <w:hideMark/>
          </w:tcPr>
          <w:p w:rsidR="003E6588" w:rsidRDefault="003E6588" w:rsidP="000B028A">
            <w:pPr>
              <w:ind w:left="213"/>
              <w:rPr>
                <w:b/>
                <w:bCs/>
                <w:color w:val="000000"/>
                <w:sz w:val="20"/>
                <w:szCs w:val="20"/>
              </w:rPr>
            </w:pPr>
            <w:r>
              <w:rPr>
                <w:b/>
                <w:bCs/>
                <w:color w:val="000000"/>
                <w:sz w:val="20"/>
                <w:szCs w:val="20"/>
              </w:rPr>
              <w:t>Capacitações</w:t>
            </w:r>
            <w:r>
              <w:rPr>
                <w:b/>
                <w:bCs/>
                <w:color w:val="000000"/>
                <w:sz w:val="20"/>
                <w:szCs w:val="20"/>
                <w:vertAlign w:val="superscript"/>
              </w:rPr>
              <w:t>2</w:t>
            </w:r>
          </w:p>
        </w:tc>
        <w:tc>
          <w:tcPr>
            <w:tcW w:w="1605" w:type="dxa"/>
            <w:tcBorders>
              <w:top w:val="single" w:sz="8" w:space="0" w:color="auto"/>
              <w:bottom w:val="single" w:sz="8" w:space="0" w:color="auto"/>
            </w:tcBorders>
            <w:shd w:val="clear" w:color="auto" w:fill="auto"/>
            <w:vAlign w:val="center"/>
            <w:hideMark/>
          </w:tcPr>
          <w:p w:rsidR="003E6588" w:rsidRDefault="003E6588">
            <w:pPr>
              <w:rPr>
                <w:b/>
                <w:bCs/>
                <w:color w:val="000000"/>
                <w:sz w:val="20"/>
                <w:szCs w:val="20"/>
              </w:rPr>
            </w:pPr>
            <w:r>
              <w:rPr>
                <w:b/>
                <w:bCs/>
                <w:color w:val="000000"/>
                <w:sz w:val="20"/>
                <w:szCs w:val="20"/>
              </w:rPr>
              <w:t>Levantamento</w:t>
            </w:r>
            <w:r>
              <w:rPr>
                <w:b/>
                <w:bCs/>
                <w:color w:val="000000"/>
                <w:sz w:val="20"/>
                <w:szCs w:val="20"/>
                <w:vertAlign w:val="superscript"/>
              </w:rPr>
              <w:t>3</w:t>
            </w:r>
          </w:p>
        </w:tc>
        <w:tc>
          <w:tcPr>
            <w:tcW w:w="960" w:type="dxa"/>
            <w:tcBorders>
              <w:top w:val="single" w:sz="8" w:space="0" w:color="auto"/>
              <w:bottom w:val="single" w:sz="8" w:space="0" w:color="auto"/>
            </w:tcBorders>
            <w:shd w:val="clear" w:color="auto" w:fill="auto"/>
            <w:vAlign w:val="center"/>
            <w:hideMark/>
          </w:tcPr>
          <w:p w:rsidR="003E6588" w:rsidRDefault="003E6588">
            <w:pPr>
              <w:rPr>
                <w:b/>
                <w:bCs/>
                <w:color w:val="000000"/>
                <w:sz w:val="20"/>
                <w:szCs w:val="20"/>
              </w:rPr>
            </w:pPr>
            <w:r>
              <w:rPr>
                <w:b/>
                <w:bCs/>
                <w:color w:val="000000"/>
                <w:sz w:val="20"/>
                <w:szCs w:val="20"/>
              </w:rPr>
              <w:t>Visita</w:t>
            </w:r>
          </w:p>
        </w:tc>
      </w:tr>
      <w:tr w:rsidR="003E6588" w:rsidTr="007B6398">
        <w:trPr>
          <w:trHeight w:val="20"/>
          <w:jc w:val="center"/>
        </w:trPr>
        <w:tc>
          <w:tcPr>
            <w:tcW w:w="3083" w:type="dxa"/>
            <w:tcBorders>
              <w:top w:val="single" w:sz="8" w:space="0" w:color="auto"/>
            </w:tcBorders>
            <w:shd w:val="clear" w:color="auto" w:fill="auto"/>
            <w:noWrap/>
            <w:vAlign w:val="bottom"/>
            <w:hideMark/>
          </w:tcPr>
          <w:p w:rsidR="003E6588" w:rsidRDefault="003E6588">
            <w:pPr>
              <w:jc w:val="both"/>
              <w:rPr>
                <w:color w:val="000000"/>
                <w:sz w:val="20"/>
                <w:szCs w:val="20"/>
              </w:rPr>
            </w:pPr>
            <w:r>
              <w:rPr>
                <w:color w:val="000000"/>
                <w:sz w:val="20"/>
                <w:szCs w:val="20"/>
              </w:rPr>
              <w:t>Demanda</w:t>
            </w:r>
            <w:r>
              <w:rPr>
                <w:color w:val="000000"/>
                <w:sz w:val="20"/>
                <w:szCs w:val="20"/>
                <w:vertAlign w:val="superscript"/>
              </w:rPr>
              <w:t>4</w:t>
            </w:r>
          </w:p>
        </w:tc>
        <w:tc>
          <w:tcPr>
            <w:tcW w:w="1985" w:type="dxa"/>
            <w:tcBorders>
              <w:top w:val="single" w:sz="8" w:space="0" w:color="auto"/>
            </w:tcBorders>
            <w:shd w:val="clear" w:color="auto" w:fill="auto"/>
            <w:noWrap/>
            <w:vAlign w:val="bottom"/>
            <w:hideMark/>
          </w:tcPr>
          <w:p w:rsidR="003E6588" w:rsidRDefault="003E6588">
            <w:pPr>
              <w:ind w:right="-70"/>
              <w:rPr>
                <w:color w:val="000000"/>
                <w:sz w:val="20"/>
                <w:szCs w:val="20"/>
              </w:rPr>
            </w:pPr>
            <w:r>
              <w:rPr>
                <w:color w:val="000000"/>
                <w:sz w:val="20"/>
                <w:szCs w:val="20"/>
              </w:rPr>
              <w:t>1.309</w:t>
            </w:r>
          </w:p>
        </w:tc>
        <w:tc>
          <w:tcPr>
            <w:tcW w:w="1701" w:type="dxa"/>
            <w:tcBorders>
              <w:top w:val="single" w:sz="8" w:space="0" w:color="auto"/>
            </w:tcBorders>
            <w:shd w:val="clear" w:color="auto" w:fill="auto"/>
            <w:noWrap/>
            <w:vAlign w:val="bottom"/>
            <w:hideMark/>
          </w:tcPr>
          <w:p w:rsidR="003E6588" w:rsidRDefault="003E6588">
            <w:pPr>
              <w:ind w:right="-70"/>
              <w:rPr>
                <w:color w:val="000000"/>
                <w:sz w:val="20"/>
                <w:szCs w:val="20"/>
              </w:rPr>
            </w:pPr>
            <w:r>
              <w:rPr>
                <w:color w:val="000000"/>
                <w:sz w:val="20"/>
                <w:szCs w:val="20"/>
              </w:rPr>
              <w:t>164</w:t>
            </w:r>
          </w:p>
        </w:tc>
        <w:tc>
          <w:tcPr>
            <w:tcW w:w="1605" w:type="dxa"/>
            <w:tcBorders>
              <w:top w:val="single" w:sz="8" w:space="0" w:color="auto"/>
            </w:tcBorders>
            <w:shd w:val="clear" w:color="auto" w:fill="auto"/>
            <w:noWrap/>
            <w:vAlign w:val="bottom"/>
            <w:hideMark/>
          </w:tcPr>
          <w:p w:rsidR="003E6588" w:rsidRDefault="003E6588">
            <w:pPr>
              <w:ind w:right="-70"/>
              <w:rPr>
                <w:color w:val="000000"/>
                <w:sz w:val="20"/>
                <w:szCs w:val="20"/>
              </w:rPr>
            </w:pPr>
            <w:r>
              <w:rPr>
                <w:color w:val="000000"/>
                <w:sz w:val="20"/>
                <w:szCs w:val="20"/>
              </w:rPr>
              <w:t>1.232</w:t>
            </w:r>
          </w:p>
        </w:tc>
        <w:tc>
          <w:tcPr>
            <w:tcW w:w="960" w:type="dxa"/>
            <w:tcBorders>
              <w:top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983</w:t>
            </w:r>
          </w:p>
        </w:tc>
      </w:tr>
      <w:tr w:rsidR="003E6588">
        <w:trPr>
          <w:trHeight w:val="20"/>
          <w:jc w:val="center"/>
        </w:trPr>
        <w:tc>
          <w:tcPr>
            <w:tcW w:w="3083" w:type="dxa"/>
            <w:shd w:val="clear" w:color="auto" w:fill="auto"/>
            <w:noWrap/>
            <w:vAlign w:val="bottom"/>
            <w:hideMark/>
          </w:tcPr>
          <w:p w:rsidR="003E6588" w:rsidRDefault="003E6588">
            <w:pPr>
              <w:jc w:val="both"/>
              <w:rPr>
                <w:color w:val="000000"/>
                <w:sz w:val="20"/>
                <w:szCs w:val="20"/>
              </w:rPr>
            </w:pPr>
            <w:r>
              <w:rPr>
                <w:color w:val="000000"/>
                <w:sz w:val="20"/>
                <w:szCs w:val="20"/>
              </w:rPr>
              <w:t>Aquicultura</w:t>
            </w:r>
          </w:p>
        </w:tc>
        <w:tc>
          <w:tcPr>
            <w:tcW w:w="1985" w:type="dxa"/>
            <w:shd w:val="clear" w:color="auto" w:fill="auto"/>
            <w:noWrap/>
            <w:vAlign w:val="bottom"/>
            <w:hideMark/>
          </w:tcPr>
          <w:p w:rsidR="003E6588" w:rsidRDefault="003E6588">
            <w:pPr>
              <w:ind w:right="-70"/>
              <w:rPr>
                <w:color w:val="000000"/>
                <w:sz w:val="20"/>
                <w:szCs w:val="20"/>
              </w:rPr>
            </w:pPr>
            <w:r>
              <w:rPr>
                <w:color w:val="000000"/>
                <w:sz w:val="20"/>
                <w:szCs w:val="20"/>
              </w:rPr>
              <w:t>46</w:t>
            </w:r>
          </w:p>
        </w:tc>
        <w:tc>
          <w:tcPr>
            <w:tcW w:w="1701" w:type="dxa"/>
            <w:shd w:val="clear" w:color="auto" w:fill="auto"/>
            <w:noWrap/>
            <w:vAlign w:val="bottom"/>
            <w:hideMark/>
          </w:tcPr>
          <w:p w:rsidR="003E6588" w:rsidRDefault="003E6588">
            <w:pPr>
              <w:ind w:right="-70"/>
              <w:rPr>
                <w:color w:val="000000"/>
                <w:sz w:val="20"/>
                <w:szCs w:val="20"/>
              </w:rPr>
            </w:pPr>
            <w:r>
              <w:rPr>
                <w:color w:val="000000"/>
                <w:sz w:val="20"/>
                <w:szCs w:val="20"/>
              </w:rPr>
              <w:t>51</w:t>
            </w:r>
          </w:p>
        </w:tc>
        <w:tc>
          <w:tcPr>
            <w:tcW w:w="1605" w:type="dxa"/>
            <w:shd w:val="clear" w:color="auto" w:fill="auto"/>
            <w:noWrap/>
            <w:vAlign w:val="bottom"/>
            <w:hideMark/>
          </w:tcPr>
          <w:p w:rsidR="003E6588" w:rsidRDefault="003E6588">
            <w:pPr>
              <w:ind w:right="-70"/>
              <w:rPr>
                <w:color w:val="000000"/>
                <w:sz w:val="20"/>
                <w:szCs w:val="20"/>
              </w:rPr>
            </w:pPr>
            <w:r>
              <w:rPr>
                <w:color w:val="000000"/>
                <w:sz w:val="20"/>
                <w:szCs w:val="20"/>
              </w:rPr>
              <w:t>31</w:t>
            </w:r>
          </w:p>
        </w:tc>
        <w:tc>
          <w:tcPr>
            <w:tcW w:w="960" w:type="dxa"/>
            <w:shd w:val="clear" w:color="auto" w:fill="auto"/>
            <w:noWrap/>
            <w:vAlign w:val="bottom"/>
            <w:hideMark/>
          </w:tcPr>
          <w:p w:rsidR="003E6588" w:rsidRDefault="003E6588">
            <w:pPr>
              <w:rPr>
                <w:color w:val="000000"/>
                <w:sz w:val="20"/>
                <w:szCs w:val="20"/>
              </w:rPr>
            </w:pPr>
            <w:r>
              <w:rPr>
                <w:color w:val="000000"/>
                <w:sz w:val="20"/>
                <w:szCs w:val="20"/>
              </w:rPr>
              <w:t>115</w:t>
            </w:r>
          </w:p>
        </w:tc>
      </w:tr>
      <w:tr w:rsidR="003E6588">
        <w:trPr>
          <w:trHeight w:val="20"/>
          <w:jc w:val="center"/>
        </w:trPr>
        <w:tc>
          <w:tcPr>
            <w:tcW w:w="3083" w:type="dxa"/>
            <w:shd w:val="clear" w:color="auto" w:fill="auto"/>
            <w:noWrap/>
            <w:vAlign w:val="bottom"/>
            <w:hideMark/>
          </w:tcPr>
          <w:p w:rsidR="003E6588" w:rsidRDefault="003E6588">
            <w:pPr>
              <w:jc w:val="both"/>
              <w:rPr>
                <w:color w:val="000000"/>
                <w:sz w:val="20"/>
                <w:szCs w:val="20"/>
              </w:rPr>
            </w:pPr>
            <w:r>
              <w:rPr>
                <w:color w:val="000000"/>
                <w:sz w:val="20"/>
                <w:szCs w:val="20"/>
              </w:rPr>
              <w:t>Bovinocultura de Corte</w:t>
            </w:r>
          </w:p>
        </w:tc>
        <w:tc>
          <w:tcPr>
            <w:tcW w:w="1985" w:type="dxa"/>
            <w:shd w:val="clear" w:color="auto" w:fill="auto"/>
            <w:noWrap/>
            <w:vAlign w:val="bottom"/>
            <w:hideMark/>
          </w:tcPr>
          <w:p w:rsidR="003E6588" w:rsidRDefault="003E6588">
            <w:pPr>
              <w:ind w:right="-70"/>
              <w:rPr>
                <w:color w:val="000000"/>
                <w:sz w:val="20"/>
                <w:szCs w:val="20"/>
              </w:rPr>
            </w:pPr>
            <w:r>
              <w:rPr>
                <w:color w:val="000000"/>
                <w:sz w:val="20"/>
                <w:szCs w:val="20"/>
              </w:rPr>
              <w:t>57</w:t>
            </w:r>
          </w:p>
        </w:tc>
        <w:tc>
          <w:tcPr>
            <w:tcW w:w="1701" w:type="dxa"/>
            <w:shd w:val="clear" w:color="auto" w:fill="auto"/>
            <w:noWrap/>
            <w:vAlign w:val="bottom"/>
            <w:hideMark/>
          </w:tcPr>
          <w:p w:rsidR="003E6588" w:rsidRDefault="003E6588">
            <w:pPr>
              <w:ind w:right="-70"/>
              <w:rPr>
                <w:color w:val="000000"/>
                <w:sz w:val="20"/>
                <w:szCs w:val="20"/>
              </w:rPr>
            </w:pPr>
            <w:r>
              <w:rPr>
                <w:color w:val="000000"/>
                <w:sz w:val="20"/>
                <w:szCs w:val="20"/>
              </w:rPr>
              <w:t>68</w:t>
            </w:r>
          </w:p>
        </w:tc>
        <w:tc>
          <w:tcPr>
            <w:tcW w:w="1605" w:type="dxa"/>
            <w:shd w:val="clear" w:color="auto" w:fill="auto"/>
            <w:noWrap/>
            <w:vAlign w:val="bottom"/>
            <w:hideMark/>
          </w:tcPr>
          <w:p w:rsidR="003E6588" w:rsidRDefault="003E6588">
            <w:pPr>
              <w:ind w:right="-70"/>
              <w:rPr>
                <w:color w:val="000000"/>
                <w:sz w:val="20"/>
                <w:szCs w:val="20"/>
              </w:rPr>
            </w:pPr>
            <w:r>
              <w:rPr>
                <w:color w:val="000000"/>
                <w:sz w:val="20"/>
                <w:szCs w:val="20"/>
              </w:rPr>
              <w:t>194</w:t>
            </w:r>
          </w:p>
        </w:tc>
        <w:tc>
          <w:tcPr>
            <w:tcW w:w="960" w:type="dxa"/>
            <w:shd w:val="clear" w:color="auto" w:fill="auto"/>
            <w:noWrap/>
            <w:vAlign w:val="bottom"/>
            <w:hideMark/>
          </w:tcPr>
          <w:p w:rsidR="003E6588" w:rsidRDefault="003E6588">
            <w:pPr>
              <w:rPr>
                <w:color w:val="000000"/>
                <w:sz w:val="20"/>
                <w:szCs w:val="20"/>
              </w:rPr>
            </w:pPr>
            <w:r>
              <w:rPr>
                <w:color w:val="000000"/>
                <w:sz w:val="20"/>
                <w:szCs w:val="20"/>
              </w:rPr>
              <w:t>325</w:t>
            </w:r>
          </w:p>
        </w:tc>
      </w:tr>
      <w:tr w:rsidR="003E6588">
        <w:trPr>
          <w:trHeight w:val="20"/>
          <w:jc w:val="center"/>
        </w:trPr>
        <w:tc>
          <w:tcPr>
            <w:tcW w:w="3083" w:type="dxa"/>
            <w:shd w:val="clear" w:color="auto" w:fill="auto"/>
            <w:noWrap/>
            <w:vAlign w:val="bottom"/>
            <w:hideMark/>
          </w:tcPr>
          <w:p w:rsidR="003E6588" w:rsidRDefault="003E6588">
            <w:pPr>
              <w:jc w:val="both"/>
              <w:rPr>
                <w:color w:val="000000"/>
                <w:sz w:val="20"/>
                <w:szCs w:val="20"/>
              </w:rPr>
            </w:pPr>
            <w:r>
              <w:rPr>
                <w:color w:val="000000"/>
                <w:sz w:val="20"/>
                <w:szCs w:val="20"/>
              </w:rPr>
              <w:t>Bovinocultura de Leite</w:t>
            </w:r>
          </w:p>
        </w:tc>
        <w:tc>
          <w:tcPr>
            <w:tcW w:w="1985" w:type="dxa"/>
            <w:shd w:val="clear" w:color="auto" w:fill="auto"/>
            <w:noWrap/>
            <w:vAlign w:val="bottom"/>
            <w:hideMark/>
          </w:tcPr>
          <w:p w:rsidR="003E6588" w:rsidRDefault="003E6588">
            <w:pPr>
              <w:ind w:right="-70"/>
              <w:rPr>
                <w:color w:val="000000"/>
                <w:sz w:val="20"/>
                <w:szCs w:val="20"/>
              </w:rPr>
            </w:pPr>
            <w:r>
              <w:rPr>
                <w:color w:val="000000"/>
                <w:sz w:val="20"/>
                <w:szCs w:val="20"/>
              </w:rPr>
              <w:t>336</w:t>
            </w:r>
          </w:p>
        </w:tc>
        <w:tc>
          <w:tcPr>
            <w:tcW w:w="1701" w:type="dxa"/>
            <w:shd w:val="clear" w:color="auto" w:fill="auto"/>
            <w:noWrap/>
            <w:vAlign w:val="bottom"/>
            <w:hideMark/>
          </w:tcPr>
          <w:p w:rsidR="003E6588" w:rsidRDefault="003E6588">
            <w:pPr>
              <w:ind w:right="-70"/>
              <w:rPr>
                <w:color w:val="000000"/>
                <w:sz w:val="20"/>
                <w:szCs w:val="20"/>
              </w:rPr>
            </w:pPr>
            <w:r>
              <w:rPr>
                <w:color w:val="000000"/>
                <w:sz w:val="20"/>
                <w:szCs w:val="20"/>
              </w:rPr>
              <w:t>168</w:t>
            </w:r>
          </w:p>
        </w:tc>
        <w:tc>
          <w:tcPr>
            <w:tcW w:w="1605" w:type="dxa"/>
            <w:shd w:val="clear" w:color="auto" w:fill="auto"/>
            <w:noWrap/>
            <w:vAlign w:val="bottom"/>
            <w:hideMark/>
          </w:tcPr>
          <w:p w:rsidR="003E6588" w:rsidRDefault="003E6588">
            <w:pPr>
              <w:ind w:right="-70"/>
              <w:rPr>
                <w:color w:val="000000"/>
                <w:sz w:val="20"/>
                <w:szCs w:val="20"/>
              </w:rPr>
            </w:pPr>
            <w:r>
              <w:rPr>
                <w:color w:val="000000"/>
                <w:sz w:val="20"/>
                <w:szCs w:val="20"/>
              </w:rPr>
              <w:t>223</w:t>
            </w:r>
          </w:p>
        </w:tc>
        <w:tc>
          <w:tcPr>
            <w:tcW w:w="960" w:type="dxa"/>
            <w:shd w:val="clear" w:color="auto" w:fill="auto"/>
            <w:noWrap/>
            <w:vAlign w:val="bottom"/>
            <w:hideMark/>
          </w:tcPr>
          <w:p w:rsidR="003E6588" w:rsidRDefault="003E6588">
            <w:pPr>
              <w:rPr>
                <w:color w:val="000000"/>
                <w:sz w:val="20"/>
                <w:szCs w:val="20"/>
              </w:rPr>
            </w:pPr>
            <w:r>
              <w:rPr>
                <w:color w:val="000000"/>
                <w:sz w:val="20"/>
                <w:szCs w:val="20"/>
              </w:rPr>
              <w:t>896</w:t>
            </w:r>
          </w:p>
        </w:tc>
      </w:tr>
      <w:tr w:rsidR="003E6588">
        <w:trPr>
          <w:trHeight w:val="20"/>
          <w:jc w:val="center"/>
        </w:trPr>
        <w:tc>
          <w:tcPr>
            <w:tcW w:w="3083" w:type="dxa"/>
            <w:shd w:val="clear" w:color="auto" w:fill="auto"/>
            <w:noWrap/>
            <w:vAlign w:val="bottom"/>
            <w:hideMark/>
          </w:tcPr>
          <w:p w:rsidR="003E6588" w:rsidRDefault="003E6588">
            <w:pPr>
              <w:jc w:val="both"/>
              <w:rPr>
                <w:color w:val="000000"/>
                <w:sz w:val="20"/>
                <w:szCs w:val="20"/>
              </w:rPr>
            </w:pPr>
            <w:r>
              <w:rPr>
                <w:color w:val="000000"/>
                <w:sz w:val="20"/>
                <w:szCs w:val="20"/>
              </w:rPr>
              <w:t>Cafeicultura</w:t>
            </w:r>
          </w:p>
        </w:tc>
        <w:tc>
          <w:tcPr>
            <w:tcW w:w="1985" w:type="dxa"/>
            <w:shd w:val="clear" w:color="auto" w:fill="auto"/>
            <w:noWrap/>
            <w:vAlign w:val="bottom"/>
            <w:hideMark/>
          </w:tcPr>
          <w:p w:rsidR="003E6588" w:rsidRDefault="003E6588">
            <w:pPr>
              <w:ind w:right="-70"/>
              <w:rPr>
                <w:color w:val="000000"/>
                <w:sz w:val="20"/>
                <w:szCs w:val="20"/>
              </w:rPr>
            </w:pPr>
            <w:r>
              <w:rPr>
                <w:color w:val="000000"/>
                <w:sz w:val="20"/>
                <w:szCs w:val="20"/>
              </w:rPr>
              <w:t>41</w:t>
            </w:r>
          </w:p>
        </w:tc>
        <w:tc>
          <w:tcPr>
            <w:tcW w:w="1701" w:type="dxa"/>
            <w:shd w:val="clear" w:color="auto" w:fill="auto"/>
            <w:noWrap/>
            <w:vAlign w:val="bottom"/>
            <w:hideMark/>
          </w:tcPr>
          <w:p w:rsidR="003E6588" w:rsidRDefault="003E6588">
            <w:pPr>
              <w:ind w:right="-70"/>
              <w:rPr>
                <w:color w:val="000000"/>
                <w:sz w:val="20"/>
                <w:szCs w:val="20"/>
              </w:rPr>
            </w:pPr>
            <w:r>
              <w:rPr>
                <w:color w:val="000000"/>
                <w:sz w:val="20"/>
                <w:szCs w:val="20"/>
              </w:rPr>
              <w:t>21</w:t>
            </w:r>
          </w:p>
        </w:tc>
        <w:tc>
          <w:tcPr>
            <w:tcW w:w="1605" w:type="dxa"/>
            <w:shd w:val="clear" w:color="auto" w:fill="auto"/>
            <w:noWrap/>
            <w:vAlign w:val="bottom"/>
            <w:hideMark/>
          </w:tcPr>
          <w:p w:rsidR="003E6588" w:rsidRDefault="003E6588">
            <w:pPr>
              <w:ind w:right="-70"/>
              <w:rPr>
                <w:color w:val="000000"/>
                <w:sz w:val="20"/>
                <w:szCs w:val="20"/>
              </w:rPr>
            </w:pPr>
            <w:r>
              <w:rPr>
                <w:color w:val="000000"/>
                <w:sz w:val="20"/>
                <w:szCs w:val="20"/>
              </w:rPr>
              <w:t>56</w:t>
            </w:r>
          </w:p>
        </w:tc>
        <w:tc>
          <w:tcPr>
            <w:tcW w:w="960" w:type="dxa"/>
            <w:shd w:val="clear" w:color="auto" w:fill="auto"/>
            <w:noWrap/>
            <w:vAlign w:val="bottom"/>
            <w:hideMark/>
          </w:tcPr>
          <w:p w:rsidR="003E6588" w:rsidRDefault="003E6588">
            <w:pPr>
              <w:rPr>
                <w:color w:val="000000"/>
                <w:sz w:val="20"/>
                <w:szCs w:val="20"/>
              </w:rPr>
            </w:pPr>
            <w:r>
              <w:rPr>
                <w:color w:val="000000"/>
                <w:sz w:val="20"/>
                <w:szCs w:val="20"/>
              </w:rPr>
              <w:t>275</w:t>
            </w:r>
          </w:p>
        </w:tc>
      </w:tr>
      <w:tr w:rsidR="003E6588">
        <w:trPr>
          <w:trHeight w:val="20"/>
          <w:jc w:val="center"/>
        </w:trPr>
        <w:tc>
          <w:tcPr>
            <w:tcW w:w="3083" w:type="dxa"/>
            <w:shd w:val="clear" w:color="auto" w:fill="auto"/>
            <w:noWrap/>
            <w:vAlign w:val="bottom"/>
            <w:hideMark/>
          </w:tcPr>
          <w:p w:rsidR="003E6588" w:rsidRDefault="003E6588">
            <w:pPr>
              <w:jc w:val="both"/>
              <w:rPr>
                <w:color w:val="000000"/>
                <w:sz w:val="20"/>
                <w:szCs w:val="20"/>
              </w:rPr>
            </w:pPr>
            <w:r>
              <w:rPr>
                <w:color w:val="000000"/>
                <w:sz w:val="20"/>
                <w:szCs w:val="20"/>
              </w:rPr>
              <w:t>Fruticultura</w:t>
            </w:r>
          </w:p>
        </w:tc>
        <w:tc>
          <w:tcPr>
            <w:tcW w:w="1985" w:type="dxa"/>
            <w:shd w:val="clear" w:color="auto" w:fill="auto"/>
            <w:noWrap/>
            <w:vAlign w:val="bottom"/>
            <w:hideMark/>
          </w:tcPr>
          <w:p w:rsidR="003E6588" w:rsidRDefault="003E6588">
            <w:pPr>
              <w:ind w:right="-70"/>
              <w:rPr>
                <w:color w:val="000000"/>
                <w:sz w:val="20"/>
                <w:szCs w:val="20"/>
              </w:rPr>
            </w:pPr>
            <w:r>
              <w:rPr>
                <w:color w:val="000000"/>
                <w:sz w:val="20"/>
                <w:szCs w:val="20"/>
              </w:rPr>
              <w:t>139</w:t>
            </w:r>
          </w:p>
        </w:tc>
        <w:tc>
          <w:tcPr>
            <w:tcW w:w="1701" w:type="dxa"/>
            <w:shd w:val="clear" w:color="auto" w:fill="auto"/>
            <w:noWrap/>
            <w:vAlign w:val="bottom"/>
            <w:hideMark/>
          </w:tcPr>
          <w:p w:rsidR="003E6588" w:rsidRDefault="003E6588">
            <w:pPr>
              <w:ind w:right="-70"/>
              <w:rPr>
                <w:color w:val="000000"/>
                <w:sz w:val="20"/>
                <w:szCs w:val="20"/>
              </w:rPr>
            </w:pPr>
            <w:r>
              <w:rPr>
                <w:color w:val="000000"/>
                <w:sz w:val="20"/>
                <w:szCs w:val="20"/>
              </w:rPr>
              <w:t>56</w:t>
            </w:r>
          </w:p>
        </w:tc>
        <w:tc>
          <w:tcPr>
            <w:tcW w:w="1605" w:type="dxa"/>
            <w:shd w:val="clear" w:color="auto" w:fill="auto"/>
            <w:noWrap/>
            <w:vAlign w:val="bottom"/>
            <w:hideMark/>
          </w:tcPr>
          <w:p w:rsidR="003E6588" w:rsidRDefault="003E6588">
            <w:pPr>
              <w:ind w:right="-70"/>
              <w:rPr>
                <w:color w:val="000000"/>
                <w:sz w:val="20"/>
                <w:szCs w:val="20"/>
              </w:rPr>
            </w:pPr>
            <w:r>
              <w:rPr>
                <w:color w:val="000000"/>
                <w:sz w:val="20"/>
                <w:szCs w:val="20"/>
              </w:rPr>
              <w:t>385</w:t>
            </w:r>
          </w:p>
        </w:tc>
        <w:tc>
          <w:tcPr>
            <w:tcW w:w="960" w:type="dxa"/>
            <w:shd w:val="clear" w:color="auto" w:fill="auto"/>
            <w:noWrap/>
            <w:vAlign w:val="bottom"/>
            <w:hideMark/>
          </w:tcPr>
          <w:p w:rsidR="003E6588" w:rsidRDefault="003E6588">
            <w:pPr>
              <w:rPr>
                <w:color w:val="000000"/>
                <w:sz w:val="20"/>
                <w:szCs w:val="20"/>
              </w:rPr>
            </w:pPr>
            <w:r>
              <w:rPr>
                <w:color w:val="000000"/>
                <w:sz w:val="20"/>
                <w:szCs w:val="20"/>
              </w:rPr>
              <w:t>318</w:t>
            </w:r>
          </w:p>
        </w:tc>
      </w:tr>
      <w:tr w:rsidR="003E6588">
        <w:trPr>
          <w:trHeight w:val="20"/>
          <w:jc w:val="center"/>
        </w:trPr>
        <w:tc>
          <w:tcPr>
            <w:tcW w:w="3083" w:type="dxa"/>
            <w:shd w:val="clear" w:color="auto" w:fill="auto"/>
            <w:noWrap/>
            <w:vAlign w:val="bottom"/>
            <w:hideMark/>
          </w:tcPr>
          <w:p w:rsidR="003E6588" w:rsidRDefault="003E6588">
            <w:pPr>
              <w:jc w:val="both"/>
              <w:rPr>
                <w:color w:val="000000"/>
                <w:sz w:val="20"/>
                <w:szCs w:val="20"/>
              </w:rPr>
            </w:pPr>
            <w:r>
              <w:rPr>
                <w:color w:val="000000"/>
                <w:sz w:val="20"/>
                <w:szCs w:val="20"/>
              </w:rPr>
              <w:t>Heveicultura</w:t>
            </w:r>
          </w:p>
        </w:tc>
        <w:tc>
          <w:tcPr>
            <w:tcW w:w="1985" w:type="dxa"/>
            <w:shd w:val="clear" w:color="auto" w:fill="auto"/>
            <w:noWrap/>
            <w:vAlign w:val="bottom"/>
            <w:hideMark/>
          </w:tcPr>
          <w:p w:rsidR="003E6588" w:rsidRDefault="003E6588">
            <w:pPr>
              <w:ind w:right="-70"/>
              <w:rPr>
                <w:color w:val="000000"/>
                <w:sz w:val="20"/>
                <w:szCs w:val="20"/>
              </w:rPr>
            </w:pPr>
            <w:r>
              <w:rPr>
                <w:color w:val="000000"/>
                <w:sz w:val="20"/>
                <w:szCs w:val="20"/>
              </w:rPr>
              <w:t>83</w:t>
            </w:r>
          </w:p>
        </w:tc>
        <w:tc>
          <w:tcPr>
            <w:tcW w:w="1701" w:type="dxa"/>
            <w:shd w:val="clear" w:color="auto" w:fill="auto"/>
            <w:noWrap/>
            <w:vAlign w:val="bottom"/>
            <w:hideMark/>
          </w:tcPr>
          <w:p w:rsidR="003E6588" w:rsidRDefault="003E6588">
            <w:pPr>
              <w:ind w:right="-70"/>
              <w:rPr>
                <w:color w:val="000000"/>
                <w:sz w:val="20"/>
                <w:szCs w:val="20"/>
              </w:rPr>
            </w:pPr>
            <w:r>
              <w:rPr>
                <w:color w:val="000000"/>
                <w:sz w:val="20"/>
                <w:szCs w:val="20"/>
              </w:rPr>
              <w:t>24</w:t>
            </w:r>
          </w:p>
        </w:tc>
        <w:tc>
          <w:tcPr>
            <w:tcW w:w="1605" w:type="dxa"/>
            <w:shd w:val="clear" w:color="auto" w:fill="auto"/>
            <w:noWrap/>
            <w:vAlign w:val="bottom"/>
            <w:hideMark/>
          </w:tcPr>
          <w:p w:rsidR="003E6588" w:rsidRDefault="003E6588">
            <w:pPr>
              <w:ind w:right="-70"/>
              <w:rPr>
                <w:color w:val="000000"/>
                <w:sz w:val="20"/>
                <w:szCs w:val="20"/>
              </w:rPr>
            </w:pPr>
            <w:r>
              <w:rPr>
                <w:color w:val="000000"/>
                <w:sz w:val="20"/>
                <w:szCs w:val="20"/>
              </w:rPr>
              <w:t>347</w:t>
            </w:r>
          </w:p>
        </w:tc>
        <w:tc>
          <w:tcPr>
            <w:tcW w:w="960" w:type="dxa"/>
            <w:shd w:val="clear" w:color="auto" w:fill="auto"/>
            <w:noWrap/>
            <w:vAlign w:val="bottom"/>
            <w:hideMark/>
          </w:tcPr>
          <w:p w:rsidR="003E6588" w:rsidRDefault="003E6588">
            <w:pPr>
              <w:rPr>
                <w:color w:val="000000"/>
                <w:sz w:val="20"/>
                <w:szCs w:val="20"/>
              </w:rPr>
            </w:pPr>
            <w:r>
              <w:rPr>
                <w:color w:val="000000"/>
                <w:sz w:val="20"/>
                <w:szCs w:val="20"/>
              </w:rPr>
              <w:t>150</w:t>
            </w:r>
          </w:p>
        </w:tc>
      </w:tr>
      <w:tr w:rsidR="003E6588">
        <w:trPr>
          <w:trHeight w:val="20"/>
          <w:jc w:val="center"/>
        </w:trPr>
        <w:tc>
          <w:tcPr>
            <w:tcW w:w="3083" w:type="dxa"/>
            <w:shd w:val="clear" w:color="auto" w:fill="auto"/>
            <w:noWrap/>
            <w:vAlign w:val="bottom"/>
            <w:hideMark/>
          </w:tcPr>
          <w:p w:rsidR="003E6588" w:rsidRDefault="003E6588">
            <w:pPr>
              <w:jc w:val="both"/>
              <w:rPr>
                <w:color w:val="000000"/>
                <w:sz w:val="20"/>
                <w:szCs w:val="20"/>
              </w:rPr>
            </w:pPr>
            <w:r>
              <w:rPr>
                <w:color w:val="000000"/>
                <w:sz w:val="20"/>
                <w:szCs w:val="20"/>
              </w:rPr>
              <w:t>Olericultura</w:t>
            </w:r>
          </w:p>
        </w:tc>
        <w:tc>
          <w:tcPr>
            <w:tcW w:w="1985" w:type="dxa"/>
            <w:shd w:val="clear" w:color="auto" w:fill="auto"/>
            <w:noWrap/>
            <w:vAlign w:val="bottom"/>
            <w:hideMark/>
          </w:tcPr>
          <w:p w:rsidR="003E6588" w:rsidRDefault="003E6588">
            <w:pPr>
              <w:ind w:right="-70"/>
              <w:rPr>
                <w:color w:val="000000"/>
                <w:sz w:val="20"/>
                <w:szCs w:val="20"/>
              </w:rPr>
            </w:pPr>
            <w:r>
              <w:rPr>
                <w:color w:val="000000"/>
                <w:sz w:val="20"/>
                <w:szCs w:val="20"/>
              </w:rPr>
              <w:t>232</w:t>
            </w:r>
          </w:p>
        </w:tc>
        <w:tc>
          <w:tcPr>
            <w:tcW w:w="1701" w:type="dxa"/>
            <w:shd w:val="clear" w:color="auto" w:fill="auto"/>
            <w:noWrap/>
            <w:vAlign w:val="bottom"/>
            <w:hideMark/>
          </w:tcPr>
          <w:p w:rsidR="003E6588" w:rsidRDefault="003E6588">
            <w:pPr>
              <w:ind w:right="-70"/>
              <w:rPr>
                <w:color w:val="000000"/>
                <w:sz w:val="20"/>
                <w:szCs w:val="20"/>
              </w:rPr>
            </w:pPr>
            <w:r>
              <w:rPr>
                <w:color w:val="000000"/>
                <w:sz w:val="20"/>
                <w:szCs w:val="20"/>
              </w:rPr>
              <w:t>148</w:t>
            </w:r>
          </w:p>
        </w:tc>
        <w:tc>
          <w:tcPr>
            <w:tcW w:w="1605" w:type="dxa"/>
            <w:shd w:val="clear" w:color="auto" w:fill="auto"/>
            <w:noWrap/>
            <w:vAlign w:val="bottom"/>
            <w:hideMark/>
          </w:tcPr>
          <w:p w:rsidR="003E6588" w:rsidRDefault="003E6588">
            <w:pPr>
              <w:ind w:right="-70"/>
              <w:rPr>
                <w:color w:val="000000"/>
                <w:sz w:val="20"/>
                <w:szCs w:val="20"/>
              </w:rPr>
            </w:pPr>
            <w:r>
              <w:rPr>
                <w:color w:val="000000"/>
                <w:sz w:val="20"/>
                <w:szCs w:val="20"/>
              </w:rPr>
              <w:t>497</w:t>
            </w:r>
          </w:p>
        </w:tc>
        <w:tc>
          <w:tcPr>
            <w:tcW w:w="960" w:type="dxa"/>
            <w:shd w:val="clear" w:color="auto" w:fill="auto"/>
            <w:noWrap/>
            <w:vAlign w:val="bottom"/>
            <w:hideMark/>
          </w:tcPr>
          <w:p w:rsidR="003E6588" w:rsidRDefault="003E6588">
            <w:pPr>
              <w:rPr>
                <w:color w:val="000000"/>
                <w:sz w:val="20"/>
                <w:szCs w:val="20"/>
              </w:rPr>
            </w:pPr>
            <w:r>
              <w:rPr>
                <w:color w:val="000000"/>
                <w:sz w:val="20"/>
                <w:szCs w:val="20"/>
              </w:rPr>
              <w:t>658</w:t>
            </w:r>
          </w:p>
        </w:tc>
      </w:tr>
      <w:tr w:rsidR="003E6588" w:rsidTr="007B6398">
        <w:trPr>
          <w:trHeight w:val="20"/>
          <w:jc w:val="center"/>
        </w:trPr>
        <w:tc>
          <w:tcPr>
            <w:tcW w:w="3083" w:type="dxa"/>
            <w:tcBorders>
              <w:bottom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Recuperação de Áreas Degradadas</w:t>
            </w:r>
          </w:p>
        </w:tc>
        <w:tc>
          <w:tcPr>
            <w:tcW w:w="1985" w:type="dxa"/>
            <w:tcBorders>
              <w:bottom w:val="single" w:sz="8" w:space="0" w:color="auto"/>
            </w:tcBorders>
            <w:shd w:val="clear" w:color="auto" w:fill="auto"/>
            <w:noWrap/>
            <w:vAlign w:val="bottom"/>
            <w:hideMark/>
          </w:tcPr>
          <w:p w:rsidR="003E6588" w:rsidRDefault="003E6588">
            <w:pPr>
              <w:ind w:right="-70"/>
              <w:rPr>
                <w:color w:val="000000"/>
                <w:sz w:val="20"/>
                <w:szCs w:val="20"/>
              </w:rPr>
            </w:pPr>
            <w:r>
              <w:rPr>
                <w:color w:val="000000"/>
                <w:sz w:val="20"/>
                <w:szCs w:val="20"/>
              </w:rPr>
              <w:t>53</w:t>
            </w:r>
          </w:p>
        </w:tc>
        <w:tc>
          <w:tcPr>
            <w:tcW w:w="1701" w:type="dxa"/>
            <w:tcBorders>
              <w:bottom w:val="single" w:sz="8" w:space="0" w:color="auto"/>
            </w:tcBorders>
            <w:shd w:val="clear" w:color="auto" w:fill="auto"/>
            <w:noWrap/>
            <w:vAlign w:val="bottom"/>
            <w:hideMark/>
          </w:tcPr>
          <w:p w:rsidR="003E6588" w:rsidRDefault="003E6588">
            <w:pPr>
              <w:ind w:right="-70"/>
              <w:rPr>
                <w:color w:val="000000"/>
                <w:sz w:val="20"/>
                <w:szCs w:val="20"/>
              </w:rPr>
            </w:pPr>
            <w:r>
              <w:rPr>
                <w:color w:val="000000"/>
                <w:sz w:val="20"/>
                <w:szCs w:val="20"/>
              </w:rPr>
              <w:t>6</w:t>
            </w:r>
          </w:p>
        </w:tc>
        <w:tc>
          <w:tcPr>
            <w:tcW w:w="1605" w:type="dxa"/>
            <w:tcBorders>
              <w:bottom w:val="single" w:sz="8" w:space="0" w:color="auto"/>
            </w:tcBorders>
            <w:shd w:val="clear" w:color="auto" w:fill="auto"/>
            <w:noWrap/>
            <w:vAlign w:val="bottom"/>
            <w:hideMark/>
          </w:tcPr>
          <w:p w:rsidR="003E6588" w:rsidRDefault="003E6588">
            <w:pPr>
              <w:ind w:right="-70"/>
              <w:rPr>
                <w:color w:val="000000"/>
                <w:sz w:val="20"/>
                <w:szCs w:val="20"/>
              </w:rPr>
            </w:pPr>
            <w:r>
              <w:rPr>
                <w:color w:val="000000"/>
                <w:sz w:val="20"/>
                <w:szCs w:val="20"/>
              </w:rPr>
              <w:t>59</w:t>
            </w:r>
          </w:p>
        </w:tc>
        <w:tc>
          <w:tcPr>
            <w:tcW w:w="960" w:type="dxa"/>
            <w:tcBorders>
              <w:bottom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43</w:t>
            </w:r>
          </w:p>
        </w:tc>
      </w:tr>
      <w:tr w:rsidR="003E6588" w:rsidTr="007B6398">
        <w:trPr>
          <w:trHeight w:val="20"/>
          <w:jc w:val="center"/>
        </w:trPr>
        <w:tc>
          <w:tcPr>
            <w:tcW w:w="3083" w:type="dxa"/>
            <w:tcBorders>
              <w:top w:val="single" w:sz="8" w:space="0" w:color="auto"/>
              <w:bottom w:val="single" w:sz="8" w:space="0" w:color="auto"/>
            </w:tcBorders>
            <w:shd w:val="clear" w:color="auto" w:fill="auto"/>
            <w:noWrap/>
            <w:vAlign w:val="bottom"/>
            <w:hideMark/>
          </w:tcPr>
          <w:p w:rsidR="003E6588" w:rsidRDefault="003E6588">
            <w:pPr>
              <w:jc w:val="both"/>
              <w:rPr>
                <w:b/>
                <w:bCs/>
                <w:color w:val="000000"/>
                <w:sz w:val="20"/>
                <w:szCs w:val="20"/>
              </w:rPr>
            </w:pPr>
            <w:r>
              <w:rPr>
                <w:b/>
                <w:bCs/>
                <w:color w:val="000000"/>
                <w:sz w:val="20"/>
                <w:szCs w:val="20"/>
              </w:rPr>
              <w:t>Total</w:t>
            </w:r>
          </w:p>
        </w:tc>
        <w:tc>
          <w:tcPr>
            <w:tcW w:w="1985" w:type="dxa"/>
            <w:tcBorders>
              <w:top w:val="single" w:sz="8" w:space="0" w:color="auto"/>
              <w:bottom w:val="single" w:sz="8" w:space="0" w:color="auto"/>
            </w:tcBorders>
            <w:shd w:val="clear" w:color="auto" w:fill="auto"/>
            <w:noWrap/>
            <w:vAlign w:val="bottom"/>
            <w:hideMark/>
          </w:tcPr>
          <w:p w:rsidR="003E6588" w:rsidRDefault="003E6588">
            <w:pPr>
              <w:ind w:right="-70"/>
              <w:rPr>
                <w:b/>
                <w:bCs/>
                <w:color w:val="000000"/>
                <w:sz w:val="20"/>
                <w:szCs w:val="20"/>
              </w:rPr>
            </w:pPr>
            <w:r>
              <w:rPr>
                <w:b/>
                <w:bCs/>
                <w:color w:val="000000"/>
                <w:sz w:val="20"/>
                <w:szCs w:val="20"/>
              </w:rPr>
              <w:t>2.296</w:t>
            </w:r>
          </w:p>
        </w:tc>
        <w:tc>
          <w:tcPr>
            <w:tcW w:w="1701" w:type="dxa"/>
            <w:tcBorders>
              <w:top w:val="single" w:sz="8" w:space="0" w:color="auto"/>
              <w:bottom w:val="single" w:sz="8" w:space="0" w:color="auto"/>
            </w:tcBorders>
            <w:shd w:val="clear" w:color="auto" w:fill="auto"/>
            <w:noWrap/>
            <w:vAlign w:val="bottom"/>
            <w:hideMark/>
          </w:tcPr>
          <w:p w:rsidR="003E6588" w:rsidRDefault="003E6588">
            <w:pPr>
              <w:ind w:right="-70"/>
              <w:rPr>
                <w:b/>
                <w:bCs/>
                <w:color w:val="000000"/>
                <w:sz w:val="20"/>
                <w:szCs w:val="20"/>
              </w:rPr>
            </w:pPr>
            <w:r>
              <w:rPr>
                <w:b/>
                <w:bCs/>
                <w:color w:val="000000"/>
                <w:sz w:val="20"/>
                <w:szCs w:val="20"/>
              </w:rPr>
              <w:t>706</w:t>
            </w:r>
          </w:p>
        </w:tc>
        <w:tc>
          <w:tcPr>
            <w:tcW w:w="1605" w:type="dxa"/>
            <w:tcBorders>
              <w:top w:val="single" w:sz="8" w:space="0" w:color="auto"/>
              <w:bottom w:val="single" w:sz="8" w:space="0" w:color="auto"/>
            </w:tcBorders>
            <w:shd w:val="clear" w:color="auto" w:fill="auto"/>
            <w:noWrap/>
            <w:vAlign w:val="bottom"/>
            <w:hideMark/>
          </w:tcPr>
          <w:p w:rsidR="003E6588" w:rsidRDefault="003E6588">
            <w:pPr>
              <w:ind w:right="-70"/>
              <w:rPr>
                <w:b/>
                <w:bCs/>
                <w:color w:val="000000"/>
                <w:sz w:val="20"/>
                <w:szCs w:val="20"/>
              </w:rPr>
            </w:pPr>
            <w:r>
              <w:rPr>
                <w:b/>
                <w:bCs/>
                <w:color w:val="000000"/>
                <w:sz w:val="20"/>
                <w:szCs w:val="20"/>
              </w:rPr>
              <w:t>3.024</w:t>
            </w:r>
          </w:p>
        </w:tc>
        <w:tc>
          <w:tcPr>
            <w:tcW w:w="960" w:type="dxa"/>
            <w:tcBorders>
              <w:top w:val="single" w:sz="8" w:space="0" w:color="auto"/>
              <w:bottom w:val="single" w:sz="8" w:space="0" w:color="auto"/>
            </w:tcBorders>
            <w:shd w:val="clear" w:color="auto" w:fill="auto"/>
            <w:noWrap/>
            <w:vAlign w:val="bottom"/>
            <w:hideMark/>
          </w:tcPr>
          <w:p w:rsidR="003E6588" w:rsidRDefault="003E6588">
            <w:pPr>
              <w:rPr>
                <w:b/>
                <w:bCs/>
                <w:color w:val="000000"/>
                <w:sz w:val="20"/>
                <w:szCs w:val="20"/>
              </w:rPr>
            </w:pPr>
            <w:r>
              <w:rPr>
                <w:b/>
                <w:bCs/>
                <w:color w:val="000000"/>
                <w:sz w:val="20"/>
                <w:szCs w:val="20"/>
              </w:rPr>
              <w:t>3.763</w:t>
            </w:r>
          </w:p>
        </w:tc>
      </w:tr>
    </w:tbl>
    <w:p w:rsidR="003E6588" w:rsidRDefault="003E6588">
      <w:pPr>
        <w:jc w:val="both"/>
        <w:rPr>
          <w:bCs/>
          <w:sz w:val="16"/>
          <w:szCs w:val="16"/>
        </w:rPr>
      </w:pPr>
      <w:r>
        <w:rPr>
          <w:bCs/>
          <w:sz w:val="16"/>
          <w:szCs w:val="16"/>
          <w:vertAlign w:val="superscript"/>
        </w:rPr>
        <w:t xml:space="preserve">    </w:t>
      </w:r>
      <w:r w:rsidR="007B6398">
        <w:rPr>
          <w:bCs/>
          <w:sz w:val="16"/>
          <w:szCs w:val="16"/>
          <w:vertAlign w:val="superscript"/>
        </w:rPr>
        <w:t xml:space="preserve">  </w:t>
      </w:r>
      <w:r>
        <w:rPr>
          <w:bCs/>
          <w:sz w:val="16"/>
          <w:szCs w:val="16"/>
          <w:vertAlign w:val="superscript"/>
        </w:rPr>
        <w:t xml:space="preserve">          1</w:t>
      </w:r>
      <w:r>
        <w:rPr>
          <w:b/>
          <w:bCs/>
          <w:sz w:val="16"/>
          <w:szCs w:val="16"/>
          <w:vertAlign w:val="superscript"/>
        </w:rPr>
        <w:t xml:space="preserve"> </w:t>
      </w:r>
      <w:r>
        <w:rPr>
          <w:bCs/>
          <w:sz w:val="16"/>
          <w:szCs w:val="16"/>
        </w:rPr>
        <w:t>Atendimento do técnico da regional para apoiar ou atender a uma solicitação da Casa da Agricultura;</w:t>
      </w:r>
    </w:p>
    <w:p w:rsidR="003E6588" w:rsidRDefault="003E6588">
      <w:pPr>
        <w:jc w:val="both"/>
        <w:rPr>
          <w:sz w:val="16"/>
          <w:szCs w:val="16"/>
        </w:rPr>
      </w:pPr>
      <w:r>
        <w:rPr>
          <w:sz w:val="16"/>
          <w:szCs w:val="16"/>
          <w:vertAlign w:val="superscript"/>
        </w:rPr>
        <w:t xml:space="preserve"> </w:t>
      </w:r>
      <w:r w:rsidR="007B6398">
        <w:rPr>
          <w:sz w:val="16"/>
          <w:szCs w:val="16"/>
          <w:vertAlign w:val="superscript"/>
        </w:rPr>
        <w:t xml:space="preserve">  </w:t>
      </w:r>
      <w:r>
        <w:rPr>
          <w:sz w:val="16"/>
          <w:szCs w:val="16"/>
          <w:vertAlign w:val="superscript"/>
        </w:rPr>
        <w:t xml:space="preserve">             2 </w:t>
      </w:r>
      <w:r>
        <w:rPr>
          <w:sz w:val="16"/>
          <w:szCs w:val="16"/>
        </w:rPr>
        <w:t>Número de eventos realizados;</w:t>
      </w:r>
    </w:p>
    <w:p w:rsidR="003E6588" w:rsidRDefault="003E6588">
      <w:pPr>
        <w:jc w:val="both"/>
        <w:rPr>
          <w:sz w:val="16"/>
          <w:szCs w:val="16"/>
        </w:rPr>
      </w:pPr>
      <w:r>
        <w:rPr>
          <w:sz w:val="16"/>
          <w:szCs w:val="16"/>
          <w:vertAlign w:val="superscript"/>
        </w:rPr>
        <w:t xml:space="preserve">    </w:t>
      </w:r>
      <w:r w:rsidR="007B6398">
        <w:rPr>
          <w:sz w:val="16"/>
          <w:szCs w:val="16"/>
          <w:vertAlign w:val="superscript"/>
        </w:rPr>
        <w:t xml:space="preserve">  </w:t>
      </w:r>
      <w:r>
        <w:rPr>
          <w:sz w:val="16"/>
          <w:szCs w:val="16"/>
          <w:vertAlign w:val="superscript"/>
        </w:rPr>
        <w:t xml:space="preserve">          3 </w:t>
      </w:r>
      <w:r>
        <w:rPr>
          <w:sz w:val="16"/>
          <w:szCs w:val="16"/>
        </w:rPr>
        <w:t>Levantamentos destinados a atualização de informações estatísticas dos municípios;</w:t>
      </w:r>
    </w:p>
    <w:p w:rsidR="003E6588" w:rsidRDefault="003E6588">
      <w:pPr>
        <w:jc w:val="both"/>
        <w:rPr>
          <w:sz w:val="16"/>
          <w:szCs w:val="16"/>
        </w:rPr>
      </w:pPr>
      <w:r>
        <w:rPr>
          <w:sz w:val="16"/>
          <w:szCs w:val="16"/>
          <w:vertAlign w:val="superscript"/>
        </w:rPr>
        <w:t xml:space="preserve">    </w:t>
      </w:r>
      <w:r w:rsidR="007B6398">
        <w:rPr>
          <w:sz w:val="16"/>
          <w:szCs w:val="16"/>
          <w:vertAlign w:val="superscript"/>
        </w:rPr>
        <w:t xml:space="preserve"> </w:t>
      </w:r>
      <w:r>
        <w:rPr>
          <w:sz w:val="16"/>
          <w:szCs w:val="16"/>
          <w:vertAlign w:val="superscript"/>
        </w:rPr>
        <w:t xml:space="preserve">   </w:t>
      </w:r>
      <w:r w:rsidR="007B6398">
        <w:rPr>
          <w:sz w:val="16"/>
          <w:szCs w:val="16"/>
          <w:vertAlign w:val="superscript"/>
        </w:rPr>
        <w:t xml:space="preserve">  </w:t>
      </w:r>
      <w:r>
        <w:rPr>
          <w:sz w:val="16"/>
          <w:szCs w:val="16"/>
          <w:vertAlign w:val="superscript"/>
        </w:rPr>
        <w:t xml:space="preserve">      4</w:t>
      </w:r>
      <w:r>
        <w:rPr>
          <w:sz w:val="16"/>
          <w:szCs w:val="16"/>
        </w:rPr>
        <w:t xml:space="preserve"> Demanda refere-se a todas as atividades desenvolvidas pela Casa da Agricultura e não estão cadastradas nos projetos;</w:t>
      </w:r>
    </w:p>
    <w:p w:rsidR="003E6588" w:rsidRDefault="007B6398">
      <w:pPr>
        <w:jc w:val="both"/>
        <w:rPr>
          <w:sz w:val="16"/>
          <w:szCs w:val="16"/>
        </w:rPr>
      </w:pPr>
      <w:r>
        <w:rPr>
          <w:sz w:val="16"/>
          <w:szCs w:val="16"/>
        </w:rPr>
        <w:t xml:space="preserve"> </w:t>
      </w:r>
      <w:r w:rsidR="003E6588">
        <w:rPr>
          <w:sz w:val="16"/>
          <w:szCs w:val="16"/>
        </w:rPr>
        <w:t xml:space="preserve"> </w:t>
      </w:r>
      <w:r>
        <w:rPr>
          <w:sz w:val="16"/>
          <w:szCs w:val="16"/>
        </w:rPr>
        <w:t xml:space="preserve"> </w:t>
      </w:r>
      <w:r w:rsidR="003E6588">
        <w:rPr>
          <w:sz w:val="16"/>
          <w:szCs w:val="16"/>
        </w:rPr>
        <w:t xml:space="preserve">      </w:t>
      </w:r>
      <w:r w:rsidR="00D121EC">
        <w:rPr>
          <w:sz w:val="16"/>
          <w:szCs w:val="16"/>
        </w:rPr>
        <w:t xml:space="preserve">  </w:t>
      </w:r>
      <w:r w:rsidR="003E6588">
        <w:rPr>
          <w:sz w:val="16"/>
          <w:szCs w:val="16"/>
        </w:rPr>
        <w:t xml:space="preserve"> Fonte: Sistema de Gestão dos Projetos Institucionais/CATI/SAA</w:t>
      </w:r>
    </w:p>
    <w:p w:rsidR="003E6588" w:rsidRPr="000B028A" w:rsidRDefault="003E6588">
      <w:pPr>
        <w:jc w:val="both"/>
      </w:pPr>
    </w:p>
    <w:p w:rsidR="003E6588" w:rsidRPr="000E5A17" w:rsidRDefault="003E6588">
      <w:pPr>
        <w:ind w:firstLine="1134"/>
        <w:jc w:val="both"/>
      </w:pPr>
      <w:r w:rsidRPr="000E5A17">
        <w:t>As capacitações realizadas pela CATI, destinadas a produtores e técnicos, são gerenciadas pelo Centro de Treinamento - CETATE para efeito de emissão de certificados. As mais simples, porém, realizadas nas Casas da Agricultura</w:t>
      </w:r>
      <w:r w:rsidR="000E5A17" w:rsidRPr="000E5A17">
        <w:t>,</w:t>
      </w:r>
      <w:r w:rsidRPr="000E5A17">
        <w:t xml:space="preserve"> apesar de não possuírem registro no CETATE, estão inseridas no Sistema de Gestão</w:t>
      </w:r>
      <w:r w:rsidR="000E5A17" w:rsidRPr="000E5A17">
        <w:t xml:space="preserve">. </w:t>
      </w:r>
      <w:r w:rsidRPr="000E5A17">
        <w:t>Foram realizados 207 eventos com recursos da ação 4.437 (ATERAS), que contou com a participação de 7.337 pessoas.</w:t>
      </w:r>
    </w:p>
    <w:p w:rsidR="003E6588" w:rsidRPr="000E5A17" w:rsidRDefault="003E6588">
      <w:pPr>
        <w:jc w:val="both"/>
      </w:pPr>
    </w:p>
    <w:p w:rsidR="003E6588" w:rsidRPr="000E5A17" w:rsidRDefault="003E6588">
      <w:pPr>
        <w:ind w:firstLine="1134"/>
        <w:jc w:val="both"/>
      </w:pPr>
      <w:r w:rsidRPr="000E5A17">
        <w:t xml:space="preserve">O </w:t>
      </w:r>
      <w:r w:rsidRPr="000E5A17">
        <w:rPr>
          <w:i/>
        </w:rPr>
        <w:t>site</w:t>
      </w:r>
      <w:r w:rsidRPr="000E5A17">
        <w:t xml:space="preserve"> da CATI e a </w:t>
      </w:r>
      <w:r w:rsidRPr="00410EE0">
        <w:rPr>
          <w:i/>
        </w:rPr>
        <w:t>Intranet</w:t>
      </w:r>
      <w:r w:rsidRPr="000E5A17">
        <w:t xml:space="preserve"> passaram por reformulação e os textos foram atualizados, mantendo a constância nas publicações. Estão sendo preparados o roteiro e o piloto da </w:t>
      </w:r>
      <w:r w:rsidRPr="000E5A17">
        <w:rPr>
          <w:i/>
        </w:rPr>
        <w:t>Web</w:t>
      </w:r>
      <w:r w:rsidRPr="000E5A17">
        <w:t xml:space="preserve"> Rádio e da CATI TV</w:t>
      </w:r>
      <w:r w:rsidR="000E5A17" w:rsidRPr="000E5A17">
        <w:t>.</w:t>
      </w:r>
      <w:r w:rsidRPr="000E5A17">
        <w:t xml:space="preserve"> A </w:t>
      </w:r>
      <w:r w:rsidRPr="000E5A17">
        <w:rPr>
          <w:i/>
        </w:rPr>
        <w:t>Web</w:t>
      </w:r>
      <w:r w:rsidRPr="000E5A17">
        <w:t xml:space="preserve"> Rádio disponibilizará notícias em áudio que poderão ser baixadas pelas rádios de todo o Brasil. Além das notícias, a idéia é montar uma Rádio </w:t>
      </w:r>
      <w:r w:rsidRPr="000E5A17">
        <w:rPr>
          <w:i/>
        </w:rPr>
        <w:t>on line</w:t>
      </w:r>
      <w:r w:rsidRPr="000E5A17">
        <w:t>.</w:t>
      </w:r>
    </w:p>
    <w:p w:rsidR="003E6588" w:rsidRPr="000B028A" w:rsidRDefault="003E6588">
      <w:pPr>
        <w:ind w:firstLine="1134"/>
        <w:jc w:val="both"/>
      </w:pPr>
    </w:p>
    <w:p w:rsidR="003E6588" w:rsidRDefault="003E6588" w:rsidP="000E5A17">
      <w:pPr>
        <w:ind w:firstLine="1134"/>
        <w:jc w:val="both"/>
        <w:rPr>
          <w:b/>
        </w:rPr>
      </w:pPr>
      <w:r>
        <w:rPr>
          <w:b/>
        </w:rPr>
        <w:t>Atividades desenvolvidas pelo Centro de Comunicação Rural - CECOR</w:t>
      </w:r>
    </w:p>
    <w:p w:rsidR="003E6588" w:rsidRPr="000B028A" w:rsidRDefault="003E6588">
      <w:pPr>
        <w:ind w:left="142" w:firstLine="1134"/>
        <w:jc w:val="both"/>
        <w:rPr>
          <w:b/>
        </w:rPr>
      </w:pPr>
    </w:p>
    <w:tbl>
      <w:tblPr>
        <w:tblW w:w="9158" w:type="dxa"/>
        <w:jc w:val="center"/>
        <w:tblInd w:w="-298" w:type="dxa"/>
        <w:tblCellMar>
          <w:left w:w="70" w:type="dxa"/>
          <w:right w:w="70" w:type="dxa"/>
        </w:tblCellMar>
        <w:tblLook w:val="04A0"/>
      </w:tblPr>
      <w:tblGrid>
        <w:gridCol w:w="5598"/>
        <w:gridCol w:w="3560"/>
      </w:tblGrid>
      <w:tr w:rsidR="003E6588" w:rsidTr="007B6398">
        <w:trPr>
          <w:trHeight w:val="186"/>
          <w:jc w:val="center"/>
        </w:trPr>
        <w:tc>
          <w:tcPr>
            <w:tcW w:w="5598" w:type="dxa"/>
            <w:tcBorders>
              <w:top w:val="single" w:sz="8" w:space="0" w:color="auto"/>
              <w:left w:val="nil"/>
              <w:bottom w:val="single" w:sz="8" w:space="0" w:color="auto"/>
              <w:right w:val="nil"/>
            </w:tcBorders>
            <w:shd w:val="clear" w:color="auto" w:fill="auto"/>
            <w:noWrap/>
            <w:vAlign w:val="bottom"/>
            <w:hideMark/>
          </w:tcPr>
          <w:p w:rsidR="003E6588" w:rsidRDefault="003E6588">
            <w:pPr>
              <w:rPr>
                <w:b/>
                <w:bCs/>
                <w:color w:val="000000"/>
                <w:sz w:val="20"/>
                <w:szCs w:val="20"/>
              </w:rPr>
            </w:pPr>
            <w:r>
              <w:rPr>
                <w:b/>
                <w:bCs/>
                <w:color w:val="000000"/>
                <w:sz w:val="20"/>
                <w:szCs w:val="20"/>
              </w:rPr>
              <w:t>Atividade</w:t>
            </w:r>
          </w:p>
        </w:tc>
        <w:tc>
          <w:tcPr>
            <w:tcW w:w="3560" w:type="dxa"/>
            <w:tcBorders>
              <w:top w:val="single" w:sz="8" w:space="0" w:color="auto"/>
              <w:left w:val="nil"/>
              <w:bottom w:val="single" w:sz="8" w:space="0" w:color="auto"/>
              <w:right w:val="nil"/>
            </w:tcBorders>
            <w:shd w:val="clear" w:color="auto" w:fill="auto"/>
            <w:noWrap/>
            <w:vAlign w:val="bottom"/>
            <w:hideMark/>
          </w:tcPr>
          <w:p w:rsidR="003E6588" w:rsidRDefault="003E6588">
            <w:pPr>
              <w:rPr>
                <w:b/>
                <w:bCs/>
                <w:color w:val="000000"/>
                <w:sz w:val="20"/>
                <w:szCs w:val="20"/>
              </w:rPr>
            </w:pPr>
            <w:r>
              <w:rPr>
                <w:b/>
                <w:bCs/>
                <w:color w:val="000000"/>
                <w:sz w:val="20"/>
                <w:szCs w:val="20"/>
              </w:rPr>
              <w:t>Quantidade</w:t>
            </w:r>
          </w:p>
        </w:tc>
      </w:tr>
      <w:tr w:rsidR="003E6588" w:rsidTr="007B6398">
        <w:trPr>
          <w:trHeight w:val="20"/>
          <w:jc w:val="center"/>
        </w:trPr>
        <w:tc>
          <w:tcPr>
            <w:tcW w:w="5598" w:type="dxa"/>
            <w:tcBorders>
              <w:top w:val="single" w:sz="8" w:space="0" w:color="auto"/>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 xml:space="preserve">Reportagens escritas para o </w:t>
            </w:r>
            <w:r>
              <w:rPr>
                <w:i/>
                <w:color w:val="000000"/>
                <w:sz w:val="20"/>
                <w:szCs w:val="20"/>
              </w:rPr>
              <w:t>site</w:t>
            </w:r>
          </w:p>
        </w:tc>
        <w:tc>
          <w:tcPr>
            <w:tcW w:w="3560" w:type="dxa"/>
            <w:tcBorders>
              <w:top w:val="single" w:sz="8" w:space="0" w:color="auto"/>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33 reportagens</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highlight w:val="yellow"/>
              </w:rPr>
            </w:pPr>
            <w:r>
              <w:rPr>
                <w:color w:val="000000"/>
                <w:sz w:val="20"/>
                <w:szCs w:val="20"/>
              </w:rPr>
              <w:t>Vídeos</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50</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 xml:space="preserve">Acesso no </w:t>
            </w:r>
            <w:r>
              <w:rPr>
                <w:i/>
                <w:color w:val="000000"/>
                <w:sz w:val="20"/>
                <w:szCs w:val="20"/>
              </w:rPr>
              <w:t>site</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734.723</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Revista Casa da Agricultura</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3 edições - 20 mil exemplares</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Reportagens escritas para a Revista Casa da Agricultura</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38 reportagens escritas</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Acesso (visualização) de todos os vídeos</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77.110</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lastRenderedPageBreak/>
              <w:t xml:space="preserve">Edições CATI </w:t>
            </w:r>
            <w:r>
              <w:rPr>
                <w:i/>
                <w:color w:val="000000"/>
                <w:sz w:val="20"/>
                <w:szCs w:val="20"/>
              </w:rPr>
              <w:t>on line</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36 edições</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 xml:space="preserve">Cadastrados no CATI </w:t>
            </w:r>
            <w:r w:rsidRPr="000E5A17">
              <w:rPr>
                <w:i/>
                <w:sz w:val="20"/>
                <w:szCs w:val="20"/>
              </w:rPr>
              <w:t>on line</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9.653</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Livros</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6 mil exemplares</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 xml:space="preserve">Impressos (folder, cartaz, crachá, </w:t>
            </w:r>
            <w:r>
              <w:rPr>
                <w:i/>
                <w:color w:val="000000"/>
                <w:sz w:val="20"/>
                <w:szCs w:val="20"/>
              </w:rPr>
              <w:t xml:space="preserve">banners </w:t>
            </w:r>
            <w:r>
              <w:rPr>
                <w:color w:val="000000"/>
                <w:sz w:val="20"/>
                <w:szCs w:val="20"/>
              </w:rPr>
              <w:t>e faixas)</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151.697</w:t>
            </w:r>
          </w:p>
        </w:tc>
      </w:tr>
      <w:tr w:rsidR="003E6588">
        <w:trPr>
          <w:trHeight w:val="20"/>
          <w:jc w:val="center"/>
        </w:trPr>
        <w:tc>
          <w:tcPr>
            <w:tcW w:w="5598"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Sacolas/Canetas (Fórum de Microbacias)</w:t>
            </w:r>
          </w:p>
        </w:tc>
        <w:tc>
          <w:tcPr>
            <w:tcW w:w="3560" w:type="dxa"/>
            <w:tcBorders>
              <w:top w:val="nil"/>
              <w:left w:val="nil"/>
              <w:bottom w:val="nil"/>
              <w:right w:val="nil"/>
            </w:tcBorders>
            <w:shd w:val="clear" w:color="auto" w:fill="auto"/>
            <w:hideMark/>
          </w:tcPr>
          <w:p w:rsidR="003E6588" w:rsidRDefault="003E6588">
            <w:pPr>
              <w:jc w:val="both"/>
              <w:rPr>
                <w:color w:val="000000"/>
                <w:sz w:val="20"/>
                <w:szCs w:val="20"/>
              </w:rPr>
            </w:pPr>
            <w:r>
              <w:rPr>
                <w:color w:val="000000"/>
                <w:sz w:val="20"/>
                <w:szCs w:val="20"/>
              </w:rPr>
              <w:t>600 de cada produto</w:t>
            </w:r>
          </w:p>
        </w:tc>
      </w:tr>
      <w:tr w:rsidR="003E6588" w:rsidTr="007B6398">
        <w:trPr>
          <w:trHeight w:val="20"/>
          <w:jc w:val="center"/>
        </w:trPr>
        <w:tc>
          <w:tcPr>
            <w:tcW w:w="5598" w:type="dxa"/>
            <w:tcBorders>
              <w:top w:val="nil"/>
              <w:left w:val="nil"/>
              <w:right w:val="nil"/>
            </w:tcBorders>
            <w:shd w:val="clear" w:color="auto" w:fill="auto"/>
            <w:hideMark/>
          </w:tcPr>
          <w:p w:rsidR="003E6588" w:rsidRDefault="003E6588">
            <w:pPr>
              <w:jc w:val="both"/>
              <w:rPr>
                <w:color w:val="000000"/>
                <w:sz w:val="20"/>
                <w:szCs w:val="20"/>
              </w:rPr>
            </w:pPr>
            <w:r>
              <w:rPr>
                <w:color w:val="000000"/>
                <w:sz w:val="20"/>
                <w:szCs w:val="20"/>
              </w:rPr>
              <w:t>Publicações vendidas</w:t>
            </w:r>
          </w:p>
        </w:tc>
        <w:tc>
          <w:tcPr>
            <w:tcW w:w="3560" w:type="dxa"/>
            <w:tcBorders>
              <w:top w:val="nil"/>
              <w:left w:val="nil"/>
              <w:right w:val="nil"/>
            </w:tcBorders>
            <w:shd w:val="clear" w:color="auto" w:fill="auto"/>
            <w:hideMark/>
          </w:tcPr>
          <w:p w:rsidR="003E6588" w:rsidRDefault="003E6588">
            <w:pPr>
              <w:jc w:val="both"/>
              <w:rPr>
                <w:color w:val="000000"/>
                <w:sz w:val="20"/>
                <w:szCs w:val="20"/>
              </w:rPr>
            </w:pPr>
            <w:r>
              <w:rPr>
                <w:color w:val="000000"/>
                <w:sz w:val="20"/>
                <w:szCs w:val="20"/>
              </w:rPr>
              <w:t>2.279 - R$ 22.927,75</w:t>
            </w:r>
          </w:p>
        </w:tc>
      </w:tr>
      <w:tr w:rsidR="003E6588" w:rsidTr="007B6398">
        <w:trPr>
          <w:trHeight w:val="20"/>
          <w:jc w:val="center"/>
        </w:trPr>
        <w:tc>
          <w:tcPr>
            <w:tcW w:w="5598" w:type="dxa"/>
            <w:tcBorders>
              <w:top w:val="nil"/>
              <w:left w:val="nil"/>
              <w:bottom w:val="single" w:sz="8" w:space="0" w:color="auto"/>
              <w:right w:val="nil"/>
            </w:tcBorders>
            <w:shd w:val="clear" w:color="auto" w:fill="auto"/>
            <w:hideMark/>
          </w:tcPr>
          <w:p w:rsidR="003E6588" w:rsidRDefault="003E6588">
            <w:pPr>
              <w:jc w:val="both"/>
              <w:rPr>
                <w:color w:val="000000"/>
                <w:sz w:val="20"/>
                <w:szCs w:val="20"/>
              </w:rPr>
            </w:pPr>
            <w:r>
              <w:rPr>
                <w:color w:val="000000"/>
                <w:sz w:val="20"/>
                <w:szCs w:val="20"/>
              </w:rPr>
              <w:t>Fale Conosco</w:t>
            </w:r>
          </w:p>
        </w:tc>
        <w:tc>
          <w:tcPr>
            <w:tcW w:w="3560" w:type="dxa"/>
            <w:tcBorders>
              <w:top w:val="nil"/>
              <w:left w:val="nil"/>
              <w:bottom w:val="single" w:sz="8" w:space="0" w:color="auto"/>
              <w:right w:val="nil"/>
            </w:tcBorders>
            <w:shd w:val="clear" w:color="auto" w:fill="auto"/>
            <w:hideMark/>
          </w:tcPr>
          <w:p w:rsidR="003E6588" w:rsidRDefault="003E6588">
            <w:pPr>
              <w:jc w:val="both"/>
              <w:rPr>
                <w:color w:val="000000"/>
                <w:sz w:val="20"/>
                <w:szCs w:val="20"/>
              </w:rPr>
            </w:pPr>
            <w:r>
              <w:rPr>
                <w:color w:val="000000"/>
                <w:sz w:val="20"/>
                <w:szCs w:val="20"/>
              </w:rPr>
              <w:t>392 solicitações</w:t>
            </w:r>
          </w:p>
        </w:tc>
      </w:tr>
      <w:tr w:rsidR="003E6588" w:rsidTr="007B6398">
        <w:trPr>
          <w:trHeight w:val="20"/>
          <w:jc w:val="center"/>
        </w:trPr>
        <w:tc>
          <w:tcPr>
            <w:tcW w:w="9158" w:type="dxa"/>
            <w:gridSpan w:val="2"/>
            <w:tcBorders>
              <w:top w:val="single" w:sz="8" w:space="0" w:color="auto"/>
              <w:left w:val="nil"/>
              <w:bottom w:val="nil"/>
              <w:right w:val="nil"/>
            </w:tcBorders>
            <w:shd w:val="clear" w:color="auto" w:fill="auto"/>
            <w:hideMark/>
          </w:tcPr>
          <w:p w:rsidR="003E6588" w:rsidRDefault="003E6588">
            <w:pPr>
              <w:jc w:val="both"/>
              <w:rPr>
                <w:color w:val="000000"/>
                <w:sz w:val="16"/>
                <w:szCs w:val="16"/>
              </w:rPr>
            </w:pPr>
            <w:r>
              <w:rPr>
                <w:color w:val="000000"/>
                <w:sz w:val="16"/>
                <w:szCs w:val="16"/>
              </w:rPr>
              <w:t>Fonte: Centro de Comunicação Rural/CATI/SAA</w:t>
            </w:r>
          </w:p>
        </w:tc>
      </w:tr>
    </w:tbl>
    <w:p w:rsidR="000B028A" w:rsidRPr="0006161A" w:rsidRDefault="000B028A">
      <w:pPr>
        <w:ind w:firstLine="1134"/>
        <w:jc w:val="both"/>
        <w:rPr>
          <w:sz w:val="16"/>
          <w:szCs w:val="16"/>
        </w:rPr>
      </w:pPr>
    </w:p>
    <w:p w:rsidR="003E6588" w:rsidRDefault="003E6588">
      <w:pPr>
        <w:ind w:firstLine="1134"/>
        <w:jc w:val="both"/>
      </w:pPr>
      <w:r>
        <w:t>Os levantamentos realizados pela Coordenadoria de Assistência Técnica Integral e que foram utilizados pela APTA/IEA para suas análises:</w:t>
      </w:r>
    </w:p>
    <w:p w:rsidR="003E6588" w:rsidRDefault="003E6588">
      <w:pPr>
        <w:ind w:firstLine="1134"/>
        <w:jc w:val="both"/>
      </w:pPr>
    </w:p>
    <w:p w:rsidR="003E6588" w:rsidRPr="000E5A17" w:rsidRDefault="003E6588">
      <w:pPr>
        <w:ind w:firstLine="1134"/>
        <w:jc w:val="both"/>
      </w:pPr>
      <w:r>
        <w:t xml:space="preserve">- </w:t>
      </w:r>
      <w:r w:rsidRPr="000E5A17">
        <w:t xml:space="preserve">Levantamento Subjetivo para previsão de Safra - </w:t>
      </w:r>
      <w:r w:rsidR="000E5A17" w:rsidRPr="000E5A17">
        <w:t xml:space="preserve">Finalidade </w:t>
      </w:r>
      <w:r w:rsidRPr="000E5A17">
        <w:t xml:space="preserve">é levantar dados de produção nos municípios, que servirão para checar dados dos levantamentos Objetivos e elaborar previsões e estimativas de safras de produtos que não constam no Levantamento Objetivo. Foram preenchidos 3.005 questionários para levantamento de dados </w:t>
      </w:r>
      <w:r w:rsidR="000E5A17" w:rsidRPr="000E5A17">
        <w:t>subjetivos;</w:t>
      </w:r>
    </w:p>
    <w:p w:rsidR="003E6588" w:rsidRPr="000E5A17" w:rsidRDefault="003E6588">
      <w:pPr>
        <w:ind w:firstLine="1134"/>
        <w:jc w:val="both"/>
      </w:pPr>
    </w:p>
    <w:p w:rsidR="003E6588" w:rsidRPr="000E5A17" w:rsidRDefault="003E6588">
      <w:pPr>
        <w:ind w:firstLine="1134"/>
        <w:jc w:val="both"/>
        <w:rPr>
          <w:strike/>
        </w:rPr>
      </w:pPr>
      <w:r w:rsidRPr="000E5A17">
        <w:t>- Levantamento Subjetivo de Preço Corrente - Tem por objetivo levantar preços e valores correntes de fatores, insumos e produtos agropecuários nas diferentes regiões do Estado. Foram preenchidos 2.385 questionários para levantamento de dados subjetivos de preços correntes;</w:t>
      </w:r>
    </w:p>
    <w:p w:rsidR="003E6588" w:rsidRPr="000E5A17" w:rsidRDefault="003E6588">
      <w:pPr>
        <w:ind w:firstLine="1134"/>
        <w:jc w:val="both"/>
      </w:pPr>
    </w:p>
    <w:p w:rsidR="003E6588" w:rsidRPr="000E5A17" w:rsidRDefault="003E6588" w:rsidP="000E5A17">
      <w:pPr>
        <w:ind w:firstLine="1134"/>
        <w:jc w:val="both"/>
      </w:pPr>
      <w:r w:rsidRPr="000E5A17">
        <w:t>- Atualização do Banco de Dados do Levantamento Cadastral das Unidades de Produção Agropecuária do Estado - Feito pela CATI durante os atendimentos feitos aos produtores rurais.</w:t>
      </w:r>
      <w:r w:rsidR="000E5A17" w:rsidRPr="000E5A17">
        <w:t xml:space="preserve"> </w:t>
      </w:r>
      <w:r w:rsidRPr="000E5A17">
        <w:t>Foram atualizadas informações de 21.016 UPAs.</w:t>
      </w:r>
    </w:p>
    <w:p w:rsidR="003E6588" w:rsidRDefault="003E6588">
      <w:pPr>
        <w:ind w:left="1134"/>
        <w:jc w:val="both"/>
      </w:pPr>
    </w:p>
    <w:p w:rsidR="003E6588" w:rsidRDefault="003E6588">
      <w:pPr>
        <w:ind w:firstLine="1134"/>
        <w:jc w:val="both"/>
      </w:pPr>
      <w:r w:rsidRPr="000E5A17">
        <w:t>Os técnicos</w:t>
      </w:r>
      <w:r>
        <w:t xml:space="preserve"> da CATI relataram no sistema de Relatório Diário de Atividades - RDA 341.615 atividades.</w:t>
      </w:r>
    </w:p>
    <w:p w:rsidR="003E6588" w:rsidRPr="0006161A" w:rsidRDefault="003E6588">
      <w:pPr>
        <w:jc w:val="both"/>
        <w:rPr>
          <w:sz w:val="16"/>
          <w:szCs w:val="16"/>
        </w:rPr>
      </w:pPr>
    </w:p>
    <w:p w:rsidR="003E6588" w:rsidRDefault="003E6588" w:rsidP="000E5A17">
      <w:pPr>
        <w:ind w:right="-93" w:firstLine="1134"/>
        <w:jc w:val="both"/>
        <w:rPr>
          <w:b/>
        </w:rPr>
      </w:pPr>
      <w:r>
        <w:rPr>
          <w:b/>
        </w:rPr>
        <w:t>Resumo das atividades desenvolvidas na CATI, de acordo com o Relatório de Atividades Diárias - RDA</w:t>
      </w:r>
    </w:p>
    <w:p w:rsidR="003E6588" w:rsidRPr="0006161A" w:rsidRDefault="003E6588">
      <w:pPr>
        <w:ind w:right="141" w:firstLine="1134"/>
        <w:jc w:val="both"/>
        <w:rPr>
          <w:b/>
          <w:sz w:val="16"/>
          <w:szCs w:val="16"/>
        </w:rPr>
      </w:pPr>
    </w:p>
    <w:tbl>
      <w:tblPr>
        <w:tblW w:w="8634" w:type="dxa"/>
        <w:jc w:val="center"/>
        <w:tblInd w:w="-381" w:type="dxa"/>
        <w:tblCellMar>
          <w:left w:w="70" w:type="dxa"/>
          <w:right w:w="70" w:type="dxa"/>
        </w:tblCellMar>
        <w:tblLook w:val="04A0"/>
      </w:tblPr>
      <w:tblGrid>
        <w:gridCol w:w="7075"/>
        <w:gridCol w:w="1559"/>
      </w:tblGrid>
      <w:tr w:rsidR="003E6588" w:rsidTr="001B3F5A">
        <w:trPr>
          <w:trHeight w:val="57"/>
          <w:jc w:val="center"/>
        </w:trPr>
        <w:tc>
          <w:tcPr>
            <w:tcW w:w="7075" w:type="dxa"/>
            <w:tcBorders>
              <w:top w:val="single" w:sz="8" w:space="0" w:color="auto"/>
              <w:left w:val="nil"/>
              <w:bottom w:val="single" w:sz="8" w:space="0" w:color="auto"/>
              <w:right w:val="nil"/>
            </w:tcBorders>
            <w:shd w:val="clear" w:color="auto" w:fill="auto"/>
            <w:vAlign w:val="center"/>
            <w:hideMark/>
          </w:tcPr>
          <w:p w:rsidR="003E6588" w:rsidRDefault="003E6588">
            <w:pPr>
              <w:rPr>
                <w:b/>
                <w:bCs/>
                <w:sz w:val="20"/>
                <w:szCs w:val="20"/>
              </w:rPr>
            </w:pPr>
            <w:r>
              <w:rPr>
                <w:b/>
                <w:bCs/>
                <w:sz w:val="20"/>
                <w:szCs w:val="20"/>
              </w:rPr>
              <w:t>Tipo de Atividade</w:t>
            </w:r>
          </w:p>
        </w:tc>
        <w:tc>
          <w:tcPr>
            <w:tcW w:w="1559" w:type="dxa"/>
            <w:tcBorders>
              <w:top w:val="single" w:sz="8" w:space="0" w:color="auto"/>
              <w:left w:val="nil"/>
              <w:bottom w:val="single" w:sz="8" w:space="0" w:color="auto"/>
              <w:right w:val="nil"/>
            </w:tcBorders>
            <w:shd w:val="clear" w:color="auto" w:fill="auto"/>
            <w:vAlign w:val="center"/>
            <w:hideMark/>
          </w:tcPr>
          <w:p w:rsidR="003E6588" w:rsidRDefault="003E6588">
            <w:pPr>
              <w:rPr>
                <w:b/>
                <w:bCs/>
                <w:sz w:val="20"/>
                <w:szCs w:val="20"/>
              </w:rPr>
            </w:pPr>
            <w:r>
              <w:rPr>
                <w:b/>
                <w:bCs/>
                <w:sz w:val="20"/>
                <w:szCs w:val="20"/>
              </w:rPr>
              <w:t>Total</w:t>
            </w:r>
          </w:p>
        </w:tc>
      </w:tr>
      <w:tr w:rsidR="003E6588" w:rsidTr="001B3F5A">
        <w:trPr>
          <w:trHeight w:val="57"/>
          <w:jc w:val="center"/>
        </w:trPr>
        <w:tc>
          <w:tcPr>
            <w:tcW w:w="7075" w:type="dxa"/>
            <w:tcBorders>
              <w:top w:val="single" w:sz="8" w:space="0" w:color="auto"/>
              <w:left w:val="nil"/>
              <w:bottom w:val="nil"/>
              <w:right w:val="nil"/>
            </w:tcBorders>
            <w:shd w:val="clear" w:color="auto" w:fill="auto"/>
            <w:vAlign w:val="center"/>
            <w:hideMark/>
          </w:tcPr>
          <w:p w:rsidR="003E6588" w:rsidRDefault="003E6588" w:rsidP="000E5A17">
            <w:pPr>
              <w:jc w:val="left"/>
              <w:rPr>
                <w:sz w:val="20"/>
                <w:szCs w:val="20"/>
              </w:rPr>
            </w:pPr>
            <w:r>
              <w:rPr>
                <w:sz w:val="20"/>
                <w:szCs w:val="20"/>
              </w:rPr>
              <w:t>Emissão de documentos (laudos, declarações, receitas técnicas)</w:t>
            </w:r>
          </w:p>
        </w:tc>
        <w:tc>
          <w:tcPr>
            <w:tcW w:w="1559" w:type="dxa"/>
            <w:tcBorders>
              <w:top w:val="single" w:sz="8" w:space="0" w:color="auto"/>
              <w:left w:val="nil"/>
              <w:bottom w:val="nil"/>
              <w:right w:val="nil"/>
            </w:tcBorders>
            <w:shd w:val="clear" w:color="auto" w:fill="auto"/>
            <w:vAlign w:val="center"/>
            <w:hideMark/>
          </w:tcPr>
          <w:p w:rsidR="003E6588" w:rsidRDefault="003E6588">
            <w:pPr>
              <w:rPr>
                <w:sz w:val="20"/>
                <w:szCs w:val="20"/>
              </w:rPr>
            </w:pPr>
            <w:r>
              <w:rPr>
                <w:sz w:val="20"/>
                <w:szCs w:val="20"/>
              </w:rPr>
              <w:t>44.069</w:t>
            </w:r>
          </w:p>
        </w:tc>
      </w:tr>
      <w:tr w:rsidR="003E6588">
        <w:trPr>
          <w:trHeight w:val="57"/>
          <w:jc w:val="center"/>
        </w:trPr>
        <w:tc>
          <w:tcPr>
            <w:tcW w:w="7075" w:type="dxa"/>
            <w:tcBorders>
              <w:top w:val="nil"/>
              <w:left w:val="nil"/>
              <w:bottom w:val="nil"/>
              <w:right w:val="nil"/>
            </w:tcBorders>
            <w:shd w:val="clear" w:color="auto" w:fill="auto"/>
            <w:vAlign w:val="center"/>
            <w:hideMark/>
          </w:tcPr>
          <w:p w:rsidR="003E6588" w:rsidRDefault="003E6588" w:rsidP="000E5A17">
            <w:pPr>
              <w:jc w:val="left"/>
              <w:rPr>
                <w:sz w:val="20"/>
                <w:szCs w:val="20"/>
              </w:rPr>
            </w:pPr>
            <w:r>
              <w:rPr>
                <w:sz w:val="20"/>
                <w:szCs w:val="20"/>
              </w:rPr>
              <w:t>Realização de atividades de capacitação (cursos, dias de campo)</w:t>
            </w:r>
          </w:p>
        </w:tc>
        <w:tc>
          <w:tcPr>
            <w:tcW w:w="1559" w:type="dxa"/>
            <w:tcBorders>
              <w:top w:val="nil"/>
              <w:left w:val="nil"/>
              <w:bottom w:val="nil"/>
              <w:right w:val="nil"/>
            </w:tcBorders>
            <w:shd w:val="clear" w:color="auto" w:fill="auto"/>
            <w:vAlign w:val="center"/>
            <w:hideMark/>
          </w:tcPr>
          <w:p w:rsidR="003E6588" w:rsidRDefault="003E6588">
            <w:pPr>
              <w:rPr>
                <w:sz w:val="20"/>
                <w:szCs w:val="20"/>
              </w:rPr>
            </w:pPr>
            <w:r>
              <w:rPr>
                <w:sz w:val="20"/>
                <w:szCs w:val="20"/>
              </w:rPr>
              <w:t>1.046</w:t>
            </w:r>
          </w:p>
        </w:tc>
      </w:tr>
      <w:tr w:rsidR="003E6588">
        <w:trPr>
          <w:trHeight w:val="57"/>
          <w:jc w:val="center"/>
        </w:trPr>
        <w:tc>
          <w:tcPr>
            <w:tcW w:w="7075" w:type="dxa"/>
            <w:tcBorders>
              <w:top w:val="nil"/>
              <w:left w:val="nil"/>
              <w:bottom w:val="nil"/>
              <w:right w:val="nil"/>
            </w:tcBorders>
            <w:shd w:val="clear" w:color="auto" w:fill="auto"/>
            <w:vAlign w:val="center"/>
            <w:hideMark/>
          </w:tcPr>
          <w:p w:rsidR="003E6588" w:rsidRDefault="003E6588" w:rsidP="000E5A17">
            <w:pPr>
              <w:jc w:val="left"/>
              <w:rPr>
                <w:sz w:val="20"/>
                <w:szCs w:val="20"/>
              </w:rPr>
            </w:pPr>
            <w:r>
              <w:rPr>
                <w:sz w:val="20"/>
                <w:szCs w:val="20"/>
              </w:rPr>
              <w:t>Participação em atividades de capacitação</w:t>
            </w:r>
          </w:p>
        </w:tc>
        <w:tc>
          <w:tcPr>
            <w:tcW w:w="1559" w:type="dxa"/>
            <w:tcBorders>
              <w:top w:val="nil"/>
              <w:left w:val="nil"/>
              <w:bottom w:val="nil"/>
              <w:right w:val="nil"/>
            </w:tcBorders>
            <w:shd w:val="clear" w:color="auto" w:fill="auto"/>
            <w:vAlign w:val="center"/>
            <w:hideMark/>
          </w:tcPr>
          <w:p w:rsidR="003E6588" w:rsidRDefault="003E6588">
            <w:pPr>
              <w:rPr>
                <w:sz w:val="20"/>
                <w:szCs w:val="20"/>
              </w:rPr>
            </w:pPr>
            <w:r>
              <w:rPr>
                <w:sz w:val="20"/>
                <w:szCs w:val="20"/>
              </w:rPr>
              <w:t>8.366</w:t>
            </w:r>
          </w:p>
        </w:tc>
      </w:tr>
      <w:tr w:rsidR="003E6588">
        <w:trPr>
          <w:trHeight w:val="57"/>
          <w:jc w:val="center"/>
        </w:trPr>
        <w:tc>
          <w:tcPr>
            <w:tcW w:w="7075" w:type="dxa"/>
            <w:tcBorders>
              <w:top w:val="nil"/>
              <w:left w:val="nil"/>
              <w:bottom w:val="nil"/>
              <w:right w:val="nil"/>
            </w:tcBorders>
            <w:shd w:val="clear" w:color="auto" w:fill="auto"/>
            <w:vAlign w:val="center"/>
            <w:hideMark/>
          </w:tcPr>
          <w:p w:rsidR="003E6588" w:rsidRDefault="003E6588" w:rsidP="000E5A17">
            <w:pPr>
              <w:jc w:val="left"/>
              <w:rPr>
                <w:sz w:val="20"/>
                <w:szCs w:val="20"/>
              </w:rPr>
            </w:pPr>
            <w:r>
              <w:rPr>
                <w:sz w:val="20"/>
                <w:szCs w:val="20"/>
              </w:rPr>
              <w:t>Atividades de planejamento (reuniões técnicas, elaboração de projetos)</w:t>
            </w:r>
          </w:p>
        </w:tc>
        <w:tc>
          <w:tcPr>
            <w:tcW w:w="1559" w:type="dxa"/>
            <w:tcBorders>
              <w:top w:val="nil"/>
              <w:left w:val="nil"/>
              <w:bottom w:val="nil"/>
              <w:right w:val="nil"/>
            </w:tcBorders>
            <w:shd w:val="clear" w:color="auto" w:fill="auto"/>
            <w:vAlign w:val="center"/>
            <w:hideMark/>
          </w:tcPr>
          <w:p w:rsidR="003E6588" w:rsidRDefault="003E6588">
            <w:pPr>
              <w:rPr>
                <w:sz w:val="20"/>
                <w:szCs w:val="20"/>
              </w:rPr>
            </w:pPr>
            <w:r>
              <w:rPr>
                <w:sz w:val="20"/>
                <w:szCs w:val="20"/>
              </w:rPr>
              <w:t>38.244</w:t>
            </w:r>
          </w:p>
        </w:tc>
      </w:tr>
      <w:tr w:rsidR="003E6588">
        <w:trPr>
          <w:trHeight w:val="57"/>
          <w:jc w:val="center"/>
        </w:trPr>
        <w:tc>
          <w:tcPr>
            <w:tcW w:w="7075" w:type="dxa"/>
            <w:tcBorders>
              <w:top w:val="nil"/>
              <w:left w:val="nil"/>
              <w:bottom w:val="nil"/>
              <w:right w:val="nil"/>
            </w:tcBorders>
            <w:shd w:val="clear" w:color="auto" w:fill="auto"/>
            <w:vAlign w:val="center"/>
            <w:hideMark/>
          </w:tcPr>
          <w:p w:rsidR="003E6588" w:rsidRDefault="003E6588" w:rsidP="000E5A17">
            <w:pPr>
              <w:jc w:val="left"/>
              <w:rPr>
                <w:sz w:val="20"/>
                <w:szCs w:val="20"/>
              </w:rPr>
            </w:pPr>
            <w:r>
              <w:rPr>
                <w:sz w:val="20"/>
                <w:szCs w:val="20"/>
              </w:rPr>
              <w:t>Atendimento de demandas diversas (consulta, venda de sementes, inspeções, visitas, mapeamentos, levantamentos)</w:t>
            </w:r>
          </w:p>
        </w:tc>
        <w:tc>
          <w:tcPr>
            <w:tcW w:w="1559" w:type="dxa"/>
            <w:tcBorders>
              <w:top w:val="nil"/>
              <w:left w:val="nil"/>
              <w:bottom w:val="nil"/>
              <w:right w:val="nil"/>
            </w:tcBorders>
            <w:shd w:val="clear" w:color="auto" w:fill="auto"/>
            <w:vAlign w:val="center"/>
            <w:hideMark/>
          </w:tcPr>
          <w:p w:rsidR="003E6588" w:rsidRDefault="003E6588">
            <w:pPr>
              <w:rPr>
                <w:sz w:val="20"/>
                <w:szCs w:val="20"/>
              </w:rPr>
            </w:pPr>
            <w:r>
              <w:rPr>
                <w:sz w:val="20"/>
                <w:szCs w:val="20"/>
              </w:rPr>
              <w:t>168.501</w:t>
            </w:r>
          </w:p>
        </w:tc>
      </w:tr>
      <w:tr w:rsidR="003E6588">
        <w:trPr>
          <w:trHeight w:val="57"/>
          <w:jc w:val="center"/>
        </w:trPr>
        <w:tc>
          <w:tcPr>
            <w:tcW w:w="7075" w:type="dxa"/>
            <w:tcBorders>
              <w:top w:val="nil"/>
              <w:left w:val="nil"/>
              <w:bottom w:val="nil"/>
              <w:right w:val="nil"/>
            </w:tcBorders>
            <w:shd w:val="clear" w:color="auto" w:fill="auto"/>
            <w:vAlign w:val="center"/>
            <w:hideMark/>
          </w:tcPr>
          <w:p w:rsidR="003E6588" w:rsidRDefault="003E6588" w:rsidP="000E5A17">
            <w:pPr>
              <w:jc w:val="left"/>
              <w:rPr>
                <w:sz w:val="20"/>
                <w:szCs w:val="20"/>
              </w:rPr>
            </w:pPr>
            <w:r>
              <w:rPr>
                <w:sz w:val="20"/>
                <w:szCs w:val="20"/>
              </w:rPr>
              <w:t>Suporte da área de Tecnologia da Informação (atendimento de demandas internas e externas, desenvolvimento de sistemas)</w:t>
            </w:r>
          </w:p>
        </w:tc>
        <w:tc>
          <w:tcPr>
            <w:tcW w:w="1559" w:type="dxa"/>
            <w:tcBorders>
              <w:top w:val="nil"/>
              <w:left w:val="nil"/>
              <w:bottom w:val="nil"/>
              <w:right w:val="nil"/>
            </w:tcBorders>
            <w:shd w:val="clear" w:color="auto" w:fill="auto"/>
            <w:vAlign w:val="center"/>
            <w:hideMark/>
          </w:tcPr>
          <w:p w:rsidR="003E6588" w:rsidRDefault="003E6588">
            <w:pPr>
              <w:rPr>
                <w:sz w:val="20"/>
                <w:szCs w:val="20"/>
              </w:rPr>
            </w:pPr>
            <w:r>
              <w:rPr>
                <w:sz w:val="20"/>
                <w:szCs w:val="20"/>
              </w:rPr>
              <w:t>2.535</w:t>
            </w:r>
          </w:p>
        </w:tc>
      </w:tr>
      <w:tr w:rsidR="003E6588">
        <w:trPr>
          <w:trHeight w:val="57"/>
          <w:jc w:val="center"/>
        </w:trPr>
        <w:tc>
          <w:tcPr>
            <w:tcW w:w="7075" w:type="dxa"/>
            <w:tcBorders>
              <w:top w:val="nil"/>
              <w:left w:val="nil"/>
              <w:right w:val="nil"/>
            </w:tcBorders>
            <w:shd w:val="clear" w:color="auto" w:fill="auto"/>
            <w:noWrap/>
            <w:vAlign w:val="bottom"/>
            <w:hideMark/>
          </w:tcPr>
          <w:p w:rsidR="003E6588" w:rsidRDefault="003E6588" w:rsidP="000E5A17">
            <w:pPr>
              <w:jc w:val="left"/>
              <w:rPr>
                <w:sz w:val="20"/>
                <w:szCs w:val="20"/>
              </w:rPr>
            </w:pPr>
            <w:r>
              <w:rPr>
                <w:sz w:val="20"/>
                <w:szCs w:val="20"/>
              </w:rPr>
              <w:t>Prestação de serviços</w:t>
            </w:r>
          </w:p>
        </w:tc>
        <w:tc>
          <w:tcPr>
            <w:tcW w:w="1559" w:type="dxa"/>
            <w:tcBorders>
              <w:top w:val="nil"/>
              <w:left w:val="nil"/>
              <w:right w:val="nil"/>
            </w:tcBorders>
            <w:shd w:val="clear" w:color="auto" w:fill="auto"/>
            <w:noWrap/>
            <w:vAlign w:val="bottom"/>
            <w:hideMark/>
          </w:tcPr>
          <w:p w:rsidR="003E6588" w:rsidRDefault="003E6588">
            <w:pPr>
              <w:rPr>
                <w:sz w:val="20"/>
                <w:szCs w:val="20"/>
              </w:rPr>
            </w:pPr>
            <w:r>
              <w:rPr>
                <w:sz w:val="20"/>
                <w:szCs w:val="20"/>
              </w:rPr>
              <w:t>46.462</w:t>
            </w:r>
          </w:p>
        </w:tc>
      </w:tr>
      <w:tr w:rsidR="003E6588" w:rsidTr="001B3F5A">
        <w:trPr>
          <w:trHeight w:val="57"/>
          <w:jc w:val="center"/>
        </w:trPr>
        <w:tc>
          <w:tcPr>
            <w:tcW w:w="7075" w:type="dxa"/>
            <w:tcBorders>
              <w:top w:val="nil"/>
              <w:left w:val="nil"/>
              <w:bottom w:val="single" w:sz="8" w:space="0" w:color="auto"/>
              <w:right w:val="nil"/>
            </w:tcBorders>
            <w:shd w:val="clear" w:color="auto" w:fill="auto"/>
            <w:vAlign w:val="bottom"/>
            <w:hideMark/>
          </w:tcPr>
          <w:p w:rsidR="003E6588" w:rsidRDefault="003E6588" w:rsidP="000E5A17">
            <w:pPr>
              <w:jc w:val="left"/>
              <w:rPr>
                <w:sz w:val="20"/>
                <w:szCs w:val="20"/>
              </w:rPr>
            </w:pPr>
            <w:r>
              <w:rPr>
                <w:sz w:val="20"/>
                <w:szCs w:val="20"/>
              </w:rPr>
              <w:t>Outras atividades (assessoria técnica, ações de divulgação)</w:t>
            </w:r>
          </w:p>
        </w:tc>
        <w:tc>
          <w:tcPr>
            <w:tcW w:w="1559" w:type="dxa"/>
            <w:tcBorders>
              <w:top w:val="nil"/>
              <w:left w:val="nil"/>
              <w:bottom w:val="single" w:sz="8" w:space="0" w:color="auto"/>
              <w:right w:val="nil"/>
            </w:tcBorders>
            <w:shd w:val="clear" w:color="auto" w:fill="auto"/>
            <w:vAlign w:val="center"/>
            <w:hideMark/>
          </w:tcPr>
          <w:p w:rsidR="003E6588" w:rsidRDefault="003E6588">
            <w:pPr>
              <w:rPr>
                <w:sz w:val="20"/>
                <w:szCs w:val="20"/>
              </w:rPr>
            </w:pPr>
            <w:r>
              <w:rPr>
                <w:sz w:val="20"/>
                <w:szCs w:val="20"/>
              </w:rPr>
              <w:t>32.391</w:t>
            </w:r>
          </w:p>
        </w:tc>
      </w:tr>
      <w:tr w:rsidR="003E6588" w:rsidTr="001B3F5A">
        <w:trPr>
          <w:trHeight w:val="57"/>
          <w:jc w:val="center"/>
        </w:trPr>
        <w:tc>
          <w:tcPr>
            <w:tcW w:w="7075" w:type="dxa"/>
            <w:tcBorders>
              <w:top w:val="single" w:sz="8" w:space="0" w:color="auto"/>
              <w:left w:val="nil"/>
              <w:bottom w:val="single" w:sz="8" w:space="0" w:color="auto"/>
              <w:right w:val="nil"/>
            </w:tcBorders>
            <w:shd w:val="clear" w:color="auto" w:fill="auto"/>
            <w:vAlign w:val="center"/>
            <w:hideMark/>
          </w:tcPr>
          <w:p w:rsidR="003E6588" w:rsidRDefault="003E6588" w:rsidP="000B028A">
            <w:pPr>
              <w:jc w:val="left"/>
              <w:rPr>
                <w:b/>
                <w:bCs/>
                <w:sz w:val="20"/>
                <w:szCs w:val="20"/>
              </w:rPr>
            </w:pPr>
            <w:r>
              <w:rPr>
                <w:b/>
                <w:bCs/>
                <w:sz w:val="20"/>
                <w:szCs w:val="20"/>
              </w:rPr>
              <w:t>TOTAL DE ATIVIDADES</w:t>
            </w:r>
          </w:p>
        </w:tc>
        <w:tc>
          <w:tcPr>
            <w:tcW w:w="1559" w:type="dxa"/>
            <w:tcBorders>
              <w:top w:val="single" w:sz="8" w:space="0" w:color="auto"/>
              <w:left w:val="nil"/>
              <w:bottom w:val="single" w:sz="8" w:space="0" w:color="auto"/>
              <w:right w:val="nil"/>
            </w:tcBorders>
            <w:shd w:val="clear" w:color="auto" w:fill="auto"/>
            <w:noWrap/>
            <w:vAlign w:val="center"/>
            <w:hideMark/>
          </w:tcPr>
          <w:p w:rsidR="003E6588" w:rsidRDefault="003E6588">
            <w:pPr>
              <w:rPr>
                <w:b/>
                <w:bCs/>
                <w:sz w:val="20"/>
                <w:szCs w:val="20"/>
              </w:rPr>
            </w:pPr>
            <w:r>
              <w:rPr>
                <w:b/>
                <w:bCs/>
                <w:sz w:val="20"/>
                <w:szCs w:val="20"/>
              </w:rPr>
              <w:t>341.615</w:t>
            </w:r>
          </w:p>
        </w:tc>
      </w:tr>
      <w:tr w:rsidR="003E6588" w:rsidTr="001B3F5A">
        <w:trPr>
          <w:trHeight w:val="57"/>
          <w:jc w:val="center"/>
        </w:trPr>
        <w:tc>
          <w:tcPr>
            <w:tcW w:w="7075" w:type="dxa"/>
            <w:tcBorders>
              <w:top w:val="single" w:sz="8" w:space="0" w:color="auto"/>
              <w:left w:val="nil"/>
              <w:bottom w:val="nil"/>
              <w:right w:val="nil"/>
            </w:tcBorders>
            <w:shd w:val="clear" w:color="auto" w:fill="auto"/>
            <w:vAlign w:val="center"/>
            <w:hideMark/>
          </w:tcPr>
          <w:p w:rsidR="003E6588" w:rsidRDefault="003E6588" w:rsidP="000E5A17">
            <w:pPr>
              <w:jc w:val="both"/>
              <w:rPr>
                <w:sz w:val="16"/>
                <w:szCs w:val="16"/>
              </w:rPr>
            </w:pPr>
            <w:r>
              <w:rPr>
                <w:sz w:val="16"/>
                <w:szCs w:val="16"/>
              </w:rPr>
              <w:t>Fonte: CIAGRO/CATI/SAA</w:t>
            </w:r>
          </w:p>
        </w:tc>
        <w:tc>
          <w:tcPr>
            <w:tcW w:w="1559" w:type="dxa"/>
            <w:tcBorders>
              <w:top w:val="single" w:sz="8" w:space="0" w:color="auto"/>
              <w:left w:val="nil"/>
              <w:bottom w:val="nil"/>
              <w:right w:val="nil"/>
            </w:tcBorders>
            <w:shd w:val="clear" w:color="auto" w:fill="auto"/>
            <w:noWrap/>
            <w:vAlign w:val="center"/>
            <w:hideMark/>
          </w:tcPr>
          <w:p w:rsidR="003E6588" w:rsidRDefault="003E6588">
            <w:pPr>
              <w:jc w:val="both"/>
              <w:rPr>
                <w:sz w:val="16"/>
                <w:szCs w:val="16"/>
              </w:rPr>
            </w:pPr>
          </w:p>
        </w:tc>
      </w:tr>
    </w:tbl>
    <w:p w:rsidR="003E6588" w:rsidRPr="0006161A" w:rsidRDefault="003E6588">
      <w:pPr>
        <w:ind w:firstLine="1134"/>
        <w:jc w:val="both"/>
        <w:rPr>
          <w:b/>
          <w:bCs/>
          <w:sz w:val="16"/>
          <w:szCs w:val="16"/>
        </w:rPr>
      </w:pPr>
    </w:p>
    <w:p w:rsidR="003E6588" w:rsidRPr="000E5A17" w:rsidRDefault="003E6588">
      <w:pPr>
        <w:ind w:firstLine="1134"/>
        <w:jc w:val="both"/>
        <w:rPr>
          <w:bCs/>
        </w:rPr>
      </w:pPr>
      <w:r w:rsidRPr="000E5A17">
        <w:rPr>
          <w:bCs/>
        </w:rPr>
        <w:t>Na área de crédito rural, a CATI é responsável pela emissão de declarações de aptidão para acesso ao Fundo de Expansão do Agronegócio Paulista - FEAP e ao Programa Nacional de Fortalecimento da Agricultura Familiar, e pela elaboração do plano simples de financiamento.</w:t>
      </w:r>
    </w:p>
    <w:p w:rsidR="003E6588" w:rsidRDefault="003E6588">
      <w:pPr>
        <w:ind w:firstLine="1134"/>
        <w:jc w:val="both"/>
        <w:rPr>
          <w:bCs/>
        </w:rPr>
      </w:pPr>
      <w:r w:rsidRPr="000E5A17">
        <w:rPr>
          <w:bCs/>
        </w:rPr>
        <w:lastRenderedPageBreak/>
        <w:t>Por</w:t>
      </w:r>
      <w:r>
        <w:rPr>
          <w:bCs/>
        </w:rPr>
        <w:t xml:space="preserve"> meio de convênio firmado entre a SAA e o Banco do </w:t>
      </w:r>
      <w:r w:rsidRPr="001B3F5A">
        <w:rPr>
          <w:bCs/>
        </w:rPr>
        <w:t>Brasil, a CATI</w:t>
      </w:r>
      <w:r>
        <w:rPr>
          <w:bCs/>
        </w:rPr>
        <w:t xml:space="preserve"> assessora o produtor elaborando proposta de crédito, intermediando a contratação junto ao banco e realizando três visitas de assistência técnica para </w:t>
      </w:r>
      <w:r w:rsidR="000E5A17">
        <w:rPr>
          <w:bCs/>
        </w:rPr>
        <w:t>acompanhamento do projeto.</w:t>
      </w:r>
    </w:p>
    <w:p w:rsidR="003E6588" w:rsidRDefault="003E6588">
      <w:pPr>
        <w:ind w:firstLine="1134"/>
        <w:jc w:val="both"/>
        <w:rPr>
          <w:bCs/>
        </w:rPr>
      </w:pPr>
    </w:p>
    <w:p w:rsidR="003E6588" w:rsidRDefault="003E6588">
      <w:pPr>
        <w:ind w:firstLine="1134"/>
        <w:jc w:val="both"/>
        <w:rPr>
          <w:bCs/>
        </w:rPr>
      </w:pPr>
      <w:r>
        <w:rPr>
          <w:bCs/>
        </w:rPr>
        <w:t>A CATI protocolou 278 propostas de crédito rural junto ao Banco do Brasil, representando R$ 11,3 milhões aplicados na maior parte em empreendimentos de natureza familiar, principalmente nas atividades de olericultura, bovinocultura de leite e fruticultura.</w:t>
      </w:r>
    </w:p>
    <w:p w:rsidR="003E6588" w:rsidRDefault="003E6588">
      <w:pPr>
        <w:ind w:firstLine="1134"/>
        <w:jc w:val="both"/>
        <w:rPr>
          <w:bCs/>
        </w:rPr>
      </w:pPr>
    </w:p>
    <w:p w:rsidR="003E6588" w:rsidRPr="000E5A17" w:rsidRDefault="003E6588">
      <w:pPr>
        <w:ind w:firstLine="1134"/>
        <w:jc w:val="both"/>
        <w:rPr>
          <w:bCs/>
        </w:rPr>
      </w:pPr>
      <w:r w:rsidRPr="000E5A17">
        <w:rPr>
          <w:bCs/>
        </w:rPr>
        <w:t>No FEAP</w:t>
      </w:r>
      <w:r w:rsidR="000E5A17" w:rsidRPr="000E5A17">
        <w:rPr>
          <w:bCs/>
        </w:rPr>
        <w:t>,</w:t>
      </w:r>
      <w:r w:rsidRPr="000E5A17">
        <w:rPr>
          <w:bCs/>
        </w:rPr>
        <w:t xml:space="preserve"> a CATI elaborou 3.493 planos simples de financiamentos para os Programas “Pró-Trator” e “Pró-Implemento” que somaram, respectivamente, R$ 172.604.230,30 e R$ 66.636.382,21 em cada programa.</w:t>
      </w:r>
    </w:p>
    <w:p w:rsidR="003E6588" w:rsidRDefault="003E6588">
      <w:pPr>
        <w:jc w:val="both"/>
        <w:rPr>
          <w:bCs/>
        </w:rPr>
      </w:pPr>
    </w:p>
    <w:p w:rsidR="003E6588" w:rsidRDefault="003E6588">
      <w:pPr>
        <w:ind w:firstLine="1134"/>
        <w:jc w:val="both"/>
        <w:rPr>
          <w:b/>
          <w:bCs/>
        </w:rPr>
      </w:pPr>
      <w:r>
        <w:rPr>
          <w:b/>
          <w:bCs/>
        </w:rPr>
        <w:t>Práticas de Manejo de Solo Sustentáveis para Mitigação das Emissões de Carbono</w:t>
      </w:r>
    </w:p>
    <w:p w:rsidR="003E6588" w:rsidRDefault="003E6588">
      <w:pPr>
        <w:ind w:firstLine="1134"/>
        <w:jc w:val="both"/>
        <w:rPr>
          <w:b/>
          <w:bCs/>
        </w:rPr>
      </w:pPr>
    </w:p>
    <w:p w:rsidR="003E6588" w:rsidRDefault="003E6588">
      <w:pPr>
        <w:ind w:firstLine="1134"/>
        <w:jc w:val="both"/>
      </w:pPr>
      <w:r w:rsidRPr="000E5A17">
        <w:rPr>
          <w:bCs/>
        </w:rPr>
        <w:t>Finalidade -</w:t>
      </w:r>
      <w:r>
        <w:rPr>
          <w:bCs/>
        </w:rPr>
        <w:t xml:space="preserve"> Implantar ações junto à comunidade rural voltadas à mitigação de carbono, visando à </w:t>
      </w:r>
      <w:r>
        <w:t>sustentabilidade ambiental, em consonância com a Política Estadual de Mudanças Climáticas.</w:t>
      </w:r>
    </w:p>
    <w:p w:rsidR="003E6588" w:rsidRDefault="003E6588">
      <w:pPr>
        <w:ind w:firstLine="1134"/>
        <w:jc w:val="both"/>
      </w:pPr>
    </w:p>
    <w:p w:rsidR="003E6588" w:rsidRPr="008D374C" w:rsidRDefault="003E6588">
      <w:pPr>
        <w:ind w:firstLine="1134"/>
        <w:jc w:val="both"/>
      </w:pPr>
      <w:r w:rsidRPr="008D374C">
        <w:t xml:space="preserve">Para atender as metas do Programa Estadual de Mudanças Climáticas, a Secretaria de Agricultura e Abastecimento </w:t>
      </w:r>
      <w:r w:rsidR="000E5A17" w:rsidRPr="008D374C">
        <w:t xml:space="preserve">- </w:t>
      </w:r>
      <w:r w:rsidRPr="008D374C">
        <w:t xml:space="preserve">SAA, por meio da Deliberação CO nº 12/2013 estabeleceu o Projeto Integra SP - Recuperação de Áreas Degradadas por Grandes Erosões - RADGE, que incumbiu a CATI </w:t>
      </w:r>
      <w:r w:rsidR="000E5A17" w:rsidRPr="008D374C">
        <w:t>d</w:t>
      </w:r>
      <w:r w:rsidRPr="008D374C">
        <w:t>a elaboração e acompanhamento dos projetos técnicos para fins de obtenção das subvenções econômicas e cujas atividades são apresentadas.</w:t>
      </w:r>
    </w:p>
    <w:p w:rsidR="003E6588" w:rsidRPr="008D374C" w:rsidRDefault="003E6588">
      <w:pPr>
        <w:ind w:firstLine="1134"/>
        <w:jc w:val="both"/>
      </w:pPr>
    </w:p>
    <w:p w:rsidR="003E6588" w:rsidRDefault="003E6588">
      <w:pPr>
        <w:ind w:firstLine="1134"/>
        <w:jc w:val="both"/>
      </w:pPr>
      <w:r>
        <w:t>As principais atividades desenvolvidas 1 dentro de cada cadeia produtiva, de acordo com informação do sistema de gestão dos projetos, são apresentadas.</w:t>
      </w:r>
    </w:p>
    <w:p w:rsidR="003E6588" w:rsidRDefault="003E6588">
      <w:pPr>
        <w:ind w:firstLine="1134"/>
        <w:jc w:val="both"/>
      </w:pPr>
    </w:p>
    <w:p w:rsidR="003E6588" w:rsidRDefault="003E6588">
      <w:pPr>
        <w:ind w:right="49" w:firstLine="1134"/>
        <w:jc w:val="both"/>
        <w:rPr>
          <w:b/>
        </w:rPr>
      </w:pPr>
      <w:r>
        <w:rPr>
          <w:b/>
        </w:rPr>
        <w:t>Atividades desenvolvidas nos "Projetos Institucionais"</w:t>
      </w:r>
      <w:r w:rsidR="008D374C">
        <w:rPr>
          <w:b/>
        </w:rPr>
        <w:t>,</w:t>
      </w:r>
      <w:r>
        <w:rPr>
          <w:b/>
        </w:rPr>
        <w:t xml:space="preserve"> com recursos da Mitigação de Carbono</w:t>
      </w:r>
    </w:p>
    <w:p w:rsidR="003E6588" w:rsidRDefault="003E6588">
      <w:pPr>
        <w:ind w:left="567" w:right="566"/>
        <w:jc w:val="both"/>
        <w:rPr>
          <w:b/>
          <w:sz w:val="22"/>
          <w:szCs w:val="22"/>
        </w:rPr>
      </w:pPr>
    </w:p>
    <w:tbl>
      <w:tblPr>
        <w:tblW w:w="9239" w:type="dxa"/>
        <w:jc w:val="center"/>
        <w:tblInd w:w="-832" w:type="dxa"/>
        <w:tblCellMar>
          <w:left w:w="70" w:type="dxa"/>
          <w:right w:w="70" w:type="dxa"/>
        </w:tblCellMar>
        <w:tblLook w:val="04A0"/>
      </w:tblPr>
      <w:tblGrid>
        <w:gridCol w:w="3036"/>
        <w:gridCol w:w="1985"/>
        <w:gridCol w:w="1701"/>
        <w:gridCol w:w="1559"/>
        <w:gridCol w:w="958"/>
      </w:tblGrid>
      <w:tr w:rsidR="003E6588">
        <w:trPr>
          <w:trHeight w:val="20"/>
          <w:jc w:val="center"/>
        </w:trPr>
        <w:tc>
          <w:tcPr>
            <w:tcW w:w="3036" w:type="dxa"/>
            <w:tcBorders>
              <w:top w:val="single" w:sz="8" w:space="0" w:color="auto"/>
              <w:left w:val="nil"/>
              <w:bottom w:val="single" w:sz="8" w:space="0" w:color="auto"/>
              <w:right w:val="nil"/>
            </w:tcBorders>
            <w:shd w:val="clear" w:color="auto" w:fill="auto"/>
            <w:vAlign w:val="center"/>
            <w:hideMark/>
          </w:tcPr>
          <w:p w:rsidR="003E6588" w:rsidRDefault="003E6588">
            <w:pPr>
              <w:rPr>
                <w:b/>
                <w:bCs/>
                <w:color w:val="000000"/>
                <w:sz w:val="20"/>
                <w:szCs w:val="20"/>
              </w:rPr>
            </w:pPr>
            <w:r>
              <w:rPr>
                <w:b/>
                <w:bCs/>
                <w:color w:val="000000"/>
                <w:sz w:val="20"/>
                <w:szCs w:val="20"/>
              </w:rPr>
              <w:t>PROJETO</w:t>
            </w:r>
          </w:p>
        </w:tc>
        <w:tc>
          <w:tcPr>
            <w:tcW w:w="1985" w:type="dxa"/>
            <w:tcBorders>
              <w:top w:val="single" w:sz="8" w:space="0" w:color="auto"/>
              <w:left w:val="nil"/>
              <w:bottom w:val="single" w:sz="8" w:space="0" w:color="auto"/>
              <w:right w:val="nil"/>
            </w:tcBorders>
            <w:shd w:val="clear" w:color="auto" w:fill="auto"/>
            <w:vAlign w:val="center"/>
            <w:hideMark/>
          </w:tcPr>
          <w:p w:rsidR="003E6588" w:rsidRDefault="003E6588">
            <w:pPr>
              <w:rPr>
                <w:b/>
                <w:bCs/>
                <w:color w:val="000000"/>
                <w:sz w:val="20"/>
                <w:szCs w:val="20"/>
              </w:rPr>
            </w:pPr>
            <w:r>
              <w:rPr>
                <w:b/>
                <w:bCs/>
                <w:color w:val="000000"/>
                <w:sz w:val="20"/>
                <w:szCs w:val="20"/>
              </w:rPr>
              <w:t>Acompanhamento Regional</w:t>
            </w:r>
            <w:r>
              <w:rPr>
                <w:b/>
                <w:bCs/>
                <w:color w:val="000000"/>
                <w:sz w:val="20"/>
                <w:szCs w:val="20"/>
                <w:vertAlign w:val="superscript"/>
              </w:rPr>
              <w:t>1</w:t>
            </w:r>
          </w:p>
        </w:tc>
        <w:tc>
          <w:tcPr>
            <w:tcW w:w="1701" w:type="dxa"/>
            <w:tcBorders>
              <w:top w:val="single" w:sz="8" w:space="0" w:color="auto"/>
              <w:left w:val="nil"/>
              <w:bottom w:val="single" w:sz="8" w:space="0" w:color="auto"/>
              <w:right w:val="nil"/>
            </w:tcBorders>
            <w:shd w:val="clear" w:color="auto" w:fill="auto"/>
            <w:vAlign w:val="center"/>
            <w:hideMark/>
          </w:tcPr>
          <w:p w:rsidR="003E6588" w:rsidRDefault="003E6588">
            <w:pPr>
              <w:rPr>
                <w:b/>
                <w:bCs/>
                <w:color w:val="000000"/>
                <w:sz w:val="20"/>
                <w:szCs w:val="20"/>
              </w:rPr>
            </w:pPr>
            <w:r>
              <w:rPr>
                <w:b/>
                <w:bCs/>
                <w:color w:val="000000"/>
                <w:sz w:val="20"/>
                <w:szCs w:val="20"/>
              </w:rPr>
              <w:t>Capacitações</w:t>
            </w:r>
            <w:r>
              <w:rPr>
                <w:b/>
                <w:bCs/>
                <w:color w:val="000000"/>
                <w:sz w:val="20"/>
                <w:szCs w:val="20"/>
                <w:vertAlign w:val="superscript"/>
              </w:rPr>
              <w:t>2</w:t>
            </w:r>
          </w:p>
        </w:tc>
        <w:tc>
          <w:tcPr>
            <w:tcW w:w="1559" w:type="dxa"/>
            <w:tcBorders>
              <w:top w:val="single" w:sz="8" w:space="0" w:color="auto"/>
              <w:left w:val="nil"/>
              <w:bottom w:val="single" w:sz="8" w:space="0" w:color="auto"/>
              <w:right w:val="nil"/>
            </w:tcBorders>
            <w:shd w:val="clear" w:color="auto" w:fill="auto"/>
            <w:vAlign w:val="center"/>
            <w:hideMark/>
          </w:tcPr>
          <w:p w:rsidR="003E6588" w:rsidRDefault="003E6588">
            <w:pPr>
              <w:rPr>
                <w:b/>
                <w:bCs/>
                <w:color w:val="000000"/>
                <w:sz w:val="20"/>
                <w:szCs w:val="20"/>
              </w:rPr>
            </w:pPr>
            <w:r>
              <w:rPr>
                <w:b/>
                <w:bCs/>
                <w:color w:val="000000"/>
                <w:sz w:val="20"/>
                <w:szCs w:val="20"/>
              </w:rPr>
              <w:t>Unidade Demonstrativa</w:t>
            </w:r>
          </w:p>
        </w:tc>
        <w:tc>
          <w:tcPr>
            <w:tcW w:w="958" w:type="dxa"/>
            <w:tcBorders>
              <w:top w:val="single" w:sz="8" w:space="0" w:color="auto"/>
              <w:left w:val="nil"/>
              <w:bottom w:val="single" w:sz="8" w:space="0" w:color="auto"/>
              <w:right w:val="nil"/>
            </w:tcBorders>
            <w:shd w:val="clear" w:color="auto" w:fill="auto"/>
            <w:vAlign w:val="center"/>
            <w:hideMark/>
          </w:tcPr>
          <w:p w:rsidR="003E6588" w:rsidRDefault="003E6588">
            <w:pPr>
              <w:rPr>
                <w:b/>
                <w:bCs/>
                <w:color w:val="000000"/>
                <w:sz w:val="20"/>
                <w:szCs w:val="20"/>
              </w:rPr>
            </w:pPr>
            <w:r>
              <w:rPr>
                <w:b/>
                <w:bCs/>
                <w:color w:val="000000"/>
                <w:sz w:val="20"/>
                <w:szCs w:val="20"/>
              </w:rPr>
              <w:t>Visita</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Demanda</w:t>
            </w:r>
            <w:r>
              <w:rPr>
                <w:color w:val="000000"/>
                <w:sz w:val="20"/>
                <w:szCs w:val="20"/>
                <w:vertAlign w:val="superscript"/>
              </w:rPr>
              <w:t>3</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5.952</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147</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6.235</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Aquicultura</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270</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47</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534</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Bov. de Corte</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348</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94</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8</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2.827</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Bov. de Leite</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1.536</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219</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14</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6.294</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Cafeicultura</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200</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56</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5</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1.673</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Fruticultura</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794</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118</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1.772</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Heveicultura</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391</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77</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2</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977</w:t>
            </w:r>
          </w:p>
        </w:tc>
      </w:tr>
      <w:tr w:rsidR="003E6588">
        <w:trPr>
          <w:trHeight w:val="20"/>
          <w:jc w:val="center"/>
        </w:trPr>
        <w:tc>
          <w:tcPr>
            <w:tcW w:w="3036" w:type="dxa"/>
            <w:tcBorders>
              <w:top w:val="nil"/>
              <w:left w:val="nil"/>
              <w:bottom w:val="nil"/>
              <w:right w:val="nil"/>
            </w:tcBorders>
            <w:shd w:val="clear" w:color="auto" w:fill="auto"/>
            <w:vAlign w:val="bottom"/>
            <w:hideMark/>
          </w:tcPr>
          <w:p w:rsidR="003E6588" w:rsidRDefault="003E6588">
            <w:pPr>
              <w:jc w:val="both"/>
              <w:rPr>
                <w:color w:val="000000"/>
                <w:sz w:val="20"/>
                <w:szCs w:val="20"/>
              </w:rPr>
            </w:pPr>
            <w:r>
              <w:rPr>
                <w:color w:val="000000"/>
                <w:sz w:val="20"/>
                <w:szCs w:val="20"/>
              </w:rPr>
              <w:t>Olericultura</w:t>
            </w:r>
          </w:p>
        </w:tc>
        <w:tc>
          <w:tcPr>
            <w:tcW w:w="1985"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1.098</w:t>
            </w:r>
          </w:p>
        </w:tc>
        <w:tc>
          <w:tcPr>
            <w:tcW w:w="1701"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307</w:t>
            </w:r>
          </w:p>
        </w:tc>
        <w:tc>
          <w:tcPr>
            <w:tcW w:w="1559"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6</w:t>
            </w:r>
          </w:p>
        </w:tc>
        <w:tc>
          <w:tcPr>
            <w:tcW w:w="958" w:type="dxa"/>
            <w:tcBorders>
              <w:top w:val="nil"/>
              <w:left w:val="nil"/>
              <w:bottom w:val="nil"/>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3.525</w:t>
            </w:r>
          </w:p>
        </w:tc>
      </w:tr>
      <w:tr w:rsidR="003E6588">
        <w:trPr>
          <w:trHeight w:val="20"/>
          <w:jc w:val="center"/>
        </w:trPr>
        <w:tc>
          <w:tcPr>
            <w:tcW w:w="3036" w:type="dxa"/>
            <w:tcBorders>
              <w:top w:val="nil"/>
              <w:left w:val="nil"/>
              <w:bottom w:val="single" w:sz="8" w:space="0" w:color="auto"/>
              <w:right w:val="nil"/>
            </w:tcBorders>
            <w:shd w:val="clear" w:color="auto" w:fill="auto"/>
            <w:vAlign w:val="bottom"/>
            <w:hideMark/>
          </w:tcPr>
          <w:p w:rsidR="003E6588" w:rsidRDefault="003E6588">
            <w:pPr>
              <w:jc w:val="both"/>
              <w:rPr>
                <w:color w:val="000000"/>
                <w:sz w:val="20"/>
                <w:szCs w:val="20"/>
              </w:rPr>
            </w:pPr>
            <w:r>
              <w:rPr>
                <w:color w:val="000000"/>
                <w:sz w:val="20"/>
                <w:szCs w:val="20"/>
              </w:rPr>
              <w:t>Recuperação de Áreas Degradadas</w:t>
            </w:r>
          </w:p>
        </w:tc>
        <w:tc>
          <w:tcPr>
            <w:tcW w:w="1985"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438</w:t>
            </w:r>
          </w:p>
        </w:tc>
        <w:tc>
          <w:tcPr>
            <w:tcW w:w="1701"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137</w:t>
            </w:r>
          </w:p>
        </w:tc>
        <w:tc>
          <w:tcPr>
            <w:tcW w:w="1559"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8</w:t>
            </w:r>
          </w:p>
        </w:tc>
        <w:tc>
          <w:tcPr>
            <w:tcW w:w="958"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color w:val="000000"/>
                <w:sz w:val="20"/>
                <w:szCs w:val="20"/>
              </w:rPr>
            </w:pPr>
            <w:r>
              <w:rPr>
                <w:color w:val="000000"/>
                <w:sz w:val="20"/>
                <w:szCs w:val="20"/>
              </w:rPr>
              <w:t>1.331</w:t>
            </w:r>
          </w:p>
        </w:tc>
      </w:tr>
      <w:tr w:rsidR="003E6588">
        <w:trPr>
          <w:trHeight w:val="20"/>
          <w:jc w:val="center"/>
        </w:trPr>
        <w:tc>
          <w:tcPr>
            <w:tcW w:w="3036" w:type="dxa"/>
            <w:tcBorders>
              <w:top w:val="nil"/>
              <w:left w:val="nil"/>
              <w:bottom w:val="single" w:sz="8" w:space="0" w:color="auto"/>
              <w:right w:val="nil"/>
            </w:tcBorders>
            <w:shd w:val="clear" w:color="auto" w:fill="auto"/>
            <w:vAlign w:val="bottom"/>
            <w:hideMark/>
          </w:tcPr>
          <w:p w:rsidR="003E6588" w:rsidRDefault="003E6588">
            <w:pPr>
              <w:jc w:val="both"/>
              <w:rPr>
                <w:b/>
                <w:bCs/>
                <w:color w:val="000000"/>
                <w:sz w:val="20"/>
                <w:szCs w:val="20"/>
              </w:rPr>
            </w:pPr>
            <w:r>
              <w:rPr>
                <w:b/>
                <w:bCs/>
                <w:color w:val="000000"/>
                <w:sz w:val="20"/>
                <w:szCs w:val="20"/>
              </w:rPr>
              <w:t>Total</w:t>
            </w:r>
          </w:p>
        </w:tc>
        <w:tc>
          <w:tcPr>
            <w:tcW w:w="1985"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b/>
                <w:bCs/>
                <w:color w:val="000000"/>
                <w:sz w:val="20"/>
                <w:szCs w:val="20"/>
              </w:rPr>
            </w:pPr>
            <w:r>
              <w:rPr>
                <w:b/>
                <w:bCs/>
                <w:color w:val="000000"/>
                <w:sz w:val="20"/>
                <w:szCs w:val="20"/>
              </w:rPr>
              <w:t>11.027</w:t>
            </w:r>
          </w:p>
        </w:tc>
        <w:tc>
          <w:tcPr>
            <w:tcW w:w="1701"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b/>
                <w:bCs/>
                <w:color w:val="000000"/>
                <w:sz w:val="20"/>
                <w:szCs w:val="20"/>
              </w:rPr>
            </w:pPr>
            <w:r>
              <w:rPr>
                <w:b/>
                <w:bCs/>
                <w:color w:val="000000"/>
                <w:sz w:val="20"/>
                <w:szCs w:val="20"/>
              </w:rPr>
              <w:t>1.202</w:t>
            </w:r>
          </w:p>
        </w:tc>
        <w:tc>
          <w:tcPr>
            <w:tcW w:w="1559"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b/>
                <w:bCs/>
                <w:color w:val="000000"/>
                <w:sz w:val="20"/>
                <w:szCs w:val="20"/>
              </w:rPr>
            </w:pPr>
            <w:r>
              <w:rPr>
                <w:b/>
                <w:bCs/>
                <w:color w:val="000000"/>
                <w:sz w:val="20"/>
                <w:szCs w:val="20"/>
              </w:rPr>
              <w:t>45</w:t>
            </w:r>
          </w:p>
        </w:tc>
        <w:tc>
          <w:tcPr>
            <w:tcW w:w="958" w:type="dxa"/>
            <w:tcBorders>
              <w:top w:val="nil"/>
              <w:left w:val="nil"/>
              <w:bottom w:val="single" w:sz="8" w:space="0" w:color="auto"/>
              <w:right w:val="nil"/>
            </w:tcBorders>
            <w:shd w:val="clear" w:color="auto" w:fill="auto"/>
            <w:noWrap/>
            <w:vAlign w:val="bottom"/>
            <w:hideMark/>
          </w:tcPr>
          <w:p w:rsidR="003E6588" w:rsidRDefault="003E6588">
            <w:pPr>
              <w:tabs>
                <w:tab w:val="left" w:pos="1935"/>
              </w:tabs>
              <w:ind w:right="-54"/>
              <w:rPr>
                <w:b/>
                <w:bCs/>
                <w:color w:val="000000"/>
                <w:sz w:val="20"/>
                <w:szCs w:val="20"/>
              </w:rPr>
            </w:pPr>
            <w:r>
              <w:rPr>
                <w:b/>
                <w:bCs/>
                <w:color w:val="000000"/>
                <w:sz w:val="20"/>
                <w:szCs w:val="20"/>
              </w:rPr>
              <w:t>25.168</w:t>
            </w:r>
          </w:p>
        </w:tc>
      </w:tr>
    </w:tbl>
    <w:p w:rsidR="003E6588" w:rsidRDefault="003E6588">
      <w:pPr>
        <w:ind w:left="567"/>
        <w:jc w:val="both"/>
        <w:rPr>
          <w:bCs/>
          <w:sz w:val="16"/>
          <w:szCs w:val="16"/>
        </w:rPr>
      </w:pPr>
      <w:r>
        <w:rPr>
          <w:bCs/>
          <w:sz w:val="16"/>
          <w:szCs w:val="16"/>
          <w:vertAlign w:val="superscript"/>
        </w:rPr>
        <w:t>1</w:t>
      </w:r>
      <w:r>
        <w:rPr>
          <w:b/>
          <w:bCs/>
          <w:sz w:val="16"/>
          <w:szCs w:val="16"/>
          <w:vertAlign w:val="superscript"/>
        </w:rPr>
        <w:t xml:space="preserve"> </w:t>
      </w:r>
      <w:r>
        <w:rPr>
          <w:bCs/>
          <w:sz w:val="16"/>
          <w:szCs w:val="16"/>
        </w:rPr>
        <w:t>Atendimento do técnico da regional para apoiar ou atender a uma solicitação da Casa da Agricultura;</w:t>
      </w:r>
    </w:p>
    <w:p w:rsidR="003E6588" w:rsidRDefault="003E6588">
      <w:pPr>
        <w:ind w:left="567"/>
        <w:jc w:val="both"/>
        <w:rPr>
          <w:sz w:val="16"/>
          <w:szCs w:val="16"/>
        </w:rPr>
      </w:pPr>
      <w:r>
        <w:rPr>
          <w:sz w:val="16"/>
          <w:szCs w:val="16"/>
          <w:vertAlign w:val="superscript"/>
        </w:rPr>
        <w:t xml:space="preserve">2 </w:t>
      </w:r>
      <w:r>
        <w:rPr>
          <w:sz w:val="16"/>
          <w:szCs w:val="16"/>
        </w:rPr>
        <w:t>Número de eventos realizados;</w:t>
      </w:r>
    </w:p>
    <w:p w:rsidR="003E6588" w:rsidRDefault="003E6588">
      <w:pPr>
        <w:ind w:left="567"/>
        <w:jc w:val="both"/>
        <w:rPr>
          <w:sz w:val="16"/>
          <w:szCs w:val="16"/>
        </w:rPr>
      </w:pPr>
      <w:r>
        <w:rPr>
          <w:color w:val="000000"/>
          <w:sz w:val="16"/>
          <w:szCs w:val="16"/>
          <w:vertAlign w:val="superscript"/>
        </w:rPr>
        <w:t>3</w:t>
      </w:r>
      <w:r>
        <w:rPr>
          <w:color w:val="000000"/>
          <w:sz w:val="16"/>
          <w:szCs w:val="16"/>
        </w:rPr>
        <w:t xml:space="preserve"> Demanda refere-se a execução de atividades na Casa da Agricultura em um projeto não cadastrado.</w:t>
      </w:r>
    </w:p>
    <w:p w:rsidR="003E6588" w:rsidRDefault="003E6588">
      <w:pPr>
        <w:ind w:left="567"/>
        <w:jc w:val="both"/>
        <w:rPr>
          <w:sz w:val="16"/>
          <w:szCs w:val="16"/>
        </w:rPr>
      </w:pPr>
      <w:r>
        <w:rPr>
          <w:sz w:val="16"/>
          <w:szCs w:val="16"/>
        </w:rPr>
        <w:t>Fonte: Sistema de Gestão dos Projetos Institucionais/CATI/SAA.</w:t>
      </w:r>
    </w:p>
    <w:p w:rsidR="003E6588" w:rsidRPr="008D374C" w:rsidRDefault="003E6588">
      <w:pPr>
        <w:ind w:firstLine="1134"/>
        <w:jc w:val="both"/>
        <w:rPr>
          <w:bCs/>
        </w:rPr>
      </w:pPr>
      <w:r w:rsidRPr="008D374C">
        <w:rPr>
          <w:bCs/>
        </w:rPr>
        <w:lastRenderedPageBreak/>
        <w:t>Foram contabilizados pelo Centro de Treinamento 611 eventos de capacitações</w:t>
      </w:r>
      <w:r w:rsidR="008D374C" w:rsidRPr="008D374C">
        <w:rPr>
          <w:bCs/>
        </w:rPr>
        <w:t>,</w:t>
      </w:r>
      <w:r w:rsidRPr="008D374C">
        <w:rPr>
          <w:bCs/>
        </w:rPr>
        <w:t xml:space="preserve"> que contou 19.701 pessoas.</w:t>
      </w:r>
    </w:p>
    <w:p w:rsidR="003E6588" w:rsidRDefault="003E6588">
      <w:pPr>
        <w:ind w:firstLine="1134"/>
        <w:jc w:val="both"/>
        <w:rPr>
          <w:bCs/>
        </w:rPr>
      </w:pPr>
    </w:p>
    <w:p w:rsidR="003E6588" w:rsidRDefault="003E6588">
      <w:pPr>
        <w:ind w:firstLine="1134"/>
        <w:jc w:val="both"/>
      </w:pPr>
      <w:r>
        <w:t>A CATI é órgão responsável pela emissão da Declaração de Conformidade da Atividade Agropecuária - DCAA para empreendimentos agropecuários no Estado</w:t>
      </w:r>
      <w:r w:rsidR="008D374C">
        <w:t>,</w:t>
      </w:r>
      <w:r>
        <w:t xml:space="preserve"> com área menor que 1.000 hectares.</w:t>
      </w:r>
    </w:p>
    <w:p w:rsidR="003E6588" w:rsidRDefault="003E6588">
      <w:pPr>
        <w:ind w:firstLine="1134"/>
        <w:jc w:val="both"/>
      </w:pPr>
    </w:p>
    <w:p w:rsidR="003E6588" w:rsidRDefault="003E6588">
      <w:pPr>
        <w:ind w:firstLine="1134"/>
        <w:jc w:val="both"/>
      </w:pPr>
      <w:r>
        <w:t>A Declaração de Conformidade da Atividade Agropecuária - DCAA é um documento que dispensa o licenciamento ambiental de algumas atividades agropecuárias em função de seu reduzido potencial poluidor/degradador, desde que elas não impliquem em intervenção em áreas de preservação permanente ou supressão de vegetação nativa, conforme disposto na Resolução C</w:t>
      </w:r>
      <w:r w:rsidR="008D374C">
        <w:t>onjunta SMA/SAA/SJDC nº 01/2011.</w:t>
      </w:r>
    </w:p>
    <w:p w:rsidR="003E6588" w:rsidRDefault="003E6588">
      <w:pPr>
        <w:ind w:firstLine="1134"/>
        <w:jc w:val="both"/>
        <w:rPr>
          <w:bCs/>
        </w:rPr>
      </w:pPr>
    </w:p>
    <w:p w:rsidR="003E6588" w:rsidRDefault="003E6588">
      <w:pPr>
        <w:ind w:left="567"/>
        <w:jc w:val="both"/>
        <w:rPr>
          <w:b/>
        </w:rPr>
      </w:pPr>
      <w:r>
        <w:rPr>
          <w:b/>
        </w:rPr>
        <w:t>Declaração de Conformidade da Atividade Agropecuária</w:t>
      </w:r>
    </w:p>
    <w:p w:rsidR="003E6588" w:rsidRDefault="003E6588">
      <w:pPr>
        <w:ind w:left="567"/>
        <w:jc w:val="both"/>
        <w:rPr>
          <w:b/>
        </w:rPr>
      </w:pPr>
    </w:p>
    <w:tbl>
      <w:tblPr>
        <w:tblW w:w="9618" w:type="dxa"/>
        <w:jc w:val="center"/>
        <w:tblInd w:w="-1083" w:type="dxa"/>
        <w:tblCellMar>
          <w:left w:w="70" w:type="dxa"/>
          <w:right w:w="70" w:type="dxa"/>
        </w:tblCellMar>
        <w:tblLook w:val="04A0"/>
      </w:tblPr>
      <w:tblGrid>
        <w:gridCol w:w="8383"/>
        <w:gridCol w:w="1235"/>
      </w:tblGrid>
      <w:tr w:rsidR="003E6588" w:rsidTr="001B3F5A">
        <w:trPr>
          <w:trHeight w:val="20"/>
          <w:jc w:val="center"/>
        </w:trPr>
        <w:tc>
          <w:tcPr>
            <w:tcW w:w="8383" w:type="dxa"/>
            <w:tcBorders>
              <w:top w:val="single" w:sz="8" w:space="0" w:color="auto"/>
              <w:left w:val="nil"/>
              <w:bottom w:val="single" w:sz="8" w:space="0" w:color="auto"/>
              <w:right w:val="nil"/>
            </w:tcBorders>
            <w:shd w:val="clear" w:color="auto" w:fill="auto"/>
            <w:noWrap/>
            <w:vAlign w:val="bottom"/>
            <w:hideMark/>
          </w:tcPr>
          <w:p w:rsidR="003E6588" w:rsidRDefault="003E6588">
            <w:pPr>
              <w:rPr>
                <w:b/>
                <w:bCs/>
                <w:color w:val="000000"/>
                <w:sz w:val="20"/>
              </w:rPr>
            </w:pPr>
            <w:r>
              <w:rPr>
                <w:b/>
                <w:bCs/>
                <w:color w:val="000000"/>
                <w:sz w:val="20"/>
              </w:rPr>
              <w:t>Atividade</w:t>
            </w:r>
          </w:p>
        </w:tc>
        <w:tc>
          <w:tcPr>
            <w:tcW w:w="1235" w:type="dxa"/>
            <w:tcBorders>
              <w:top w:val="single" w:sz="8" w:space="0" w:color="auto"/>
              <w:left w:val="nil"/>
              <w:bottom w:val="single" w:sz="8" w:space="0" w:color="auto"/>
              <w:right w:val="nil"/>
            </w:tcBorders>
            <w:shd w:val="clear" w:color="auto" w:fill="auto"/>
            <w:noWrap/>
            <w:vAlign w:val="bottom"/>
            <w:hideMark/>
          </w:tcPr>
          <w:p w:rsidR="003E6588" w:rsidRDefault="003E6588">
            <w:pPr>
              <w:rPr>
                <w:b/>
                <w:bCs/>
                <w:color w:val="000000"/>
                <w:sz w:val="20"/>
              </w:rPr>
            </w:pPr>
            <w:r>
              <w:rPr>
                <w:b/>
                <w:bCs/>
                <w:color w:val="000000"/>
                <w:sz w:val="20"/>
              </w:rPr>
              <w:t>Quantidade</w:t>
            </w:r>
          </w:p>
        </w:tc>
      </w:tr>
      <w:tr w:rsidR="003E6588" w:rsidTr="001B3F5A">
        <w:trPr>
          <w:trHeight w:val="20"/>
          <w:jc w:val="center"/>
        </w:trPr>
        <w:tc>
          <w:tcPr>
            <w:tcW w:w="8383" w:type="dxa"/>
            <w:tcBorders>
              <w:top w:val="single" w:sz="8" w:space="0" w:color="auto"/>
              <w:left w:val="nil"/>
              <w:bottom w:val="nil"/>
              <w:right w:val="nil"/>
            </w:tcBorders>
            <w:shd w:val="clear" w:color="auto" w:fill="auto"/>
            <w:hideMark/>
          </w:tcPr>
          <w:p w:rsidR="003E6588" w:rsidRDefault="003E6588">
            <w:pPr>
              <w:jc w:val="both"/>
              <w:rPr>
                <w:sz w:val="20"/>
              </w:rPr>
            </w:pPr>
            <w:r>
              <w:rPr>
                <w:sz w:val="20"/>
              </w:rPr>
              <w:t>Cultivo de espécies de interesse agrícola temporárias, semi-perenes e perenes;</w:t>
            </w:r>
          </w:p>
        </w:tc>
        <w:tc>
          <w:tcPr>
            <w:tcW w:w="1235" w:type="dxa"/>
            <w:tcBorders>
              <w:top w:val="single" w:sz="8" w:space="0" w:color="auto"/>
              <w:left w:val="nil"/>
              <w:bottom w:val="nil"/>
              <w:right w:val="nil"/>
            </w:tcBorders>
            <w:shd w:val="clear" w:color="auto" w:fill="auto"/>
            <w:hideMark/>
          </w:tcPr>
          <w:p w:rsidR="003E6588" w:rsidRDefault="003E6588">
            <w:pPr>
              <w:rPr>
                <w:sz w:val="20"/>
              </w:rPr>
            </w:pPr>
            <w:r>
              <w:rPr>
                <w:sz w:val="20"/>
              </w:rPr>
              <w:t>22.222</w:t>
            </w:r>
          </w:p>
        </w:tc>
      </w:tr>
      <w:tr w:rsidR="003E6588">
        <w:trPr>
          <w:trHeight w:val="20"/>
          <w:jc w:val="center"/>
        </w:trPr>
        <w:tc>
          <w:tcPr>
            <w:tcW w:w="8383" w:type="dxa"/>
            <w:tcBorders>
              <w:top w:val="nil"/>
              <w:left w:val="nil"/>
              <w:bottom w:val="nil"/>
              <w:right w:val="nil"/>
            </w:tcBorders>
            <w:shd w:val="clear" w:color="auto" w:fill="auto"/>
            <w:hideMark/>
          </w:tcPr>
          <w:p w:rsidR="003E6588" w:rsidRDefault="003E6588">
            <w:pPr>
              <w:jc w:val="both"/>
              <w:rPr>
                <w:sz w:val="20"/>
              </w:rPr>
            </w:pPr>
            <w:r>
              <w:rPr>
                <w:sz w:val="20"/>
              </w:rPr>
              <w:t>Criação de animais domésticos de interesse econômico, exceto as atividades de avicultura, suinocultura, desde que estas não sejam de subsistência;</w:t>
            </w:r>
          </w:p>
        </w:tc>
        <w:tc>
          <w:tcPr>
            <w:tcW w:w="1235" w:type="dxa"/>
            <w:tcBorders>
              <w:top w:val="nil"/>
              <w:left w:val="nil"/>
              <w:bottom w:val="nil"/>
              <w:right w:val="nil"/>
            </w:tcBorders>
            <w:shd w:val="clear" w:color="auto" w:fill="auto"/>
            <w:hideMark/>
          </w:tcPr>
          <w:p w:rsidR="003E6588" w:rsidRDefault="003E6588">
            <w:pPr>
              <w:rPr>
                <w:sz w:val="20"/>
              </w:rPr>
            </w:pPr>
            <w:r>
              <w:rPr>
                <w:sz w:val="20"/>
              </w:rPr>
              <w:t>10.530</w:t>
            </w:r>
          </w:p>
        </w:tc>
      </w:tr>
      <w:tr w:rsidR="003E6588">
        <w:trPr>
          <w:trHeight w:val="20"/>
          <w:jc w:val="center"/>
        </w:trPr>
        <w:tc>
          <w:tcPr>
            <w:tcW w:w="8383" w:type="dxa"/>
            <w:tcBorders>
              <w:top w:val="nil"/>
              <w:left w:val="nil"/>
              <w:bottom w:val="nil"/>
              <w:right w:val="nil"/>
            </w:tcBorders>
            <w:shd w:val="clear" w:color="auto" w:fill="auto"/>
            <w:hideMark/>
          </w:tcPr>
          <w:p w:rsidR="003E6588" w:rsidRDefault="003E6588">
            <w:pPr>
              <w:jc w:val="both"/>
              <w:rPr>
                <w:sz w:val="20"/>
              </w:rPr>
            </w:pPr>
            <w:r>
              <w:rPr>
                <w:sz w:val="20"/>
              </w:rPr>
              <w:t>Apicultura em geral;</w:t>
            </w:r>
          </w:p>
        </w:tc>
        <w:tc>
          <w:tcPr>
            <w:tcW w:w="1235" w:type="dxa"/>
            <w:tcBorders>
              <w:top w:val="nil"/>
              <w:left w:val="nil"/>
              <w:bottom w:val="nil"/>
              <w:right w:val="nil"/>
            </w:tcBorders>
            <w:shd w:val="clear" w:color="auto" w:fill="auto"/>
            <w:hideMark/>
          </w:tcPr>
          <w:p w:rsidR="003E6588" w:rsidRDefault="003E6588">
            <w:pPr>
              <w:rPr>
                <w:sz w:val="20"/>
              </w:rPr>
            </w:pPr>
            <w:r>
              <w:rPr>
                <w:sz w:val="20"/>
              </w:rPr>
              <w:t>74</w:t>
            </w:r>
          </w:p>
        </w:tc>
      </w:tr>
      <w:tr w:rsidR="003E6588">
        <w:trPr>
          <w:trHeight w:val="20"/>
          <w:jc w:val="center"/>
        </w:trPr>
        <w:tc>
          <w:tcPr>
            <w:tcW w:w="8383" w:type="dxa"/>
            <w:tcBorders>
              <w:top w:val="nil"/>
              <w:left w:val="nil"/>
              <w:bottom w:val="nil"/>
              <w:right w:val="nil"/>
            </w:tcBorders>
            <w:shd w:val="clear" w:color="auto" w:fill="auto"/>
            <w:hideMark/>
          </w:tcPr>
          <w:p w:rsidR="003E6588" w:rsidRDefault="003E6588">
            <w:pPr>
              <w:jc w:val="both"/>
              <w:rPr>
                <w:sz w:val="20"/>
              </w:rPr>
            </w:pPr>
            <w:r>
              <w:rPr>
                <w:sz w:val="20"/>
              </w:rPr>
              <w:t>Reforma e limpeza de pastagens quando a vegetação a ser removida seja constituída apenas por estágio pioneiro de regeneração de acordo com a legislação vigente;</w:t>
            </w:r>
          </w:p>
        </w:tc>
        <w:tc>
          <w:tcPr>
            <w:tcW w:w="1235" w:type="dxa"/>
            <w:tcBorders>
              <w:top w:val="nil"/>
              <w:left w:val="nil"/>
              <w:bottom w:val="nil"/>
              <w:right w:val="nil"/>
            </w:tcBorders>
            <w:shd w:val="clear" w:color="auto" w:fill="auto"/>
            <w:hideMark/>
          </w:tcPr>
          <w:p w:rsidR="003E6588" w:rsidRDefault="003E6588">
            <w:pPr>
              <w:rPr>
                <w:sz w:val="20"/>
              </w:rPr>
            </w:pPr>
            <w:r>
              <w:rPr>
                <w:sz w:val="20"/>
              </w:rPr>
              <w:t>266</w:t>
            </w:r>
          </w:p>
        </w:tc>
      </w:tr>
      <w:tr w:rsidR="003E6588">
        <w:trPr>
          <w:trHeight w:val="20"/>
          <w:jc w:val="center"/>
        </w:trPr>
        <w:tc>
          <w:tcPr>
            <w:tcW w:w="8383" w:type="dxa"/>
            <w:tcBorders>
              <w:top w:val="nil"/>
              <w:left w:val="nil"/>
              <w:bottom w:val="nil"/>
              <w:right w:val="nil"/>
            </w:tcBorders>
            <w:shd w:val="clear" w:color="auto" w:fill="auto"/>
            <w:hideMark/>
          </w:tcPr>
          <w:p w:rsidR="003E6588" w:rsidRDefault="003E6588">
            <w:pPr>
              <w:jc w:val="both"/>
              <w:rPr>
                <w:sz w:val="20"/>
              </w:rPr>
            </w:pPr>
            <w:r>
              <w:rPr>
                <w:sz w:val="20"/>
              </w:rPr>
              <w:t>Projetos de irrigação;</w:t>
            </w:r>
          </w:p>
        </w:tc>
        <w:tc>
          <w:tcPr>
            <w:tcW w:w="1235" w:type="dxa"/>
            <w:tcBorders>
              <w:top w:val="nil"/>
              <w:left w:val="nil"/>
              <w:bottom w:val="nil"/>
              <w:right w:val="nil"/>
            </w:tcBorders>
            <w:shd w:val="clear" w:color="auto" w:fill="auto"/>
            <w:hideMark/>
          </w:tcPr>
          <w:p w:rsidR="003E6588" w:rsidRDefault="003E6588">
            <w:pPr>
              <w:rPr>
                <w:sz w:val="20"/>
              </w:rPr>
            </w:pPr>
            <w:r>
              <w:rPr>
                <w:sz w:val="20"/>
              </w:rPr>
              <w:t>234</w:t>
            </w:r>
          </w:p>
        </w:tc>
      </w:tr>
      <w:tr w:rsidR="003E6588">
        <w:trPr>
          <w:trHeight w:val="20"/>
          <w:jc w:val="center"/>
        </w:trPr>
        <w:tc>
          <w:tcPr>
            <w:tcW w:w="8383" w:type="dxa"/>
            <w:tcBorders>
              <w:top w:val="nil"/>
              <w:left w:val="nil"/>
              <w:bottom w:val="nil"/>
              <w:right w:val="nil"/>
            </w:tcBorders>
            <w:shd w:val="clear" w:color="auto" w:fill="auto"/>
            <w:hideMark/>
          </w:tcPr>
          <w:p w:rsidR="003E6588" w:rsidRDefault="003E6588">
            <w:pPr>
              <w:jc w:val="both"/>
              <w:rPr>
                <w:sz w:val="20"/>
              </w:rPr>
            </w:pPr>
            <w:r>
              <w:rPr>
                <w:sz w:val="20"/>
              </w:rPr>
              <w:t>Implantação ou regularização de poços rasos ou profundos e de estruturas para permitir a captação ou lançamento superficial em corpos d’água, bem como a regularização de barragens e travessias existentes destinadas a atividades agropecuárias, quando não implicarem supressão de vegetação nativa;</w:t>
            </w:r>
          </w:p>
        </w:tc>
        <w:tc>
          <w:tcPr>
            <w:tcW w:w="1235" w:type="dxa"/>
            <w:tcBorders>
              <w:top w:val="nil"/>
              <w:left w:val="nil"/>
              <w:bottom w:val="nil"/>
              <w:right w:val="nil"/>
            </w:tcBorders>
            <w:shd w:val="clear" w:color="auto" w:fill="auto"/>
            <w:hideMark/>
          </w:tcPr>
          <w:p w:rsidR="003E6588" w:rsidRDefault="003E6588">
            <w:pPr>
              <w:rPr>
                <w:sz w:val="20"/>
              </w:rPr>
            </w:pPr>
            <w:r>
              <w:rPr>
                <w:sz w:val="20"/>
              </w:rPr>
              <w:t>1.938</w:t>
            </w:r>
          </w:p>
        </w:tc>
      </w:tr>
      <w:tr w:rsidR="003E6588" w:rsidTr="001B3F5A">
        <w:trPr>
          <w:trHeight w:val="20"/>
          <w:jc w:val="center"/>
        </w:trPr>
        <w:tc>
          <w:tcPr>
            <w:tcW w:w="8383" w:type="dxa"/>
            <w:tcBorders>
              <w:top w:val="nil"/>
              <w:left w:val="nil"/>
              <w:bottom w:val="single" w:sz="8" w:space="0" w:color="auto"/>
              <w:right w:val="nil"/>
            </w:tcBorders>
            <w:shd w:val="clear" w:color="auto" w:fill="auto"/>
            <w:hideMark/>
          </w:tcPr>
          <w:p w:rsidR="003E6588" w:rsidRDefault="003E6588">
            <w:pPr>
              <w:jc w:val="both"/>
              <w:rPr>
                <w:sz w:val="20"/>
              </w:rPr>
            </w:pPr>
            <w:r>
              <w:rPr>
                <w:sz w:val="20"/>
              </w:rPr>
              <w:t>Aquicultura nos termos do Decreto nº 60.582/2014 (caso a data de emissão da Declaração for anterior a 27/6/2014, são considerados os termos do Decreto nº 58.544/2012);</w:t>
            </w:r>
          </w:p>
        </w:tc>
        <w:tc>
          <w:tcPr>
            <w:tcW w:w="1235" w:type="dxa"/>
            <w:tcBorders>
              <w:top w:val="nil"/>
              <w:left w:val="nil"/>
              <w:bottom w:val="single" w:sz="8" w:space="0" w:color="auto"/>
              <w:right w:val="nil"/>
            </w:tcBorders>
            <w:shd w:val="clear" w:color="auto" w:fill="auto"/>
            <w:hideMark/>
          </w:tcPr>
          <w:p w:rsidR="003E6588" w:rsidRDefault="003E6588">
            <w:pPr>
              <w:rPr>
                <w:sz w:val="20"/>
              </w:rPr>
            </w:pPr>
            <w:r>
              <w:rPr>
                <w:sz w:val="20"/>
              </w:rPr>
              <w:t>278</w:t>
            </w:r>
          </w:p>
        </w:tc>
      </w:tr>
      <w:tr w:rsidR="003E6588" w:rsidTr="001B3F5A">
        <w:trPr>
          <w:trHeight w:val="20"/>
          <w:jc w:val="center"/>
        </w:trPr>
        <w:tc>
          <w:tcPr>
            <w:tcW w:w="8383" w:type="dxa"/>
            <w:tcBorders>
              <w:top w:val="single" w:sz="8" w:space="0" w:color="auto"/>
              <w:left w:val="nil"/>
              <w:bottom w:val="single" w:sz="8" w:space="0" w:color="auto"/>
              <w:right w:val="nil"/>
            </w:tcBorders>
            <w:shd w:val="clear" w:color="auto" w:fill="auto"/>
            <w:noWrap/>
            <w:vAlign w:val="bottom"/>
            <w:hideMark/>
          </w:tcPr>
          <w:p w:rsidR="003E6588" w:rsidRDefault="003E6588">
            <w:pPr>
              <w:jc w:val="both"/>
              <w:rPr>
                <w:b/>
                <w:bCs/>
                <w:color w:val="000000"/>
                <w:sz w:val="20"/>
              </w:rPr>
            </w:pPr>
            <w:r>
              <w:rPr>
                <w:b/>
                <w:bCs/>
                <w:color w:val="000000"/>
                <w:sz w:val="20"/>
              </w:rPr>
              <w:t>Total</w:t>
            </w:r>
          </w:p>
        </w:tc>
        <w:tc>
          <w:tcPr>
            <w:tcW w:w="1235" w:type="dxa"/>
            <w:tcBorders>
              <w:top w:val="single" w:sz="8" w:space="0" w:color="auto"/>
              <w:left w:val="nil"/>
              <w:bottom w:val="single" w:sz="8" w:space="0" w:color="auto"/>
              <w:right w:val="nil"/>
            </w:tcBorders>
            <w:shd w:val="clear" w:color="auto" w:fill="auto"/>
            <w:noWrap/>
            <w:vAlign w:val="bottom"/>
            <w:hideMark/>
          </w:tcPr>
          <w:p w:rsidR="003E6588" w:rsidRDefault="003E6588">
            <w:pPr>
              <w:rPr>
                <w:b/>
                <w:bCs/>
                <w:color w:val="000000"/>
                <w:sz w:val="20"/>
              </w:rPr>
            </w:pPr>
            <w:r>
              <w:rPr>
                <w:b/>
                <w:bCs/>
                <w:color w:val="000000"/>
                <w:sz w:val="20"/>
              </w:rPr>
              <w:t>35.542</w:t>
            </w:r>
          </w:p>
        </w:tc>
      </w:tr>
      <w:tr w:rsidR="003E6588" w:rsidTr="001B3F5A">
        <w:trPr>
          <w:trHeight w:val="20"/>
          <w:jc w:val="center"/>
        </w:trPr>
        <w:tc>
          <w:tcPr>
            <w:tcW w:w="8383" w:type="dxa"/>
            <w:tcBorders>
              <w:top w:val="single" w:sz="8" w:space="0" w:color="auto"/>
              <w:left w:val="nil"/>
              <w:right w:val="nil"/>
            </w:tcBorders>
            <w:shd w:val="clear" w:color="auto" w:fill="auto"/>
            <w:noWrap/>
            <w:vAlign w:val="bottom"/>
            <w:hideMark/>
          </w:tcPr>
          <w:p w:rsidR="003E6588" w:rsidRDefault="003E6588" w:rsidP="008D374C">
            <w:pPr>
              <w:jc w:val="both"/>
              <w:rPr>
                <w:bCs/>
                <w:color w:val="000000"/>
                <w:sz w:val="16"/>
                <w:szCs w:val="16"/>
              </w:rPr>
            </w:pPr>
            <w:r>
              <w:rPr>
                <w:bCs/>
                <w:color w:val="000000"/>
                <w:sz w:val="16"/>
                <w:szCs w:val="16"/>
              </w:rPr>
              <w:t>Fonte: CIAGRO/CATI/SAA</w:t>
            </w:r>
          </w:p>
        </w:tc>
        <w:tc>
          <w:tcPr>
            <w:tcW w:w="1235" w:type="dxa"/>
            <w:tcBorders>
              <w:top w:val="single" w:sz="8" w:space="0" w:color="auto"/>
              <w:left w:val="nil"/>
              <w:right w:val="nil"/>
            </w:tcBorders>
            <w:shd w:val="clear" w:color="auto" w:fill="auto"/>
            <w:noWrap/>
            <w:vAlign w:val="bottom"/>
            <w:hideMark/>
          </w:tcPr>
          <w:p w:rsidR="003E6588" w:rsidRDefault="003E6588">
            <w:pPr>
              <w:rPr>
                <w:bCs/>
                <w:color w:val="000000"/>
                <w:sz w:val="20"/>
              </w:rPr>
            </w:pPr>
          </w:p>
        </w:tc>
      </w:tr>
    </w:tbl>
    <w:p w:rsidR="003E6588" w:rsidRDefault="003E6588">
      <w:pPr>
        <w:ind w:firstLine="1134"/>
        <w:jc w:val="both"/>
        <w:rPr>
          <w:bCs/>
        </w:rPr>
      </w:pPr>
    </w:p>
    <w:p w:rsidR="003E6588" w:rsidRPr="008D374C" w:rsidRDefault="003E6588">
      <w:pPr>
        <w:ind w:firstLine="1134"/>
        <w:jc w:val="both"/>
      </w:pPr>
      <w:r w:rsidRPr="008D374C">
        <w:rPr>
          <w:bCs/>
        </w:rPr>
        <w:t xml:space="preserve">Quanto à preservação e recuperação de Recursos Hídricos, em consonância com o Decreto nº 48.896/2004, que Regulamenta o Fundo Estadual de Recursos Hídricos - FEHIDRO, a CATI é Agente Técnico, exercendo importante papel na análise, aprovação e acompanhamento de empreendimentos financiados pelo Fundo. A CATI foi designada como Agente Técnico em 59 projetos </w:t>
      </w:r>
      <w:r w:rsidR="008D374C" w:rsidRPr="008D374C">
        <w:rPr>
          <w:bCs/>
        </w:rPr>
        <w:t xml:space="preserve">com </w:t>
      </w:r>
      <w:r w:rsidRPr="008D374C">
        <w:rPr>
          <w:bCs/>
        </w:rPr>
        <w:t xml:space="preserve">montante financiado </w:t>
      </w:r>
      <w:r w:rsidR="008D374C" w:rsidRPr="008D374C">
        <w:rPr>
          <w:bCs/>
        </w:rPr>
        <w:t xml:space="preserve">de </w:t>
      </w:r>
      <w:r w:rsidRPr="008D374C">
        <w:rPr>
          <w:bCs/>
        </w:rPr>
        <w:t>R$ 8.726.354,00, distribuídos nas diversas regiões do Estado.</w:t>
      </w:r>
    </w:p>
    <w:p w:rsidR="001B3F5A" w:rsidRPr="008D374C" w:rsidRDefault="001B3F5A">
      <w:pPr>
        <w:ind w:firstLine="1134"/>
        <w:jc w:val="both"/>
      </w:pPr>
    </w:p>
    <w:p w:rsidR="003E6588" w:rsidRDefault="003E6588">
      <w:pPr>
        <w:ind w:firstLine="1134"/>
        <w:jc w:val="both"/>
        <w:rPr>
          <w:b/>
        </w:rPr>
      </w:pPr>
      <w:r>
        <w:rPr>
          <w:b/>
        </w:rPr>
        <w:t>Programa Abastecimento e Segurança Alimentar</w:t>
      </w:r>
    </w:p>
    <w:p w:rsidR="003E6588" w:rsidRDefault="003E6588">
      <w:pPr>
        <w:autoSpaceDE w:val="0"/>
        <w:autoSpaceDN w:val="0"/>
        <w:adjustRightInd w:val="0"/>
        <w:ind w:firstLine="1134"/>
        <w:jc w:val="both"/>
        <w:rPr>
          <w:b/>
        </w:rPr>
      </w:pPr>
    </w:p>
    <w:p w:rsidR="003E6588" w:rsidRDefault="003E6588">
      <w:pPr>
        <w:autoSpaceDE w:val="0"/>
        <w:autoSpaceDN w:val="0"/>
        <w:adjustRightInd w:val="0"/>
        <w:ind w:firstLine="1134"/>
        <w:jc w:val="both"/>
      </w:pPr>
      <w:r w:rsidRPr="008D374C">
        <w:t>Objetivo -</w:t>
      </w:r>
      <w:r>
        <w:rPr>
          <w:snapToGrid w:val="0"/>
        </w:rPr>
        <w:t xml:space="preserve"> </w:t>
      </w:r>
      <w:r>
        <w:t>Diminuir Índices de Insegurança Alimentar do Estado, por meio de políticas públicas voltadas ao estímulo de produção de alimentos, à criação de canais de comercialização ao consumidor, ao combate de desperdício de alimentos, à promoção da capacitação promovendo a alimentação saudável, à geração de renda e à difusão de conhecimento.</w:t>
      </w:r>
    </w:p>
    <w:p w:rsidR="003E6588" w:rsidRDefault="003E6588">
      <w:pPr>
        <w:pStyle w:val="Recuodecorpodetexto"/>
        <w:ind w:firstLine="1134"/>
        <w:rPr>
          <w:rFonts w:ascii="Times New Roman" w:hAnsi="Times New Roman"/>
          <w:szCs w:val="24"/>
          <w:lang w:val="pt-BR"/>
        </w:rPr>
      </w:pPr>
    </w:p>
    <w:p w:rsidR="003E6588" w:rsidRPr="008D374C" w:rsidRDefault="003E6588">
      <w:pPr>
        <w:pStyle w:val="Recuodecorpodetexto"/>
        <w:ind w:left="0" w:firstLine="1134"/>
        <w:rPr>
          <w:rFonts w:ascii="Times New Roman" w:hAnsi="Times New Roman"/>
          <w:szCs w:val="24"/>
          <w:lang w:val="pt-BR"/>
        </w:rPr>
      </w:pPr>
      <w:r w:rsidRPr="008D374C">
        <w:rPr>
          <w:rFonts w:ascii="Times New Roman" w:hAnsi="Times New Roman"/>
          <w:szCs w:val="24"/>
          <w:lang w:val="pt-BR"/>
        </w:rPr>
        <w:lastRenderedPageBreak/>
        <w:t>Para o PPA 2012-</w:t>
      </w:r>
      <w:smartTag w:uri="urn:schemas-microsoft-com:office:smarttags" w:element="metricconverter">
        <w:smartTagPr>
          <w:attr w:name="ProductID" w:val="2015, a"/>
        </w:smartTagPr>
        <w:r w:rsidRPr="008D374C">
          <w:rPr>
            <w:rFonts w:ascii="Times New Roman" w:hAnsi="Times New Roman"/>
            <w:szCs w:val="24"/>
            <w:lang w:val="pt-BR"/>
          </w:rPr>
          <w:t>2015, a</w:t>
        </w:r>
      </w:smartTag>
      <w:r w:rsidRPr="008D374C">
        <w:rPr>
          <w:rFonts w:ascii="Times New Roman" w:hAnsi="Times New Roman"/>
          <w:szCs w:val="24"/>
          <w:lang w:val="pt-BR"/>
        </w:rPr>
        <w:t xml:space="preserve"> denominação desse Programa foi alterada de Programa de Segurança Alimentar para Abastecimento e Segurança Alimentar. Seu objetivo foi ampliado visando atender todas atividades relacionadas à produção e consumo de alimentos de qualidade.</w:t>
      </w:r>
    </w:p>
    <w:p w:rsidR="000B028A" w:rsidRDefault="000B028A">
      <w:pPr>
        <w:autoSpaceDE w:val="0"/>
        <w:autoSpaceDN w:val="0"/>
        <w:adjustRightInd w:val="0"/>
        <w:ind w:firstLine="1134"/>
        <w:jc w:val="both"/>
      </w:pPr>
    </w:p>
    <w:p w:rsidR="003E6588" w:rsidRPr="00187973" w:rsidRDefault="003E6588">
      <w:pPr>
        <w:autoSpaceDE w:val="0"/>
        <w:autoSpaceDN w:val="0"/>
        <w:adjustRightInd w:val="0"/>
        <w:ind w:firstLine="1134"/>
        <w:jc w:val="both"/>
      </w:pPr>
      <w:r w:rsidRPr="00187973">
        <w:t>Na elaboração PPA 2012-</w:t>
      </w:r>
      <w:smartTag w:uri="urn:schemas-microsoft-com:office:smarttags" w:element="metricconverter">
        <w:smartTagPr>
          <w:attr w:name="ProductID" w:val="2015, a"/>
        </w:smartTagPr>
        <w:r w:rsidRPr="00187973">
          <w:t>2015</w:t>
        </w:r>
      </w:smartTag>
      <w:r w:rsidRPr="00187973">
        <w:t>, Ações Integradas em Segurança Alimentar, inserida no programa “Abastecimento e Segurança Alimentar”, t</w:t>
      </w:r>
      <w:r w:rsidR="00187973" w:rsidRPr="00187973">
        <w:t>i</w:t>
      </w:r>
      <w:r w:rsidRPr="00187973">
        <w:t>ve</w:t>
      </w:r>
      <w:r w:rsidR="00187973" w:rsidRPr="00187973">
        <w:t>ram</w:t>
      </w:r>
      <w:r w:rsidRPr="00187973">
        <w:t xml:space="preserve"> sua finalidade adequada ao objetivo do programa, visando</w:t>
      </w:r>
      <w:r w:rsidR="00187973" w:rsidRPr="00187973">
        <w:t>:</w:t>
      </w:r>
      <w:r w:rsidRPr="00187973">
        <w:t xml:space="preserve"> combate ao desperdício de alimentos; implantação de cozinhas experimentais; compra de sementes e instalação de hortas convencionais ou em ambiente protegido; disponibilização de canais de comercialização ao produtor; promoção da capacitação por meio de cursos e palestras na área de nutrição e geração de renda além da elaboração e distribuição de publicações.</w:t>
      </w:r>
    </w:p>
    <w:p w:rsidR="003E6588" w:rsidRPr="00187973" w:rsidRDefault="003E6588">
      <w:pPr>
        <w:autoSpaceDE w:val="0"/>
        <w:autoSpaceDN w:val="0"/>
        <w:adjustRightInd w:val="0"/>
        <w:ind w:firstLine="1134"/>
        <w:jc w:val="both"/>
      </w:pPr>
    </w:p>
    <w:p w:rsidR="003E6588" w:rsidRPr="00187973" w:rsidRDefault="003E6588">
      <w:pPr>
        <w:autoSpaceDE w:val="0"/>
        <w:autoSpaceDN w:val="0"/>
        <w:adjustRightInd w:val="0"/>
        <w:ind w:firstLine="1134"/>
        <w:jc w:val="both"/>
        <w:rPr>
          <w:rFonts w:eastAsia="+mn-ea"/>
        </w:rPr>
      </w:pPr>
      <w:r w:rsidRPr="00187973">
        <w:t xml:space="preserve">O </w:t>
      </w:r>
      <w:r w:rsidRPr="00187973">
        <w:rPr>
          <w:b/>
        </w:rPr>
        <w:t xml:space="preserve">Projeto Estadual Hortalimento </w:t>
      </w:r>
      <w:r w:rsidRPr="00187973">
        <w:t>tem por objetivo a celebração de convênios com Municípios Paulistas e entidades privadas sem fins lucrativos, visando à transferência de recursos financeiros para implantação de Estufas Hidropônicas ou de Ambiente Protegido, com equipamentos correlatos, assim como cessão de sementes de hortaliças e plantas aromáticas para cultivo convencional, em conformidade com o Decreto n° 50.233/2005. Foram assinados 4 convênios do projeto, sendo 1 Estufa Agrícola com Sistema de Irrigação por Gotejamento e 3 Estufas Hidropônicas.</w:t>
      </w:r>
    </w:p>
    <w:p w:rsidR="003E6588" w:rsidRPr="00187973" w:rsidRDefault="003E6588">
      <w:pPr>
        <w:ind w:firstLine="1134"/>
        <w:jc w:val="both"/>
      </w:pPr>
    </w:p>
    <w:p w:rsidR="003E6588" w:rsidRPr="00DC3FA0" w:rsidRDefault="003E6588">
      <w:pPr>
        <w:ind w:firstLine="1134"/>
        <w:jc w:val="both"/>
        <w:rPr>
          <w:b/>
        </w:rPr>
      </w:pPr>
      <w:r w:rsidRPr="00DC3FA0">
        <w:t xml:space="preserve">As </w:t>
      </w:r>
      <w:r w:rsidR="00187973" w:rsidRPr="00DC3FA0">
        <w:t>“</w:t>
      </w:r>
      <w:r w:rsidRPr="00DC3FA0">
        <w:t>Hortas Comunitárias</w:t>
      </w:r>
      <w:r w:rsidR="00187973" w:rsidRPr="00DC3FA0">
        <w:t>”</w:t>
      </w:r>
      <w:r w:rsidRPr="00DC3FA0">
        <w:t>, para as quais a CODEAGRO distribui sementes por intermédio das Prefeituras Municipais, entidades assistenciais, casas de agricultura e organizações governamentais, revela-se outra ação que beneficia expressiva quantidade de pessoas, tendo sido distribuídos 18 kg para plantio de 13 hectares, atendendo aproximadamente 26,1 mil pessoas.</w:t>
      </w:r>
    </w:p>
    <w:p w:rsidR="003E6588" w:rsidRPr="00DC3FA0" w:rsidRDefault="003E6588">
      <w:pPr>
        <w:ind w:firstLine="1134"/>
        <w:jc w:val="both"/>
      </w:pPr>
    </w:p>
    <w:p w:rsidR="003E6588" w:rsidRDefault="003E6588">
      <w:pPr>
        <w:ind w:firstLine="1134"/>
        <w:jc w:val="both"/>
        <w:rPr>
          <w:b/>
        </w:rPr>
      </w:pPr>
      <w:r>
        <w:rPr>
          <w:b/>
        </w:rPr>
        <w:t>Hortas Comunitárias</w:t>
      </w:r>
    </w:p>
    <w:p w:rsidR="003E6588" w:rsidRDefault="003E6588">
      <w:pPr>
        <w:jc w:val="both"/>
        <w:rPr>
          <w:b/>
          <w:sz w:val="22"/>
          <w:szCs w:val="22"/>
        </w:rPr>
      </w:pPr>
    </w:p>
    <w:tbl>
      <w:tblPr>
        <w:tblW w:w="5967" w:type="dxa"/>
        <w:jc w:val="center"/>
        <w:tblInd w:w="532" w:type="dxa"/>
        <w:tblLayout w:type="fixed"/>
        <w:tblCellMar>
          <w:left w:w="70" w:type="dxa"/>
          <w:right w:w="70" w:type="dxa"/>
        </w:tblCellMar>
        <w:tblLook w:val="0000"/>
      </w:tblPr>
      <w:tblGrid>
        <w:gridCol w:w="4358"/>
        <w:gridCol w:w="1609"/>
      </w:tblGrid>
      <w:tr w:rsidR="003E6588" w:rsidTr="001B3F5A">
        <w:trPr>
          <w:trHeight w:val="177"/>
          <w:jc w:val="center"/>
        </w:trPr>
        <w:tc>
          <w:tcPr>
            <w:tcW w:w="4358" w:type="dxa"/>
            <w:tcBorders>
              <w:top w:val="single" w:sz="8" w:space="0" w:color="auto"/>
              <w:bottom w:val="single" w:sz="8" w:space="0" w:color="auto"/>
            </w:tcBorders>
          </w:tcPr>
          <w:p w:rsidR="003E6588" w:rsidRDefault="003E6588">
            <w:pPr>
              <w:pStyle w:val="Listadecontinuao"/>
              <w:spacing w:after="0"/>
              <w:ind w:left="0"/>
            </w:pPr>
            <w:r>
              <w:rPr>
                <w:b/>
              </w:rPr>
              <w:t>Indicador</w:t>
            </w:r>
          </w:p>
        </w:tc>
        <w:tc>
          <w:tcPr>
            <w:tcW w:w="1609" w:type="dxa"/>
            <w:tcBorders>
              <w:top w:val="single" w:sz="8" w:space="0" w:color="auto"/>
              <w:bottom w:val="single" w:sz="8" w:space="0" w:color="auto"/>
            </w:tcBorders>
          </w:tcPr>
          <w:p w:rsidR="003E6588" w:rsidRDefault="003E6588">
            <w:pPr>
              <w:pStyle w:val="Listadecontinuao"/>
              <w:spacing w:after="0"/>
              <w:ind w:left="0"/>
              <w:rPr>
                <w:b/>
              </w:rPr>
            </w:pPr>
          </w:p>
        </w:tc>
      </w:tr>
      <w:tr w:rsidR="003E6588" w:rsidTr="001B3F5A">
        <w:trPr>
          <w:trHeight w:val="180"/>
          <w:jc w:val="center"/>
        </w:trPr>
        <w:tc>
          <w:tcPr>
            <w:tcW w:w="4358" w:type="dxa"/>
            <w:tcBorders>
              <w:top w:val="single" w:sz="8" w:space="0" w:color="auto"/>
            </w:tcBorders>
          </w:tcPr>
          <w:p w:rsidR="003E6588" w:rsidRDefault="003E6588">
            <w:pPr>
              <w:pStyle w:val="Listadecontinuao"/>
              <w:spacing w:after="0"/>
              <w:ind w:left="0"/>
              <w:jc w:val="both"/>
            </w:pPr>
            <w:r>
              <w:t>Sementes em kg</w:t>
            </w:r>
          </w:p>
        </w:tc>
        <w:tc>
          <w:tcPr>
            <w:tcW w:w="1609" w:type="dxa"/>
            <w:tcBorders>
              <w:top w:val="single" w:sz="8" w:space="0" w:color="auto"/>
            </w:tcBorders>
          </w:tcPr>
          <w:p w:rsidR="003E6588" w:rsidRDefault="003E6588">
            <w:pPr>
              <w:pStyle w:val="Listadecontinuao"/>
              <w:spacing w:after="0"/>
              <w:ind w:left="0" w:right="-39"/>
            </w:pPr>
            <w:r>
              <w:t>18</w:t>
            </w:r>
          </w:p>
        </w:tc>
      </w:tr>
      <w:tr w:rsidR="003E6588" w:rsidTr="000B028A">
        <w:trPr>
          <w:trHeight w:val="230"/>
          <w:jc w:val="center"/>
        </w:trPr>
        <w:tc>
          <w:tcPr>
            <w:tcW w:w="4358" w:type="dxa"/>
          </w:tcPr>
          <w:p w:rsidR="003E6588" w:rsidRDefault="003E6588">
            <w:pPr>
              <w:pStyle w:val="Listadecontinuao"/>
              <w:spacing w:after="0"/>
              <w:ind w:left="0"/>
              <w:jc w:val="both"/>
            </w:pPr>
            <w:r>
              <w:t>Pessoas Beneficiadas</w:t>
            </w:r>
          </w:p>
        </w:tc>
        <w:tc>
          <w:tcPr>
            <w:tcW w:w="1609" w:type="dxa"/>
          </w:tcPr>
          <w:p w:rsidR="003E6588" w:rsidRDefault="003E6588">
            <w:pPr>
              <w:pStyle w:val="Listadecontinuao"/>
              <w:spacing w:after="0"/>
              <w:ind w:left="0" w:right="-39"/>
            </w:pPr>
            <w:r>
              <w:t>26.070</w:t>
            </w:r>
          </w:p>
        </w:tc>
      </w:tr>
      <w:tr w:rsidR="003E6588" w:rsidTr="001B3F5A">
        <w:trPr>
          <w:trHeight w:val="147"/>
          <w:jc w:val="center"/>
        </w:trPr>
        <w:tc>
          <w:tcPr>
            <w:tcW w:w="4358" w:type="dxa"/>
          </w:tcPr>
          <w:p w:rsidR="003E6588" w:rsidRDefault="003E6588">
            <w:pPr>
              <w:pStyle w:val="Listadecontinuao"/>
              <w:spacing w:after="0"/>
              <w:ind w:left="0"/>
              <w:jc w:val="both"/>
            </w:pPr>
            <w:r>
              <w:t>Hectares Plantados</w:t>
            </w:r>
          </w:p>
        </w:tc>
        <w:tc>
          <w:tcPr>
            <w:tcW w:w="1609" w:type="dxa"/>
          </w:tcPr>
          <w:p w:rsidR="003E6588" w:rsidRDefault="003E6588">
            <w:pPr>
              <w:pStyle w:val="Listadecontinuao"/>
              <w:spacing w:after="0"/>
              <w:ind w:left="0" w:right="-39"/>
            </w:pPr>
            <w:r>
              <w:t>13</w:t>
            </w:r>
          </w:p>
        </w:tc>
      </w:tr>
      <w:tr w:rsidR="003E6588" w:rsidTr="001B3F5A">
        <w:trPr>
          <w:trHeight w:val="194"/>
          <w:jc w:val="center"/>
        </w:trPr>
        <w:tc>
          <w:tcPr>
            <w:tcW w:w="4358" w:type="dxa"/>
            <w:tcBorders>
              <w:bottom w:val="single" w:sz="8" w:space="0" w:color="auto"/>
            </w:tcBorders>
          </w:tcPr>
          <w:p w:rsidR="003E6588" w:rsidRDefault="003E6588">
            <w:pPr>
              <w:pStyle w:val="Listadecontinuao"/>
              <w:spacing w:after="0"/>
              <w:ind w:left="0"/>
              <w:jc w:val="both"/>
            </w:pPr>
            <w:r>
              <w:t>Convênios Celebrados Projeto Hortalimento</w:t>
            </w:r>
          </w:p>
        </w:tc>
        <w:tc>
          <w:tcPr>
            <w:tcW w:w="1609" w:type="dxa"/>
            <w:tcBorders>
              <w:bottom w:val="single" w:sz="8" w:space="0" w:color="auto"/>
            </w:tcBorders>
          </w:tcPr>
          <w:p w:rsidR="003E6588" w:rsidRDefault="003E6588">
            <w:pPr>
              <w:pStyle w:val="Listadecontinuao"/>
              <w:spacing w:after="0"/>
              <w:ind w:left="0" w:right="-39"/>
            </w:pPr>
            <w:r>
              <w:t>4</w:t>
            </w:r>
          </w:p>
        </w:tc>
      </w:tr>
    </w:tbl>
    <w:p w:rsidR="003E6588" w:rsidRDefault="003E6588">
      <w:pPr>
        <w:pStyle w:val="t-Titulo1"/>
        <w:spacing w:before="0" w:after="0"/>
        <w:ind w:left="1416" w:firstLine="75"/>
        <w:jc w:val="both"/>
        <w:rPr>
          <w:rFonts w:ascii="Times New Roman" w:hAnsi="Times New Roman"/>
          <w:b w:val="0"/>
          <w:noProof w:val="0"/>
          <w:sz w:val="16"/>
          <w:szCs w:val="16"/>
        </w:rPr>
      </w:pPr>
      <w:r>
        <w:rPr>
          <w:rFonts w:ascii="Times New Roman" w:hAnsi="Times New Roman"/>
          <w:b w:val="0"/>
          <w:noProof w:val="0"/>
          <w:sz w:val="16"/>
          <w:szCs w:val="16"/>
        </w:rPr>
        <w:t xml:space="preserve">        </w:t>
      </w:r>
      <w:r w:rsidR="0006161A">
        <w:rPr>
          <w:rFonts w:ascii="Times New Roman" w:hAnsi="Times New Roman"/>
          <w:b w:val="0"/>
          <w:noProof w:val="0"/>
          <w:sz w:val="16"/>
          <w:szCs w:val="16"/>
        </w:rPr>
        <w:t xml:space="preserve"> </w:t>
      </w:r>
      <w:r>
        <w:rPr>
          <w:rFonts w:ascii="Times New Roman" w:hAnsi="Times New Roman"/>
          <w:b w:val="0"/>
          <w:noProof w:val="0"/>
          <w:sz w:val="16"/>
          <w:szCs w:val="16"/>
        </w:rPr>
        <w:t xml:space="preserve">     Fonte: CODEAGRO</w:t>
      </w:r>
    </w:p>
    <w:p w:rsidR="003E6588" w:rsidRDefault="003E6588">
      <w:pPr>
        <w:pStyle w:val="Recuodecorpodetexto"/>
        <w:ind w:firstLine="1134"/>
        <w:rPr>
          <w:rFonts w:ascii="Times New Roman" w:hAnsi="Times New Roman"/>
          <w:szCs w:val="24"/>
        </w:rPr>
      </w:pPr>
      <w:bookmarkStart w:id="7" w:name="_Toc335822528"/>
    </w:p>
    <w:p w:rsidR="003E6588" w:rsidRDefault="003E6588">
      <w:pPr>
        <w:pStyle w:val="Recuodecorpodetexto"/>
        <w:ind w:left="0" w:firstLine="1134"/>
        <w:rPr>
          <w:rFonts w:ascii="Times New Roman" w:hAnsi="Times New Roman"/>
          <w:szCs w:val="24"/>
          <w:lang w:val="pt-BR"/>
        </w:rPr>
      </w:pPr>
      <w:r>
        <w:rPr>
          <w:rFonts w:ascii="Times New Roman" w:hAnsi="Times New Roman"/>
          <w:b/>
          <w:szCs w:val="24"/>
          <w:lang w:val="pt-BR"/>
        </w:rPr>
        <w:t>Projeto Estadual Cozinhalimento</w:t>
      </w:r>
      <w:bookmarkEnd w:id="7"/>
      <w:r>
        <w:rPr>
          <w:rFonts w:ascii="Times New Roman" w:hAnsi="Times New Roman"/>
          <w:szCs w:val="24"/>
          <w:lang w:val="pt-BR"/>
        </w:rPr>
        <w:t xml:space="preserve"> tem como objetivo instalar cozinhas experimentais, por meio de convênios celebrados entre a Secretaria de Agricultura e Abastecimento e Municípios Paulistas. Além da realização de cursos, palestras e treinamentos visando práticas alimentares saudáveis, combate ao desperdício, aproveitamento de suas partes não convencionais e geração de renda, implementando a capacitação de agentes multiplicadores, conforme Decreto n° 50.807/2006.</w:t>
      </w:r>
    </w:p>
    <w:p w:rsidR="0006161A" w:rsidRDefault="0006161A">
      <w:pPr>
        <w:autoSpaceDE w:val="0"/>
        <w:autoSpaceDN w:val="0"/>
        <w:adjustRightInd w:val="0"/>
        <w:ind w:firstLine="1134"/>
        <w:jc w:val="both"/>
      </w:pPr>
    </w:p>
    <w:p w:rsidR="003E6588" w:rsidRPr="00DC3FA0" w:rsidRDefault="003E6588">
      <w:pPr>
        <w:autoSpaceDE w:val="0"/>
        <w:autoSpaceDN w:val="0"/>
        <w:adjustRightInd w:val="0"/>
        <w:ind w:firstLine="1134"/>
        <w:jc w:val="both"/>
      </w:pPr>
      <w:r w:rsidRPr="00DC3FA0">
        <w:t xml:space="preserve">A criação de canais fixos e móveis para escoamento de produtos hortifrutigranjeiros, agropecuários e agroindustriais de pequenas e médias propriedades é o objetivo do Projeto Bom Preço do Agricultor, para proporcionar condições necessárias </w:t>
      </w:r>
      <w:r w:rsidR="00DC3FA0" w:rsidRPr="00DC3FA0">
        <w:t>à</w:t>
      </w:r>
      <w:r w:rsidRPr="00DC3FA0">
        <w:t xml:space="preserve"> promo</w:t>
      </w:r>
      <w:r w:rsidR="00DC3FA0" w:rsidRPr="00DC3FA0">
        <w:t>ção</w:t>
      </w:r>
      <w:r w:rsidRPr="00DC3FA0">
        <w:t xml:space="preserve"> </w:t>
      </w:r>
      <w:r w:rsidR="00DC3FA0" w:rsidRPr="00DC3FA0">
        <w:t>d</w:t>
      </w:r>
      <w:r w:rsidRPr="00DC3FA0">
        <w:t xml:space="preserve">o aumento da renda, difusão de informações técnicas e mercadológicas, além de capacitar os produtores e campanhas de alimentação com foco nos consumidores e de melhorar a disponibilidade de alimentos seguros, rastreados e a preços </w:t>
      </w:r>
      <w:r w:rsidRPr="00DC3FA0">
        <w:lastRenderedPageBreak/>
        <w:t>compatíveis aos praticados no mercado. Foi inaugurada 1 unidade do projeto no bairro do Jabaquara, em que foram comercializad</w:t>
      </w:r>
      <w:r w:rsidR="00DC3FA0" w:rsidRPr="00DC3FA0">
        <w:t>a</w:t>
      </w:r>
      <w:r w:rsidRPr="00DC3FA0">
        <w:t>s 2,8 toneladas de produtos. Semanalmente são atendidas 20 mil pessoas.</w:t>
      </w:r>
    </w:p>
    <w:p w:rsidR="003E6588" w:rsidRPr="00DC3FA0" w:rsidRDefault="003E6588">
      <w:pPr>
        <w:autoSpaceDE w:val="0"/>
        <w:autoSpaceDN w:val="0"/>
        <w:adjustRightInd w:val="0"/>
        <w:ind w:firstLine="1134"/>
        <w:jc w:val="both"/>
      </w:pPr>
    </w:p>
    <w:p w:rsidR="003E6588" w:rsidRDefault="003E6588">
      <w:pPr>
        <w:autoSpaceDE w:val="0"/>
        <w:autoSpaceDN w:val="0"/>
        <w:adjustRightInd w:val="0"/>
        <w:ind w:firstLine="1134"/>
        <w:jc w:val="both"/>
      </w:pPr>
      <w:r>
        <w:t xml:space="preserve">A capacitação na área de nutrição e geração de renda é realizada pelo Centro de Segurança Alimentar e Nutricional Sustentável - CESANS, responsável pelos cursos sobre educação alimentar e preparo de alimentos. Além dos cursos, houve distribuição de publicações </w:t>
      </w:r>
      <w:r w:rsidRPr="00DC3FA0">
        <w:t>visando à promoção</w:t>
      </w:r>
      <w:r>
        <w:t xml:space="preserve"> da  Educação Alimentar.</w:t>
      </w:r>
    </w:p>
    <w:p w:rsidR="003E6588" w:rsidRDefault="003E6588">
      <w:pPr>
        <w:autoSpaceDE w:val="0"/>
        <w:autoSpaceDN w:val="0"/>
        <w:adjustRightInd w:val="0"/>
        <w:ind w:firstLine="1134"/>
        <w:jc w:val="both"/>
      </w:pPr>
    </w:p>
    <w:p w:rsidR="003E6588" w:rsidRPr="00C532DB" w:rsidRDefault="003E6588">
      <w:pPr>
        <w:autoSpaceDE w:val="0"/>
        <w:autoSpaceDN w:val="0"/>
        <w:adjustRightInd w:val="0"/>
        <w:ind w:firstLine="1134"/>
        <w:jc w:val="both"/>
        <w:rPr>
          <w:b/>
        </w:rPr>
      </w:pPr>
      <w:r w:rsidRPr="00C532DB">
        <w:t>Foram entregues 1.519 exemplares</w:t>
      </w:r>
      <w:r w:rsidRPr="00C532DB">
        <w:rPr>
          <w:b/>
        </w:rPr>
        <w:t xml:space="preserve"> </w:t>
      </w:r>
      <w:r w:rsidRPr="00C532DB">
        <w:t>de publicações técnicas de orientação n</w:t>
      </w:r>
      <w:r w:rsidR="00C532DB" w:rsidRPr="00C532DB">
        <w:t>utricional e educação alimentar</w:t>
      </w:r>
      <w:r w:rsidRPr="00C532DB">
        <w:t xml:space="preserve"> e testadas 150 receitas na cozinha experimental</w:t>
      </w:r>
      <w:r w:rsidR="00C532DB" w:rsidRPr="00C532DB">
        <w:t>,</w:t>
      </w:r>
      <w:r w:rsidRPr="00C532DB">
        <w:t xml:space="preserve"> visando o aproveitamento integral dos alimentos</w:t>
      </w:r>
      <w:r w:rsidR="00C532DB" w:rsidRPr="00C532DB">
        <w:t>.</w:t>
      </w:r>
      <w:r w:rsidRPr="00C532DB">
        <w:t xml:space="preserve"> </w:t>
      </w:r>
      <w:r w:rsidR="00C532DB" w:rsidRPr="00C532DB">
        <w:t xml:space="preserve">Treinamento </w:t>
      </w:r>
      <w:r w:rsidRPr="00C532DB">
        <w:t xml:space="preserve">de 3.318 pessoas. Destaque para os cursos ministrados na feira noturna de produtos orgânicos, realizado no Parque da Água Branca, realização de palestras na </w:t>
      </w:r>
      <w:r w:rsidR="00C532DB" w:rsidRPr="00C532DB">
        <w:t>“</w:t>
      </w:r>
      <w:r w:rsidRPr="00C532DB">
        <w:t xml:space="preserve">Feira Internacional de Tecnologia Agrícola em Ação </w:t>
      </w:r>
      <w:r w:rsidR="00C532DB" w:rsidRPr="00C532DB">
        <w:t>-</w:t>
      </w:r>
      <w:r w:rsidRPr="00C532DB">
        <w:t xml:space="preserve"> Agrishow</w:t>
      </w:r>
      <w:r w:rsidR="00C532DB" w:rsidRPr="00C532DB">
        <w:t>”</w:t>
      </w:r>
      <w:r w:rsidRPr="00C532DB">
        <w:t>, Lançamento do Livro “Polpa de Peixe - Dicas e Receitas” no “VI Simpósio de Controle de Qualidade do Pescado - SIMCOPE”, realização da “XXI Semana da Alimentação”, cujo tema foi: “Alimentação fora de casa”, além do evento comemorativo ao “Dia Mundial da Alimentação” onde foi lançada a publicação “Pescados”</w:t>
      </w:r>
      <w:r w:rsidR="00C532DB" w:rsidRPr="00C532DB">
        <w:t>.</w:t>
      </w:r>
    </w:p>
    <w:p w:rsidR="003E6588" w:rsidRPr="0006161A" w:rsidRDefault="003E6588">
      <w:pPr>
        <w:jc w:val="both"/>
        <w:rPr>
          <w:b/>
          <w:sz w:val="20"/>
          <w:szCs w:val="20"/>
        </w:rPr>
      </w:pPr>
    </w:p>
    <w:p w:rsidR="003E6588" w:rsidRDefault="003E6588">
      <w:pPr>
        <w:ind w:firstLine="1134"/>
        <w:jc w:val="both"/>
        <w:rPr>
          <w:b/>
        </w:rPr>
      </w:pPr>
      <w:r>
        <w:rPr>
          <w:b/>
        </w:rPr>
        <w:t>Segurança Alimentar e Nutricional Sustentável</w:t>
      </w:r>
    </w:p>
    <w:p w:rsidR="003E6588" w:rsidRPr="0006161A" w:rsidRDefault="003E6588">
      <w:pPr>
        <w:jc w:val="both"/>
        <w:rPr>
          <w:b/>
          <w:strike/>
          <w:sz w:val="20"/>
          <w:szCs w:val="20"/>
        </w:rPr>
      </w:pPr>
    </w:p>
    <w:tbl>
      <w:tblPr>
        <w:tblW w:w="6306" w:type="dxa"/>
        <w:jc w:val="center"/>
        <w:tblInd w:w="374" w:type="dxa"/>
        <w:tblBorders>
          <w:top w:val="single" w:sz="4" w:space="0" w:color="auto"/>
          <w:bottom w:val="single" w:sz="4" w:space="0" w:color="auto"/>
          <w:insideH w:val="single" w:sz="4" w:space="0" w:color="auto"/>
        </w:tblBorders>
        <w:tblLayout w:type="fixed"/>
        <w:tblCellMar>
          <w:left w:w="0" w:type="dxa"/>
          <w:right w:w="0" w:type="dxa"/>
        </w:tblCellMar>
        <w:tblLook w:val="0000"/>
      </w:tblPr>
      <w:tblGrid>
        <w:gridCol w:w="5296"/>
        <w:gridCol w:w="1010"/>
      </w:tblGrid>
      <w:tr w:rsidR="003E6588" w:rsidTr="001B3F5A">
        <w:trPr>
          <w:jc w:val="center"/>
        </w:trPr>
        <w:tc>
          <w:tcPr>
            <w:tcW w:w="5296" w:type="dxa"/>
            <w:tcBorders>
              <w:top w:val="single" w:sz="8" w:space="0" w:color="auto"/>
              <w:bottom w:val="single" w:sz="8" w:space="0" w:color="auto"/>
            </w:tcBorders>
            <w:vAlign w:val="center"/>
          </w:tcPr>
          <w:p w:rsidR="003E6588" w:rsidRDefault="003E6588">
            <w:pPr>
              <w:pStyle w:val="Ttulo1"/>
              <w:spacing w:before="0" w:after="0"/>
              <w:rPr>
                <w:rFonts w:ascii="Times New Roman" w:hAnsi="Times New Roman"/>
                <w:sz w:val="20"/>
                <w:szCs w:val="20"/>
                <w:lang w:val="pt-BR" w:eastAsia="pt-BR"/>
              </w:rPr>
            </w:pPr>
            <w:r>
              <w:rPr>
                <w:rFonts w:ascii="Times New Roman" w:hAnsi="Times New Roman"/>
                <w:sz w:val="20"/>
                <w:szCs w:val="20"/>
                <w:lang w:val="pt-BR" w:eastAsia="pt-BR"/>
              </w:rPr>
              <w:t>Indicador</w:t>
            </w:r>
          </w:p>
        </w:tc>
        <w:tc>
          <w:tcPr>
            <w:tcW w:w="1010" w:type="dxa"/>
            <w:tcBorders>
              <w:top w:val="single" w:sz="8" w:space="0" w:color="auto"/>
              <w:bottom w:val="single" w:sz="8" w:space="0" w:color="auto"/>
            </w:tcBorders>
          </w:tcPr>
          <w:p w:rsidR="003E6588" w:rsidRDefault="003E6588">
            <w:pPr>
              <w:rPr>
                <w:b/>
                <w:sz w:val="20"/>
                <w:szCs w:val="20"/>
              </w:rPr>
            </w:pPr>
          </w:p>
        </w:tc>
      </w:tr>
      <w:tr w:rsidR="003E6588" w:rsidTr="001B3F5A">
        <w:trPr>
          <w:jc w:val="center"/>
        </w:trPr>
        <w:tc>
          <w:tcPr>
            <w:tcW w:w="5296" w:type="dxa"/>
            <w:tcBorders>
              <w:top w:val="single" w:sz="8" w:space="0" w:color="auto"/>
              <w:bottom w:val="nil"/>
            </w:tcBorders>
            <w:vAlign w:val="center"/>
          </w:tcPr>
          <w:p w:rsidR="003E6588" w:rsidRDefault="003E6588">
            <w:pPr>
              <w:jc w:val="both"/>
              <w:rPr>
                <w:b/>
                <w:sz w:val="20"/>
                <w:szCs w:val="20"/>
              </w:rPr>
            </w:pPr>
            <w:r>
              <w:rPr>
                <w:sz w:val="20"/>
                <w:szCs w:val="20"/>
              </w:rPr>
              <w:t>Materiais de Orientação</w:t>
            </w:r>
          </w:p>
        </w:tc>
        <w:tc>
          <w:tcPr>
            <w:tcW w:w="1010" w:type="dxa"/>
            <w:tcBorders>
              <w:top w:val="single" w:sz="8" w:space="0" w:color="auto"/>
              <w:bottom w:val="nil"/>
            </w:tcBorders>
          </w:tcPr>
          <w:p w:rsidR="003E6588" w:rsidRDefault="003E6588">
            <w:pPr>
              <w:rPr>
                <w:sz w:val="20"/>
                <w:szCs w:val="20"/>
              </w:rPr>
            </w:pPr>
            <w:r>
              <w:rPr>
                <w:sz w:val="20"/>
                <w:szCs w:val="20"/>
              </w:rPr>
              <w:t>1.519</w:t>
            </w:r>
          </w:p>
        </w:tc>
      </w:tr>
      <w:tr w:rsidR="003E6588">
        <w:trPr>
          <w:jc w:val="center"/>
        </w:trPr>
        <w:tc>
          <w:tcPr>
            <w:tcW w:w="5296" w:type="dxa"/>
            <w:tcBorders>
              <w:top w:val="nil"/>
              <w:bottom w:val="nil"/>
            </w:tcBorders>
            <w:vAlign w:val="center"/>
          </w:tcPr>
          <w:p w:rsidR="003E6588" w:rsidRDefault="003E6588">
            <w:pPr>
              <w:jc w:val="both"/>
              <w:rPr>
                <w:sz w:val="20"/>
                <w:szCs w:val="20"/>
              </w:rPr>
            </w:pPr>
            <w:r>
              <w:rPr>
                <w:sz w:val="20"/>
                <w:szCs w:val="20"/>
              </w:rPr>
              <w:t>Cozinha experimental (receitas testadas)</w:t>
            </w:r>
          </w:p>
        </w:tc>
        <w:tc>
          <w:tcPr>
            <w:tcW w:w="1010" w:type="dxa"/>
            <w:tcBorders>
              <w:top w:val="nil"/>
              <w:bottom w:val="nil"/>
            </w:tcBorders>
          </w:tcPr>
          <w:p w:rsidR="003E6588" w:rsidRDefault="003E6588">
            <w:pPr>
              <w:rPr>
                <w:sz w:val="20"/>
                <w:szCs w:val="20"/>
              </w:rPr>
            </w:pPr>
            <w:r>
              <w:rPr>
                <w:sz w:val="20"/>
                <w:szCs w:val="20"/>
              </w:rPr>
              <w:t>150</w:t>
            </w:r>
          </w:p>
        </w:tc>
      </w:tr>
      <w:tr w:rsidR="003E6588">
        <w:trPr>
          <w:jc w:val="center"/>
        </w:trPr>
        <w:tc>
          <w:tcPr>
            <w:tcW w:w="5296" w:type="dxa"/>
            <w:tcBorders>
              <w:top w:val="nil"/>
              <w:bottom w:val="nil"/>
            </w:tcBorders>
            <w:vAlign w:val="center"/>
          </w:tcPr>
          <w:p w:rsidR="003E6588" w:rsidRDefault="003E6588">
            <w:pPr>
              <w:jc w:val="both"/>
              <w:rPr>
                <w:sz w:val="20"/>
                <w:szCs w:val="20"/>
              </w:rPr>
            </w:pPr>
            <w:r>
              <w:rPr>
                <w:sz w:val="20"/>
                <w:szCs w:val="20"/>
              </w:rPr>
              <w:t>Cursos sobre alimentação</w:t>
            </w:r>
          </w:p>
        </w:tc>
        <w:tc>
          <w:tcPr>
            <w:tcW w:w="1010" w:type="dxa"/>
            <w:tcBorders>
              <w:top w:val="nil"/>
              <w:bottom w:val="nil"/>
            </w:tcBorders>
          </w:tcPr>
          <w:p w:rsidR="003E6588" w:rsidRDefault="003E6588">
            <w:pPr>
              <w:rPr>
                <w:sz w:val="20"/>
                <w:szCs w:val="20"/>
              </w:rPr>
            </w:pPr>
            <w:r>
              <w:rPr>
                <w:sz w:val="20"/>
                <w:szCs w:val="20"/>
              </w:rPr>
              <w:t>158</w:t>
            </w:r>
          </w:p>
        </w:tc>
      </w:tr>
      <w:tr w:rsidR="003E6588" w:rsidTr="001B3F5A">
        <w:trPr>
          <w:jc w:val="center"/>
        </w:trPr>
        <w:tc>
          <w:tcPr>
            <w:tcW w:w="5296" w:type="dxa"/>
            <w:tcBorders>
              <w:top w:val="nil"/>
              <w:bottom w:val="nil"/>
            </w:tcBorders>
            <w:vAlign w:val="center"/>
          </w:tcPr>
          <w:p w:rsidR="003E6588" w:rsidRDefault="003E6588">
            <w:pPr>
              <w:jc w:val="both"/>
              <w:rPr>
                <w:sz w:val="20"/>
                <w:szCs w:val="20"/>
              </w:rPr>
            </w:pPr>
            <w:r>
              <w:rPr>
                <w:sz w:val="20"/>
                <w:szCs w:val="20"/>
              </w:rPr>
              <w:t>Pessoas treinadas</w:t>
            </w:r>
          </w:p>
        </w:tc>
        <w:tc>
          <w:tcPr>
            <w:tcW w:w="1010" w:type="dxa"/>
            <w:tcBorders>
              <w:top w:val="nil"/>
              <w:bottom w:val="nil"/>
            </w:tcBorders>
          </w:tcPr>
          <w:p w:rsidR="003E6588" w:rsidRDefault="003E6588">
            <w:pPr>
              <w:rPr>
                <w:sz w:val="20"/>
                <w:szCs w:val="20"/>
              </w:rPr>
            </w:pPr>
            <w:r>
              <w:rPr>
                <w:sz w:val="20"/>
                <w:szCs w:val="20"/>
              </w:rPr>
              <w:t>3.318</w:t>
            </w:r>
          </w:p>
        </w:tc>
      </w:tr>
      <w:tr w:rsidR="001B3F5A" w:rsidRPr="001B3F5A" w:rsidTr="001B3F5A">
        <w:trPr>
          <w:jc w:val="center"/>
        </w:trPr>
        <w:tc>
          <w:tcPr>
            <w:tcW w:w="5296" w:type="dxa"/>
            <w:tcBorders>
              <w:top w:val="nil"/>
              <w:bottom w:val="single" w:sz="8" w:space="0" w:color="auto"/>
            </w:tcBorders>
            <w:vAlign w:val="center"/>
          </w:tcPr>
          <w:p w:rsidR="003E6588" w:rsidRPr="001B3F5A" w:rsidRDefault="003E6588">
            <w:pPr>
              <w:pStyle w:val="Listadecontinuao"/>
              <w:spacing w:after="0"/>
              <w:ind w:left="0"/>
              <w:jc w:val="both"/>
            </w:pPr>
            <w:r w:rsidRPr="001B3F5A">
              <w:t>Convênios Celebrados Projeto Estadual Cozinhalimento</w:t>
            </w:r>
          </w:p>
        </w:tc>
        <w:tc>
          <w:tcPr>
            <w:tcW w:w="1010" w:type="dxa"/>
            <w:tcBorders>
              <w:top w:val="nil"/>
              <w:bottom w:val="single" w:sz="8" w:space="0" w:color="auto"/>
            </w:tcBorders>
          </w:tcPr>
          <w:p w:rsidR="003E6588" w:rsidRPr="001B3F5A" w:rsidRDefault="003E6588">
            <w:pPr>
              <w:rPr>
                <w:sz w:val="20"/>
                <w:szCs w:val="20"/>
              </w:rPr>
            </w:pPr>
            <w:r w:rsidRPr="001B3F5A">
              <w:rPr>
                <w:sz w:val="20"/>
                <w:szCs w:val="20"/>
              </w:rPr>
              <w:t>-</w:t>
            </w:r>
          </w:p>
        </w:tc>
      </w:tr>
    </w:tbl>
    <w:p w:rsidR="003E6588" w:rsidRDefault="003E6588">
      <w:pPr>
        <w:ind w:left="783" w:firstLine="708"/>
        <w:jc w:val="both"/>
        <w:rPr>
          <w:sz w:val="16"/>
          <w:szCs w:val="16"/>
        </w:rPr>
      </w:pPr>
      <w:r>
        <w:rPr>
          <w:sz w:val="16"/>
          <w:szCs w:val="16"/>
        </w:rPr>
        <w:t xml:space="preserve">    </w:t>
      </w:r>
      <w:r w:rsidR="0006161A">
        <w:rPr>
          <w:sz w:val="16"/>
          <w:szCs w:val="16"/>
        </w:rPr>
        <w:t xml:space="preserve"> </w:t>
      </w:r>
      <w:r>
        <w:rPr>
          <w:sz w:val="16"/>
          <w:szCs w:val="16"/>
        </w:rPr>
        <w:t xml:space="preserve">     Fonte: CODEAGRO</w:t>
      </w:r>
    </w:p>
    <w:p w:rsidR="003E6588" w:rsidRPr="0006161A" w:rsidRDefault="003E6588">
      <w:pPr>
        <w:jc w:val="both"/>
        <w:rPr>
          <w:sz w:val="20"/>
          <w:szCs w:val="20"/>
        </w:rPr>
      </w:pPr>
    </w:p>
    <w:p w:rsidR="003E6588" w:rsidRPr="00C532DB" w:rsidRDefault="003E6588">
      <w:pPr>
        <w:pStyle w:val="Recuodecorpodetexto"/>
        <w:ind w:left="0" w:firstLine="1134"/>
        <w:rPr>
          <w:rFonts w:ascii="Times New Roman" w:hAnsi="Times New Roman"/>
          <w:szCs w:val="24"/>
          <w:lang w:val="pt-BR"/>
        </w:rPr>
      </w:pPr>
      <w:r w:rsidRPr="00C532DB">
        <w:rPr>
          <w:rFonts w:ascii="Times New Roman" w:hAnsi="Times New Roman"/>
          <w:szCs w:val="24"/>
          <w:lang w:val="pt-BR"/>
        </w:rPr>
        <w:t xml:space="preserve">O </w:t>
      </w:r>
      <w:r w:rsidRPr="00C532DB">
        <w:rPr>
          <w:rFonts w:ascii="Times New Roman" w:hAnsi="Times New Roman"/>
          <w:b/>
          <w:szCs w:val="24"/>
          <w:lang w:val="pt-BR"/>
        </w:rPr>
        <w:t>projeto Padarias Artesanais,</w:t>
      </w:r>
      <w:r w:rsidRPr="00C532DB">
        <w:rPr>
          <w:rFonts w:ascii="Times New Roman" w:hAnsi="Times New Roman"/>
          <w:szCs w:val="24"/>
          <w:lang w:val="pt-BR"/>
        </w:rPr>
        <w:t xml:space="preserve"> desenvolvido pelo Fundo Social de Solidariedade do Estado de São Paulo - FUSSESP, em parceria com a Secretaria de Agricultura e Abastecimento, por meio da Coordenadoria de Desenvolvimento dos Agronegócios - CODEAGRO, tem como objetivo qualificar profissionais e capacitar agentes multiplicadores na produção de 10 tipos de pães, feitos com vegetais e frutas. Foram realizados 107 cursos e atendidas 1.578 pessoas.</w:t>
      </w:r>
    </w:p>
    <w:p w:rsidR="003E6588" w:rsidRPr="00C532DB" w:rsidRDefault="003E6588">
      <w:pPr>
        <w:pStyle w:val="Recuodecorpodetexto"/>
        <w:ind w:firstLine="1134"/>
        <w:rPr>
          <w:rFonts w:ascii="Times New Roman" w:hAnsi="Times New Roman"/>
          <w:szCs w:val="24"/>
          <w:lang w:val="pt-BR"/>
        </w:rPr>
      </w:pPr>
    </w:p>
    <w:p w:rsidR="003E6588" w:rsidRPr="00C532DB" w:rsidRDefault="003E6588">
      <w:pPr>
        <w:pStyle w:val="Recuodecorpodetexto"/>
        <w:ind w:left="0" w:firstLine="1134"/>
        <w:rPr>
          <w:rFonts w:ascii="Times New Roman" w:hAnsi="Times New Roman"/>
          <w:szCs w:val="24"/>
          <w:lang w:val="pt-BR"/>
        </w:rPr>
      </w:pPr>
      <w:r w:rsidRPr="00C532DB">
        <w:rPr>
          <w:rFonts w:ascii="Times New Roman" w:hAnsi="Times New Roman"/>
          <w:szCs w:val="24"/>
          <w:lang w:val="pt-BR"/>
        </w:rPr>
        <w:t xml:space="preserve">O </w:t>
      </w:r>
      <w:r w:rsidRPr="00C532DB">
        <w:rPr>
          <w:rFonts w:ascii="Times New Roman" w:hAnsi="Times New Roman"/>
          <w:b/>
          <w:szCs w:val="24"/>
          <w:lang w:val="pt-BR"/>
        </w:rPr>
        <w:t xml:space="preserve">Projeto Horta Educativa, </w:t>
      </w:r>
      <w:r w:rsidRPr="00C532DB">
        <w:rPr>
          <w:rFonts w:ascii="Times New Roman" w:hAnsi="Times New Roman"/>
          <w:szCs w:val="24"/>
          <w:lang w:val="pt-BR"/>
        </w:rPr>
        <w:t xml:space="preserve">desenvolvido pelo FUSSESP, em parceria com a Secretaria de Agricultura e Abastecimento, por meio da Coordenadoria de Desenvolvimento dos Agronegócios - CODEAGRO, tem como objetivo fortalecer o trabalho educacional voltado à formação de valores sociais, culturais e alimentares compatíveis com a preservação da cultura do </w:t>
      </w:r>
      <w:r w:rsidR="00957E14" w:rsidRPr="00C532DB">
        <w:rPr>
          <w:rFonts w:ascii="Times New Roman" w:hAnsi="Times New Roman"/>
          <w:szCs w:val="24"/>
          <w:lang w:val="pt-BR"/>
        </w:rPr>
        <w:t>País</w:t>
      </w:r>
      <w:r w:rsidRPr="00C532DB">
        <w:rPr>
          <w:rFonts w:ascii="Times New Roman" w:hAnsi="Times New Roman"/>
          <w:szCs w:val="24"/>
          <w:lang w:val="pt-BR"/>
        </w:rPr>
        <w:t>, do meio ambiente e da promoção de hábitos alimentares saudáveis, por meio de ensino que mescla, aulas teóricas e práticas, conceitos de Educação Ambiental, Nutricional e Valorização do Meio Rural via Horticultura. Foram realizados 10 cursos e atendidas 997 pessoas.</w:t>
      </w:r>
    </w:p>
    <w:p w:rsidR="003E6588" w:rsidRPr="0006161A" w:rsidRDefault="003E6588">
      <w:pPr>
        <w:pStyle w:val="Corpodetexto"/>
        <w:jc w:val="both"/>
        <w:rPr>
          <w:sz w:val="20"/>
        </w:rPr>
      </w:pPr>
    </w:p>
    <w:p w:rsidR="003E6588" w:rsidRDefault="003E6588" w:rsidP="00C532DB">
      <w:pPr>
        <w:pStyle w:val="Corpodetexto"/>
        <w:ind w:firstLine="1134"/>
        <w:jc w:val="both"/>
        <w:rPr>
          <w:szCs w:val="24"/>
        </w:rPr>
      </w:pPr>
      <w:r>
        <w:rPr>
          <w:szCs w:val="24"/>
        </w:rPr>
        <w:t>Programa de Geração de Emprego e Renda no Agronegócio Paulista</w:t>
      </w:r>
    </w:p>
    <w:p w:rsidR="003E6588" w:rsidRDefault="003E6588" w:rsidP="00C532DB">
      <w:pPr>
        <w:pStyle w:val="Corpodetexto"/>
        <w:ind w:firstLine="1134"/>
        <w:jc w:val="both"/>
        <w:rPr>
          <w:b w:val="0"/>
          <w:spacing w:val="5"/>
          <w:szCs w:val="24"/>
        </w:rPr>
      </w:pPr>
    </w:p>
    <w:p w:rsidR="003E6588" w:rsidRPr="00C532DB" w:rsidRDefault="003E6588" w:rsidP="00C532DB">
      <w:pPr>
        <w:ind w:firstLine="1134"/>
        <w:jc w:val="both"/>
      </w:pPr>
      <w:r w:rsidRPr="001B3F5A">
        <w:t>Objetivo -</w:t>
      </w:r>
      <w:r w:rsidRPr="00C532DB">
        <w:rPr>
          <w:snapToGrid w:val="0"/>
        </w:rPr>
        <w:t xml:space="preserve"> Desenvolver alternativas rentáveis de produção, agregação de valor e de mudança tecnológica que incrementem a renda e a geração de emprego, via aumento de produtividade.</w:t>
      </w:r>
    </w:p>
    <w:p w:rsidR="003E6588" w:rsidRPr="00C532DB" w:rsidRDefault="003E6588" w:rsidP="00C532DB">
      <w:pPr>
        <w:ind w:firstLine="1134"/>
        <w:jc w:val="both"/>
      </w:pPr>
      <w:r w:rsidRPr="00C532DB">
        <w:lastRenderedPageBreak/>
        <w:t>O Fundo de Expansão do Agronegócio Paulista - FEAP, gerenciado pela Administração Superior da Sede da Secretaria de Agricultura e Abastecimento, representa mecanismo pioneiro de sustentação dessa política de redução da disparidade de oportunidades.</w:t>
      </w:r>
    </w:p>
    <w:p w:rsidR="000B028A" w:rsidRDefault="000B028A">
      <w:pPr>
        <w:ind w:firstLine="1134"/>
        <w:jc w:val="both"/>
      </w:pPr>
    </w:p>
    <w:p w:rsidR="003E6588" w:rsidRPr="00C532DB" w:rsidRDefault="003E6588">
      <w:pPr>
        <w:ind w:firstLine="1134"/>
        <w:jc w:val="both"/>
        <w:rPr>
          <w:strike/>
        </w:rPr>
      </w:pPr>
      <w:r w:rsidRPr="00C532DB">
        <w:t>Foram celebrados 604 contratos que proporcionaram a liberação de R$ 50.190.513,03</w:t>
      </w:r>
      <w:r w:rsidR="00C532DB" w:rsidRPr="00C532DB">
        <w:t>,</w:t>
      </w:r>
      <w:r w:rsidRPr="00C532DB">
        <w:t xml:space="preserve"> recursos do FEAP/BANAGRO.</w:t>
      </w:r>
    </w:p>
    <w:p w:rsidR="003E6588" w:rsidRPr="00C532DB" w:rsidRDefault="003E6588">
      <w:pPr>
        <w:ind w:firstLine="1134"/>
        <w:jc w:val="both"/>
        <w:rPr>
          <w:strike/>
        </w:rPr>
      </w:pPr>
    </w:p>
    <w:p w:rsidR="003E6588" w:rsidRPr="005B30F0" w:rsidRDefault="003E6588">
      <w:pPr>
        <w:ind w:firstLine="1134"/>
        <w:jc w:val="both"/>
        <w:rPr>
          <w:strike/>
          <w:snapToGrid w:val="0"/>
        </w:rPr>
      </w:pPr>
      <w:r w:rsidRPr="005B30F0">
        <w:rPr>
          <w:snapToGrid w:val="0"/>
        </w:rPr>
        <w:t xml:space="preserve">Na ação Subvenção do Prêmio do Seguro no Agronegócio Paulista, </w:t>
      </w:r>
      <w:r w:rsidRPr="005B30F0">
        <w:rPr>
          <w:bCs/>
          <w:snapToGrid w:val="0"/>
        </w:rPr>
        <w:t>foram pagas 15.038 subvenções, no valor de R$ 30,885 milhões</w:t>
      </w:r>
      <w:r w:rsidR="005B30F0" w:rsidRPr="005B30F0">
        <w:rPr>
          <w:bCs/>
          <w:snapToGrid w:val="0"/>
        </w:rPr>
        <w:t>.</w:t>
      </w:r>
    </w:p>
    <w:p w:rsidR="003E6588" w:rsidRPr="005B30F0" w:rsidRDefault="003E6588">
      <w:pPr>
        <w:ind w:firstLine="1134"/>
        <w:jc w:val="both"/>
        <w:rPr>
          <w:strike/>
          <w:snapToGrid w:val="0"/>
        </w:rPr>
      </w:pPr>
    </w:p>
    <w:p w:rsidR="003E6588" w:rsidRPr="005B30F0" w:rsidRDefault="003E6588">
      <w:pPr>
        <w:ind w:firstLine="1134"/>
        <w:jc w:val="both"/>
      </w:pPr>
      <w:r w:rsidRPr="005B30F0">
        <w:t xml:space="preserve">Na ação de </w:t>
      </w:r>
      <w:r w:rsidRPr="0006161A">
        <w:t>Subvenção aos Produtores Rurais - FEAP/BANAGRO</w:t>
      </w:r>
      <w:r w:rsidRPr="005B30F0">
        <w:t>, os produtores rurais vêm sendo beneficiados com subvenção total dos juros de financiamentos destinados à aquisição de tratores novos, por meio do Programa Pró Trator - Agricultura Moderna para Todos, instituído pelo Decreto nº 53.653/2008, bem como pelos financiamentos destinados à aquisição de implementos novos, por meio do Programa Pró-Implemento - Agricultura Moderna para Todos, instituído pelo Decreto nº 56.999/2011.</w:t>
      </w:r>
    </w:p>
    <w:p w:rsidR="003E6588" w:rsidRPr="005B30F0" w:rsidRDefault="003E6588">
      <w:pPr>
        <w:ind w:firstLine="1134"/>
        <w:jc w:val="both"/>
        <w:rPr>
          <w:strike/>
        </w:rPr>
      </w:pPr>
    </w:p>
    <w:p w:rsidR="003E6588" w:rsidRPr="005B30F0" w:rsidRDefault="003E6588">
      <w:pPr>
        <w:ind w:firstLine="1134"/>
        <w:jc w:val="both"/>
      </w:pPr>
      <w:r w:rsidRPr="005B30F0">
        <w:t>Foram disponibilizados R$ 25.597.667,00 de recursos do FEAP/BANAGRO para a subvenção total de juros, contrapartida do Estado para aporte adicional de R$ 100.000.000,00 do Banco do Brasil; valores necessários à continuidade do Programa Pró-Trator II, implementado por meio da Resolução SAA nº 24/2012, com inclusão de novos modelos de tratores, inclusive cabinados, além de aumentar o prazo do financiamento, de 5 para 6 anos.</w:t>
      </w:r>
    </w:p>
    <w:p w:rsidR="003E6588" w:rsidRPr="005B30F0" w:rsidRDefault="003E6588">
      <w:pPr>
        <w:ind w:firstLine="1134"/>
        <w:jc w:val="both"/>
        <w:rPr>
          <w:strike/>
        </w:rPr>
      </w:pPr>
    </w:p>
    <w:p w:rsidR="003E6588" w:rsidRDefault="003E6588">
      <w:pPr>
        <w:ind w:firstLine="1134"/>
        <w:jc w:val="both"/>
      </w:pPr>
      <w:r w:rsidRPr="005B30F0">
        <w:t>1.110 produtores rurais foram beneficiados com financiamentos de tratores novos, no valor de R$ 97.116.489,49, com taxas de juros totalmente subvencionadas pelo FEAP/BANAGRO (juro</w:t>
      </w:r>
      <w:r w:rsidR="005B30F0" w:rsidRPr="005B30F0">
        <w:t xml:space="preserve"> zero).</w:t>
      </w:r>
    </w:p>
    <w:p w:rsidR="005B30F0" w:rsidRPr="005B30F0" w:rsidRDefault="005B30F0">
      <w:pPr>
        <w:ind w:firstLine="1134"/>
        <w:jc w:val="both"/>
        <w:rPr>
          <w:strike/>
        </w:rPr>
      </w:pPr>
    </w:p>
    <w:p w:rsidR="003E6588" w:rsidRPr="005B30F0" w:rsidRDefault="003E6588">
      <w:pPr>
        <w:ind w:firstLine="1134"/>
        <w:jc w:val="both"/>
      </w:pPr>
      <w:r w:rsidRPr="005B30F0">
        <w:t>O Programa Pró-Implemento - Agricultura Moderna para Todos foi implementado por meio da Resolução SAA nº 23/2012, sendo disponibilizados R$ 12.844.022,00 de recursos do FEAP/BANAGRO, para fins de subvenção total da taxa de juros de financiamentos de implementos novos (juro</w:t>
      </w:r>
      <w:r w:rsidRPr="005B30F0">
        <w:rPr>
          <w:strike/>
        </w:rPr>
        <w:t>s</w:t>
      </w:r>
      <w:r w:rsidRPr="005B30F0">
        <w:t xml:space="preserve"> zero), montante ne</w:t>
      </w:r>
      <w:r w:rsidR="005B30F0" w:rsidRPr="005B30F0">
        <w:t>cessário para sua continuidade.</w:t>
      </w:r>
    </w:p>
    <w:p w:rsidR="003E6588" w:rsidRPr="005B30F0" w:rsidRDefault="003E6588">
      <w:pPr>
        <w:ind w:firstLine="1134"/>
        <w:jc w:val="both"/>
      </w:pPr>
    </w:p>
    <w:p w:rsidR="003E6588" w:rsidRDefault="003E6588">
      <w:pPr>
        <w:ind w:firstLine="1134"/>
        <w:jc w:val="both"/>
      </w:pPr>
      <w:r>
        <w:t>861 produtores rurais foram beneficiados com financiamentos de implementos novos, no valor de R$ 33.981.893,10, com taxas de juros totalmente subvencionadas pelo FEAP/NANAGRO (juro</w:t>
      </w:r>
      <w:r w:rsidR="005B30F0">
        <w:t xml:space="preserve"> zero).</w:t>
      </w:r>
    </w:p>
    <w:p w:rsidR="0006161A" w:rsidRDefault="0006161A">
      <w:pPr>
        <w:ind w:firstLine="1134"/>
        <w:jc w:val="both"/>
      </w:pPr>
    </w:p>
    <w:p w:rsidR="003E6588" w:rsidRDefault="003E6588">
      <w:pPr>
        <w:ind w:firstLine="1134"/>
        <w:jc w:val="both"/>
      </w:pPr>
      <w:r w:rsidRPr="005B30F0">
        <w:t xml:space="preserve">Na ação de Subvenção aos Produtores Rurais - FEAP/BANAGRO, os produtores paulistas passaram a ter </w:t>
      </w:r>
      <w:r w:rsidR="005B30F0" w:rsidRPr="005B30F0">
        <w:t>à</w:t>
      </w:r>
      <w:r w:rsidRPr="005B30F0">
        <w:t xml:space="preserve"> disposição, a partir do Ano-safra 2013/2014, o benefício da subvenção do contrato de opção (instrumento para proteção de preço dos produtos agropecuários), por meio do Projeto Financiamento do Custeio Agropecuário Atrelado a Contrato de Opção, instituído pelo Decreto nº 56.770/2011, com alterações </w:t>
      </w:r>
      <w:r w:rsidR="005B30F0" w:rsidRPr="005B30F0">
        <w:t>d</w:t>
      </w:r>
      <w:r w:rsidRPr="005B30F0">
        <w:t xml:space="preserve">o Decreto nº 58.449/2012. </w:t>
      </w:r>
      <w:r w:rsidR="005B30F0" w:rsidRPr="005B30F0">
        <w:t xml:space="preserve">Por </w:t>
      </w:r>
      <w:r w:rsidRPr="005B30F0">
        <w:t>ser instrumento de mitigação de risco pouco conhecido, principalmente dos pequenos e médios produtores rurais, foram concedidas 25 subvenções de contratos</w:t>
      </w:r>
      <w:r>
        <w:t xml:space="preserve"> de opção, no valor de R$ 121.492,51, sendo beneficiadas 100 pessoas.</w:t>
      </w:r>
    </w:p>
    <w:p w:rsidR="003E6588" w:rsidRPr="005B30F0" w:rsidRDefault="003E6588">
      <w:pPr>
        <w:ind w:firstLine="1134"/>
        <w:jc w:val="both"/>
      </w:pPr>
      <w:r>
        <w:lastRenderedPageBreak/>
        <w:t xml:space="preserve">O Programa Nacional de Fortalecimento da Agricultura Familiar - PRONAF, seguindo as orientações da Secretaria de Agricultura e Abastecimento, tem procurado ampliar e aprofundar sua ação junto </w:t>
      </w:r>
      <w:r w:rsidR="005B30F0">
        <w:t>à</w:t>
      </w:r>
      <w:r>
        <w:t xml:space="preserve">s 151 mil famílias (dados do IBGE) de produtores rurais paulistas que se enquadram nos </w:t>
      </w:r>
      <w:r w:rsidRPr="005B30F0">
        <w:t>critérios estabelecidos pelo Banco Central, as quais representam 46,54% das Unidades de Produção do agronegócio paulista. Foram firmados 35.498 contratos do crédito rural do PRONAF, com valor de R$ 25.689,51 cada, somando R$ 912 milhões.</w:t>
      </w:r>
    </w:p>
    <w:p w:rsidR="003E6588" w:rsidRPr="005B30F0" w:rsidRDefault="003E6588">
      <w:pPr>
        <w:pStyle w:val="Corpodetexto"/>
        <w:jc w:val="both"/>
        <w:rPr>
          <w:szCs w:val="24"/>
        </w:rPr>
      </w:pPr>
    </w:p>
    <w:p w:rsidR="003E6588" w:rsidRDefault="003E6588">
      <w:pPr>
        <w:pStyle w:val="Corpodetexto"/>
        <w:ind w:firstLine="1134"/>
        <w:jc w:val="both"/>
        <w:rPr>
          <w:sz w:val="22"/>
          <w:szCs w:val="22"/>
        </w:rPr>
      </w:pPr>
      <w:r>
        <w:rPr>
          <w:sz w:val="22"/>
          <w:szCs w:val="22"/>
        </w:rPr>
        <w:t xml:space="preserve">Crédito Rural do Programa Nacional de Fortalecimento da Agricultura Familiar - PRONAF, número </w:t>
      </w:r>
      <w:r w:rsidR="005B30F0">
        <w:rPr>
          <w:sz w:val="22"/>
          <w:szCs w:val="22"/>
        </w:rPr>
        <w:t>de contratos e valor contratado</w:t>
      </w:r>
    </w:p>
    <w:p w:rsidR="003E6588" w:rsidRDefault="003E6588">
      <w:pPr>
        <w:pStyle w:val="Corpodetexto"/>
        <w:ind w:firstLine="1134"/>
        <w:jc w:val="both"/>
        <w:rPr>
          <w:sz w:val="22"/>
          <w:szCs w:val="22"/>
        </w:rPr>
      </w:pPr>
    </w:p>
    <w:tbl>
      <w:tblPr>
        <w:tblW w:w="6423" w:type="dxa"/>
        <w:jc w:val="center"/>
        <w:tblInd w:w="704" w:type="dxa"/>
        <w:tblBorders>
          <w:top w:val="single" w:sz="8" w:space="0" w:color="auto"/>
          <w:bottom w:val="single" w:sz="8" w:space="0" w:color="auto"/>
          <w:insideH w:val="single" w:sz="8" w:space="0" w:color="auto"/>
        </w:tblBorders>
        <w:tblLayout w:type="fixed"/>
        <w:tblCellMar>
          <w:left w:w="30" w:type="dxa"/>
          <w:right w:w="30" w:type="dxa"/>
        </w:tblCellMar>
        <w:tblLook w:val="0000"/>
      </w:tblPr>
      <w:tblGrid>
        <w:gridCol w:w="2268"/>
        <w:gridCol w:w="1981"/>
        <w:gridCol w:w="2174"/>
      </w:tblGrid>
      <w:tr w:rsidR="000B028A" w:rsidTr="001B3F5A">
        <w:trPr>
          <w:trHeight w:val="233"/>
          <w:jc w:val="center"/>
        </w:trPr>
        <w:tc>
          <w:tcPr>
            <w:tcW w:w="2268" w:type="dxa"/>
          </w:tcPr>
          <w:p w:rsidR="000B028A" w:rsidRDefault="000B028A">
            <w:pPr>
              <w:rPr>
                <w:b/>
                <w:snapToGrid w:val="0"/>
                <w:sz w:val="20"/>
                <w:szCs w:val="20"/>
              </w:rPr>
            </w:pPr>
            <w:r>
              <w:rPr>
                <w:b/>
                <w:snapToGrid w:val="0"/>
                <w:sz w:val="20"/>
                <w:szCs w:val="20"/>
              </w:rPr>
              <w:t>N.º de contratos</w:t>
            </w:r>
          </w:p>
        </w:tc>
        <w:tc>
          <w:tcPr>
            <w:tcW w:w="1981" w:type="dxa"/>
          </w:tcPr>
          <w:p w:rsidR="000B028A" w:rsidRDefault="000B028A">
            <w:pPr>
              <w:rPr>
                <w:b/>
                <w:snapToGrid w:val="0"/>
                <w:sz w:val="20"/>
                <w:szCs w:val="20"/>
              </w:rPr>
            </w:pPr>
            <w:r>
              <w:rPr>
                <w:b/>
                <w:snapToGrid w:val="0"/>
                <w:sz w:val="20"/>
                <w:szCs w:val="20"/>
              </w:rPr>
              <w:t>Valor (R$)</w:t>
            </w:r>
            <w:r>
              <w:rPr>
                <w:b/>
                <w:sz w:val="20"/>
                <w:szCs w:val="20"/>
              </w:rPr>
              <w:t xml:space="preserve"> </w:t>
            </w:r>
            <w:r>
              <w:rPr>
                <w:b/>
                <w:sz w:val="20"/>
                <w:szCs w:val="20"/>
                <w:vertAlign w:val="superscript"/>
              </w:rPr>
              <w:t>(1)</w:t>
            </w:r>
          </w:p>
        </w:tc>
        <w:tc>
          <w:tcPr>
            <w:tcW w:w="2174" w:type="dxa"/>
          </w:tcPr>
          <w:p w:rsidR="000B028A" w:rsidRDefault="000B028A">
            <w:pPr>
              <w:rPr>
                <w:b/>
                <w:snapToGrid w:val="0"/>
                <w:sz w:val="20"/>
                <w:szCs w:val="20"/>
              </w:rPr>
            </w:pPr>
            <w:r>
              <w:rPr>
                <w:b/>
                <w:snapToGrid w:val="0"/>
                <w:sz w:val="20"/>
                <w:szCs w:val="20"/>
              </w:rPr>
              <w:t>Valor Médio (R$)</w:t>
            </w:r>
          </w:p>
        </w:tc>
      </w:tr>
      <w:tr w:rsidR="000B028A" w:rsidTr="001B3F5A">
        <w:trPr>
          <w:trHeight w:val="95"/>
          <w:jc w:val="center"/>
        </w:trPr>
        <w:tc>
          <w:tcPr>
            <w:tcW w:w="2268" w:type="dxa"/>
            <w:vAlign w:val="center"/>
          </w:tcPr>
          <w:p w:rsidR="000B028A" w:rsidRDefault="000B028A">
            <w:pPr>
              <w:rPr>
                <w:sz w:val="20"/>
                <w:szCs w:val="20"/>
              </w:rPr>
            </w:pPr>
            <w:r>
              <w:rPr>
                <w:sz w:val="20"/>
                <w:szCs w:val="20"/>
              </w:rPr>
              <w:t>35.498</w:t>
            </w:r>
          </w:p>
        </w:tc>
        <w:tc>
          <w:tcPr>
            <w:tcW w:w="1981" w:type="dxa"/>
            <w:vAlign w:val="center"/>
          </w:tcPr>
          <w:p w:rsidR="000B028A" w:rsidRDefault="000B028A">
            <w:pPr>
              <w:rPr>
                <w:sz w:val="20"/>
                <w:szCs w:val="20"/>
              </w:rPr>
            </w:pPr>
            <w:r>
              <w:rPr>
                <w:sz w:val="20"/>
                <w:szCs w:val="20"/>
              </w:rPr>
              <w:t>911.926.325,70</w:t>
            </w:r>
          </w:p>
        </w:tc>
        <w:tc>
          <w:tcPr>
            <w:tcW w:w="2174" w:type="dxa"/>
            <w:vAlign w:val="center"/>
          </w:tcPr>
          <w:p w:rsidR="000B028A" w:rsidRDefault="000B028A">
            <w:pPr>
              <w:rPr>
                <w:sz w:val="20"/>
                <w:szCs w:val="20"/>
              </w:rPr>
            </w:pPr>
            <w:r>
              <w:rPr>
                <w:sz w:val="20"/>
                <w:szCs w:val="20"/>
              </w:rPr>
              <w:t>25.689,51</w:t>
            </w:r>
          </w:p>
        </w:tc>
      </w:tr>
    </w:tbl>
    <w:p w:rsidR="003E6588" w:rsidRDefault="000B028A" w:rsidP="000B028A">
      <w:pPr>
        <w:pStyle w:val="p11"/>
        <w:widowControl/>
        <w:tabs>
          <w:tab w:val="clear" w:pos="440"/>
        </w:tabs>
        <w:spacing w:line="240" w:lineRule="auto"/>
        <w:ind w:left="1416"/>
        <w:rPr>
          <w:sz w:val="16"/>
          <w:szCs w:val="16"/>
        </w:rPr>
      </w:pPr>
      <w:r>
        <w:rPr>
          <w:snapToGrid/>
          <w:sz w:val="16"/>
          <w:szCs w:val="16"/>
        </w:rPr>
        <w:t xml:space="preserve">          </w:t>
      </w:r>
      <w:r w:rsidR="003E6588">
        <w:rPr>
          <w:snapToGrid/>
          <w:sz w:val="16"/>
          <w:szCs w:val="16"/>
        </w:rPr>
        <w:t xml:space="preserve">Fonte: Ministério do Desenvolvimento Agrário </w:t>
      </w:r>
      <w:r w:rsidR="003E6588">
        <w:rPr>
          <w:sz w:val="16"/>
          <w:szCs w:val="16"/>
        </w:rPr>
        <w:t>e Banco do Brasil</w:t>
      </w:r>
    </w:p>
    <w:p w:rsidR="003E6588" w:rsidRDefault="003E6588">
      <w:pPr>
        <w:ind w:firstLine="1134"/>
        <w:jc w:val="both"/>
      </w:pPr>
    </w:p>
    <w:p w:rsidR="003E6588" w:rsidRPr="005B30F0" w:rsidRDefault="003E6588">
      <w:pPr>
        <w:ind w:firstLine="1134"/>
        <w:jc w:val="both"/>
      </w:pPr>
      <w:r w:rsidRPr="005B30F0">
        <w:t>Esse programa abarca ação governamental para o agronegócio familiar que tem relação direta com a qualidade da organização desses agentes produtivos, buscando ganhos de escala e de poder de mercado. O sucesso do agronegócio familiar está ligado ao sucesso das ações de cooperativismo e associativismo ensejadas pela CODEAGRO, buscando capacitá-los para operarem em cooperativas e/ou associações. O Instituto de Cooperativismo e Associativismo - ICA tem por finalidade orientar a organização de cooperativas e associações, principalmente na área rural. Proporciona a essas sociedades assessoria e consultoria administrativa, organizacional, econômico-financeira e jurídica. Promove cursos e seminários para cooperados, técnicos e funcionários de cooperativa e edita publicações de orientação às cooperativas e pesquisas sobre o cooperativismo e associativismo. Entre as atividades realizadas</w:t>
      </w:r>
      <w:r w:rsidR="005B30F0" w:rsidRPr="005B30F0">
        <w:t>,</w:t>
      </w:r>
      <w:r w:rsidRPr="005B30F0">
        <w:t xml:space="preserve"> destaque para:</w:t>
      </w:r>
    </w:p>
    <w:p w:rsidR="003E6588" w:rsidRPr="005B30F0" w:rsidRDefault="003E6588">
      <w:pPr>
        <w:autoSpaceDE w:val="0"/>
        <w:autoSpaceDN w:val="0"/>
        <w:adjustRightInd w:val="0"/>
        <w:jc w:val="both"/>
      </w:pPr>
    </w:p>
    <w:p w:rsidR="003E6588" w:rsidRPr="005B30F0" w:rsidRDefault="003E6588">
      <w:pPr>
        <w:autoSpaceDE w:val="0"/>
        <w:autoSpaceDN w:val="0"/>
        <w:adjustRightInd w:val="0"/>
        <w:ind w:firstLine="1134"/>
        <w:jc w:val="both"/>
      </w:pPr>
      <w:r w:rsidRPr="005B30F0">
        <w:t>- Parceria com a Coordenadoria de Assistência Técnica Integral - CATI, visando dar continuidade ao projeto, com objeto de nivelar conhecimentos sobre Cooperativismo e Associativismo para os técnicos da CATI e presidentes de associações interessadas em participar do Projeto Microbacias II - Acesso ao Mercado. Foram realizados  encontros regionais nos Escritórios de Desenvolvimento Rural - EDR: Marília, Pindamonhangaba, Guaratinguetá, Bragança Paulista, Dracena, Tupã e Registro.</w:t>
      </w:r>
    </w:p>
    <w:p w:rsidR="003E6588" w:rsidRPr="005B30F0" w:rsidRDefault="003E6588">
      <w:pPr>
        <w:autoSpaceDE w:val="0"/>
        <w:autoSpaceDN w:val="0"/>
        <w:adjustRightInd w:val="0"/>
        <w:ind w:firstLine="1134"/>
        <w:jc w:val="both"/>
      </w:pPr>
    </w:p>
    <w:p w:rsidR="003E6588" w:rsidRPr="005B30F0" w:rsidRDefault="003E6588">
      <w:pPr>
        <w:autoSpaceDE w:val="0"/>
        <w:autoSpaceDN w:val="0"/>
        <w:adjustRightInd w:val="0"/>
        <w:ind w:firstLine="1134"/>
        <w:jc w:val="both"/>
      </w:pPr>
      <w:r w:rsidRPr="005B30F0">
        <w:t>- Parceria com o Instituto de Terras - ITESP: seminário organizado para nivelamento de informações sobre organizações sociais rurais, para técnicos do ITESP e membros de Associações e Cooperativas da região de Andradina e Promissão.</w:t>
      </w:r>
    </w:p>
    <w:p w:rsidR="0006161A" w:rsidRDefault="0006161A">
      <w:pPr>
        <w:autoSpaceDE w:val="0"/>
        <w:autoSpaceDN w:val="0"/>
        <w:adjustRightInd w:val="0"/>
        <w:ind w:firstLine="1134"/>
        <w:jc w:val="both"/>
      </w:pPr>
    </w:p>
    <w:p w:rsidR="003E6588" w:rsidRDefault="003E6588">
      <w:pPr>
        <w:autoSpaceDE w:val="0"/>
        <w:autoSpaceDN w:val="0"/>
        <w:adjustRightInd w:val="0"/>
        <w:ind w:firstLine="1134"/>
        <w:jc w:val="both"/>
      </w:pPr>
      <w:r>
        <w:t xml:space="preserve">- </w:t>
      </w:r>
      <w:r w:rsidRPr="005B30F0">
        <w:t xml:space="preserve">Declaração de Regularidade e Funcionamento do Fundo de Expansão do Agronegócio Paulista </w:t>
      </w:r>
      <w:r w:rsidR="001B3F5A">
        <w:t>-</w:t>
      </w:r>
      <w:r w:rsidRPr="005B30F0">
        <w:t xml:space="preserve"> FEAP</w:t>
      </w:r>
      <w:r w:rsidR="005B30F0" w:rsidRPr="005B30F0">
        <w:t xml:space="preserve"> -</w:t>
      </w:r>
      <w:r w:rsidRPr="005B30F0">
        <w:t xml:space="preserve"> para facilitar a adesão de Associações e Cooperativas às linhas de Financiamento do FEAP, o ICA procede à análise da documentação de Associações e Cooperativas emitindo a Declaração de Regularidade e Funcionamento para o FEAP. Como parte desta estratégia, servidores do ICA e do FEAP realizaram palestras para técnicos do Banco do Brasil, com objetivo de nivelar as informações, agilizando o atendimento dos interessados. Foram realizadas palestras nos escritórios da </w:t>
      </w:r>
      <w:r w:rsidRPr="005B30F0">
        <w:lastRenderedPageBreak/>
        <w:t>Superintendência do Banco do Brasil: Super Oeste (Bauru), Super leste (Campinas) e Super Norte (Ribeirão Preto).</w:t>
      </w:r>
    </w:p>
    <w:p w:rsidR="003E6588" w:rsidRDefault="003E6588">
      <w:pPr>
        <w:autoSpaceDE w:val="0"/>
        <w:autoSpaceDN w:val="0"/>
        <w:adjustRightInd w:val="0"/>
        <w:ind w:firstLine="1134"/>
        <w:jc w:val="both"/>
      </w:pPr>
    </w:p>
    <w:p w:rsidR="003E6588" w:rsidRPr="00A945F8" w:rsidRDefault="003E6588">
      <w:pPr>
        <w:autoSpaceDE w:val="0"/>
        <w:autoSpaceDN w:val="0"/>
        <w:adjustRightInd w:val="0"/>
        <w:ind w:firstLine="1134"/>
        <w:jc w:val="both"/>
      </w:pPr>
      <w:r w:rsidRPr="00A945F8">
        <w:t>- Programa Paulista de Alimentação de Interesse Social - PPAIS - O ICA participa do Grupo Técnico de implantação das compras do PPAIS, da Secretaria da Educação, no projeto piloto desenvolvido na região de Araçatuba.</w:t>
      </w:r>
    </w:p>
    <w:p w:rsidR="003E6588" w:rsidRPr="00A945F8" w:rsidRDefault="003E6588">
      <w:pPr>
        <w:autoSpaceDE w:val="0"/>
        <w:autoSpaceDN w:val="0"/>
        <w:adjustRightInd w:val="0"/>
        <w:ind w:firstLine="1134"/>
        <w:jc w:val="both"/>
      </w:pPr>
    </w:p>
    <w:p w:rsidR="003E6588" w:rsidRPr="00A945F8" w:rsidRDefault="003E6588">
      <w:pPr>
        <w:autoSpaceDE w:val="0"/>
        <w:autoSpaceDN w:val="0"/>
        <w:adjustRightInd w:val="0"/>
        <w:ind w:firstLine="1134"/>
        <w:jc w:val="both"/>
      </w:pPr>
      <w:r w:rsidRPr="00A945F8">
        <w:t xml:space="preserve">- Conselho de Segurança Alimentar - CONSEA - </w:t>
      </w:r>
      <w:r w:rsidR="005B30F0" w:rsidRPr="00A945F8">
        <w:t xml:space="preserve">Nos </w:t>
      </w:r>
      <w:r w:rsidRPr="00A945F8">
        <w:t xml:space="preserve">encontros regionais de Agricultura Familiar do CONSEA de Aparecida do Norte e Araçatuba, foram realizadas palestras sobre Associativismo, Cooperativismo </w:t>
      </w:r>
      <w:r w:rsidR="00A945F8" w:rsidRPr="00A945F8">
        <w:t xml:space="preserve">e </w:t>
      </w:r>
      <w:r w:rsidRPr="00A945F8">
        <w:t>Compras Públicas.</w:t>
      </w:r>
    </w:p>
    <w:p w:rsidR="003E6588" w:rsidRPr="00A945F8" w:rsidRDefault="003E6588">
      <w:pPr>
        <w:autoSpaceDE w:val="0"/>
        <w:autoSpaceDN w:val="0"/>
        <w:adjustRightInd w:val="0"/>
        <w:ind w:firstLine="1134"/>
        <w:jc w:val="both"/>
      </w:pPr>
    </w:p>
    <w:p w:rsidR="003E6588" w:rsidRPr="00A945F8" w:rsidRDefault="003E6588">
      <w:pPr>
        <w:autoSpaceDE w:val="0"/>
        <w:autoSpaceDN w:val="0"/>
        <w:adjustRightInd w:val="0"/>
        <w:ind w:firstLine="1134"/>
        <w:jc w:val="both"/>
      </w:pPr>
      <w:r w:rsidRPr="00A945F8">
        <w:t>- Secretaria do Meio Ambiente - SMA - O ICA ministrou palestra transmitida via satélite pela “Rede Saber”, para unidades da SMA espalhadas pelo Estado. Os temas abordados foram: Cooperativismo e Associativismo e Compras Institucionais.</w:t>
      </w:r>
    </w:p>
    <w:p w:rsidR="003E6588" w:rsidRPr="00A945F8" w:rsidRDefault="003E6588">
      <w:pPr>
        <w:ind w:firstLine="1134"/>
        <w:jc w:val="both"/>
      </w:pPr>
    </w:p>
    <w:p w:rsidR="003E6588" w:rsidRPr="00A945F8" w:rsidRDefault="003E6588">
      <w:pPr>
        <w:ind w:firstLine="1134"/>
        <w:jc w:val="both"/>
      </w:pPr>
      <w:r w:rsidRPr="00A945F8">
        <w:t>Os números de atendimentos às associações e cooperativas foram de 290 assessorias prestadas.</w:t>
      </w:r>
    </w:p>
    <w:p w:rsidR="003E6588" w:rsidRPr="00A945F8" w:rsidRDefault="003E6588">
      <w:pPr>
        <w:jc w:val="both"/>
      </w:pPr>
    </w:p>
    <w:p w:rsidR="003E6588" w:rsidRDefault="003E6588">
      <w:pPr>
        <w:pStyle w:val="t-Titulo1"/>
        <w:spacing w:before="0" w:after="0"/>
        <w:ind w:firstLine="1134"/>
        <w:jc w:val="both"/>
        <w:rPr>
          <w:rFonts w:ascii="Times New Roman" w:hAnsi="Times New Roman"/>
          <w:szCs w:val="24"/>
        </w:rPr>
      </w:pPr>
      <w:r>
        <w:rPr>
          <w:rFonts w:ascii="Times New Roman" w:hAnsi="Times New Roman"/>
          <w:szCs w:val="24"/>
        </w:rPr>
        <w:t>Ações de Cooperativismo e Associativismo</w:t>
      </w:r>
    </w:p>
    <w:p w:rsidR="003E6588" w:rsidRDefault="003E6588">
      <w:pPr>
        <w:pStyle w:val="t-Titulo1"/>
        <w:spacing w:before="0" w:after="0"/>
        <w:jc w:val="both"/>
        <w:rPr>
          <w:rFonts w:ascii="Times New Roman" w:hAnsi="Times New Roman"/>
          <w:noProof w:val="0"/>
          <w:szCs w:val="24"/>
        </w:rPr>
      </w:pPr>
    </w:p>
    <w:tbl>
      <w:tblPr>
        <w:tblW w:w="7564" w:type="dxa"/>
        <w:jc w:val="center"/>
        <w:tblInd w:w="-296" w:type="dxa"/>
        <w:tblLayout w:type="fixed"/>
        <w:tblCellMar>
          <w:left w:w="70" w:type="dxa"/>
          <w:right w:w="70" w:type="dxa"/>
        </w:tblCellMar>
        <w:tblLook w:val="0000"/>
      </w:tblPr>
      <w:tblGrid>
        <w:gridCol w:w="1891"/>
        <w:gridCol w:w="1891"/>
        <w:gridCol w:w="1891"/>
        <w:gridCol w:w="1891"/>
      </w:tblGrid>
      <w:tr w:rsidR="00A945F8" w:rsidTr="001B3F5A">
        <w:trPr>
          <w:cantSplit/>
          <w:trHeight w:val="147"/>
          <w:jc w:val="center"/>
        </w:trPr>
        <w:tc>
          <w:tcPr>
            <w:tcW w:w="3782" w:type="dxa"/>
            <w:gridSpan w:val="2"/>
            <w:tcBorders>
              <w:top w:val="single" w:sz="8" w:space="0" w:color="auto"/>
              <w:bottom w:val="single" w:sz="4" w:space="0" w:color="auto"/>
            </w:tcBorders>
          </w:tcPr>
          <w:p w:rsidR="00A945F8" w:rsidRDefault="00A945F8">
            <w:pPr>
              <w:rPr>
                <w:b/>
                <w:sz w:val="20"/>
                <w:szCs w:val="20"/>
              </w:rPr>
            </w:pPr>
            <w:r>
              <w:rPr>
                <w:b/>
                <w:sz w:val="20"/>
                <w:szCs w:val="20"/>
              </w:rPr>
              <w:t>Cursos/Seminários</w:t>
            </w:r>
          </w:p>
        </w:tc>
        <w:tc>
          <w:tcPr>
            <w:tcW w:w="3782" w:type="dxa"/>
            <w:gridSpan w:val="2"/>
            <w:tcBorders>
              <w:top w:val="single" w:sz="8" w:space="0" w:color="auto"/>
              <w:bottom w:val="single" w:sz="4" w:space="0" w:color="auto"/>
            </w:tcBorders>
          </w:tcPr>
          <w:p w:rsidR="00A945F8" w:rsidRDefault="00A945F8">
            <w:pPr>
              <w:rPr>
                <w:b/>
                <w:sz w:val="20"/>
                <w:szCs w:val="20"/>
              </w:rPr>
            </w:pPr>
            <w:r>
              <w:rPr>
                <w:b/>
                <w:sz w:val="20"/>
                <w:szCs w:val="20"/>
              </w:rPr>
              <w:t>Assessorias prestadas</w:t>
            </w:r>
          </w:p>
        </w:tc>
      </w:tr>
      <w:tr w:rsidR="00A945F8" w:rsidTr="001B3F5A">
        <w:trPr>
          <w:cantSplit/>
          <w:trHeight w:val="44"/>
          <w:jc w:val="center"/>
        </w:trPr>
        <w:tc>
          <w:tcPr>
            <w:tcW w:w="1891" w:type="dxa"/>
            <w:tcBorders>
              <w:top w:val="single" w:sz="4" w:space="0" w:color="auto"/>
              <w:bottom w:val="single" w:sz="8" w:space="0" w:color="auto"/>
            </w:tcBorders>
          </w:tcPr>
          <w:p w:rsidR="00A945F8" w:rsidRDefault="00A945F8">
            <w:pPr>
              <w:rPr>
                <w:b/>
                <w:sz w:val="20"/>
                <w:szCs w:val="20"/>
              </w:rPr>
            </w:pPr>
            <w:r>
              <w:rPr>
                <w:b/>
                <w:sz w:val="20"/>
                <w:szCs w:val="20"/>
              </w:rPr>
              <w:t>Nº</w:t>
            </w:r>
          </w:p>
        </w:tc>
        <w:tc>
          <w:tcPr>
            <w:tcW w:w="1891" w:type="dxa"/>
            <w:tcBorders>
              <w:top w:val="single" w:sz="4" w:space="0" w:color="auto"/>
              <w:bottom w:val="single" w:sz="8" w:space="0" w:color="auto"/>
            </w:tcBorders>
          </w:tcPr>
          <w:p w:rsidR="00A945F8" w:rsidRDefault="00A945F8">
            <w:pPr>
              <w:rPr>
                <w:b/>
                <w:sz w:val="20"/>
                <w:szCs w:val="20"/>
              </w:rPr>
            </w:pPr>
            <w:r>
              <w:rPr>
                <w:b/>
                <w:sz w:val="20"/>
                <w:szCs w:val="20"/>
              </w:rPr>
              <w:t>Participantes</w:t>
            </w:r>
          </w:p>
        </w:tc>
        <w:tc>
          <w:tcPr>
            <w:tcW w:w="1891" w:type="dxa"/>
            <w:tcBorders>
              <w:top w:val="single" w:sz="4" w:space="0" w:color="auto"/>
              <w:bottom w:val="single" w:sz="8" w:space="0" w:color="auto"/>
            </w:tcBorders>
          </w:tcPr>
          <w:p w:rsidR="00A945F8" w:rsidRDefault="00A945F8">
            <w:pPr>
              <w:rPr>
                <w:b/>
                <w:sz w:val="20"/>
                <w:szCs w:val="20"/>
              </w:rPr>
            </w:pPr>
            <w:r>
              <w:rPr>
                <w:b/>
                <w:sz w:val="20"/>
                <w:szCs w:val="20"/>
              </w:rPr>
              <w:t>Associações</w:t>
            </w:r>
          </w:p>
        </w:tc>
        <w:tc>
          <w:tcPr>
            <w:tcW w:w="1891" w:type="dxa"/>
            <w:tcBorders>
              <w:top w:val="single" w:sz="4" w:space="0" w:color="auto"/>
              <w:bottom w:val="single" w:sz="8" w:space="0" w:color="auto"/>
            </w:tcBorders>
          </w:tcPr>
          <w:p w:rsidR="00A945F8" w:rsidRDefault="00A945F8">
            <w:pPr>
              <w:pStyle w:val="Ttulo20"/>
              <w:spacing w:before="0" w:after="0"/>
              <w:rPr>
                <w:rFonts w:ascii="Times New Roman" w:hAnsi="Times New Roman"/>
                <w:i w:val="0"/>
                <w:sz w:val="20"/>
                <w:szCs w:val="20"/>
                <w:lang w:val="pt-BR" w:eastAsia="pt-BR"/>
              </w:rPr>
            </w:pPr>
            <w:r>
              <w:rPr>
                <w:rFonts w:ascii="Times New Roman" w:hAnsi="Times New Roman"/>
                <w:i w:val="0"/>
                <w:sz w:val="20"/>
                <w:szCs w:val="20"/>
                <w:lang w:val="pt-BR" w:eastAsia="pt-BR"/>
              </w:rPr>
              <w:t>Cooperativas</w:t>
            </w:r>
          </w:p>
        </w:tc>
      </w:tr>
      <w:tr w:rsidR="00A945F8" w:rsidTr="001B3F5A">
        <w:trPr>
          <w:trHeight w:val="55"/>
          <w:jc w:val="center"/>
        </w:trPr>
        <w:tc>
          <w:tcPr>
            <w:tcW w:w="1891" w:type="dxa"/>
            <w:tcBorders>
              <w:top w:val="single" w:sz="8" w:space="0" w:color="auto"/>
              <w:bottom w:val="single" w:sz="8" w:space="0" w:color="auto"/>
            </w:tcBorders>
            <w:vAlign w:val="center"/>
          </w:tcPr>
          <w:p w:rsidR="00A945F8" w:rsidRDefault="00A945F8">
            <w:pPr>
              <w:rPr>
                <w:sz w:val="20"/>
                <w:szCs w:val="20"/>
              </w:rPr>
            </w:pPr>
            <w:r>
              <w:rPr>
                <w:sz w:val="20"/>
                <w:szCs w:val="20"/>
              </w:rPr>
              <w:t>13</w:t>
            </w:r>
          </w:p>
        </w:tc>
        <w:tc>
          <w:tcPr>
            <w:tcW w:w="1891" w:type="dxa"/>
            <w:tcBorders>
              <w:top w:val="single" w:sz="8" w:space="0" w:color="auto"/>
              <w:bottom w:val="single" w:sz="8" w:space="0" w:color="auto"/>
            </w:tcBorders>
            <w:vAlign w:val="center"/>
          </w:tcPr>
          <w:p w:rsidR="00A945F8" w:rsidRDefault="00A945F8">
            <w:pPr>
              <w:rPr>
                <w:sz w:val="20"/>
                <w:szCs w:val="20"/>
              </w:rPr>
            </w:pPr>
            <w:r>
              <w:rPr>
                <w:sz w:val="20"/>
                <w:szCs w:val="20"/>
              </w:rPr>
              <w:t>379</w:t>
            </w:r>
          </w:p>
        </w:tc>
        <w:tc>
          <w:tcPr>
            <w:tcW w:w="1891" w:type="dxa"/>
            <w:tcBorders>
              <w:top w:val="single" w:sz="8" w:space="0" w:color="auto"/>
              <w:bottom w:val="single" w:sz="8" w:space="0" w:color="auto"/>
            </w:tcBorders>
            <w:vAlign w:val="center"/>
          </w:tcPr>
          <w:p w:rsidR="00A945F8" w:rsidRDefault="00A945F8">
            <w:pPr>
              <w:rPr>
                <w:sz w:val="20"/>
                <w:szCs w:val="20"/>
              </w:rPr>
            </w:pPr>
            <w:r>
              <w:rPr>
                <w:sz w:val="20"/>
                <w:szCs w:val="20"/>
              </w:rPr>
              <w:t>194</w:t>
            </w:r>
          </w:p>
        </w:tc>
        <w:tc>
          <w:tcPr>
            <w:tcW w:w="1891" w:type="dxa"/>
            <w:tcBorders>
              <w:top w:val="single" w:sz="8" w:space="0" w:color="auto"/>
              <w:bottom w:val="single" w:sz="8" w:space="0" w:color="auto"/>
            </w:tcBorders>
            <w:vAlign w:val="center"/>
          </w:tcPr>
          <w:p w:rsidR="00A945F8" w:rsidRDefault="00A945F8">
            <w:pPr>
              <w:rPr>
                <w:sz w:val="20"/>
                <w:szCs w:val="20"/>
              </w:rPr>
            </w:pPr>
            <w:r>
              <w:rPr>
                <w:sz w:val="20"/>
                <w:szCs w:val="20"/>
              </w:rPr>
              <w:t>96</w:t>
            </w:r>
          </w:p>
        </w:tc>
      </w:tr>
    </w:tbl>
    <w:p w:rsidR="003E6588" w:rsidRDefault="000B028A" w:rsidP="000B028A">
      <w:pPr>
        <w:pStyle w:val="t-Titulo1"/>
        <w:spacing w:before="0" w:after="0"/>
        <w:ind w:left="426" w:firstLine="708"/>
        <w:jc w:val="both"/>
        <w:rPr>
          <w:rFonts w:ascii="Times New Roman" w:hAnsi="Times New Roman"/>
          <w:b w:val="0"/>
          <w:noProof w:val="0"/>
          <w:sz w:val="16"/>
          <w:szCs w:val="16"/>
        </w:rPr>
      </w:pPr>
      <w:r>
        <w:rPr>
          <w:rFonts w:ascii="Times New Roman" w:hAnsi="Times New Roman"/>
          <w:b w:val="0"/>
          <w:noProof w:val="0"/>
          <w:sz w:val="16"/>
          <w:szCs w:val="16"/>
        </w:rPr>
        <w:t xml:space="preserve">   </w:t>
      </w:r>
      <w:r w:rsidR="003E6588">
        <w:rPr>
          <w:rFonts w:ascii="Times New Roman" w:hAnsi="Times New Roman"/>
          <w:b w:val="0"/>
          <w:noProof w:val="0"/>
          <w:sz w:val="16"/>
          <w:szCs w:val="16"/>
        </w:rPr>
        <w:t>Fonte: CODEAGRO.</w:t>
      </w:r>
    </w:p>
    <w:p w:rsidR="003E6588" w:rsidRDefault="003E6588">
      <w:pPr>
        <w:ind w:firstLine="1134"/>
        <w:jc w:val="both"/>
      </w:pPr>
    </w:p>
    <w:p w:rsidR="003E6588" w:rsidRDefault="003E6588">
      <w:pPr>
        <w:autoSpaceDE w:val="0"/>
        <w:autoSpaceDN w:val="0"/>
        <w:adjustRightInd w:val="0"/>
        <w:ind w:firstLine="1134"/>
        <w:jc w:val="both"/>
      </w:pPr>
      <w:r>
        <w:t xml:space="preserve">O Projeto Estadual Poupatempo do Produtor Rural, instituído pelo Governo do Estado, por intermédio da Secretaria de Agricultura e Abastecimento, tem por objetivo integrar serviços e informações da Pasta em um mesmo local. Estruturado em unidades móveis, </w:t>
      </w:r>
      <w:r>
        <w:rPr>
          <w:i/>
          <w:iCs/>
        </w:rPr>
        <w:t>trailers</w:t>
      </w:r>
      <w:r>
        <w:t xml:space="preserve"> adaptados e equipados com sistemas modernos de gestão e atendimento, as unidades disponibilizam aos </w:t>
      </w:r>
      <w:r w:rsidRPr="00A945F8">
        <w:t>agricultores 90 serviços</w:t>
      </w:r>
      <w:r>
        <w:t xml:space="preserve"> prestados pela Secretaria.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As primeiras 3 unidades operam na Região Administrativa de Sorocaba e Itapeva, tendo como cidades-sede Itapetininga, Avaré e Itapeva. Os critérios considerados para implantação das Unidades do Poupatempo do Produtor Rural basearam-se nas “Diretrizes Regionalizadas - PPA 2012-2015”, formulado pela Secretaria de Planejamento e Desenvolvimento Regional. Acrescent</w:t>
      </w:r>
      <w:r w:rsidR="00A945F8">
        <w:t>e</w:t>
      </w:r>
      <w:r>
        <w:t xml:space="preserve">-se o fato da </w:t>
      </w:r>
      <w:r w:rsidR="00A945F8">
        <w:t xml:space="preserve">Região Sudoeste </w:t>
      </w:r>
      <w:r>
        <w:t>apresentar forte vocação agrícola, além dos baixíssimos níveis de desenvolvimento identificados pelo IPRS.</w:t>
      </w:r>
    </w:p>
    <w:p w:rsidR="003E6588" w:rsidRPr="00A945F8" w:rsidRDefault="003E6588">
      <w:pPr>
        <w:ind w:firstLine="1134"/>
        <w:jc w:val="both"/>
      </w:pPr>
      <w:r w:rsidRPr="00A945F8">
        <w:t>Foram realizados 20 mil atendimentos nas unidades móveis do Projeto Estadual Poupatempo do Produtor Rural, atendendo 79 municípios das Regiões Administrativas de Itapeva e Sorocaba.</w:t>
      </w:r>
    </w:p>
    <w:p w:rsidR="003E6588" w:rsidRPr="00A945F8" w:rsidRDefault="003E6588">
      <w:pPr>
        <w:autoSpaceDE w:val="0"/>
        <w:autoSpaceDN w:val="0"/>
        <w:adjustRightInd w:val="0"/>
        <w:ind w:firstLine="1134"/>
        <w:jc w:val="both"/>
      </w:pPr>
    </w:p>
    <w:p w:rsidR="003E6588" w:rsidRDefault="00A945F8">
      <w:pPr>
        <w:autoSpaceDE w:val="0"/>
        <w:autoSpaceDN w:val="0"/>
        <w:adjustRightInd w:val="0"/>
        <w:ind w:firstLine="1134"/>
        <w:jc w:val="both"/>
      </w:pPr>
      <w:r w:rsidRPr="00A945F8">
        <w:t>Realizou</w:t>
      </w:r>
      <w:r w:rsidR="003E6588" w:rsidRPr="00A945F8">
        <w:t xml:space="preserve">-se parceria com Coordenadoria de Biodiversidade e Recursos Naturais da Secretaria do Meio Ambiente, para inclusão do Cadastro Ambiental Rural na carta de serviços do </w:t>
      </w:r>
      <w:r w:rsidR="003E6588" w:rsidRPr="00A945F8">
        <w:lastRenderedPageBreak/>
        <w:t>projeto. Foi realizada capacitação dos técnicos e atendentes das unidades móveis e o serviço foi implantado e disponibilizado</w:t>
      </w:r>
      <w:r w:rsidR="003E6588">
        <w:t xml:space="preserve"> aos produtores rurais.</w:t>
      </w:r>
    </w:p>
    <w:p w:rsidR="001B3F5A" w:rsidRDefault="001B3F5A">
      <w:pPr>
        <w:autoSpaceDE w:val="0"/>
        <w:autoSpaceDN w:val="0"/>
        <w:adjustRightInd w:val="0"/>
        <w:ind w:firstLine="1134"/>
        <w:jc w:val="both"/>
      </w:pPr>
    </w:p>
    <w:p w:rsidR="003E6588" w:rsidRDefault="003E6588">
      <w:pPr>
        <w:autoSpaceDE w:val="0"/>
        <w:autoSpaceDN w:val="0"/>
        <w:adjustRightInd w:val="0"/>
        <w:ind w:firstLine="1134"/>
        <w:jc w:val="both"/>
      </w:pPr>
      <w:r>
        <w:t xml:space="preserve">Foi realizado seminário sobre o Cadastro Ambiental Rural em Itaberá, com a participação dos Escritórios de Desenvolvimento Rural - EDRs/CATI/SAA, Coordenadoria de Biodiversidade e Recursos Naturais da Secretaria do Meio Ambiente - Regional Itapeva, Banco do Brasil e Sebrae - Regional Itapeva. </w:t>
      </w:r>
      <w:r w:rsidR="00A945F8">
        <w:t xml:space="preserve">Foi </w:t>
      </w:r>
      <w:r>
        <w:t>criado modelo “padrão” de atendimento para o preenchimento do CAR.</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As unidades móveis participaram dos seguintes eventos: “21ª Agrishow”, Ribeirão Preto; “grifam 2014”, Lençóis Paulista; “Expo Fernandópolis 2014”.</w:t>
      </w:r>
    </w:p>
    <w:p w:rsidR="003E6588" w:rsidRDefault="003E6588">
      <w:pPr>
        <w:autoSpaceDE w:val="0"/>
        <w:autoSpaceDN w:val="0"/>
        <w:adjustRightInd w:val="0"/>
        <w:ind w:firstLine="1134"/>
        <w:jc w:val="both"/>
      </w:pPr>
    </w:p>
    <w:p w:rsidR="003E6588" w:rsidRDefault="003E6588">
      <w:pPr>
        <w:ind w:firstLine="1134"/>
        <w:jc w:val="both"/>
        <w:rPr>
          <w:b/>
        </w:rPr>
      </w:pPr>
      <w:r>
        <w:rPr>
          <w:b/>
        </w:rPr>
        <w:t>Programa de Modernização e Gestão de Qualidade das Agropolíticas Públicas</w:t>
      </w:r>
    </w:p>
    <w:p w:rsidR="003E6588" w:rsidRDefault="003E6588">
      <w:pPr>
        <w:ind w:firstLine="1134"/>
        <w:jc w:val="both"/>
        <w:rPr>
          <w:b/>
        </w:rPr>
      </w:pPr>
    </w:p>
    <w:p w:rsidR="003E6588" w:rsidRPr="00B56BAE" w:rsidRDefault="003E6588">
      <w:pPr>
        <w:ind w:firstLine="1134"/>
        <w:jc w:val="both"/>
      </w:pPr>
      <w:r w:rsidRPr="00B56BAE">
        <w:t>Objetivo - Implementa</w:t>
      </w:r>
      <w:r w:rsidR="00B56BAE" w:rsidRPr="00B56BAE">
        <w:t>ção</w:t>
      </w:r>
      <w:r w:rsidRPr="00B56BAE">
        <w:t xml:space="preserve"> </w:t>
      </w:r>
      <w:r w:rsidR="00B56BAE" w:rsidRPr="00B56BAE">
        <w:t xml:space="preserve">de </w:t>
      </w:r>
      <w:r w:rsidRPr="00B56BAE">
        <w:t xml:space="preserve">nova geração de reformas administrativas, por meio de ação conjunta do Estado, das empresas e da sociedade civil, </w:t>
      </w:r>
      <w:r w:rsidR="00B56BAE" w:rsidRPr="00B56BAE">
        <w:t xml:space="preserve">para </w:t>
      </w:r>
      <w:r w:rsidRPr="00B56BAE">
        <w:t>solução inovadora dos problemas sociais</w:t>
      </w:r>
      <w:r w:rsidR="00B56BAE" w:rsidRPr="00B56BAE">
        <w:t>,</w:t>
      </w:r>
      <w:r w:rsidRPr="00B56BAE">
        <w:t xml:space="preserve"> e criação de possibilidades e oportunidades para o desen</w:t>
      </w:r>
      <w:r w:rsidR="00B56BAE" w:rsidRPr="00B56BAE">
        <w:t>volvimento futuro sustentável a</w:t>
      </w:r>
      <w:r w:rsidRPr="00B56BAE">
        <w:t>os agentes.</w:t>
      </w:r>
    </w:p>
    <w:p w:rsidR="003E6588" w:rsidRPr="00B56BAE" w:rsidRDefault="003E6588">
      <w:pPr>
        <w:ind w:firstLine="1134"/>
        <w:jc w:val="both"/>
        <w:rPr>
          <w:snapToGrid w:val="0"/>
        </w:rPr>
      </w:pPr>
    </w:p>
    <w:p w:rsidR="003E6588" w:rsidRPr="00B56BAE" w:rsidRDefault="003E6588">
      <w:pPr>
        <w:pStyle w:val="Corpodetexto"/>
        <w:ind w:firstLine="1134"/>
        <w:jc w:val="both"/>
        <w:rPr>
          <w:b w:val="0"/>
          <w:bCs w:val="0"/>
          <w:szCs w:val="24"/>
        </w:rPr>
      </w:pPr>
      <w:r w:rsidRPr="00B56BAE">
        <w:rPr>
          <w:b w:val="0"/>
          <w:bCs w:val="0"/>
          <w:szCs w:val="24"/>
        </w:rPr>
        <w:t xml:space="preserve">Foram capacitados 124 servidores da Sede em 4 atividades, envolvendo cursos presenciais, cursos de Ensino a Distância - EAD, congresso sobre gestão de pessoas e palestras por vídeo conferência, gratuitos, e ministrados pelo Instituto Legislativo Brasileiro - ILB e </w:t>
      </w:r>
      <w:r w:rsidRPr="00B56BAE">
        <w:rPr>
          <w:b w:val="0"/>
          <w:bCs w:val="0"/>
          <w:i/>
          <w:szCs w:val="24"/>
        </w:rPr>
        <w:t>Inovaday</w:t>
      </w:r>
      <w:r w:rsidRPr="00B56BAE">
        <w:rPr>
          <w:b w:val="0"/>
          <w:bCs w:val="0"/>
          <w:szCs w:val="24"/>
        </w:rPr>
        <w:t>. Curso presencial SICONV (Administração Financeira), investimento da SAA para 1 servidor, ministrado pela empresa Oficina Municipal.</w:t>
      </w:r>
    </w:p>
    <w:p w:rsidR="003E6588" w:rsidRPr="00B56BAE" w:rsidRDefault="003E6588">
      <w:pPr>
        <w:pStyle w:val="Corpodetexto"/>
        <w:ind w:left="708" w:firstLine="426"/>
        <w:jc w:val="both"/>
        <w:rPr>
          <w:b w:val="0"/>
          <w:szCs w:val="24"/>
        </w:rPr>
      </w:pPr>
    </w:p>
    <w:p w:rsidR="003E6588" w:rsidRDefault="003E6588">
      <w:pPr>
        <w:ind w:firstLine="1134"/>
        <w:jc w:val="both"/>
        <w:rPr>
          <w:b/>
        </w:rPr>
      </w:pPr>
      <w:r>
        <w:t xml:space="preserve">Em relação ao Treinamento de Servidores de Nível Superior da Secretaria de Agricultura e Abastecimento </w:t>
      </w:r>
      <w:r w:rsidR="00B56BAE">
        <w:t>-</w:t>
      </w:r>
      <w:r>
        <w:t xml:space="preserve"> SAA, foram realizados 3 especializações, 64 mestrados, 187 doutorados,</w:t>
      </w:r>
      <w:r w:rsidR="00B56BAE">
        <w:t xml:space="preserve"> 13 Pós-Doutorado e 375 cursos.</w:t>
      </w:r>
    </w:p>
    <w:p w:rsidR="003E6588" w:rsidRPr="0006161A" w:rsidRDefault="003E6588">
      <w:pPr>
        <w:ind w:firstLine="1134"/>
        <w:jc w:val="both"/>
      </w:pPr>
    </w:p>
    <w:p w:rsidR="003E6588" w:rsidRPr="000B028A" w:rsidRDefault="003E6588">
      <w:pPr>
        <w:ind w:firstLine="1134"/>
        <w:jc w:val="both"/>
        <w:rPr>
          <w:b/>
        </w:rPr>
      </w:pPr>
      <w:r w:rsidRPr="000B028A">
        <w:rPr>
          <w:b/>
        </w:rPr>
        <w:t>Treinamento de servidores de nível superior</w:t>
      </w:r>
    </w:p>
    <w:p w:rsidR="003E6588" w:rsidRPr="0006161A" w:rsidRDefault="003E6588">
      <w:pPr>
        <w:jc w:val="both"/>
        <w:rPr>
          <w:b/>
        </w:rPr>
      </w:pPr>
    </w:p>
    <w:tbl>
      <w:tblPr>
        <w:tblW w:w="4288" w:type="pct"/>
        <w:jc w:val="center"/>
        <w:tblInd w:w="2278" w:type="dxa"/>
        <w:tblLayout w:type="fixed"/>
        <w:tblCellMar>
          <w:left w:w="28" w:type="dxa"/>
          <w:right w:w="28" w:type="dxa"/>
        </w:tblCellMar>
        <w:tblLook w:val="0000"/>
      </w:tblPr>
      <w:tblGrid>
        <w:gridCol w:w="1275"/>
        <w:gridCol w:w="1418"/>
        <w:gridCol w:w="1275"/>
        <w:gridCol w:w="1276"/>
        <w:gridCol w:w="1559"/>
        <w:gridCol w:w="884"/>
        <w:gridCol w:w="913"/>
      </w:tblGrid>
      <w:tr w:rsidR="003E6588" w:rsidTr="000044B0">
        <w:trPr>
          <w:trHeight w:val="175"/>
          <w:tblHeader/>
          <w:jc w:val="center"/>
        </w:trPr>
        <w:tc>
          <w:tcPr>
            <w:tcW w:w="1276" w:type="dxa"/>
            <w:tcBorders>
              <w:top w:val="single" w:sz="8" w:space="0" w:color="auto"/>
              <w:bottom w:val="single" w:sz="8" w:space="0" w:color="auto"/>
            </w:tcBorders>
            <w:shd w:val="clear" w:color="auto" w:fill="FFFFFF"/>
            <w:vAlign w:val="center"/>
          </w:tcPr>
          <w:p w:rsidR="003E6588" w:rsidRDefault="003E6588">
            <w:pPr>
              <w:rPr>
                <w:b/>
                <w:bCs/>
                <w:sz w:val="20"/>
                <w:szCs w:val="20"/>
              </w:rPr>
            </w:pPr>
            <w:r>
              <w:rPr>
                <w:b/>
                <w:bCs/>
                <w:sz w:val="20"/>
                <w:szCs w:val="20"/>
              </w:rPr>
              <w:t>Unidade</w:t>
            </w:r>
          </w:p>
        </w:tc>
        <w:tc>
          <w:tcPr>
            <w:tcW w:w="1418" w:type="dxa"/>
            <w:tcBorders>
              <w:top w:val="single" w:sz="8" w:space="0" w:color="auto"/>
              <w:bottom w:val="single" w:sz="8" w:space="0" w:color="auto"/>
            </w:tcBorders>
            <w:shd w:val="clear" w:color="auto" w:fill="FFFFFF"/>
          </w:tcPr>
          <w:p w:rsidR="003E6588" w:rsidRDefault="003E6588">
            <w:pPr>
              <w:rPr>
                <w:b/>
                <w:sz w:val="20"/>
                <w:szCs w:val="20"/>
              </w:rPr>
            </w:pPr>
            <w:r>
              <w:rPr>
                <w:b/>
                <w:sz w:val="20"/>
                <w:szCs w:val="20"/>
              </w:rPr>
              <w:t>Especialização</w:t>
            </w:r>
          </w:p>
        </w:tc>
        <w:tc>
          <w:tcPr>
            <w:tcW w:w="1275" w:type="dxa"/>
            <w:tcBorders>
              <w:top w:val="single" w:sz="8" w:space="0" w:color="auto"/>
              <w:bottom w:val="single" w:sz="8" w:space="0" w:color="auto"/>
            </w:tcBorders>
            <w:shd w:val="clear" w:color="auto" w:fill="FFFFFF"/>
            <w:vAlign w:val="center"/>
          </w:tcPr>
          <w:p w:rsidR="003E6588" w:rsidRDefault="003E6588">
            <w:pPr>
              <w:rPr>
                <w:b/>
                <w:sz w:val="20"/>
                <w:szCs w:val="20"/>
              </w:rPr>
            </w:pPr>
            <w:r>
              <w:rPr>
                <w:b/>
                <w:sz w:val="20"/>
                <w:szCs w:val="20"/>
              </w:rPr>
              <w:t>Mestrado</w:t>
            </w:r>
          </w:p>
        </w:tc>
        <w:tc>
          <w:tcPr>
            <w:tcW w:w="1276" w:type="dxa"/>
            <w:tcBorders>
              <w:top w:val="single" w:sz="8" w:space="0" w:color="auto"/>
              <w:bottom w:val="single" w:sz="8" w:space="0" w:color="auto"/>
            </w:tcBorders>
            <w:shd w:val="clear" w:color="auto" w:fill="FFFFFF"/>
            <w:vAlign w:val="center"/>
          </w:tcPr>
          <w:p w:rsidR="003E6588" w:rsidRDefault="003E6588">
            <w:pPr>
              <w:rPr>
                <w:b/>
                <w:sz w:val="20"/>
                <w:szCs w:val="20"/>
              </w:rPr>
            </w:pPr>
            <w:r>
              <w:rPr>
                <w:b/>
                <w:sz w:val="20"/>
                <w:szCs w:val="20"/>
              </w:rPr>
              <w:t>Doutorado</w:t>
            </w:r>
          </w:p>
        </w:tc>
        <w:tc>
          <w:tcPr>
            <w:tcW w:w="1559" w:type="dxa"/>
            <w:tcBorders>
              <w:top w:val="single" w:sz="8" w:space="0" w:color="auto"/>
              <w:bottom w:val="single" w:sz="8" w:space="0" w:color="auto"/>
            </w:tcBorders>
            <w:shd w:val="clear" w:color="auto" w:fill="FFFFFF"/>
            <w:noWrap/>
            <w:vAlign w:val="center"/>
          </w:tcPr>
          <w:p w:rsidR="003E6588" w:rsidRDefault="003E6588">
            <w:pPr>
              <w:rPr>
                <w:b/>
                <w:sz w:val="20"/>
                <w:szCs w:val="20"/>
              </w:rPr>
            </w:pPr>
            <w:r>
              <w:rPr>
                <w:b/>
                <w:sz w:val="20"/>
                <w:szCs w:val="20"/>
              </w:rPr>
              <w:t>Pós-doutorado</w:t>
            </w:r>
          </w:p>
        </w:tc>
        <w:tc>
          <w:tcPr>
            <w:tcW w:w="884" w:type="dxa"/>
            <w:tcBorders>
              <w:top w:val="single" w:sz="8" w:space="0" w:color="auto"/>
              <w:bottom w:val="single" w:sz="8" w:space="0" w:color="auto"/>
            </w:tcBorders>
            <w:shd w:val="clear" w:color="auto" w:fill="FFFFFF"/>
            <w:vAlign w:val="center"/>
          </w:tcPr>
          <w:p w:rsidR="003E6588" w:rsidRDefault="003E6588">
            <w:pPr>
              <w:rPr>
                <w:b/>
                <w:sz w:val="20"/>
                <w:szCs w:val="20"/>
              </w:rPr>
            </w:pPr>
            <w:r>
              <w:rPr>
                <w:b/>
                <w:sz w:val="20"/>
                <w:szCs w:val="20"/>
              </w:rPr>
              <w:t>Cursos</w:t>
            </w:r>
          </w:p>
        </w:tc>
        <w:tc>
          <w:tcPr>
            <w:tcW w:w="913" w:type="dxa"/>
            <w:tcBorders>
              <w:top w:val="single" w:sz="8" w:space="0" w:color="auto"/>
              <w:bottom w:val="single" w:sz="8" w:space="0" w:color="auto"/>
            </w:tcBorders>
            <w:shd w:val="clear" w:color="auto" w:fill="FFFFFF"/>
            <w:vAlign w:val="center"/>
          </w:tcPr>
          <w:p w:rsidR="003E6588" w:rsidRDefault="003E6588">
            <w:pPr>
              <w:rPr>
                <w:b/>
                <w:sz w:val="20"/>
                <w:szCs w:val="20"/>
              </w:rPr>
            </w:pPr>
            <w:r>
              <w:rPr>
                <w:b/>
                <w:sz w:val="20"/>
                <w:szCs w:val="20"/>
              </w:rPr>
              <w:t>Total</w:t>
            </w:r>
          </w:p>
        </w:tc>
      </w:tr>
      <w:tr w:rsidR="003E6588" w:rsidTr="000044B0">
        <w:trPr>
          <w:trHeight w:val="36"/>
          <w:jc w:val="center"/>
        </w:trPr>
        <w:tc>
          <w:tcPr>
            <w:tcW w:w="1276" w:type="dxa"/>
            <w:tcBorders>
              <w:top w:val="single" w:sz="8" w:space="0" w:color="auto"/>
            </w:tcBorders>
            <w:shd w:val="clear" w:color="auto" w:fill="FFFFFF"/>
            <w:vAlign w:val="bottom"/>
          </w:tcPr>
          <w:p w:rsidR="003E6588" w:rsidRDefault="003E6588">
            <w:pPr>
              <w:jc w:val="both"/>
              <w:rPr>
                <w:b/>
                <w:bCs/>
                <w:sz w:val="20"/>
                <w:szCs w:val="20"/>
              </w:rPr>
            </w:pPr>
            <w:r>
              <w:rPr>
                <w:b/>
                <w:bCs/>
                <w:sz w:val="20"/>
                <w:szCs w:val="20"/>
              </w:rPr>
              <w:t>CATI</w:t>
            </w:r>
          </w:p>
        </w:tc>
        <w:tc>
          <w:tcPr>
            <w:tcW w:w="1418" w:type="dxa"/>
            <w:tcBorders>
              <w:top w:val="single" w:sz="8" w:space="0" w:color="auto"/>
            </w:tcBorders>
            <w:shd w:val="clear" w:color="auto" w:fill="FFFFFF"/>
          </w:tcPr>
          <w:p w:rsidR="003E6588" w:rsidRDefault="003E6588">
            <w:pPr>
              <w:rPr>
                <w:sz w:val="20"/>
                <w:szCs w:val="20"/>
              </w:rPr>
            </w:pPr>
            <w:r>
              <w:rPr>
                <w:sz w:val="20"/>
                <w:szCs w:val="20"/>
              </w:rPr>
              <w:t>3</w:t>
            </w:r>
          </w:p>
        </w:tc>
        <w:tc>
          <w:tcPr>
            <w:tcW w:w="1275" w:type="dxa"/>
            <w:tcBorders>
              <w:top w:val="single" w:sz="8" w:space="0" w:color="auto"/>
            </w:tcBorders>
            <w:shd w:val="clear" w:color="auto" w:fill="FFFFFF"/>
            <w:vAlign w:val="bottom"/>
          </w:tcPr>
          <w:p w:rsidR="003E6588" w:rsidRDefault="003E6588">
            <w:pPr>
              <w:rPr>
                <w:sz w:val="20"/>
                <w:szCs w:val="20"/>
              </w:rPr>
            </w:pPr>
            <w:r>
              <w:rPr>
                <w:sz w:val="20"/>
                <w:szCs w:val="20"/>
              </w:rPr>
              <w:t>2</w:t>
            </w:r>
          </w:p>
        </w:tc>
        <w:tc>
          <w:tcPr>
            <w:tcW w:w="1276" w:type="dxa"/>
            <w:tcBorders>
              <w:top w:val="single" w:sz="8" w:space="0" w:color="auto"/>
            </w:tcBorders>
            <w:shd w:val="clear" w:color="auto" w:fill="FFFFFF"/>
            <w:vAlign w:val="bottom"/>
          </w:tcPr>
          <w:p w:rsidR="003E6588" w:rsidRDefault="003E6588">
            <w:pPr>
              <w:rPr>
                <w:sz w:val="20"/>
                <w:szCs w:val="20"/>
              </w:rPr>
            </w:pPr>
          </w:p>
        </w:tc>
        <w:tc>
          <w:tcPr>
            <w:tcW w:w="1559" w:type="dxa"/>
            <w:tcBorders>
              <w:top w:val="single" w:sz="8" w:space="0" w:color="auto"/>
            </w:tcBorders>
            <w:shd w:val="clear" w:color="auto" w:fill="FFFFFF"/>
            <w:vAlign w:val="bottom"/>
          </w:tcPr>
          <w:p w:rsidR="003E6588" w:rsidRDefault="003E6588">
            <w:pPr>
              <w:rPr>
                <w:sz w:val="20"/>
                <w:szCs w:val="20"/>
              </w:rPr>
            </w:pPr>
          </w:p>
        </w:tc>
        <w:tc>
          <w:tcPr>
            <w:tcW w:w="884" w:type="dxa"/>
            <w:tcBorders>
              <w:top w:val="single" w:sz="8" w:space="0" w:color="auto"/>
            </w:tcBorders>
            <w:shd w:val="clear" w:color="auto" w:fill="FFFFFF"/>
            <w:vAlign w:val="bottom"/>
          </w:tcPr>
          <w:p w:rsidR="003E6588" w:rsidRDefault="003E6588">
            <w:pPr>
              <w:rPr>
                <w:sz w:val="20"/>
                <w:szCs w:val="20"/>
              </w:rPr>
            </w:pPr>
            <w:r>
              <w:rPr>
                <w:sz w:val="20"/>
                <w:szCs w:val="20"/>
              </w:rPr>
              <w:t>341</w:t>
            </w:r>
          </w:p>
        </w:tc>
        <w:tc>
          <w:tcPr>
            <w:tcW w:w="913" w:type="dxa"/>
            <w:tcBorders>
              <w:top w:val="single" w:sz="8" w:space="0" w:color="auto"/>
            </w:tcBorders>
            <w:shd w:val="clear" w:color="auto" w:fill="FFFFFF"/>
            <w:vAlign w:val="bottom"/>
          </w:tcPr>
          <w:p w:rsidR="003E6588" w:rsidRDefault="003E6588">
            <w:pPr>
              <w:rPr>
                <w:sz w:val="20"/>
                <w:szCs w:val="20"/>
              </w:rPr>
            </w:pPr>
            <w:r>
              <w:rPr>
                <w:sz w:val="20"/>
                <w:szCs w:val="20"/>
              </w:rPr>
              <w:t>346</w:t>
            </w:r>
          </w:p>
        </w:tc>
      </w:tr>
      <w:tr w:rsidR="003E6588">
        <w:trPr>
          <w:trHeight w:val="86"/>
          <w:jc w:val="center"/>
        </w:trPr>
        <w:tc>
          <w:tcPr>
            <w:tcW w:w="1276" w:type="dxa"/>
            <w:shd w:val="clear" w:color="auto" w:fill="FFFFFF"/>
            <w:vAlign w:val="bottom"/>
          </w:tcPr>
          <w:p w:rsidR="003E6588" w:rsidRDefault="003E6588">
            <w:pPr>
              <w:jc w:val="both"/>
              <w:rPr>
                <w:b/>
                <w:bCs/>
                <w:sz w:val="20"/>
                <w:szCs w:val="20"/>
              </w:rPr>
            </w:pPr>
            <w:r>
              <w:rPr>
                <w:b/>
                <w:bCs/>
                <w:sz w:val="20"/>
                <w:szCs w:val="20"/>
              </w:rPr>
              <w:t>CDA</w:t>
            </w:r>
          </w:p>
        </w:tc>
        <w:tc>
          <w:tcPr>
            <w:tcW w:w="1418" w:type="dxa"/>
            <w:shd w:val="clear" w:color="auto" w:fill="FFFFFF"/>
          </w:tcPr>
          <w:p w:rsidR="003E6588" w:rsidRDefault="003E6588">
            <w:pPr>
              <w:rPr>
                <w:sz w:val="20"/>
                <w:szCs w:val="20"/>
              </w:rPr>
            </w:pPr>
          </w:p>
        </w:tc>
        <w:tc>
          <w:tcPr>
            <w:tcW w:w="1275" w:type="dxa"/>
            <w:shd w:val="clear" w:color="auto" w:fill="FFFFFF"/>
            <w:vAlign w:val="bottom"/>
          </w:tcPr>
          <w:p w:rsidR="003E6588" w:rsidRDefault="003E6588">
            <w:pPr>
              <w:rPr>
                <w:sz w:val="20"/>
                <w:szCs w:val="20"/>
              </w:rPr>
            </w:pPr>
          </w:p>
        </w:tc>
        <w:tc>
          <w:tcPr>
            <w:tcW w:w="1276" w:type="dxa"/>
            <w:shd w:val="clear" w:color="auto" w:fill="FFFFFF"/>
            <w:vAlign w:val="bottom"/>
          </w:tcPr>
          <w:p w:rsidR="003E6588" w:rsidRDefault="003E6588">
            <w:pPr>
              <w:rPr>
                <w:sz w:val="20"/>
                <w:szCs w:val="20"/>
              </w:rPr>
            </w:pPr>
          </w:p>
        </w:tc>
        <w:tc>
          <w:tcPr>
            <w:tcW w:w="1559" w:type="dxa"/>
            <w:shd w:val="clear" w:color="auto" w:fill="FFFFFF"/>
            <w:vAlign w:val="bottom"/>
          </w:tcPr>
          <w:p w:rsidR="003E6588" w:rsidRDefault="003E6588">
            <w:pPr>
              <w:rPr>
                <w:sz w:val="20"/>
                <w:szCs w:val="20"/>
              </w:rPr>
            </w:pPr>
          </w:p>
        </w:tc>
        <w:tc>
          <w:tcPr>
            <w:tcW w:w="884" w:type="dxa"/>
            <w:shd w:val="clear" w:color="auto" w:fill="FFFFFF"/>
            <w:vAlign w:val="bottom"/>
          </w:tcPr>
          <w:p w:rsidR="003E6588" w:rsidRDefault="003E6588">
            <w:pPr>
              <w:rPr>
                <w:sz w:val="20"/>
                <w:szCs w:val="20"/>
              </w:rPr>
            </w:pPr>
            <w:r>
              <w:rPr>
                <w:sz w:val="20"/>
                <w:szCs w:val="20"/>
              </w:rPr>
              <w:t>34</w:t>
            </w:r>
          </w:p>
        </w:tc>
        <w:tc>
          <w:tcPr>
            <w:tcW w:w="913" w:type="dxa"/>
            <w:shd w:val="clear" w:color="auto" w:fill="FFFFFF"/>
            <w:vAlign w:val="bottom"/>
          </w:tcPr>
          <w:p w:rsidR="003E6588" w:rsidRDefault="003E6588">
            <w:pPr>
              <w:rPr>
                <w:sz w:val="20"/>
                <w:szCs w:val="20"/>
              </w:rPr>
            </w:pPr>
            <w:r>
              <w:rPr>
                <w:sz w:val="20"/>
                <w:szCs w:val="20"/>
              </w:rPr>
              <w:t>34</w:t>
            </w:r>
          </w:p>
        </w:tc>
      </w:tr>
      <w:tr w:rsidR="003E6588" w:rsidTr="000044B0">
        <w:trPr>
          <w:trHeight w:val="146"/>
          <w:jc w:val="center"/>
        </w:trPr>
        <w:tc>
          <w:tcPr>
            <w:tcW w:w="1276" w:type="dxa"/>
            <w:tcBorders>
              <w:bottom w:val="single" w:sz="8" w:space="0" w:color="auto"/>
            </w:tcBorders>
            <w:shd w:val="clear" w:color="auto" w:fill="FFFFFF"/>
            <w:vAlign w:val="bottom"/>
          </w:tcPr>
          <w:p w:rsidR="003E6588" w:rsidRDefault="003E6588">
            <w:pPr>
              <w:jc w:val="both"/>
              <w:rPr>
                <w:b/>
                <w:bCs/>
                <w:sz w:val="20"/>
                <w:szCs w:val="20"/>
              </w:rPr>
            </w:pPr>
            <w:r>
              <w:rPr>
                <w:b/>
                <w:bCs/>
                <w:sz w:val="20"/>
                <w:szCs w:val="20"/>
              </w:rPr>
              <w:t>APTA</w:t>
            </w:r>
          </w:p>
        </w:tc>
        <w:tc>
          <w:tcPr>
            <w:tcW w:w="1418" w:type="dxa"/>
            <w:tcBorders>
              <w:bottom w:val="single" w:sz="8" w:space="0" w:color="auto"/>
            </w:tcBorders>
            <w:shd w:val="clear" w:color="auto" w:fill="FFFFFF"/>
          </w:tcPr>
          <w:p w:rsidR="003E6588" w:rsidRDefault="003E6588">
            <w:pPr>
              <w:rPr>
                <w:sz w:val="20"/>
                <w:szCs w:val="20"/>
              </w:rPr>
            </w:pPr>
          </w:p>
        </w:tc>
        <w:tc>
          <w:tcPr>
            <w:tcW w:w="1275" w:type="dxa"/>
            <w:tcBorders>
              <w:bottom w:val="single" w:sz="8" w:space="0" w:color="auto"/>
            </w:tcBorders>
            <w:shd w:val="clear" w:color="auto" w:fill="FFFFFF"/>
            <w:vAlign w:val="bottom"/>
          </w:tcPr>
          <w:p w:rsidR="003E6588" w:rsidRDefault="003E6588">
            <w:pPr>
              <w:rPr>
                <w:sz w:val="20"/>
                <w:szCs w:val="20"/>
              </w:rPr>
            </w:pPr>
            <w:r>
              <w:rPr>
                <w:sz w:val="20"/>
                <w:szCs w:val="20"/>
              </w:rPr>
              <w:t>62</w:t>
            </w:r>
          </w:p>
        </w:tc>
        <w:tc>
          <w:tcPr>
            <w:tcW w:w="1276" w:type="dxa"/>
            <w:tcBorders>
              <w:bottom w:val="single" w:sz="8" w:space="0" w:color="auto"/>
            </w:tcBorders>
            <w:shd w:val="clear" w:color="auto" w:fill="FFFFFF"/>
            <w:vAlign w:val="bottom"/>
          </w:tcPr>
          <w:p w:rsidR="003E6588" w:rsidRDefault="003E6588">
            <w:pPr>
              <w:rPr>
                <w:sz w:val="20"/>
                <w:szCs w:val="20"/>
              </w:rPr>
            </w:pPr>
            <w:r>
              <w:rPr>
                <w:sz w:val="20"/>
                <w:szCs w:val="20"/>
              </w:rPr>
              <w:t>187</w:t>
            </w:r>
          </w:p>
        </w:tc>
        <w:tc>
          <w:tcPr>
            <w:tcW w:w="1559" w:type="dxa"/>
            <w:tcBorders>
              <w:bottom w:val="single" w:sz="8" w:space="0" w:color="auto"/>
            </w:tcBorders>
            <w:shd w:val="clear" w:color="auto" w:fill="FFFFFF"/>
            <w:vAlign w:val="bottom"/>
          </w:tcPr>
          <w:p w:rsidR="003E6588" w:rsidRDefault="003E6588">
            <w:pPr>
              <w:rPr>
                <w:sz w:val="20"/>
                <w:szCs w:val="20"/>
              </w:rPr>
            </w:pPr>
            <w:r>
              <w:rPr>
                <w:sz w:val="20"/>
                <w:szCs w:val="20"/>
              </w:rPr>
              <w:t>13</w:t>
            </w:r>
          </w:p>
        </w:tc>
        <w:tc>
          <w:tcPr>
            <w:tcW w:w="884" w:type="dxa"/>
            <w:tcBorders>
              <w:bottom w:val="single" w:sz="8" w:space="0" w:color="auto"/>
            </w:tcBorders>
            <w:shd w:val="clear" w:color="auto" w:fill="FFFFFF"/>
            <w:vAlign w:val="bottom"/>
          </w:tcPr>
          <w:p w:rsidR="003E6588" w:rsidRDefault="003E6588">
            <w:pPr>
              <w:rPr>
                <w:sz w:val="20"/>
                <w:szCs w:val="20"/>
              </w:rPr>
            </w:pPr>
          </w:p>
        </w:tc>
        <w:tc>
          <w:tcPr>
            <w:tcW w:w="913" w:type="dxa"/>
            <w:tcBorders>
              <w:bottom w:val="single" w:sz="8" w:space="0" w:color="auto"/>
            </w:tcBorders>
            <w:shd w:val="clear" w:color="auto" w:fill="FFFFFF"/>
            <w:vAlign w:val="bottom"/>
          </w:tcPr>
          <w:p w:rsidR="003E6588" w:rsidRDefault="003E6588">
            <w:pPr>
              <w:rPr>
                <w:sz w:val="20"/>
                <w:szCs w:val="20"/>
              </w:rPr>
            </w:pPr>
            <w:r>
              <w:rPr>
                <w:sz w:val="20"/>
                <w:szCs w:val="20"/>
              </w:rPr>
              <w:t>262</w:t>
            </w:r>
          </w:p>
        </w:tc>
      </w:tr>
      <w:tr w:rsidR="003E6588" w:rsidTr="000044B0">
        <w:trPr>
          <w:trHeight w:val="147"/>
          <w:jc w:val="center"/>
        </w:trPr>
        <w:tc>
          <w:tcPr>
            <w:tcW w:w="1276" w:type="dxa"/>
            <w:tcBorders>
              <w:top w:val="single" w:sz="8" w:space="0" w:color="auto"/>
              <w:bottom w:val="single" w:sz="8" w:space="0" w:color="auto"/>
            </w:tcBorders>
            <w:shd w:val="clear" w:color="auto" w:fill="FFFFFF"/>
            <w:vAlign w:val="bottom"/>
          </w:tcPr>
          <w:p w:rsidR="003E6588" w:rsidRDefault="003E6588">
            <w:pPr>
              <w:jc w:val="both"/>
              <w:rPr>
                <w:b/>
                <w:bCs/>
                <w:sz w:val="20"/>
                <w:szCs w:val="20"/>
              </w:rPr>
            </w:pPr>
          </w:p>
        </w:tc>
        <w:tc>
          <w:tcPr>
            <w:tcW w:w="1418" w:type="dxa"/>
            <w:tcBorders>
              <w:top w:val="single" w:sz="8" w:space="0" w:color="auto"/>
              <w:bottom w:val="single" w:sz="8" w:space="0" w:color="auto"/>
            </w:tcBorders>
            <w:shd w:val="clear" w:color="auto" w:fill="FFFFFF"/>
          </w:tcPr>
          <w:p w:rsidR="003E6588" w:rsidRDefault="003E6588">
            <w:pPr>
              <w:rPr>
                <w:sz w:val="20"/>
                <w:szCs w:val="20"/>
              </w:rPr>
            </w:pPr>
            <w:r>
              <w:rPr>
                <w:sz w:val="20"/>
                <w:szCs w:val="20"/>
              </w:rPr>
              <w:t>3</w:t>
            </w:r>
          </w:p>
        </w:tc>
        <w:tc>
          <w:tcPr>
            <w:tcW w:w="1275" w:type="dxa"/>
            <w:tcBorders>
              <w:top w:val="single" w:sz="8" w:space="0" w:color="auto"/>
              <w:bottom w:val="single" w:sz="8" w:space="0" w:color="auto"/>
            </w:tcBorders>
            <w:shd w:val="clear" w:color="auto" w:fill="FFFFFF"/>
            <w:vAlign w:val="bottom"/>
          </w:tcPr>
          <w:p w:rsidR="003E6588" w:rsidRDefault="003E6588">
            <w:pPr>
              <w:rPr>
                <w:sz w:val="20"/>
                <w:szCs w:val="20"/>
              </w:rPr>
            </w:pPr>
            <w:r>
              <w:rPr>
                <w:sz w:val="20"/>
                <w:szCs w:val="20"/>
              </w:rPr>
              <w:t>64</w:t>
            </w:r>
          </w:p>
        </w:tc>
        <w:tc>
          <w:tcPr>
            <w:tcW w:w="1276" w:type="dxa"/>
            <w:tcBorders>
              <w:top w:val="single" w:sz="8" w:space="0" w:color="auto"/>
              <w:bottom w:val="single" w:sz="8" w:space="0" w:color="auto"/>
            </w:tcBorders>
            <w:shd w:val="clear" w:color="auto" w:fill="FFFFFF"/>
            <w:vAlign w:val="bottom"/>
          </w:tcPr>
          <w:p w:rsidR="003E6588" w:rsidRDefault="003E6588">
            <w:pPr>
              <w:rPr>
                <w:sz w:val="20"/>
                <w:szCs w:val="20"/>
              </w:rPr>
            </w:pPr>
            <w:r>
              <w:rPr>
                <w:sz w:val="20"/>
                <w:szCs w:val="20"/>
              </w:rPr>
              <w:t>187</w:t>
            </w:r>
          </w:p>
        </w:tc>
        <w:tc>
          <w:tcPr>
            <w:tcW w:w="1559" w:type="dxa"/>
            <w:tcBorders>
              <w:top w:val="single" w:sz="8" w:space="0" w:color="auto"/>
              <w:bottom w:val="single" w:sz="8" w:space="0" w:color="auto"/>
            </w:tcBorders>
            <w:shd w:val="clear" w:color="auto" w:fill="FFFFFF"/>
            <w:vAlign w:val="bottom"/>
          </w:tcPr>
          <w:p w:rsidR="003E6588" w:rsidRDefault="003E6588">
            <w:pPr>
              <w:rPr>
                <w:sz w:val="20"/>
                <w:szCs w:val="20"/>
              </w:rPr>
            </w:pPr>
            <w:r>
              <w:rPr>
                <w:sz w:val="20"/>
                <w:szCs w:val="20"/>
              </w:rPr>
              <w:t>13</w:t>
            </w:r>
          </w:p>
        </w:tc>
        <w:tc>
          <w:tcPr>
            <w:tcW w:w="884" w:type="dxa"/>
            <w:tcBorders>
              <w:top w:val="single" w:sz="8" w:space="0" w:color="auto"/>
              <w:bottom w:val="single" w:sz="8" w:space="0" w:color="auto"/>
            </w:tcBorders>
            <w:shd w:val="clear" w:color="auto" w:fill="FFFFFF"/>
            <w:vAlign w:val="bottom"/>
          </w:tcPr>
          <w:p w:rsidR="003E6588" w:rsidRDefault="003E6588">
            <w:pPr>
              <w:rPr>
                <w:sz w:val="20"/>
                <w:szCs w:val="20"/>
              </w:rPr>
            </w:pPr>
            <w:r>
              <w:rPr>
                <w:sz w:val="20"/>
                <w:szCs w:val="20"/>
              </w:rPr>
              <w:t>375</w:t>
            </w:r>
          </w:p>
        </w:tc>
        <w:tc>
          <w:tcPr>
            <w:tcW w:w="913" w:type="dxa"/>
            <w:tcBorders>
              <w:top w:val="single" w:sz="8" w:space="0" w:color="auto"/>
              <w:bottom w:val="single" w:sz="8" w:space="0" w:color="auto"/>
            </w:tcBorders>
            <w:shd w:val="clear" w:color="auto" w:fill="FFFFFF"/>
            <w:vAlign w:val="bottom"/>
          </w:tcPr>
          <w:p w:rsidR="003E6588" w:rsidRDefault="003E6588">
            <w:pPr>
              <w:rPr>
                <w:sz w:val="20"/>
                <w:szCs w:val="20"/>
              </w:rPr>
            </w:pPr>
            <w:r>
              <w:rPr>
                <w:sz w:val="20"/>
                <w:szCs w:val="20"/>
              </w:rPr>
              <w:t>642</w:t>
            </w:r>
          </w:p>
        </w:tc>
      </w:tr>
    </w:tbl>
    <w:p w:rsidR="003E6588" w:rsidRDefault="003E6588">
      <w:pPr>
        <w:ind w:firstLine="708"/>
        <w:jc w:val="both"/>
        <w:rPr>
          <w:sz w:val="16"/>
          <w:szCs w:val="16"/>
        </w:rPr>
      </w:pPr>
      <w:r>
        <w:rPr>
          <w:sz w:val="16"/>
          <w:szCs w:val="16"/>
        </w:rPr>
        <w:t>Fonte: SAA.</w:t>
      </w:r>
    </w:p>
    <w:p w:rsidR="003E6588" w:rsidRPr="0006161A" w:rsidRDefault="003E6588">
      <w:pPr>
        <w:jc w:val="both"/>
        <w:rPr>
          <w:b/>
        </w:rPr>
      </w:pPr>
    </w:p>
    <w:p w:rsidR="003E6588" w:rsidRPr="00B56BAE" w:rsidRDefault="003E6588">
      <w:pPr>
        <w:autoSpaceDE w:val="0"/>
        <w:autoSpaceDN w:val="0"/>
        <w:adjustRightInd w:val="0"/>
        <w:ind w:firstLine="1134"/>
        <w:jc w:val="both"/>
      </w:pPr>
      <w:r w:rsidRPr="00B56BAE">
        <w:t>Outra ação deste Programa consiste em articular as</w:t>
      </w:r>
      <w:r w:rsidRPr="00B56BAE">
        <w:rPr>
          <w:b/>
          <w:bCs/>
        </w:rPr>
        <w:t xml:space="preserve"> Representações Setoriais</w:t>
      </w:r>
      <w:r w:rsidRPr="00B56BAE">
        <w:t xml:space="preserve">. </w:t>
      </w:r>
      <w:r w:rsidR="00B56BAE" w:rsidRPr="00B56BAE">
        <w:t xml:space="preserve">São </w:t>
      </w:r>
      <w:r w:rsidRPr="00B56BAE">
        <w:t>desenvolvidas ações no âmbito das Câmaras Setoriais, órgãos colegiados consultivos de apoio da Secretaria de Agricultura e Abastecimento, criadas pela Lei nº 7.774/1997, compostos por representações privadas e públicas, com objetivo de integrar diversos elos das cadeias produtivas e apoiar a concepção e fo</w:t>
      </w:r>
      <w:r w:rsidR="00B56BAE">
        <w:t>rmulação de políticas públicas.</w:t>
      </w:r>
    </w:p>
    <w:p w:rsidR="003E6588" w:rsidRPr="00B56BAE" w:rsidRDefault="003E6588">
      <w:pPr>
        <w:autoSpaceDE w:val="0"/>
        <w:autoSpaceDN w:val="0"/>
        <w:adjustRightInd w:val="0"/>
        <w:ind w:firstLine="1134"/>
        <w:jc w:val="both"/>
      </w:pPr>
    </w:p>
    <w:p w:rsidR="003E6588" w:rsidRDefault="00B56BAE">
      <w:pPr>
        <w:autoSpaceDE w:val="0"/>
        <w:autoSpaceDN w:val="0"/>
        <w:adjustRightInd w:val="0"/>
        <w:ind w:firstLine="1134"/>
        <w:jc w:val="both"/>
        <w:rPr>
          <w:color w:val="000000"/>
        </w:rPr>
      </w:pPr>
      <w:r>
        <w:rPr>
          <w:color w:val="000000"/>
        </w:rPr>
        <w:t xml:space="preserve">Há </w:t>
      </w:r>
      <w:r w:rsidR="003E6588">
        <w:rPr>
          <w:color w:val="000000"/>
        </w:rPr>
        <w:t xml:space="preserve">30 </w:t>
      </w:r>
      <w:r>
        <w:rPr>
          <w:color w:val="000000"/>
        </w:rPr>
        <w:t xml:space="preserve">Câmaras Setoriais </w:t>
      </w:r>
      <w:r w:rsidR="003E6588">
        <w:rPr>
          <w:color w:val="000000"/>
        </w:rPr>
        <w:t xml:space="preserve">constituídas sendo que, 5 foram reorganizadas em ato oficial (Pescado, Agricultura Ecológica, Produtos Apícolas, Citrus e Borracha Natural). Foram constituídas 6 </w:t>
      </w:r>
      <w:r>
        <w:rPr>
          <w:color w:val="000000"/>
        </w:rPr>
        <w:lastRenderedPageBreak/>
        <w:t>Comissões Especiais</w:t>
      </w:r>
      <w:r w:rsidR="003E6588">
        <w:rPr>
          <w:color w:val="000000"/>
        </w:rPr>
        <w:t xml:space="preserve">, grupos de trabalho das </w:t>
      </w:r>
      <w:r>
        <w:rPr>
          <w:color w:val="000000"/>
        </w:rPr>
        <w:t xml:space="preserve">Câmaras </w:t>
      </w:r>
      <w:r w:rsidR="003E6588">
        <w:rPr>
          <w:color w:val="000000"/>
        </w:rPr>
        <w:t>para estudos de propostas de ações específicas, nas áreas de: sanidade do rebanho caprino e ovino, certificação de carne ovina, resinagem em florestas públicas, promoção do carvão vegetal de florestas plantadas, diagnóstico da cadeia de lácteos, normatização de compostagem.</w:t>
      </w:r>
    </w:p>
    <w:p w:rsidR="003E6588" w:rsidRDefault="003E6588">
      <w:pPr>
        <w:autoSpaceDE w:val="0"/>
        <w:autoSpaceDN w:val="0"/>
        <w:adjustRightInd w:val="0"/>
        <w:ind w:firstLine="1134"/>
        <w:jc w:val="both"/>
        <w:rPr>
          <w:color w:val="000000"/>
        </w:rPr>
      </w:pPr>
    </w:p>
    <w:p w:rsidR="003E6588" w:rsidRPr="00B56BAE" w:rsidRDefault="003E6588" w:rsidP="00B56BAE">
      <w:pPr>
        <w:autoSpaceDE w:val="0"/>
        <w:autoSpaceDN w:val="0"/>
        <w:adjustRightInd w:val="0"/>
        <w:ind w:firstLine="1134"/>
        <w:jc w:val="both"/>
      </w:pPr>
      <w:r w:rsidRPr="00B56BAE">
        <w:t xml:space="preserve">Foram realizadas 46 reuniões de </w:t>
      </w:r>
      <w:r w:rsidR="00B56BAE" w:rsidRPr="00B56BAE">
        <w:t>Câmaras Set</w:t>
      </w:r>
      <w:r w:rsidRPr="00B56BAE">
        <w:t>oriais</w:t>
      </w:r>
      <w:r w:rsidR="00B56BAE" w:rsidRPr="00B56BAE">
        <w:t>,</w:t>
      </w:r>
      <w:r w:rsidRPr="00B56BAE">
        <w:t xml:space="preserve"> com participação de 1.260 pessoas.</w:t>
      </w:r>
    </w:p>
    <w:p w:rsidR="003E6588" w:rsidRPr="00B56BAE" w:rsidRDefault="003E6588" w:rsidP="00B56BAE">
      <w:pPr>
        <w:autoSpaceDE w:val="0"/>
        <w:autoSpaceDN w:val="0"/>
        <w:adjustRightInd w:val="0"/>
        <w:ind w:firstLine="1134"/>
        <w:jc w:val="both"/>
      </w:pPr>
    </w:p>
    <w:p w:rsidR="003E6588" w:rsidRDefault="003E6588">
      <w:pPr>
        <w:ind w:firstLine="1134"/>
        <w:jc w:val="both"/>
        <w:rPr>
          <w:b/>
          <w:u w:val="single"/>
        </w:rPr>
      </w:pPr>
      <w:r w:rsidRPr="00B56BAE">
        <w:rPr>
          <w:b/>
        </w:rPr>
        <w:t>Programa D</w:t>
      </w:r>
      <w:r>
        <w:rPr>
          <w:b/>
        </w:rPr>
        <w:t>efesa Sanitária do Agronegócio para Proteção da Saúde do Homem e do Meio Ambiente</w:t>
      </w:r>
    </w:p>
    <w:p w:rsidR="003E6588" w:rsidRPr="000B028A" w:rsidRDefault="003E6588">
      <w:pPr>
        <w:ind w:firstLine="1134"/>
        <w:jc w:val="both"/>
        <w:rPr>
          <w:b/>
        </w:rPr>
      </w:pPr>
    </w:p>
    <w:p w:rsidR="003E6588" w:rsidRDefault="003E6588">
      <w:pPr>
        <w:ind w:firstLine="1134"/>
        <w:jc w:val="both"/>
      </w:pPr>
      <w:r w:rsidRPr="00B56BAE">
        <w:t>Objetivo -</w:t>
      </w:r>
      <w:r>
        <w:rPr>
          <w:b/>
        </w:rPr>
        <w:t xml:space="preserve"> </w:t>
      </w:r>
      <w:r>
        <w:rPr>
          <w:snapToGrid w:val="0"/>
        </w:rPr>
        <w:t xml:space="preserve">Promover, </w:t>
      </w:r>
      <w:r w:rsidR="00B56BAE">
        <w:rPr>
          <w:snapToGrid w:val="0"/>
        </w:rPr>
        <w:t xml:space="preserve">por meio </w:t>
      </w:r>
      <w:r>
        <w:rPr>
          <w:snapToGrid w:val="0"/>
        </w:rPr>
        <w:t>da fiscalização dos agentes envolvidos na cadeia produtiva de alimentos, a manutenção e valorização do patrimônio agropecuário, saúde animal e vegetal, idoneidade dos insumos e serviços utilizados na agropecuária e identidade e segurança higiênico-sanitária e tecnológica dos alimentos.</w:t>
      </w:r>
    </w:p>
    <w:p w:rsidR="003E6588" w:rsidRDefault="003E6588">
      <w:pPr>
        <w:ind w:firstLine="1134"/>
        <w:jc w:val="both"/>
      </w:pPr>
    </w:p>
    <w:p w:rsidR="003E6588" w:rsidRDefault="003E6588">
      <w:pPr>
        <w:ind w:firstLine="1134"/>
        <w:jc w:val="both"/>
        <w:rPr>
          <w:snapToGrid w:val="0"/>
        </w:rPr>
      </w:pPr>
      <w:r>
        <w:rPr>
          <w:b/>
          <w:color w:val="000000"/>
        </w:rPr>
        <w:t>Erradicação da Febre Aftosa -</w:t>
      </w:r>
      <w:r>
        <w:rPr>
          <w:snapToGrid w:val="0"/>
        </w:rPr>
        <w:t xml:space="preserve"> Visa à manutenção do Estado como área livre de febre aftosa, </w:t>
      </w:r>
      <w:r w:rsidR="00B56BAE">
        <w:rPr>
          <w:snapToGrid w:val="0"/>
        </w:rPr>
        <w:t xml:space="preserve">por meio </w:t>
      </w:r>
      <w:r>
        <w:rPr>
          <w:snapToGrid w:val="0"/>
        </w:rPr>
        <w:t>da realização de diversas atividades, tais como: vacinação obrigatória dos bovídeos (bovinos e bubalinos), realização de inquéritos soro epidemiológicos, controle do trânsito, manutenção de sistema eficaz de vigilância epidemiológica, capacitação do corpo técnico da CDA para atuação em emergências sanitárias e estímulo à participação comunitária na defesa sanitária animal.</w:t>
      </w:r>
    </w:p>
    <w:p w:rsidR="003E6588" w:rsidRDefault="003E6588">
      <w:pPr>
        <w:ind w:firstLine="708"/>
        <w:jc w:val="both"/>
        <w:rPr>
          <w:snapToGrid w:val="0"/>
        </w:rPr>
      </w:pPr>
    </w:p>
    <w:p w:rsidR="003E6588" w:rsidRDefault="003E6588">
      <w:pPr>
        <w:ind w:firstLine="1134"/>
        <w:jc w:val="both"/>
        <w:rPr>
          <w:snapToGrid w:val="0"/>
        </w:rPr>
      </w:pPr>
      <w:r>
        <w:rPr>
          <w:snapToGrid w:val="0"/>
        </w:rPr>
        <w:t>O Estado é reconhecido pela Organização Mundial de Saúde Animal - OIE como livre de febre aftosa com vacinação. A vacinação dos bovídeos ocorre em duas etapas, a primeira onde se incluem os animais de até 24 meses de idade e</w:t>
      </w:r>
      <w:r w:rsidR="00F2617A">
        <w:rPr>
          <w:snapToGrid w:val="0"/>
        </w:rPr>
        <w:t>,</w:t>
      </w:r>
      <w:r>
        <w:rPr>
          <w:snapToGrid w:val="0"/>
        </w:rPr>
        <w:t xml:space="preserve"> </w:t>
      </w:r>
      <w:r w:rsidR="00F2617A">
        <w:rPr>
          <w:snapToGrid w:val="0"/>
        </w:rPr>
        <w:t xml:space="preserve">na segunda, </w:t>
      </w:r>
      <w:r>
        <w:rPr>
          <w:snapToGrid w:val="0"/>
        </w:rPr>
        <w:t>todos os bovídeos, independentemente da idade.</w:t>
      </w:r>
    </w:p>
    <w:p w:rsidR="003E6588" w:rsidRDefault="003E6588">
      <w:pPr>
        <w:ind w:firstLine="1134"/>
        <w:jc w:val="both"/>
        <w:rPr>
          <w:snapToGrid w:val="0"/>
        </w:rPr>
      </w:pPr>
    </w:p>
    <w:p w:rsidR="003E6588" w:rsidRDefault="003E6588">
      <w:pPr>
        <w:ind w:firstLine="1134"/>
        <w:jc w:val="both"/>
        <w:rPr>
          <w:color w:val="000000"/>
        </w:rPr>
      </w:pPr>
      <w:r>
        <w:rPr>
          <w:snapToGrid w:val="0"/>
        </w:rPr>
        <w:t>Para verificar as condições de vacinação, especialmente em propriedades consideradas de maior risco, são reali</w:t>
      </w:r>
      <w:r w:rsidR="00F2617A">
        <w:rPr>
          <w:snapToGrid w:val="0"/>
        </w:rPr>
        <w:t>zadas as vacinações assistidas.</w:t>
      </w:r>
    </w:p>
    <w:p w:rsidR="003E6588" w:rsidRPr="000B028A" w:rsidRDefault="003E6588">
      <w:pPr>
        <w:ind w:firstLine="708"/>
        <w:jc w:val="both"/>
        <w:rPr>
          <w:color w:val="000000"/>
        </w:rPr>
      </w:pPr>
    </w:p>
    <w:p w:rsidR="003E6588" w:rsidRPr="00F2617A" w:rsidRDefault="003E6588">
      <w:pPr>
        <w:ind w:firstLine="1134"/>
        <w:jc w:val="both"/>
        <w:rPr>
          <w:b/>
        </w:rPr>
      </w:pPr>
      <w:r w:rsidRPr="00F2617A">
        <w:rPr>
          <w:b/>
        </w:rPr>
        <w:t>Vacinação cont</w:t>
      </w:r>
      <w:r w:rsidR="00F2617A">
        <w:rPr>
          <w:b/>
        </w:rPr>
        <w:t>ra a febre aftosa</w:t>
      </w:r>
    </w:p>
    <w:p w:rsidR="003E6588" w:rsidRPr="000B028A" w:rsidRDefault="003E6588">
      <w:pPr>
        <w:ind w:firstLine="1134"/>
        <w:jc w:val="both"/>
        <w:rPr>
          <w:b/>
        </w:rPr>
      </w:pPr>
    </w:p>
    <w:tbl>
      <w:tblPr>
        <w:tblW w:w="8222" w:type="dxa"/>
        <w:tblInd w:w="1242" w:type="dxa"/>
        <w:tblBorders>
          <w:top w:val="single" w:sz="18" w:space="0" w:color="auto"/>
        </w:tblBorders>
        <w:tblLayout w:type="fixed"/>
        <w:tblLook w:val="04A0"/>
      </w:tblPr>
      <w:tblGrid>
        <w:gridCol w:w="3261"/>
        <w:gridCol w:w="2268"/>
        <w:gridCol w:w="2693"/>
      </w:tblGrid>
      <w:tr w:rsidR="003E6588" w:rsidTr="000044B0">
        <w:trPr>
          <w:trHeight w:val="100"/>
        </w:trPr>
        <w:tc>
          <w:tcPr>
            <w:tcW w:w="3261" w:type="dxa"/>
            <w:tcBorders>
              <w:top w:val="single" w:sz="8" w:space="0" w:color="auto"/>
              <w:bottom w:val="single" w:sz="8" w:space="0" w:color="auto"/>
            </w:tcBorders>
          </w:tcPr>
          <w:p w:rsidR="003E6588" w:rsidRDefault="003E6588">
            <w:pPr>
              <w:pBdr>
                <w:between w:val="single" w:sz="4" w:space="1" w:color="auto"/>
              </w:pBdr>
              <w:rPr>
                <w:b/>
                <w:sz w:val="20"/>
                <w:szCs w:val="20"/>
              </w:rPr>
            </w:pPr>
            <w:r>
              <w:rPr>
                <w:b/>
                <w:sz w:val="20"/>
                <w:szCs w:val="20"/>
              </w:rPr>
              <w:t>Produto/indicador</w:t>
            </w:r>
          </w:p>
        </w:tc>
        <w:tc>
          <w:tcPr>
            <w:tcW w:w="2268" w:type="dxa"/>
            <w:tcBorders>
              <w:top w:val="single" w:sz="8" w:space="0" w:color="auto"/>
              <w:bottom w:val="single" w:sz="8" w:space="0" w:color="auto"/>
            </w:tcBorders>
          </w:tcPr>
          <w:p w:rsidR="003E6588" w:rsidRDefault="00F2617A">
            <w:pPr>
              <w:pBdr>
                <w:between w:val="single" w:sz="4" w:space="1" w:color="auto"/>
              </w:pBdr>
              <w:rPr>
                <w:b/>
                <w:sz w:val="20"/>
                <w:szCs w:val="20"/>
              </w:rPr>
            </w:pPr>
            <w:r>
              <w:rPr>
                <w:b/>
                <w:sz w:val="20"/>
                <w:szCs w:val="20"/>
              </w:rPr>
              <w:t>1ª Etapa</w:t>
            </w:r>
          </w:p>
        </w:tc>
        <w:tc>
          <w:tcPr>
            <w:tcW w:w="2693" w:type="dxa"/>
            <w:tcBorders>
              <w:top w:val="single" w:sz="8" w:space="0" w:color="auto"/>
              <w:bottom w:val="single" w:sz="8" w:space="0" w:color="auto"/>
            </w:tcBorders>
          </w:tcPr>
          <w:p w:rsidR="003E6588" w:rsidRDefault="00F2617A">
            <w:pPr>
              <w:pBdr>
                <w:between w:val="single" w:sz="4" w:space="1" w:color="auto"/>
              </w:pBdr>
              <w:rPr>
                <w:b/>
                <w:sz w:val="20"/>
                <w:szCs w:val="20"/>
              </w:rPr>
            </w:pPr>
            <w:r>
              <w:rPr>
                <w:b/>
                <w:sz w:val="20"/>
                <w:szCs w:val="20"/>
              </w:rPr>
              <w:t>2ª Etapa</w:t>
            </w:r>
          </w:p>
        </w:tc>
      </w:tr>
      <w:tr w:rsidR="003E6588" w:rsidTr="000044B0">
        <w:trPr>
          <w:trHeight w:val="119"/>
        </w:trPr>
        <w:tc>
          <w:tcPr>
            <w:tcW w:w="3261" w:type="dxa"/>
            <w:tcBorders>
              <w:top w:val="single" w:sz="8" w:space="0" w:color="auto"/>
            </w:tcBorders>
          </w:tcPr>
          <w:p w:rsidR="003E6588" w:rsidRDefault="003E6588">
            <w:pPr>
              <w:pBdr>
                <w:between w:val="single" w:sz="4" w:space="1" w:color="auto"/>
              </w:pBdr>
              <w:jc w:val="both"/>
              <w:rPr>
                <w:sz w:val="20"/>
                <w:szCs w:val="20"/>
              </w:rPr>
            </w:pPr>
            <w:r>
              <w:rPr>
                <w:sz w:val="20"/>
                <w:szCs w:val="20"/>
              </w:rPr>
              <w:t>Bovídeos vacinados</w:t>
            </w:r>
          </w:p>
        </w:tc>
        <w:tc>
          <w:tcPr>
            <w:tcW w:w="2268" w:type="dxa"/>
            <w:tcBorders>
              <w:top w:val="single" w:sz="8" w:space="0" w:color="auto"/>
            </w:tcBorders>
          </w:tcPr>
          <w:p w:rsidR="003E6588" w:rsidRDefault="003E6588">
            <w:pPr>
              <w:pBdr>
                <w:between w:val="single" w:sz="4" w:space="1" w:color="auto"/>
              </w:pBdr>
              <w:rPr>
                <w:sz w:val="20"/>
                <w:szCs w:val="20"/>
              </w:rPr>
            </w:pPr>
            <w:r>
              <w:rPr>
                <w:sz w:val="20"/>
                <w:szCs w:val="20"/>
              </w:rPr>
              <w:t>(99,18%)</w:t>
            </w:r>
          </w:p>
        </w:tc>
        <w:tc>
          <w:tcPr>
            <w:tcW w:w="2693" w:type="dxa"/>
            <w:tcBorders>
              <w:top w:val="single" w:sz="8" w:space="0" w:color="auto"/>
            </w:tcBorders>
          </w:tcPr>
          <w:p w:rsidR="003E6588" w:rsidRDefault="003E6588" w:rsidP="00F2617A">
            <w:pPr>
              <w:rPr>
                <w:sz w:val="20"/>
                <w:szCs w:val="20"/>
              </w:rPr>
            </w:pPr>
            <w:r>
              <w:rPr>
                <w:sz w:val="20"/>
                <w:szCs w:val="20"/>
              </w:rPr>
              <w:t>(97,55%)</w:t>
            </w:r>
          </w:p>
        </w:tc>
      </w:tr>
      <w:tr w:rsidR="003E6588" w:rsidTr="000044B0">
        <w:trPr>
          <w:trHeight w:val="168"/>
        </w:trPr>
        <w:tc>
          <w:tcPr>
            <w:tcW w:w="3261" w:type="dxa"/>
            <w:tcBorders>
              <w:bottom w:val="nil"/>
            </w:tcBorders>
          </w:tcPr>
          <w:p w:rsidR="003E6588" w:rsidRDefault="003E6588">
            <w:pPr>
              <w:pBdr>
                <w:between w:val="single" w:sz="4" w:space="1" w:color="auto"/>
              </w:pBdr>
              <w:jc w:val="both"/>
              <w:rPr>
                <w:sz w:val="20"/>
                <w:szCs w:val="20"/>
              </w:rPr>
            </w:pPr>
            <w:r>
              <w:rPr>
                <w:sz w:val="20"/>
                <w:szCs w:val="20"/>
              </w:rPr>
              <w:t>Propriedades vacinadas</w:t>
            </w:r>
          </w:p>
        </w:tc>
        <w:tc>
          <w:tcPr>
            <w:tcW w:w="2268" w:type="dxa"/>
            <w:tcBorders>
              <w:bottom w:val="nil"/>
            </w:tcBorders>
          </w:tcPr>
          <w:p w:rsidR="003E6588" w:rsidRDefault="003E6588">
            <w:pPr>
              <w:pBdr>
                <w:between w:val="single" w:sz="4" w:space="1" w:color="auto"/>
              </w:pBdr>
              <w:rPr>
                <w:sz w:val="20"/>
                <w:szCs w:val="20"/>
              </w:rPr>
            </w:pPr>
            <w:r>
              <w:rPr>
                <w:sz w:val="20"/>
                <w:szCs w:val="20"/>
              </w:rPr>
              <w:t>(97,13%)</w:t>
            </w:r>
          </w:p>
        </w:tc>
        <w:tc>
          <w:tcPr>
            <w:tcW w:w="2693" w:type="dxa"/>
            <w:tcBorders>
              <w:bottom w:val="nil"/>
            </w:tcBorders>
          </w:tcPr>
          <w:p w:rsidR="003E6588" w:rsidRDefault="003E6588" w:rsidP="00F2617A">
            <w:pPr>
              <w:pBdr>
                <w:between w:val="single" w:sz="4" w:space="1" w:color="auto"/>
              </w:pBdr>
              <w:rPr>
                <w:sz w:val="20"/>
                <w:szCs w:val="20"/>
              </w:rPr>
            </w:pPr>
            <w:r>
              <w:rPr>
                <w:sz w:val="20"/>
                <w:szCs w:val="20"/>
              </w:rPr>
              <w:t>(93,14%)</w:t>
            </w:r>
          </w:p>
        </w:tc>
      </w:tr>
      <w:tr w:rsidR="003E6588" w:rsidTr="000044B0">
        <w:trPr>
          <w:trHeight w:val="228"/>
        </w:trPr>
        <w:tc>
          <w:tcPr>
            <w:tcW w:w="3261" w:type="dxa"/>
            <w:tcBorders>
              <w:top w:val="nil"/>
              <w:bottom w:val="single" w:sz="8" w:space="0" w:color="auto"/>
            </w:tcBorders>
          </w:tcPr>
          <w:p w:rsidR="003E6588" w:rsidRDefault="003E6588">
            <w:pPr>
              <w:pBdr>
                <w:between w:val="single" w:sz="4" w:space="1" w:color="auto"/>
              </w:pBdr>
              <w:jc w:val="both"/>
              <w:rPr>
                <w:sz w:val="20"/>
                <w:szCs w:val="20"/>
              </w:rPr>
            </w:pPr>
            <w:r>
              <w:rPr>
                <w:sz w:val="20"/>
                <w:szCs w:val="20"/>
              </w:rPr>
              <w:t>Vacinações assistidas</w:t>
            </w:r>
          </w:p>
        </w:tc>
        <w:tc>
          <w:tcPr>
            <w:tcW w:w="2268" w:type="dxa"/>
            <w:tcBorders>
              <w:top w:val="nil"/>
              <w:bottom w:val="single" w:sz="8" w:space="0" w:color="auto"/>
            </w:tcBorders>
          </w:tcPr>
          <w:p w:rsidR="003E6588" w:rsidRDefault="003E6588">
            <w:pPr>
              <w:pBdr>
                <w:between w:val="single" w:sz="4" w:space="1" w:color="auto"/>
              </w:pBdr>
              <w:rPr>
                <w:sz w:val="20"/>
                <w:szCs w:val="20"/>
              </w:rPr>
            </w:pPr>
            <w:r>
              <w:rPr>
                <w:sz w:val="20"/>
                <w:szCs w:val="20"/>
              </w:rPr>
              <w:t>1.339</w:t>
            </w:r>
          </w:p>
        </w:tc>
        <w:tc>
          <w:tcPr>
            <w:tcW w:w="2693" w:type="dxa"/>
            <w:tcBorders>
              <w:top w:val="nil"/>
              <w:bottom w:val="single" w:sz="8" w:space="0" w:color="auto"/>
            </w:tcBorders>
          </w:tcPr>
          <w:p w:rsidR="003E6588" w:rsidRDefault="003E6588" w:rsidP="00F2617A">
            <w:pPr>
              <w:pBdr>
                <w:between w:val="single" w:sz="4" w:space="1" w:color="auto"/>
              </w:pBdr>
              <w:rPr>
                <w:sz w:val="20"/>
                <w:szCs w:val="20"/>
              </w:rPr>
            </w:pPr>
            <w:r>
              <w:rPr>
                <w:sz w:val="20"/>
                <w:szCs w:val="20"/>
              </w:rPr>
              <w:t>1.245</w:t>
            </w:r>
          </w:p>
        </w:tc>
      </w:tr>
    </w:tbl>
    <w:p w:rsidR="003E6588" w:rsidRPr="000B028A" w:rsidRDefault="003E6588">
      <w:pPr>
        <w:ind w:firstLine="708"/>
        <w:jc w:val="both"/>
        <w:rPr>
          <w:color w:val="000000"/>
        </w:rPr>
      </w:pPr>
    </w:p>
    <w:p w:rsidR="003E6588" w:rsidRPr="00F2617A" w:rsidRDefault="003E6588">
      <w:pPr>
        <w:ind w:firstLine="1134"/>
        <w:jc w:val="both"/>
      </w:pPr>
      <w:r w:rsidRPr="00F2617A">
        <w:t>A CDA realizou dois estudos epidemiológicos: o primeiro com objetivo de comprovar a ausência de circulação do vírus da febre aftosa; o segundo para comprovar a eficiência da vacinação, envolvendo 115 municípios.</w:t>
      </w:r>
    </w:p>
    <w:p w:rsidR="003E6588" w:rsidRPr="00F2617A" w:rsidRDefault="003E6588">
      <w:pPr>
        <w:ind w:firstLine="1134"/>
        <w:jc w:val="both"/>
      </w:pPr>
    </w:p>
    <w:p w:rsidR="003E6588" w:rsidRPr="000B028A" w:rsidRDefault="003E6588">
      <w:pPr>
        <w:ind w:firstLine="1134"/>
        <w:jc w:val="both"/>
        <w:rPr>
          <w:b/>
        </w:rPr>
      </w:pPr>
      <w:r w:rsidRPr="000B028A">
        <w:rPr>
          <w:b/>
        </w:rPr>
        <w:t>Estudos soro epidemiológicos para febre aftosa</w:t>
      </w:r>
    </w:p>
    <w:p w:rsidR="003E6588" w:rsidRDefault="003E6588">
      <w:pPr>
        <w:jc w:val="both"/>
        <w:rPr>
          <w:color w:val="000000"/>
        </w:rPr>
      </w:pPr>
    </w:p>
    <w:p w:rsidR="0006161A" w:rsidRPr="000B028A" w:rsidRDefault="0006161A">
      <w:pPr>
        <w:jc w:val="both"/>
        <w:rPr>
          <w:color w:val="000000"/>
        </w:rPr>
      </w:pPr>
    </w:p>
    <w:tbl>
      <w:tblPr>
        <w:tblW w:w="7513" w:type="dxa"/>
        <w:tblInd w:w="1384" w:type="dxa"/>
        <w:tblLayout w:type="fixed"/>
        <w:tblLook w:val="04A0"/>
      </w:tblPr>
      <w:tblGrid>
        <w:gridCol w:w="2977"/>
        <w:gridCol w:w="2551"/>
        <w:gridCol w:w="1985"/>
      </w:tblGrid>
      <w:tr w:rsidR="003E6588" w:rsidTr="000044B0">
        <w:trPr>
          <w:trHeight w:val="91"/>
        </w:trPr>
        <w:tc>
          <w:tcPr>
            <w:tcW w:w="2977" w:type="dxa"/>
            <w:tcBorders>
              <w:top w:val="single" w:sz="8" w:space="0" w:color="auto"/>
              <w:bottom w:val="single" w:sz="8" w:space="0" w:color="auto"/>
            </w:tcBorders>
          </w:tcPr>
          <w:p w:rsidR="003E6588" w:rsidRDefault="003E6588">
            <w:pPr>
              <w:rPr>
                <w:b/>
                <w:sz w:val="20"/>
                <w:szCs w:val="20"/>
              </w:rPr>
            </w:pPr>
            <w:r>
              <w:rPr>
                <w:b/>
                <w:sz w:val="20"/>
                <w:szCs w:val="20"/>
              </w:rPr>
              <w:lastRenderedPageBreak/>
              <w:t>Estudo Epidemiológico</w:t>
            </w:r>
          </w:p>
        </w:tc>
        <w:tc>
          <w:tcPr>
            <w:tcW w:w="2551" w:type="dxa"/>
            <w:tcBorders>
              <w:top w:val="single" w:sz="8" w:space="0" w:color="auto"/>
              <w:bottom w:val="single" w:sz="8" w:space="0" w:color="auto"/>
            </w:tcBorders>
          </w:tcPr>
          <w:p w:rsidR="003E6588" w:rsidRDefault="003E6588">
            <w:pPr>
              <w:rPr>
                <w:b/>
                <w:sz w:val="20"/>
                <w:szCs w:val="20"/>
              </w:rPr>
            </w:pPr>
            <w:r>
              <w:rPr>
                <w:b/>
                <w:sz w:val="20"/>
                <w:szCs w:val="20"/>
              </w:rPr>
              <w:t>Produto/indicador</w:t>
            </w:r>
          </w:p>
        </w:tc>
        <w:tc>
          <w:tcPr>
            <w:tcW w:w="1985" w:type="dxa"/>
            <w:tcBorders>
              <w:top w:val="single" w:sz="8" w:space="0" w:color="auto"/>
              <w:bottom w:val="single" w:sz="8" w:space="0" w:color="auto"/>
            </w:tcBorders>
          </w:tcPr>
          <w:p w:rsidR="003E6588" w:rsidRDefault="003E6588">
            <w:pPr>
              <w:rPr>
                <w:b/>
                <w:sz w:val="20"/>
                <w:szCs w:val="20"/>
              </w:rPr>
            </w:pPr>
            <w:r>
              <w:rPr>
                <w:b/>
                <w:sz w:val="20"/>
                <w:szCs w:val="20"/>
              </w:rPr>
              <w:t>Quantidade</w:t>
            </w:r>
          </w:p>
        </w:tc>
      </w:tr>
      <w:tr w:rsidR="003E6588" w:rsidTr="000044B0">
        <w:trPr>
          <w:trHeight w:val="95"/>
        </w:trPr>
        <w:tc>
          <w:tcPr>
            <w:tcW w:w="2977" w:type="dxa"/>
            <w:tcBorders>
              <w:top w:val="single" w:sz="8" w:space="0" w:color="auto"/>
            </w:tcBorders>
          </w:tcPr>
          <w:p w:rsidR="003E6588" w:rsidRDefault="003E6588">
            <w:pPr>
              <w:pBdr>
                <w:between w:val="single" w:sz="4" w:space="1" w:color="auto"/>
              </w:pBdr>
              <w:jc w:val="both"/>
              <w:rPr>
                <w:sz w:val="20"/>
                <w:szCs w:val="20"/>
              </w:rPr>
            </w:pPr>
            <w:r>
              <w:rPr>
                <w:sz w:val="20"/>
                <w:szCs w:val="20"/>
              </w:rPr>
              <w:t>Eficiência da vacinação</w:t>
            </w:r>
          </w:p>
        </w:tc>
        <w:tc>
          <w:tcPr>
            <w:tcW w:w="2551" w:type="dxa"/>
            <w:tcBorders>
              <w:top w:val="single" w:sz="8" w:space="0" w:color="auto"/>
            </w:tcBorders>
          </w:tcPr>
          <w:p w:rsidR="003E6588" w:rsidRDefault="003E6588">
            <w:pPr>
              <w:pBdr>
                <w:between w:val="single" w:sz="4" w:space="1" w:color="auto"/>
              </w:pBdr>
              <w:rPr>
                <w:sz w:val="20"/>
                <w:szCs w:val="20"/>
              </w:rPr>
            </w:pPr>
            <w:r>
              <w:rPr>
                <w:sz w:val="20"/>
                <w:szCs w:val="20"/>
              </w:rPr>
              <w:t>Propriedades envolvidas</w:t>
            </w:r>
          </w:p>
        </w:tc>
        <w:tc>
          <w:tcPr>
            <w:tcW w:w="1985" w:type="dxa"/>
            <w:tcBorders>
              <w:top w:val="single" w:sz="8" w:space="0" w:color="auto"/>
            </w:tcBorders>
          </w:tcPr>
          <w:p w:rsidR="003E6588" w:rsidRDefault="003E6588">
            <w:pPr>
              <w:rPr>
                <w:sz w:val="20"/>
                <w:szCs w:val="20"/>
              </w:rPr>
            </w:pPr>
            <w:r>
              <w:rPr>
                <w:sz w:val="20"/>
                <w:szCs w:val="20"/>
              </w:rPr>
              <w:t>51</w:t>
            </w:r>
          </w:p>
        </w:tc>
      </w:tr>
      <w:tr w:rsidR="003E6588">
        <w:trPr>
          <w:trHeight w:val="158"/>
        </w:trPr>
        <w:tc>
          <w:tcPr>
            <w:tcW w:w="2977" w:type="dxa"/>
          </w:tcPr>
          <w:p w:rsidR="003E6588" w:rsidRDefault="003E6588">
            <w:pPr>
              <w:pBdr>
                <w:between w:val="single" w:sz="4" w:space="1" w:color="auto"/>
              </w:pBdr>
              <w:jc w:val="both"/>
              <w:rPr>
                <w:sz w:val="20"/>
                <w:szCs w:val="20"/>
              </w:rPr>
            </w:pPr>
            <w:r>
              <w:rPr>
                <w:sz w:val="20"/>
                <w:szCs w:val="20"/>
              </w:rPr>
              <w:t>Eficiência da vacinação</w:t>
            </w:r>
          </w:p>
        </w:tc>
        <w:tc>
          <w:tcPr>
            <w:tcW w:w="2551" w:type="dxa"/>
          </w:tcPr>
          <w:p w:rsidR="003E6588" w:rsidRDefault="003E6588">
            <w:pPr>
              <w:pBdr>
                <w:between w:val="single" w:sz="4" w:space="1" w:color="auto"/>
              </w:pBdr>
              <w:rPr>
                <w:sz w:val="20"/>
                <w:szCs w:val="20"/>
              </w:rPr>
            </w:pPr>
            <w:r>
              <w:rPr>
                <w:sz w:val="20"/>
                <w:szCs w:val="20"/>
              </w:rPr>
              <w:t>Amostras colhidas</w:t>
            </w:r>
          </w:p>
        </w:tc>
        <w:tc>
          <w:tcPr>
            <w:tcW w:w="1985" w:type="dxa"/>
          </w:tcPr>
          <w:p w:rsidR="003E6588" w:rsidRDefault="003E6588">
            <w:pPr>
              <w:pBdr>
                <w:between w:val="single" w:sz="4" w:space="1" w:color="auto"/>
              </w:pBdr>
              <w:rPr>
                <w:sz w:val="20"/>
                <w:szCs w:val="20"/>
              </w:rPr>
            </w:pPr>
            <w:r>
              <w:rPr>
                <w:sz w:val="20"/>
                <w:szCs w:val="20"/>
              </w:rPr>
              <w:t>199</w:t>
            </w:r>
          </w:p>
        </w:tc>
      </w:tr>
      <w:tr w:rsidR="003E6588" w:rsidTr="000044B0">
        <w:trPr>
          <w:trHeight w:val="62"/>
        </w:trPr>
        <w:tc>
          <w:tcPr>
            <w:tcW w:w="2977" w:type="dxa"/>
          </w:tcPr>
          <w:p w:rsidR="003E6588" w:rsidRDefault="003E6588">
            <w:pPr>
              <w:pBdr>
                <w:between w:val="single" w:sz="4" w:space="1" w:color="auto"/>
              </w:pBdr>
              <w:jc w:val="both"/>
              <w:rPr>
                <w:sz w:val="20"/>
                <w:szCs w:val="20"/>
              </w:rPr>
            </w:pPr>
            <w:r>
              <w:rPr>
                <w:sz w:val="20"/>
                <w:szCs w:val="20"/>
              </w:rPr>
              <w:t>Circulação viral</w:t>
            </w:r>
          </w:p>
        </w:tc>
        <w:tc>
          <w:tcPr>
            <w:tcW w:w="2551" w:type="dxa"/>
          </w:tcPr>
          <w:p w:rsidR="003E6588" w:rsidRDefault="003E6588">
            <w:pPr>
              <w:pBdr>
                <w:between w:val="single" w:sz="4" w:space="1" w:color="auto"/>
              </w:pBdr>
              <w:rPr>
                <w:sz w:val="20"/>
                <w:szCs w:val="20"/>
              </w:rPr>
            </w:pPr>
            <w:r>
              <w:rPr>
                <w:sz w:val="20"/>
                <w:szCs w:val="20"/>
              </w:rPr>
              <w:t>Propriedades envolvidas</w:t>
            </w:r>
          </w:p>
        </w:tc>
        <w:tc>
          <w:tcPr>
            <w:tcW w:w="1985" w:type="dxa"/>
          </w:tcPr>
          <w:p w:rsidR="003E6588" w:rsidRDefault="003E6588">
            <w:pPr>
              <w:pBdr>
                <w:between w:val="single" w:sz="4" w:space="1" w:color="auto"/>
              </w:pBdr>
              <w:rPr>
                <w:sz w:val="20"/>
                <w:szCs w:val="20"/>
              </w:rPr>
            </w:pPr>
            <w:r>
              <w:rPr>
                <w:sz w:val="20"/>
                <w:szCs w:val="20"/>
              </w:rPr>
              <w:t>77</w:t>
            </w:r>
          </w:p>
        </w:tc>
      </w:tr>
      <w:tr w:rsidR="003E6588" w:rsidTr="000044B0">
        <w:trPr>
          <w:trHeight w:val="54"/>
        </w:trPr>
        <w:tc>
          <w:tcPr>
            <w:tcW w:w="2977" w:type="dxa"/>
            <w:tcBorders>
              <w:bottom w:val="single" w:sz="8" w:space="0" w:color="auto"/>
            </w:tcBorders>
          </w:tcPr>
          <w:p w:rsidR="003E6588" w:rsidRDefault="003E6588">
            <w:pPr>
              <w:pBdr>
                <w:between w:val="single" w:sz="4" w:space="1" w:color="auto"/>
              </w:pBdr>
              <w:jc w:val="both"/>
              <w:rPr>
                <w:sz w:val="20"/>
                <w:szCs w:val="20"/>
              </w:rPr>
            </w:pPr>
            <w:r>
              <w:rPr>
                <w:sz w:val="20"/>
                <w:szCs w:val="20"/>
              </w:rPr>
              <w:t>Circulação viral</w:t>
            </w:r>
          </w:p>
        </w:tc>
        <w:tc>
          <w:tcPr>
            <w:tcW w:w="2551" w:type="dxa"/>
            <w:tcBorders>
              <w:bottom w:val="single" w:sz="8" w:space="0" w:color="auto"/>
            </w:tcBorders>
          </w:tcPr>
          <w:p w:rsidR="003E6588" w:rsidRDefault="003E6588">
            <w:pPr>
              <w:pBdr>
                <w:between w:val="single" w:sz="4" w:space="1" w:color="auto"/>
              </w:pBdr>
              <w:rPr>
                <w:sz w:val="20"/>
                <w:szCs w:val="20"/>
              </w:rPr>
            </w:pPr>
            <w:r>
              <w:rPr>
                <w:sz w:val="20"/>
                <w:szCs w:val="20"/>
              </w:rPr>
              <w:t>Amostras colhidas</w:t>
            </w:r>
          </w:p>
        </w:tc>
        <w:tc>
          <w:tcPr>
            <w:tcW w:w="1985" w:type="dxa"/>
            <w:tcBorders>
              <w:bottom w:val="single" w:sz="8" w:space="0" w:color="auto"/>
            </w:tcBorders>
          </w:tcPr>
          <w:p w:rsidR="003E6588" w:rsidRDefault="003E6588">
            <w:pPr>
              <w:pBdr>
                <w:between w:val="single" w:sz="4" w:space="1" w:color="auto"/>
              </w:pBdr>
              <w:rPr>
                <w:sz w:val="20"/>
                <w:szCs w:val="20"/>
              </w:rPr>
            </w:pPr>
            <w:r>
              <w:rPr>
                <w:sz w:val="20"/>
                <w:szCs w:val="20"/>
              </w:rPr>
              <w:t>2.156</w:t>
            </w:r>
          </w:p>
        </w:tc>
      </w:tr>
    </w:tbl>
    <w:p w:rsidR="000B028A" w:rsidRDefault="000B028A">
      <w:pPr>
        <w:tabs>
          <w:tab w:val="left" w:pos="709"/>
        </w:tabs>
        <w:ind w:firstLine="1134"/>
        <w:jc w:val="both"/>
        <w:rPr>
          <w:b/>
        </w:rPr>
      </w:pPr>
    </w:p>
    <w:p w:rsidR="003E6588" w:rsidRDefault="003E6588">
      <w:pPr>
        <w:tabs>
          <w:tab w:val="left" w:pos="709"/>
        </w:tabs>
        <w:ind w:firstLine="1134"/>
        <w:jc w:val="both"/>
        <w:rPr>
          <w:b/>
          <w:u w:val="single"/>
        </w:rPr>
      </w:pPr>
      <w:r>
        <w:rPr>
          <w:b/>
        </w:rPr>
        <w:t xml:space="preserve">Serviço Brasileiro de Rastreabilidade da Cadeia Produtiva de Bovinos e Bubalinos - SISBOV - </w:t>
      </w:r>
      <w:r>
        <w:rPr>
          <w:color w:val="000000"/>
        </w:rPr>
        <w:t>Tem como objetivo o controle e rastreabilidade do processo produtivo das propriedades rurais de bovinos e bubalinos. A adesão ao SISBOV</w:t>
      </w:r>
      <w:r>
        <w:rPr>
          <w:b/>
          <w:color w:val="000000"/>
        </w:rPr>
        <w:t xml:space="preserve"> </w:t>
      </w:r>
      <w:r>
        <w:rPr>
          <w:color w:val="000000"/>
        </w:rPr>
        <w:t>é voluntária para os produtores rurais, sendo obrigatória para comercialização de carne bovina e bubalina para mercados que exigem rastreabilidade (como os membros da União Europeia). Os médicos veterinários da CDA realizam auditorias nas propriedades rurais que almejam exportar para esses mercados.</w:t>
      </w:r>
    </w:p>
    <w:p w:rsidR="003E6588" w:rsidRPr="00F2617A" w:rsidRDefault="003E6588">
      <w:pPr>
        <w:ind w:firstLine="1134"/>
        <w:jc w:val="both"/>
        <w:rPr>
          <w:strike/>
        </w:rPr>
      </w:pPr>
    </w:p>
    <w:p w:rsidR="003E6588" w:rsidRPr="00F2617A" w:rsidRDefault="003E6588">
      <w:pPr>
        <w:ind w:firstLine="1134"/>
        <w:jc w:val="both"/>
        <w:rPr>
          <w:strike/>
        </w:rPr>
      </w:pPr>
      <w:r w:rsidRPr="00F2617A">
        <w:t xml:space="preserve">Foram 33 auditorias. </w:t>
      </w:r>
      <w:r w:rsidR="00F2617A" w:rsidRPr="00F2617A">
        <w:t xml:space="preserve">Das </w:t>
      </w:r>
      <w:r w:rsidRPr="00F2617A">
        <w:t>128 propriedades paulistas que participam do SISBOV, 127 estão aptas para exportação à União Europeia.</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Sanidade dos Equídeos - </w:t>
      </w:r>
      <w:r>
        <w:rPr>
          <w:color w:val="000000"/>
        </w:rPr>
        <w:t>V</w:t>
      </w:r>
      <w:r>
        <w:t>isa à proteção da saúde do rebanho equídeo com relação às doenças de notificação obrigatória, como a Anemia Infecciosa Equina - AIE e Mormo. As ações que constituem o programa são atendimento a suspeitas, detecção de focos e saneamento dos mesmos</w:t>
      </w:r>
      <w:r w:rsidR="00F2617A">
        <w:t>,</w:t>
      </w:r>
      <w:r>
        <w:t xml:space="preserve"> com sacrifício dos animais positivos e realização de exames</w:t>
      </w:r>
      <w:r w:rsidR="00F2617A">
        <w:t xml:space="preserve"> diagnósticos dos contactantes.</w:t>
      </w:r>
    </w:p>
    <w:p w:rsidR="003E6588" w:rsidRDefault="003E6588">
      <w:pPr>
        <w:tabs>
          <w:tab w:val="left" w:pos="567"/>
        </w:tabs>
        <w:autoSpaceDE w:val="0"/>
        <w:autoSpaceDN w:val="0"/>
        <w:adjustRightInd w:val="0"/>
        <w:jc w:val="both"/>
        <w:rPr>
          <w:b/>
        </w:rPr>
      </w:pPr>
    </w:p>
    <w:p w:rsidR="003E6588" w:rsidRPr="000B028A" w:rsidRDefault="003E6588">
      <w:pPr>
        <w:tabs>
          <w:tab w:val="left" w:pos="567"/>
        </w:tabs>
        <w:autoSpaceDE w:val="0"/>
        <w:autoSpaceDN w:val="0"/>
        <w:adjustRightInd w:val="0"/>
        <w:ind w:firstLine="1134"/>
        <w:jc w:val="both"/>
        <w:rPr>
          <w:b/>
        </w:rPr>
      </w:pPr>
      <w:r w:rsidRPr="000B028A">
        <w:rPr>
          <w:b/>
        </w:rPr>
        <w:t>Atividades em sanidade dos equídeo</w:t>
      </w:r>
      <w:r w:rsidR="00F2617A" w:rsidRPr="000B028A">
        <w:rPr>
          <w:b/>
        </w:rPr>
        <w:t>s</w:t>
      </w:r>
    </w:p>
    <w:p w:rsidR="003E6588" w:rsidRPr="000B028A" w:rsidRDefault="003E6588">
      <w:pPr>
        <w:tabs>
          <w:tab w:val="left" w:pos="567"/>
        </w:tabs>
        <w:autoSpaceDE w:val="0"/>
        <w:autoSpaceDN w:val="0"/>
        <w:adjustRightInd w:val="0"/>
        <w:jc w:val="both"/>
        <w:rPr>
          <w:b/>
        </w:rPr>
      </w:pPr>
    </w:p>
    <w:tbl>
      <w:tblPr>
        <w:tblW w:w="7019" w:type="dxa"/>
        <w:jc w:val="center"/>
        <w:tblInd w:w="1302" w:type="dxa"/>
        <w:tblBorders>
          <w:top w:val="single" w:sz="8" w:space="0" w:color="000000"/>
          <w:bottom w:val="single" w:sz="8" w:space="0" w:color="000000"/>
        </w:tblBorders>
        <w:tblLook w:val="04A0"/>
      </w:tblPr>
      <w:tblGrid>
        <w:gridCol w:w="3402"/>
        <w:gridCol w:w="1733"/>
        <w:gridCol w:w="1884"/>
      </w:tblGrid>
      <w:tr w:rsidR="003E6588" w:rsidTr="000044B0">
        <w:trPr>
          <w:trHeight w:val="126"/>
          <w:jc w:val="center"/>
        </w:trPr>
        <w:tc>
          <w:tcPr>
            <w:tcW w:w="3402" w:type="dxa"/>
            <w:tcBorders>
              <w:top w:val="single" w:sz="8" w:space="0" w:color="auto"/>
              <w:bottom w:val="single" w:sz="8" w:space="0" w:color="auto"/>
            </w:tcBorders>
            <w:vAlign w:val="center"/>
          </w:tcPr>
          <w:p w:rsidR="003E6588" w:rsidRDefault="003E6588">
            <w:pPr>
              <w:tabs>
                <w:tab w:val="left" w:pos="1125"/>
                <w:tab w:val="center" w:pos="1670"/>
              </w:tabs>
              <w:rPr>
                <w:b/>
                <w:sz w:val="20"/>
                <w:szCs w:val="20"/>
              </w:rPr>
            </w:pPr>
            <w:r>
              <w:rPr>
                <w:b/>
                <w:sz w:val="20"/>
                <w:szCs w:val="20"/>
              </w:rPr>
              <w:t>Produto/indicador</w:t>
            </w:r>
          </w:p>
        </w:tc>
        <w:tc>
          <w:tcPr>
            <w:tcW w:w="1733" w:type="dxa"/>
            <w:tcBorders>
              <w:top w:val="single" w:sz="8" w:space="0" w:color="auto"/>
              <w:bottom w:val="single" w:sz="8" w:space="0" w:color="auto"/>
            </w:tcBorders>
            <w:vAlign w:val="center"/>
          </w:tcPr>
          <w:p w:rsidR="003E6588" w:rsidRDefault="003E6588">
            <w:pPr>
              <w:rPr>
                <w:b/>
                <w:sz w:val="20"/>
                <w:szCs w:val="20"/>
              </w:rPr>
            </w:pPr>
            <w:r>
              <w:rPr>
                <w:b/>
                <w:sz w:val="20"/>
                <w:szCs w:val="20"/>
              </w:rPr>
              <w:t>AIE</w:t>
            </w:r>
          </w:p>
        </w:tc>
        <w:tc>
          <w:tcPr>
            <w:tcW w:w="1884" w:type="dxa"/>
            <w:tcBorders>
              <w:top w:val="single" w:sz="8" w:space="0" w:color="auto"/>
              <w:bottom w:val="single" w:sz="8" w:space="0" w:color="auto"/>
            </w:tcBorders>
          </w:tcPr>
          <w:p w:rsidR="003E6588" w:rsidRDefault="003E6588">
            <w:pPr>
              <w:rPr>
                <w:b/>
                <w:sz w:val="20"/>
                <w:szCs w:val="20"/>
              </w:rPr>
            </w:pPr>
            <w:r>
              <w:rPr>
                <w:b/>
                <w:sz w:val="20"/>
                <w:szCs w:val="20"/>
              </w:rPr>
              <w:t>Mormo</w:t>
            </w:r>
          </w:p>
        </w:tc>
      </w:tr>
      <w:tr w:rsidR="003E6588" w:rsidTr="000044B0">
        <w:trPr>
          <w:trHeight w:val="145"/>
          <w:jc w:val="center"/>
        </w:trPr>
        <w:tc>
          <w:tcPr>
            <w:tcW w:w="3402" w:type="dxa"/>
            <w:tcBorders>
              <w:top w:val="single" w:sz="8" w:space="0" w:color="auto"/>
            </w:tcBorders>
            <w:vAlign w:val="center"/>
          </w:tcPr>
          <w:p w:rsidR="003E6588" w:rsidRDefault="003E6588">
            <w:pPr>
              <w:jc w:val="both"/>
              <w:rPr>
                <w:sz w:val="20"/>
                <w:szCs w:val="20"/>
              </w:rPr>
            </w:pPr>
            <w:r>
              <w:rPr>
                <w:sz w:val="20"/>
                <w:szCs w:val="20"/>
              </w:rPr>
              <w:t>Municípios trabalhados</w:t>
            </w:r>
          </w:p>
        </w:tc>
        <w:tc>
          <w:tcPr>
            <w:tcW w:w="1733" w:type="dxa"/>
            <w:tcBorders>
              <w:top w:val="single" w:sz="8" w:space="0" w:color="auto"/>
            </w:tcBorders>
            <w:vAlign w:val="center"/>
          </w:tcPr>
          <w:p w:rsidR="003E6588" w:rsidRDefault="003E6588">
            <w:pPr>
              <w:rPr>
                <w:sz w:val="20"/>
                <w:szCs w:val="20"/>
              </w:rPr>
            </w:pPr>
            <w:r>
              <w:rPr>
                <w:sz w:val="20"/>
                <w:szCs w:val="20"/>
              </w:rPr>
              <w:t>67</w:t>
            </w:r>
          </w:p>
        </w:tc>
        <w:tc>
          <w:tcPr>
            <w:tcW w:w="1884" w:type="dxa"/>
            <w:tcBorders>
              <w:top w:val="single" w:sz="8" w:space="0" w:color="auto"/>
            </w:tcBorders>
            <w:vAlign w:val="center"/>
          </w:tcPr>
          <w:p w:rsidR="003E6588" w:rsidRDefault="003E6588">
            <w:pPr>
              <w:rPr>
                <w:sz w:val="20"/>
                <w:szCs w:val="20"/>
              </w:rPr>
            </w:pPr>
            <w:r>
              <w:rPr>
                <w:sz w:val="20"/>
                <w:szCs w:val="20"/>
              </w:rPr>
              <w:t>45</w:t>
            </w:r>
          </w:p>
        </w:tc>
      </w:tr>
      <w:tr w:rsidR="003E6588">
        <w:trPr>
          <w:trHeight w:val="194"/>
          <w:jc w:val="center"/>
        </w:trPr>
        <w:tc>
          <w:tcPr>
            <w:tcW w:w="3402" w:type="dxa"/>
            <w:vAlign w:val="center"/>
          </w:tcPr>
          <w:p w:rsidR="003E6588" w:rsidRDefault="003E6588">
            <w:pPr>
              <w:jc w:val="both"/>
              <w:rPr>
                <w:sz w:val="20"/>
                <w:szCs w:val="20"/>
              </w:rPr>
            </w:pPr>
            <w:r>
              <w:rPr>
                <w:sz w:val="20"/>
                <w:szCs w:val="20"/>
              </w:rPr>
              <w:t>Propriedades trabalhadas</w:t>
            </w:r>
          </w:p>
        </w:tc>
        <w:tc>
          <w:tcPr>
            <w:tcW w:w="1733" w:type="dxa"/>
            <w:vAlign w:val="center"/>
          </w:tcPr>
          <w:p w:rsidR="003E6588" w:rsidRDefault="003E6588">
            <w:pPr>
              <w:rPr>
                <w:sz w:val="20"/>
                <w:szCs w:val="20"/>
              </w:rPr>
            </w:pPr>
            <w:r>
              <w:rPr>
                <w:sz w:val="20"/>
                <w:szCs w:val="20"/>
              </w:rPr>
              <w:t>107</w:t>
            </w:r>
          </w:p>
        </w:tc>
        <w:tc>
          <w:tcPr>
            <w:tcW w:w="1884" w:type="dxa"/>
            <w:vAlign w:val="center"/>
          </w:tcPr>
          <w:p w:rsidR="003E6588" w:rsidRDefault="003E6588">
            <w:pPr>
              <w:rPr>
                <w:sz w:val="20"/>
                <w:szCs w:val="20"/>
              </w:rPr>
            </w:pPr>
            <w:r>
              <w:rPr>
                <w:sz w:val="20"/>
                <w:szCs w:val="20"/>
              </w:rPr>
              <w:t>45</w:t>
            </w:r>
          </w:p>
        </w:tc>
      </w:tr>
      <w:tr w:rsidR="003E6588" w:rsidTr="000044B0">
        <w:trPr>
          <w:trHeight w:val="112"/>
          <w:jc w:val="center"/>
        </w:trPr>
        <w:tc>
          <w:tcPr>
            <w:tcW w:w="3402" w:type="dxa"/>
            <w:tcBorders>
              <w:bottom w:val="nil"/>
            </w:tcBorders>
            <w:vAlign w:val="center"/>
          </w:tcPr>
          <w:p w:rsidR="003E6588" w:rsidRDefault="003E6588">
            <w:pPr>
              <w:jc w:val="both"/>
              <w:rPr>
                <w:sz w:val="20"/>
                <w:szCs w:val="20"/>
              </w:rPr>
            </w:pPr>
            <w:r>
              <w:rPr>
                <w:sz w:val="20"/>
                <w:szCs w:val="20"/>
              </w:rPr>
              <w:t>Amostras colhidas</w:t>
            </w:r>
          </w:p>
        </w:tc>
        <w:tc>
          <w:tcPr>
            <w:tcW w:w="1733" w:type="dxa"/>
            <w:tcBorders>
              <w:bottom w:val="nil"/>
            </w:tcBorders>
            <w:vAlign w:val="center"/>
          </w:tcPr>
          <w:p w:rsidR="003E6588" w:rsidRPr="000044B0" w:rsidRDefault="003E6588">
            <w:pPr>
              <w:rPr>
                <w:sz w:val="20"/>
                <w:szCs w:val="20"/>
              </w:rPr>
            </w:pPr>
            <w:r w:rsidRPr="000044B0">
              <w:rPr>
                <w:sz w:val="20"/>
                <w:szCs w:val="20"/>
              </w:rPr>
              <w:t>2.805</w:t>
            </w:r>
            <w:r w:rsidRPr="000044B0">
              <w:rPr>
                <w:b/>
                <w:sz w:val="20"/>
                <w:szCs w:val="20"/>
              </w:rPr>
              <w:t>*</w:t>
            </w:r>
          </w:p>
        </w:tc>
        <w:tc>
          <w:tcPr>
            <w:tcW w:w="1884" w:type="dxa"/>
            <w:tcBorders>
              <w:bottom w:val="nil"/>
            </w:tcBorders>
            <w:vAlign w:val="center"/>
          </w:tcPr>
          <w:p w:rsidR="003E6588" w:rsidRPr="000044B0" w:rsidRDefault="003E6588">
            <w:pPr>
              <w:rPr>
                <w:sz w:val="20"/>
                <w:szCs w:val="20"/>
              </w:rPr>
            </w:pPr>
            <w:r w:rsidRPr="000044B0">
              <w:rPr>
                <w:sz w:val="20"/>
                <w:szCs w:val="20"/>
              </w:rPr>
              <w:t>3.398</w:t>
            </w:r>
            <w:r w:rsidRPr="000044B0">
              <w:rPr>
                <w:b/>
                <w:sz w:val="20"/>
                <w:szCs w:val="20"/>
              </w:rPr>
              <w:t>*</w:t>
            </w:r>
          </w:p>
        </w:tc>
      </w:tr>
      <w:tr w:rsidR="003E6588" w:rsidTr="000044B0">
        <w:trPr>
          <w:trHeight w:val="284"/>
          <w:jc w:val="center"/>
        </w:trPr>
        <w:tc>
          <w:tcPr>
            <w:tcW w:w="3402" w:type="dxa"/>
            <w:tcBorders>
              <w:top w:val="nil"/>
              <w:bottom w:val="single" w:sz="8" w:space="0" w:color="auto"/>
            </w:tcBorders>
            <w:vAlign w:val="center"/>
          </w:tcPr>
          <w:p w:rsidR="003E6588" w:rsidRDefault="003E6588">
            <w:pPr>
              <w:jc w:val="both"/>
              <w:rPr>
                <w:sz w:val="20"/>
                <w:szCs w:val="20"/>
              </w:rPr>
            </w:pPr>
            <w:r>
              <w:rPr>
                <w:sz w:val="20"/>
                <w:szCs w:val="20"/>
              </w:rPr>
              <w:t>Animais positivos sacrificados</w:t>
            </w:r>
          </w:p>
        </w:tc>
        <w:tc>
          <w:tcPr>
            <w:tcW w:w="1733" w:type="dxa"/>
            <w:tcBorders>
              <w:top w:val="nil"/>
              <w:bottom w:val="single" w:sz="8" w:space="0" w:color="auto"/>
            </w:tcBorders>
            <w:vAlign w:val="center"/>
          </w:tcPr>
          <w:p w:rsidR="003E6588" w:rsidRDefault="003E6588">
            <w:pPr>
              <w:rPr>
                <w:sz w:val="20"/>
                <w:szCs w:val="20"/>
              </w:rPr>
            </w:pPr>
            <w:r>
              <w:rPr>
                <w:sz w:val="20"/>
                <w:szCs w:val="20"/>
              </w:rPr>
              <w:t>106</w:t>
            </w:r>
          </w:p>
        </w:tc>
        <w:tc>
          <w:tcPr>
            <w:tcW w:w="1884" w:type="dxa"/>
            <w:tcBorders>
              <w:top w:val="nil"/>
              <w:bottom w:val="single" w:sz="8" w:space="0" w:color="auto"/>
            </w:tcBorders>
            <w:vAlign w:val="center"/>
          </w:tcPr>
          <w:p w:rsidR="003E6588" w:rsidRDefault="003E6588">
            <w:pPr>
              <w:rPr>
                <w:sz w:val="20"/>
                <w:szCs w:val="20"/>
              </w:rPr>
            </w:pPr>
            <w:r>
              <w:rPr>
                <w:sz w:val="20"/>
                <w:szCs w:val="20"/>
              </w:rPr>
              <w:t>42</w:t>
            </w:r>
          </w:p>
        </w:tc>
      </w:tr>
    </w:tbl>
    <w:p w:rsidR="00F2617A" w:rsidRDefault="00F2617A">
      <w:pPr>
        <w:ind w:firstLine="1134"/>
        <w:jc w:val="both"/>
        <w:rPr>
          <w:b/>
        </w:rPr>
      </w:pPr>
    </w:p>
    <w:p w:rsidR="003E6588" w:rsidRDefault="003E6588">
      <w:pPr>
        <w:ind w:firstLine="1134"/>
        <w:jc w:val="both"/>
        <w:rPr>
          <w:b/>
        </w:rPr>
      </w:pPr>
      <w:r>
        <w:rPr>
          <w:b/>
        </w:rPr>
        <w:t xml:space="preserve">Combate </w:t>
      </w:r>
      <w:r w:rsidR="00F2617A">
        <w:rPr>
          <w:b/>
        </w:rPr>
        <w:t>à</w:t>
      </w:r>
      <w:r>
        <w:rPr>
          <w:b/>
        </w:rPr>
        <w:t xml:space="preserve"> Raiva dos </w:t>
      </w:r>
      <w:r w:rsidRPr="000B028A">
        <w:rPr>
          <w:b/>
        </w:rPr>
        <w:t xml:space="preserve">Herbívoros - </w:t>
      </w:r>
      <w:r w:rsidRPr="000B028A">
        <w:rPr>
          <w:spacing w:val="-4"/>
        </w:rPr>
        <w:t>A raiva é doença de peculiar interesse para o Estado e objeto de atenção pela CDA, para redução na frequência de sua ocorrência</w:t>
      </w:r>
      <w:r w:rsidRPr="000B028A">
        <w:rPr>
          <w:b/>
          <w:spacing w:val="-4"/>
        </w:rPr>
        <w:t>,</w:t>
      </w:r>
      <w:r w:rsidRPr="000B028A">
        <w:rPr>
          <w:spacing w:val="-4"/>
        </w:rPr>
        <w:t xml:space="preserve"> pois causa sérios prejuízos à agropecuária e riscos à saúde pública, sendo uma das mais importantes zoonoses e sempre fatal. As armas profiláticas disponíveis s</w:t>
      </w:r>
      <w:r w:rsidR="00F2617A" w:rsidRPr="000B028A">
        <w:rPr>
          <w:spacing w:val="-4"/>
        </w:rPr>
        <w:t>ã</w:t>
      </w:r>
      <w:r w:rsidRPr="000B028A">
        <w:rPr>
          <w:spacing w:val="-4"/>
        </w:rPr>
        <w:t>o aquelas tradicionalmente conhecidas e recomendadas no controle da raiva dos herbívoros: imunização ativa (vacinação) dos animais susceptíveis para redução da frequência de casos e limitação da população de morcegos hematófagos para redução da atividade viral. A vacinação obrigatória foi abolida devido ao bom controle da doença, sendo apenas recomendada em casos de agressão pelo transmissor e</w:t>
      </w:r>
      <w:r w:rsidRPr="000B028A">
        <w:rPr>
          <w:b/>
          <w:spacing w:val="-4"/>
        </w:rPr>
        <w:t xml:space="preserve"> </w:t>
      </w:r>
      <w:r w:rsidRPr="000B028A">
        <w:rPr>
          <w:spacing w:val="-4"/>
        </w:rPr>
        <w:t>nas áreas de perifoco. A região da Serra da Mantiqueira</w:t>
      </w:r>
      <w:r>
        <w:rPr>
          <w:spacing w:val="-4"/>
        </w:rPr>
        <w:t xml:space="preserve"> é a de maior ocorrência, sendo motivo de atenção especial pelo serviço de Defesa Agropecuária. </w:t>
      </w:r>
      <w:r>
        <w:t>Foram intensificadas ações de combate aos morcegos hematófagos, pelo aumento dos casos de raiva em herbívoros, principalmente na reg</w:t>
      </w:r>
      <w:r w:rsidR="00F2617A">
        <w:t>ião de divisa com Minas Gerais.</w:t>
      </w:r>
    </w:p>
    <w:p w:rsidR="003E6588" w:rsidRDefault="003E6588">
      <w:pPr>
        <w:ind w:firstLine="1134"/>
        <w:jc w:val="both"/>
        <w:rPr>
          <w:b/>
          <w:noProof/>
        </w:rPr>
      </w:pPr>
    </w:p>
    <w:p w:rsidR="003E6588" w:rsidRPr="000B028A" w:rsidRDefault="000B028A">
      <w:pPr>
        <w:ind w:firstLine="1134"/>
        <w:jc w:val="both"/>
        <w:rPr>
          <w:b/>
        </w:rPr>
      </w:pPr>
      <w:r>
        <w:rPr>
          <w:b/>
        </w:rPr>
        <w:t>Combate à raiva dos herbívoros</w:t>
      </w:r>
    </w:p>
    <w:p w:rsidR="003E6588" w:rsidRDefault="003E6588">
      <w:pPr>
        <w:jc w:val="both"/>
        <w:rPr>
          <w:b/>
          <w:sz w:val="22"/>
          <w:szCs w:val="22"/>
        </w:rPr>
      </w:pPr>
    </w:p>
    <w:p w:rsidR="0006161A" w:rsidRDefault="0006161A">
      <w:pPr>
        <w:jc w:val="both"/>
        <w:rPr>
          <w:b/>
          <w:sz w:val="22"/>
          <w:szCs w:val="22"/>
        </w:rPr>
      </w:pPr>
    </w:p>
    <w:tbl>
      <w:tblPr>
        <w:tblW w:w="7962" w:type="dxa"/>
        <w:jc w:val="center"/>
        <w:tblInd w:w="1392" w:type="dxa"/>
        <w:tblBorders>
          <w:top w:val="single" w:sz="8" w:space="0" w:color="000000"/>
          <w:bottom w:val="single" w:sz="8" w:space="0" w:color="000000"/>
        </w:tblBorders>
        <w:tblLook w:val="04A0"/>
      </w:tblPr>
      <w:tblGrid>
        <w:gridCol w:w="4820"/>
        <w:gridCol w:w="1984"/>
        <w:gridCol w:w="1158"/>
      </w:tblGrid>
      <w:tr w:rsidR="003E6588" w:rsidTr="000044B0">
        <w:trPr>
          <w:trHeight w:val="41"/>
          <w:jc w:val="center"/>
        </w:trPr>
        <w:tc>
          <w:tcPr>
            <w:tcW w:w="4820" w:type="dxa"/>
            <w:tcBorders>
              <w:top w:val="single" w:sz="8" w:space="0" w:color="auto"/>
              <w:bottom w:val="single" w:sz="8" w:space="0" w:color="auto"/>
            </w:tcBorders>
            <w:vAlign w:val="center"/>
          </w:tcPr>
          <w:p w:rsidR="003E6588" w:rsidRDefault="003E6588">
            <w:pPr>
              <w:tabs>
                <w:tab w:val="left" w:pos="1125"/>
                <w:tab w:val="center" w:pos="1670"/>
              </w:tabs>
              <w:rPr>
                <w:b/>
                <w:sz w:val="20"/>
                <w:szCs w:val="20"/>
              </w:rPr>
            </w:pPr>
            <w:r>
              <w:rPr>
                <w:b/>
                <w:sz w:val="20"/>
                <w:szCs w:val="20"/>
              </w:rPr>
              <w:lastRenderedPageBreak/>
              <w:t>Produto/indicador</w:t>
            </w:r>
          </w:p>
        </w:tc>
        <w:tc>
          <w:tcPr>
            <w:tcW w:w="1984" w:type="dxa"/>
            <w:tcBorders>
              <w:top w:val="single" w:sz="8" w:space="0" w:color="auto"/>
              <w:bottom w:val="single" w:sz="8" w:space="0" w:color="auto"/>
            </w:tcBorders>
            <w:vAlign w:val="center"/>
          </w:tcPr>
          <w:p w:rsidR="003E6588" w:rsidRDefault="003E6588">
            <w:pPr>
              <w:rPr>
                <w:b/>
                <w:sz w:val="20"/>
                <w:szCs w:val="20"/>
              </w:rPr>
            </w:pPr>
            <w:r>
              <w:rPr>
                <w:b/>
                <w:sz w:val="20"/>
                <w:szCs w:val="20"/>
              </w:rPr>
              <w:t>Unidade</w:t>
            </w:r>
          </w:p>
        </w:tc>
        <w:tc>
          <w:tcPr>
            <w:tcW w:w="1158" w:type="dxa"/>
            <w:tcBorders>
              <w:top w:val="single" w:sz="8" w:space="0" w:color="auto"/>
              <w:bottom w:val="single" w:sz="8" w:space="0" w:color="auto"/>
            </w:tcBorders>
          </w:tcPr>
          <w:p w:rsidR="003E6588" w:rsidRDefault="003E6588">
            <w:pPr>
              <w:rPr>
                <w:b/>
                <w:sz w:val="20"/>
                <w:szCs w:val="20"/>
              </w:rPr>
            </w:pPr>
          </w:p>
        </w:tc>
      </w:tr>
      <w:tr w:rsidR="003E6588" w:rsidTr="000044B0">
        <w:trPr>
          <w:trHeight w:val="45"/>
          <w:jc w:val="center"/>
        </w:trPr>
        <w:tc>
          <w:tcPr>
            <w:tcW w:w="4820" w:type="dxa"/>
            <w:tcBorders>
              <w:top w:val="single" w:sz="8" w:space="0" w:color="auto"/>
            </w:tcBorders>
            <w:vAlign w:val="center"/>
          </w:tcPr>
          <w:p w:rsidR="003E6588" w:rsidRDefault="003E6588">
            <w:pPr>
              <w:jc w:val="both"/>
              <w:rPr>
                <w:sz w:val="20"/>
                <w:szCs w:val="20"/>
              </w:rPr>
            </w:pPr>
            <w:r>
              <w:rPr>
                <w:sz w:val="20"/>
                <w:szCs w:val="20"/>
              </w:rPr>
              <w:t>Número de focos atendidos</w:t>
            </w:r>
          </w:p>
        </w:tc>
        <w:tc>
          <w:tcPr>
            <w:tcW w:w="1984" w:type="dxa"/>
            <w:tcBorders>
              <w:top w:val="single" w:sz="8" w:space="0" w:color="auto"/>
            </w:tcBorders>
            <w:vAlign w:val="center"/>
          </w:tcPr>
          <w:p w:rsidR="003E6588" w:rsidRDefault="003E6588">
            <w:pPr>
              <w:jc w:val="both"/>
              <w:rPr>
                <w:sz w:val="20"/>
                <w:szCs w:val="20"/>
              </w:rPr>
            </w:pPr>
            <w:r>
              <w:rPr>
                <w:sz w:val="20"/>
                <w:szCs w:val="20"/>
              </w:rPr>
              <w:t>Focos</w:t>
            </w:r>
          </w:p>
        </w:tc>
        <w:tc>
          <w:tcPr>
            <w:tcW w:w="1158" w:type="dxa"/>
            <w:tcBorders>
              <w:top w:val="single" w:sz="8" w:space="0" w:color="auto"/>
            </w:tcBorders>
            <w:vAlign w:val="center"/>
          </w:tcPr>
          <w:p w:rsidR="003E6588" w:rsidRDefault="003E6588">
            <w:pPr>
              <w:rPr>
                <w:sz w:val="20"/>
                <w:szCs w:val="20"/>
              </w:rPr>
            </w:pPr>
            <w:r>
              <w:rPr>
                <w:sz w:val="20"/>
                <w:szCs w:val="20"/>
              </w:rPr>
              <w:t>232</w:t>
            </w:r>
          </w:p>
        </w:tc>
      </w:tr>
      <w:tr w:rsidR="003E6588">
        <w:trPr>
          <w:trHeight w:val="94"/>
          <w:jc w:val="center"/>
        </w:trPr>
        <w:tc>
          <w:tcPr>
            <w:tcW w:w="4820" w:type="dxa"/>
            <w:vAlign w:val="center"/>
          </w:tcPr>
          <w:p w:rsidR="003E6588" w:rsidRDefault="003E6588">
            <w:pPr>
              <w:jc w:val="both"/>
              <w:rPr>
                <w:sz w:val="20"/>
                <w:szCs w:val="20"/>
              </w:rPr>
            </w:pPr>
            <w:r>
              <w:rPr>
                <w:sz w:val="20"/>
                <w:szCs w:val="20"/>
              </w:rPr>
              <w:t>Controle da população de morcegos hematófagos</w:t>
            </w:r>
          </w:p>
        </w:tc>
        <w:tc>
          <w:tcPr>
            <w:tcW w:w="1984" w:type="dxa"/>
            <w:vAlign w:val="center"/>
          </w:tcPr>
          <w:p w:rsidR="003E6588" w:rsidRDefault="003E6588">
            <w:pPr>
              <w:jc w:val="both"/>
              <w:rPr>
                <w:sz w:val="20"/>
                <w:szCs w:val="20"/>
              </w:rPr>
            </w:pPr>
            <w:r>
              <w:rPr>
                <w:sz w:val="20"/>
                <w:szCs w:val="20"/>
              </w:rPr>
              <w:t>Morcegos capturados</w:t>
            </w:r>
          </w:p>
        </w:tc>
        <w:tc>
          <w:tcPr>
            <w:tcW w:w="1158" w:type="dxa"/>
            <w:vAlign w:val="center"/>
          </w:tcPr>
          <w:p w:rsidR="003E6588" w:rsidRDefault="003E6588">
            <w:pPr>
              <w:rPr>
                <w:sz w:val="20"/>
                <w:szCs w:val="20"/>
              </w:rPr>
            </w:pPr>
            <w:r>
              <w:rPr>
                <w:sz w:val="20"/>
                <w:szCs w:val="20"/>
              </w:rPr>
              <w:t>10.186</w:t>
            </w:r>
          </w:p>
        </w:tc>
      </w:tr>
      <w:tr w:rsidR="003E6588" w:rsidTr="000044B0">
        <w:trPr>
          <w:trHeight w:val="54"/>
          <w:jc w:val="center"/>
        </w:trPr>
        <w:tc>
          <w:tcPr>
            <w:tcW w:w="4820" w:type="dxa"/>
            <w:tcBorders>
              <w:bottom w:val="nil"/>
            </w:tcBorders>
            <w:vAlign w:val="center"/>
          </w:tcPr>
          <w:p w:rsidR="003E6588" w:rsidRDefault="003E6588">
            <w:pPr>
              <w:jc w:val="both"/>
              <w:rPr>
                <w:sz w:val="20"/>
                <w:szCs w:val="20"/>
              </w:rPr>
            </w:pPr>
            <w:r>
              <w:rPr>
                <w:sz w:val="20"/>
                <w:szCs w:val="20"/>
              </w:rPr>
              <w:t>Adesão ao modelo de mutirões</w:t>
            </w:r>
          </w:p>
        </w:tc>
        <w:tc>
          <w:tcPr>
            <w:tcW w:w="1984" w:type="dxa"/>
            <w:tcBorders>
              <w:bottom w:val="nil"/>
            </w:tcBorders>
            <w:vAlign w:val="center"/>
          </w:tcPr>
          <w:p w:rsidR="003E6588" w:rsidRDefault="003E6588">
            <w:pPr>
              <w:jc w:val="both"/>
              <w:rPr>
                <w:sz w:val="20"/>
                <w:szCs w:val="20"/>
              </w:rPr>
            </w:pPr>
            <w:r>
              <w:rPr>
                <w:sz w:val="20"/>
                <w:szCs w:val="20"/>
              </w:rPr>
              <w:t>Regionais</w:t>
            </w:r>
          </w:p>
        </w:tc>
        <w:tc>
          <w:tcPr>
            <w:tcW w:w="1158" w:type="dxa"/>
            <w:tcBorders>
              <w:bottom w:val="nil"/>
            </w:tcBorders>
            <w:vAlign w:val="center"/>
          </w:tcPr>
          <w:p w:rsidR="003E6588" w:rsidRDefault="003E6588">
            <w:pPr>
              <w:rPr>
                <w:sz w:val="20"/>
                <w:szCs w:val="20"/>
              </w:rPr>
            </w:pPr>
            <w:r>
              <w:rPr>
                <w:sz w:val="20"/>
                <w:szCs w:val="20"/>
              </w:rPr>
              <w:t>35</w:t>
            </w:r>
          </w:p>
        </w:tc>
      </w:tr>
      <w:tr w:rsidR="003E6588" w:rsidTr="000044B0">
        <w:trPr>
          <w:trHeight w:val="57"/>
          <w:jc w:val="center"/>
        </w:trPr>
        <w:tc>
          <w:tcPr>
            <w:tcW w:w="4820" w:type="dxa"/>
            <w:tcBorders>
              <w:top w:val="nil"/>
              <w:bottom w:val="single" w:sz="8" w:space="0" w:color="auto"/>
            </w:tcBorders>
            <w:vAlign w:val="center"/>
          </w:tcPr>
          <w:p w:rsidR="003E6588" w:rsidRDefault="003E6588">
            <w:pPr>
              <w:jc w:val="both"/>
              <w:rPr>
                <w:sz w:val="20"/>
                <w:szCs w:val="20"/>
              </w:rPr>
            </w:pPr>
            <w:r>
              <w:rPr>
                <w:sz w:val="20"/>
                <w:szCs w:val="20"/>
              </w:rPr>
              <w:t>Inspeção em abrigos de morcegos hematófagos</w:t>
            </w:r>
          </w:p>
        </w:tc>
        <w:tc>
          <w:tcPr>
            <w:tcW w:w="1984" w:type="dxa"/>
            <w:tcBorders>
              <w:top w:val="nil"/>
              <w:bottom w:val="single" w:sz="8" w:space="0" w:color="auto"/>
            </w:tcBorders>
            <w:vAlign w:val="center"/>
          </w:tcPr>
          <w:p w:rsidR="003E6588" w:rsidRDefault="003E6588">
            <w:pPr>
              <w:jc w:val="both"/>
              <w:rPr>
                <w:sz w:val="20"/>
                <w:szCs w:val="20"/>
              </w:rPr>
            </w:pPr>
            <w:r>
              <w:rPr>
                <w:sz w:val="20"/>
                <w:szCs w:val="20"/>
              </w:rPr>
              <w:t>Nº de abrigos</w:t>
            </w:r>
          </w:p>
        </w:tc>
        <w:tc>
          <w:tcPr>
            <w:tcW w:w="1158" w:type="dxa"/>
            <w:tcBorders>
              <w:top w:val="nil"/>
              <w:bottom w:val="single" w:sz="8" w:space="0" w:color="auto"/>
            </w:tcBorders>
            <w:vAlign w:val="center"/>
          </w:tcPr>
          <w:p w:rsidR="003E6588" w:rsidRDefault="003E6588">
            <w:pPr>
              <w:rPr>
                <w:sz w:val="20"/>
                <w:szCs w:val="20"/>
              </w:rPr>
            </w:pPr>
            <w:r>
              <w:rPr>
                <w:sz w:val="20"/>
                <w:szCs w:val="20"/>
              </w:rPr>
              <w:t>5.131</w:t>
            </w:r>
          </w:p>
        </w:tc>
      </w:tr>
    </w:tbl>
    <w:p w:rsidR="003E6588" w:rsidRDefault="003E6588">
      <w:pPr>
        <w:jc w:val="both"/>
        <w:rPr>
          <w:b/>
          <w:noProof/>
        </w:rPr>
      </w:pPr>
    </w:p>
    <w:p w:rsidR="003E6588" w:rsidRPr="003A58A6" w:rsidRDefault="003E6588">
      <w:pPr>
        <w:ind w:firstLine="1134"/>
        <w:jc w:val="both"/>
      </w:pPr>
      <w:r w:rsidRPr="003A58A6">
        <w:rPr>
          <w:b/>
        </w:rPr>
        <w:t>Controle e Erradicação da Brucelose e Tuberculose -</w:t>
      </w:r>
      <w:r w:rsidRPr="003A58A6">
        <w:t xml:space="preserve"> As medidas utilizadas para atingir os objetivos do Plano Plurianual 2012-1025 são: </w:t>
      </w:r>
      <w:r w:rsidR="003A58A6" w:rsidRPr="003A58A6">
        <w:t xml:space="preserve">vacinação </w:t>
      </w:r>
      <w:r w:rsidRPr="003A58A6">
        <w:t>contra brucelose das fêmeas de bovídeos entre 3 e 8 meses de idade e controle de trânsito.</w:t>
      </w:r>
    </w:p>
    <w:p w:rsidR="003E6588" w:rsidRPr="000044B0" w:rsidRDefault="003E6588">
      <w:pPr>
        <w:ind w:firstLine="1134"/>
        <w:jc w:val="both"/>
      </w:pPr>
    </w:p>
    <w:p w:rsidR="003E6588" w:rsidRPr="003A58A6" w:rsidRDefault="003A58A6">
      <w:pPr>
        <w:ind w:firstLine="1134"/>
        <w:jc w:val="both"/>
      </w:pPr>
      <w:r w:rsidRPr="003A58A6">
        <w:t>É</w:t>
      </w:r>
      <w:r w:rsidR="003E6588" w:rsidRPr="003A58A6">
        <w:t xml:space="preserve"> incentivada a adesão voluntária dos criadores para desenvolvimento de ações</w:t>
      </w:r>
      <w:r w:rsidRPr="003A58A6">
        <w:t>,</w:t>
      </w:r>
      <w:r w:rsidR="003E6588" w:rsidRPr="003A58A6">
        <w:t xml:space="preserve"> de maneira que tenham suas propriedades certificadas livres e monitoradas para essas doenças. Como a vacinação contra a brucelose exige a responsabilidade de médicos veterinários, a CDA credencia profissionais da iniciativa privada para tal atividade</w:t>
      </w:r>
      <w:r w:rsidR="003E6588" w:rsidRPr="003A58A6">
        <w:rPr>
          <w:bCs/>
        </w:rPr>
        <w:t>.</w:t>
      </w:r>
    </w:p>
    <w:p w:rsidR="003E6588" w:rsidRDefault="003E6588">
      <w:pPr>
        <w:jc w:val="both"/>
      </w:pPr>
    </w:p>
    <w:p w:rsidR="003E6588" w:rsidRPr="000B028A" w:rsidRDefault="003E6588">
      <w:pPr>
        <w:ind w:firstLine="1134"/>
        <w:jc w:val="both"/>
        <w:rPr>
          <w:b/>
          <w:bCs/>
        </w:rPr>
      </w:pPr>
      <w:r w:rsidRPr="000B028A">
        <w:rPr>
          <w:b/>
          <w:bCs/>
        </w:rPr>
        <w:t>Controle e erradicação da brucelose e da tuberculose</w:t>
      </w:r>
    </w:p>
    <w:p w:rsidR="003E6588" w:rsidRPr="000B028A" w:rsidRDefault="003E6588">
      <w:pPr>
        <w:jc w:val="both"/>
      </w:pPr>
    </w:p>
    <w:tbl>
      <w:tblPr>
        <w:tblW w:w="4622" w:type="pct"/>
        <w:jc w:val="center"/>
        <w:tblCellMar>
          <w:left w:w="0" w:type="dxa"/>
          <w:right w:w="0" w:type="dxa"/>
        </w:tblCellMar>
        <w:tblLook w:val="0000"/>
      </w:tblPr>
      <w:tblGrid>
        <w:gridCol w:w="4714"/>
        <w:gridCol w:w="2528"/>
        <w:gridCol w:w="2106"/>
      </w:tblGrid>
      <w:tr w:rsidR="003E6588" w:rsidTr="000044B0">
        <w:trPr>
          <w:trHeight w:val="178"/>
          <w:jc w:val="center"/>
        </w:trPr>
        <w:tc>
          <w:tcPr>
            <w:tcW w:w="4030" w:type="dxa"/>
            <w:tcBorders>
              <w:top w:val="single" w:sz="8" w:space="0" w:color="auto"/>
              <w:left w:val="nil"/>
              <w:bottom w:val="single" w:sz="8" w:space="0" w:color="auto"/>
              <w:right w:val="nil"/>
            </w:tcBorders>
            <w:tcMar>
              <w:top w:w="0" w:type="dxa"/>
              <w:left w:w="70" w:type="dxa"/>
              <w:bottom w:w="0" w:type="dxa"/>
              <w:right w:w="70" w:type="dxa"/>
            </w:tcMar>
          </w:tcPr>
          <w:p w:rsidR="003E6588" w:rsidRDefault="003E6588">
            <w:pPr>
              <w:rPr>
                <w:b/>
                <w:sz w:val="20"/>
                <w:szCs w:val="20"/>
              </w:rPr>
            </w:pPr>
            <w:r>
              <w:rPr>
                <w:b/>
                <w:sz w:val="20"/>
                <w:szCs w:val="20"/>
              </w:rPr>
              <w:t>Produto/indicador</w:t>
            </w:r>
          </w:p>
        </w:tc>
        <w:tc>
          <w:tcPr>
            <w:tcW w:w="2161" w:type="dxa"/>
            <w:tcBorders>
              <w:top w:val="single" w:sz="8" w:space="0" w:color="auto"/>
              <w:left w:val="nil"/>
              <w:bottom w:val="single" w:sz="8" w:space="0" w:color="auto"/>
              <w:right w:val="nil"/>
            </w:tcBorders>
            <w:tcMar>
              <w:top w:w="0" w:type="dxa"/>
              <w:left w:w="70" w:type="dxa"/>
              <w:bottom w:w="0" w:type="dxa"/>
              <w:right w:w="70" w:type="dxa"/>
            </w:tcMar>
            <w:vAlign w:val="center"/>
          </w:tcPr>
          <w:p w:rsidR="003E6588" w:rsidRDefault="003E6588">
            <w:pPr>
              <w:rPr>
                <w:b/>
                <w:sz w:val="20"/>
                <w:szCs w:val="20"/>
              </w:rPr>
            </w:pPr>
            <w:r>
              <w:rPr>
                <w:b/>
                <w:bCs/>
                <w:sz w:val="20"/>
                <w:szCs w:val="20"/>
              </w:rPr>
              <w:t>Unidade</w:t>
            </w:r>
          </w:p>
        </w:tc>
        <w:tc>
          <w:tcPr>
            <w:tcW w:w="1800" w:type="dxa"/>
            <w:tcBorders>
              <w:top w:val="single" w:sz="8" w:space="0" w:color="auto"/>
              <w:left w:val="nil"/>
              <w:bottom w:val="single" w:sz="8" w:space="0" w:color="auto"/>
              <w:right w:val="nil"/>
            </w:tcBorders>
            <w:tcMar>
              <w:top w:w="0" w:type="dxa"/>
              <w:left w:w="70" w:type="dxa"/>
              <w:bottom w:w="0" w:type="dxa"/>
              <w:right w:w="70" w:type="dxa"/>
            </w:tcMar>
            <w:vAlign w:val="center"/>
          </w:tcPr>
          <w:p w:rsidR="003E6588" w:rsidRDefault="003E6588">
            <w:pPr>
              <w:rPr>
                <w:b/>
                <w:sz w:val="20"/>
                <w:szCs w:val="20"/>
              </w:rPr>
            </w:pPr>
          </w:p>
        </w:tc>
      </w:tr>
      <w:tr w:rsidR="003E6588" w:rsidTr="000044B0">
        <w:trPr>
          <w:trHeight w:val="210"/>
          <w:jc w:val="center"/>
        </w:trPr>
        <w:tc>
          <w:tcPr>
            <w:tcW w:w="4030" w:type="dxa"/>
            <w:tcBorders>
              <w:top w:val="single" w:sz="8" w:space="0" w:color="auto"/>
            </w:tcBorders>
            <w:tcMar>
              <w:top w:w="0" w:type="dxa"/>
              <w:left w:w="70" w:type="dxa"/>
              <w:bottom w:w="0" w:type="dxa"/>
              <w:right w:w="70" w:type="dxa"/>
            </w:tcMar>
            <w:vAlign w:val="bottom"/>
          </w:tcPr>
          <w:p w:rsidR="003E6588" w:rsidRDefault="003E6588">
            <w:pPr>
              <w:jc w:val="both"/>
              <w:rPr>
                <w:sz w:val="20"/>
                <w:szCs w:val="20"/>
              </w:rPr>
            </w:pPr>
            <w:r>
              <w:rPr>
                <w:sz w:val="20"/>
                <w:szCs w:val="20"/>
              </w:rPr>
              <w:t>Livres Certificadas</w:t>
            </w:r>
          </w:p>
        </w:tc>
        <w:tc>
          <w:tcPr>
            <w:tcW w:w="2161" w:type="dxa"/>
            <w:tcBorders>
              <w:top w:val="single" w:sz="8" w:space="0" w:color="auto"/>
            </w:tcBorders>
            <w:tcMar>
              <w:top w:w="0" w:type="dxa"/>
              <w:left w:w="70" w:type="dxa"/>
              <w:bottom w:w="0" w:type="dxa"/>
              <w:right w:w="70" w:type="dxa"/>
            </w:tcMar>
            <w:vAlign w:val="center"/>
          </w:tcPr>
          <w:p w:rsidR="003E6588" w:rsidRDefault="003E6588">
            <w:pPr>
              <w:jc w:val="both"/>
              <w:rPr>
                <w:sz w:val="20"/>
                <w:szCs w:val="20"/>
              </w:rPr>
            </w:pPr>
            <w:r>
              <w:rPr>
                <w:sz w:val="20"/>
                <w:szCs w:val="20"/>
              </w:rPr>
              <w:t>Propriedade</w:t>
            </w:r>
          </w:p>
        </w:tc>
        <w:tc>
          <w:tcPr>
            <w:tcW w:w="1800" w:type="dxa"/>
            <w:tcBorders>
              <w:top w:val="single" w:sz="8" w:space="0" w:color="auto"/>
            </w:tcBorders>
            <w:tcMar>
              <w:top w:w="0" w:type="dxa"/>
              <w:left w:w="70" w:type="dxa"/>
              <w:bottom w:w="0" w:type="dxa"/>
              <w:right w:w="70" w:type="dxa"/>
            </w:tcMar>
            <w:vAlign w:val="center"/>
          </w:tcPr>
          <w:p w:rsidR="003E6588" w:rsidRDefault="003E6588">
            <w:pPr>
              <w:rPr>
                <w:sz w:val="20"/>
                <w:szCs w:val="20"/>
              </w:rPr>
            </w:pPr>
            <w:r>
              <w:rPr>
                <w:sz w:val="20"/>
                <w:szCs w:val="20"/>
              </w:rPr>
              <w:t>16</w:t>
            </w:r>
          </w:p>
        </w:tc>
      </w:tr>
      <w:tr w:rsidR="003E6588">
        <w:trPr>
          <w:trHeight w:val="116"/>
          <w:jc w:val="center"/>
        </w:trPr>
        <w:tc>
          <w:tcPr>
            <w:tcW w:w="4030" w:type="dxa"/>
            <w:tcMar>
              <w:top w:w="0" w:type="dxa"/>
              <w:left w:w="70" w:type="dxa"/>
              <w:bottom w:w="0" w:type="dxa"/>
              <w:right w:w="70" w:type="dxa"/>
            </w:tcMar>
            <w:vAlign w:val="bottom"/>
          </w:tcPr>
          <w:p w:rsidR="003E6588" w:rsidRDefault="003E6588">
            <w:pPr>
              <w:jc w:val="both"/>
              <w:rPr>
                <w:sz w:val="20"/>
                <w:szCs w:val="20"/>
              </w:rPr>
            </w:pPr>
            <w:r>
              <w:rPr>
                <w:sz w:val="20"/>
                <w:szCs w:val="20"/>
              </w:rPr>
              <w:t>Livres em Certificação</w:t>
            </w:r>
          </w:p>
        </w:tc>
        <w:tc>
          <w:tcPr>
            <w:tcW w:w="2161" w:type="dxa"/>
            <w:tcMar>
              <w:top w:w="0" w:type="dxa"/>
              <w:left w:w="70" w:type="dxa"/>
              <w:bottom w:w="0" w:type="dxa"/>
              <w:right w:w="70" w:type="dxa"/>
            </w:tcMar>
            <w:vAlign w:val="center"/>
          </w:tcPr>
          <w:p w:rsidR="003E6588" w:rsidRDefault="003E6588">
            <w:pPr>
              <w:jc w:val="both"/>
              <w:rPr>
                <w:sz w:val="20"/>
                <w:szCs w:val="20"/>
              </w:rPr>
            </w:pPr>
            <w:r>
              <w:rPr>
                <w:sz w:val="20"/>
                <w:szCs w:val="20"/>
              </w:rPr>
              <w:t>Propriedade</w:t>
            </w:r>
          </w:p>
        </w:tc>
        <w:tc>
          <w:tcPr>
            <w:tcW w:w="1800" w:type="dxa"/>
            <w:tcMar>
              <w:top w:w="0" w:type="dxa"/>
              <w:left w:w="70" w:type="dxa"/>
              <w:bottom w:w="0" w:type="dxa"/>
              <w:right w:w="70" w:type="dxa"/>
            </w:tcMar>
            <w:vAlign w:val="center"/>
          </w:tcPr>
          <w:p w:rsidR="003E6588" w:rsidRDefault="003E6588">
            <w:pPr>
              <w:rPr>
                <w:sz w:val="20"/>
                <w:szCs w:val="20"/>
              </w:rPr>
            </w:pPr>
            <w:r>
              <w:rPr>
                <w:sz w:val="20"/>
                <w:szCs w:val="20"/>
              </w:rPr>
              <w:t>68</w:t>
            </w:r>
          </w:p>
        </w:tc>
      </w:tr>
      <w:tr w:rsidR="003E6588">
        <w:trPr>
          <w:trHeight w:val="176"/>
          <w:jc w:val="center"/>
        </w:trPr>
        <w:tc>
          <w:tcPr>
            <w:tcW w:w="4030" w:type="dxa"/>
            <w:tcMar>
              <w:top w:w="0" w:type="dxa"/>
              <w:left w:w="70" w:type="dxa"/>
              <w:bottom w:w="0" w:type="dxa"/>
              <w:right w:w="70" w:type="dxa"/>
            </w:tcMar>
            <w:vAlign w:val="bottom"/>
          </w:tcPr>
          <w:p w:rsidR="003E6588" w:rsidRDefault="003E6588">
            <w:pPr>
              <w:jc w:val="both"/>
              <w:rPr>
                <w:sz w:val="20"/>
                <w:szCs w:val="20"/>
              </w:rPr>
            </w:pPr>
            <w:r>
              <w:rPr>
                <w:sz w:val="20"/>
                <w:szCs w:val="20"/>
              </w:rPr>
              <w:t>Monitorada Certificada</w:t>
            </w:r>
          </w:p>
        </w:tc>
        <w:tc>
          <w:tcPr>
            <w:tcW w:w="2161" w:type="dxa"/>
            <w:tcMar>
              <w:top w:w="0" w:type="dxa"/>
              <w:left w:w="70" w:type="dxa"/>
              <w:bottom w:w="0" w:type="dxa"/>
              <w:right w:w="70" w:type="dxa"/>
            </w:tcMar>
            <w:vAlign w:val="center"/>
          </w:tcPr>
          <w:p w:rsidR="003E6588" w:rsidRDefault="003E6588">
            <w:pPr>
              <w:jc w:val="both"/>
              <w:rPr>
                <w:sz w:val="20"/>
                <w:szCs w:val="20"/>
              </w:rPr>
            </w:pPr>
            <w:r>
              <w:rPr>
                <w:sz w:val="20"/>
                <w:szCs w:val="20"/>
              </w:rPr>
              <w:t>Propriedade</w:t>
            </w:r>
          </w:p>
        </w:tc>
        <w:tc>
          <w:tcPr>
            <w:tcW w:w="1800" w:type="dxa"/>
            <w:tcMar>
              <w:top w:w="0" w:type="dxa"/>
              <w:left w:w="70" w:type="dxa"/>
              <w:bottom w:w="0" w:type="dxa"/>
              <w:right w:w="70" w:type="dxa"/>
            </w:tcMar>
            <w:vAlign w:val="center"/>
          </w:tcPr>
          <w:p w:rsidR="003E6588" w:rsidRDefault="003E6588">
            <w:pPr>
              <w:rPr>
                <w:sz w:val="20"/>
                <w:szCs w:val="20"/>
              </w:rPr>
            </w:pPr>
            <w:r>
              <w:rPr>
                <w:sz w:val="20"/>
                <w:szCs w:val="20"/>
              </w:rPr>
              <w:t>01</w:t>
            </w:r>
          </w:p>
        </w:tc>
      </w:tr>
      <w:tr w:rsidR="003E6588">
        <w:trPr>
          <w:trHeight w:val="79"/>
          <w:jc w:val="center"/>
        </w:trPr>
        <w:tc>
          <w:tcPr>
            <w:tcW w:w="4030" w:type="dxa"/>
            <w:tcMar>
              <w:top w:w="0" w:type="dxa"/>
              <w:left w:w="70" w:type="dxa"/>
              <w:bottom w:w="0" w:type="dxa"/>
              <w:right w:w="70" w:type="dxa"/>
            </w:tcMar>
            <w:vAlign w:val="bottom"/>
          </w:tcPr>
          <w:p w:rsidR="003E6588" w:rsidRDefault="003E6588">
            <w:pPr>
              <w:jc w:val="both"/>
              <w:rPr>
                <w:sz w:val="20"/>
                <w:szCs w:val="20"/>
              </w:rPr>
            </w:pPr>
            <w:r>
              <w:rPr>
                <w:sz w:val="20"/>
                <w:szCs w:val="20"/>
              </w:rPr>
              <w:t>Credenciados</w:t>
            </w:r>
          </w:p>
        </w:tc>
        <w:tc>
          <w:tcPr>
            <w:tcW w:w="2161" w:type="dxa"/>
            <w:tcMar>
              <w:top w:w="0" w:type="dxa"/>
              <w:left w:w="70" w:type="dxa"/>
              <w:bottom w:w="0" w:type="dxa"/>
              <w:right w:w="70" w:type="dxa"/>
            </w:tcMar>
            <w:vAlign w:val="center"/>
          </w:tcPr>
          <w:p w:rsidR="003E6588" w:rsidRDefault="003E6588">
            <w:pPr>
              <w:jc w:val="both"/>
              <w:rPr>
                <w:sz w:val="20"/>
                <w:szCs w:val="20"/>
              </w:rPr>
            </w:pPr>
            <w:r>
              <w:rPr>
                <w:sz w:val="20"/>
                <w:szCs w:val="20"/>
              </w:rPr>
              <w:t>Méd. Veterinário</w:t>
            </w:r>
          </w:p>
        </w:tc>
        <w:tc>
          <w:tcPr>
            <w:tcW w:w="1800" w:type="dxa"/>
            <w:tcMar>
              <w:top w:w="0" w:type="dxa"/>
              <w:left w:w="70" w:type="dxa"/>
              <w:bottom w:w="0" w:type="dxa"/>
              <w:right w:w="70" w:type="dxa"/>
            </w:tcMar>
            <w:vAlign w:val="center"/>
          </w:tcPr>
          <w:p w:rsidR="003E6588" w:rsidRDefault="003E6588">
            <w:pPr>
              <w:rPr>
                <w:sz w:val="20"/>
                <w:szCs w:val="20"/>
              </w:rPr>
            </w:pPr>
            <w:r>
              <w:rPr>
                <w:sz w:val="20"/>
                <w:szCs w:val="20"/>
              </w:rPr>
              <w:t>2847</w:t>
            </w:r>
          </w:p>
        </w:tc>
      </w:tr>
      <w:tr w:rsidR="003E6588" w:rsidTr="000044B0">
        <w:trPr>
          <w:trHeight w:val="140"/>
          <w:jc w:val="center"/>
        </w:trPr>
        <w:tc>
          <w:tcPr>
            <w:tcW w:w="4030" w:type="dxa"/>
            <w:tcMar>
              <w:top w:w="0" w:type="dxa"/>
              <w:left w:w="70" w:type="dxa"/>
              <w:bottom w:w="0" w:type="dxa"/>
              <w:right w:w="70" w:type="dxa"/>
            </w:tcMar>
            <w:vAlign w:val="bottom"/>
          </w:tcPr>
          <w:p w:rsidR="003E6588" w:rsidRDefault="003E6588">
            <w:pPr>
              <w:jc w:val="both"/>
              <w:rPr>
                <w:sz w:val="20"/>
                <w:szCs w:val="20"/>
              </w:rPr>
            </w:pPr>
            <w:r>
              <w:rPr>
                <w:sz w:val="20"/>
                <w:szCs w:val="20"/>
              </w:rPr>
              <w:t>Vacinadas (%)</w:t>
            </w:r>
          </w:p>
        </w:tc>
        <w:tc>
          <w:tcPr>
            <w:tcW w:w="2161" w:type="dxa"/>
            <w:tcMar>
              <w:top w:w="0" w:type="dxa"/>
              <w:left w:w="70" w:type="dxa"/>
              <w:bottom w:w="0" w:type="dxa"/>
              <w:right w:w="70" w:type="dxa"/>
            </w:tcMar>
            <w:vAlign w:val="center"/>
          </w:tcPr>
          <w:p w:rsidR="003E6588" w:rsidRDefault="003E6588">
            <w:pPr>
              <w:jc w:val="both"/>
              <w:rPr>
                <w:sz w:val="20"/>
                <w:szCs w:val="20"/>
              </w:rPr>
            </w:pPr>
            <w:r>
              <w:rPr>
                <w:sz w:val="20"/>
                <w:szCs w:val="20"/>
              </w:rPr>
              <w:t>Propriedade</w:t>
            </w:r>
          </w:p>
        </w:tc>
        <w:tc>
          <w:tcPr>
            <w:tcW w:w="1800" w:type="dxa"/>
            <w:tcMar>
              <w:top w:w="0" w:type="dxa"/>
              <w:left w:w="70" w:type="dxa"/>
              <w:bottom w:w="0" w:type="dxa"/>
              <w:right w:w="70" w:type="dxa"/>
            </w:tcMar>
            <w:vAlign w:val="center"/>
          </w:tcPr>
          <w:p w:rsidR="003E6588" w:rsidRDefault="003E6588">
            <w:pPr>
              <w:rPr>
                <w:sz w:val="20"/>
                <w:szCs w:val="20"/>
              </w:rPr>
            </w:pPr>
            <w:r>
              <w:rPr>
                <w:sz w:val="20"/>
                <w:szCs w:val="20"/>
              </w:rPr>
              <w:t>80,76</w:t>
            </w:r>
          </w:p>
        </w:tc>
      </w:tr>
      <w:tr w:rsidR="003E6588" w:rsidTr="000044B0">
        <w:trPr>
          <w:trHeight w:val="186"/>
          <w:jc w:val="center"/>
        </w:trPr>
        <w:tc>
          <w:tcPr>
            <w:tcW w:w="4030" w:type="dxa"/>
            <w:tcBorders>
              <w:bottom w:val="single" w:sz="8" w:space="0" w:color="auto"/>
            </w:tcBorders>
            <w:tcMar>
              <w:top w:w="0" w:type="dxa"/>
              <w:left w:w="70" w:type="dxa"/>
              <w:bottom w:w="0" w:type="dxa"/>
              <w:right w:w="70" w:type="dxa"/>
            </w:tcMar>
            <w:vAlign w:val="bottom"/>
          </w:tcPr>
          <w:p w:rsidR="003E6588" w:rsidRDefault="003E6588">
            <w:pPr>
              <w:jc w:val="both"/>
              <w:rPr>
                <w:sz w:val="20"/>
                <w:szCs w:val="20"/>
              </w:rPr>
            </w:pPr>
            <w:r>
              <w:rPr>
                <w:sz w:val="20"/>
                <w:szCs w:val="20"/>
              </w:rPr>
              <w:t>Vacinadas (%)</w:t>
            </w:r>
          </w:p>
        </w:tc>
        <w:tc>
          <w:tcPr>
            <w:tcW w:w="2161" w:type="dxa"/>
            <w:tcBorders>
              <w:bottom w:val="single" w:sz="8" w:space="0" w:color="auto"/>
            </w:tcBorders>
            <w:tcMar>
              <w:top w:w="0" w:type="dxa"/>
              <w:left w:w="70" w:type="dxa"/>
              <w:bottom w:w="0" w:type="dxa"/>
              <w:right w:w="70" w:type="dxa"/>
            </w:tcMar>
            <w:vAlign w:val="center"/>
          </w:tcPr>
          <w:p w:rsidR="003E6588" w:rsidRDefault="003E6588">
            <w:pPr>
              <w:jc w:val="both"/>
              <w:rPr>
                <w:sz w:val="20"/>
                <w:szCs w:val="20"/>
              </w:rPr>
            </w:pPr>
            <w:r>
              <w:rPr>
                <w:sz w:val="20"/>
                <w:szCs w:val="20"/>
              </w:rPr>
              <w:t>Bezerra</w:t>
            </w:r>
          </w:p>
        </w:tc>
        <w:tc>
          <w:tcPr>
            <w:tcW w:w="1800" w:type="dxa"/>
            <w:tcBorders>
              <w:bottom w:val="single" w:sz="8" w:space="0" w:color="auto"/>
            </w:tcBorders>
            <w:tcMar>
              <w:top w:w="0" w:type="dxa"/>
              <w:left w:w="70" w:type="dxa"/>
              <w:bottom w:w="0" w:type="dxa"/>
              <w:right w:w="70" w:type="dxa"/>
            </w:tcMar>
            <w:vAlign w:val="center"/>
          </w:tcPr>
          <w:p w:rsidR="003E6588" w:rsidRDefault="003E6588" w:rsidP="003A58A6">
            <w:pPr>
              <w:rPr>
                <w:sz w:val="20"/>
                <w:szCs w:val="20"/>
              </w:rPr>
            </w:pPr>
            <w:r>
              <w:rPr>
                <w:sz w:val="20"/>
                <w:szCs w:val="20"/>
              </w:rPr>
              <w:t>89,89</w:t>
            </w:r>
          </w:p>
        </w:tc>
      </w:tr>
    </w:tbl>
    <w:p w:rsidR="003E6588" w:rsidRPr="000B028A" w:rsidRDefault="003E6588">
      <w:pPr>
        <w:tabs>
          <w:tab w:val="left" w:pos="142"/>
        </w:tabs>
        <w:jc w:val="both"/>
      </w:pPr>
    </w:p>
    <w:p w:rsidR="003E6588" w:rsidRPr="005966EE" w:rsidRDefault="003E6588">
      <w:pPr>
        <w:ind w:firstLine="1134"/>
        <w:jc w:val="both"/>
      </w:pPr>
      <w:r w:rsidRPr="005966EE">
        <w:rPr>
          <w:b/>
        </w:rPr>
        <w:t xml:space="preserve">Sanidade Avícola - </w:t>
      </w:r>
      <w:r w:rsidRPr="005966EE">
        <w:t>Na sanidade avícola está implantado, em todo o Estado, trabalho de intensa vigilância da influenza aviária. É realizado por meio da captura de aves migratórias para detecção da doença em região denominada Complexo Lagunar de Iguape, Cananeia e Ilha Comprida</w:t>
      </w:r>
      <w:r w:rsidR="00AE169C" w:rsidRPr="005966EE">
        <w:t>,</w:t>
      </w:r>
      <w:r w:rsidRPr="005966EE">
        <w:t xml:space="preserve"> que se constitui em ponto de descanso (sítio) das aves migratórias. Na criação de aves de postura, uma das preocupações da CDA está na laringotraqueíte infecciosa das aves (LTI), doença exótica que assolou a região de Bastos e Guatapará, onde estão alojad</w:t>
      </w:r>
      <w:r w:rsidR="00AE169C" w:rsidRPr="005966EE">
        <w:t>o</w:t>
      </w:r>
      <w:r w:rsidRPr="005966EE">
        <w:t>s 20 milhões de galinhas de postura. A</w:t>
      </w:r>
      <w:r w:rsidR="005966EE" w:rsidRPr="005966EE">
        <w:t xml:space="preserve"> </w:t>
      </w:r>
      <w:r w:rsidRPr="005966EE">
        <w:t xml:space="preserve">doença está em fase de controle para entrar na fase de erradicação, o que levou a CDA </w:t>
      </w:r>
      <w:r w:rsidR="005966EE" w:rsidRPr="005966EE">
        <w:t>à</w:t>
      </w:r>
      <w:r w:rsidRPr="005966EE">
        <w:t xml:space="preserve"> adoç</w:t>
      </w:r>
      <w:r w:rsidR="005966EE" w:rsidRPr="005966EE">
        <w:t>ã</w:t>
      </w:r>
      <w:r w:rsidRPr="005966EE">
        <w:t>o de medidas preventivas, como fiscalização do trânsito, reuniões de educação sanitária com produtores e medidas de biosseguridade, ressaltando que</w:t>
      </w:r>
      <w:r w:rsidR="005966EE" w:rsidRPr="005966EE">
        <w:t xml:space="preserve">, </w:t>
      </w:r>
      <w:r w:rsidRPr="005966EE">
        <w:t>nas duas regiões envolvidas, não se utiliza vacinas vivas, que foram substituídas pelas recombinantes.</w:t>
      </w:r>
    </w:p>
    <w:p w:rsidR="003E6588" w:rsidRPr="005966EE" w:rsidRDefault="003E6588">
      <w:pPr>
        <w:ind w:firstLine="708"/>
        <w:jc w:val="both"/>
      </w:pPr>
    </w:p>
    <w:p w:rsidR="003E6588" w:rsidRPr="005966EE" w:rsidRDefault="003E6588">
      <w:pPr>
        <w:ind w:firstLine="1134"/>
        <w:jc w:val="both"/>
      </w:pPr>
      <w:r w:rsidRPr="005966EE">
        <w:t xml:space="preserve">A CDA atende a cadeia produtiva de aves de corte e postura, além das granjas de reprodução fornecedoras de matrizes para estas cadeias. </w:t>
      </w:r>
      <w:r w:rsidR="005966EE" w:rsidRPr="005966EE">
        <w:t xml:space="preserve">As </w:t>
      </w:r>
      <w:r w:rsidRPr="005966EE">
        <w:t xml:space="preserve">granjas de aves estão cadastradas na CDA e atendem às exigências sanitárias para salmoneloses, micoplasmoses, doença de </w:t>
      </w:r>
      <w:r w:rsidRPr="005966EE">
        <w:rPr>
          <w:i/>
        </w:rPr>
        <w:t>Newcastle</w:t>
      </w:r>
      <w:r w:rsidRPr="005966EE">
        <w:t xml:space="preserve"> e combate à influenza aviária. </w:t>
      </w:r>
      <w:r w:rsidR="005966EE" w:rsidRPr="005966EE">
        <w:t xml:space="preserve">Elas </w:t>
      </w:r>
      <w:r w:rsidRPr="005966EE">
        <w:t>são de notificação obrigatória e as granjas de reprodução são monitoradas a cada 120 dias. Existem 4,7 mil granjas cadastradas.</w:t>
      </w:r>
    </w:p>
    <w:p w:rsidR="003E6588" w:rsidRPr="000B028A" w:rsidRDefault="003E6588">
      <w:pPr>
        <w:ind w:firstLine="708"/>
        <w:jc w:val="both"/>
      </w:pPr>
    </w:p>
    <w:p w:rsidR="003E6588" w:rsidRPr="000B028A" w:rsidRDefault="003E6588">
      <w:pPr>
        <w:ind w:firstLine="1134"/>
        <w:jc w:val="both"/>
        <w:rPr>
          <w:b/>
        </w:rPr>
      </w:pPr>
      <w:r w:rsidRPr="000B028A">
        <w:rPr>
          <w:b/>
        </w:rPr>
        <w:t>Sanidade avícola</w:t>
      </w:r>
    </w:p>
    <w:p w:rsidR="003E6588" w:rsidRPr="000B028A" w:rsidRDefault="003E6588">
      <w:pPr>
        <w:jc w:val="both"/>
        <w:rPr>
          <w:b/>
        </w:rPr>
      </w:pPr>
    </w:p>
    <w:tbl>
      <w:tblPr>
        <w:tblW w:w="4972" w:type="pct"/>
        <w:tblInd w:w="55" w:type="dxa"/>
        <w:tblLayout w:type="fixed"/>
        <w:tblCellMar>
          <w:left w:w="70" w:type="dxa"/>
          <w:right w:w="70" w:type="dxa"/>
        </w:tblCellMar>
        <w:tblLook w:val="0000"/>
      </w:tblPr>
      <w:tblGrid>
        <w:gridCol w:w="6961"/>
        <w:gridCol w:w="2268"/>
        <w:gridCol w:w="826"/>
      </w:tblGrid>
      <w:tr w:rsidR="003E6588" w:rsidTr="000044B0">
        <w:trPr>
          <w:trHeight w:val="66"/>
          <w:tblHeader/>
        </w:trPr>
        <w:tc>
          <w:tcPr>
            <w:tcW w:w="6961" w:type="dxa"/>
            <w:tcBorders>
              <w:top w:val="single" w:sz="8" w:space="0" w:color="auto"/>
              <w:left w:val="nil"/>
              <w:bottom w:val="single" w:sz="8" w:space="0" w:color="auto"/>
            </w:tcBorders>
            <w:vAlign w:val="bottom"/>
          </w:tcPr>
          <w:p w:rsidR="003E6588" w:rsidRDefault="003E6588">
            <w:pPr>
              <w:rPr>
                <w:b/>
                <w:bCs/>
                <w:sz w:val="20"/>
                <w:szCs w:val="20"/>
              </w:rPr>
            </w:pPr>
            <w:r>
              <w:rPr>
                <w:b/>
                <w:bCs/>
                <w:sz w:val="20"/>
                <w:szCs w:val="20"/>
              </w:rPr>
              <w:lastRenderedPageBreak/>
              <w:t>Produto/Indicador</w:t>
            </w:r>
          </w:p>
        </w:tc>
        <w:tc>
          <w:tcPr>
            <w:tcW w:w="2268" w:type="dxa"/>
            <w:tcBorders>
              <w:top w:val="single" w:sz="8" w:space="0" w:color="auto"/>
              <w:bottom w:val="single" w:sz="8" w:space="0" w:color="auto"/>
            </w:tcBorders>
            <w:vAlign w:val="bottom"/>
          </w:tcPr>
          <w:p w:rsidR="003E6588" w:rsidRDefault="003E6588">
            <w:pPr>
              <w:rPr>
                <w:b/>
                <w:bCs/>
                <w:sz w:val="20"/>
                <w:szCs w:val="20"/>
              </w:rPr>
            </w:pPr>
            <w:r>
              <w:rPr>
                <w:b/>
                <w:bCs/>
                <w:sz w:val="20"/>
                <w:szCs w:val="20"/>
              </w:rPr>
              <w:t>Unidade</w:t>
            </w:r>
          </w:p>
        </w:tc>
        <w:tc>
          <w:tcPr>
            <w:tcW w:w="826" w:type="dxa"/>
            <w:tcBorders>
              <w:top w:val="single" w:sz="8" w:space="0" w:color="auto"/>
              <w:bottom w:val="single" w:sz="8" w:space="0" w:color="auto"/>
            </w:tcBorders>
            <w:vAlign w:val="center"/>
          </w:tcPr>
          <w:p w:rsidR="003E6588" w:rsidRDefault="003E6588">
            <w:pPr>
              <w:rPr>
                <w:b/>
                <w:bCs/>
                <w:sz w:val="20"/>
                <w:szCs w:val="20"/>
              </w:rPr>
            </w:pPr>
          </w:p>
        </w:tc>
      </w:tr>
      <w:tr w:rsidR="003E6588" w:rsidTr="000044B0">
        <w:trPr>
          <w:trHeight w:val="83"/>
        </w:trPr>
        <w:tc>
          <w:tcPr>
            <w:tcW w:w="6961" w:type="dxa"/>
            <w:tcBorders>
              <w:top w:val="single" w:sz="8" w:space="0" w:color="auto"/>
              <w:left w:val="nil"/>
            </w:tcBorders>
            <w:vAlign w:val="center"/>
          </w:tcPr>
          <w:p w:rsidR="003E6588" w:rsidRDefault="003E6588">
            <w:pPr>
              <w:jc w:val="both"/>
              <w:rPr>
                <w:sz w:val="20"/>
                <w:szCs w:val="20"/>
              </w:rPr>
            </w:pPr>
            <w:r>
              <w:rPr>
                <w:sz w:val="20"/>
                <w:szCs w:val="20"/>
              </w:rPr>
              <w:t>Propriedades cadastradas com aves e estabelecimentos de comércio de aves vivas</w:t>
            </w:r>
          </w:p>
        </w:tc>
        <w:tc>
          <w:tcPr>
            <w:tcW w:w="2268" w:type="dxa"/>
            <w:tcBorders>
              <w:top w:val="single" w:sz="8" w:space="0" w:color="auto"/>
            </w:tcBorders>
            <w:vAlign w:val="center"/>
          </w:tcPr>
          <w:p w:rsidR="003E6588" w:rsidRDefault="003E6588">
            <w:pPr>
              <w:ind w:right="-26"/>
              <w:jc w:val="both"/>
              <w:rPr>
                <w:sz w:val="20"/>
                <w:szCs w:val="20"/>
              </w:rPr>
            </w:pPr>
            <w:r>
              <w:rPr>
                <w:sz w:val="20"/>
                <w:szCs w:val="20"/>
              </w:rPr>
              <w:t>Prop./estabelecimentos</w:t>
            </w:r>
          </w:p>
        </w:tc>
        <w:tc>
          <w:tcPr>
            <w:tcW w:w="826" w:type="dxa"/>
            <w:tcBorders>
              <w:top w:val="single" w:sz="8" w:space="0" w:color="auto"/>
            </w:tcBorders>
            <w:vAlign w:val="center"/>
          </w:tcPr>
          <w:p w:rsidR="003E6588" w:rsidRDefault="003E6588">
            <w:pPr>
              <w:rPr>
                <w:sz w:val="20"/>
                <w:szCs w:val="20"/>
              </w:rPr>
            </w:pPr>
            <w:r>
              <w:rPr>
                <w:sz w:val="20"/>
                <w:szCs w:val="20"/>
              </w:rPr>
              <w:t>4.629</w:t>
            </w:r>
          </w:p>
        </w:tc>
      </w:tr>
      <w:tr w:rsidR="003E6588">
        <w:trPr>
          <w:trHeight w:val="132"/>
        </w:trPr>
        <w:tc>
          <w:tcPr>
            <w:tcW w:w="6961" w:type="dxa"/>
            <w:tcBorders>
              <w:top w:val="nil"/>
              <w:left w:val="nil"/>
            </w:tcBorders>
            <w:vAlign w:val="center"/>
          </w:tcPr>
          <w:p w:rsidR="003E6588" w:rsidRDefault="003E6588">
            <w:pPr>
              <w:jc w:val="both"/>
              <w:rPr>
                <w:sz w:val="20"/>
                <w:szCs w:val="20"/>
              </w:rPr>
            </w:pPr>
            <w:r>
              <w:rPr>
                <w:sz w:val="20"/>
                <w:szCs w:val="20"/>
              </w:rPr>
              <w:t>Registro de estabelecimentos de avicultura comercial</w:t>
            </w:r>
          </w:p>
        </w:tc>
        <w:tc>
          <w:tcPr>
            <w:tcW w:w="2268" w:type="dxa"/>
            <w:tcBorders>
              <w:top w:val="nil"/>
            </w:tcBorders>
            <w:vAlign w:val="center"/>
          </w:tcPr>
          <w:p w:rsidR="003E6588" w:rsidRDefault="003E6588">
            <w:pPr>
              <w:ind w:right="-168"/>
              <w:jc w:val="both"/>
              <w:rPr>
                <w:sz w:val="20"/>
                <w:szCs w:val="20"/>
              </w:rPr>
            </w:pPr>
            <w:r>
              <w:rPr>
                <w:sz w:val="20"/>
                <w:szCs w:val="20"/>
              </w:rPr>
              <w:t>Estabelecimentos</w:t>
            </w:r>
          </w:p>
        </w:tc>
        <w:tc>
          <w:tcPr>
            <w:tcW w:w="826" w:type="dxa"/>
            <w:tcBorders>
              <w:top w:val="nil"/>
            </w:tcBorders>
            <w:vAlign w:val="center"/>
          </w:tcPr>
          <w:p w:rsidR="003E6588" w:rsidRDefault="003E6588">
            <w:pPr>
              <w:rPr>
                <w:sz w:val="20"/>
                <w:szCs w:val="20"/>
              </w:rPr>
            </w:pPr>
            <w:r>
              <w:rPr>
                <w:sz w:val="20"/>
                <w:szCs w:val="20"/>
              </w:rPr>
              <w:t>288</w:t>
            </w:r>
          </w:p>
        </w:tc>
      </w:tr>
      <w:tr w:rsidR="003E6588">
        <w:trPr>
          <w:trHeight w:val="333"/>
        </w:trPr>
        <w:tc>
          <w:tcPr>
            <w:tcW w:w="6961" w:type="dxa"/>
            <w:tcBorders>
              <w:top w:val="nil"/>
              <w:left w:val="nil"/>
            </w:tcBorders>
            <w:vAlign w:val="center"/>
          </w:tcPr>
          <w:p w:rsidR="003E6588" w:rsidRDefault="003E6588">
            <w:pPr>
              <w:jc w:val="both"/>
              <w:rPr>
                <w:sz w:val="20"/>
                <w:szCs w:val="20"/>
              </w:rPr>
            </w:pPr>
            <w:r>
              <w:rPr>
                <w:sz w:val="20"/>
                <w:szCs w:val="20"/>
              </w:rPr>
              <w:t>Monitoramento sanitário em estabelecimentos de aves de produção comercial, de subsistência e silvestres</w:t>
            </w:r>
          </w:p>
        </w:tc>
        <w:tc>
          <w:tcPr>
            <w:tcW w:w="2268" w:type="dxa"/>
            <w:tcBorders>
              <w:top w:val="nil"/>
            </w:tcBorders>
            <w:vAlign w:val="center"/>
          </w:tcPr>
          <w:p w:rsidR="003E6588" w:rsidRDefault="003E6588">
            <w:pPr>
              <w:ind w:right="-26"/>
              <w:jc w:val="both"/>
              <w:rPr>
                <w:sz w:val="20"/>
                <w:szCs w:val="20"/>
              </w:rPr>
            </w:pPr>
            <w:r>
              <w:rPr>
                <w:sz w:val="20"/>
                <w:szCs w:val="20"/>
              </w:rPr>
              <w:t>Estabelecimentos</w:t>
            </w:r>
          </w:p>
        </w:tc>
        <w:tc>
          <w:tcPr>
            <w:tcW w:w="826" w:type="dxa"/>
            <w:tcBorders>
              <w:top w:val="nil"/>
            </w:tcBorders>
            <w:vAlign w:val="center"/>
          </w:tcPr>
          <w:p w:rsidR="003E6588" w:rsidRDefault="003E6588">
            <w:pPr>
              <w:rPr>
                <w:sz w:val="20"/>
                <w:szCs w:val="20"/>
              </w:rPr>
            </w:pPr>
            <w:r>
              <w:rPr>
                <w:sz w:val="20"/>
                <w:szCs w:val="20"/>
              </w:rPr>
              <w:t>40</w:t>
            </w:r>
          </w:p>
        </w:tc>
      </w:tr>
      <w:tr w:rsidR="003E6588">
        <w:trPr>
          <w:trHeight w:val="142"/>
        </w:trPr>
        <w:tc>
          <w:tcPr>
            <w:tcW w:w="6961" w:type="dxa"/>
            <w:tcBorders>
              <w:top w:val="nil"/>
              <w:left w:val="nil"/>
            </w:tcBorders>
            <w:vAlign w:val="center"/>
          </w:tcPr>
          <w:p w:rsidR="003E6588" w:rsidRDefault="003E6588">
            <w:pPr>
              <w:jc w:val="both"/>
              <w:rPr>
                <w:sz w:val="20"/>
                <w:szCs w:val="20"/>
              </w:rPr>
            </w:pPr>
            <w:r>
              <w:rPr>
                <w:sz w:val="20"/>
                <w:szCs w:val="20"/>
              </w:rPr>
              <w:t>Monitoramento sanitário em estabelecimentos de aves de reprodução</w:t>
            </w:r>
          </w:p>
        </w:tc>
        <w:tc>
          <w:tcPr>
            <w:tcW w:w="2268" w:type="dxa"/>
            <w:tcBorders>
              <w:top w:val="nil"/>
            </w:tcBorders>
            <w:vAlign w:val="center"/>
          </w:tcPr>
          <w:p w:rsidR="003E6588" w:rsidRDefault="003E6588">
            <w:pPr>
              <w:jc w:val="both"/>
              <w:rPr>
                <w:sz w:val="20"/>
                <w:szCs w:val="20"/>
              </w:rPr>
            </w:pPr>
            <w:r>
              <w:rPr>
                <w:sz w:val="20"/>
                <w:szCs w:val="20"/>
              </w:rPr>
              <w:t>Núcleos</w:t>
            </w:r>
          </w:p>
        </w:tc>
        <w:tc>
          <w:tcPr>
            <w:tcW w:w="826" w:type="dxa"/>
            <w:tcBorders>
              <w:top w:val="nil"/>
            </w:tcBorders>
            <w:vAlign w:val="center"/>
          </w:tcPr>
          <w:p w:rsidR="003E6588" w:rsidRDefault="003E6588">
            <w:pPr>
              <w:rPr>
                <w:sz w:val="20"/>
                <w:szCs w:val="20"/>
              </w:rPr>
            </w:pPr>
            <w:r>
              <w:rPr>
                <w:sz w:val="20"/>
                <w:szCs w:val="20"/>
              </w:rPr>
              <w:t>584</w:t>
            </w:r>
          </w:p>
        </w:tc>
      </w:tr>
      <w:tr w:rsidR="003E6588">
        <w:trPr>
          <w:trHeight w:val="202"/>
        </w:trPr>
        <w:tc>
          <w:tcPr>
            <w:tcW w:w="6961" w:type="dxa"/>
            <w:tcBorders>
              <w:top w:val="nil"/>
              <w:left w:val="nil"/>
            </w:tcBorders>
            <w:vAlign w:val="center"/>
          </w:tcPr>
          <w:p w:rsidR="003E6588" w:rsidRDefault="003E6588">
            <w:pPr>
              <w:jc w:val="both"/>
              <w:rPr>
                <w:sz w:val="20"/>
                <w:szCs w:val="20"/>
              </w:rPr>
            </w:pPr>
            <w:r>
              <w:rPr>
                <w:sz w:val="20"/>
                <w:szCs w:val="20"/>
              </w:rPr>
              <w:t>Atendimento a propriedades com notificação de suspeita de doença</w:t>
            </w:r>
          </w:p>
        </w:tc>
        <w:tc>
          <w:tcPr>
            <w:tcW w:w="2268" w:type="dxa"/>
            <w:tcBorders>
              <w:top w:val="nil"/>
            </w:tcBorders>
            <w:vAlign w:val="center"/>
          </w:tcPr>
          <w:p w:rsidR="003E6588" w:rsidRDefault="003E6588">
            <w:pPr>
              <w:jc w:val="both"/>
              <w:rPr>
                <w:sz w:val="20"/>
                <w:szCs w:val="20"/>
              </w:rPr>
            </w:pPr>
            <w:r>
              <w:rPr>
                <w:sz w:val="20"/>
                <w:szCs w:val="20"/>
              </w:rPr>
              <w:t>Propriedades</w:t>
            </w:r>
          </w:p>
        </w:tc>
        <w:tc>
          <w:tcPr>
            <w:tcW w:w="826" w:type="dxa"/>
            <w:tcBorders>
              <w:top w:val="nil"/>
            </w:tcBorders>
            <w:vAlign w:val="center"/>
          </w:tcPr>
          <w:p w:rsidR="003E6588" w:rsidRDefault="003E6588">
            <w:pPr>
              <w:rPr>
                <w:sz w:val="20"/>
                <w:szCs w:val="20"/>
              </w:rPr>
            </w:pPr>
            <w:r>
              <w:rPr>
                <w:sz w:val="20"/>
                <w:szCs w:val="20"/>
              </w:rPr>
              <w:t>96</w:t>
            </w:r>
          </w:p>
        </w:tc>
      </w:tr>
      <w:tr w:rsidR="003E6588" w:rsidTr="000044B0">
        <w:trPr>
          <w:trHeight w:val="120"/>
        </w:trPr>
        <w:tc>
          <w:tcPr>
            <w:tcW w:w="6961" w:type="dxa"/>
            <w:tcBorders>
              <w:left w:val="nil"/>
            </w:tcBorders>
            <w:vAlign w:val="center"/>
          </w:tcPr>
          <w:p w:rsidR="003E6588" w:rsidRDefault="003E6588">
            <w:pPr>
              <w:jc w:val="both"/>
              <w:rPr>
                <w:sz w:val="20"/>
                <w:szCs w:val="20"/>
              </w:rPr>
            </w:pPr>
            <w:r>
              <w:rPr>
                <w:sz w:val="20"/>
                <w:szCs w:val="20"/>
              </w:rPr>
              <w:t>Controle/erradicação de focos (doenças)</w:t>
            </w:r>
          </w:p>
        </w:tc>
        <w:tc>
          <w:tcPr>
            <w:tcW w:w="2268" w:type="dxa"/>
            <w:vAlign w:val="center"/>
          </w:tcPr>
          <w:p w:rsidR="003E6588" w:rsidRDefault="003E6588">
            <w:pPr>
              <w:jc w:val="both"/>
              <w:rPr>
                <w:sz w:val="20"/>
                <w:szCs w:val="20"/>
              </w:rPr>
            </w:pPr>
            <w:r>
              <w:rPr>
                <w:sz w:val="20"/>
                <w:szCs w:val="20"/>
              </w:rPr>
              <w:t>Inspeções</w:t>
            </w:r>
          </w:p>
        </w:tc>
        <w:tc>
          <w:tcPr>
            <w:tcW w:w="826" w:type="dxa"/>
            <w:vAlign w:val="center"/>
          </w:tcPr>
          <w:p w:rsidR="003E6588" w:rsidRDefault="003E6588">
            <w:pPr>
              <w:rPr>
                <w:sz w:val="20"/>
                <w:szCs w:val="20"/>
              </w:rPr>
            </w:pPr>
            <w:r>
              <w:rPr>
                <w:sz w:val="20"/>
                <w:szCs w:val="20"/>
              </w:rPr>
              <w:t>20</w:t>
            </w:r>
          </w:p>
        </w:tc>
      </w:tr>
      <w:tr w:rsidR="003E6588" w:rsidTr="000044B0">
        <w:trPr>
          <w:trHeight w:val="165"/>
        </w:trPr>
        <w:tc>
          <w:tcPr>
            <w:tcW w:w="6961" w:type="dxa"/>
            <w:tcBorders>
              <w:left w:val="nil"/>
              <w:bottom w:val="single" w:sz="8" w:space="0" w:color="auto"/>
            </w:tcBorders>
            <w:shd w:val="clear" w:color="auto" w:fill="FFFFFF"/>
            <w:vAlign w:val="center"/>
          </w:tcPr>
          <w:p w:rsidR="003E6588" w:rsidRDefault="003E6588">
            <w:pPr>
              <w:jc w:val="both"/>
              <w:rPr>
                <w:sz w:val="20"/>
                <w:szCs w:val="20"/>
              </w:rPr>
            </w:pPr>
            <w:r>
              <w:rPr>
                <w:sz w:val="20"/>
                <w:szCs w:val="20"/>
              </w:rPr>
              <w:t>Certificação sanitária</w:t>
            </w:r>
          </w:p>
        </w:tc>
        <w:tc>
          <w:tcPr>
            <w:tcW w:w="2268" w:type="dxa"/>
            <w:tcBorders>
              <w:bottom w:val="single" w:sz="8" w:space="0" w:color="auto"/>
            </w:tcBorders>
            <w:shd w:val="clear" w:color="auto" w:fill="FFFFFF"/>
            <w:vAlign w:val="center"/>
          </w:tcPr>
          <w:p w:rsidR="003E6588" w:rsidRDefault="003E6588">
            <w:pPr>
              <w:jc w:val="both"/>
              <w:rPr>
                <w:sz w:val="20"/>
                <w:szCs w:val="20"/>
              </w:rPr>
            </w:pPr>
            <w:r>
              <w:rPr>
                <w:sz w:val="20"/>
                <w:szCs w:val="20"/>
              </w:rPr>
              <w:t>Certificados emitidos</w:t>
            </w:r>
          </w:p>
        </w:tc>
        <w:tc>
          <w:tcPr>
            <w:tcW w:w="826" w:type="dxa"/>
            <w:tcBorders>
              <w:bottom w:val="single" w:sz="8" w:space="0" w:color="auto"/>
            </w:tcBorders>
            <w:shd w:val="clear" w:color="auto" w:fill="FFFFFF"/>
            <w:vAlign w:val="center"/>
          </w:tcPr>
          <w:p w:rsidR="003E6588" w:rsidRDefault="003E6588">
            <w:pPr>
              <w:rPr>
                <w:sz w:val="20"/>
                <w:szCs w:val="20"/>
              </w:rPr>
            </w:pPr>
            <w:r>
              <w:rPr>
                <w:sz w:val="20"/>
                <w:szCs w:val="20"/>
              </w:rPr>
              <w:t>127</w:t>
            </w:r>
          </w:p>
        </w:tc>
      </w:tr>
    </w:tbl>
    <w:p w:rsidR="000B028A" w:rsidRDefault="000B028A">
      <w:pPr>
        <w:ind w:firstLine="1134"/>
        <w:jc w:val="both"/>
        <w:rPr>
          <w:b/>
        </w:rPr>
      </w:pPr>
    </w:p>
    <w:p w:rsidR="003E6588" w:rsidRPr="0003759F" w:rsidRDefault="003E6588">
      <w:pPr>
        <w:ind w:firstLine="1134"/>
        <w:jc w:val="both"/>
      </w:pPr>
      <w:r w:rsidRPr="0003759F">
        <w:rPr>
          <w:b/>
        </w:rPr>
        <w:t xml:space="preserve">Sanidade dos Suídeos - </w:t>
      </w:r>
      <w:r w:rsidRPr="0003759F">
        <w:t xml:space="preserve">O plantel da suinocultura no Estado se destaca pela importância genética, onde existem muitos criadores especializados na criação de reprodutores que são enviados para outros Estados. Considerando este importante nicho de mercado, a CDA aderiu, juntamente com outros Estados, ao plano instituído pela Nota Técnica 05 do MAPA, comprometendo-se a cumprir as atividades e levantamentos preconizados, para pleitear o reconhecimento internacional de estado livre da peste suína clássica, condição que garantirá a continuação da comercialização de reprodutores com os outros </w:t>
      </w:r>
      <w:r w:rsidR="0003759F" w:rsidRPr="0003759F">
        <w:t xml:space="preserve">Estados </w:t>
      </w:r>
      <w:r w:rsidRPr="0003759F">
        <w:t xml:space="preserve">da </w:t>
      </w:r>
      <w:r w:rsidR="0003759F" w:rsidRPr="0003759F">
        <w:t>Federação</w:t>
      </w:r>
      <w:r w:rsidRPr="0003759F">
        <w:t>. Para atingir este objetivo, a CDA realizou levantamento soro epidemiológico (circulação viral) em criatórios domésticos de subsistência, de acordo com cronograma do MAPA, onde foram colhidas 1.748 amostras, envolvendo 320</w:t>
      </w:r>
      <w:r w:rsidRPr="0003759F">
        <w:rPr>
          <w:b/>
        </w:rPr>
        <w:t xml:space="preserve"> </w:t>
      </w:r>
      <w:r w:rsidRPr="0003759F">
        <w:t>propriedades rurais, 173 municípios</w:t>
      </w:r>
      <w:r w:rsidR="0003759F" w:rsidRPr="0003759F">
        <w:t>,</w:t>
      </w:r>
      <w:r w:rsidRPr="0003759F">
        <w:t xml:space="preserve"> 39 </w:t>
      </w:r>
      <w:r w:rsidR="0003759F" w:rsidRPr="0003759F">
        <w:t>regionais da CDA.</w:t>
      </w:r>
    </w:p>
    <w:p w:rsidR="003E6588" w:rsidRDefault="003E6588">
      <w:pPr>
        <w:tabs>
          <w:tab w:val="left" w:pos="142"/>
        </w:tabs>
        <w:jc w:val="both"/>
      </w:pPr>
    </w:p>
    <w:p w:rsidR="003E6588" w:rsidRPr="0003759F" w:rsidRDefault="003E6588">
      <w:pPr>
        <w:tabs>
          <w:tab w:val="left" w:pos="142"/>
        </w:tabs>
        <w:ind w:firstLine="1134"/>
        <w:jc w:val="both"/>
      </w:pPr>
      <w:r w:rsidRPr="0003759F">
        <w:rPr>
          <w:b/>
        </w:rPr>
        <w:t xml:space="preserve">Fiscalização dos Produtos e Insumos Veterinários de Peculiar Interesse do Estado - </w:t>
      </w:r>
      <w:r w:rsidRPr="0003759F">
        <w:t>Estão instalados no Estado, 4.800 revendedores de produtos e insumos veterinários</w:t>
      </w:r>
      <w:r w:rsidR="0003759F" w:rsidRPr="0003759F">
        <w:t>,</w:t>
      </w:r>
      <w:r w:rsidRPr="0003759F">
        <w:t xml:space="preserve"> com processos autuados e registrados junto à CDA e que bianualmente tem esses processos analisados e seus registros renovados e/ou cancelados. Além do registro, a CDA realiza constantes fiscalizações, a fim de assegurar correto armazenamento e conservação destes insumos, garantindo suas perfeitas características de fabricação, para que, uma vez aplicados ou fornecidos aos animais, produzam os efeitos almejados. Foram realizadas por funcionários da CDA 9.499 fiscalizações.</w:t>
      </w:r>
    </w:p>
    <w:p w:rsidR="003E6588" w:rsidRPr="0003759F" w:rsidRDefault="003E6588">
      <w:pPr>
        <w:jc w:val="both"/>
      </w:pPr>
    </w:p>
    <w:p w:rsidR="003E6588" w:rsidRPr="0003759F" w:rsidRDefault="003E6588">
      <w:pPr>
        <w:ind w:firstLine="1134"/>
        <w:jc w:val="both"/>
      </w:pPr>
      <w:r>
        <w:rPr>
          <w:b/>
        </w:rPr>
        <w:t xml:space="preserve">Inocuidade dos Alimentos - </w:t>
      </w:r>
      <w:r>
        <w:t xml:space="preserve">O CIPOA - Centro de Inspeção de Produtos de Origem Animal, responsável pelos registros dos estabelecimentos no Serviço de Inspeção de São Paulo - SISP analisou </w:t>
      </w:r>
      <w:r w:rsidRPr="0003759F">
        <w:t>480 processos, com 27 novos registros de estabelecimentos e 535 registros de novos produtos. Foram cancelados 35 registros de estabelecimentos e a suspensão temporária de 10</w:t>
      </w:r>
      <w:r w:rsidRPr="0003759F">
        <w:rPr>
          <w:b/>
        </w:rPr>
        <w:t xml:space="preserve"> </w:t>
      </w:r>
      <w:r w:rsidRPr="0003759F">
        <w:t>estabelecimentos. Foram realizadas 1.580 fiscalizações nos 569 estabelecimentos registrados, além do atendimento de 12 denúncias realizadas por meio da Ouvidoria da CDA e da Secretaria de Agricultura e Abastecimento. Foram analisados 35</w:t>
      </w:r>
      <w:r w:rsidRPr="0003759F">
        <w:rPr>
          <w:b/>
        </w:rPr>
        <w:t xml:space="preserve"> </w:t>
      </w:r>
      <w:r w:rsidRPr="0003759F">
        <w:t xml:space="preserve">autos de infração, resultando em 21 advertências e 13 imposições de multas. </w:t>
      </w:r>
      <w:r w:rsidR="0003759F" w:rsidRPr="0003759F">
        <w:t xml:space="preserve">O </w:t>
      </w:r>
      <w:r w:rsidRPr="0003759F">
        <w:t>CIPOA prestou apoio logístico e de pessoal em ações conjuntas com outros órgãos estaduais contra o abate clandestino e em fiscalizações volantes, bem como em regionais que solicitaram ações mais elaboradas para alguns estabelecimentos registrados. Visando à continua capacitação dos técnicos da CDA</w:t>
      </w:r>
      <w:r w:rsidR="0003759F" w:rsidRPr="0003759F">
        <w:t>,</w:t>
      </w:r>
      <w:r w:rsidRPr="0003759F">
        <w:t xml:space="preserve"> foram realizadas duas reuniões de nivelamento para tornar as ações mais homogêneas e regulares. </w:t>
      </w:r>
      <w:r w:rsidR="0003759F" w:rsidRPr="0003759F">
        <w:t xml:space="preserve">Foi </w:t>
      </w:r>
      <w:r w:rsidRPr="0003759F">
        <w:t>implantado novo modelo de título de registro de estabelecimento e de formulários que foram padronizados, tanto para o público externo quanto para os servidores da CDA. Foi disponibilizada</w:t>
      </w:r>
      <w:r w:rsidR="0003759F" w:rsidRPr="0003759F">
        <w:t>,</w:t>
      </w:r>
      <w:r w:rsidRPr="0003759F">
        <w:t xml:space="preserve"> na página eletrônica da CDA, a relação dos estabelecimentos registrados no SISP, o que vai aumentar a transparência e diminuir a demanda por informações básicas.</w:t>
      </w:r>
    </w:p>
    <w:p w:rsidR="003E6588" w:rsidRPr="008C06F5" w:rsidRDefault="003E6588">
      <w:pPr>
        <w:ind w:firstLine="1134"/>
        <w:jc w:val="both"/>
      </w:pPr>
      <w:r w:rsidRPr="008C06F5">
        <w:rPr>
          <w:b/>
        </w:rPr>
        <w:lastRenderedPageBreak/>
        <w:t>Erradicação do Cancro Cítrico -</w:t>
      </w:r>
      <w:r w:rsidRPr="008C06F5">
        <w:t xml:space="preserve"> A legislação referente ao cancro cítrico sofreu alterações nos últimos anos, com objetivo de dar maior agilidade no combate à disseminação da doença. Nessas alterações</w:t>
      </w:r>
      <w:r w:rsidR="0003759F" w:rsidRPr="008C06F5">
        <w:t>,</w:t>
      </w:r>
      <w:r w:rsidRPr="008C06F5">
        <w:t xml:space="preserve"> o produtor passou a ter papel preponderante, agora são obrigatórias as inspeções trimestrais nos pomares, a eliminaç</w:t>
      </w:r>
      <w:r w:rsidR="00DA3F99">
        <w:t>ã</w:t>
      </w:r>
      <w:r w:rsidRPr="008C06F5">
        <w:t xml:space="preserve">o das </w:t>
      </w:r>
      <w:r w:rsidR="008C06F5" w:rsidRPr="008C06F5">
        <w:t>p</w:t>
      </w:r>
      <w:r w:rsidRPr="008C06F5">
        <w:t xml:space="preserve">lantas com sintomas e apresentação de relatórios semestrais. A auditoria das informações prestadas nos relatórios é feita pelos técnicos da CDA. </w:t>
      </w:r>
      <w:r w:rsidR="008C06F5" w:rsidRPr="008C06F5">
        <w:t>É</w:t>
      </w:r>
      <w:r w:rsidRPr="008C06F5">
        <w:t xml:space="preserve"> realizado o levantamento amostral em propriedades sorteadas com base em modelo estatístico elaborado pelo Instituto de Economia Agrícola - IEA, para detectar a incidência da doença nos pomares.</w:t>
      </w:r>
    </w:p>
    <w:p w:rsidR="003E6588" w:rsidRPr="008C06F5" w:rsidRDefault="003E6588">
      <w:pPr>
        <w:ind w:firstLine="1134"/>
        <w:jc w:val="both"/>
      </w:pPr>
    </w:p>
    <w:p w:rsidR="003E6588" w:rsidRPr="008C06F5" w:rsidRDefault="003E6588">
      <w:pPr>
        <w:ind w:firstLine="1134"/>
        <w:jc w:val="both"/>
        <w:rPr>
          <w:b/>
        </w:rPr>
      </w:pPr>
      <w:r w:rsidRPr="008C06F5">
        <w:t xml:space="preserve">O programa de erradicação/supressão do cancro cítrico vem sendo executado exclusivamente pela Secretaria de Agricultura e Abastecimento, por meio da CDA. Foram inspecionados pomares em 179 municípios, sendo detectados 6.167 focos. </w:t>
      </w:r>
      <w:r w:rsidR="008C06F5" w:rsidRPr="008C06F5">
        <w:t xml:space="preserve">Não </w:t>
      </w:r>
      <w:r w:rsidRPr="008C06F5">
        <w:t>foram detectados focos em viveiros de mudas. O número de plantas eliminadas em conse</w:t>
      </w:r>
      <w:r w:rsidR="008C06F5" w:rsidRPr="008C06F5">
        <w:t>quência da doença foi de 85.156.</w:t>
      </w:r>
    </w:p>
    <w:p w:rsidR="003E6588" w:rsidRPr="008C06F5" w:rsidRDefault="003E6588">
      <w:pPr>
        <w:ind w:firstLine="1134"/>
        <w:jc w:val="both"/>
      </w:pPr>
    </w:p>
    <w:p w:rsidR="003E6588" w:rsidRPr="000B028A" w:rsidRDefault="003E6588">
      <w:pPr>
        <w:pStyle w:val="Corpodetexto"/>
        <w:ind w:firstLine="1134"/>
        <w:jc w:val="both"/>
        <w:rPr>
          <w:szCs w:val="24"/>
        </w:rPr>
      </w:pPr>
      <w:r w:rsidRPr="000B028A">
        <w:rPr>
          <w:szCs w:val="24"/>
        </w:rPr>
        <w:t>Erradicação do cancro cítrico</w:t>
      </w:r>
    </w:p>
    <w:p w:rsidR="003E6588" w:rsidRDefault="003E6588">
      <w:pPr>
        <w:pStyle w:val="Corpodetexto"/>
        <w:jc w:val="both"/>
        <w:rPr>
          <w:sz w:val="22"/>
          <w:szCs w:val="22"/>
        </w:rPr>
      </w:pPr>
    </w:p>
    <w:tbl>
      <w:tblPr>
        <w:tblW w:w="1812" w:type="pct"/>
        <w:jc w:val="center"/>
        <w:tblInd w:w="70" w:type="dxa"/>
        <w:tblBorders>
          <w:top w:val="single" w:sz="18" w:space="0" w:color="auto"/>
        </w:tblBorders>
        <w:tblLayout w:type="fixed"/>
        <w:tblCellMar>
          <w:left w:w="28" w:type="dxa"/>
          <w:right w:w="28" w:type="dxa"/>
        </w:tblCellMar>
        <w:tblLook w:val="0000"/>
      </w:tblPr>
      <w:tblGrid>
        <w:gridCol w:w="2838"/>
        <w:gridCol w:w="796"/>
      </w:tblGrid>
      <w:tr w:rsidR="003E6588" w:rsidTr="00DA3F99">
        <w:trPr>
          <w:trHeight w:val="112"/>
          <w:tblHeader/>
          <w:jc w:val="center"/>
        </w:trPr>
        <w:tc>
          <w:tcPr>
            <w:tcW w:w="2776" w:type="dxa"/>
            <w:tcBorders>
              <w:top w:val="single" w:sz="8" w:space="0" w:color="auto"/>
              <w:bottom w:val="single" w:sz="8" w:space="0" w:color="auto"/>
            </w:tcBorders>
            <w:shd w:val="clear" w:color="auto" w:fill="auto"/>
          </w:tcPr>
          <w:p w:rsidR="003E6588" w:rsidRDefault="003E6588">
            <w:pPr>
              <w:rPr>
                <w:b/>
                <w:bCs/>
                <w:sz w:val="20"/>
                <w:szCs w:val="20"/>
              </w:rPr>
            </w:pPr>
            <w:r>
              <w:rPr>
                <w:b/>
                <w:bCs/>
                <w:sz w:val="20"/>
                <w:szCs w:val="20"/>
              </w:rPr>
              <w:t>Produto/Indicador</w:t>
            </w:r>
          </w:p>
        </w:tc>
        <w:tc>
          <w:tcPr>
            <w:tcW w:w="779" w:type="dxa"/>
            <w:tcBorders>
              <w:top w:val="single" w:sz="8" w:space="0" w:color="auto"/>
              <w:bottom w:val="single" w:sz="8" w:space="0" w:color="auto"/>
            </w:tcBorders>
            <w:shd w:val="clear" w:color="auto" w:fill="auto"/>
          </w:tcPr>
          <w:p w:rsidR="003E6588" w:rsidRDefault="003E6588">
            <w:pPr>
              <w:rPr>
                <w:b/>
                <w:bCs/>
                <w:sz w:val="20"/>
                <w:szCs w:val="20"/>
              </w:rPr>
            </w:pPr>
          </w:p>
        </w:tc>
      </w:tr>
      <w:tr w:rsidR="003E6588" w:rsidTr="00DA3F99">
        <w:trPr>
          <w:trHeight w:val="117"/>
          <w:jc w:val="center"/>
        </w:trPr>
        <w:tc>
          <w:tcPr>
            <w:tcW w:w="2776" w:type="dxa"/>
            <w:tcBorders>
              <w:top w:val="single" w:sz="8" w:space="0" w:color="auto"/>
            </w:tcBorders>
            <w:shd w:val="clear" w:color="auto" w:fill="auto"/>
          </w:tcPr>
          <w:p w:rsidR="003E6588" w:rsidRDefault="003E6588">
            <w:pPr>
              <w:jc w:val="both"/>
              <w:rPr>
                <w:sz w:val="20"/>
                <w:szCs w:val="20"/>
              </w:rPr>
            </w:pPr>
            <w:r>
              <w:rPr>
                <w:sz w:val="20"/>
                <w:szCs w:val="20"/>
              </w:rPr>
              <w:t>Nº de Municípios abrangidos</w:t>
            </w:r>
          </w:p>
        </w:tc>
        <w:tc>
          <w:tcPr>
            <w:tcW w:w="779" w:type="dxa"/>
            <w:tcBorders>
              <w:top w:val="single" w:sz="8" w:space="0" w:color="auto"/>
            </w:tcBorders>
            <w:shd w:val="clear" w:color="auto" w:fill="auto"/>
          </w:tcPr>
          <w:p w:rsidR="003E6588" w:rsidRDefault="003E6588">
            <w:pPr>
              <w:rPr>
                <w:sz w:val="20"/>
                <w:szCs w:val="20"/>
              </w:rPr>
            </w:pPr>
            <w:r>
              <w:rPr>
                <w:sz w:val="20"/>
                <w:szCs w:val="20"/>
              </w:rPr>
              <w:t>179</w:t>
            </w:r>
          </w:p>
        </w:tc>
      </w:tr>
      <w:tr w:rsidR="003E6588" w:rsidTr="008C06F5">
        <w:trPr>
          <w:trHeight w:val="165"/>
          <w:jc w:val="center"/>
        </w:trPr>
        <w:tc>
          <w:tcPr>
            <w:tcW w:w="2776" w:type="dxa"/>
            <w:shd w:val="clear" w:color="auto" w:fill="auto"/>
          </w:tcPr>
          <w:p w:rsidR="003E6588" w:rsidRDefault="003E6588">
            <w:pPr>
              <w:jc w:val="both"/>
              <w:rPr>
                <w:sz w:val="20"/>
                <w:szCs w:val="20"/>
              </w:rPr>
            </w:pPr>
            <w:r>
              <w:rPr>
                <w:sz w:val="20"/>
                <w:szCs w:val="20"/>
              </w:rPr>
              <w:t>Nº de Focos registrados</w:t>
            </w:r>
          </w:p>
        </w:tc>
        <w:tc>
          <w:tcPr>
            <w:tcW w:w="779" w:type="dxa"/>
            <w:shd w:val="clear" w:color="auto" w:fill="auto"/>
          </w:tcPr>
          <w:p w:rsidR="003E6588" w:rsidRDefault="003E6588">
            <w:pPr>
              <w:rPr>
                <w:sz w:val="20"/>
                <w:szCs w:val="20"/>
              </w:rPr>
            </w:pPr>
            <w:r>
              <w:rPr>
                <w:sz w:val="20"/>
                <w:szCs w:val="20"/>
              </w:rPr>
              <w:t>6.167</w:t>
            </w:r>
          </w:p>
        </w:tc>
      </w:tr>
      <w:tr w:rsidR="003E6588" w:rsidTr="00DA3F99">
        <w:trPr>
          <w:trHeight w:val="226"/>
          <w:jc w:val="center"/>
        </w:trPr>
        <w:tc>
          <w:tcPr>
            <w:tcW w:w="2776" w:type="dxa"/>
            <w:tcBorders>
              <w:bottom w:val="nil"/>
            </w:tcBorders>
            <w:shd w:val="clear" w:color="auto" w:fill="auto"/>
          </w:tcPr>
          <w:p w:rsidR="003E6588" w:rsidRDefault="003E6588">
            <w:pPr>
              <w:jc w:val="both"/>
              <w:rPr>
                <w:sz w:val="20"/>
                <w:szCs w:val="20"/>
              </w:rPr>
            </w:pPr>
            <w:r>
              <w:rPr>
                <w:sz w:val="20"/>
                <w:szCs w:val="20"/>
              </w:rPr>
              <w:t>Nº de Mudas eliminadas</w:t>
            </w:r>
          </w:p>
        </w:tc>
        <w:tc>
          <w:tcPr>
            <w:tcW w:w="779" w:type="dxa"/>
            <w:tcBorders>
              <w:bottom w:val="nil"/>
            </w:tcBorders>
            <w:shd w:val="clear" w:color="auto" w:fill="auto"/>
          </w:tcPr>
          <w:p w:rsidR="003E6588" w:rsidRDefault="003E6588">
            <w:pPr>
              <w:rPr>
                <w:sz w:val="20"/>
                <w:szCs w:val="20"/>
              </w:rPr>
            </w:pPr>
            <w:r>
              <w:rPr>
                <w:sz w:val="20"/>
                <w:szCs w:val="20"/>
              </w:rPr>
              <w:t>0</w:t>
            </w:r>
          </w:p>
        </w:tc>
      </w:tr>
      <w:tr w:rsidR="003E6588" w:rsidTr="00DA3F99">
        <w:trPr>
          <w:trHeight w:val="129"/>
          <w:jc w:val="center"/>
        </w:trPr>
        <w:tc>
          <w:tcPr>
            <w:tcW w:w="2776" w:type="dxa"/>
            <w:tcBorders>
              <w:top w:val="nil"/>
              <w:bottom w:val="single" w:sz="8" w:space="0" w:color="auto"/>
            </w:tcBorders>
            <w:shd w:val="clear" w:color="auto" w:fill="auto"/>
          </w:tcPr>
          <w:p w:rsidR="003E6588" w:rsidRDefault="003E6588">
            <w:pPr>
              <w:jc w:val="both"/>
              <w:rPr>
                <w:sz w:val="20"/>
                <w:szCs w:val="20"/>
              </w:rPr>
            </w:pPr>
            <w:r>
              <w:rPr>
                <w:sz w:val="20"/>
                <w:szCs w:val="20"/>
              </w:rPr>
              <w:t>Nº de Plantas eliminadas</w:t>
            </w:r>
          </w:p>
        </w:tc>
        <w:tc>
          <w:tcPr>
            <w:tcW w:w="779" w:type="dxa"/>
            <w:tcBorders>
              <w:top w:val="nil"/>
              <w:bottom w:val="single" w:sz="8" w:space="0" w:color="auto"/>
            </w:tcBorders>
            <w:shd w:val="clear" w:color="auto" w:fill="auto"/>
          </w:tcPr>
          <w:p w:rsidR="003E6588" w:rsidRDefault="003E6588">
            <w:pPr>
              <w:rPr>
                <w:sz w:val="20"/>
                <w:szCs w:val="20"/>
              </w:rPr>
            </w:pPr>
            <w:r>
              <w:rPr>
                <w:sz w:val="20"/>
                <w:szCs w:val="20"/>
              </w:rPr>
              <w:t>85.156</w:t>
            </w:r>
          </w:p>
        </w:tc>
      </w:tr>
    </w:tbl>
    <w:p w:rsidR="003E6588" w:rsidRDefault="003E6588">
      <w:pPr>
        <w:jc w:val="both"/>
      </w:pPr>
    </w:p>
    <w:p w:rsidR="003E6588" w:rsidRPr="00DA3F99" w:rsidRDefault="003E6588">
      <w:pPr>
        <w:ind w:firstLine="1134"/>
        <w:jc w:val="both"/>
      </w:pPr>
      <w:r>
        <w:rPr>
          <w:b/>
        </w:rPr>
        <w:t xml:space="preserve">Supressão </w:t>
      </w:r>
      <w:r w:rsidRPr="00DA3F99">
        <w:rPr>
          <w:b/>
        </w:rPr>
        <w:t>do HLB-</w:t>
      </w:r>
      <w:r w:rsidRPr="00DA3F99">
        <w:rPr>
          <w:b/>
          <w:i/>
        </w:rPr>
        <w:t>Greening -</w:t>
      </w:r>
      <w:r w:rsidRPr="00DA3F99">
        <w:t xml:space="preserve"> No combate ao </w:t>
      </w:r>
      <w:r w:rsidRPr="00DA3F99">
        <w:rPr>
          <w:i/>
        </w:rPr>
        <w:t>greening,</w:t>
      </w:r>
      <w:r w:rsidRPr="00DA3F99">
        <w:t xml:space="preserve"> os citricultores inspecionaram 203 milhões de plantas. Dessas, 4,4 milhões foram eliminadas. A CDA executou todas as ações para cumprimento da IN-53/2008 (MAPA) com os seus recursos.</w:t>
      </w:r>
    </w:p>
    <w:p w:rsidR="003E6588" w:rsidRDefault="003E6588">
      <w:pPr>
        <w:jc w:val="both"/>
        <w:rPr>
          <w:b/>
        </w:rPr>
      </w:pPr>
    </w:p>
    <w:p w:rsidR="003E6588" w:rsidRPr="000B028A" w:rsidRDefault="003E6588">
      <w:pPr>
        <w:ind w:firstLine="1134"/>
        <w:jc w:val="both"/>
        <w:rPr>
          <w:b/>
        </w:rPr>
      </w:pPr>
      <w:r w:rsidRPr="000B028A">
        <w:rPr>
          <w:b/>
        </w:rPr>
        <w:t xml:space="preserve">Combate ao </w:t>
      </w:r>
      <w:r w:rsidRPr="000B028A">
        <w:rPr>
          <w:b/>
          <w:i/>
        </w:rPr>
        <w:t>greening</w:t>
      </w:r>
      <w:r w:rsidRPr="000B028A">
        <w:rPr>
          <w:b/>
        </w:rPr>
        <w:t xml:space="preserve"> dos citros</w:t>
      </w:r>
    </w:p>
    <w:p w:rsidR="003E6588" w:rsidRDefault="003E6588">
      <w:pPr>
        <w:jc w:val="both"/>
        <w:rPr>
          <w:b/>
          <w:sz w:val="22"/>
          <w:szCs w:val="22"/>
        </w:rPr>
      </w:pPr>
    </w:p>
    <w:tbl>
      <w:tblPr>
        <w:tblW w:w="3101" w:type="pct"/>
        <w:jc w:val="center"/>
        <w:tblInd w:w="108" w:type="dxa"/>
        <w:tblBorders>
          <w:top w:val="single" w:sz="12" w:space="0" w:color="000000"/>
          <w:bottom w:val="single" w:sz="12" w:space="0" w:color="000000"/>
        </w:tblBorders>
        <w:tblLayout w:type="fixed"/>
        <w:tblLook w:val="0000"/>
      </w:tblPr>
      <w:tblGrid>
        <w:gridCol w:w="4556"/>
        <w:gridCol w:w="1763"/>
      </w:tblGrid>
      <w:tr w:rsidR="003E6588" w:rsidTr="00DA3F99">
        <w:trPr>
          <w:trHeight w:val="31"/>
          <w:jc w:val="center"/>
        </w:trPr>
        <w:tc>
          <w:tcPr>
            <w:tcW w:w="4458" w:type="dxa"/>
            <w:tcBorders>
              <w:top w:val="single" w:sz="8" w:space="0" w:color="000000"/>
              <w:bottom w:val="single" w:sz="8" w:space="0" w:color="000000"/>
            </w:tcBorders>
            <w:shd w:val="clear" w:color="auto" w:fill="auto"/>
          </w:tcPr>
          <w:p w:rsidR="003E6588" w:rsidRDefault="003E6588">
            <w:pPr>
              <w:rPr>
                <w:b/>
                <w:bCs/>
                <w:sz w:val="20"/>
                <w:szCs w:val="20"/>
              </w:rPr>
            </w:pPr>
            <w:r>
              <w:rPr>
                <w:b/>
                <w:bCs/>
                <w:sz w:val="20"/>
                <w:szCs w:val="20"/>
              </w:rPr>
              <w:t>Produto/Indicador</w:t>
            </w:r>
          </w:p>
        </w:tc>
        <w:tc>
          <w:tcPr>
            <w:tcW w:w="1725" w:type="dxa"/>
            <w:tcBorders>
              <w:top w:val="single" w:sz="8" w:space="0" w:color="000000"/>
              <w:bottom w:val="single" w:sz="8" w:space="0" w:color="000000"/>
            </w:tcBorders>
            <w:shd w:val="clear" w:color="auto" w:fill="auto"/>
          </w:tcPr>
          <w:p w:rsidR="003E6588" w:rsidRDefault="003E6588">
            <w:pPr>
              <w:rPr>
                <w:b/>
                <w:bCs/>
                <w:sz w:val="20"/>
                <w:szCs w:val="20"/>
              </w:rPr>
            </w:pPr>
          </w:p>
        </w:tc>
      </w:tr>
      <w:tr w:rsidR="003E6588" w:rsidTr="00DA3F99">
        <w:trPr>
          <w:trHeight w:val="92"/>
          <w:jc w:val="center"/>
        </w:trPr>
        <w:tc>
          <w:tcPr>
            <w:tcW w:w="4458" w:type="dxa"/>
            <w:tcBorders>
              <w:top w:val="single" w:sz="8" w:space="0" w:color="000000"/>
            </w:tcBorders>
            <w:shd w:val="clear" w:color="auto" w:fill="auto"/>
          </w:tcPr>
          <w:p w:rsidR="003E6588" w:rsidRDefault="003E6588">
            <w:pPr>
              <w:jc w:val="both"/>
              <w:rPr>
                <w:sz w:val="20"/>
                <w:szCs w:val="20"/>
              </w:rPr>
            </w:pPr>
            <w:r>
              <w:rPr>
                <w:sz w:val="20"/>
                <w:szCs w:val="20"/>
              </w:rPr>
              <w:t>Nº de plantas inspecionadas pela CDA</w:t>
            </w:r>
          </w:p>
        </w:tc>
        <w:tc>
          <w:tcPr>
            <w:tcW w:w="1725" w:type="dxa"/>
            <w:tcBorders>
              <w:top w:val="single" w:sz="8" w:space="0" w:color="000000"/>
            </w:tcBorders>
            <w:shd w:val="clear" w:color="auto" w:fill="auto"/>
          </w:tcPr>
          <w:p w:rsidR="003E6588" w:rsidRDefault="003E6588">
            <w:pPr>
              <w:rPr>
                <w:sz w:val="20"/>
                <w:szCs w:val="20"/>
              </w:rPr>
            </w:pPr>
            <w:r>
              <w:rPr>
                <w:sz w:val="20"/>
                <w:szCs w:val="20"/>
              </w:rPr>
              <w:t>1.254.000</w:t>
            </w:r>
          </w:p>
        </w:tc>
      </w:tr>
      <w:tr w:rsidR="003E6588" w:rsidTr="00DA3F99">
        <w:trPr>
          <w:trHeight w:val="97"/>
          <w:jc w:val="center"/>
        </w:trPr>
        <w:tc>
          <w:tcPr>
            <w:tcW w:w="4458" w:type="dxa"/>
            <w:tcBorders>
              <w:bottom w:val="nil"/>
            </w:tcBorders>
            <w:shd w:val="clear" w:color="auto" w:fill="auto"/>
          </w:tcPr>
          <w:p w:rsidR="003E6588" w:rsidRDefault="003E6588">
            <w:pPr>
              <w:jc w:val="both"/>
              <w:rPr>
                <w:sz w:val="20"/>
                <w:szCs w:val="20"/>
              </w:rPr>
            </w:pPr>
            <w:r>
              <w:rPr>
                <w:sz w:val="20"/>
                <w:szCs w:val="20"/>
              </w:rPr>
              <w:t>Nº de plantas inspecionadas pelo produtor</w:t>
            </w:r>
          </w:p>
        </w:tc>
        <w:tc>
          <w:tcPr>
            <w:tcW w:w="1725" w:type="dxa"/>
            <w:tcBorders>
              <w:bottom w:val="nil"/>
            </w:tcBorders>
            <w:shd w:val="clear" w:color="auto" w:fill="auto"/>
          </w:tcPr>
          <w:p w:rsidR="003E6588" w:rsidRDefault="003E6588">
            <w:pPr>
              <w:rPr>
                <w:sz w:val="20"/>
                <w:szCs w:val="20"/>
              </w:rPr>
            </w:pPr>
            <w:r>
              <w:rPr>
                <w:sz w:val="20"/>
                <w:szCs w:val="20"/>
              </w:rPr>
              <w:t>203.092.268</w:t>
            </w:r>
          </w:p>
        </w:tc>
      </w:tr>
      <w:tr w:rsidR="003E6588" w:rsidTr="00DA3F99">
        <w:trPr>
          <w:trHeight w:val="54"/>
          <w:jc w:val="center"/>
        </w:trPr>
        <w:tc>
          <w:tcPr>
            <w:tcW w:w="4458" w:type="dxa"/>
            <w:tcBorders>
              <w:top w:val="nil"/>
              <w:bottom w:val="single" w:sz="8" w:space="0" w:color="000000"/>
            </w:tcBorders>
            <w:shd w:val="clear" w:color="auto" w:fill="auto"/>
          </w:tcPr>
          <w:p w:rsidR="003E6588" w:rsidRDefault="003E6588">
            <w:pPr>
              <w:jc w:val="both"/>
              <w:rPr>
                <w:sz w:val="20"/>
                <w:szCs w:val="20"/>
              </w:rPr>
            </w:pPr>
            <w:r>
              <w:rPr>
                <w:sz w:val="20"/>
                <w:szCs w:val="20"/>
              </w:rPr>
              <w:t>Nº de plantas cítricas eliminadas pelo produtor</w:t>
            </w:r>
          </w:p>
        </w:tc>
        <w:tc>
          <w:tcPr>
            <w:tcW w:w="1725" w:type="dxa"/>
            <w:tcBorders>
              <w:top w:val="nil"/>
              <w:bottom w:val="single" w:sz="8" w:space="0" w:color="000000"/>
            </w:tcBorders>
            <w:shd w:val="clear" w:color="auto" w:fill="auto"/>
          </w:tcPr>
          <w:p w:rsidR="003E6588" w:rsidRDefault="003E6588">
            <w:pPr>
              <w:rPr>
                <w:sz w:val="20"/>
                <w:szCs w:val="20"/>
              </w:rPr>
            </w:pPr>
            <w:r>
              <w:rPr>
                <w:sz w:val="20"/>
                <w:szCs w:val="20"/>
              </w:rPr>
              <w:t>4.400.000</w:t>
            </w:r>
          </w:p>
        </w:tc>
      </w:tr>
    </w:tbl>
    <w:p w:rsidR="003E6588" w:rsidRDefault="003E6588">
      <w:pPr>
        <w:jc w:val="both"/>
      </w:pPr>
    </w:p>
    <w:p w:rsidR="003E6588" w:rsidRDefault="003E6588">
      <w:pPr>
        <w:ind w:firstLine="1134"/>
        <w:jc w:val="both"/>
      </w:pPr>
      <w:r w:rsidRPr="00803960">
        <w:rPr>
          <w:b/>
          <w:bCs/>
        </w:rPr>
        <w:t xml:space="preserve">Vigilância fitossanitária da cadeia de produção de mudas </w:t>
      </w:r>
      <w:r w:rsidR="00803960" w:rsidRPr="00803960">
        <w:rPr>
          <w:b/>
          <w:bCs/>
        </w:rPr>
        <w:t xml:space="preserve">- </w:t>
      </w:r>
      <w:r w:rsidRPr="00803960">
        <w:t>Foram monitoradas 12 milhões de mudas cítricas, em razão da situação econômica que atravessa o setor da citricultura, com diminuição da área plantada e do número de mudas comercializadas. De maneira similar à produção de mudas cítricas, a produção de mudas de café está sujeita à vigilância sanitária no Estado, tendo sido monitoradas 20 milhões de mudas</w:t>
      </w:r>
      <w:r w:rsidR="00803960" w:rsidRPr="00803960">
        <w:t>.</w:t>
      </w:r>
    </w:p>
    <w:p w:rsidR="0006161A" w:rsidRPr="00803960" w:rsidRDefault="0006161A">
      <w:pPr>
        <w:ind w:firstLine="1134"/>
        <w:jc w:val="both"/>
        <w:rPr>
          <w:b/>
        </w:rPr>
      </w:pPr>
    </w:p>
    <w:p w:rsidR="003E6588" w:rsidRPr="000B028A" w:rsidRDefault="003E6588">
      <w:pPr>
        <w:pStyle w:val="Ttulo20"/>
        <w:spacing w:before="0" w:after="0"/>
        <w:ind w:firstLine="1134"/>
        <w:jc w:val="both"/>
        <w:rPr>
          <w:rFonts w:ascii="Times New Roman" w:hAnsi="Times New Roman"/>
          <w:i w:val="0"/>
          <w:sz w:val="24"/>
          <w:szCs w:val="24"/>
          <w:lang w:val="pt-BR"/>
        </w:rPr>
      </w:pPr>
      <w:r w:rsidRPr="000B028A">
        <w:rPr>
          <w:rFonts w:ascii="Times New Roman" w:hAnsi="Times New Roman"/>
          <w:i w:val="0"/>
          <w:sz w:val="24"/>
          <w:szCs w:val="24"/>
          <w:lang w:val="pt-BR"/>
        </w:rPr>
        <w:t>Vigilância sanitária da cadeia de produção de mudas</w:t>
      </w:r>
    </w:p>
    <w:p w:rsidR="003E6588" w:rsidRDefault="003E6588">
      <w:pPr>
        <w:rPr>
          <w:lang w:eastAsia="en-US"/>
        </w:rPr>
      </w:pPr>
    </w:p>
    <w:tbl>
      <w:tblPr>
        <w:tblW w:w="7439" w:type="dxa"/>
        <w:jc w:val="center"/>
        <w:tblInd w:w="588" w:type="dxa"/>
        <w:tblBorders>
          <w:top w:val="single" w:sz="12" w:space="0" w:color="000000"/>
          <w:bottom w:val="single" w:sz="12" w:space="0" w:color="000000"/>
        </w:tblBorders>
        <w:tblLayout w:type="fixed"/>
        <w:tblLook w:val="0000"/>
      </w:tblPr>
      <w:tblGrid>
        <w:gridCol w:w="4394"/>
        <w:gridCol w:w="2039"/>
        <w:gridCol w:w="1006"/>
      </w:tblGrid>
      <w:tr w:rsidR="003E6588" w:rsidTr="00DA3F99">
        <w:trPr>
          <w:trHeight w:val="98"/>
          <w:jc w:val="center"/>
        </w:trPr>
        <w:tc>
          <w:tcPr>
            <w:tcW w:w="4394" w:type="dxa"/>
            <w:tcBorders>
              <w:top w:val="single" w:sz="8" w:space="0" w:color="000000"/>
              <w:bottom w:val="single" w:sz="8" w:space="0" w:color="000000"/>
            </w:tcBorders>
            <w:shd w:val="clear" w:color="auto" w:fill="auto"/>
          </w:tcPr>
          <w:p w:rsidR="003E6588" w:rsidRDefault="003E6588">
            <w:pPr>
              <w:rPr>
                <w:b/>
                <w:bCs/>
                <w:sz w:val="20"/>
                <w:szCs w:val="20"/>
              </w:rPr>
            </w:pPr>
            <w:r>
              <w:rPr>
                <w:b/>
                <w:bCs/>
                <w:sz w:val="20"/>
                <w:szCs w:val="20"/>
              </w:rPr>
              <w:t>Produto/Indicador</w:t>
            </w:r>
          </w:p>
        </w:tc>
        <w:tc>
          <w:tcPr>
            <w:tcW w:w="2039" w:type="dxa"/>
            <w:tcBorders>
              <w:top w:val="single" w:sz="8" w:space="0" w:color="000000"/>
              <w:bottom w:val="single" w:sz="8" w:space="0" w:color="000000"/>
            </w:tcBorders>
            <w:shd w:val="clear" w:color="auto" w:fill="auto"/>
          </w:tcPr>
          <w:p w:rsidR="003E6588" w:rsidRDefault="003E6588">
            <w:pPr>
              <w:rPr>
                <w:b/>
                <w:bCs/>
                <w:sz w:val="20"/>
                <w:szCs w:val="20"/>
              </w:rPr>
            </w:pPr>
            <w:r>
              <w:rPr>
                <w:b/>
                <w:bCs/>
                <w:sz w:val="20"/>
                <w:szCs w:val="20"/>
              </w:rPr>
              <w:t>Unidade</w:t>
            </w:r>
          </w:p>
        </w:tc>
        <w:tc>
          <w:tcPr>
            <w:tcW w:w="1006" w:type="dxa"/>
            <w:tcBorders>
              <w:top w:val="single" w:sz="8" w:space="0" w:color="000000"/>
              <w:bottom w:val="single" w:sz="8" w:space="0" w:color="000000"/>
            </w:tcBorders>
            <w:shd w:val="clear" w:color="auto" w:fill="auto"/>
          </w:tcPr>
          <w:p w:rsidR="003E6588" w:rsidRDefault="003E6588">
            <w:pPr>
              <w:rPr>
                <w:b/>
                <w:bCs/>
                <w:sz w:val="20"/>
                <w:szCs w:val="20"/>
              </w:rPr>
            </w:pPr>
          </w:p>
        </w:tc>
      </w:tr>
      <w:tr w:rsidR="003E6588" w:rsidTr="00DA3F99">
        <w:trPr>
          <w:trHeight w:val="130"/>
          <w:jc w:val="center"/>
        </w:trPr>
        <w:tc>
          <w:tcPr>
            <w:tcW w:w="4394" w:type="dxa"/>
            <w:tcBorders>
              <w:top w:val="single" w:sz="8" w:space="0" w:color="000000"/>
            </w:tcBorders>
            <w:shd w:val="clear" w:color="auto" w:fill="auto"/>
          </w:tcPr>
          <w:p w:rsidR="003E6588" w:rsidRDefault="003E6588">
            <w:pPr>
              <w:jc w:val="both"/>
              <w:rPr>
                <w:sz w:val="20"/>
                <w:szCs w:val="20"/>
              </w:rPr>
            </w:pPr>
            <w:r>
              <w:rPr>
                <w:sz w:val="20"/>
                <w:szCs w:val="20"/>
              </w:rPr>
              <w:t>Cadastro de mudas cítricas</w:t>
            </w:r>
          </w:p>
        </w:tc>
        <w:tc>
          <w:tcPr>
            <w:tcW w:w="2039" w:type="dxa"/>
            <w:tcBorders>
              <w:top w:val="single" w:sz="8" w:space="0" w:color="000000"/>
            </w:tcBorders>
            <w:shd w:val="clear" w:color="auto" w:fill="auto"/>
          </w:tcPr>
          <w:p w:rsidR="003E6588" w:rsidRDefault="003E6588">
            <w:pPr>
              <w:jc w:val="both"/>
              <w:rPr>
                <w:sz w:val="20"/>
                <w:szCs w:val="20"/>
              </w:rPr>
            </w:pPr>
            <w:r>
              <w:rPr>
                <w:sz w:val="20"/>
                <w:szCs w:val="20"/>
              </w:rPr>
              <w:t>Viveiros</w:t>
            </w:r>
          </w:p>
        </w:tc>
        <w:tc>
          <w:tcPr>
            <w:tcW w:w="1006" w:type="dxa"/>
            <w:tcBorders>
              <w:top w:val="single" w:sz="8" w:space="0" w:color="000000"/>
            </w:tcBorders>
            <w:shd w:val="clear" w:color="auto" w:fill="auto"/>
          </w:tcPr>
          <w:p w:rsidR="003E6588" w:rsidRDefault="003E6588">
            <w:pPr>
              <w:rPr>
                <w:sz w:val="20"/>
                <w:szCs w:val="20"/>
              </w:rPr>
            </w:pPr>
            <w:r>
              <w:rPr>
                <w:sz w:val="20"/>
                <w:szCs w:val="20"/>
              </w:rPr>
              <w:t>238</w:t>
            </w:r>
          </w:p>
        </w:tc>
      </w:tr>
      <w:tr w:rsidR="003E6588">
        <w:trPr>
          <w:trHeight w:val="178"/>
          <w:jc w:val="center"/>
        </w:trPr>
        <w:tc>
          <w:tcPr>
            <w:tcW w:w="4394" w:type="dxa"/>
            <w:shd w:val="clear" w:color="auto" w:fill="auto"/>
          </w:tcPr>
          <w:p w:rsidR="003E6588" w:rsidRDefault="003E6588">
            <w:pPr>
              <w:jc w:val="both"/>
              <w:rPr>
                <w:sz w:val="20"/>
                <w:szCs w:val="20"/>
              </w:rPr>
            </w:pPr>
            <w:r>
              <w:rPr>
                <w:sz w:val="20"/>
                <w:szCs w:val="20"/>
              </w:rPr>
              <w:t>Cadastro de produção de mudas cítricas</w:t>
            </w:r>
          </w:p>
        </w:tc>
        <w:tc>
          <w:tcPr>
            <w:tcW w:w="2039" w:type="dxa"/>
            <w:shd w:val="clear" w:color="auto" w:fill="auto"/>
          </w:tcPr>
          <w:p w:rsidR="003E6588" w:rsidRDefault="003E6588">
            <w:pPr>
              <w:jc w:val="both"/>
              <w:rPr>
                <w:sz w:val="20"/>
                <w:szCs w:val="20"/>
              </w:rPr>
            </w:pPr>
            <w:r>
              <w:rPr>
                <w:sz w:val="20"/>
                <w:szCs w:val="20"/>
              </w:rPr>
              <w:t>Mudas (em milhões)</w:t>
            </w:r>
          </w:p>
        </w:tc>
        <w:tc>
          <w:tcPr>
            <w:tcW w:w="1006" w:type="dxa"/>
            <w:shd w:val="clear" w:color="auto" w:fill="auto"/>
          </w:tcPr>
          <w:p w:rsidR="003E6588" w:rsidRDefault="003E6588">
            <w:pPr>
              <w:rPr>
                <w:sz w:val="20"/>
                <w:szCs w:val="20"/>
              </w:rPr>
            </w:pPr>
            <w:r>
              <w:rPr>
                <w:sz w:val="20"/>
                <w:szCs w:val="20"/>
              </w:rPr>
              <w:t>12</w:t>
            </w:r>
          </w:p>
        </w:tc>
      </w:tr>
      <w:tr w:rsidR="003E6588" w:rsidTr="00DA3F99">
        <w:trPr>
          <w:trHeight w:val="96"/>
          <w:jc w:val="center"/>
        </w:trPr>
        <w:tc>
          <w:tcPr>
            <w:tcW w:w="4394" w:type="dxa"/>
            <w:tcBorders>
              <w:bottom w:val="nil"/>
            </w:tcBorders>
            <w:shd w:val="clear" w:color="auto" w:fill="auto"/>
          </w:tcPr>
          <w:p w:rsidR="003E6588" w:rsidRDefault="003E6588">
            <w:pPr>
              <w:jc w:val="both"/>
              <w:rPr>
                <w:sz w:val="20"/>
                <w:szCs w:val="20"/>
              </w:rPr>
            </w:pPr>
            <w:r>
              <w:rPr>
                <w:sz w:val="20"/>
                <w:szCs w:val="20"/>
              </w:rPr>
              <w:t>Cadastro de mudas de cafeeiro</w:t>
            </w:r>
          </w:p>
        </w:tc>
        <w:tc>
          <w:tcPr>
            <w:tcW w:w="2039" w:type="dxa"/>
            <w:tcBorders>
              <w:bottom w:val="nil"/>
            </w:tcBorders>
            <w:shd w:val="clear" w:color="auto" w:fill="auto"/>
          </w:tcPr>
          <w:p w:rsidR="003E6588" w:rsidRDefault="003E6588">
            <w:pPr>
              <w:jc w:val="both"/>
              <w:rPr>
                <w:sz w:val="20"/>
                <w:szCs w:val="20"/>
              </w:rPr>
            </w:pPr>
            <w:r>
              <w:rPr>
                <w:sz w:val="20"/>
                <w:szCs w:val="20"/>
              </w:rPr>
              <w:t>Viveiros</w:t>
            </w:r>
          </w:p>
        </w:tc>
        <w:tc>
          <w:tcPr>
            <w:tcW w:w="1006" w:type="dxa"/>
            <w:tcBorders>
              <w:bottom w:val="nil"/>
            </w:tcBorders>
            <w:shd w:val="clear" w:color="auto" w:fill="auto"/>
          </w:tcPr>
          <w:p w:rsidR="003E6588" w:rsidRDefault="003E6588">
            <w:pPr>
              <w:rPr>
                <w:sz w:val="20"/>
                <w:szCs w:val="20"/>
              </w:rPr>
            </w:pPr>
            <w:r>
              <w:rPr>
                <w:sz w:val="20"/>
                <w:szCs w:val="20"/>
              </w:rPr>
              <w:t>66</w:t>
            </w:r>
          </w:p>
        </w:tc>
      </w:tr>
      <w:tr w:rsidR="003E6588" w:rsidTr="00DA3F99">
        <w:trPr>
          <w:trHeight w:val="54"/>
          <w:jc w:val="center"/>
        </w:trPr>
        <w:tc>
          <w:tcPr>
            <w:tcW w:w="4394" w:type="dxa"/>
            <w:tcBorders>
              <w:top w:val="nil"/>
              <w:bottom w:val="single" w:sz="8" w:space="0" w:color="000000"/>
            </w:tcBorders>
            <w:shd w:val="clear" w:color="auto" w:fill="auto"/>
          </w:tcPr>
          <w:p w:rsidR="003E6588" w:rsidRDefault="003E6588">
            <w:pPr>
              <w:jc w:val="both"/>
              <w:rPr>
                <w:sz w:val="20"/>
                <w:szCs w:val="20"/>
              </w:rPr>
            </w:pPr>
            <w:r>
              <w:rPr>
                <w:sz w:val="20"/>
                <w:szCs w:val="20"/>
              </w:rPr>
              <w:t>Cadastro de produção de mudas de cafeeiro</w:t>
            </w:r>
          </w:p>
        </w:tc>
        <w:tc>
          <w:tcPr>
            <w:tcW w:w="2039" w:type="dxa"/>
            <w:tcBorders>
              <w:top w:val="nil"/>
              <w:bottom w:val="single" w:sz="8" w:space="0" w:color="000000"/>
            </w:tcBorders>
            <w:shd w:val="clear" w:color="auto" w:fill="auto"/>
          </w:tcPr>
          <w:p w:rsidR="003E6588" w:rsidRDefault="003E6588">
            <w:pPr>
              <w:jc w:val="both"/>
              <w:rPr>
                <w:sz w:val="20"/>
                <w:szCs w:val="20"/>
              </w:rPr>
            </w:pPr>
            <w:r>
              <w:rPr>
                <w:sz w:val="20"/>
                <w:szCs w:val="20"/>
              </w:rPr>
              <w:t>Mudas (em milhões)</w:t>
            </w:r>
          </w:p>
        </w:tc>
        <w:tc>
          <w:tcPr>
            <w:tcW w:w="1006" w:type="dxa"/>
            <w:tcBorders>
              <w:top w:val="nil"/>
              <w:bottom w:val="single" w:sz="8" w:space="0" w:color="000000"/>
            </w:tcBorders>
            <w:shd w:val="clear" w:color="auto" w:fill="auto"/>
          </w:tcPr>
          <w:p w:rsidR="003E6588" w:rsidRDefault="003E6588">
            <w:pPr>
              <w:rPr>
                <w:sz w:val="20"/>
                <w:szCs w:val="20"/>
              </w:rPr>
            </w:pPr>
            <w:r>
              <w:rPr>
                <w:sz w:val="20"/>
                <w:szCs w:val="20"/>
              </w:rPr>
              <w:t>20</w:t>
            </w:r>
          </w:p>
        </w:tc>
      </w:tr>
    </w:tbl>
    <w:p w:rsidR="003E6588" w:rsidRDefault="003E6588">
      <w:pPr>
        <w:ind w:firstLine="1134"/>
        <w:jc w:val="both"/>
        <w:rPr>
          <w:b/>
        </w:rPr>
      </w:pPr>
      <w:r w:rsidRPr="00803960">
        <w:rPr>
          <w:b/>
          <w:bCs/>
        </w:rPr>
        <w:lastRenderedPageBreak/>
        <w:t xml:space="preserve">Sistema de Mitigação de Risco da </w:t>
      </w:r>
      <w:r w:rsidRPr="00803960">
        <w:rPr>
          <w:b/>
          <w:bCs/>
          <w:i/>
        </w:rPr>
        <w:t xml:space="preserve">Sigatoka </w:t>
      </w:r>
      <w:r w:rsidRPr="00803960">
        <w:rPr>
          <w:b/>
          <w:bCs/>
        </w:rPr>
        <w:t xml:space="preserve">Negra </w:t>
      </w:r>
      <w:r w:rsidRPr="00803960">
        <w:rPr>
          <w:b/>
        </w:rPr>
        <w:t>(SMR-</w:t>
      </w:r>
      <w:r w:rsidRPr="00803960">
        <w:rPr>
          <w:b/>
          <w:i/>
        </w:rPr>
        <w:t>Sigatoka</w:t>
      </w:r>
      <w:r w:rsidRPr="00803960">
        <w:rPr>
          <w:b/>
        </w:rPr>
        <w:t xml:space="preserve"> Negra) -</w:t>
      </w:r>
      <w:r w:rsidRPr="00803960">
        <w:t xml:space="preserve"> Tem como base legal a Instrução Normativa nº 17/2005, que proíbe o trânsito entre as unidades da </w:t>
      </w:r>
      <w:r w:rsidR="00803960" w:rsidRPr="00803960">
        <w:t>F</w:t>
      </w:r>
      <w:r w:rsidRPr="00803960">
        <w:t>ederação, de frutos de banana que não forem produzidas em área livre ou no SMR-</w:t>
      </w:r>
      <w:r w:rsidRPr="00803960">
        <w:rPr>
          <w:i/>
        </w:rPr>
        <w:t xml:space="preserve">Sigatoka </w:t>
      </w:r>
      <w:r w:rsidRPr="00803960">
        <w:t>Negra. Essa instrução aprovou os critérios para implantação e manutenção de área livre e sistema de mitigação de risco. No acompanhamento oficial da CDA</w:t>
      </w:r>
      <w:r w:rsidRPr="00803960">
        <w:rPr>
          <w:b/>
          <w:bCs/>
        </w:rPr>
        <w:t xml:space="preserve">, </w:t>
      </w:r>
      <w:r w:rsidRPr="00803960">
        <w:t>foram realizadas 404 inspeções nos estabelecimentos cadastrados, com emissão de 7.641 Permissões de Trânsito de Vegetais - PTVs. Os técnicos habilitados emitiram</w:t>
      </w:r>
      <w:r>
        <w:t xml:space="preserve"> 2.579 Certificados Fitossanitários de Origem e Certificados Fitossanitários de Origem Consolidado</w:t>
      </w:r>
      <w:r w:rsidR="00803960">
        <w:rPr>
          <w:b/>
        </w:rPr>
        <w:t>.</w:t>
      </w:r>
    </w:p>
    <w:p w:rsidR="003E6588" w:rsidRPr="00803960" w:rsidRDefault="003E6588">
      <w:pPr>
        <w:ind w:firstLine="1134"/>
        <w:jc w:val="both"/>
      </w:pPr>
    </w:p>
    <w:p w:rsidR="003E6588" w:rsidRPr="000B028A" w:rsidRDefault="003E6588">
      <w:pPr>
        <w:ind w:firstLine="1134"/>
        <w:jc w:val="both"/>
        <w:rPr>
          <w:b/>
        </w:rPr>
      </w:pPr>
      <w:r w:rsidRPr="000B028A">
        <w:rPr>
          <w:b/>
        </w:rPr>
        <w:t>Sistema de mitigação de risco para sigatoka negra</w:t>
      </w:r>
    </w:p>
    <w:p w:rsidR="003E6588" w:rsidRPr="000B028A" w:rsidRDefault="003E6588">
      <w:pPr>
        <w:jc w:val="both"/>
        <w:rPr>
          <w:b/>
        </w:rPr>
      </w:pPr>
    </w:p>
    <w:tbl>
      <w:tblPr>
        <w:tblW w:w="3062" w:type="pct"/>
        <w:jc w:val="center"/>
        <w:tblInd w:w="545" w:type="dxa"/>
        <w:tblLayout w:type="fixed"/>
        <w:tblCellMar>
          <w:left w:w="70" w:type="dxa"/>
          <w:right w:w="70" w:type="dxa"/>
        </w:tblCellMar>
        <w:tblLook w:val="0000"/>
      </w:tblPr>
      <w:tblGrid>
        <w:gridCol w:w="4199"/>
        <w:gridCol w:w="1994"/>
      </w:tblGrid>
      <w:tr w:rsidR="003E6588" w:rsidTr="00DA3F99">
        <w:trPr>
          <w:trHeight w:val="91"/>
          <w:jc w:val="center"/>
        </w:trPr>
        <w:tc>
          <w:tcPr>
            <w:tcW w:w="4199" w:type="dxa"/>
            <w:tcBorders>
              <w:top w:val="single" w:sz="8" w:space="0" w:color="auto"/>
              <w:left w:val="nil"/>
              <w:bottom w:val="single" w:sz="8" w:space="0" w:color="auto"/>
            </w:tcBorders>
            <w:shd w:val="clear" w:color="auto" w:fill="FFFFFF"/>
            <w:vAlign w:val="center"/>
          </w:tcPr>
          <w:p w:rsidR="003E6588" w:rsidRDefault="003E6588">
            <w:pPr>
              <w:rPr>
                <w:b/>
                <w:bCs/>
                <w:sz w:val="20"/>
                <w:szCs w:val="20"/>
              </w:rPr>
            </w:pPr>
            <w:r>
              <w:rPr>
                <w:b/>
                <w:bCs/>
                <w:sz w:val="20"/>
                <w:szCs w:val="20"/>
              </w:rPr>
              <w:t>Produto/Indicador</w:t>
            </w:r>
          </w:p>
        </w:tc>
        <w:tc>
          <w:tcPr>
            <w:tcW w:w="1994" w:type="dxa"/>
            <w:tcBorders>
              <w:top w:val="single" w:sz="8" w:space="0" w:color="auto"/>
              <w:bottom w:val="single" w:sz="8" w:space="0" w:color="auto"/>
              <w:right w:val="nil"/>
            </w:tcBorders>
            <w:shd w:val="clear" w:color="auto" w:fill="FFFFFF"/>
            <w:vAlign w:val="center"/>
          </w:tcPr>
          <w:p w:rsidR="003E6588" w:rsidRDefault="003E6588">
            <w:pPr>
              <w:rPr>
                <w:b/>
                <w:bCs/>
                <w:sz w:val="20"/>
                <w:szCs w:val="20"/>
              </w:rPr>
            </w:pPr>
          </w:p>
        </w:tc>
      </w:tr>
      <w:tr w:rsidR="003E6588" w:rsidTr="00DA3F99">
        <w:trPr>
          <w:trHeight w:val="109"/>
          <w:jc w:val="center"/>
        </w:trPr>
        <w:tc>
          <w:tcPr>
            <w:tcW w:w="4199" w:type="dxa"/>
            <w:tcBorders>
              <w:top w:val="single" w:sz="8" w:space="0" w:color="auto"/>
              <w:left w:val="nil"/>
            </w:tcBorders>
            <w:vAlign w:val="center"/>
          </w:tcPr>
          <w:p w:rsidR="003E6588" w:rsidRDefault="003E6588">
            <w:pPr>
              <w:jc w:val="both"/>
              <w:rPr>
                <w:sz w:val="20"/>
                <w:szCs w:val="20"/>
              </w:rPr>
            </w:pPr>
            <w:r>
              <w:rPr>
                <w:sz w:val="20"/>
                <w:szCs w:val="20"/>
              </w:rPr>
              <w:t>Unidades de Produção Cadastradas (ha)</w:t>
            </w:r>
          </w:p>
        </w:tc>
        <w:tc>
          <w:tcPr>
            <w:tcW w:w="1994" w:type="dxa"/>
            <w:tcBorders>
              <w:top w:val="single" w:sz="8" w:space="0" w:color="auto"/>
              <w:right w:val="nil"/>
            </w:tcBorders>
            <w:shd w:val="clear" w:color="auto" w:fill="FFFFFF"/>
            <w:vAlign w:val="center"/>
          </w:tcPr>
          <w:p w:rsidR="003E6588" w:rsidRDefault="003E6588">
            <w:pPr>
              <w:rPr>
                <w:sz w:val="20"/>
                <w:szCs w:val="20"/>
              </w:rPr>
            </w:pPr>
            <w:r>
              <w:rPr>
                <w:bCs/>
                <w:sz w:val="20"/>
                <w:szCs w:val="20"/>
              </w:rPr>
              <w:t>9.519</w:t>
            </w:r>
          </w:p>
        </w:tc>
      </w:tr>
      <w:tr w:rsidR="003E6588" w:rsidTr="00DA3F99">
        <w:trPr>
          <w:trHeight w:val="57"/>
          <w:jc w:val="center"/>
        </w:trPr>
        <w:tc>
          <w:tcPr>
            <w:tcW w:w="4199" w:type="dxa"/>
            <w:tcBorders>
              <w:left w:val="nil"/>
            </w:tcBorders>
            <w:shd w:val="clear" w:color="auto" w:fill="FFFFFF"/>
            <w:vAlign w:val="center"/>
          </w:tcPr>
          <w:p w:rsidR="003E6588" w:rsidRDefault="003E6588">
            <w:pPr>
              <w:jc w:val="both"/>
              <w:rPr>
                <w:sz w:val="20"/>
                <w:szCs w:val="20"/>
              </w:rPr>
            </w:pPr>
            <w:r>
              <w:rPr>
                <w:sz w:val="20"/>
                <w:szCs w:val="20"/>
              </w:rPr>
              <w:t>Mudas produzidas sob o sistema (unidade)</w:t>
            </w:r>
          </w:p>
        </w:tc>
        <w:tc>
          <w:tcPr>
            <w:tcW w:w="1994" w:type="dxa"/>
            <w:tcBorders>
              <w:right w:val="nil"/>
            </w:tcBorders>
            <w:shd w:val="clear" w:color="auto" w:fill="FFFFFF"/>
            <w:vAlign w:val="center"/>
          </w:tcPr>
          <w:p w:rsidR="003E6588" w:rsidRDefault="003E6588">
            <w:pPr>
              <w:rPr>
                <w:sz w:val="20"/>
                <w:szCs w:val="20"/>
              </w:rPr>
            </w:pPr>
            <w:r>
              <w:rPr>
                <w:sz w:val="20"/>
                <w:szCs w:val="20"/>
              </w:rPr>
              <w:t>4.600.000</w:t>
            </w:r>
          </w:p>
        </w:tc>
      </w:tr>
      <w:tr w:rsidR="003E6588" w:rsidTr="00DA3F99">
        <w:trPr>
          <w:trHeight w:val="204"/>
          <w:jc w:val="center"/>
        </w:trPr>
        <w:tc>
          <w:tcPr>
            <w:tcW w:w="4199" w:type="dxa"/>
            <w:tcBorders>
              <w:left w:val="nil"/>
              <w:bottom w:val="single" w:sz="8" w:space="0" w:color="auto"/>
            </w:tcBorders>
            <w:shd w:val="clear" w:color="auto" w:fill="FFFFFF"/>
            <w:vAlign w:val="center"/>
          </w:tcPr>
          <w:p w:rsidR="003E6588" w:rsidRDefault="003E6588">
            <w:pPr>
              <w:jc w:val="both"/>
              <w:rPr>
                <w:sz w:val="20"/>
                <w:szCs w:val="20"/>
              </w:rPr>
            </w:pPr>
            <w:r>
              <w:rPr>
                <w:sz w:val="20"/>
                <w:szCs w:val="20"/>
              </w:rPr>
              <w:t>Bananas comercializadas no sistema (ton.)</w:t>
            </w:r>
          </w:p>
        </w:tc>
        <w:tc>
          <w:tcPr>
            <w:tcW w:w="1994" w:type="dxa"/>
            <w:tcBorders>
              <w:bottom w:val="single" w:sz="8" w:space="0" w:color="auto"/>
              <w:right w:val="nil"/>
            </w:tcBorders>
            <w:shd w:val="clear" w:color="auto" w:fill="FFFFFF"/>
            <w:vAlign w:val="center"/>
          </w:tcPr>
          <w:p w:rsidR="003E6588" w:rsidRDefault="003E6588">
            <w:pPr>
              <w:rPr>
                <w:sz w:val="20"/>
                <w:szCs w:val="20"/>
              </w:rPr>
            </w:pPr>
            <w:r>
              <w:rPr>
                <w:sz w:val="20"/>
                <w:szCs w:val="20"/>
              </w:rPr>
              <w:t>89.734</w:t>
            </w:r>
          </w:p>
        </w:tc>
      </w:tr>
    </w:tbl>
    <w:p w:rsidR="003E6588" w:rsidRDefault="003E6588">
      <w:pPr>
        <w:jc w:val="both"/>
        <w:rPr>
          <w:b/>
          <w:sz w:val="22"/>
          <w:szCs w:val="22"/>
          <w:u w:val="single"/>
        </w:rPr>
      </w:pPr>
    </w:p>
    <w:p w:rsidR="003E6588" w:rsidRPr="003C1094" w:rsidRDefault="003E6588">
      <w:pPr>
        <w:ind w:firstLine="1134"/>
        <w:jc w:val="both"/>
        <w:rPr>
          <w:b/>
          <w:spacing w:val="5"/>
        </w:rPr>
      </w:pPr>
      <w:r w:rsidRPr="003C1094">
        <w:rPr>
          <w:b/>
        </w:rPr>
        <w:t>Fiscalização do Uso do Solo e de Agrotóxicos -</w:t>
      </w:r>
      <w:r w:rsidRPr="003C1094">
        <w:t xml:space="preserve"> O monitoramento do uso do solo, da água e de agrotóxicos</w:t>
      </w:r>
      <w:r w:rsidRPr="003C1094">
        <w:rPr>
          <w:spacing w:val="5"/>
        </w:rPr>
        <w:t xml:space="preserve"> é realizado pela CDA, por meio de fiscalizaçöes </w:t>
      </w:r>
      <w:r w:rsidRPr="003C1094">
        <w:t>que visam garantir alimentos saudáveis à população, preservar a saúde do trabalhador rural e a proteção do meio ambiente. No uso e conservação do solo, foram fiscalizadas 549</w:t>
      </w:r>
      <w:r w:rsidRPr="003C1094">
        <w:rPr>
          <w:b/>
        </w:rPr>
        <w:t xml:space="preserve"> </w:t>
      </w:r>
      <w:r w:rsidRPr="003C1094">
        <w:t>propriedades.</w:t>
      </w:r>
      <w:r w:rsidRPr="003C1094">
        <w:rPr>
          <w:b/>
        </w:rPr>
        <w:t xml:space="preserve"> </w:t>
      </w:r>
      <w:r w:rsidRPr="003C1094">
        <w:t>No uso de agrotóxicos</w:t>
      </w:r>
      <w:r w:rsidR="003C1094" w:rsidRPr="003C1094">
        <w:t>,</w:t>
      </w:r>
      <w:r w:rsidRPr="003C1094">
        <w:t xml:space="preserve"> foram fiscalizadas 454 propriedades. No comércio, uso e aplicação de agrotóxicos foram realizadas 1.503</w:t>
      </w:r>
      <w:r w:rsidR="003C1094" w:rsidRPr="003C1094">
        <w:t xml:space="preserve"> fiscalizações.</w:t>
      </w:r>
    </w:p>
    <w:p w:rsidR="003E6588" w:rsidRPr="000B028A" w:rsidRDefault="003E6588">
      <w:pPr>
        <w:jc w:val="both"/>
        <w:rPr>
          <w:b/>
        </w:rPr>
      </w:pPr>
    </w:p>
    <w:p w:rsidR="003E6588" w:rsidRPr="000B028A" w:rsidRDefault="003E6588">
      <w:pPr>
        <w:ind w:firstLine="1134"/>
        <w:jc w:val="both"/>
        <w:rPr>
          <w:b/>
        </w:rPr>
      </w:pPr>
      <w:r w:rsidRPr="000B028A">
        <w:rPr>
          <w:b/>
        </w:rPr>
        <w:t>Fiscalização do uso do solo e de agrotóxicos</w:t>
      </w:r>
    </w:p>
    <w:p w:rsidR="003E6588" w:rsidRPr="000B028A" w:rsidRDefault="003E6588">
      <w:pPr>
        <w:jc w:val="both"/>
        <w:rPr>
          <w:b/>
        </w:rPr>
      </w:pPr>
    </w:p>
    <w:tbl>
      <w:tblPr>
        <w:tblW w:w="4390" w:type="pct"/>
        <w:jc w:val="center"/>
        <w:tblInd w:w="-110" w:type="dxa"/>
        <w:tblCellMar>
          <w:left w:w="70" w:type="dxa"/>
          <w:right w:w="70" w:type="dxa"/>
        </w:tblCellMar>
        <w:tblLook w:val="0000"/>
      </w:tblPr>
      <w:tblGrid>
        <w:gridCol w:w="5974"/>
        <w:gridCol w:w="1984"/>
        <w:gridCol w:w="920"/>
      </w:tblGrid>
      <w:tr w:rsidR="003E6588" w:rsidTr="00DA3F99">
        <w:trPr>
          <w:trHeight w:val="183"/>
          <w:tblHeader/>
          <w:jc w:val="center"/>
        </w:trPr>
        <w:tc>
          <w:tcPr>
            <w:tcW w:w="5974" w:type="dxa"/>
            <w:tcBorders>
              <w:top w:val="single" w:sz="8" w:space="0" w:color="auto"/>
              <w:bottom w:val="single" w:sz="8" w:space="0" w:color="auto"/>
            </w:tcBorders>
            <w:shd w:val="clear" w:color="auto" w:fill="FFFFFF"/>
            <w:vAlign w:val="bottom"/>
          </w:tcPr>
          <w:p w:rsidR="003E6588" w:rsidRDefault="003E6588">
            <w:pPr>
              <w:rPr>
                <w:b/>
                <w:bCs/>
                <w:sz w:val="20"/>
                <w:szCs w:val="20"/>
              </w:rPr>
            </w:pPr>
            <w:r>
              <w:rPr>
                <w:b/>
                <w:bCs/>
                <w:sz w:val="20"/>
                <w:szCs w:val="20"/>
              </w:rPr>
              <w:t>Produto/Indicador</w:t>
            </w:r>
          </w:p>
        </w:tc>
        <w:tc>
          <w:tcPr>
            <w:tcW w:w="1984" w:type="dxa"/>
            <w:tcBorders>
              <w:top w:val="single" w:sz="8" w:space="0" w:color="auto"/>
              <w:bottom w:val="single" w:sz="8" w:space="0" w:color="auto"/>
            </w:tcBorders>
            <w:shd w:val="clear" w:color="auto" w:fill="FFFFFF"/>
            <w:vAlign w:val="center"/>
          </w:tcPr>
          <w:p w:rsidR="003E6588" w:rsidRDefault="003E6588">
            <w:pPr>
              <w:rPr>
                <w:b/>
                <w:bCs/>
                <w:sz w:val="20"/>
                <w:szCs w:val="20"/>
              </w:rPr>
            </w:pPr>
            <w:r>
              <w:rPr>
                <w:b/>
                <w:bCs/>
                <w:sz w:val="20"/>
                <w:szCs w:val="20"/>
              </w:rPr>
              <w:t>Unidade</w:t>
            </w:r>
          </w:p>
        </w:tc>
        <w:tc>
          <w:tcPr>
            <w:tcW w:w="920" w:type="dxa"/>
            <w:tcBorders>
              <w:top w:val="single" w:sz="8" w:space="0" w:color="auto"/>
              <w:bottom w:val="single" w:sz="8" w:space="0" w:color="auto"/>
            </w:tcBorders>
            <w:shd w:val="clear" w:color="auto" w:fill="FFFFFF"/>
            <w:vAlign w:val="center"/>
          </w:tcPr>
          <w:p w:rsidR="003E6588" w:rsidRDefault="003E6588">
            <w:pPr>
              <w:rPr>
                <w:bCs/>
                <w:sz w:val="20"/>
                <w:szCs w:val="20"/>
              </w:rPr>
            </w:pPr>
          </w:p>
        </w:tc>
      </w:tr>
      <w:tr w:rsidR="003E6588" w:rsidTr="00DA3F99">
        <w:trPr>
          <w:trHeight w:val="83"/>
          <w:jc w:val="center"/>
        </w:trPr>
        <w:tc>
          <w:tcPr>
            <w:tcW w:w="5974" w:type="dxa"/>
            <w:tcBorders>
              <w:top w:val="single" w:sz="8" w:space="0" w:color="auto"/>
            </w:tcBorders>
            <w:shd w:val="clear" w:color="auto" w:fill="FFFFFF"/>
            <w:vAlign w:val="bottom"/>
          </w:tcPr>
          <w:p w:rsidR="003E6588" w:rsidRDefault="003E6588">
            <w:pPr>
              <w:jc w:val="both"/>
              <w:rPr>
                <w:sz w:val="20"/>
                <w:szCs w:val="20"/>
              </w:rPr>
            </w:pPr>
            <w:r>
              <w:rPr>
                <w:sz w:val="20"/>
                <w:szCs w:val="20"/>
              </w:rPr>
              <w:t>Uso e conservação do solo</w:t>
            </w:r>
          </w:p>
        </w:tc>
        <w:tc>
          <w:tcPr>
            <w:tcW w:w="1984" w:type="dxa"/>
            <w:tcBorders>
              <w:top w:val="single" w:sz="8" w:space="0" w:color="auto"/>
            </w:tcBorders>
            <w:shd w:val="clear" w:color="auto" w:fill="FFFFFF"/>
            <w:vAlign w:val="center"/>
          </w:tcPr>
          <w:p w:rsidR="003E6588" w:rsidRDefault="003E6588">
            <w:pPr>
              <w:jc w:val="both"/>
              <w:rPr>
                <w:sz w:val="20"/>
                <w:szCs w:val="20"/>
              </w:rPr>
            </w:pPr>
            <w:r>
              <w:rPr>
                <w:sz w:val="20"/>
                <w:szCs w:val="20"/>
              </w:rPr>
              <w:t>Propriedades</w:t>
            </w:r>
          </w:p>
        </w:tc>
        <w:tc>
          <w:tcPr>
            <w:tcW w:w="920" w:type="dxa"/>
            <w:tcBorders>
              <w:top w:val="single" w:sz="8" w:space="0" w:color="auto"/>
            </w:tcBorders>
            <w:shd w:val="clear" w:color="auto" w:fill="FFFFFF"/>
            <w:vAlign w:val="center"/>
          </w:tcPr>
          <w:p w:rsidR="003E6588" w:rsidRDefault="003E6588">
            <w:pPr>
              <w:rPr>
                <w:sz w:val="20"/>
                <w:szCs w:val="20"/>
              </w:rPr>
            </w:pPr>
            <w:r>
              <w:rPr>
                <w:sz w:val="20"/>
                <w:szCs w:val="20"/>
              </w:rPr>
              <w:t>549</w:t>
            </w:r>
          </w:p>
        </w:tc>
      </w:tr>
      <w:tr w:rsidR="003E6588">
        <w:trPr>
          <w:trHeight w:val="132"/>
          <w:jc w:val="center"/>
        </w:trPr>
        <w:tc>
          <w:tcPr>
            <w:tcW w:w="5974" w:type="dxa"/>
            <w:shd w:val="clear" w:color="auto" w:fill="FFFFFF"/>
            <w:vAlign w:val="bottom"/>
          </w:tcPr>
          <w:p w:rsidR="003E6588" w:rsidRDefault="003E6588">
            <w:pPr>
              <w:jc w:val="both"/>
              <w:rPr>
                <w:sz w:val="20"/>
                <w:szCs w:val="20"/>
              </w:rPr>
            </w:pPr>
            <w:r>
              <w:rPr>
                <w:sz w:val="20"/>
                <w:szCs w:val="20"/>
              </w:rPr>
              <w:t xml:space="preserve">Uso de agrotóxicos </w:t>
            </w:r>
          </w:p>
        </w:tc>
        <w:tc>
          <w:tcPr>
            <w:tcW w:w="1984" w:type="dxa"/>
            <w:shd w:val="clear" w:color="auto" w:fill="FFFFFF"/>
            <w:vAlign w:val="center"/>
          </w:tcPr>
          <w:p w:rsidR="003E6588" w:rsidRDefault="003E6588">
            <w:pPr>
              <w:jc w:val="both"/>
              <w:rPr>
                <w:sz w:val="20"/>
                <w:szCs w:val="20"/>
              </w:rPr>
            </w:pPr>
            <w:r>
              <w:rPr>
                <w:sz w:val="20"/>
                <w:szCs w:val="20"/>
              </w:rPr>
              <w:t>Propriedades</w:t>
            </w:r>
          </w:p>
        </w:tc>
        <w:tc>
          <w:tcPr>
            <w:tcW w:w="920" w:type="dxa"/>
            <w:shd w:val="clear" w:color="auto" w:fill="FFFFFF"/>
            <w:vAlign w:val="center"/>
          </w:tcPr>
          <w:p w:rsidR="003E6588" w:rsidRDefault="003E6588">
            <w:pPr>
              <w:rPr>
                <w:sz w:val="20"/>
                <w:szCs w:val="20"/>
              </w:rPr>
            </w:pPr>
            <w:r>
              <w:rPr>
                <w:sz w:val="20"/>
                <w:szCs w:val="20"/>
              </w:rPr>
              <w:t>454</w:t>
            </w:r>
          </w:p>
        </w:tc>
      </w:tr>
      <w:tr w:rsidR="003E6588">
        <w:trPr>
          <w:trHeight w:val="54"/>
          <w:jc w:val="center"/>
        </w:trPr>
        <w:tc>
          <w:tcPr>
            <w:tcW w:w="5974" w:type="dxa"/>
            <w:shd w:val="clear" w:color="auto" w:fill="FFFFFF"/>
            <w:vAlign w:val="bottom"/>
          </w:tcPr>
          <w:p w:rsidR="003E6588" w:rsidRDefault="003E6588">
            <w:pPr>
              <w:jc w:val="both"/>
              <w:rPr>
                <w:sz w:val="20"/>
                <w:szCs w:val="20"/>
              </w:rPr>
            </w:pPr>
            <w:r>
              <w:rPr>
                <w:sz w:val="20"/>
                <w:szCs w:val="20"/>
              </w:rPr>
              <w:t>Fiscalização do comércio</w:t>
            </w:r>
          </w:p>
        </w:tc>
        <w:tc>
          <w:tcPr>
            <w:tcW w:w="1984" w:type="dxa"/>
            <w:shd w:val="clear" w:color="auto" w:fill="FFFFFF"/>
            <w:vAlign w:val="center"/>
          </w:tcPr>
          <w:p w:rsidR="003E6588" w:rsidRDefault="003E6588">
            <w:pPr>
              <w:jc w:val="both"/>
              <w:rPr>
                <w:sz w:val="20"/>
                <w:szCs w:val="20"/>
              </w:rPr>
            </w:pPr>
            <w:r>
              <w:rPr>
                <w:sz w:val="20"/>
                <w:szCs w:val="20"/>
              </w:rPr>
              <w:t>Comerciantes</w:t>
            </w:r>
          </w:p>
        </w:tc>
        <w:tc>
          <w:tcPr>
            <w:tcW w:w="920" w:type="dxa"/>
            <w:shd w:val="clear" w:color="auto" w:fill="FFFFFF"/>
            <w:vAlign w:val="center"/>
          </w:tcPr>
          <w:p w:rsidR="003E6588" w:rsidRDefault="003E6588">
            <w:pPr>
              <w:rPr>
                <w:sz w:val="20"/>
                <w:szCs w:val="20"/>
              </w:rPr>
            </w:pPr>
            <w:r>
              <w:rPr>
                <w:sz w:val="20"/>
                <w:szCs w:val="20"/>
              </w:rPr>
              <w:t>911</w:t>
            </w:r>
          </w:p>
        </w:tc>
      </w:tr>
      <w:tr w:rsidR="003E6588" w:rsidTr="00DA3F99">
        <w:trPr>
          <w:trHeight w:val="238"/>
          <w:jc w:val="center"/>
        </w:trPr>
        <w:tc>
          <w:tcPr>
            <w:tcW w:w="5974" w:type="dxa"/>
            <w:shd w:val="clear" w:color="auto" w:fill="FFFFFF"/>
            <w:vAlign w:val="bottom"/>
          </w:tcPr>
          <w:p w:rsidR="003E6588" w:rsidRDefault="003E6588">
            <w:pPr>
              <w:jc w:val="both"/>
              <w:rPr>
                <w:sz w:val="20"/>
                <w:szCs w:val="20"/>
              </w:rPr>
            </w:pPr>
            <w:r>
              <w:rPr>
                <w:sz w:val="20"/>
                <w:szCs w:val="20"/>
              </w:rPr>
              <w:t>Fiscalização de empresas prestadoras de serviços na aplicação de agrotóxicos</w:t>
            </w:r>
          </w:p>
        </w:tc>
        <w:tc>
          <w:tcPr>
            <w:tcW w:w="1984" w:type="dxa"/>
            <w:shd w:val="clear" w:color="auto" w:fill="FFFFFF"/>
            <w:vAlign w:val="center"/>
          </w:tcPr>
          <w:p w:rsidR="003E6588" w:rsidRDefault="003E6588">
            <w:pPr>
              <w:jc w:val="both"/>
              <w:rPr>
                <w:sz w:val="20"/>
                <w:szCs w:val="20"/>
              </w:rPr>
            </w:pPr>
            <w:r>
              <w:rPr>
                <w:sz w:val="20"/>
                <w:szCs w:val="20"/>
              </w:rPr>
              <w:t>Empresas fiscalizadas</w:t>
            </w:r>
          </w:p>
        </w:tc>
        <w:tc>
          <w:tcPr>
            <w:tcW w:w="920" w:type="dxa"/>
            <w:shd w:val="clear" w:color="auto" w:fill="FFFFFF"/>
            <w:vAlign w:val="center"/>
          </w:tcPr>
          <w:p w:rsidR="003E6588" w:rsidRDefault="003E6588">
            <w:pPr>
              <w:rPr>
                <w:sz w:val="20"/>
                <w:szCs w:val="20"/>
              </w:rPr>
            </w:pPr>
            <w:r>
              <w:rPr>
                <w:sz w:val="20"/>
                <w:szCs w:val="20"/>
              </w:rPr>
              <w:t>105</w:t>
            </w:r>
          </w:p>
        </w:tc>
      </w:tr>
      <w:tr w:rsidR="003E6588" w:rsidTr="00DA3F99">
        <w:trPr>
          <w:trHeight w:val="202"/>
          <w:jc w:val="center"/>
        </w:trPr>
        <w:tc>
          <w:tcPr>
            <w:tcW w:w="5974" w:type="dxa"/>
            <w:tcBorders>
              <w:bottom w:val="single" w:sz="8" w:space="0" w:color="auto"/>
            </w:tcBorders>
            <w:shd w:val="clear" w:color="auto" w:fill="FFFFFF"/>
            <w:vAlign w:val="bottom"/>
          </w:tcPr>
          <w:p w:rsidR="003E6588" w:rsidRDefault="003E6588">
            <w:pPr>
              <w:jc w:val="both"/>
              <w:rPr>
                <w:sz w:val="20"/>
                <w:szCs w:val="20"/>
              </w:rPr>
            </w:pPr>
            <w:r>
              <w:rPr>
                <w:sz w:val="20"/>
                <w:szCs w:val="20"/>
              </w:rPr>
              <w:t>Postos e centrais de recebimento de embalagens vazias</w:t>
            </w:r>
          </w:p>
        </w:tc>
        <w:tc>
          <w:tcPr>
            <w:tcW w:w="1984" w:type="dxa"/>
            <w:tcBorders>
              <w:bottom w:val="single" w:sz="8" w:space="0" w:color="auto"/>
            </w:tcBorders>
            <w:shd w:val="clear" w:color="auto" w:fill="FFFFFF"/>
            <w:vAlign w:val="center"/>
          </w:tcPr>
          <w:p w:rsidR="003E6588" w:rsidRDefault="003E6588">
            <w:pPr>
              <w:jc w:val="both"/>
              <w:rPr>
                <w:sz w:val="20"/>
                <w:szCs w:val="20"/>
              </w:rPr>
            </w:pPr>
            <w:r>
              <w:rPr>
                <w:sz w:val="20"/>
                <w:szCs w:val="20"/>
              </w:rPr>
              <w:t>Unidades fiscalizadas</w:t>
            </w:r>
          </w:p>
        </w:tc>
        <w:tc>
          <w:tcPr>
            <w:tcW w:w="920" w:type="dxa"/>
            <w:tcBorders>
              <w:bottom w:val="single" w:sz="8" w:space="0" w:color="auto"/>
            </w:tcBorders>
            <w:shd w:val="clear" w:color="auto" w:fill="FFFFFF"/>
            <w:vAlign w:val="center"/>
          </w:tcPr>
          <w:p w:rsidR="003E6588" w:rsidRDefault="003E6588">
            <w:pPr>
              <w:rPr>
                <w:sz w:val="20"/>
                <w:szCs w:val="20"/>
              </w:rPr>
            </w:pPr>
            <w:r>
              <w:rPr>
                <w:sz w:val="20"/>
                <w:szCs w:val="20"/>
              </w:rPr>
              <w:t>33</w:t>
            </w:r>
          </w:p>
        </w:tc>
      </w:tr>
    </w:tbl>
    <w:p w:rsidR="003E6588" w:rsidRDefault="003E6588">
      <w:pPr>
        <w:jc w:val="both"/>
        <w:rPr>
          <w:b/>
          <w:sz w:val="22"/>
          <w:szCs w:val="22"/>
          <w:u w:val="single"/>
        </w:rPr>
      </w:pPr>
    </w:p>
    <w:p w:rsidR="003E6588" w:rsidRPr="003C1094" w:rsidRDefault="003E6588">
      <w:pPr>
        <w:ind w:firstLine="1134"/>
        <w:jc w:val="both"/>
      </w:pPr>
      <w:r w:rsidRPr="003C1094">
        <w:rPr>
          <w:b/>
          <w:spacing w:val="-4"/>
        </w:rPr>
        <w:t xml:space="preserve">Sistema de Manejo de Risco para Pinta Preta dos Citros - </w:t>
      </w:r>
      <w:r w:rsidRPr="003C1094">
        <w:t>Esta atividade é executada para viabilizar a exportação de citros para a Comunidade Europeia, com autorização do MAPA. Foram cadastradas 9 propriedades, e exportadas 77.000 toneladas de frutas frescas.</w:t>
      </w:r>
    </w:p>
    <w:p w:rsidR="003E6588" w:rsidRPr="003C1094" w:rsidRDefault="003E6588">
      <w:pPr>
        <w:ind w:firstLine="1134"/>
        <w:jc w:val="both"/>
      </w:pPr>
    </w:p>
    <w:p w:rsidR="003E6588" w:rsidRPr="003C1094" w:rsidRDefault="003E6588">
      <w:pPr>
        <w:ind w:firstLine="1134"/>
        <w:jc w:val="both"/>
        <w:rPr>
          <w:b/>
          <w:u w:val="single"/>
        </w:rPr>
      </w:pPr>
      <w:r>
        <w:rPr>
          <w:b/>
        </w:rPr>
        <w:t xml:space="preserve">Vigilância Sanitária Animal e Vegetal - </w:t>
      </w:r>
      <w:r w:rsidR="003C1094" w:rsidRPr="003C1094">
        <w:t xml:space="preserve">Principal </w:t>
      </w:r>
      <w:r w:rsidRPr="003C1094">
        <w:t>atividade consiste na fiscalização do trânsito de animais e vegetais, bem como de seus produtos e subprodutos. A CDA realizou 1.153 fiscalizações volantes e 1.211 fiscalizações em postos fixos, que resultaram na fiscalização de 18.173 veículos transportadores, sendo 7.993 veículos com animais vivos,</w:t>
      </w:r>
      <w:r w:rsidRPr="003C1094">
        <w:rPr>
          <w:b/>
        </w:rPr>
        <w:t xml:space="preserve"> </w:t>
      </w:r>
      <w:r w:rsidRPr="003C1094">
        <w:t>9.904 veículos com produtos de origem animal e</w:t>
      </w:r>
      <w:r w:rsidRPr="003C1094">
        <w:rPr>
          <w:b/>
        </w:rPr>
        <w:t xml:space="preserve"> </w:t>
      </w:r>
      <w:r w:rsidRPr="003C1094">
        <w:t>276 veículos com produtos de origem vegetal.</w:t>
      </w:r>
    </w:p>
    <w:p w:rsidR="003E6588" w:rsidRDefault="003E6588">
      <w:pPr>
        <w:ind w:left="2832"/>
        <w:jc w:val="both"/>
        <w:rPr>
          <w:b/>
        </w:rPr>
      </w:pPr>
    </w:p>
    <w:p w:rsidR="003E6588" w:rsidRDefault="003E6588">
      <w:pPr>
        <w:pStyle w:val="PargrafodaLista"/>
        <w:ind w:left="0" w:firstLine="1134"/>
        <w:rPr>
          <w:rFonts w:ascii="Times New Roman" w:hAnsi="Times New Roman"/>
          <w:b/>
          <w:szCs w:val="24"/>
        </w:rPr>
      </w:pPr>
      <w:r>
        <w:rPr>
          <w:rFonts w:ascii="Times New Roman" w:hAnsi="Times New Roman"/>
          <w:b/>
          <w:sz w:val="24"/>
          <w:szCs w:val="24"/>
        </w:rPr>
        <w:t xml:space="preserve">Gestão da Defesa Agropecuária - </w:t>
      </w:r>
      <w:r w:rsidRPr="003C1094">
        <w:rPr>
          <w:rFonts w:ascii="Times New Roman" w:hAnsi="Times New Roman"/>
          <w:sz w:val="24"/>
          <w:szCs w:val="24"/>
        </w:rPr>
        <w:t xml:space="preserve">A Coordenadoria de Defesa Agropecuária </w:t>
      </w:r>
      <w:r w:rsidR="003C1094" w:rsidRPr="003C1094">
        <w:rPr>
          <w:rFonts w:ascii="Times New Roman" w:hAnsi="Times New Roman"/>
          <w:sz w:val="24"/>
          <w:szCs w:val="24"/>
        </w:rPr>
        <w:t xml:space="preserve">tem </w:t>
      </w:r>
      <w:r w:rsidRPr="003C1094">
        <w:rPr>
          <w:rFonts w:ascii="Times New Roman" w:hAnsi="Times New Roman"/>
          <w:sz w:val="24"/>
          <w:szCs w:val="24"/>
        </w:rPr>
        <w:t xml:space="preserve">312 unidades em operação. Dentre as diversas atividades, destaca-se a implantação do Sistema de Gestão de Defesa Animal e Vegetal - GEDAVE, em parceria com a Companhia de Processamento de Dados do </w:t>
      </w:r>
      <w:r w:rsidRPr="003C1094">
        <w:rPr>
          <w:rFonts w:ascii="Times New Roman" w:hAnsi="Times New Roman"/>
          <w:sz w:val="24"/>
          <w:szCs w:val="24"/>
        </w:rPr>
        <w:lastRenderedPageBreak/>
        <w:t>Estado de São Paulo - PRODESP. Por meio desse sistema, os produtores rurais podem emitir a Permissão de Trânsito Vegetal - PTV, Guias de Trânsito Animal - GTA e realizar as declarações semestrais de seus rebanhos e das vacinações contra a febre aftosa e brucelose</w:t>
      </w:r>
      <w:r>
        <w:rPr>
          <w:rFonts w:ascii="Times New Roman" w:hAnsi="Times New Roman"/>
          <w:sz w:val="24"/>
          <w:szCs w:val="24"/>
        </w:rPr>
        <w:t xml:space="preserve"> utilizando a </w:t>
      </w:r>
      <w:r w:rsidRPr="007B09E6">
        <w:rPr>
          <w:rFonts w:ascii="Times New Roman" w:hAnsi="Times New Roman"/>
          <w:i/>
          <w:sz w:val="24"/>
          <w:szCs w:val="24"/>
        </w:rPr>
        <w:t>internet</w:t>
      </w:r>
      <w:r>
        <w:rPr>
          <w:rFonts w:ascii="Times New Roman" w:hAnsi="Times New Roman"/>
          <w:sz w:val="24"/>
          <w:szCs w:val="24"/>
        </w:rPr>
        <w:t>, não sendo mais necessário o deslocamento até uma unidade da CDA para obtenção dos documentos e/ou realização das declarações. D</w:t>
      </w:r>
      <w:r w:rsidR="003C1094">
        <w:rPr>
          <w:rFonts w:ascii="Times New Roman" w:hAnsi="Times New Roman"/>
          <w:sz w:val="24"/>
          <w:szCs w:val="24"/>
        </w:rPr>
        <w:t>e</w:t>
      </w:r>
      <w:r>
        <w:rPr>
          <w:rFonts w:ascii="Times New Roman" w:hAnsi="Times New Roman"/>
          <w:sz w:val="24"/>
          <w:szCs w:val="24"/>
        </w:rPr>
        <w:t xml:space="preserve"> 800.000 GTAs emitidas e 377.000 declarações de rebanho e vacinações, 50% foram realizadas pelos próprios produtores, acessando o GEDAVE de seus computadores portáteis, nos “PCs” de suas residências, escritórios, sindicatos, no acessa São Paulo e nas unidades do Poupatempo do Produtor Rural.</w:t>
      </w:r>
    </w:p>
    <w:p w:rsidR="003E6588" w:rsidRDefault="003E6588">
      <w:pPr>
        <w:pStyle w:val="PargrafodaLista"/>
        <w:ind w:left="0" w:firstLine="1134"/>
        <w:rPr>
          <w:rFonts w:ascii="Times New Roman" w:hAnsi="Times New Roman"/>
          <w:b/>
          <w:szCs w:val="24"/>
        </w:rPr>
      </w:pPr>
    </w:p>
    <w:p w:rsidR="003E6588" w:rsidRPr="00B94C9A" w:rsidRDefault="003E6588">
      <w:pPr>
        <w:ind w:firstLine="1134"/>
        <w:jc w:val="both"/>
        <w:rPr>
          <w:b/>
          <w:u w:val="single"/>
        </w:rPr>
      </w:pPr>
      <w:r w:rsidRPr="00B94C9A">
        <w:rPr>
          <w:b/>
        </w:rPr>
        <w:t>Infraestrutura das Unidades da Defesa Agropecuária</w:t>
      </w:r>
      <w:r w:rsidR="003C1094" w:rsidRPr="00B94C9A">
        <w:rPr>
          <w:b/>
        </w:rPr>
        <w:t xml:space="preserve"> -</w:t>
      </w:r>
      <w:r w:rsidRPr="00B94C9A">
        <w:t xml:space="preserve"> Destaca-se a conclusão da construção da sede dos Escritórios de Defesa Agropecuária de Araçatuba e Assis, bem como a completa reforma das regionais de Araraquara, Mogi Mirim e Ourinhos. Além disso, a sede da Coordenadoria de Defesa Agropecuária vem passando por extensa readequação, com projeto inovador, com foc</w:t>
      </w:r>
      <w:r w:rsidR="003C1094" w:rsidRPr="00B94C9A">
        <w:t>o</w:t>
      </w:r>
      <w:r w:rsidRPr="00B94C9A">
        <w:t xml:space="preserve"> na sustentabilidade e baixo custo de operação. O total de desembolso entre obras e reformas </w:t>
      </w:r>
      <w:r w:rsidR="00B94C9A" w:rsidRPr="00B94C9A">
        <w:t>foi</w:t>
      </w:r>
      <w:r w:rsidRPr="00B94C9A">
        <w:t xml:space="preserve"> de R$</w:t>
      </w:r>
      <w:r w:rsidR="00B94C9A" w:rsidRPr="00B94C9A">
        <w:t xml:space="preserve"> </w:t>
      </w:r>
      <w:r w:rsidRPr="00B94C9A">
        <w:t>14.071.785,10, alcançando área de 8.200m², quando consideradas as obras de novas áreas construídas, ampliadas e/ou recuperadas.</w:t>
      </w:r>
    </w:p>
    <w:p w:rsidR="003E6588" w:rsidRPr="00B94C9A" w:rsidRDefault="003E6588">
      <w:pPr>
        <w:ind w:left="1134"/>
        <w:jc w:val="both"/>
        <w:rPr>
          <w:b/>
          <w:u w:val="single"/>
        </w:rPr>
      </w:pPr>
    </w:p>
    <w:p w:rsidR="003E6588" w:rsidRPr="00B94C9A" w:rsidRDefault="003E6588">
      <w:pPr>
        <w:ind w:firstLine="1134"/>
        <w:jc w:val="both"/>
      </w:pPr>
      <w:r w:rsidRPr="00B94C9A">
        <w:rPr>
          <w:b/>
        </w:rPr>
        <w:t xml:space="preserve">Vigilância Sanitária Animal e Vigilância Sanitária Vegetal - </w:t>
      </w:r>
      <w:r w:rsidRPr="00B94C9A">
        <w:t>Tem por finalidade salvaguardar o cumprimento da legislação sanitária</w:t>
      </w:r>
      <w:r w:rsidR="00B94C9A" w:rsidRPr="00B94C9A">
        <w:t>,</w:t>
      </w:r>
      <w:r w:rsidRPr="00B94C9A">
        <w:t xml:space="preserve"> com objetivo de preservar as culturas de peculiar interesse econômico e estratégico para o Estado, de promover a melhoria da qualidade dos produtos, serviços e insumos, e à obtenção e manutenção de áreas livres de doenças dos animais e pragas dos vegetais</w:t>
      </w:r>
      <w:r w:rsidRPr="00B94C9A">
        <w:rPr>
          <w:b/>
        </w:rPr>
        <w:t>.</w:t>
      </w:r>
    </w:p>
    <w:p w:rsidR="003E6588" w:rsidRDefault="003E6588">
      <w:pPr>
        <w:jc w:val="both"/>
        <w:rPr>
          <w:b/>
        </w:rPr>
      </w:pPr>
    </w:p>
    <w:p w:rsidR="003E6588" w:rsidRPr="00B94C9A" w:rsidRDefault="003E6588">
      <w:pPr>
        <w:ind w:firstLine="1134"/>
        <w:jc w:val="both"/>
        <w:rPr>
          <w:b/>
        </w:rPr>
      </w:pPr>
      <w:r w:rsidRPr="00B94C9A">
        <w:rPr>
          <w:b/>
        </w:rPr>
        <w:t>Número de fiscalizações da vigilância animal e vegetal</w:t>
      </w:r>
    </w:p>
    <w:p w:rsidR="003E6588" w:rsidRDefault="003E6588">
      <w:pPr>
        <w:jc w:val="both"/>
        <w:rPr>
          <w:b/>
          <w:sz w:val="22"/>
          <w:szCs w:val="22"/>
        </w:rPr>
      </w:pPr>
    </w:p>
    <w:tbl>
      <w:tblPr>
        <w:tblW w:w="1313" w:type="pct"/>
        <w:jc w:val="center"/>
        <w:tblInd w:w="806" w:type="dxa"/>
        <w:tblCellMar>
          <w:left w:w="70" w:type="dxa"/>
          <w:right w:w="70" w:type="dxa"/>
        </w:tblCellMar>
        <w:tblLook w:val="0000"/>
      </w:tblPr>
      <w:tblGrid>
        <w:gridCol w:w="1417"/>
        <w:gridCol w:w="1238"/>
      </w:tblGrid>
      <w:tr w:rsidR="003E6588" w:rsidTr="00DA3F99">
        <w:trPr>
          <w:trHeight w:val="65"/>
          <w:jc w:val="center"/>
        </w:trPr>
        <w:tc>
          <w:tcPr>
            <w:tcW w:w="1417" w:type="dxa"/>
            <w:tcBorders>
              <w:top w:val="single" w:sz="8" w:space="0" w:color="auto"/>
              <w:left w:val="nil"/>
              <w:bottom w:val="single" w:sz="8" w:space="0" w:color="auto"/>
            </w:tcBorders>
            <w:shd w:val="clear" w:color="auto" w:fill="FFFFFF"/>
            <w:noWrap/>
            <w:vAlign w:val="bottom"/>
          </w:tcPr>
          <w:p w:rsidR="003E6588" w:rsidRDefault="003E6588" w:rsidP="00797C42">
            <w:pPr>
              <w:ind w:right="-524"/>
              <w:rPr>
                <w:b/>
                <w:sz w:val="20"/>
                <w:szCs w:val="20"/>
              </w:rPr>
            </w:pPr>
            <w:r>
              <w:rPr>
                <w:b/>
                <w:sz w:val="20"/>
                <w:szCs w:val="20"/>
              </w:rPr>
              <w:t>Indicador</w:t>
            </w:r>
          </w:p>
        </w:tc>
        <w:tc>
          <w:tcPr>
            <w:tcW w:w="1238" w:type="dxa"/>
            <w:tcBorders>
              <w:top w:val="single" w:sz="8" w:space="0" w:color="auto"/>
              <w:bottom w:val="single" w:sz="8" w:space="0" w:color="auto"/>
              <w:right w:val="nil"/>
            </w:tcBorders>
            <w:shd w:val="clear" w:color="auto" w:fill="FFFFFF"/>
            <w:vAlign w:val="center"/>
          </w:tcPr>
          <w:p w:rsidR="003E6588" w:rsidRDefault="003E6588">
            <w:pPr>
              <w:rPr>
                <w:b/>
                <w:bCs/>
                <w:sz w:val="20"/>
                <w:szCs w:val="20"/>
              </w:rPr>
            </w:pPr>
          </w:p>
        </w:tc>
      </w:tr>
      <w:tr w:rsidR="003E6588" w:rsidTr="00DA3F99">
        <w:trPr>
          <w:trHeight w:val="68"/>
          <w:jc w:val="center"/>
        </w:trPr>
        <w:tc>
          <w:tcPr>
            <w:tcW w:w="1417" w:type="dxa"/>
            <w:tcBorders>
              <w:top w:val="single" w:sz="8" w:space="0" w:color="auto"/>
              <w:left w:val="nil"/>
            </w:tcBorders>
            <w:shd w:val="clear" w:color="auto" w:fill="FFFFFF"/>
            <w:vAlign w:val="bottom"/>
          </w:tcPr>
          <w:p w:rsidR="003E6588" w:rsidRDefault="003E6588">
            <w:pPr>
              <w:jc w:val="both"/>
              <w:rPr>
                <w:sz w:val="20"/>
                <w:szCs w:val="20"/>
              </w:rPr>
            </w:pPr>
            <w:r>
              <w:rPr>
                <w:sz w:val="20"/>
                <w:szCs w:val="20"/>
              </w:rPr>
              <w:t>Vegetal</w:t>
            </w:r>
          </w:p>
        </w:tc>
        <w:tc>
          <w:tcPr>
            <w:tcW w:w="1238" w:type="dxa"/>
            <w:tcBorders>
              <w:top w:val="single" w:sz="8" w:space="0" w:color="auto"/>
              <w:right w:val="nil"/>
            </w:tcBorders>
            <w:shd w:val="clear" w:color="auto" w:fill="FFFFFF"/>
            <w:vAlign w:val="center"/>
          </w:tcPr>
          <w:p w:rsidR="003E6588" w:rsidRDefault="003E6588">
            <w:pPr>
              <w:rPr>
                <w:color w:val="000000"/>
                <w:sz w:val="20"/>
                <w:szCs w:val="20"/>
              </w:rPr>
            </w:pPr>
            <w:r>
              <w:rPr>
                <w:color w:val="000000"/>
                <w:sz w:val="20"/>
                <w:szCs w:val="20"/>
              </w:rPr>
              <w:t>127.671</w:t>
            </w:r>
          </w:p>
        </w:tc>
      </w:tr>
      <w:tr w:rsidR="003E6588" w:rsidTr="00DA3F99">
        <w:trPr>
          <w:trHeight w:val="118"/>
          <w:jc w:val="center"/>
        </w:trPr>
        <w:tc>
          <w:tcPr>
            <w:tcW w:w="1417" w:type="dxa"/>
            <w:tcBorders>
              <w:left w:val="nil"/>
              <w:bottom w:val="single" w:sz="8" w:space="0" w:color="auto"/>
            </w:tcBorders>
            <w:shd w:val="clear" w:color="auto" w:fill="FFFFFF"/>
            <w:vAlign w:val="bottom"/>
          </w:tcPr>
          <w:p w:rsidR="003E6588" w:rsidRDefault="003E6588">
            <w:pPr>
              <w:jc w:val="both"/>
              <w:rPr>
                <w:sz w:val="20"/>
                <w:szCs w:val="20"/>
              </w:rPr>
            </w:pPr>
            <w:r>
              <w:rPr>
                <w:sz w:val="20"/>
                <w:szCs w:val="20"/>
              </w:rPr>
              <w:t>Animal</w:t>
            </w:r>
          </w:p>
        </w:tc>
        <w:tc>
          <w:tcPr>
            <w:tcW w:w="1238" w:type="dxa"/>
            <w:tcBorders>
              <w:bottom w:val="single" w:sz="8" w:space="0" w:color="auto"/>
              <w:right w:val="nil"/>
            </w:tcBorders>
            <w:shd w:val="clear" w:color="auto" w:fill="FFFFFF"/>
            <w:vAlign w:val="center"/>
          </w:tcPr>
          <w:p w:rsidR="003E6588" w:rsidRDefault="003E6588">
            <w:pPr>
              <w:rPr>
                <w:color w:val="000000"/>
                <w:sz w:val="20"/>
                <w:szCs w:val="20"/>
              </w:rPr>
            </w:pPr>
            <w:r>
              <w:rPr>
                <w:color w:val="000000"/>
                <w:sz w:val="20"/>
                <w:szCs w:val="20"/>
              </w:rPr>
              <w:t>124.985</w:t>
            </w:r>
          </w:p>
        </w:tc>
      </w:tr>
    </w:tbl>
    <w:p w:rsidR="003E6588" w:rsidRPr="000B028A" w:rsidRDefault="003E6588">
      <w:pPr>
        <w:jc w:val="both"/>
        <w:rPr>
          <w:b/>
        </w:rPr>
      </w:pPr>
    </w:p>
    <w:p w:rsidR="003E6588" w:rsidRPr="000B028A" w:rsidRDefault="003E6588">
      <w:pPr>
        <w:ind w:firstLine="1134"/>
        <w:jc w:val="both"/>
        <w:rPr>
          <w:b/>
        </w:rPr>
      </w:pPr>
      <w:r w:rsidRPr="000B028A">
        <w:rPr>
          <w:b/>
        </w:rPr>
        <w:t>Programa Risco Sanitário Zero</w:t>
      </w:r>
    </w:p>
    <w:p w:rsidR="003E6588" w:rsidRPr="000B028A" w:rsidRDefault="003E6588">
      <w:pPr>
        <w:jc w:val="both"/>
      </w:pPr>
    </w:p>
    <w:p w:rsidR="003E6588" w:rsidRPr="00B94C9A" w:rsidRDefault="003E6588">
      <w:pPr>
        <w:ind w:firstLine="1134"/>
        <w:jc w:val="both"/>
      </w:pPr>
      <w:r w:rsidRPr="00B94C9A">
        <w:t xml:space="preserve">Objetivo </w:t>
      </w:r>
      <w:r w:rsidRPr="00B94C9A">
        <w:rPr>
          <w:b/>
        </w:rPr>
        <w:t>-</w:t>
      </w:r>
      <w:r w:rsidRPr="00B94C9A">
        <w:t xml:space="preserve"> Modernizar as estruturas de vigilância do sistema estadual de defesa sanitária, a fim de estabelecer processo de inteligência sanitária capaz de responder rapidamente a eventos que ponham em risco a sanidade agropecuária e de enfrentar o desafio de assegurar que a qualidade dos alimentos seja atestada amplamente no território paulista.</w:t>
      </w:r>
    </w:p>
    <w:p w:rsidR="003E6588" w:rsidRPr="00B94C9A" w:rsidRDefault="003E6588">
      <w:pPr>
        <w:ind w:firstLine="1134"/>
        <w:jc w:val="both"/>
        <w:rPr>
          <w:snapToGrid w:val="0"/>
        </w:rPr>
      </w:pPr>
    </w:p>
    <w:p w:rsidR="003E6588" w:rsidRPr="00B94C9A" w:rsidRDefault="003E6588">
      <w:pPr>
        <w:ind w:firstLine="1134"/>
        <w:jc w:val="both"/>
      </w:pPr>
      <w:r w:rsidRPr="00B94C9A">
        <w:t xml:space="preserve">Como resultado da continuidade de investimentos efetuados (Modernização e Certificação da Qualidade Laboratorial e 2.063 Novos Insumos Estratégicos para Diagnóstico e Controle de Pragas e Doenças), o Instituto Biológico produziu </w:t>
      </w:r>
      <w:r w:rsidRPr="00B94C9A">
        <w:rPr>
          <w:bCs/>
        </w:rPr>
        <w:t>2,83 milhões de doses d</w:t>
      </w:r>
      <w:r w:rsidRPr="00B94C9A">
        <w:t>e imunobiológicos.</w:t>
      </w:r>
    </w:p>
    <w:p w:rsidR="003E6588" w:rsidRPr="00B94C9A" w:rsidRDefault="003E6588">
      <w:pPr>
        <w:ind w:firstLine="1134"/>
        <w:jc w:val="both"/>
      </w:pPr>
    </w:p>
    <w:p w:rsidR="003E6588" w:rsidRPr="00B94C9A" w:rsidRDefault="003E6588">
      <w:pPr>
        <w:ind w:firstLine="1134"/>
        <w:jc w:val="both"/>
        <w:rPr>
          <w:strike/>
        </w:rPr>
      </w:pPr>
      <w:r w:rsidRPr="00B94C9A">
        <w:rPr>
          <w:b/>
        </w:rPr>
        <w:t>Desenvolvimento e Consolidação de Sistemas Informatizados</w:t>
      </w:r>
      <w:r w:rsidRPr="00B94C9A">
        <w:t xml:space="preserve">, que vem possibilitando o aprimoramento da gestão da defesa sanitária animal e vegetal desta unidade, por meio da melhoria dos sistemas de </w:t>
      </w:r>
      <w:r w:rsidR="00B94C9A" w:rsidRPr="00B94C9A">
        <w:t>informação utilizados pela CDA.</w:t>
      </w:r>
    </w:p>
    <w:p w:rsidR="003E6588" w:rsidRDefault="003E6588">
      <w:pPr>
        <w:autoSpaceDE w:val="0"/>
        <w:autoSpaceDN w:val="0"/>
        <w:adjustRightInd w:val="0"/>
        <w:ind w:firstLine="1134"/>
        <w:jc w:val="both"/>
      </w:pPr>
      <w:r w:rsidRPr="00B94C9A">
        <w:lastRenderedPageBreak/>
        <w:t>O Sistema de Qualidade de Produtos Agrícolas, Pecuários e Agroindustriais do Estado, implementado como Ação Selo Produto São Paulo, é política pública instituída pelo Governo do Estado, por intermédio da Secretaria de Agricultura e Abastecimento, para atender a determinação da Lei nº 10.481/1999.</w:t>
      </w:r>
    </w:p>
    <w:p w:rsidR="00DA3F99" w:rsidRPr="00B94C9A" w:rsidRDefault="00DA3F99">
      <w:pPr>
        <w:autoSpaceDE w:val="0"/>
        <w:autoSpaceDN w:val="0"/>
        <w:adjustRightInd w:val="0"/>
        <w:ind w:firstLine="1134"/>
        <w:jc w:val="both"/>
      </w:pPr>
    </w:p>
    <w:p w:rsidR="003E6588" w:rsidRPr="00B94C9A" w:rsidRDefault="003E6588">
      <w:pPr>
        <w:ind w:firstLine="1134"/>
        <w:jc w:val="both"/>
      </w:pPr>
      <w:r>
        <w:t xml:space="preserve">Tal ação viabiliza o trabalho em conjunto com o setor produtivo agropecuário e agroindustrial </w:t>
      </w:r>
      <w:r w:rsidRPr="00B94C9A">
        <w:t>paulista, resultando na certificação de produtos e de sistemas de produção que atendam normas técnicas.</w:t>
      </w:r>
    </w:p>
    <w:p w:rsidR="003E6588" w:rsidRPr="00B94C9A" w:rsidRDefault="003E6588">
      <w:pPr>
        <w:ind w:firstLine="1134"/>
        <w:jc w:val="both"/>
      </w:pPr>
    </w:p>
    <w:p w:rsidR="003E6588" w:rsidRDefault="003E6588">
      <w:pPr>
        <w:autoSpaceDE w:val="0"/>
        <w:autoSpaceDN w:val="0"/>
        <w:adjustRightInd w:val="0"/>
        <w:ind w:firstLine="1134"/>
        <w:jc w:val="both"/>
      </w:pPr>
      <w:r>
        <w:rPr>
          <w:b/>
        </w:rPr>
        <w:t>Empresas Certificadas</w:t>
      </w:r>
    </w:p>
    <w:p w:rsidR="003E6588" w:rsidRDefault="003E6588">
      <w:pPr>
        <w:autoSpaceDE w:val="0"/>
        <w:autoSpaceDN w:val="0"/>
        <w:adjustRightInd w:val="0"/>
        <w:jc w:val="both"/>
      </w:pPr>
    </w:p>
    <w:tbl>
      <w:tblPr>
        <w:tblW w:w="9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0"/>
        <w:gridCol w:w="4536"/>
        <w:gridCol w:w="284"/>
        <w:gridCol w:w="3969"/>
      </w:tblGrid>
      <w:tr w:rsidR="003E6588" w:rsidTr="00DA3F99">
        <w:trPr>
          <w:jc w:val="center"/>
        </w:trPr>
        <w:tc>
          <w:tcPr>
            <w:tcW w:w="4786" w:type="dxa"/>
            <w:gridSpan w:val="2"/>
            <w:tcBorders>
              <w:top w:val="single" w:sz="8" w:space="0" w:color="auto"/>
              <w:left w:val="nil"/>
              <w:bottom w:val="single" w:sz="8" w:space="0" w:color="auto"/>
            </w:tcBorders>
            <w:vAlign w:val="center"/>
          </w:tcPr>
          <w:p w:rsidR="003E6588" w:rsidRDefault="003E6588">
            <w:pPr>
              <w:pStyle w:val="PargrafodaLista"/>
              <w:autoSpaceDE w:val="0"/>
              <w:autoSpaceDN w:val="0"/>
              <w:adjustRightInd w:val="0"/>
              <w:ind w:left="0"/>
              <w:jc w:val="center"/>
              <w:rPr>
                <w:rFonts w:ascii="Times New Roman" w:eastAsia="Times New Roman" w:hAnsi="Times New Roman"/>
                <w:b/>
                <w:sz w:val="20"/>
                <w:szCs w:val="20"/>
                <w:lang w:eastAsia="pt-BR"/>
              </w:rPr>
            </w:pPr>
            <w:r>
              <w:rPr>
                <w:rFonts w:ascii="Times New Roman" w:eastAsia="Times New Roman" w:hAnsi="Times New Roman"/>
                <w:b/>
                <w:sz w:val="20"/>
                <w:szCs w:val="20"/>
                <w:lang w:eastAsia="pt-BR"/>
              </w:rPr>
              <w:t>AGROINDUSTRIA DE CAFÉ</w:t>
            </w:r>
          </w:p>
        </w:tc>
        <w:tc>
          <w:tcPr>
            <w:tcW w:w="4253" w:type="dxa"/>
            <w:gridSpan w:val="2"/>
            <w:tcBorders>
              <w:top w:val="single" w:sz="8" w:space="0" w:color="auto"/>
              <w:bottom w:val="single" w:sz="8" w:space="0" w:color="auto"/>
              <w:right w:val="nil"/>
            </w:tcBorders>
            <w:vAlign w:val="center"/>
          </w:tcPr>
          <w:p w:rsidR="003E6588" w:rsidRDefault="003E6588">
            <w:pPr>
              <w:pStyle w:val="PargrafodaLista"/>
              <w:autoSpaceDE w:val="0"/>
              <w:autoSpaceDN w:val="0"/>
              <w:adjustRightInd w:val="0"/>
              <w:ind w:left="0"/>
              <w:jc w:val="center"/>
              <w:rPr>
                <w:rFonts w:ascii="Times New Roman" w:eastAsia="Times New Roman" w:hAnsi="Times New Roman"/>
                <w:b/>
                <w:sz w:val="20"/>
                <w:szCs w:val="20"/>
                <w:lang w:eastAsia="pt-BR"/>
              </w:rPr>
            </w:pPr>
            <w:r>
              <w:rPr>
                <w:rFonts w:ascii="Times New Roman" w:eastAsia="Times New Roman" w:hAnsi="Times New Roman"/>
                <w:b/>
                <w:sz w:val="20"/>
                <w:szCs w:val="20"/>
                <w:lang w:eastAsia="pt-BR"/>
              </w:rPr>
              <w:t>GRANJA DE SUINO</w:t>
            </w:r>
          </w:p>
        </w:tc>
      </w:tr>
      <w:tr w:rsidR="003E6588" w:rsidTr="00DA3F99">
        <w:trPr>
          <w:trHeight w:val="60"/>
          <w:jc w:val="center"/>
        </w:trPr>
        <w:tc>
          <w:tcPr>
            <w:tcW w:w="250" w:type="dxa"/>
            <w:tcBorders>
              <w:top w:val="single" w:sz="8" w:space="0" w:color="auto"/>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1</w:t>
            </w:r>
          </w:p>
        </w:tc>
        <w:tc>
          <w:tcPr>
            <w:tcW w:w="4536" w:type="dxa"/>
            <w:tcBorders>
              <w:top w:val="single" w:sz="8" w:space="0" w:color="auto"/>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Torrefações Noiva Colinenses Ltda</w:t>
            </w:r>
          </w:p>
        </w:tc>
        <w:tc>
          <w:tcPr>
            <w:tcW w:w="284" w:type="dxa"/>
            <w:tcBorders>
              <w:top w:val="single" w:sz="8" w:space="0" w:color="auto"/>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1</w:t>
            </w:r>
          </w:p>
        </w:tc>
        <w:tc>
          <w:tcPr>
            <w:tcW w:w="3969" w:type="dxa"/>
            <w:tcBorders>
              <w:top w:val="single" w:sz="8" w:space="0" w:color="auto"/>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Álvaro da Silva Cunha e Outros</w:t>
            </w:r>
          </w:p>
        </w:tc>
      </w:tr>
      <w:tr w:rsidR="003E6588">
        <w:trPr>
          <w:jc w:val="center"/>
        </w:trPr>
        <w:tc>
          <w:tcPr>
            <w:tcW w:w="250" w:type="dxa"/>
            <w:tcBorders>
              <w:top w:val="nil"/>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2</w:t>
            </w:r>
          </w:p>
        </w:tc>
        <w:tc>
          <w:tcPr>
            <w:tcW w:w="4536" w:type="dxa"/>
            <w:tcBorders>
              <w:top w:val="nil"/>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Mitsui Alimentos Ltda</w:t>
            </w:r>
          </w:p>
        </w:tc>
        <w:tc>
          <w:tcPr>
            <w:tcW w:w="284" w:type="dxa"/>
            <w:tcBorders>
              <w:top w:val="nil"/>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2</w:t>
            </w:r>
          </w:p>
        </w:tc>
        <w:tc>
          <w:tcPr>
            <w:tcW w:w="3969" w:type="dxa"/>
            <w:tcBorders>
              <w:top w:val="nil"/>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Marian Hendrika Wolters e Outros</w:t>
            </w:r>
          </w:p>
        </w:tc>
      </w:tr>
      <w:tr w:rsidR="003E6588">
        <w:trPr>
          <w:jc w:val="center"/>
        </w:trPr>
        <w:tc>
          <w:tcPr>
            <w:tcW w:w="250" w:type="dxa"/>
            <w:tcBorders>
              <w:top w:val="nil"/>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3</w:t>
            </w:r>
          </w:p>
        </w:tc>
        <w:tc>
          <w:tcPr>
            <w:tcW w:w="4536" w:type="dxa"/>
            <w:tcBorders>
              <w:top w:val="nil"/>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Torrefação e Moagem de Café Serra da Grama Ltda</w:t>
            </w:r>
          </w:p>
        </w:tc>
        <w:tc>
          <w:tcPr>
            <w:tcW w:w="284" w:type="dxa"/>
            <w:tcBorders>
              <w:top w:val="nil"/>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3</w:t>
            </w:r>
          </w:p>
        </w:tc>
        <w:tc>
          <w:tcPr>
            <w:tcW w:w="3969" w:type="dxa"/>
            <w:tcBorders>
              <w:top w:val="nil"/>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Transporte Pesado Brasil Agropecuário Ltda</w:t>
            </w:r>
          </w:p>
        </w:tc>
      </w:tr>
      <w:tr w:rsidR="003E6588">
        <w:trPr>
          <w:jc w:val="center"/>
        </w:trPr>
        <w:tc>
          <w:tcPr>
            <w:tcW w:w="250" w:type="dxa"/>
            <w:tcBorders>
              <w:top w:val="nil"/>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4</w:t>
            </w:r>
          </w:p>
        </w:tc>
        <w:tc>
          <w:tcPr>
            <w:tcW w:w="4536" w:type="dxa"/>
            <w:tcBorders>
              <w:top w:val="nil"/>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MF Indústria Paulista de Café Ltda</w:t>
            </w:r>
          </w:p>
        </w:tc>
        <w:tc>
          <w:tcPr>
            <w:tcW w:w="284" w:type="dxa"/>
            <w:tcBorders>
              <w:top w:val="nil"/>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4</w:t>
            </w:r>
          </w:p>
        </w:tc>
        <w:tc>
          <w:tcPr>
            <w:tcW w:w="3969" w:type="dxa"/>
            <w:tcBorders>
              <w:top w:val="nil"/>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Olinto Rodrigues de Arruda e Outro</w:t>
            </w:r>
          </w:p>
        </w:tc>
      </w:tr>
      <w:tr w:rsidR="003E6588">
        <w:trPr>
          <w:jc w:val="center"/>
        </w:trPr>
        <w:tc>
          <w:tcPr>
            <w:tcW w:w="250" w:type="dxa"/>
            <w:tcBorders>
              <w:top w:val="nil"/>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5</w:t>
            </w:r>
          </w:p>
        </w:tc>
        <w:tc>
          <w:tcPr>
            <w:tcW w:w="4536" w:type="dxa"/>
            <w:tcBorders>
              <w:top w:val="nil"/>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Café Pacaembú Ltda</w:t>
            </w:r>
          </w:p>
        </w:tc>
        <w:tc>
          <w:tcPr>
            <w:tcW w:w="284" w:type="dxa"/>
            <w:tcBorders>
              <w:top w:val="nil"/>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5</w:t>
            </w:r>
          </w:p>
        </w:tc>
        <w:tc>
          <w:tcPr>
            <w:tcW w:w="3969" w:type="dxa"/>
            <w:tcBorders>
              <w:top w:val="nil"/>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Antonio Ianni</w:t>
            </w:r>
          </w:p>
        </w:tc>
      </w:tr>
      <w:tr w:rsidR="003E6588">
        <w:trPr>
          <w:jc w:val="center"/>
        </w:trPr>
        <w:tc>
          <w:tcPr>
            <w:tcW w:w="250" w:type="dxa"/>
            <w:tcBorders>
              <w:top w:val="nil"/>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6</w:t>
            </w:r>
          </w:p>
        </w:tc>
        <w:tc>
          <w:tcPr>
            <w:tcW w:w="4536" w:type="dxa"/>
            <w:tcBorders>
              <w:top w:val="nil"/>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Cia Cacique de Café Solúvel</w:t>
            </w:r>
          </w:p>
        </w:tc>
        <w:tc>
          <w:tcPr>
            <w:tcW w:w="284" w:type="dxa"/>
            <w:tcBorders>
              <w:top w:val="nil"/>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6</w:t>
            </w:r>
          </w:p>
        </w:tc>
        <w:tc>
          <w:tcPr>
            <w:tcW w:w="3969" w:type="dxa"/>
            <w:tcBorders>
              <w:top w:val="nil"/>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J.A. Agropecuária</w:t>
            </w:r>
          </w:p>
        </w:tc>
      </w:tr>
      <w:tr w:rsidR="003E6588">
        <w:trPr>
          <w:jc w:val="center"/>
        </w:trPr>
        <w:tc>
          <w:tcPr>
            <w:tcW w:w="250" w:type="dxa"/>
            <w:tcBorders>
              <w:top w:val="nil"/>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7</w:t>
            </w:r>
          </w:p>
        </w:tc>
        <w:tc>
          <w:tcPr>
            <w:tcW w:w="4536" w:type="dxa"/>
            <w:tcBorders>
              <w:top w:val="nil"/>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Café Canecão Ltda</w:t>
            </w:r>
          </w:p>
        </w:tc>
        <w:tc>
          <w:tcPr>
            <w:tcW w:w="284" w:type="dxa"/>
            <w:tcBorders>
              <w:top w:val="nil"/>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7</w:t>
            </w:r>
          </w:p>
        </w:tc>
        <w:tc>
          <w:tcPr>
            <w:tcW w:w="3969" w:type="dxa"/>
            <w:tcBorders>
              <w:top w:val="nil"/>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Fábio Luís Bressiani e Outros</w:t>
            </w:r>
          </w:p>
        </w:tc>
      </w:tr>
      <w:tr w:rsidR="003E6588">
        <w:trPr>
          <w:jc w:val="center"/>
        </w:trPr>
        <w:tc>
          <w:tcPr>
            <w:tcW w:w="250" w:type="dxa"/>
            <w:tcBorders>
              <w:top w:val="nil"/>
              <w:left w:val="nil"/>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8</w:t>
            </w:r>
          </w:p>
        </w:tc>
        <w:tc>
          <w:tcPr>
            <w:tcW w:w="4536" w:type="dxa"/>
            <w:tcBorders>
              <w:top w:val="nil"/>
              <w:left w:val="single" w:sz="8" w:space="0" w:color="auto"/>
              <w:bottom w:val="nil"/>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Irmãos Kuhl Ltda</w:t>
            </w:r>
          </w:p>
        </w:tc>
        <w:tc>
          <w:tcPr>
            <w:tcW w:w="284" w:type="dxa"/>
            <w:tcBorders>
              <w:top w:val="nil"/>
              <w:left w:val="single" w:sz="8" w:space="0" w:color="auto"/>
              <w:bottom w:val="nil"/>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8</w:t>
            </w:r>
          </w:p>
        </w:tc>
        <w:tc>
          <w:tcPr>
            <w:tcW w:w="3969" w:type="dxa"/>
            <w:tcBorders>
              <w:top w:val="nil"/>
              <w:left w:val="single" w:sz="8" w:space="0" w:color="auto"/>
              <w:bottom w:val="nil"/>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Demétrius Napoleão Nápoles</w:t>
            </w:r>
          </w:p>
        </w:tc>
      </w:tr>
      <w:tr w:rsidR="003E6588" w:rsidTr="00DA3F99">
        <w:trPr>
          <w:jc w:val="center"/>
        </w:trPr>
        <w:tc>
          <w:tcPr>
            <w:tcW w:w="250" w:type="dxa"/>
            <w:tcBorders>
              <w:top w:val="nil"/>
              <w:left w:val="nil"/>
              <w:bottom w:val="single" w:sz="8" w:space="0" w:color="auto"/>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9</w:t>
            </w:r>
          </w:p>
        </w:tc>
        <w:tc>
          <w:tcPr>
            <w:tcW w:w="4536" w:type="dxa"/>
            <w:tcBorders>
              <w:top w:val="nil"/>
              <w:left w:val="single" w:sz="8" w:space="0" w:color="auto"/>
              <w:bottom w:val="single" w:sz="8" w:space="0" w:color="auto"/>
              <w:right w:val="single" w:sz="8" w:space="0" w:color="auto"/>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Café Fraterno - DPS</w:t>
            </w:r>
          </w:p>
        </w:tc>
        <w:tc>
          <w:tcPr>
            <w:tcW w:w="284" w:type="dxa"/>
            <w:tcBorders>
              <w:top w:val="nil"/>
              <w:left w:val="single" w:sz="8" w:space="0" w:color="auto"/>
              <w:bottom w:val="single" w:sz="8" w:space="0" w:color="auto"/>
              <w:right w:val="single" w:sz="8" w:space="0" w:color="auto"/>
            </w:tcBorders>
            <w:vAlign w:val="center"/>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9</w:t>
            </w:r>
          </w:p>
        </w:tc>
        <w:tc>
          <w:tcPr>
            <w:tcW w:w="3969" w:type="dxa"/>
            <w:tcBorders>
              <w:top w:val="nil"/>
              <w:left w:val="single" w:sz="8" w:space="0" w:color="auto"/>
              <w:bottom w:val="single" w:sz="8" w:space="0" w:color="auto"/>
              <w:right w:val="nil"/>
            </w:tcBorders>
          </w:tcPr>
          <w:p w:rsidR="003E6588" w:rsidRDefault="003E6588">
            <w:pPr>
              <w:pStyle w:val="PargrafodaLista"/>
              <w:autoSpaceDE w:val="0"/>
              <w:autoSpaceDN w:val="0"/>
              <w:adjustRightInd w:val="0"/>
              <w:ind w:left="0"/>
              <w:rPr>
                <w:rFonts w:ascii="Times New Roman" w:eastAsia="Times New Roman" w:hAnsi="Times New Roman"/>
                <w:sz w:val="20"/>
                <w:szCs w:val="20"/>
                <w:lang w:eastAsia="pt-BR"/>
              </w:rPr>
            </w:pPr>
            <w:r>
              <w:rPr>
                <w:rFonts w:ascii="Times New Roman" w:eastAsia="Times New Roman" w:hAnsi="Times New Roman"/>
                <w:sz w:val="20"/>
                <w:szCs w:val="20"/>
                <w:lang w:eastAsia="pt-BR"/>
              </w:rPr>
              <w:t>Paulo Alves Esteves</w:t>
            </w:r>
          </w:p>
        </w:tc>
      </w:tr>
    </w:tbl>
    <w:p w:rsidR="003E6588" w:rsidRPr="000B028A" w:rsidRDefault="003E6588">
      <w:pPr>
        <w:ind w:left="-142" w:firstLine="850"/>
        <w:jc w:val="both"/>
        <w:rPr>
          <w:sz w:val="16"/>
          <w:szCs w:val="16"/>
        </w:rPr>
      </w:pPr>
      <w:r w:rsidRPr="000B028A">
        <w:rPr>
          <w:sz w:val="16"/>
          <w:szCs w:val="16"/>
        </w:rPr>
        <w:t>Total de 18 empresas certificadas.</w:t>
      </w:r>
    </w:p>
    <w:p w:rsidR="003E6588" w:rsidRDefault="003E6588">
      <w:pPr>
        <w:ind w:firstLine="1134"/>
        <w:jc w:val="both"/>
        <w:rPr>
          <w:sz w:val="22"/>
          <w:szCs w:val="22"/>
        </w:rPr>
      </w:pPr>
    </w:p>
    <w:p w:rsidR="003E6588" w:rsidRDefault="003E6588">
      <w:pPr>
        <w:pStyle w:val="PargrafodaLista"/>
        <w:autoSpaceDE w:val="0"/>
        <w:autoSpaceDN w:val="0"/>
        <w:adjustRightInd w:val="0"/>
        <w:ind w:left="0" w:firstLine="1134"/>
        <w:rPr>
          <w:rFonts w:ascii="Times New Roman" w:eastAsia="Times New Roman" w:hAnsi="Times New Roman"/>
          <w:sz w:val="24"/>
          <w:szCs w:val="24"/>
          <w:lang w:eastAsia="pt-BR"/>
        </w:rPr>
      </w:pPr>
      <w:r>
        <w:rPr>
          <w:rFonts w:ascii="Times New Roman" w:eastAsia="Times New Roman" w:hAnsi="Times New Roman"/>
          <w:sz w:val="24"/>
          <w:szCs w:val="24"/>
          <w:lang w:eastAsia="pt-BR"/>
        </w:rPr>
        <w:t>Os produtos certificados são</w:t>
      </w:r>
      <w:r>
        <w:rPr>
          <w:rFonts w:ascii="Times New Roman" w:eastAsia="Times New Roman" w:hAnsi="Times New Roman"/>
          <w:color w:val="FF0000"/>
          <w:sz w:val="24"/>
          <w:szCs w:val="24"/>
          <w:lang w:eastAsia="pt-BR"/>
        </w:rPr>
        <w:t>:</w:t>
      </w:r>
      <w:r>
        <w:rPr>
          <w:rFonts w:ascii="Times New Roman" w:eastAsia="Times New Roman" w:hAnsi="Times New Roman"/>
          <w:sz w:val="24"/>
          <w:szCs w:val="24"/>
          <w:lang w:eastAsia="pt-BR"/>
        </w:rPr>
        <w:t xml:space="preserve"> Café </w:t>
      </w:r>
      <w:r w:rsidRPr="00DA3F99">
        <w:rPr>
          <w:rFonts w:ascii="Times New Roman" w:eastAsia="Times New Roman" w:hAnsi="Times New Roman"/>
          <w:i/>
          <w:sz w:val="24"/>
          <w:szCs w:val="24"/>
          <w:lang w:eastAsia="pt-BR"/>
        </w:rPr>
        <w:t>Gourmet</w:t>
      </w:r>
      <w:r>
        <w:rPr>
          <w:rFonts w:ascii="Times New Roman" w:eastAsia="Times New Roman" w:hAnsi="Times New Roman"/>
          <w:sz w:val="24"/>
          <w:szCs w:val="24"/>
          <w:lang w:eastAsia="pt-BR"/>
        </w:rPr>
        <w:t xml:space="preserve"> (dezenove marcas), Café Superior (13 marcas) e suínos d</w:t>
      </w:r>
      <w:r w:rsidR="000B028A">
        <w:rPr>
          <w:rFonts w:ascii="Times New Roman" w:eastAsia="Times New Roman" w:hAnsi="Times New Roman"/>
          <w:sz w:val="24"/>
          <w:szCs w:val="24"/>
          <w:lang w:eastAsia="pt-BR"/>
        </w:rPr>
        <w:t>estinados ao abate (9 granjas).</w:t>
      </w:r>
    </w:p>
    <w:p w:rsidR="003E6588" w:rsidRDefault="003E6588">
      <w:pPr>
        <w:jc w:val="both"/>
        <w:rPr>
          <w:b/>
        </w:rPr>
      </w:pPr>
    </w:p>
    <w:p w:rsidR="003E6588" w:rsidRDefault="003E6588">
      <w:pPr>
        <w:ind w:firstLine="1134"/>
        <w:jc w:val="both"/>
        <w:rPr>
          <w:b/>
        </w:rPr>
      </w:pPr>
      <w:r>
        <w:rPr>
          <w:b/>
        </w:rPr>
        <w:t>Programa de Infraestrutura e Logística para o Agronegócio</w:t>
      </w:r>
    </w:p>
    <w:p w:rsidR="003E6588" w:rsidRDefault="003E6588">
      <w:pPr>
        <w:ind w:firstLine="1134"/>
        <w:jc w:val="both"/>
        <w:rPr>
          <w:b/>
          <w:snapToGrid w:val="0"/>
        </w:rPr>
      </w:pPr>
    </w:p>
    <w:p w:rsidR="003E6588" w:rsidRPr="00B94C9A" w:rsidRDefault="003E6588">
      <w:pPr>
        <w:ind w:firstLine="1134"/>
        <w:jc w:val="both"/>
      </w:pPr>
      <w:r w:rsidRPr="00B94C9A">
        <w:t>Objetivo</w:t>
      </w:r>
      <w:r w:rsidRPr="00B94C9A">
        <w:rPr>
          <w:b/>
        </w:rPr>
        <w:t xml:space="preserve"> -</w:t>
      </w:r>
      <w:r w:rsidRPr="00B94C9A">
        <w:t xml:space="preserve"> Aprimorar os sistemas de transportes e de logística do agronegócio, elevando a trafegabilidade das estradas rurais, visando reduzir perdas de produção e maior acesso da população rural a serviços urbanos, e implantar medidas que levem à estruturação da logística setorial, em ações convergentes para melhoria da qualidade de vida no campo e geração de emprego e renda pela agregação de valor.</w:t>
      </w:r>
    </w:p>
    <w:p w:rsidR="003E6588" w:rsidRPr="00B94C9A" w:rsidRDefault="003E6588">
      <w:pPr>
        <w:ind w:firstLine="1134"/>
        <w:jc w:val="both"/>
      </w:pPr>
    </w:p>
    <w:p w:rsidR="003E6588" w:rsidRPr="00B94C9A" w:rsidRDefault="003E6588">
      <w:pPr>
        <w:ind w:firstLine="1134"/>
        <w:jc w:val="both"/>
      </w:pPr>
      <w:r w:rsidRPr="00B94C9A">
        <w:t xml:space="preserve">O </w:t>
      </w:r>
      <w:r w:rsidR="00B94C9A" w:rsidRPr="00B94C9A">
        <w:rPr>
          <w:b/>
        </w:rPr>
        <w:t>Projeto “Melhor Caminho”</w:t>
      </w:r>
      <w:r w:rsidRPr="00B94C9A">
        <w:t xml:space="preserve"> </w:t>
      </w:r>
      <w:r w:rsidR="00B94C9A" w:rsidRPr="00B94C9A">
        <w:t xml:space="preserve">- Realiza </w:t>
      </w:r>
      <w:r w:rsidRPr="00B94C9A">
        <w:t>obras de recuperação em estradas rurais de terra, objetivando não só regularizar o seu leito, mas conservar o solo e favorecer a infiltração das águas das chuvas para a recarga do lençol freático, impedindo que grandes quantidades de terras férteis possam, em raz</w:t>
      </w:r>
      <w:r w:rsidR="00B94C9A" w:rsidRPr="00B94C9A">
        <w:t>ã</w:t>
      </w:r>
      <w:r w:rsidRPr="00B94C9A">
        <w:t>o das enxurradas, assorear e poluir</w:t>
      </w:r>
      <w:r w:rsidR="00B94C9A" w:rsidRPr="00B94C9A">
        <w:t xml:space="preserve"> os rios, córregos e nascentes.</w:t>
      </w:r>
    </w:p>
    <w:p w:rsidR="00B94C9A" w:rsidRPr="00B94C9A" w:rsidRDefault="00B94C9A">
      <w:pPr>
        <w:ind w:firstLine="1134"/>
        <w:jc w:val="both"/>
      </w:pPr>
    </w:p>
    <w:p w:rsidR="003E6588" w:rsidRPr="00B94C9A" w:rsidRDefault="00B94C9A">
      <w:pPr>
        <w:ind w:firstLine="1134"/>
        <w:jc w:val="both"/>
      </w:pPr>
      <w:r w:rsidRPr="00B94C9A">
        <w:t xml:space="preserve">Além </w:t>
      </w:r>
      <w:r w:rsidR="003E6588" w:rsidRPr="00B94C9A">
        <w:t xml:space="preserve">de melhorar as condições de tráfego nas estradas, possibilitando escoamento da produção agrícola, o Projeto “Melhor Caminho” traz grandes ganhos ambientais, impedindo a formação de erosões e voçorocas e o assoreamento dos rios e córregos, além de ganhos econômicos e sociais, como possibilidade de acesso das comunidades rurais à educação, saúde e desenvolvimento do agronegócio. É uma das ações governamentais mais solicitadas, não só pelas prefeituras, mas pela </w:t>
      </w:r>
      <w:r w:rsidR="003E6588" w:rsidRPr="00B94C9A">
        <w:lastRenderedPageBreak/>
        <w:t>população que mora e trabalha no campo</w:t>
      </w:r>
      <w:r w:rsidRPr="00B94C9A">
        <w:t>,</w:t>
      </w:r>
      <w:r w:rsidR="003E6588" w:rsidRPr="00B94C9A">
        <w:t xml:space="preserve"> e pelos produtores e proprietários de áreas agrícolas, pois permite perfeita trafegabilidade das estradas rurais durante todo o ano, inclusive no período de chuvas.</w:t>
      </w:r>
    </w:p>
    <w:p w:rsidR="003E6588" w:rsidRPr="00B94C9A" w:rsidRDefault="003E6588">
      <w:pPr>
        <w:ind w:firstLine="1134"/>
        <w:jc w:val="both"/>
      </w:pPr>
    </w:p>
    <w:p w:rsidR="003E6588" w:rsidRPr="000B028A" w:rsidRDefault="003E6588">
      <w:pPr>
        <w:ind w:firstLine="1134"/>
        <w:jc w:val="both"/>
      </w:pPr>
      <w:r w:rsidRPr="000B028A">
        <w:t>No Projeto “Melhor Caminho” devem ser considerdos dois momentos distintos: a ampliação da abrangência do atendimento com novos convênios, definindo novos trajetos a serem trabalhados, que podem ser executados no mesmo exercício ou no seguinte, dependendo da data da decisão e da complexidade da obra; e os trajetos cujas operações foram concluídas no exercício e que incluem obras cujos convênios foram estabelecidos em exercícios anteriores. Foram executados 581,58 km e conveniados 341,49 km</w:t>
      </w:r>
      <w:r w:rsidRPr="000B028A">
        <w:rPr>
          <w:b/>
        </w:rPr>
        <w:t>.</w:t>
      </w:r>
    </w:p>
    <w:p w:rsidR="003E6588" w:rsidRPr="000B028A" w:rsidRDefault="003E6588">
      <w:pPr>
        <w:ind w:firstLine="1134"/>
        <w:jc w:val="both"/>
        <w:rPr>
          <w:b/>
        </w:rPr>
      </w:pPr>
    </w:p>
    <w:p w:rsidR="003E6588" w:rsidRPr="000B028A" w:rsidRDefault="003E6588">
      <w:pPr>
        <w:tabs>
          <w:tab w:val="left" w:pos="5280"/>
        </w:tabs>
        <w:ind w:firstLine="1134"/>
        <w:jc w:val="both"/>
        <w:rPr>
          <w:b/>
        </w:rPr>
      </w:pPr>
      <w:r w:rsidRPr="000B028A">
        <w:rPr>
          <w:b/>
        </w:rPr>
        <w:t>Projeto Melhor Caminho</w:t>
      </w:r>
    </w:p>
    <w:p w:rsidR="003E6588" w:rsidRPr="000B028A" w:rsidRDefault="003E6588">
      <w:pPr>
        <w:tabs>
          <w:tab w:val="left" w:pos="5280"/>
        </w:tabs>
        <w:jc w:val="both"/>
        <w:rPr>
          <w:b/>
        </w:rPr>
      </w:pPr>
    </w:p>
    <w:tbl>
      <w:tblPr>
        <w:tblW w:w="4364" w:type="dxa"/>
        <w:jc w:val="center"/>
        <w:tblInd w:w="773" w:type="dxa"/>
        <w:tblBorders>
          <w:top w:val="single" w:sz="8" w:space="0" w:color="auto"/>
          <w:bottom w:val="single" w:sz="8" w:space="0" w:color="auto"/>
          <w:insideH w:val="single" w:sz="8" w:space="0" w:color="auto"/>
        </w:tblBorders>
        <w:tblLayout w:type="fixed"/>
        <w:tblCellMar>
          <w:left w:w="70" w:type="dxa"/>
          <w:right w:w="70" w:type="dxa"/>
        </w:tblCellMar>
        <w:tblLook w:val="0000"/>
      </w:tblPr>
      <w:tblGrid>
        <w:gridCol w:w="2410"/>
        <w:gridCol w:w="1954"/>
      </w:tblGrid>
      <w:tr w:rsidR="00B94C9A" w:rsidTr="00DA3F99">
        <w:trPr>
          <w:trHeight w:val="250"/>
          <w:jc w:val="center"/>
        </w:trPr>
        <w:tc>
          <w:tcPr>
            <w:tcW w:w="2410" w:type="dxa"/>
          </w:tcPr>
          <w:p w:rsidR="00B94C9A" w:rsidRDefault="00B94C9A">
            <w:pPr>
              <w:rPr>
                <w:b/>
                <w:sz w:val="20"/>
                <w:szCs w:val="20"/>
              </w:rPr>
            </w:pPr>
            <w:r>
              <w:rPr>
                <w:b/>
                <w:sz w:val="20"/>
                <w:szCs w:val="20"/>
              </w:rPr>
              <w:t>Km novos conveniados</w:t>
            </w:r>
          </w:p>
        </w:tc>
        <w:tc>
          <w:tcPr>
            <w:tcW w:w="1954" w:type="dxa"/>
          </w:tcPr>
          <w:p w:rsidR="00B94C9A" w:rsidRDefault="00B94C9A">
            <w:pPr>
              <w:ind w:right="214"/>
              <w:rPr>
                <w:b/>
                <w:sz w:val="20"/>
                <w:szCs w:val="20"/>
              </w:rPr>
            </w:pPr>
            <w:r>
              <w:rPr>
                <w:b/>
                <w:sz w:val="20"/>
                <w:szCs w:val="20"/>
              </w:rPr>
              <w:t>Km Executados</w:t>
            </w:r>
          </w:p>
        </w:tc>
      </w:tr>
      <w:tr w:rsidR="00B94C9A" w:rsidTr="00DA3F99">
        <w:trPr>
          <w:trHeight w:val="264"/>
          <w:jc w:val="center"/>
        </w:trPr>
        <w:tc>
          <w:tcPr>
            <w:tcW w:w="2410" w:type="dxa"/>
            <w:vAlign w:val="bottom"/>
          </w:tcPr>
          <w:p w:rsidR="00B94C9A" w:rsidRDefault="00B94C9A">
            <w:pPr>
              <w:rPr>
                <w:sz w:val="20"/>
                <w:szCs w:val="20"/>
              </w:rPr>
            </w:pPr>
            <w:r>
              <w:rPr>
                <w:snapToGrid w:val="0"/>
                <w:sz w:val="20"/>
                <w:szCs w:val="20"/>
              </w:rPr>
              <w:t>341,49</w:t>
            </w:r>
          </w:p>
        </w:tc>
        <w:tc>
          <w:tcPr>
            <w:tcW w:w="1954" w:type="dxa"/>
            <w:vAlign w:val="bottom"/>
          </w:tcPr>
          <w:p w:rsidR="00B94C9A" w:rsidRDefault="00B94C9A">
            <w:pPr>
              <w:rPr>
                <w:sz w:val="20"/>
                <w:szCs w:val="20"/>
              </w:rPr>
            </w:pPr>
            <w:r>
              <w:rPr>
                <w:snapToGrid w:val="0"/>
                <w:sz w:val="20"/>
                <w:szCs w:val="20"/>
              </w:rPr>
              <w:t>581,58</w:t>
            </w:r>
          </w:p>
        </w:tc>
      </w:tr>
    </w:tbl>
    <w:p w:rsidR="003E6588" w:rsidRDefault="003E6588" w:rsidP="00570F07">
      <w:pPr>
        <w:ind w:left="2124" w:firstLine="708"/>
        <w:jc w:val="both"/>
        <w:rPr>
          <w:dstrike/>
          <w:sz w:val="16"/>
          <w:szCs w:val="16"/>
        </w:rPr>
      </w:pPr>
      <w:r>
        <w:rPr>
          <w:sz w:val="16"/>
          <w:szCs w:val="16"/>
        </w:rPr>
        <w:t xml:space="preserve">Fonte: CODASP </w:t>
      </w:r>
    </w:p>
    <w:p w:rsidR="003E6588" w:rsidRDefault="003E6588">
      <w:pPr>
        <w:pStyle w:val="p11"/>
        <w:widowControl/>
        <w:tabs>
          <w:tab w:val="clear" w:pos="440"/>
        </w:tabs>
        <w:spacing w:line="240" w:lineRule="auto"/>
        <w:rPr>
          <w:snapToGrid/>
          <w:szCs w:val="24"/>
        </w:rPr>
      </w:pPr>
    </w:p>
    <w:p w:rsidR="003E6588" w:rsidRDefault="003E6588">
      <w:pPr>
        <w:pStyle w:val="p11"/>
        <w:widowControl/>
        <w:tabs>
          <w:tab w:val="clear" w:pos="440"/>
        </w:tabs>
        <w:spacing w:line="240" w:lineRule="auto"/>
        <w:rPr>
          <w:snapToGrid/>
          <w:szCs w:val="24"/>
        </w:rPr>
      </w:pPr>
    </w:p>
    <w:p w:rsidR="003E6588" w:rsidRDefault="003E6588">
      <w:pPr>
        <w:pStyle w:val="p11"/>
        <w:widowControl/>
        <w:tabs>
          <w:tab w:val="clear" w:pos="440"/>
        </w:tabs>
        <w:spacing w:line="240" w:lineRule="auto"/>
        <w:jc w:val="center"/>
        <w:rPr>
          <w:b/>
          <w:bCs/>
        </w:rPr>
      </w:pPr>
      <w:r>
        <w:rPr>
          <w:snapToGrid/>
          <w:szCs w:val="24"/>
        </w:rPr>
        <w:br w:type="page"/>
      </w:r>
      <w:r>
        <w:rPr>
          <w:b/>
          <w:bCs/>
        </w:rPr>
        <w:lastRenderedPageBreak/>
        <w:t>SECRETARIA DA CULTURA</w:t>
      </w:r>
    </w:p>
    <w:p w:rsidR="003E6588" w:rsidRDefault="003E6588"/>
    <w:p w:rsidR="003E6588" w:rsidRDefault="003E6588"/>
    <w:p w:rsidR="003E6588" w:rsidRDefault="003E6588">
      <w:pPr>
        <w:ind w:firstLine="1134"/>
        <w:jc w:val="both"/>
        <w:rPr>
          <w:strike/>
        </w:rPr>
      </w:pPr>
      <w:r>
        <w:t>Inauguração da Fábrica de Cultura Brasilândia.</w:t>
      </w:r>
      <w:r>
        <w:rPr>
          <w:color w:val="000000"/>
        </w:rPr>
        <w:t xml:space="preserve"> </w:t>
      </w:r>
      <w:r>
        <w:t>E</w:t>
      </w:r>
      <w:r>
        <w:rPr>
          <w:color w:val="000000"/>
        </w:rPr>
        <w:t xml:space="preserve">ntrega </w:t>
      </w:r>
      <w:r>
        <w:t>das 10 primeiras unidades do programa.</w:t>
      </w:r>
    </w:p>
    <w:p w:rsidR="003E6588" w:rsidRDefault="003E6588">
      <w:pPr>
        <w:ind w:firstLine="1134"/>
        <w:jc w:val="both"/>
        <w:rPr>
          <w:strike/>
        </w:rPr>
      </w:pPr>
    </w:p>
    <w:p w:rsidR="003E6588" w:rsidRDefault="003E6588">
      <w:pPr>
        <w:ind w:firstLine="1134"/>
        <w:jc w:val="both"/>
        <w:rPr>
          <w:strike/>
        </w:rPr>
      </w:pPr>
      <w:r>
        <w:t>A Secretaria entregou, restaurados e com novo circuito expositivo, o Museu da Imigração e o Museu Casa de Portinari (Brodowski). Em convênios com os municípios, foram concluídos os restauros da Ponte Euclydes da Cunha, em São José do Rio Pardo; do acervo sacro de Cândido Portinari na Igreja Matriz Bom Jesus da Cana Verde, em Batatais; da Igreja da Ordem Terceira de São Francisco, na Capital; e da primeira sala de exposições do Fórum das Artes, em Botucatu, com exposição conjunta da Pinacoteca do Estado e do MAC Itajahy Martins (municipal).</w:t>
      </w:r>
    </w:p>
    <w:p w:rsidR="003E6588" w:rsidRDefault="003E6588">
      <w:pPr>
        <w:ind w:firstLine="1134"/>
        <w:jc w:val="both"/>
      </w:pPr>
    </w:p>
    <w:p w:rsidR="003E6588" w:rsidRDefault="003E6588">
      <w:pPr>
        <w:ind w:firstLine="1134"/>
        <w:jc w:val="both"/>
        <w:rPr>
          <w:strike/>
        </w:rPr>
      </w:pPr>
      <w:r>
        <w:t>Destaca-se neste campo a conclusão de dois edifícios inseridos no esforço pela reconstrução do Centro Histórico de São Luiz do Paraitinga, destruído pela enchente de 2010: a Igreja Matriz de São Luiz do Tolosa e a Biblioteca Nelson Ferreira Pinto, ambos reconstruídos inteiramente.</w:t>
      </w:r>
    </w:p>
    <w:p w:rsidR="003E6588" w:rsidRDefault="003E6588">
      <w:pPr>
        <w:ind w:firstLine="1134"/>
        <w:jc w:val="both"/>
      </w:pPr>
    </w:p>
    <w:p w:rsidR="003E6588" w:rsidRDefault="003E6588">
      <w:pPr>
        <w:ind w:firstLine="1134"/>
        <w:jc w:val="both"/>
        <w:rPr>
          <w:u w:val="single"/>
        </w:rPr>
      </w:pPr>
      <w:r>
        <w:t>Na área de fomento à cultura, a Secretaria investiu cerca de R$ 205 milhões no apoio a mais de 1.800 projetos independentes, nos mais diversos segmentos. A Pasta ampliou a política de cotas para o ProAC Editais, estabelecendo para cada concurso um número mínimo de prêmios para proponentes fora da Capital, variando entre 30% e 70%, numa forma de democratizar e interiorizar os recursos públicos disponíveis para o apoio ao fazer artístico. Os editais foram revistos em diálogo com a classe artística e passaram a melhor contemplar formas contemporâneas de criação, como os grupos organizados em coletivos.</w:t>
      </w:r>
    </w:p>
    <w:p w:rsidR="003E6588" w:rsidRDefault="003E6588">
      <w:pPr>
        <w:ind w:firstLine="1134"/>
        <w:jc w:val="both"/>
      </w:pPr>
    </w:p>
    <w:p w:rsidR="003E6588" w:rsidRDefault="003E6588">
      <w:pPr>
        <w:ind w:firstLine="1134"/>
        <w:jc w:val="both"/>
      </w:pPr>
      <w:r>
        <w:t xml:space="preserve">Muito se avançou no campo da acessibilidade comunicacional - ou seja, na promoção de conteúdos culturais acessíveis às pessoas com deficiência, de forma a possibilitar o atendimento apropriado a este público nos equipamentos da Secretaria. Foi lançado o Selo da Acessibilidade Comunicacional, que passou a sinalizar a existência de recursos como tradução para Língua Brasileira de Sinais </w:t>
      </w:r>
      <w:r w:rsidR="00A52D3C">
        <w:t xml:space="preserve">- </w:t>
      </w:r>
      <w:r>
        <w:t>Libras, legendagem, audiodescrição, dentre outros, de forma a estimular que outros equipamentos culturais fiquem atentos esta questão.</w:t>
      </w:r>
    </w:p>
    <w:p w:rsidR="003E6588" w:rsidRDefault="003E6588">
      <w:pPr>
        <w:ind w:firstLine="1134"/>
        <w:jc w:val="both"/>
      </w:pPr>
    </w:p>
    <w:p w:rsidR="003E6588" w:rsidRDefault="003E6588">
      <w:pPr>
        <w:ind w:firstLine="1134"/>
        <w:jc w:val="both"/>
        <w:rPr>
          <w:strike/>
        </w:rPr>
      </w:pPr>
      <w:r>
        <w:t>Início da elaboração do Plano Estadual de Cultura, um dos compromissos assumidos pelo Estado quando de sua adesão ao Plano Nacional de Cultura.</w:t>
      </w:r>
    </w:p>
    <w:p w:rsidR="003E6588" w:rsidRDefault="003E6588">
      <w:pPr>
        <w:ind w:firstLine="1134"/>
        <w:jc w:val="both"/>
        <w:rPr>
          <w:strike/>
        </w:rPr>
      </w:pPr>
    </w:p>
    <w:p w:rsidR="003E6588" w:rsidRDefault="003E6588">
      <w:pPr>
        <w:ind w:firstLine="1134"/>
        <w:jc w:val="both"/>
      </w:pPr>
      <w:r>
        <w:t>Dentre as exposições nos Museus com referência à copa do mundo, destaque para a mostra “Brasil 20 Copas”, no Museu do Futebol, e “Diversidade Futebol Clube: no nosso time joga todo mundo”, no Museu da Diversidade Sexual.</w:t>
      </w:r>
    </w:p>
    <w:p w:rsidR="003E6588" w:rsidRDefault="003E6588">
      <w:pPr>
        <w:ind w:firstLine="1134"/>
        <w:jc w:val="both"/>
      </w:pPr>
    </w:p>
    <w:p w:rsidR="003E6588" w:rsidRDefault="003E6588">
      <w:pPr>
        <w:ind w:firstLine="1134"/>
        <w:jc w:val="both"/>
      </w:pPr>
      <w:r>
        <w:t xml:space="preserve">Marcando os 10 anos da adoção do modelo de gestão por Organizações Sociais pela Secretaria da Cultura, a Pasta realizou na Sala São Paulo um encontro nacional para debater o tema. Cerca de 450 pessoas de todo o País compareceram ao Encontro Interestadual de Gestão Cultural: </w:t>
      </w:r>
      <w:r>
        <w:lastRenderedPageBreak/>
        <w:t>Estado e Organizações Sociais, para debater os resultados do modelo e perspectivas para o futuro, num contexto mais amplo, que incluiu experiências no âmbito federal, de municípios e de outros Estados.</w:t>
      </w:r>
    </w:p>
    <w:p w:rsidR="003E6588" w:rsidRDefault="003E6588">
      <w:pPr>
        <w:ind w:firstLine="1276"/>
        <w:jc w:val="both"/>
        <w:rPr>
          <w:b/>
        </w:rPr>
      </w:pPr>
    </w:p>
    <w:p w:rsidR="003E6588" w:rsidRDefault="003E6588">
      <w:pPr>
        <w:ind w:firstLine="1276"/>
        <w:jc w:val="both"/>
        <w:rPr>
          <w:strike/>
        </w:rPr>
      </w:pPr>
      <w:r>
        <w:rPr>
          <w:b/>
        </w:rPr>
        <w:t xml:space="preserve">Unidade de Fomento e Difusão da Produção Cultural - </w:t>
      </w:r>
      <w:r>
        <w:t>Responsável pela execução das políticas de fomento e difusão da produção cultural, busca executar projetos que combinam qualidade dos produtos ofertados à ampliação do acesso do público em todas as regiões do Estado, estimulando um novo padrão de circulação de espetáculos e atividades artísticas, bem como o gerenciamento de programas de fomento e estímulo à criação independente.</w:t>
      </w:r>
    </w:p>
    <w:p w:rsidR="003E6588" w:rsidRDefault="003E6588">
      <w:pPr>
        <w:ind w:firstLine="1134"/>
        <w:jc w:val="both"/>
      </w:pPr>
    </w:p>
    <w:p w:rsidR="003E6588" w:rsidRDefault="003E6588">
      <w:pPr>
        <w:ind w:firstLine="1134"/>
        <w:jc w:val="both"/>
        <w:rPr>
          <w:b/>
        </w:rPr>
      </w:pPr>
      <w:r>
        <w:rPr>
          <w:b/>
        </w:rPr>
        <w:t>Programas de Fomento</w:t>
      </w:r>
    </w:p>
    <w:p w:rsidR="003E6588" w:rsidRDefault="003E6588">
      <w:pPr>
        <w:ind w:firstLine="1134"/>
        <w:jc w:val="both"/>
        <w:rPr>
          <w:b/>
          <w:color w:val="000000"/>
        </w:rPr>
      </w:pPr>
    </w:p>
    <w:p w:rsidR="003E6588" w:rsidRDefault="003E6588">
      <w:pPr>
        <w:ind w:firstLine="1134"/>
        <w:jc w:val="both"/>
      </w:pPr>
      <w:r>
        <w:rPr>
          <w:b/>
        </w:rPr>
        <w:t>ProAC ICMS</w:t>
      </w:r>
      <w:r>
        <w:t xml:space="preserve"> - Vertente do programa que funciona por meio de patrocínios incentivados via renúncia fiscal, o ProAC ICMS contou com verba de R$ 135,240 milhões. O programa atingiu o teto máximo de recursos previstos em lei, correspondente a 0,2% da parte estadual do ICMS arrecadado. Foram cadastrados 3.374 novos projetos, dos quais 1.077 foram aprovados.</w:t>
      </w:r>
    </w:p>
    <w:p w:rsidR="003E6588" w:rsidRDefault="003E6588">
      <w:pPr>
        <w:ind w:firstLine="1134"/>
        <w:jc w:val="both"/>
        <w:rPr>
          <w:b/>
        </w:rPr>
      </w:pPr>
    </w:p>
    <w:p w:rsidR="003E6588" w:rsidRDefault="003E6588">
      <w:pPr>
        <w:autoSpaceDE w:val="0"/>
        <w:autoSpaceDN w:val="0"/>
        <w:adjustRightInd w:val="0"/>
        <w:ind w:firstLine="1134"/>
        <w:jc w:val="both"/>
        <w:rPr>
          <w:rFonts w:eastAsia="Calibri"/>
          <w:color w:val="000000"/>
        </w:rPr>
      </w:pPr>
      <w:r>
        <w:rPr>
          <w:rFonts w:eastAsia="Calibri"/>
          <w:b/>
          <w:bCs/>
          <w:color w:val="000000"/>
        </w:rPr>
        <w:t>ProAC Editais</w:t>
      </w:r>
      <w:r>
        <w:rPr>
          <w:rFonts w:eastAsia="Calibri"/>
          <w:color w:val="000000"/>
        </w:rPr>
        <w:t xml:space="preserve"> - Na modalidade ProAC Editais, a Secretaria investiu R$ 44 milhões em recursos orçamentários no apoio a projetos independentes selecionados por concurso. O número total de projetos inscritos foi de 5.741, dos quais 683 foram contemplados em diversas modalidades artísticas, escolhidos em 46 concursos lançados em editais ao longo do ano. A execução dos projetos também atenderá a diretriz de descentralização do acesso à cultura, estimulando a circulação da produção pelo interior e litoral.</w:t>
      </w:r>
    </w:p>
    <w:p w:rsidR="003E6588" w:rsidRDefault="003E6588">
      <w:pPr>
        <w:autoSpaceDE w:val="0"/>
        <w:autoSpaceDN w:val="0"/>
        <w:adjustRightInd w:val="0"/>
        <w:ind w:firstLine="1134"/>
        <w:jc w:val="both"/>
        <w:rPr>
          <w:rFonts w:eastAsia="Calibri"/>
          <w:color w:val="000000"/>
        </w:rPr>
      </w:pPr>
    </w:p>
    <w:p w:rsidR="003E6588" w:rsidRDefault="003E6588">
      <w:pPr>
        <w:autoSpaceDE w:val="0"/>
        <w:autoSpaceDN w:val="0"/>
        <w:adjustRightInd w:val="0"/>
        <w:ind w:firstLine="1134"/>
        <w:jc w:val="both"/>
        <w:rPr>
          <w:rFonts w:eastAsia="Calibri"/>
          <w:color w:val="000000"/>
        </w:rPr>
      </w:pPr>
      <w:r>
        <w:rPr>
          <w:rFonts w:eastAsia="Calibri"/>
          <w:b/>
          <w:bCs/>
          <w:color w:val="000000"/>
        </w:rPr>
        <w:t xml:space="preserve">Prêmio Estímulo a Curtas Metragens - </w:t>
      </w:r>
      <w:r>
        <w:rPr>
          <w:rFonts w:eastAsia="Calibri"/>
          <w:color w:val="000000"/>
        </w:rPr>
        <w:t>Distribuiu</w:t>
      </w:r>
      <w:r>
        <w:rPr>
          <w:rFonts w:eastAsia="Calibri"/>
          <w:b/>
          <w:bCs/>
          <w:color w:val="000000"/>
        </w:rPr>
        <w:t xml:space="preserve"> </w:t>
      </w:r>
      <w:r>
        <w:rPr>
          <w:rFonts w:eastAsia="Calibri"/>
          <w:color w:val="000000"/>
        </w:rPr>
        <w:t>15 prêmios</w:t>
      </w:r>
      <w:r>
        <w:rPr>
          <w:rFonts w:eastAsia="Calibri"/>
          <w:b/>
          <w:bCs/>
          <w:color w:val="000000"/>
        </w:rPr>
        <w:t xml:space="preserve"> </w:t>
      </w:r>
      <w:r>
        <w:rPr>
          <w:rFonts w:eastAsia="Calibri"/>
          <w:color w:val="000000"/>
        </w:rPr>
        <w:t>de R$ 80 mil</w:t>
      </w:r>
      <w:r>
        <w:rPr>
          <w:rFonts w:eastAsia="Calibri"/>
          <w:b/>
          <w:bCs/>
          <w:color w:val="000000"/>
        </w:rPr>
        <w:t xml:space="preserve"> </w:t>
      </w:r>
      <w:r>
        <w:rPr>
          <w:rFonts w:eastAsia="Calibri"/>
          <w:color w:val="000000"/>
        </w:rPr>
        <w:t>para projetos de realização de filmes em curta metragem. O total investido no programa é de R$ 1,2 milhão em recursos próprios da Secretaria. Ao todo, foram registradas 464 inscrições.</w:t>
      </w:r>
    </w:p>
    <w:p w:rsidR="003E6588" w:rsidRDefault="003E6588">
      <w:pPr>
        <w:autoSpaceDE w:val="0"/>
        <w:autoSpaceDN w:val="0"/>
        <w:adjustRightInd w:val="0"/>
        <w:ind w:firstLine="1134"/>
        <w:jc w:val="both"/>
        <w:rPr>
          <w:rFonts w:eastAsia="Calibri"/>
          <w:color w:val="000000"/>
        </w:rPr>
      </w:pPr>
    </w:p>
    <w:p w:rsidR="003E6588" w:rsidRDefault="003E6588">
      <w:pPr>
        <w:autoSpaceDE w:val="0"/>
        <w:autoSpaceDN w:val="0"/>
        <w:adjustRightInd w:val="0"/>
        <w:ind w:firstLine="1134"/>
        <w:jc w:val="both"/>
        <w:rPr>
          <w:rFonts w:eastAsia="Calibri"/>
          <w:color w:val="000000"/>
        </w:rPr>
      </w:pPr>
      <w:r>
        <w:rPr>
          <w:rFonts w:eastAsia="Calibri"/>
          <w:b/>
          <w:bCs/>
          <w:color w:val="000000"/>
        </w:rPr>
        <w:t xml:space="preserve">Programa de Fomento ao Cinema Paulista - </w:t>
      </w:r>
      <w:r>
        <w:rPr>
          <w:rFonts w:eastAsia="Calibri"/>
          <w:color w:val="000000"/>
        </w:rPr>
        <w:t xml:space="preserve">O Programa distribuiu 26 prêmios na forma de patrocínio da Sabesp via Lei </w:t>
      </w:r>
      <w:r>
        <w:rPr>
          <w:rFonts w:eastAsia="Calibri"/>
          <w:i/>
          <w:color w:val="000000"/>
        </w:rPr>
        <w:t>Rouanet</w:t>
      </w:r>
      <w:r>
        <w:rPr>
          <w:rFonts w:eastAsia="Calibri"/>
          <w:color w:val="000000"/>
        </w:rPr>
        <w:t>, com valores entre R$ 100 mil e R$ 600 mil. Foram contemplados 16 projetos de produção e 10 de finalização.</w:t>
      </w:r>
    </w:p>
    <w:p w:rsidR="003E6588" w:rsidRDefault="003E6588">
      <w:pPr>
        <w:autoSpaceDE w:val="0"/>
        <w:autoSpaceDN w:val="0"/>
        <w:adjustRightInd w:val="0"/>
        <w:ind w:firstLine="1134"/>
        <w:jc w:val="both"/>
        <w:rPr>
          <w:rFonts w:eastAsia="Calibri"/>
          <w:color w:val="000000"/>
        </w:rPr>
      </w:pPr>
    </w:p>
    <w:p w:rsidR="003E6588" w:rsidRDefault="003E6588">
      <w:pPr>
        <w:autoSpaceDE w:val="0"/>
        <w:autoSpaceDN w:val="0"/>
        <w:adjustRightInd w:val="0"/>
        <w:ind w:firstLine="1134"/>
        <w:jc w:val="both"/>
        <w:rPr>
          <w:strike/>
          <w:highlight w:val="yellow"/>
        </w:rPr>
      </w:pPr>
      <w:r>
        <w:rPr>
          <w:rFonts w:eastAsia="Calibri"/>
          <w:b/>
          <w:color w:val="000000"/>
        </w:rPr>
        <w:t>Investimentos da Administração Indireta do Estado</w:t>
      </w:r>
      <w:r>
        <w:rPr>
          <w:rFonts w:eastAsia="Calibri"/>
          <w:color w:val="000000"/>
        </w:rPr>
        <w:t xml:space="preserve"> - A Secretaria coordena os investimentos em cultura realizados via patrocínio pelas empresas estatais paulistas, responsabilidade estabelecida pelo Decreto nº 42.992/1998. Foram contemplados 65 projetos totalizando patrocínio de R$ 17.742.365,00. Utilizando o critério de relevância cultural e social, receberam apoio ações como a “31ª Bienal de São Paulo”, a “1ª Mostra Internacional de Teatro”, a exposição “Castelo Rá-Tim-Bum”, os projetos de restauro e construção do Museu Judaico, restauro da Catedral de Santo Amaro e restauro do complexo do Engenho Central de Piracicaba - futura sede do Museu da Cana de Açúcar -, o “13º Festival de Arte Serrinha” e os cinco mais importantes festivais de cinema sediados em São Paulo e suas mostras especiais no interior e litoral.</w:t>
      </w:r>
    </w:p>
    <w:p w:rsidR="00A52D3C" w:rsidRDefault="00A52D3C">
      <w:pPr>
        <w:ind w:firstLine="1134"/>
        <w:jc w:val="both"/>
        <w:rPr>
          <w:b/>
        </w:rPr>
      </w:pPr>
    </w:p>
    <w:p w:rsidR="003E6588" w:rsidRDefault="003E6588">
      <w:pPr>
        <w:tabs>
          <w:tab w:val="left" w:pos="142"/>
          <w:tab w:val="left" w:pos="1418"/>
        </w:tabs>
        <w:ind w:left="1134"/>
        <w:jc w:val="both"/>
        <w:rPr>
          <w:b/>
        </w:rPr>
      </w:pPr>
      <w:r>
        <w:rPr>
          <w:b/>
        </w:rPr>
        <w:t>Corpos Estáveis</w:t>
      </w:r>
    </w:p>
    <w:p w:rsidR="003E6588" w:rsidRDefault="003E6588">
      <w:pPr>
        <w:ind w:firstLine="1134"/>
        <w:jc w:val="both"/>
        <w:rPr>
          <w:b/>
        </w:rPr>
      </w:pPr>
    </w:p>
    <w:p w:rsidR="003E6588" w:rsidRDefault="003E6588">
      <w:pPr>
        <w:ind w:firstLine="1134"/>
        <w:jc w:val="both"/>
      </w:pPr>
      <w:r>
        <w:rPr>
          <w:b/>
        </w:rPr>
        <w:lastRenderedPageBreak/>
        <w:t xml:space="preserve">Banda Sinfônica do Estado - </w:t>
      </w:r>
      <w:r>
        <w:t>A Banda é formada por</w:t>
      </w:r>
      <w:r>
        <w:rPr>
          <w:b/>
        </w:rPr>
        <w:t xml:space="preserve"> </w:t>
      </w:r>
      <w:r>
        <w:t>82 músicos e dedica-se à difusão da música de concerto e ao incentivo de novas composições e arranjos para esta formação instrumental. O grupo completou 25 anos de existência, comemorados com a realização de 31 apresentações na Capital e 23 no interior, para um público aproximado de 36.000 pessoas, além da gravação dos CDs “Maxixe Urbano e Sinfonia Latina”, com tiragem de 3.000 cópias cada.</w:t>
      </w:r>
    </w:p>
    <w:p w:rsidR="003E6588" w:rsidRDefault="003E6588">
      <w:pPr>
        <w:ind w:firstLine="1134"/>
        <w:jc w:val="both"/>
        <w:rPr>
          <w:b/>
        </w:rPr>
      </w:pPr>
    </w:p>
    <w:p w:rsidR="003E6588" w:rsidRDefault="003E6588">
      <w:pPr>
        <w:ind w:firstLine="1134"/>
        <w:jc w:val="both"/>
      </w:pPr>
      <w:r>
        <w:rPr>
          <w:b/>
        </w:rPr>
        <w:t xml:space="preserve">Jazz Sinfônica - </w:t>
      </w:r>
      <w:r>
        <w:t>Sob a batuta do maestro João Maurício Galindo, a orquestra realizou mais de 40 concertos na Capital e interior do Estado, para um público aproximado de 60.000 pessoas.</w:t>
      </w:r>
    </w:p>
    <w:p w:rsidR="003E6588" w:rsidRDefault="003E6588">
      <w:pPr>
        <w:ind w:firstLine="1134"/>
        <w:jc w:val="both"/>
      </w:pPr>
    </w:p>
    <w:p w:rsidR="003E6588" w:rsidRDefault="003E6588">
      <w:pPr>
        <w:ind w:firstLine="1134"/>
        <w:jc w:val="both"/>
        <w:rPr>
          <w:rFonts w:eastAsia="Calibri"/>
          <w:color w:val="000000"/>
        </w:rPr>
      </w:pPr>
      <w:r>
        <w:rPr>
          <w:b/>
        </w:rPr>
        <w:t>OSESP -</w:t>
      </w:r>
      <w:r>
        <w:rPr>
          <w:rFonts w:eastAsia="Calibri"/>
          <w:color w:val="000000"/>
        </w:rPr>
        <w:t xml:space="preserve"> Sob o tema “Na paisagem dos sessenta”</w:t>
      </w:r>
      <w:r>
        <w:rPr>
          <w:rFonts w:eastAsia="Calibri"/>
          <w:i/>
          <w:color w:val="000000"/>
        </w:rPr>
        <w:t xml:space="preserve">, </w:t>
      </w:r>
      <w:r>
        <w:rPr>
          <w:rFonts w:eastAsia="Calibri"/>
          <w:color w:val="000000"/>
        </w:rPr>
        <w:t xml:space="preserve">a temporada 2014 marcou as comemorações dos 60 anos de criação da Orquestra Sinfônica do Estado. A Osesp realizou 130 concertos sinfônicos e de câmara na Sala São Paulo, além de 50 apresentações gratuitas ou a preços populares, parte delas no interior do Estado, para um público aproximado de 162.500 pessoas. Destaca-se a continuidade do programa “Osesp Itinerante”, com apresentações da orquestra, dos grupos de câmara e de coro, além da realização de cursos e </w:t>
      </w:r>
      <w:r>
        <w:rPr>
          <w:rFonts w:eastAsia="Calibri"/>
          <w:i/>
          <w:color w:val="000000"/>
        </w:rPr>
        <w:t>masterclasses</w:t>
      </w:r>
      <w:r>
        <w:rPr>
          <w:rFonts w:eastAsia="Calibri"/>
          <w:color w:val="000000"/>
        </w:rPr>
        <w:t xml:space="preserve"> de instrumento, atendendo a um público de mais </w:t>
      </w:r>
      <w:r>
        <w:rPr>
          <w:rFonts w:eastAsia="Calibri"/>
        </w:rPr>
        <w:t>de 35.000 pessoas no interior e litoral</w:t>
      </w:r>
      <w:r>
        <w:rPr>
          <w:rFonts w:eastAsia="Calibri"/>
          <w:color w:val="000000"/>
        </w:rPr>
        <w:t>. A Osesp realizou 250 eventos educacionais, entre concertos didáticos, gincanas, visitas monitoradas, palestras e oficinas para mais de 100.000 alunos de escolas de todo o Estado, além do treinamento de mais de 1.200 professores. Promoveu o “45º Festival Internacional de Inverno” e a 1ª edição do “Festival Coral de Campos do Jordão”.</w:t>
      </w:r>
    </w:p>
    <w:p w:rsidR="003E6588" w:rsidRDefault="003E6588">
      <w:pPr>
        <w:ind w:firstLine="1134"/>
        <w:jc w:val="both"/>
        <w:rPr>
          <w:rFonts w:eastAsia="Calibri"/>
          <w:color w:val="000000"/>
        </w:rPr>
      </w:pPr>
    </w:p>
    <w:p w:rsidR="003E6588" w:rsidRDefault="003E6588">
      <w:pPr>
        <w:ind w:firstLine="1134"/>
        <w:jc w:val="both"/>
        <w:rPr>
          <w:rFonts w:eastAsia="Calibri"/>
          <w:color w:val="000000"/>
        </w:rPr>
      </w:pPr>
      <w:r>
        <w:rPr>
          <w:rFonts w:eastAsia="Calibri"/>
          <w:b/>
          <w:bCs/>
          <w:color w:val="000000"/>
        </w:rPr>
        <w:t xml:space="preserve">São Paulo Companhia de Dança </w:t>
      </w:r>
      <w:r>
        <w:rPr>
          <w:rFonts w:eastAsia="Calibri"/>
          <w:color w:val="000000"/>
        </w:rPr>
        <w:t>- Realizou 93 apresentações, sendo 33 apresentações na Capital e 24 no interior, para mais de 61 mil pessoas. Houve nove apresentações em outros Estados e 13 no exterior. O repertório foi enriquecido com quatro novas coreografias. A Companhia realizou as atividades educativas “Palestra para os Educadores” (15 ações para 1.120 participantes) e as “Oficinas de Dança” (33 ações para 1.294 participantes), além de outras atividades e produção de materiais. A São Paulo Companhia de Dança protagonizou o “1º Ateliê Internacional de Dança”, em Piracicaba, voltado a bailarinos profissionais e pré-profissionais, com estudos teóricos e práticos de técnicas de dança (clássica e contemporânea) e de métodos de formação de bailarino nos dias de hoje. A atividade recebeu diversos convidados internacionais e teve a participação de 180 pessoas.</w:t>
      </w:r>
    </w:p>
    <w:p w:rsidR="003E6588" w:rsidRDefault="003E6588" w:rsidP="008A4595">
      <w:pPr>
        <w:autoSpaceDE w:val="0"/>
        <w:autoSpaceDN w:val="0"/>
        <w:adjustRightInd w:val="0"/>
        <w:ind w:firstLine="1134"/>
        <w:jc w:val="both"/>
        <w:rPr>
          <w:rFonts w:eastAsia="Calibri"/>
          <w:color w:val="000000"/>
        </w:rPr>
      </w:pPr>
    </w:p>
    <w:p w:rsidR="003E6588" w:rsidRDefault="003E6588">
      <w:pPr>
        <w:tabs>
          <w:tab w:val="left" w:pos="1701"/>
        </w:tabs>
        <w:ind w:left="1134"/>
        <w:jc w:val="both"/>
        <w:rPr>
          <w:b/>
        </w:rPr>
      </w:pPr>
      <w:r>
        <w:rPr>
          <w:b/>
        </w:rPr>
        <w:t>Equipamentos Culturais</w:t>
      </w:r>
    </w:p>
    <w:p w:rsidR="003E6588" w:rsidRDefault="003E6588">
      <w:pPr>
        <w:ind w:firstLine="1134"/>
        <w:jc w:val="both"/>
        <w:rPr>
          <w:b/>
        </w:rPr>
      </w:pPr>
    </w:p>
    <w:p w:rsidR="003E6588" w:rsidRDefault="003E6588">
      <w:pPr>
        <w:ind w:firstLine="1134"/>
        <w:jc w:val="both"/>
        <w:rPr>
          <w:bCs/>
          <w:color w:val="000000"/>
          <w:lang w:eastAsia="en-US"/>
        </w:rPr>
      </w:pPr>
      <w:r>
        <w:rPr>
          <w:b/>
          <w:bCs/>
          <w:color w:val="000000"/>
          <w:lang w:eastAsia="en-US"/>
        </w:rPr>
        <w:t xml:space="preserve">Teatro Sérgio Cardoso - </w:t>
      </w:r>
      <w:r>
        <w:rPr>
          <w:bCs/>
          <w:color w:val="000000"/>
          <w:lang w:eastAsia="en-US"/>
        </w:rPr>
        <w:t>O equipamento recebeu intensa programação com público total de 97.970 pessoas. A Sala Sérgio Cardoso recebeu espetáculos de grande sucesso em temporadas a preços populares</w:t>
      </w:r>
      <w:r>
        <w:rPr>
          <w:bCs/>
          <w:i/>
          <w:color w:val="000000"/>
          <w:lang w:eastAsia="en-US"/>
        </w:rPr>
        <w:t>.</w:t>
      </w:r>
      <w:r>
        <w:rPr>
          <w:bCs/>
          <w:color w:val="000000"/>
          <w:lang w:eastAsia="en-US"/>
        </w:rPr>
        <w:t xml:space="preserve"> Sediou iniciativas realizadas pela Secretaria, como a “Plataforma ProAC” e duas temporadas da “São Paulo Companhia de Dança”. Várias apresentações contaram com tradução para Libras </w:t>
      </w:r>
      <w:r w:rsidR="00A52D3C">
        <w:rPr>
          <w:bCs/>
          <w:color w:val="000000"/>
          <w:lang w:eastAsia="en-US"/>
        </w:rPr>
        <w:t xml:space="preserve">- </w:t>
      </w:r>
      <w:r>
        <w:rPr>
          <w:bCs/>
          <w:color w:val="000000"/>
          <w:lang w:eastAsia="en-US"/>
        </w:rPr>
        <w:t>Língua Brasileira de Sinais e audiodescrição, recursos que ajudam a promover a inclusão cultural de pessoas com deficiência. Foram apresentados espetáculos realizados por artistas com deficiência, que receberam o selo + SENTIDOS.</w:t>
      </w:r>
    </w:p>
    <w:p w:rsidR="003E6588" w:rsidRDefault="003E6588">
      <w:pPr>
        <w:tabs>
          <w:tab w:val="left" w:pos="6882"/>
        </w:tabs>
        <w:ind w:firstLine="1134"/>
        <w:jc w:val="both"/>
        <w:rPr>
          <w:b/>
        </w:rPr>
      </w:pPr>
    </w:p>
    <w:p w:rsidR="003E6588" w:rsidRDefault="003E6588">
      <w:pPr>
        <w:ind w:firstLine="1134"/>
        <w:jc w:val="both"/>
      </w:pPr>
      <w:r>
        <w:rPr>
          <w:b/>
        </w:rPr>
        <w:t xml:space="preserve">Theatro São Pedro - </w:t>
      </w:r>
      <w:r>
        <w:t xml:space="preserve">Com capacidade de 620 lugares e foco na música lírica, o São Pedro passou a contar com a direção artística do conceituado regente Luiz Fernando Malheiro. Foram apresentadas cinco óperas, totalizando 21 récitas para público de 10.000 pessoas. As óperas “Artémis” </w:t>
      </w:r>
      <w:r>
        <w:lastRenderedPageBreak/>
        <w:t>e “As Bodas de Fígaro” receberam ótimas avaliações da imprensa especializada. Dos concertos líricos e sinfônicos, 7.500 pessoas assistiram as 20 récitas, assim como 1.200 pessoas estiveram presentes nos 20 recitais de música de câmara.</w:t>
      </w:r>
    </w:p>
    <w:p w:rsidR="003E6588" w:rsidRDefault="003E6588">
      <w:pPr>
        <w:ind w:firstLine="1134"/>
        <w:jc w:val="both"/>
        <w:rPr>
          <w:highlight w:val="green"/>
        </w:rPr>
      </w:pPr>
    </w:p>
    <w:p w:rsidR="003E6588" w:rsidRDefault="003E6588">
      <w:pPr>
        <w:tabs>
          <w:tab w:val="left" w:pos="1560"/>
        </w:tabs>
        <w:ind w:left="1134"/>
        <w:jc w:val="both"/>
        <w:rPr>
          <w:b/>
        </w:rPr>
      </w:pPr>
      <w:r>
        <w:rPr>
          <w:b/>
        </w:rPr>
        <w:t>Difusão Cultural</w:t>
      </w:r>
    </w:p>
    <w:p w:rsidR="003E6588" w:rsidRDefault="003E6588">
      <w:pPr>
        <w:ind w:firstLine="1134"/>
        <w:jc w:val="both"/>
        <w:rPr>
          <w:b/>
        </w:rPr>
      </w:pPr>
    </w:p>
    <w:p w:rsidR="003E6588" w:rsidRDefault="003E6588">
      <w:pPr>
        <w:autoSpaceDE w:val="0"/>
        <w:autoSpaceDN w:val="0"/>
        <w:adjustRightInd w:val="0"/>
        <w:ind w:firstLine="1134"/>
        <w:jc w:val="both"/>
        <w:rPr>
          <w:rFonts w:eastAsia="Calibri"/>
          <w:color w:val="000000"/>
        </w:rPr>
      </w:pPr>
      <w:r>
        <w:rPr>
          <w:rFonts w:eastAsia="Calibri"/>
          <w:b/>
          <w:bCs/>
          <w:color w:val="000000"/>
        </w:rPr>
        <w:t>Circuito Cultural Paulista -</w:t>
      </w:r>
      <w:r>
        <w:rPr>
          <w:rFonts w:eastAsia="Calibri"/>
          <w:color w:val="000000"/>
        </w:rPr>
        <w:t xml:space="preserve"> O Programa tem como objetivo levar uma programação de excelência para cidades do interior e litoral do Estado, valorizando os teatros e centros culturais municipais. Chegou à marca das 105 cidades contempladas, com 839 espetáculos para um público de 260 mil pessoas. Entre as atrações da temporada, estavam os espetáculos “</w:t>
      </w:r>
      <w:r>
        <w:rPr>
          <w:rFonts w:eastAsia="Calibri"/>
          <w:iCs/>
          <w:color w:val="000000"/>
        </w:rPr>
        <w:t>Chorinho”</w:t>
      </w:r>
      <w:r>
        <w:rPr>
          <w:rFonts w:eastAsia="Calibri"/>
          <w:color w:val="000000"/>
        </w:rPr>
        <w:t>, com Denise Fraga e Claudia Mello;</w:t>
      </w:r>
      <w:r>
        <w:rPr>
          <w:rFonts w:eastAsia="Calibri"/>
          <w:i/>
          <w:iCs/>
          <w:color w:val="000000"/>
        </w:rPr>
        <w:t xml:space="preserve"> </w:t>
      </w:r>
      <w:r>
        <w:rPr>
          <w:rFonts w:eastAsia="Calibri"/>
          <w:iCs/>
          <w:color w:val="000000"/>
        </w:rPr>
        <w:t>“Vênus em Visom”</w:t>
      </w:r>
      <w:r>
        <w:rPr>
          <w:rFonts w:eastAsia="Calibri"/>
          <w:color w:val="000000"/>
        </w:rPr>
        <w:t xml:space="preserve">, com Bárbara Paz e André Garolli; </w:t>
      </w:r>
      <w:r>
        <w:rPr>
          <w:rFonts w:eastAsia="Calibri"/>
          <w:i/>
          <w:color w:val="000000"/>
        </w:rPr>
        <w:t>show</w:t>
      </w:r>
      <w:r>
        <w:rPr>
          <w:rFonts w:eastAsia="Calibri"/>
          <w:color w:val="000000"/>
        </w:rPr>
        <w:t xml:space="preserve"> de Arnaldo Antunes, dentre outros.</w:t>
      </w:r>
    </w:p>
    <w:p w:rsidR="003E6588" w:rsidRDefault="003E6588">
      <w:pPr>
        <w:autoSpaceDE w:val="0"/>
        <w:autoSpaceDN w:val="0"/>
        <w:adjustRightInd w:val="0"/>
        <w:ind w:firstLine="1134"/>
        <w:jc w:val="both"/>
        <w:rPr>
          <w:color w:val="000000"/>
          <w:lang w:eastAsia="en-US"/>
        </w:rPr>
      </w:pPr>
    </w:p>
    <w:p w:rsidR="003E6588" w:rsidRDefault="003E6588">
      <w:pPr>
        <w:autoSpaceDE w:val="0"/>
        <w:autoSpaceDN w:val="0"/>
        <w:adjustRightInd w:val="0"/>
        <w:ind w:firstLine="1134"/>
        <w:jc w:val="both"/>
        <w:rPr>
          <w:bCs/>
          <w:color w:val="000000"/>
          <w:lang w:eastAsia="en-US"/>
        </w:rPr>
      </w:pPr>
      <w:r>
        <w:rPr>
          <w:b/>
          <w:bCs/>
          <w:color w:val="000000"/>
          <w:lang w:eastAsia="en-US"/>
        </w:rPr>
        <w:t xml:space="preserve">Virada Cultural Paulista - </w:t>
      </w:r>
      <w:r>
        <w:rPr>
          <w:bCs/>
          <w:color w:val="000000"/>
          <w:lang w:eastAsia="en-US"/>
        </w:rPr>
        <w:t>A Virada Cultural Paulista chegou à 8ª edição, fortalecendo-se como o maior evento do interior e litoral de São Paulo. Recebeu investimento de R$ 7,2 milhões. Foram 976 atrações em 28 cidades do Estado, com público de 1,4 milhão de pessoas.</w:t>
      </w:r>
    </w:p>
    <w:p w:rsidR="003E6588" w:rsidRDefault="003E6588">
      <w:pPr>
        <w:autoSpaceDE w:val="0"/>
        <w:autoSpaceDN w:val="0"/>
        <w:adjustRightInd w:val="0"/>
        <w:ind w:firstLine="1134"/>
        <w:jc w:val="both"/>
        <w:rPr>
          <w:color w:val="000000"/>
          <w:lang w:eastAsia="en-US"/>
        </w:rPr>
      </w:pPr>
    </w:p>
    <w:p w:rsidR="003E6588" w:rsidRDefault="003E6588">
      <w:pPr>
        <w:autoSpaceDE w:val="0"/>
        <w:autoSpaceDN w:val="0"/>
        <w:adjustRightInd w:val="0"/>
        <w:ind w:firstLine="1134"/>
        <w:jc w:val="both"/>
        <w:rPr>
          <w:bCs/>
          <w:lang w:eastAsia="en-US"/>
        </w:rPr>
      </w:pPr>
      <w:r>
        <w:rPr>
          <w:b/>
          <w:bCs/>
          <w:lang w:eastAsia="en-US"/>
        </w:rPr>
        <w:t xml:space="preserve">Plataforma ProAC - </w:t>
      </w:r>
      <w:r>
        <w:t xml:space="preserve">A Plataforma ProAC, anteriormente denominada Plataforma Estado de Dança, chegou à quinta edição. Grupos da Capital e do interior, cujos trabalhos receberam verbas incentivadas pelo ProAC, apresentaram trabalhos que espelharam a diversidade da produção paulista. Realizada no Teatro Sérgio Cardoso, a mostra teve em sua programação espetáculos de dança, teatro, arte para crianças e </w:t>
      </w:r>
      <w:r>
        <w:rPr>
          <w:i/>
        </w:rPr>
        <w:t>shows</w:t>
      </w:r>
      <w:r>
        <w:t>, bem como apresentações de projetos de circo e teatro de rua. Foram realizadas mesas de debates sobre a produção e difusão no Estado. Foram</w:t>
      </w:r>
      <w:r>
        <w:rPr>
          <w:bCs/>
          <w:lang w:eastAsia="en-US"/>
        </w:rPr>
        <w:t xml:space="preserve"> 35 atividades, com público de 2.984 pessoas.</w:t>
      </w:r>
    </w:p>
    <w:p w:rsidR="003E6588" w:rsidRDefault="003E6588">
      <w:pPr>
        <w:autoSpaceDE w:val="0"/>
        <w:autoSpaceDN w:val="0"/>
        <w:adjustRightInd w:val="0"/>
        <w:ind w:firstLine="1134"/>
        <w:jc w:val="both"/>
        <w:rPr>
          <w:b/>
          <w:bCs/>
        </w:rPr>
      </w:pPr>
    </w:p>
    <w:p w:rsidR="003E6588" w:rsidRDefault="003E6588">
      <w:pPr>
        <w:autoSpaceDE w:val="0"/>
        <w:autoSpaceDN w:val="0"/>
        <w:adjustRightInd w:val="0"/>
        <w:ind w:firstLine="1134"/>
        <w:jc w:val="both"/>
        <w:rPr>
          <w:bCs/>
        </w:rPr>
      </w:pPr>
      <w:r>
        <w:rPr>
          <w:b/>
          <w:bCs/>
        </w:rPr>
        <w:t xml:space="preserve">Cultura Livre SP - </w:t>
      </w:r>
      <w:r>
        <w:rPr>
          <w:bCs/>
        </w:rPr>
        <w:t>Criado para</w:t>
      </w:r>
      <w:r>
        <w:rPr>
          <w:b/>
          <w:bCs/>
        </w:rPr>
        <w:t xml:space="preserve"> </w:t>
      </w:r>
      <w:r>
        <w:rPr>
          <w:bCs/>
        </w:rPr>
        <w:t>proporcionar programação gratuita e de qualidade em espaços públicos e parques da Capital paulista, o Cultura Livre SP promoveu 60 atividades culturais gratuitas nos parques Villa-Lobos, da Juventude, Ecológico do Tietê e Praça da Esperança do Hospital das Clínicas, para 120 mil pessoas.</w:t>
      </w:r>
    </w:p>
    <w:p w:rsidR="003E6588" w:rsidRDefault="003E6588">
      <w:pPr>
        <w:autoSpaceDE w:val="0"/>
        <w:autoSpaceDN w:val="0"/>
        <w:adjustRightInd w:val="0"/>
        <w:ind w:firstLine="1134"/>
        <w:jc w:val="both"/>
        <w:rPr>
          <w:color w:val="000000"/>
          <w:lang w:eastAsia="en-US"/>
        </w:rPr>
      </w:pPr>
    </w:p>
    <w:p w:rsidR="003E6588" w:rsidRDefault="003E6588">
      <w:pPr>
        <w:tabs>
          <w:tab w:val="left" w:pos="120"/>
        </w:tabs>
        <w:autoSpaceDE w:val="0"/>
        <w:autoSpaceDN w:val="0"/>
        <w:adjustRightInd w:val="0"/>
        <w:ind w:firstLine="1134"/>
        <w:jc w:val="both"/>
        <w:rPr>
          <w:bCs/>
          <w:lang w:eastAsia="en-US"/>
        </w:rPr>
      </w:pPr>
      <w:r>
        <w:rPr>
          <w:b/>
          <w:bCs/>
          <w:lang w:eastAsia="en-US"/>
        </w:rPr>
        <w:t xml:space="preserve">Festival da Mantiqueira - Diálogos com a Literatura - </w:t>
      </w:r>
      <w:r>
        <w:rPr>
          <w:bCs/>
          <w:lang w:eastAsia="en-US"/>
        </w:rPr>
        <w:t>Realizado em São Francisco Xavier, distrito de São José dos Campos, foram 19 atividades, incluindo debates e mesas-redondas com escritores, oficinas para estudantes e bibliotecários, e apresentações artísticas. Foram realizadas atividades do Festival na Capital, com debates no Teatro Sérgio Cardoso em evento denominado “Esquenta Mantiqueira”. O público circulante do festival foi de 15.000 pessoas.</w:t>
      </w:r>
    </w:p>
    <w:p w:rsidR="003E6588" w:rsidRDefault="003E6588">
      <w:pPr>
        <w:tabs>
          <w:tab w:val="left" w:pos="120"/>
        </w:tabs>
        <w:autoSpaceDE w:val="0"/>
        <w:autoSpaceDN w:val="0"/>
        <w:adjustRightInd w:val="0"/>
        <w:ind w:firstLine="1134"/>
        <w:jc w:val="both"/>
        <w:rPr>
          <w:bCs/>
          <w:lang w:eastAsia="en-US"/>
        </w:rPr>
      </w:pPr>
    </w:p>
    <w:p w:rsidR="003E6588" w:rsidRDefault="003E6588">
      <w:pPr>
        <w:autoSpaceDE w:val="0"/>
        <w:autoSpaceDN w:val="0"/>
        <w:adjustRightInd w:val="0"/>
        <w:ind w:firstLine="1134"/>
        <w:jc w:val="both"/>
        <w:rPr>
          <w:color w:val="000000"/>
          <w:lang w:eastAsia="en-US"/>
        </w:rPr>
      </w:pPr>
      <w:r>
        <w:rPr>
          <w:b/>
          <w:bCs/>
          <w:lang w:eastAsia="en-US"/>
        </w:rPr>
        <w:t xml:space="preserve">Festival de Arte Para Crianças - </w:t>
      </w:r>
      <w:r>
        <w:rPr>
          <w:bCs/>
          <w:lang w:eastAsia="en-US"/>
        </w:rPr>
        <w:t>Realizado na cidade de Registro, incorporou em sua programação outras linguagens artísticas, como dança, música, teatro, circo e literatura, direcionadas ao público jovem e infantil. Foram realizadas 40 atividades para 6.700 pessoas. Houve atividades de formação, sensibilização artística e contações de histórias, que visaram criar espaço de difusão, troca e celebração da arte voltada para crianças.</w:t>
      </w:r>
    </w:p>
    <w:p w:rsidR="003E6588" w:rsidRDefault="003E6588">
      <w:pPr>
        <w:autoSpaceDE w:val="0"/>
        <w:autoSpaceDN w:val="0"/>
        <w:adjustRightInd w:val="0"/>
        <w:ind w:firstLine="1134"/>
        <w:jc w:val="both"/>
        <w:rPr>
          <w:color w:val="000000"/>
          <w:lang w:eastAsia="en-US"/>
        </w:rPr>
      </w:pPr>
    </w:p>
    <w:p w:rsidR="003E6588" w:rsidRDefault="003E6588">
      <w:pPr>
        <w:ind w:firstLine="1134"/>
        <w:jc w:val="both"/>
        <w:rPr>
          <w:color w:val="000000"/>
          <w:lang w:eastAsia="en-US"/>
        </w:rPr>
      </w:pPr>
      <w:r>
        <w:rPr>
          <w:b/>
          <w:bCs/>
          <w:lang w:eastAsia="en-US"/>
        </w:rPr>
        <w:lastRenderedPageBreak/>
        <w:t xml:space="preserve">Festival Paulista de Circo - </w:t>
      </w:r>
      <w:r>
        <w:rPr>
          <w:bCs/>
          <w:lang w:eastAsia="en-US"/>
        </w:rPr>
        <w:t>Realizado na cidade de Piracicaba, promoveu 50 apresentações gratuitas envolvendo</w:t>
      </w:r>
      <w:r>
        <w:t xml:space="preserve"> 27.500 pessoas. Teve atividades de circo tradicional e contemporâneo, entre espetáculos, números e oficinas circenses para crianças. Um dos destaques desta edição foi a apresentação do grupo canadense “Flip FabriQue”. O Festival tem como objetivo fomentar e difundir a arte circense, trazendo ao público a diversidade da linguagem</w:t>
      </w:r>
      <w:r>
        <w:rPr>
          <w:bCs/>
          <w:lang w:eastAsia="en-US"/>
        </w:rPr>
        <w:t>.</w:t>
      </w:r>
    </w:p>
    <w:p w:rsidR="003E6588" w:rsidRDefault="003E6588">
      <w:pPr>
        <w:ind w:firstLine="1134"/>
        <w:jc w:val="both"/>
        <w:rPr>
          <w:b/>
        </w:rPr>
      </w:pPr>
    </w:p>
    <w:p w:rsidR="003E6588" w:rsidRDefault="003E6588">
      <w:pPr>
        <w:ind w:firstLine="1134"/>
        <w:jc w:val="both"/>
      </w:pPr>
      <w:r>
        <w:rPr>
          <w:b/>
        </w:rPr>
        <w:t>Revelando São Paulo</w:t>
      </w:r>
      <w:r>
        <w:t xml:space="preserve"> - Dedicado à divulgação e preservação da cultura paulista tradicional, o “18º Revelando São Paulo” teve quatro etapas: na Capital, nos Vales do Paraíba e do Ribeira e em Atibaia, totalizando</w:t>
      </w:r>
      <w:r>
        <w:rPr>
          <w:color w:val="FF0000"/>
        </w:rPr>
        <w:t xml:space="preserve"> </w:t>
      </w:r>
      <w:r>
        <w:t>um milhão de visitantes nos quatro eventos. Por meio deste festival, a Secretaria da Cultura fomenta as culturas caiçara, tropeira, caipira, quilombola e indígena de 200 cidades, revelando a culinária e artesanato tradicionais, além de grupos de Fandango, Congadas, Moçambiques, Folias de Reis, Cavalhadas.</w:t>
      </w:r>
    </w:p>
    <w:p w:rsidR="003E6588" w:rsidRDefault="003E6588">
      <w:pPr>
        <w:ind w:firstLine="1134"/>
        <w:jc w:val="both"/>
        <w:rPr>
          <w:b/>
        </w:rPr>
      </w:pPr>
    </w:p>
    <w:p w:rsidR="003E6588" w:rsidRDefault="003E6588">
      <w:pPr>
        <w:ind w:firstLine="1134"/>
        <w:jc w:val="both"/>
      </w:pPr>
      <w:r>
        <w:rPr>
          <w:b/>
        </w:rPr>
        <w:t>Mapa Cultural Paulista</w:t>
      </w:r>
      <w:r>
        <w:t xml:space="preserve"> - O programa incentiva a produção e o mapeamento cultural local, promovendo ciclos bienais de concursos municipais, regionais e um estadual, nas linguagens artes visuais, canto coral, dança, literatura, música instrumental, teatro e vídeo. Artistas de todas as regiões ganham a chance de se apresentar para um público abrangente e a possibilidade de chegar aos palcos da Capital. Houve a realização das fases Estadual e Circulação dos espetáculos, totalizando 201 apresentações, distribuídas em 33 municípios.</w:t>
      </w:r>
    </w:p>
    <w:p w:rsidR="003E6588" w:rsidRDefault="003E6588">
      <w:pPr>
        <w:pStyle w:val="SemEspaamento"/>
        <w:ind w:firstLine="1134"/>
        <w:jc w:val="both"/>
        <w:rPr>
          <w:rFonts w:ascii="Times New Roman" w:hAnsi="Times New Roman"/>
          <w:b/>
          <w:sz w:val="24"/>
          <w:szCs w:val="24"/>
        </w:rPr>
      </w:pPr>
    </w:p>
    <w:p w:rsidR="003E6588" w:rsidRDefault="003E6588">
      <w:pPr>
        <w:ind w:firstLine="1134"/>
        <w:jc w:val="both"/>
        <w:rPr>
          <w:rFonts w:eastAsia="Calibri"/>
          <w:color w:val="000000"/>
        </w:rPr>
      </w:pPr>
      <w:r>
        <w:rPr>
          <w:rFonts w:eastAsia="Calibri"/>
          <w:b/>
          <w:bCs/>
          <w:color w:val="000000"/>
        </w:rPr>
        <w:t xml:space="preserve">Ópera Curta - </w:t>
      </w:r>
      <w:r>
        <w:rPr>
          <w:rFonts w:eastAsia="Calibri"/>
          <w:color w:val="000000"/>
        </w:rPr>
        <w:t>Mantido pela Secretaria, o programa leva adaptações de óperas famosas a cidades do interior e litoral do Estado, com o objetivo de difundir o gênero. Em sua quinta edição, passou por 38 cidades, com 43 apresentações para público de 13.283 pessoas.</w:t>
      </w:r>
    </w:p>
    <w:p w:rsidR="003E6588" w:rsidRDefault="003E6588">
      <w:pPr>
        <w:ind w:firstLine="1134"/>
        <w:jc w:val="both"/>
        <w:rPr>
          <w:rFonts w:eastAsia="Calibri"/>
          <w:color w:val="000000"/>
        </w:rPr>
      </w:pPr>
    </w:p>
    <w:p w:rsidR="003E6588" w:rsidRDefault="003E6588">
      <w:pPr>
        <w:ind w:firstLine="1134"/>
        <w:jc w:val="both"/>
        <w:rPr>
          <w:rFonts w:eastAsia="Calibri"/>
          <w:strike/>
          <w:color w:val="000000"/>
        </w:rPr>
      </w:pPr>
      <w:r>
        <w:rPr>
          <w:rFonts w:eastAsia="Calibri"/>
          <w:b/>
          <w:bCs/>
          <w:color w:val="000000"/>
        </w:rPr>
        <w:t xml:space="preserve">Prêmio Governador do Estado para Cultura - </w:t>
      </w:r>
      <w:r>
        <w:rPr>
          <w:rFonts w:eastAsia="Calibri"/>
          <w:bCs/>
          <w:color w:val="000000"/>
        </w:rPr>
        <w:t>O Prêmio foi criado com o objetivo de reconhecer os destaques do ano em nove categorias artísticas, como circo, teatro, fomento, música. Agraciou artistas e entidades que tiveram trabalhos de destaque em 2013.</w:t>
      </w:r>
    </w:p>
    <w:p w:rsidR="003E6588" w:rsidRDefault="003E6588">
      <w:pPr>
        <w:ind w:firstLine="1134"/>
        <w:jc w:val="both"/>
        <w:rPr>
          <w:rFonts w:eastAsia="Calibri"/>
          <w:color w:val="000000"/>
        </w:rPr>
      </w:pPr>
    </w:p>
    <w:p w:rsidR="003E6588" w:rsidRDefault="003E6588">
      <w:pPr>
        <w:ind w:firstLine="1134"/>
        <w:jc w:val="both"/>
        <w:rPr>
          <w:rFonts w:eastAsia="Calibri"/>
        </w:rPr>
      </w:pPr>
      <w:r>
        <w:rPr>
          <w:b/>
          <w:color w:val="000000"/>
        </w:rPr>
        <w:t xml:space="preserve">Semana Guiomar Novaes - </w:t>
      </w:r>
      <w:r>
        <w:t xml:space="preserve">A 37ª edição do evento, homenagem à pianista falecida em 1979, foi realizada em São João da Boa Vista. A programação oficial, realizada em parceria com o Município, contou com recitais, espetáculos de teatro, dança, circo e </w:t>
      </w:r>
      <w:r>
        <w:rPr>
          <w:i/>
        </w:rPr>
        <w:t>shows</w:t>
      </w:r>
      <w:r>
        <w:t xml:space="preserve">. </w:t>
      </w:r>
      <w:r>
        <w:rPr>
          <w:rFonts w:eastAsia="Calibri"/>
        </w:rPr>
        <w:t>No total foram 19 atividades, com público de 11.000 pessoas.</w:t>
      </w:r>
    </w:p>
    <w:p w:rsidR="003E6588" w:rsidRDefault="003E6588">
      <w:pPr>
        <w:ind w:firstLine="1134"/>
        <w:jc w:val="both"/>
        <w:rPr>
          <w:color w:val="000000"/>
          <w:sz w:val="20"/>
          <w:szCs w:val="20"/>
        </w:rPr>
      </w:pPr>
    </w:p>
    <w:p w:rsidR="003E6588" w:rsidRDefault="003E6588">
      <w:pPr>
        <w:ind w:firstLine="1134"/>
        <w:jc w:val="both"/>
      </w:pPr>
      <w:r>
        <w:rPr>
          <w:b/>
          <w:i/>
        </w:rPr>
        <w:t>Kits</w:t>
      </w:r>
      <w:r>
        <w:rPr>
          <w:b/>
        </w:rPr>
        <w:t xml:space="preserve"> de Cinema</w:t>
      </w:r>
      <w:r>
        <w:rPr>
          <w:b/>
          <w:lang w:val="pt-PT"/>
        </w:rPr>
        <w:t xml:space="preserve"> -</w:t>
      </w:r>
      <w:r>
        <w:rPr>
          <w:lang w:val="pt-PT"/>
        </w:rPr>
        <w:t xml:space="preserve"> </w:t>
      </w:r>
      <w:r>
        <w:t xml:space="preserve">Foram atendidos 151 municípios e 19 quilombos, assentamentos ou entidades. Conjuntamente à distribuição dos </w:t>
      </w:r>
      <w:r>
        <w:rPr>
          <w:i/>
        </w:rPr>
        <w:t>kits</w:t>
      </w:r>
      <w:r>
        <w:t>, o</w:t>
      </w:r>
      <w:r>
        <w:rPr>
          <w:lang w:eastAsia="en-US"/>
        </w:rPr>
        <w:t xml:space="preserve"> </w:t>
      </w:r>
      <w:r>
        <w:t>Programa Pontos MIS, realizado pelo Museu da Imagem e do Som, beneficiou 143 municípios com assistência para compor a programação de filmes e atividades associadas, como oficinas e palestras.</w:t>
      </w:r>
    </w:p>
    <w:p w:rsidR="003E6588" w:rsidRDefault="003E6588">
      <w:pPr>
        <w:ind w:firstLine="1134"/>
        <w:jc w:val="both"/>
      </w:pPr>
    </w:p>
    <w:p w:rsidR="003E6588" w:rsidRDefault="003E6588">
      <w:pPr>
        <w:autoSpaceDE w:val="0"/>
        <w:autoSpaceDN w:val="0"/>
        <w:adjustRightInd w:val="0"/>
        <w:ind w:firstLine="1134"/>
        <w:jc w:val="both"/>
        <w:rPr>
          <w:rFonts w:eastAsia="Calibri"/>
          <w:color w:val="000000"/>
          <w:lang w:eastAsia="en-US"/>
        </w:rPr>
      </w:pPr>
      <w:r>
        <w:rPr>
          <w:rFonts w:eastAsia="Calibri"/>
          <w:b/>
          <w:bCs/>
          <w:color w:val="000000"/>
          <w:lang w:eastAsia="en-US"/>
        </w:rPr>
        <w:t>Pontos de Cultura</w:t>
      </w:r>
      <w:r>
        <w:rPr>
          <w:rFonts w:eastAsia="Calibri"/>
          <w:color w:val="000000"/>
          <w:lang w:eastAsia="en-US"/>
        </w:rPr>
        <w:t xml:space="preserve"> - A Secretaria da Cultura apoiou a participação da delegação de São Paulo na “Teia Nacional de Pontos de Cultura”, ocorrida na cidade de Natal (RN), bem como a realização da “Semana Cultura Viva Comunitária”, que reuniu 17 países da América Latina e promoveu o encontro dos “Fóruns Permanentes Regionais de Pontos de Cultura de São Paulo”.</w:t>
      </w:r>
    </w:p>
    <w:p w:rsidR="003E6588" w:rsidRDefault="003E6588">
      <w:pPr>
        <w:autoSpaceDE w:val="0"/>
        <w:autoSpaceDN w:val="0"/>
        <w:adjustRightInd w:val="0"/>
        <w:ind w:firstLine="1134"/>
        <w:jc w:val="both"/>
        <w:rPr>
          <w:rFonts w:eastAsia="Calibri"/>
          <w:color w:val="000000"/>
          <w:lang w:eastAsia="en-US"/>
        </w:rPr>
      </w:pPr>
    </w:p>
    <w:p w:rsidR="003E6588" w:rsidRDefault="003E6588">
      <w:pPr>
        <w:autoSpaceDE w:val="0"/>
        <w:autoSpaceDN w:val="0"/>
        <w:adjustRightInd w:val="0"/>
        <w:ind w:firstLine="1134"/>
        <w:jc w:val="both"/>
      </w:pPr>
      <w:r>
        <w:rPr>
          <w:b/>
        </w:rPr>
        <w:lastRenderedPageBreak/>
        <w:t>Festival Nacional de MPB</w:t>
      </w:r>
      <w:r>
        <w:t xml:space="preserve"> - </w:t>
      </w:r>
      <w:r>
        <w:rPr>
          <w:b/>
        </w:rPr>
        <w:t>Edições Avaré, Botucatu, Pereira Barreto e Ilha Solteira</w:t>
      </w:r>
      <w:r>
        <w:t xml:space="preserve"> - Realizado em parceria com as prefeituras municipais, os festivais recebem inscrições de todo o Brasil e visam apresentar panorama atual da música popular brasileira, por meio de candidatos selecionados por comissão técnica. Teve público de 50 mil pessoas.</w:t>
      </w:r>
    </w:p>
    <w:p w:rsidR="003E6588" w:rsidRDefault="003E6588">
      <w:pPr>
        <w:ind w:firstLine="1134"/>
        <w:jc w:val="both"/>
        <w:rPr>
          <w:b/>
        </w:rPr>
      </w:pPr>
    </w:p>
    <w:p w:rsidR="003E6588" w:rsidRDefault="003E6588">
      <w:pPr>
        <w:ind w:firstLine="1134"/>
        <w:jc w:val="both"/>
      </w:pPr>
      <w:r>
        <w:rPr>
          <w:b/>
        </w:rPr>
        <w:t xml:space="preserve">Festival de Teatro de Caraguatatuba - </w:t>
      </w:r>
      <w:r>
        <w:t>Também chamado de Litoral Encena, foi realizado em parceria com a FUNDACC, Prefeitura de Caraguatatuba e Poiesis. O Litoral Encena tem a missão de fomentar a produção cênica no País, reunindo o melhor das linguagens do teatro de rua, do teatro de bonecos, dança e circo, ocupando praças, teatros, escolas e os mais diversos espaços alternativos, em zonas urbanas ou rurais. Foram realizados 102 espetáculos em 13 municípios da região.</w:t>
      </w:r>
    </w:p>
    <w:p w:rsidR="003E6588" w:rsidRDefault="003E6588">
      <w:pPr>
        <w:tabs>
          <w:tab w:val="left" w:pos="1843"/>
          <w:tab w:val="left" w:pos="2127"/>
        </w:tabs>
        <w:autoSpaceDE w:val="0"/>
        <w:autoSpaceDN w:val="0"/>
        <w:adjustRightInd w:val="0"/>
        <w:ind w:firstLine="1134"/>
        <w:jc w:val="both"/>
      </w:pPr>
    </w:p>
    <w:p w:rsidR="003E6588" w:rsidRDefault="003E6588">
      <w:pPr>
        <w:ind w:firstLine="1134"/>
        <w:jc w:val="both"/>
      </w:pPr>
      <w:r>
        <w:rPr>
          <w:b/>
        </w:rPr>
        <w:t xml:space="preserve">Café com Violas e Ponteios - </w:t>
      </w:r>
      <w:r>
        <w:t>O Programa recebeu 27.500 pessoas nas três edições, realizadas em Santa Fé do Sul, Batatais e São Simão, com 20 apresentações. Orquestras de violas, solos, duplas e trios fizeram parte da programação.</w:t>
      </w:r>
    </w:p>
    <w:p w:rsidR="003E6588" w:rsidRDefault="003E6588">
      <w:pPr>
        <w:ind w:firstLine="1134"/>
        <w:jc w:val="both"/>
      </w:pPr>
    </w:p>
    <w:p w:rsidR="003E6588" w:rsidRDefault="003E6588">
      <w:pPr>
        <w:ind w:firstLine="1134"/>
        <w:jc w:val="both"/>
        <w:rPr>
          <w:bCs/>
        </w:rPr>
      </w:pPr>
      <w:r>
        <w:rPr>
          <w:b/>
        </w:rPr>
        <w:t xml:space="preserve">Convênios Técnicos com Municípios - </w:t>
      </w:r>
      <w:r>
        <w:rPr>
          <w:bCs/>
        </w:rPr>
        <w:t>Com o objetivo de oferecer apoio do Governo Estadual aos festivais e demais eventos culturais realizados nos municípios paulistas e entidades, a UFDPC prestou atendimento por meio de Convênios para cinco projetos, totalizando repasse de R$ 560 mil. Foram contemplados: “Encontro Estéticas das Periferias 2014”, “XIII Semana Eleazar de Carvalho”, “Mapeamento dos Teatros da Cidade de São Paulo” e “Portal do MOTIN”, “O Circo de Natal” e “Semana Cultura Viva Comunitária”.</w:t>
      </w:r>
    </w:p>
    <w:p w:rsidR="003E6588" w:rsidRDefault="003E6588">
      <w:pPr>
        <w:ind w:firstLine="1134"/>
        <w:jc w:val="both"/>
        <w:rPr>
          <w:b/>
          <w:bCs/>
        </w:rPr>
      </w:pPr>
    </w:p>
    <w:p w:rsidR="003E6588" w:rsidRDefault="003E6588">
      <w:pPr>
        <w:tabs>
          <w:tab w:val="left" w:pos="1418"/>
          <w:tab w:val="left" w:pos="2127"/>
        </w:tabs>
        <w:ind w:firstLine="1134"/>
        <w:jc w:val="both"/>
        <w:rPr>
          <w:strike/>
        </w:rPr>
      </w:pPr>
      <w:r>
        <w:rPr>
          <w:b/>
        </w:rPr>
        <w:t xml:space="preserve">Gêneros e Etnias - </w:t>
      </w:r>
      <w:r>
        <w:t>A Assessoria para Gêneros e Etnias tem o objetivo de fomentar e disseminar políticas culturais voltadas aos segmentos negro, indígena, cigano, de mulheres, de pessoas com deficiência e LGBT. Dessa forma, busca promover a igualdade de direitos na produção e na difusão cultural.</w:t>
      </w:r>
    </w:p>
    <w:p w:rsidR="003E6588" w:rsidRDefault="003E6588">
      <w:pPr>
        <w:ind w:firstLine="1134"/>
        <w:jc w:val="both"/>
        <w:rPr>
          <w:b/>
          <w:strike/>
        </w:rPr>
      </w:pPr>
    </w:p>
    <w:p w:rsidR="003E6588" w:rsidRDefault="003E6588">
      <w:pPr>
        <w:ind w:firstLine="1134"/>
        <w:jc w:val="both"/>
        <w:rPr>
          <w:strike/>
        </w:rPr>
      </w:pPr>
      <w:r>
        <w:rPr>
          <w:b/>
          <w:bCs/>
        </w:rPr>
        <w:t>Centro de Cultura, Memória e Estudos para a Diversidade Sexual</w:t>
      </w:r>
      <w:r>
        <w:rPr>
          <w:b/>
        </w:rPr>
        <w:t xml:space="preserve"> -</w:t>
      </w:r>
      <w:r>
        <w:t xml:space="preserve"> Também conhecido como Museu da Diversidade Sexual, o espaço instalado na estação República do Metrô montou as exposições “Moda &amp; Diversidade”, “Diversidade Futebol Clube” e “Todos Podem ser Frida”. As exposições receberam 50.931 visitantes. O museu promoveu a itinerância de suas exposições em um total de 17 eventos, atingindo 40 mil pessoas.</w:t>
      </w:r>
    </w:p>
    <w:p w:rsidR="003E6588" w:rsidRDefault="003E6588">
      <w:pPr>
        <w:ind w:firstLine="1134"/>
        <w:jc w:val="both"/>
      </w:pPr>
    </w:p>
    <w:p w:rsidR="003E6588" w:rsidRDefault="003E6588">
      <w:pPr>
        <w:ind w:firstLine="1134"/>
        <w:jc w:val="both"/>
        <w:rPr>
          <w:b/>
        </w:rPr>
      </w:pPr>
      <w:r>
        <w:rPr>
          <w:b/>
        </w:rPr>
        <w:t>Dia da Consciência Negra</w:t>
      </w:r>
      <w:r>
        <w:t xml:space="preserve"> - A Secretaria apoiou atividades voltadas à Consciência Negra em bairros da periferia, como Pirituba e Cangaíba, além de ações como o “4º Congresso Nacional Afro Brasileiro” e o “Festival de Teatro em Português”, que trouxeram grupos e artistas de vários países da África. No interior e litoral paulistas, 19 cidades receberam apoio para as atividades relativas à Consciência Negra.</w:t>
      </w:r>
    </w:p>
    <w:p w:rsidR="003E6588" w:rsidRDefault="003E6588">
      <w:pPr>
        <w:ind w:firstLine="1134"/>
        <w:jc w:val="both"/>
        <w:rPr>
          <w:b/>
        </w:rPr>
      </w:pPr>
    </w:p>
    <w:p w:rsidR="003E6588" w:rsidRDefault="003E6588">
      <w:pPr>
        <w:ind w:firstLine="1134"/>
        <w:jc w:val="both"/>
        <w:rPr>
          <w:strike/>
        </w:rPr>
      </w:pPr>
      <w:r>
        <w:rPr>
          <w:b/>
          <w:i/>
        </w:rPr>
        <w:t>Hip Hop</w:t>
      </w:r>
      <w:r>
        <w:rPr>
          <w:b/>
        </w:rPr>
        <w:t xml:space="preserve"> Encontros: Música, Pesquisa e Poesia - </w:t>
      </w:r>
      <w:r>
        <w:t xml:space="preserve">A atividade teve o objetivo de apresentar o universo da cultura </w:t>
      </w:r>
      <w:r>
        <w:rPr>
          <w:i/>
        </w:rPr>
        <w:t>Hip Hop</w:t>
      </w:r>
      <w:r>
        <w:t xml:space="preserve"> e suas vertentes em forma de debates e mesas-redondas.</w:t>
      </w:r>
    </w:p>
    <w:p w:rsidR="003E6588" w:rsidRDefault="003E6588">
      <w:pPr>
        <w:ind w:firstLine="1134"/>
        <w:jc w:val="both"/>
        <w:rPr>
          <w:b/>
        </w:rPr>
      </w:pPr>
    </w:p>
    <w:p w:rsidR="003E6588" w:rsidRDefault="003E6588">
      <w:pPr>
        <w:ind w:firstLine="1134"/>
        <w:jc w:val="both"/>
      </w:pPr>
      <w:r>
        <w:rPr>
          <w:b/>
        </w:rPr>
        <w:lastRenderedPageBreak/>
        <w:t xml:space="preserve">VIII Encontro Paulista de </w:t>
      </w:r>
      <w:r>
        <w:rPr>
          <w:b/>
          <w:i/>
        </w:rPr>
        <w:t>Hip Hop</w:t>
      </w:r>
      <w:r>
        <w:rPr>
          <w:b/>
        </w:rPr>
        <w:t xml:space="preserve"> - </w:t>
      </w:r>
      <w:r>
        <w:t xml:space="preserve">É frequentado por adeptos, pesquisadores, ativistas e públicos em geral, que se reúnem para importantes discussões, lazer, diversão e aprendizado, dentro dos elementos que compõe a Cultura </w:t>
      </w:r>
      <w:r>
        <w:rPr>
          <w:i/>
        </w:rPr>
        <w:t>Hip Hop</w:t>
      </w:r>
      <w:r>
        <w:t xml:space="preserve"> e outras culturas negras conectadas ao movimento. Foi realizado no Memorial da América Latina.</w:t>
      </w:r>
    </w:p>
    <w:p w:rsidR="003E6588" w:rsidRDefault="003E6588">
      <w:pPr>
        <w:ind w:right="94" w:firstLine="1134"/>
        <w:jc w:val="both"/>
        <w:rPr>
          <w:b/>
          <w:color w:val="000000"/>
        </w:rPr>
      </w:pPr>
    </w:p>
    <w:p w:rsidR="003E6588" w:rsidRDefault="003E6588">
      <w:pPr>
        <w:ind w:right="94" w:firstLine="1134"/>
        <w:jc w:val="both"/>
        <w:rPr>
          <w:color w:val="000000"/>
        </w:rPr>
      </w:pPr>
      <w:r>
        <w:rPr>
          <w:b/>
          <w:color w:val="000000"/>
        </w:rPr>
        <w:t xml:space="preserve">Unidade de Formação Cultural - </w:t>
      </w:r>
      <w:r>
        <w:rPr>
          <w:color w:val="000000"/>
        </w:rPr>
        <w:t>Tem como atribuição central a formação e administração de políticas públicas voltadas para a formação cultural em suas várias manifestações artísticas. Estes são os principais programas realizados:</w:t>
      </w:r>
    </w:p>
    <w:p w:rsidR="003E6588" w:rsidRDefault="003E6588">
      <w:pPr>
        <w:ind w:right="94" w:firstLine="1134"/>
        <w:jc w:val="both"/>
        <w:rPr>
          <w:strike/>
          <w:color w:val="000000"/>
        </w:rPr>
      </w:pPr>
    </w:p>
    <w:p w:rsidR="003E6588" w:rsidRDefault="003E6588">
      <w:pPr>
        <w:ind w:firstLine="1134"/>
        <w:jc w:val="both"/>
      </w:pPr>
      <w:r>
        <w:rPr>
          <w:b/>
          <w:bCs/>
        </w:rPr>
        <w:t xml:space="preserve">Projeto Guri - </w:t>
      </w:r>
      <w:r w:rsidRPr="00A522F4">
        <w:t>O Projeto</w:t>
      </w:r>
      <w:r>
        <w:t xml:space="preserve"> Guri atendeu 51.715 alunos. A série “Horizontes Musicais” organizou 43 concertos gratuitos </w:t>
      </w:r>
      <w:r>
        <w:rPr>
          <w:rStyle w:val="apple-converted-space"/>
          <w:bCs/>
        </w:rPr>
        <w:t xml:space="preserve">envolvendo 7.747 alunos. Participaram duas instituições internacionais parceiras: </w:t>
      </w:r>
      <w:r>
        <w:rPr>
          <w:rStyle w:val="apple-converted-space"/>
          <w:bCs/>
          <w:i/>
        </w:rPr>
        <w:t>Juilliard School</w:t>
      </w:r>
      <w:r>
        <w:rPr>
          <w:rStyle w:val="apple-converted-space"/>
          <w:bCs/>
        </w:rPr>
        <w:t xml:space="preserve">, dos Estados Unidos, e </w:t>
      </w:r>
      <w:r>
        <w:rPr>
          <w:rStyle w:val="apple-converted-space"/>
          <w:bCs/>
          <w:i/>
        </w:rPr>
        <w:t>The Sage Gateshead</w:t>
      </w:r>
      <w:r>
        <w:rPr>
          <w:rStyle w:val="apple-converted-space"/>
          <w:bCs/>
        </w:rPr>
        <w:t xml:space="preserve">, da Grã Bretanha. </w:t>
      </w:r>
      <w:r>
        <w:t>Os 359 alunos que integram os 10 Grupos Infantojuvenis do Guri Capital e Grande São Paulo participaram de 33 concertos em espaços culturais e salas de concerto.</w:t>
      </w:r>
    </w:p>
    <w:p w:rsidR="003E6588" w:rsidRDefault="003E6588">
      <w:pPr>
        <w:ind w:firstLine="1134"/>
        <w:jc w:val="both"/>
      </w:pPr>
    </w:p>
    <w:p w:rsidR="003E6588" w:rsidRDefault="003E6588">
      <w:pPr>
        <w:ind w:firstLine="1134"/>
        <w:contextualSpacing/>
        <w:jc w:val="both"/>
        <w:rPr>
          <w:strike/>
        </w:rPr>
      </w:pPr>
      <w:r>
        <w:rPr>
          <w:b/>
          <w:color w:val="000000"/>
          <w:lang w:eastAsia="en-US"/>
        </w:rPr>
        <w:t xml:space="preserve">Oficinas Culturais </w:t>
      </w:r>
      <w:r>
        <w:t xml:space="preserve">- Têm como objetivo propiciar vivências de formação e fruição relacionadas a todas as linguagens artísticas. São 6 unidades na Capital e 15 no litoral e interior, além de três projetos especiais. As atividades abrangeram 22 áreas de expressão, entre as quais se destacam artes visuais, audiovisual, fotografia, circo, novas tecnologias, teatro, música, gestão cultural e patrimônio. Foram realizadas 1.641 atividades, beneficiando 76.623 pessoas. Destacaram-se as ações de formação voltadas à gestão cultural, que beneficiaram cidades do interior através de palestras, </w:t>
      </w:r>
      <w:r>
        <w:rPr>
          <w:i/>
        </w:rPr>
        <w:t>workshops</w:t>
      </w:r>
      <w:r>
        <w:t xml:space="preserve">, oficinas de formação, produção, </w:t>
      </w:r>
      <w:r>
        <w:rPr>
          <w:i/>
        </w:rPr>
        <w:t xml:space="preserve">marketing </w:t>
      </w:r>
      <w:r>
        <w:t>dentre outras, com 72 atividades desenvolvidas e 1.656 pessoas atendidas.</w:t>
      </w:r>
    </w:p>
    <w:p w:rsidR="003E6588" w:rsidRDefault="003E6588">
      <w:pPr>
        <w:ind w:firstLine="1134"/>
        <w:jc w:val="both"/>
        <w:rPr>
          <w:color w:val="000000"/>
        </w:rPr>
      </w:pPr>
    </w:p>
    <w:p w:rsidR="003E6588" w:rsidRDefault="003E6588">
      <w:pPr>
        <w:ind w:firstLine="1134"/>
        <w:jc w:val="both"/>
        <w:rPr>
          <w:color w:val="000000"/>
        </w:rPr>
      </w:pPr>
      <w:r>
        <w:rPr>
          <w:b/>
          <w:bCs/>
          <w:color w:val="000000"/>
        </w:rPr>
        <w:t xml:space="preserve">SP Escola de Teatro - </w:t>
      </w:r>
      <w:r>
        <w:rPr>
          <w:bCs/>
          <w:color w:val="000000"/>
        </w:rPr>
        <w:t>A</w:t>
      </w:r>
      <w:r>
        <w:rPr>
          <w:color w:val="000000"/>
        </w:rPr>
        <w:t xml:space="preserve">tende uma média de 392 aprendizes por ano em cursos regulares, com duração de dois anos, dedicados à capacitação profissional em diversas áreas do fazer teatral: atuação, cenografia e figurino, direção, dramaturgia, humor, iluminação, sonoplastia e técnicas de palco. Somados, os cursos perfazem 4.224 horas/aula regulares por semestre. A Escola desenvolve atividades de Extensão Cultural oferecendo 900 vagas em 30 cursos com um total de 1.920 horas/aula. Foram realizados 23 cursos, com 787 matriculados. Houve oferta diversificada de ações de formação e difusão abertas à comunidade. Foram realizadas 10 mesas de discussão (debates abertos à comunidade) com presença de 577 participantes e 31 bate-papos </w:t>
      </w:r>
      <w:r>
        <w:rPr>
          <w:i/>
          <w:color w:val="000000"/>
        </w:rPr>
        <w:t>on line</w:t>
      </w:r>
      <w:r>
        <w:rPr>
          <w:color w:val="000000"/>
        </w:rPr>
        <w:t xml:space="preserve"> com 510 participantes. O projeto Biblioteca do Corpo consiste em parceria entre a São Paulo Escola de Teatro, o SESC e o </w:t>
      </w:r>
      <w:r>
        <w:rPr>
          <w:i/>
          <w:color w:val="000000"/>
        </w:rPr>
        <w:t>Impulstanz Festival</w:t>
      </w:r>
      <w:r>
        <w:rPr>
          <w:color w:val="000000"/>
        </w:rPr>
        <w:t>, de Viena. O projeto é destinado a bailarinos residentes no Estado. Criação de vinte cursos gratuitos de circo, cada um com 64 horas de duração. Por meio deles, atendeu diretamente a 300 participantes, oferecendo uma grande variedade de opções, tanto para iniciantes quando para profissionais.</w:t>
      </w:r>
    </w:p>
    <w:p w:rsidR="003E6588" w:rsidRDefault="003E6588">
      <w:pPr>
        <w:ind w:firstLine="1134"/>
        <w:jc w:val="both"/>
        <w:rPr>
          <w:color w:val="000000"/>
          <w:u w:val="single"/>
        </w:rPr>
      </w:pPr>
    </w:p>
    <w:p w:rsidR="003E6588" w:rsidRDefault="003E6588">
      <w:pPr>
        <w:ind w:firstLine="1134"/>
        <w:jc w:val="both"/>
        <w:rPr>
          <w:strike/>
        </w:rPr>
      </w:pPr>
      <w:r>
        <w:rPr>
          <w:b/>
          <w:color w:val="000000"/>
        </w:rPr>
        <w:t xml:space="preserve">Fábricas de Cultura - </w:t>
      </w:r>
      <w:r>
        <w:rPr>
          <w:bCs/>
        </w:rPr>
        <w:t xml:space="preserve">Inauguração da última unidade das Fábricas de Cultura implantadas. </w:t>
      </w:r>
      <w:r>
        <w:t>Foram matriculados 27.651 alunos nos 1.094 cursos oferecidos em linguagens como dança, artes visuais, circo, multimeios, música, teatro, xadrez e literatura.</w:t>
      </w:r>
    </w:p>
    <w:p w:rsidR="008A4595" w:rsidRDefault="008A4595">
      <w:pPr>
        <w:ind w:firstLine="1134"/>
        <w:jc w:val="both"/>
      </w:pPr>
    </w:p>
    <w:p w:rsidR="003E6588" w:rsidRDefault="003E6588">
      <w:pPr>
        <w:ind w:firstLine="1134"/>
        <w:jc w:val="both"/>
        <w:rPr>
          <w:strike/>
        </w:rPr>
      </w:pPr>
      <w:r>
        <w:t xml:space="preserve">A integração com a comunidade é uma das características marcantes do projeto: nos fins de semana, as atividades de difusão buscam dar visibilidade a artistas e grupos do próprio bairro. Algumas </w:t>
      </w:r>
      <w:r>
        <w:lastRenderedPageBreak/>
        <w:t>atividades são realizadas nas ruas ou em outros espaços, o que reforça a ideia da integração do projeto com o seu entorno. Foi registrada a presença de mais 700.000 pessoas nas Fábricas de Cultura.</w:t>
      </w:r>
    </w:p>
    <w:p w:rsidR="003E6588" w:rsidRDefault="003E6588">
      <w:pPr>
        <w:ind w:firstLine="1134"/>
        <w:jc w:val="both"/>
      </w:pPr>
    </w:p>
    <w:p w:rsidR="003E6588" w:rsidRDefault="003E6588">
      <w:pPr>
        <w:ind w:right="44" w:firstLine="1134"/>
        <w:jc w:val="both"/>
        <w:rPr>
          <w:color w:val="000000"/>
        </w:rPr>
      </w:pPr>
      <w:r>
        <w:rPr>
          <w:b/>
          <w:color w:val="000000"/>
        </w:rPr>
        <w:t xml:space="preserve">Conservatório Dramático e Musical de Tatuí Dr. Carlos de Campos - </w:t>
      </w:r>
      <w:r>
        <w:rPr>
          <w:color w:val="000000"/>
        </w:rPr>
        <w:t xml:space="preserve">É a maior escola gratuita de ensino musical da América Latina, responsável pela formação de instrumentistas, lutiês e atores. O Conservatório atendeu aproximadamente 2.225 alunos, divididos entre os 51 cursos oferecidos na unidade de Tatuí e outros 15 cursos no polo de São José do Rio Pardo. A grade curricular é complementada por atividades extracurriculares por meio de </w:t>
      </w:r>
      <w:r>
        <w:rPr>
          <w:i/>
          <w:color w:val="000000"/>
        </w:rPr>
        <w:t>workshops</w:t>
      </w:r>
      <w:r>
        <w:rPr>
          <w:color w:val="000000"/>
        </w:rPr>
        <w:t xml:space="preserve">, </w:t>
      </w:r>
      <w:r>
        <w:rPr>
          <w:i/>
          <w:color w:val="000000"/>
        </w:rPr>
        <w:t>masterclasses</w:t>
      </w:r>
      <w:r>
        <w:rPr>
          <w:color w:val="000000"/>
        </w:rPr>
        <w:t>, palestras, festivais, encontros, concertos e espetáculos. Os eventos realizados pelo Conservatório de Tatuí atenderam 80.133 pessoas.</w:t>
      </w:r>
    </w:p>
    <w:p w:rsidR="003E6588" w:rsidRDefault="003E6588">
      <w:pPr>
        <w:ind w:right="44" w:firstLine="1134"/>
        <w:jc w:val="both"/>
        <w:rPr>
          <w:color w:val="000000"/>
        </w:rPr>
      </w:pPr>
    </w:p>
    <w:p w:rsidR="003E6588" w:rsidRDefault="003E6588">
      <w:pPr>
        <w:ind w:firstLine="1134"/>
        <w:jc w:val="both"/>
      </w:pPr>
      <w:r>
        <w:rPr>
          <w:b/>
          <w:color w:val="000000"/>
        </w:rPr>
        <w:t xml:space="preserve">Escola de Música do Estado - Tom Jobim - EMESP - </w:t>
      </w:r>
      <w:r>
        <w:rPr>
          <w:color w:val="000000"/>
        </w:rPr>
        <w:t xml:space="preserve">Atua na área de ensino de música erudita e popular, com docentes que se destacam nacional e internacionalmente, e também na produção de atividades artísticas de seus alunos e convidados. Possui 1.545 alunos matriculados gratuitamente na Formação Continuada e Avançada, com seis horas de aulas semanais; e nos Cursos Livres, com duas horas de aulas semanais. Foram realizadas 33 </w:t>
      </w:r>
      <w:r>
        <w:rPr>
          <w:i/>
          <w:color w:val="000000"/>
        </w:rPr>
        <w:t>masterclasses</w:t>
      </w:r>
      <w:r>
        <w:rPr>
          <w:color w:val="000000"/>
        </w:rPr>
        <w:t xml:space="preserve"> e </w:t>
      </w:r>
      <w:r>
        <w:rPr>
          <w:i/>
          <w:color w:val="000000"/>
        </w:rPr>
        <w:t>workshops</w:t>
      </w:r>
      <w:r>
        <w:rPr>
          <w:color w:val="000000"/>
        </w:rPr>
        <w:t xml:space="preserve">, com 1.336 atendimentos e 15 concertos, </w:t>
      </w:r>
      <w:r>
        <w:rPr>
          <w:i/>
          <w:color w:val="000000"/>
        </w:rPr>
        <w:t xml:space="preserve">shows </w:t>
      </w:r>
      <w:r>
        <w:rPr>
          <w:color w:val="000000"/>
        </w:rPr>
        <w:t xml:space="preserve">e audições para 1.536 pessoas. Professores de outros estados e países, convidados, realizaram atividades para 201 alunos. A Escola é residência de grupos musicais formados por alunos da instituição: Orquestra Jovem do Estado, Orquestra Jovem Tom Jobim, Banda Sinfônica Jovem do Estado e o Coral Jovem do Estado. Estas formações realizaram 49 apresentações, contabilizando a participação de 34.545 pessoas. A Orquestra Jovem do Estado realizou </w:t>
      </w:r>
      <w:r>
        <w:t xml:space="preserve">apresentações internacionais nos Festivais </w:t>
      </w:r>
      <w:r>
        <w:rPr>
          <w:i/>
        </w:rPr>
        <w:t>Berlioz</w:t>
      </w:r>
      <w:r>
        <w:t xml:space="preserve">, na França, e no </w:t>
      </w:r>
      <w:r>
        <w:rPr>
          <w:i/>
        </w:rPr>
        <w:t>Grachtenfestiva</w:t>
      </w:r>
      <w:r>
        <w:t>l, na Holanda.</w:t>
      </w:r>
    </w:p>
    <w:p w:rsidR="003E6588" w:rsidRDefault="003E6588">
      <w:pPr>
        <w:ind w:firstLine="1134"/>
        <w:jc w:val="both"/>
      </w:pPr>
    </w:p>
    <w:p w:rsidR="003E6588" w:rsidRDefault="003E6588" w:rsidP="008A4595">
      <w:pPr>
        <w:ind w:firstLine="1134"/>
        <w:jc w:val="both"/>
        <w:rPr>
          <w:color w:val="000000"/>
        </w:rPr>
      </w:pPr>
      <w:r>
        <w:rPr>
          <w:b/>
          <w:bCs/>
        </w:rPr>
        <w:t xml:space="preserve">Festival Internacional de Inverno de Campos do Jordão - </w:t>
      </w:r>
      <w:r>
        <w:t>O 45º Festival Internacional de Inverno de Campos de Jordão, realizado pela Fundação OSESP contou com a execução de 70 concertos, apresentados por 2.500 artistas, com público de 46 mil espectadores. As apresentações ocorreram em palcos distribuídos entre Campos do Jordão e São Paulo. O Festival teve a participação de 147 bolsistas e 60 professores.</w:t>
      </w:r>
    </w:p>
    <w:p w:rsidR="003E6588" w:rsidRDefault="003E6588" w:rsidP="008A4595">
      <w:pPr>
        <w:ind w:firstLine="1134"/>
        <w:jc w:val="both"/>
      </w:pPr>
    </w:p>
    <w:p w:rsidR="003E6588" w:rsidRDefault="003E6588" w:rsidP="008A4595">
      <w:pPr>
        <w:ind w:firstLine="1134"/>
        <w:jc w:val="both"/>
      </w:pPr>
      <w:r>
        <w:rPr>
          <w:b/>
        </w:rPr>
        <w:t xml:space="preserve">Unidade de Preservação do Patrimônio Museológico - </w:t>
      </w:r>
      <w:r>
        <w:t>Responsável pela elaboração e execução de políticas públicas para a área museológica no Estado, tendo por missão garantir a preservação, a pesquisa e a difusão do patrimônio cultural dos 18 museus da Secretaria da Cultura (14 na Capital, um no litoral e três no interior). As instituições registraram público de 3,7 milhões, A Unidade atuou com foco na democratização do acesso aos equipamentos museológicos e intensificou a articulação em rede. Em comemoração ao Dia Internacional dos Museus, deu continuidade à campanha “Museu MeUeSEU: de todo mundo”, distribuindo 10 mil Passaportes dos Museus. Publicação da Resolução SC nº 21/2014, que uniformizou o sábado como dia de concessão de entrada gratuita nos museus vinculados à Secretaria da Cultura. Houve a realização da “2ª Mostra de Museus do Governo do Estado”, atingindo 5.800 pessoas.</w:t>
      </w:r>
    </w:p>
    <w:p w:rsidR="003E6588" w:rsidRDefault="003E6588">
      <w:pPr>
        <w:autoSpaceDE w:val="0"/>
        <w:autoSpaceDN w:val="0"/>
        <w:adjustRightInd w:val="0"/>
        <w:ind w:firstLine="1134"/>
        <w:jc w:val="both"/>
        <w:rPr>
          <w:b/>
          <w:bCs/>
          <w:lang w:eastAsia="en-US"/>
        </w:rPr>
      </w:pPr>
    </w:p>
    <w:p w:rsidR="003E6588" w:rsidRDefault="003E6588">
      <w:pPr>
        <w:autoSpaceDE w:val="0"/>
        <w:autoSpaceDN w:val="0"/>
        <w:adjustRightInd w:val="0"/>
        <w:ind w:firstLine="1134"/>
        <w:jc w:val="both"/>
      </w:pPr>
      <w:r>
        <w:rPr>
          <w:b/>
          <w:bCs/>
          <w:lang w:eastAsia="en-US"/>
        </w:rPr>
        <w:t xml:space="preserve">Sistema Estadual de Museus - SISEM - </w:t>
      </w:r>
      <w:r>
        <w:rPr>
          <w:bCs/>
          <w:lang w:eastAsia="en-US"/>
        </w:rPr>
        <w:t>C</w:t>
      </w:r>
      <w:r>
        <w:t xml:space="preserve">oordenado pela Secretaria da Cultura, o SISEM busca articular a rede de museus do Estado, incluindo instituições municipais, federais, universitárias e privadas, no intuito de promover o desenvolvimento e o fortalecimento institucional. Fez circular 58 </w:t>
      </w:r>
      <w:r>
        <w:lastRenderedPageBreak/>
        <w:t>exposições itinerantes em 45 municípios. Assinale-se o destaque para as montagens das exposições “Imagens do Brasil”, com acervo do Museu Lasar Segall, em parceria com a ACAM Portinari; “Fotopinturas (coleção Titus Riedl)”, parceria com o Instituto do Imaginário do Povo Brasileiro; “Marcos da Televisão Brasileira”, parceria com o Instituto Pró-TV/Museu da Televisão Brasileira; e “100 Anos da Pinacoteca de São Paulo”, com a Pinacoteca. O SISEM realizou o “6º Encontro Paulista de Museus”, que recebeu mais de 1.200 inscrições de profissionais do Estado. No eixo de formação, o curso EAD de Introdução ao Trabalho em Museus, realizado em parceria com a ACAM Portinari e Unaerp, registrou 314 inscrições.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xml:space="preserve">Em parceria com as Organizações Sociais de Cultura, foram realizadas 49 ações de formação, entre cursos, oficinas e palestas; 11 estágios técnicos e 13 assistências técnicas. O </w:t>
      </w:r>
      <w:r>
        <w:rPr>
          <w:i/>
        </w:rPr>
        <w:t>website</w:t>
      </w:r>
      <w:r>
        <w:t xml:space="preserve"> do Sistema Estadual de Museus - SISEM, contabilizou mais de 424 mil acessos únicos, originários de 80 países.</w:t>
      </w:r>
    </w:p>
    <w:p w:rsidR="003E6588" w:rsidRDefault="003E6588">
      <w:pPr>
        <w:autoSpaceDE w:val="0"/>
        <w:autoSpaceDN w:val="0"/>
        <w:adjustRightInd w:val="0"/>
        <w:ind w:firstLine="1134"/>
        <w:jc w:val="both"/>
        <w:rPr>
          <w:b/>
          <w:bCs/>
          <w:color w:val="222222"/>
        </w:rPr>
      </w:pPr>
    </w:p>
    <w:p w:rsidR="003E6588" w:rsidRDefault="003E6588">
      <w:pPr>
        <w:autoSpaceDE w:val="0"/>
        <w:autoSpaceDN w:val="0"/>
        <w:adjustRightInd w:val="0"/>
        <w:ind w:firstLine="1134"/>
        <w:jc w:val="both"/>
        <w:rPr>
          <w:lang w:eastAsia="en-US"/>
        </w:rPr>
      </w:pPr>
      <w:r>
        <w:rPr>
          <w:b/>
          <w:bCs/>
        </w:rPr>
        <w:t xml:space="preserve">Catavento Cultural e Educacional - </w:t>
      </w:r>
      <w:r>
        <w:rPr>
          <w:lang w:eastAsia="en-US"/>
        </w:rPr>
        <w:t>Inauguração das “Arcadas Subterrâneas”, espaço que passou a abrigar novas atrações interativas e exposições, entre elas “Do Macaco ao Homem”, que apresenta a evolução humana a partir de réplicas arqueológicas,</w:t>
      </w:r>
      <w:r>
        <w:rPr>
          <w:iCs/>
          <w:lang w:eastAsia="en-US"/>
        </w:rPr>
        <w:t xml:space="preserve"> e a</w:t>
      </w:r>
      <w:r>
        <w:rPr>
          <w:lang w:eastAsia="en-US"/>
        </w:rPr>
        <w:t xml:space="preserve"> 4ª edição da “</w:t>
      </w:r>
      <w:r>
        <w:rPr>
          <w:iCs/>
          <w:lang w:eastAsia="en-US"/>
        </w:rPr>
        <w:t xml:space="preserve">Mostra Paulista de Ciências e Engenharia - MOP”, realizada em parceria com o </w:t>
      </w:r>
      <w:r>
        <w:rPr>
          <w:lang w:eastAsia="en-US"/>
        </w:rPr>
        <w:t xml:space="preserve">Laboratório de Sistemas Integrados da Escola Politécnica da USP, </w:t>
      </w:r>
      <w:r>
        <w:rPr>
          <w:iCs/>
          <w:lang w:eastAsia="en-US"/>
        </w:rPr>
        <w:t xml:space="preserve">cujo </w:t>
      </w:r>
      <w:r>
        <w:rPr>
          <w:lang w:eastAsia="en-US"/>
        </w:rPr>
        <w:t>objetivo foi estimular o desenvolvimento de projetos científicos entre estudantes com 14 a 20 anos. Público - 481.985.</w:t>
      </w:r>
    </w:p>
    <w:p w:rsidR="003E6588" w:rsidRPr="00A522F4" w:rsidRDefault="003E6588">
      <w:pPr>
        <w:autoSpaceDE w:val="0"/>
        <w:autoSpaceDN w:val="0"/>
        <w:adjustRightInd w:val="0"/>
        <w:ind w:firstLine="1134"/>
        <w:jc w:val="both"/>
        <w:rPr>
          <w:lang w:eastAsia="en-US"/>
        </w:rPr>
      </w:pPr>
    </w:p>
    <w:p w:rsidR="003E6588" w:rsidRDefault="003E6588">
      <w:pPr>
        <w:autoSpaceDE w:val="0"/>
        <w:autoSpaceDN w:val="0"/>
        <w:adjustRightInd w:val="0"/>
        <w:ind w:firstLine="1134"/>
        <w:jc w:val="both"/>
        <w:rPr>
          <w:lang w:eastAsia="en-US"/>
        </w:rPr>
      </w:pPr>
      <w:r>
        <w:rPr>
          <w:b/>
        </w:rPr>
        <w:t xml:space="preserve">Pinacoteca do Estado - </w:t>
      </w:r>
      <w:r>
        <w:rPr>
          <w:lang w:eastAsia="en-US"/>
        </w:rPr>
        <w:t>Dentre as exposições temporárias realizadas, destacaram-se: “Zero”, “Guillermo Kuitca - Filosofia para Princesas”, “Mira Schendel”, “Acervo em Plástico da Pinacoteca</w:t>
      </w:r>
      <w:r>
        <w:rPr>
          <w:i/>
          <w:lang w:eastAsia="en-US"/>
        </w:rPr>
        <w:t xml:space="preserve"> </w:t>
      </w:r>
      <w:r>
        <w:rPr>
          <w:lang w:eastAsia="en-US"/>
        </w:rPr>
        <w:t>- Problemática de Conservação e Restauro” e a exposição do artista australiano Ron Mueck.</w:t>
      </w:r>
    </w:p>
    <w:p w:rsidR="003E6588" w:rsidRPr="008A4595" w:rsidRDefault="003E6588">
      <w:pPr>
        <w:autoSpaceDE w:val="0"/>
        <w:autoSpaceDN w:val="0"/>
        <w:adjustRightInd w:val="0"/>
        <w:ind w:firstLine="1134"/>
        <w:jc w:val="both"/>
        <w:rPr>
          <w:lang w:eastAsia="en-US"/>
        </w:rPr>
      </w:pPr>
    </w:p>
    <w:p w:rsidR="003E6588" w:rsidRDefault="003E6588">
      <w:pPr>
        <w:autoSpaceDE w:val="0"/>
        <w:autoSpaceDN w:val="0"/>
        <w:adjustRightInd w:val="0"/>
        <w:ind w:firstLine="1134"/>
        <w:jc w:val="both"/>
        <w:rPr>
          <w:lang w:eastAsia="en-US"/>
        </w:rPr>
      </w:pPr>
      <w:r>
        <w:rPr>
          <w:b/>
          <w:lang w:eastAsia="en-US"/>
        </w:rPr>
        <w:t xml:space="preserve">Estação Pinacoteca - </w:t>
      </w:r>
      <w:r>
        <w:rPr>
          <w:lang w:eastAsia="en-US"/>
        </w:rPr>
        <w:t>A Estação Pinacoteca recebe parte do programa de exposições temporárias da Pinacoteca. Atingindo público de mais de 60 mil pessoas,</w:t>
      </w:r>
      <w:r>
        <w:t xml:space="preserve"> o destaque foi a abertura da exposição “Teoria da Cor de </w:t>
      </w:r>
      <w:r>
        <w:rPr>
          <w:lang w:eastAsia="en-US"/>
        </w:rPr>
        <w:t>Miguel do Rio Branco”, que reuniu cerca de 40 obras do fotógrafo brasileiro do cenário contemporâneo. Outro destaque foi a mostra “História do Modernismo na Pinacoteca”, com apresentação de seleção de obras do período modernista do acervo da instituição. Público - 63.579.</w:t>
      </w:r>
    </w:p>
    <w:p w:rsidR="003E6588" w:rsidRDefault="003E6588">
      <w:pPr>
        <w:autoSpaceDE w:val="0"/>
        <w:autoSpaceDN w:val="0"/>
        <w:adjustRightInd w:val="0"/>
        <w:ind w:firstLine="1134"/>
        <w:jc w:val="both"/>
        <w:rPr>
          <w:lang w:eastAsia="en-US"/>
        </w:rPr>
      </w:pPr>
    </w:p>
    <w:p w:rsidR="003E6588" w:rsidRDefault="003E6588">
      <w:pPr>
        <w:autoSpaceDE w:val="0"/>
        <w:autoSpaceDN w:val="0"/>
        <w:adjustRightInd w:val="0"/>
        <w:ind w:firstLine="1134"/>
        <w:jc w:val="both"/>
        <w:rPr>
          <w:lang w:eastAsia="en-US"/>
        </w:rPr>
      </w:pPr>
      <w:r>
        <w:rPr>
          <w:b/>
          <w:lang w:eastAsia="en-US"/>
        </w:rPr>
        <w:t xml:space="preserve">Memorial da Resistência - </w:t>
      </w:r>
      <w:r>
        <w:rPr>
          <w:lang w:eastAsia="en-US"/>
        </w:rPr>
        <w:t>Espaço dedicado à preservação das memórias da resistência e da repressão política do Brasil republicano está instalado no térreo do antigo edifício do DOPS. O Memorial realizou a exposição temporária “Quando eu não puder mais falar, vocês falarão por mim/Mortos e Desaparecidos Políticos: percursos pela Verdade e Justiça</w:t>
      </w:r>
      <w:r>
        <w:rPr>
          <w:i/>
          <w:lang w:eastAsia="en-US"/>
        </w:rPr>
        <w:t>”</w:t>
      </w:r>
      <w:r>
        <w:rPr>
          <w:lang w:eastAsia="en-US"/>
        </w:rPr>
        <w:t>, em parceria com a Comissão Estadual da Verdade Rubens Paiva e a itinerância da exposição “Lugares da Memória: resistência e repressão em São Paulo” na Secretaria da Justiça e da Defesa da Cidadania. Destaque para a exposição “Política Futebol Clube - O futebol na ditadura”, inserida na temática dos eventos da Copa do Mundo. Público - 72.752.</w:t>
      </w:r>
    </w:p>
    <w:p w:rsidR="008A4595" w:rsidRDefault="008A4595">
      <w:pPr>
        <w:autoSpaceDE w:val="0"/>
        <w:autoSpaceDN w:val="0"/>
        <w:adjustRightInd w:val="0"/>
        <w:ind w:firstLine="1134"/>
        <w:jc w:val="both"/>
        <w:rPr>
          <w:lang w:eastAsia="en-US"/>
        </w:rPr>
      </w:pPr>
    </w:p>
    <w:p w:rsidR="003E6588" w:rsidRDefault="003E6588">
      <w:pPr>
        <w:ind w:firstLine="1134"/>
        <w:jc w:val="both"/>
      </w:pPr>
      <w:r>
        <w:rPr>
          <w:b/>
        </w:rPr>
        <w:t xml:space="preserve">Museu da Imagem e do Som - </w:t>
      </w:r>
      <w:r>
        <w:t xml:space="preserve">O MIS recebeu 500 mil visitantes. A programação foi composta de diferentes linguagens e gêneros, como apresentações musicais, sessões de cinema, mostras </w:t>
      </w:r>
      <w:r>
        <w:lastRenderedPageBreak/>
        <w:t>de fotografia, cursos, oficinas e eventos integrando a temática do equipamento. Os destaques foram as exposições “David Bowie”, que trouxe uma retrospectiva internacional sobre a carreira do artista britânico e levou ao MIS um público de 80 mil visitantes e a exposição “Castelo Rá-Tim-Bum”, em comemoração às duas décadas do programa exibido pela TV Cultura</w:t>
      </w:r>
      <w:r>
        <w:rPr>
          <w:lang w:eastAsia="en-US"/>
        </w:rPr>
        <w:t xml:space="preserve">. Já o </w:t>
      </w:r>
      <w:r>
        <w:t xml:space="preserve">Programa Pontos MIS, associado à distribuição de </w:t>
      </w:r>
      <w:r>
        <w:rPr>
          <w:i/>
        </w:rPr>
        <w:t>kits</w:t>
      </w:r>
      <w:r>
        <w:t xml:space="preserve"> de cinema realizado pela UFDPC, beneficiou 143 municípios implantando, em parceria com as Prefeituras, espaços culturais para exibição de filmes, oficinas, palestras e ações de formação de gestores culturais.</w:t>
      </w:r>
    </w:p>
    <w:p w:rsidR="003E6588" w:rsidRDefault="003E6588">
      <w:pPr>
        <w:ind w:firstLine="1134"/>
        <w:jc w:val="both"/>
      </w:pPr>
    </w:p>
    <w:p w:rsidR="003E6588" w:rsidRDefault="003E6588">
      <w:pPr>
        <w:ind w:firstLine="1134"/>
        <w:jc w:val="both"/>
      </w:pPr>
      <w:r>
        <w:rPr>
          <w:b/>
        </w:rPr>
        <w:t xml:space="preserve">Museu da Imigração - </w:t>
      </w:r>
      <w:r>
        <w:t>Reinauguração do museu restaurado e com nova exposição de longa duração “Migrar: experiências, memórias e identidades”, além de espaços requalificados para o público, incluindo a implantação da nova reserva técnica. A instituição realizou a “19ª Festa do Imigrante”. Lançamento da publicação “Spectrum 4.0: padrão para Gestões de Coleções de Museus do Reino Unido”, dentro da Programação da 2ª edição do “Curso de Documentação Museológica” promovido em parceria com o CIDOC-ICOM, e a inauguração da exposição temporária “A criança e o brinquedo no Museu da Imigração”. Público - 91.266.</w:t>
      </w:r>
    </w:p>
    <w:p w:rsidR="008A4595" w:rsidRDefault="008A4595">
      <w:pPr>
        <w:autoSpaceDE w:val="0"/>
        <w:autoSpaceDN w:val="0"/>
        <w:adjustRightInd w:val="0"/>
        <w:ind w:firstLine="1134"/>
        <w:jc w:val="both"/>
        <w:rPr>
          <w:lang w:eastAsia="en-US"/>
        </w:rPr>
      </w:pPr>
    </w:p>
    <w:p w:rsidR="003E6588" w:rsidRDefault="003E6588">
      <w:pPr>
        <w:ind w:firstLine="1134"/>
        <w:jc w:val="both"/>
        <w:rPr>
          <w:u w:val="single"/>
        </w:rPr>
      </w:pPr>
      <w:r>
        <w:rPr>
          <w:b/>
        </w:rPr>
        <w:t xml:space="preserve">Paço das Artes - </w:t>
      </w:r>
      <w:r>
        <w:t>Realizou um conjunto de ações que o consolidaram como referência no campo da formação de jovens artistas, críticos e curadores em arte contemporânea. Destacou-se o lançamento do Projeto MultiplicAção, que promove oficinas de capacitação para educadores de entidades que atendem ao público infantil. Dentre as exposições, podemos citar “Um Cais para Nino” (Nino Cais), “</w:t>
      </w:r>
      <w:r>
        <w:rPr>
          <w:i/>
        </w:rPr>
        <w:t>Italian Drawings</w:t>
      </w:r>
      <w:r>
        <w:t xml:space="preserve">” (Francis Bacon) e “Operação Condor”. Ocorreu o lançamento da plataforma virtual “MaPa: Memória Paço das Artes”, que reúne os registros das ações e memórias da Temporada de Projetos que lança novos artistas, curadores e críticos de arte contemporânea. </w:t>
      </w:r>
      <w:r>
        <w:rPr>
          <w:lang w:eastAsia="en-US"/>
        </w:rPr>
        <w:t>Público - 80.209.</w:t>
      </w:r>
    </w:p>
    <w:p w:rsidR="003E6588" w:rsidRDefault="003E6588">
      <w:pPr>
        <w:ind w:firstLine="1134"/>
        <w:jc w:val="both"/>
      </w:pPr>
    </w:p>
    <w:p w:rsidR="003E6588" w:rsidRDefault="003E6588">
      <w:pPr>
        <w:ind w:firstLine="1134"/>
        <w:jc w:val="both"/>
      </w:pPr>
      <w:r>
        <w:rPr>
          <w:b/>
        </w:rPr>
        <w:t xml:space="preserve">Museu Afro Brasil - </w:t>
      </w:r>
      <w:r>
        <w:t>Comemorou 10 anos de existência com intensa programação cultural e exposições temporárias, com destaque para “Da Cartografia do Poder aos Itinerários do Saber”, com acervo etnográfico inédito, pertencente à Universidade Coimbra (Portugal); e a exposição “O negro no futebol brasileiro</w:t>
      </w:r>
      <w:r>
        <w:rPr>
          <w:i/>
        </w:rPr>
        <w:t>”</w:t>
      </w:r>
      <w:r>
        <w:t>, no período da Copa. O Dia da Consciência Negra foi marcado por ampla programação cultural, envolvendo debates, atividades educativas e exibição de filme, atingindo 5 mil pessoas. O Núcleo Educativo vem intensificando o desenvolvimento de ações de formação de professores, estudantes e pessoas em situação de vulnerabilidade social, a exemplo do “Projeto Akpalô”, que envolve a realização de ações culturais nos espaços de outras instituições como a Fundação Casa; e do Projeto Singular Plural, voltado à acessibilidade de conteúdos de pessoas com deficiência. Público - 196.339.</w:t>
      </w:r>
    </w:p>
    <w:p w:rsidR="003E6588" w:rsidRDefault="003E6588">
      <w:pPr>
        <w:ind w:firstLine="1134"/>
        <w:jc w:val="both"/>
      </w:pPr>
    </w:p>
    <w:p w:rsidR="003E6588" w:rsidRDefault="003E6588">
      <w:pPr>
        <w:ind w:firstLine="1134"/>
        <w:jc w:val="both"/>
      </w:pPr>
      <w:r>
        <w:rPr>
          <w:b/>
        </w:rPr>
        <w:t>Casa Guilherme de Almeida</w:t>
      </w:r>
      <w:r>
        <w:rPr>
          <w:b/>
          <w:shd w:val="clear" w:color="auto" w:fill="FFFFFF"/>
        </w:rPr>
        <w:t xml:space="preserve"> - </w:t>
      </w:r>
      <w:r>
        <w:t xml:space="preserve">Dois eventos realizados na Casa Guilherme de Almeida: a “Semana Guilherme de Almeida” e o “IV Transfusão - Encontro de Tradutores”. Os cursos oferecidos pelo Centro de Tradução Literária estão cada vez mais concorridos, gerando a necessidade de processo seletivo e ampliação da oferta de vagas. </w:t>
      </w:r>
      <w:r>
        <w:rPr>
          <w:shd w:val="clear" w:color="auto" w:fill="FFFFFF"/>
        </w:rPr>
        <w:t>O</w:t>
      </w:r>
      <w:r>
        <w:t xml:space="preserve"> espaço Anexo da Casa, localizado na Rua Cardoso de Almeida nº 1.943, foi inaugurado, permitindo a realização de ações técnicas, bem como a ampliação da programação cultural. Público - 10.074.</w:t>
      </w:r>
    </w:p>
    <w:p w:rsidR="003E6588" w:rsidRDefault="003E6588">
      <w:pPr>
        <w:ind w:firstLine="1134"/>
        <w:jc w:val="both"/>
        <w:rPr>
          <w:rStyle w:val="texto14px"/>
          <w:b/>
        </w:rPr>
      </w:pPr>
    </w:p>
    <w:p w:rsidR="003E6588" w:rsidRDefault="003E6588">
      <w:pPr>
        <w:autoSpaceDE w:val="0"/>
        <w:autoSpaceDN w:val="0"/>
        <w:adjustRightInd w:val="0"/>
        <w:ind w:firstLine="1134"/>
        <w:jc w:val="both"/>
        <w:rPr>
          <w:rStyle w:val="texto14px"/>
        </w:rPr>
      </w:pPr>
      <w:r>
        <w:rPr>
          <w:rStyle w:val="texto14px"/>
          <w:b/>
        </w:rPr>
        <w:lastRenderedPageBreak/>
        <w:t xml:space="preserve">Casa das Rosas - Espaço Haroldo de Campos de Poesia e Literatura - </w:t>
      </w:r>
      <w:r>
        <w:rPr>
          <w:rStyle w:val="texto14px"/>
        </w:rPr>
        <w:t xml:space="preserve">O Centro de Referência Haroldo de Campos realizou ações ligadas a uma das linhas de pesquisa previstas: a relação de Haroldo de Campos com as artes plásticas. A Virada da Poesia atraiu 5.532 pessoas em um só dia. Para comemorar os seus 10 anos, a Casa das Rosas abriu a </w:t>
      </w:r>
      <w:r>
        <w:t>exposição “Esdrúxulo! 100 anos da morte de Augusto dos Anjos”</w:t>
      </w:r>
      <w:r>
        <w:rPr>
          <w:i/>
        </w:rPr>
        <w:t>.</w:t>
      </w:r>
      <w:r>
        <w:t xml:space="preserve"> </w:t>
      </w:r>
      <w:r>
        <w:rPr>
          <w:rStyle w:val="texto14px"/>
        </w:rPr>
        <w:t>Público - 107.420.</w:t>
      </w:r>
    </w:p>
    <w:p w:rsidR="003E6588" w:rsidRDefault="003E6588">
      <w:pPr>
        <w:autoSpaceDE w:val="0"/>
        <w:autoSpaceDN w:val="0"/>
        <w:adjustRightInd w:val="0"/>
        <w:ind w:firstLine="1134"/>
        <w:jc w:val="both"/>
        <w:rPr>
          <w:rStyle w:val="texto14px"/>
          <w:u w:val="single"/>
        </w:rPr>
      </w:pPr>
    </w:p>
    <w:p w:rsidR="003E6588" w:rsidRDefault="003E6588">
      <w:pPr>
        <w:ind w:firstLine="1134"/>
        <w:jc w:val="both"/>
        <w:rPr>
          <w:lang w:eastAsia="en-US"/>
        </w:rPr>
      </w:pPr>
      <w:r>
        <w:rPr>
          <w:rStyle w:val="texto14px"/>
          <w:b/>
        </w:rPr>
        <w:t>Museu de Arte Sacra</w:t>
      </w:r>
      <w:r>
        <w:rPr>
          <w:rStyle w:val="texto14px"/>
        </w:rPr>
        <w:t xml:space="preserve"> - F</w:t>
      </w:r>
      <w:r>
        <w:rPr>
          <w:lang w:eastAsia="en-US"/>
        </w:rPr>
        <w:t xml:space="preserve">oram destaques a exposição comemorativa aos 240 anos do Mosteiro da Luz, edificação que abriga o Museu; a exposição “Barro Paulista”; e a tradicional exposição de presépios natalinos. Cabe destacar o intenso trabalho técnico realizado para a atualização do inventário do acervo museológico sob a guarda do Museu, bem como as ações de pesquisa e documentação que vêm sendo empreendidas, contemplando 2 mil novos registros fotográficos das peças do acervo e pesquisa de origem e procedência de mais de 300 peças. </w:t>
      </w:r>
      <w:r>
        <w:rPr>
          <w:rStyle w:val="texto14px"/>
        </w:rPr>
        <w:t xml:space="preserve">Público - </w:t>
      </w:r>
      <w:r>
        <w:rPr>
          <w:lang w:eastAsia="en-US"/>
        </w:rPr>
        <w:t>50.829.</w:t>
      </w:r>
    </w:p>
    <w:p w:rsidR="003E6588" w:rsidRDefault="003E6588">
      <w:pPr>
        <w:ind w:firstLine="1134"/>
        <w:jc w:val="both"/>
        <w:rPr>
          <w:b/>
          <w:bCs/>
          <w:color w:val="222222"/>
        </w:rPr>
      </w:pPr>
    </w:p>
    <w:p w:rsidR="003E6588" w:rsidRDefault="003E6588">
      <w:pPr>
        <w:ind w:firstLine="1134"/>
        <w:jc w:val="both"/>
        <w:rPr>
          <w:rStyle w:val="texto14px"/>
        </w:rPr>
      </w:pPr>
      <w:r>
        <w:rPr>
          <w:b/>
          <w:bCs/>
        </w:rPr>
        <w:t xml:space="preserve">Museu do Futebol - </w:t>
      </w:r>
      <w:r>
        <w:rPr>
          <w:bCs/>
        </w:rPr>
        <w:t>T</w:t>
      </w:r>
      <w:r>
        <w:t xml:space="preserve">eve grande evidência por conta da Copa do Mundo. A exposição temporária “Brasil 20 Copas” recebeu 156.528 pessoas. Nesse período, o público noturno somou 7.659 visitantes. A instituição deu prosseguimento ao processo de consolidação do Centro de Referência do Futebol Brasileiro. O 6º aniversário do Museu foi comemorado com programação especial para famílias, contemplando oficinas, jogos educativos e intervenções artísticas. </w:t>
      </w:r>
      <w:r>
        <w:rPr>
          <w:rStyle w:val="texto14px"/>
        </w:rPr>
        <w:t>Público - 397.983.</w:t>
      </w:r>
    </w:p>
    <w:p w:rsidR="003E6588" w:rsidRDefault="003E6588">
      <w:pPr>
        <w:ind w:firstLine="1134"/>
        <w:jc w:val="both"/>
        <w:rPr>
          <w:rStyle w:val="texto14px"/>
        </w:rPr>
      </w:pPr>
    </w:p>
    <w:p w:rsidR="003E6588" w:rsidRDefault="003E6588">
      <w:pPr>
        <w:ind w:firstLine="1134"/>
        <w:jc w:val="both"/>
      </w:pPr>
      <w:r>
        <w:rPr>
          <w:b/>
        </w:rPr>
        <w:t xml:space="preserve">Museu da Casa Brasileira - </w:t>
      </w:r>
      <w:r>
        <w:t xml:space="preserve">O MCB ofereceu programação ampla, diversificada e reconhecida pelo público e crítica, atraindo público de 140 mil pessoas. A 27ª edição do “Prêmio Design MCB” e o “Concurso do Cartaz - 28º Prêmio </w:t>
      </w:r>
      <w:r>
        <w:rPr>
          <w:i/>
        </w:rPr>
        <w:t>Design</w:t>
      </w:r>
      <w:r>
        <w:t xml:space="preserve"> Museu da Casa Brasileira” são marcas da referência que a instituição vem constituindo no desenvolvimento do design e da arquitetura brasileira. Entre as exposições, os destaques foram “Vespa - Um ícone Italiano - História, Cultura e Design”; “Maneira de Expor: arquitetura expositiva de Lina Bo Bardi”, que ganhou o Prêmio APCA na categoria </w:t>
      </w:r>
      <w:r>
        <w:rPr>
          <w:bCs/>
        </w:rPr>
        <w:t>Fronteiras da Arquitetura;</w:t>
      </w:r>
      <w:r w:rsidRPr="00181F69">
        <w:rPr>
          <w:rFonts w:ascii="Calibri" w:hAnsi="Calibri" w:cs="Calibri"/>
          <w:bCs/>
        </w:rPr>
        <w:t xml:space="preserve"> </w:t>
      </w:r>
      <w:r>
        <w:t xml:space="preserve">e ta exposição “Casas do Brasil - uma exposição Sobre Vivências: Carandiru”. </w:t>
      </w:r>
      <w:r>
        <w:rPr>
          <w:rStyle w:val="texto14px"/>
        </w:rPr>
        <w:t xml:space="preserve">Público - </w:t>
      </w:r>
      <w:r>
        <w:rPr>
          <w:lang w:eastAsia="en-US"/>
        </w:rPr>
        <w:t>141.105.</w:t>
      </w:r>
    </w:p>
    <w:p w:rsidR="003E6588" w:rsidRDefault="003E6588">
      <w:pPr>
        <w:ind w:firstLine="1134"/>
        <w:jc w:val="both"/>
        <w:rPr>
          <w:color w:val="222222"/>
        </w:rPr>
      </w:pPr>
    </w:p>
    <w:p w:rsidR="003E6588" w:rsidRDefault="003E6588">
      <w:pPr>
        <w:ind w:firstLine="1134"/>
        <w:jc w:val="both"/>
      </w:pPr>
      <w:r>
        <w:rPr>
          <w:b/>
        </w:rPr>
        <w:t xml:space="preserve">Museu da Língua Portuguesa - </w:t>
      </w:r>
      <w:r>
        <w:t xml:space="preserve">Destaque para as exposições “Narrativas Poéticas - Coleção Santander Brasil, Alemanha de A a Z”, em parceria com o </w:t>
      </w:r>
      <w:r>
        <w:rPr>
          <w:i/>
        </w:rPr>
        <w:t>Goethe Institut</w:t>
      </w:r>
      <w:r>
        <w:t>, e “Futebol na Ponta da Língua”, realizada como parte da programação especial do período da Copa do Mundo. O Museu se dedicou intensivamente às ações itinerantes com a exposição “Estação da Língua”</w:t>
      </w:r>
      <w:r>
        <w:rPr>
          <w:i/>
        </w:rPr>
        <w:t>,</w:t>
      </w:r>
      <w:r>
        <w:t xml:space="preserve"> que percorreu as cidades de Santos, Registro, Sorocaba, Campinas, Ribeirão Preto, São José do Rio Preto e São Bernardo do Campo. Ocorreu a itinerância da exposição “Esta Sala é uma Piada”, nas cidades de Pedregulho, Ituverava, Ribeirão Corrente e Batatais. O Centro de Referência de Educação em Museus lançou a plataforma virtual “Estação Educativo”, ampliando o acesso desses conteúdos. </w:t>
      </w:r>
      <w:r>
        <w:rPr>
          <w:rStyle w:val="texto14px"/>
        </w:rPr>
        <w:t>Público - 357.629.</w:t>
      </w:r>
    </w:p>
    <w:p w:rsidR="003E6588" w:rsidRPr="00181F69" w:rsidRDefault="003E6588">
      <w:pPr>
        <w:ind w:firstLine="1134"/>
        <w:jc w:val="both"/>
      </w:pPr>
    </w:p>
    <w:p w:rsidR="003E6588" w:rsidRDefault="003E6588">
      <w:pPr>
        <w:pStyle w:val="Recuodecorpodetexto3"/>
        <w:ind w:left="0" w:firstLine="1134"/>
        <w:rPr>
          <w:rStyle w:val="Forte"/>
          <w:b w:val="0"/>
          <w:bCs w:val="0"/>
          <w:szCs w:val="24"/>
          <w:lang w:val="pt-BR"/>
        </w:rPr>
      </w:pPr>
      <w:r>
        <w:rPr>
          <w:b/>
          <w:szCs w:val="24"/>
          <w:lang w:val="pt-BR"/>
        </w:rPr>
        <w:t xml:space="preserve">Museu do Café (Santos) - </w:t>
      </w:r>
      <w:r>
        <w:rPr>
          <w:szCs w:val="24"/>
          <w:lang w:val="pt-BR"/>
        </w:rPr>
        <w:t>O principal acontecimento no Museu do Café foi a inauguração da exposição de média duração “</w:t>
      </w:r>
      <w:r>
        <w:rPr>
          <w:bCs/>
          <w:szCs w:val="24"/>
          <w:lang w:val="pt-BR"/>
        </w:rPr>
        <w:t>Café, patrimônio cultural do Brasil: ciência, história e arte”. Destacamos a realização da exposição temporária “</w:t>
      </w:r>
      <w:r>
        <w:rPr>
          <w:szCs w:val="24"/>
          <w:lang w:val="pt-BR"/>
        </w:rPr>
        <w:t xml:space="preserve">Forma: Objetos do Café”; a continuação das ações extramuros de férias, como o “Museu do Café vai ao Orquidário”; o lançamento do novo sítio eletrônico do Museu do Café; a inclusão do projeto especial “Café com leite”, direcionado ao público </w:t>
      </w:r>
      <w:r>
        <w:rPr>
          <w:szCs w:val="24"/>
          <w:lang w:val="pt-BR"/>
        </w:rPr>
        <w:lastRenderedPageBreak/>
        <w:t>infantil e a implantação do projeto “Bonde do Café”. Cabe mencionar a superação dos atendimentos do Programa Educativo, principalmente no atendimento de públicos da 3ª idade, em vulnerabilidade social e pessoas com deficiência. Público - 358.535.</w:t>
      </w:r>
    </w:p>
    <w:p w:rsidR="003E6588" w:rsidRDefault="003E6588">
      <w:pPr>
        <w:autoSpaceDE w:val="0"/>
        <w:autoSpaceDN w:val="0"/>
        <w:adjustRightInd w:val="0"/>
        <w:ind w:firstLine="1134"/>
        <w:jc w:val="both"/>
        <w:rPr>
          <w:color w:val="000000"/>
          <w:lang w:eastAsia="en-US"/>
        </w:rPr>
      </w:pPr>
    </w:p>
    <w:p w:rsidR="003E6588" w:rsidRDefault="003E6588">
      <w:pPr>
        <w:ind w:firstLine="1134"/>
        <w:jc w:val="both"/>
      </w:pPr>
      <w:r>
        <w:rPr>
          <w:rStyle w:val="texto14px"/>
          <w:b/>
        </w:rPr>
        <w:t xml:space="preserve">Museu Casa de Portinari (Brodowski) - </w:t>
      </w:r>
      <w:r>
        <w:rPr>
          <w:rStyle w:val="texto14px"/>
        </w:rPr>
        <w:t xml:space="preserve">Reabertura do Museu Casa de Portinari, após restauro integral da edificação tombada pelo patrimônio histórico. Nesse processo, a logomarca do museu foi atualizada e foi desenvolvida nova exposição de longa duração, trabalho que recebeu a medalha do Mérito Museológico, premiação nacional dos Conselhos Estaduais e Federal de Museologia. A reabertura do museu proporcionou destaque na mídia em geral, e grande expectativa para o público, especialmente por causa da apresentação de um afresco inédito descoberto durante o restauro. Público - </w:t>
      </w:r>
      <w:r>
        <w:rPr>
          <w:lang w:eastAsia="en-US"/>
        </w:rPr>
        <w:t>53.397.</w:t>
      </w:r>
    </w:p>
    <w:p w:rsidR="003E6588" w:rsidRPr="00181F69" w:rsidRDefault="003E6588">
      <w:pPr>
        <w:ind w:firstLine="1134"/>
        <w:jc w:val="both"/>
        <w:rPr>
          <w:rStyle w:val="texto14px"/>
          <w:b/>
        </w:rPr>
      </w:pPr>
    </w:p>
    <w:p w:rsidR="003E6588" w:rsidRDefault="003E6588">
      <w:pPr>
        <w:ind w:firstLine="1134"/>
        <w:jc w:val="both"/>
      </w:pPr>
      <w:r>
        <w:rPr>
          <w:rStyle w:val="texto14px"/>
          <w:b/>
        </w:rPr>
        <w:t>Museu Histórico e Pedagógico Índia Vanuíre (Tupã)</w:t>
      </w:r>
      <w:r>
        <w:rPr>
          <w:rStyle w:val="texto14px"/>
        </w:rPr>
        <w:t xml:space="preserve"> - A 42ª Semana do Índio ofereceu oportunidade de contato com a riqueza cultural das tribos locais e o “III Encontro Paulista de Questões Indígenas e Museus” reuniu grupo de profissionais, indígenas, professores e estudantes em importante debate, buscando ampliação do conhecimento sobre a questão indígena tanto da perspectiva histórica como contemporânea. Ocorreu a exposição “Memórias de Ouro”, apresentando à comunidade local os desfiles de blocos e escolas de samba, retomando a tradição dos antigos bailes de carnaval de Tupã. O museu passou por adaptações para climatização da área da reserva técnica, possibilitando o tratamento técnico mais adequado do acervo de 38 mil objetos. Público - </w:t>
      </w:r>
      <w:r>
        <w:rPr>
          <w:lang w:eastAsia="en-US"/>
        </w:rPr>
        <w:t>25.983.</w:t>
      </w:r>
    </w:p>
    <w:p w:rsidR="003E6588" w:rsidRDefault="003E6588">
      <w:pPr>
        <w:ind w:right="-1" w:firstLine="1134"/>
        <w:jc w:val="both"/>
        <w:rPr>
          <w:lang w:eastAsia="en-US"/>
        </w:rPr>
      </w:pPr>
    </w:p>
    <w:p w:rsidR="003E6588" w:rsidRDefault="003E6588">
      <w:pPr>
        <w:ind w:right="-1" w:firstLine="1134"/>
        <w:jc w:val="both"/>
      </w:pPr>
      <w:r>
        <w:rPr>
          <w:b/>
        </w:rPr>
        <w:t>Museu de Esculturas Felícia Leirner (Campos do Jordão)</w:t>
      </w:r>
      <w:r>
        <w:t xml:space="preserve"> - Foram destaques no Museu Felícia Leirner a programação das atividades de formação de público. Destacou-se a aquisição da escultura em granito da obra “Maternidade” (1952) da artista Felícia Leirner, que passou a incorporar o acervo do Museu. </w:t>
      </w:r>
      <w:r>
        <w:rPr>
          <w:rStyle w:val="texto14px"/>
        </w:rPr>
        <w:t xml:space="preserve">Público - </w:t>
      </w:r>
      <w:r>
        <w:t>95.809.</w:t>
      </w:r>
    </w:p>
    <w:p w:rsidR="003E6588" w:rsidRDefault="003E6588">
      <w:pPr>
        <w:ind w:right="-1" w:firstLine="1134"/>
        <w:jc w:val="both"/>
      </w:pPr>
    </w:p>
    <w:p w:rsidR="003E6588" w:rsidRDefault="003E6588">
      <w:pPr>
        <w:ind w:firstLine="1134"/>
        <w:jc w:val="both"/>
        <w:rPr>
          <w:strike/>
        </w:rPr>
      </w:pPr>
      <w:r>
        <w:rPr>
          <w:b/>
        </w:rPr>
        <w:t xml:space="preserve">Unidade de Preservação do Patrimônio Histórico - </w:t>
      </w:r>
      <w:r>
        <w:t xml:space="preserve">Por meio da Unidade de Preservação do Patrimônio Histórico - UPPH e do Conselho </w:t>
      </w:r>
      <w:r>
        <w:rPr>
          <w:color w:val="000000"/>
        </w:rPr>
        <w:t>de Defesa do Patrimônio Histórico, Artístico, Arqueológico e Turístico do Estado - CONDEPHAAT, a</w:t>
      </w:r>
      <w:r>
        <w:t xml:space="preserve"> Secretaria da Cultura realizou uma série de ações para a preservação do patrimônio cultural paulista.</w:t>
      </w:r>
    </w:p>
    <w:p w:rsidR="003E6588" w:rsidRDefault="003E6588">
      <w:pPr>
        <w:ind w:firstLine="1134"/>
        <w:jc w:val="both"/>
        <w:rPr>
          <w:strike/>
        </w:rPr>
      </w:pPr>
    </w:p>
    <w:p w:rsidR="003E6588" w:rsidRDefault="003E6588">
      <w:pPr>
        <w:tabs>
          <w:tab w:val="left" w:pos="1560"/>
        </w:tabs>
        <w:ind w:left="1134"/>
        <w:jc w:val="both"/>
        <w:rPr>
          <w:b/>
          <w:bCs/>
        </w:rPr>
      </w:pPr>
      <w:r>
        <w:rPr>
          <w:b/>
          <w:bCs/>
        </w:rPr>
        <w:t>Obras</w:t>
      </w:r>
    </w:p>
    <w:p w:rsidR="003E6588" w:rsidRDefault="003E6588">
      <w:pPr>
        <w:ind w:firstLine="1134"/>
        <w:jc w:val="both"/>
        <w:rPr>
          <w:b/>
          <w:bCs/>
        </w:rPr>
      </w:pPr>
    </w:p>
    <w:p w:rsidR="003E6588" w:rsidRDefault="003E6588">
      <w:pPr>
        <w:tabs>
          <w:tab w:val="left" w:pos="1560"/>
          <w:tab w:val="left" w:pos="2410"/>
        </w:tabs>
        <w:ind w:firstLine="1134"/>
        <w:jc w:val="both"/>
        <w:rPr>
          <w:bCs/>
        </w:rPr>
      </w:pPr>
      <w:r>
        <w:rPr>
          <w:b/>
          <w:bCs/>
        </w:rPr>
        <w:t>Igreja da Venerável Ordem Terceira de São Francisco</w:t>
      </w:r>
      <w:r>
        <w:rPr>
          <w:bCs/>
        </w:rPr>
        <w:t xml:space="preserve"> - Conclusão da segunda fase das obras de restauro desse edifício, do final do século XVIII, com sua reabertura.</w:t>
      </w:r>
    </w:p>
    <w:p w:rsidR="003E6588" w:rsidRDefault="003E6588">
      <w:pPr>
        <w:ind w:left="360" w:firstLine="1134"/>
        <w:jc w:val="both"/>
        <w:rPr>
          <w:b/>
          <w:bCs/>
        </w:rPr>
      </w:pPr>
    </w:p>
    <w:p w:rsidR="003E6588" w:rsidRDefault="003E6588">
      <w:pPr>
        <w:ind w:firstLine="1134"/>
        <w:jc w:val="both"/>
        <w:rPr>
          <w:bCs/>
        </w:rPr>
      </w:pPr>
      <w:r>
        <w:rPr>
          <w:b/>
          <w:bCs/>
        </w:rPr>
        <w:t>Telas de Cândido Portinari na Capela Bom Jesus da Cana Verde (Batatais) -</w:t>
      </w:r>
      <w:r>
        <w:rPr>
          <w:bCs/>
        </w:rPr>
        <w:t xml:space="preserve"> Conclusão dos serviços de restauro nas telas protegidas pelo CONDEPHAAT.</w:t>
      </w:r>
    </w:p>
    <w:p w:rsidR="003E6588" w:rsidRDefault="003E6588">
      <w:pPr>
        <w:pStyle w:val="PargrafodaLista"/>
        <w:ind w:left="2214" w:firstLine="1134"/>
        <w:rPr>
          <w:b/>
          <w:bCs/>
        </w:rPr>
      </w:pPr>
    </w:p>
    <w:p w:rsidR="003E6588" w:rsidRDefault="003E6588">
      <w:pPr>
        <w:ind w:firstLine="1134"/>
        <w:jc w:val="both"/>
        <w:rPr>
          <w:color w:val="000000"/>
        </w:rPr>
      </w:pPr>
      <w:r>
        <w:rPr>
          <w:b/>
          <w:color w:val="000000"/>
        </w:rPr>
        <w:t>São Luiz do Paraitinga</w:t>
      </w:r>
      <w:r>
        <w:rPr>
          <w:color w:val="000000"/>
        </w:rPr>
        <w:t xml:space="preserve"> - Finalização da obra de reconstrução/restauro da Igreja Matriz.</w:t>
      </w:r>
    </w:p>
    <w:p w:rsidR="008A4595" w:rsidRDefault="008A4595">
      <w:pPr>
        <w:tabs>
          <w:tab w:val="left" w:pos="1418"/>
          <w:tab w:val="left" w:pos="1701"/>
          <w:tab w:val="left" w:pos="1985"/>
          <w:tab w:val="left" w:pos="2268"/>
        </w:tabs>
        <w:ind w:firstLine="1134"/>
        <w:jc w:val="both"/>
        <w:rPr>
          <w:b/>
          <w:bCs/>
        </w:rPr>
      </w:pPr>
    </w:p>
    <w:p w:rsidR="003E6588" w:rsidRDefault="003E6588">
      <w:pPr>
        <w:tabs>
          <w:tab w:val="left" w:pos="1418"/>
          <w:tab w:val="left" w:pos="1701"/>
          <w:tab w:val="left" w:pos="1985"/>
          <w:tab w:val="left" w:pos="2268"/>
        </w:tabs>
        <w:ind w:firstLine="1134"/>
        <w:jc w:val="both"/>
        <w:rPr>
          <w:strike/>
          <w:color w:val="000000"/>
        </w:rPr>
      </w:pPr>
      <w:r>
        <w:rPr>
          <w:b/>
          <w:bCs/>
        </w:rPr>
        <w:t>Tombamentos pelo CONDEPHAAT</w:t>
      </w:r>
    </w:p>
    <w:p w:rsidR="003E6588" w:rsidRDefault="003E6588" w:rsidP="00181F69">
      <w:pPr>
        <w:ind w:firstLine="1134"/>
        <w:jc w:val="both"/>
        <w:rPr>
          <w:b/>
          <w:bCs/>
          <w:strike/>
        </w:rPr>
      </w:pPr>
    </w:p>
    <w:p w:rsidR="003E6588" w:rsidRDefault="003E6588">
      <w:pPr>
        <w:ind w:firstLine="1134"/>
        <w:jc w:val="both"/>
        <w:rPr>
          <w:b/>
          <w:bCs/>
        </w:rPr>
      </w:pPr>
      <w:r>
        <w:rPr>
          <w:b/>
          <w:bCs/>
        </w:rPr>
        <w:lastRenderedPageBreak/>
        <w:t>Abertura de Estudo de Tombamento</w:t>
      </w:r>
    </w:p>
    <w:p w:rsidR="003E6588" w:rsidRDefault="003E6588">
      <w:pPr>
        <w:ind w:firstLine="1134"/>
        <w:jc w:val="both"/>
        <w:rPr>
          <w:b/>
          <w:bCs/>
        </w:rPr>
      </w:pPr>
    </w:p>
    <w:p w:rsidR="003E6588" w:rsidRDefault="003E6588">
      <w:pPr>
        <w:tabs>
          <w:tab w:val="left" w:pos="567"/>
        </w:tabs>
        <w:ind w:left="1134"/>
        <w:jc w:val="both"/>
        <w:rPr>
          <w:color w:val="000000"/>
        </w:rPr>
      </w:pPr>
      <w:r>
        <w:rPr>
          <w:color w:val="000000"/>
        </w:rPr>
        <w:t>- Preventório Santa Therezinha, Carapicuíba;</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Hospital Dr. Francisco Ribeiro Arantes, antiga Colônia Pirapitingui, Itu;</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Igreja do Senhor Bom Jesus de Matosinhos do Brás, em São Paulo;</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Hospital Arnaldo Pezzuti Cavalcanti, antiga Colônia Santo Ângelo, Mogi das Cruzes;</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Fórum Desembargador Alcides de Almeida Ferrari, Botucatu;</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Fórum de Apiaí;</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Três clubes sociais negros;</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Fórum de São José do Rio Pardo;</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Oficina Cultural Grande Otelo, Sorocaba;</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Asilo Colônia Cocais, Piratininga;</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Estação Ferroviária de Tatuí;</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Santuário de Pirapora do Bom Jesus;</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Chalés de Santos;</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Imóveis no Bairro do Higienópolis, em São Paulo;</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Igreja de Sant’Anna;</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Túnel da Mantiqueira, Cruzeiro;</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Conjunto Ferroviário de Lins;</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Igreja do Cristo Rei, São Paulo;</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Serra de Santo Amaro;</w:t>
      </w:r>
    </w:p>
    <w:p w:rsidR="003E6588" w:rsidRDefault="003E6588">
      <w:pPr>
        <w:tabs>
          <w:tab w:val="left" w:pos="567"/>
        </w:tabs>
        <w:jc w:val="both"/>
        <w:rPr>
          <w:color w:val="000000"/>
        </w:rPr>
      </w:pPr>
    </w:p>
    <w:p w:rsidR="003E6588" w:rsidRDefault="003E6588">
      <w:pPr>
        <w:tabs>
          <w:tab w:val="left" w:pos="567"/>
        </w:tabs>
        <w:ind w:left="1134"/>
        <w:jc w:val="both"/>
        <w:rPr>
          <w:color w:val="000000"/>
        </w:rPr>
      </w:pPr>
      <w:r>
        <w:rPr>
          <w:color w:val="000000"/>
        </w:rPr>
        <w:t>- Fazenda Palmeiras em Amparo;</w:t>
      </w:r>
    </w:p>
    <w:p w:rsidR="008A4595" w:rsidRDefault="008A4595">
      <w:pPr>
        <w:tabs>
          <w:tab w:val="left" w:pos="567"/>
        </w:tabs>
        <w:ind w:left="1134"/>
        <w:jc w:val="both"/>
        <w:rPr>
          <w:color w:val="000000"/>
        </w:rPr>
      </w:pPr>
    </w:p>
    <w:p w:rsidR="003E6588" w:rsidRDefault="003E6588">
      <w:pPr>
        <w:tabs>
          <w:tab w:val="left" w:pos="567"/>
        </w:tabs>
        <w:ind w:left="1134"/>
        <w:jc w:val="both"/>
        <w:rPr>
          <w:color w:val="000000"/>
        </w:rPr>
      </w:pPr>
      <w:r>
        <w:rPr>
          <w:color w:val="000000"/>
        </w:rPr>
        <w:t>- Fazenda Vargem Grande em Areias;</w:t>
      </w:r>
    </w:p>
    <w:p w:rsidR="003E6588" w:rsidRDefault="003E6588">
      <w:pPr>
        <w:tabs>
          <w:tab w:val="left" w:pos="567"/>
        </w:tabs>
        <w:ind w:left="1134"/>
        <w:jc w:val="both"/>
        <w:rPr>
          <w:color w:val="000000"/>
        </w:rPr>
      </w:pPr>
      <w:r>
        <w:rPr>
          <w:color w:val="000000"/>
        </w:rPr>
        <w:lastRenderedPageBreak/>
        <w:t>- Fazenda Restauração em Queluz.</w:t>
      </w:r>
    </w:p>
    <w:p w:rsidR="003E6588" w:rsidRDefault="003E6588" w:rsidP="00181F69">
      <w:pPr>
        <w:tabs>
          <w:tab w:val="left" w:pos="567"/>
        </w:tabs>
        <w:ind w:firstLine="1134"/>
        <w:jc w:val="both"/>
        <w:rPr>
          <w:color w:val="000000"/>
        </w:rPr>
      </w:pPr>
    </w:p>
    <w:p w:rsidR="003E6588" w:rsidRDefault="003E6588">
      <w:pPr>
        <w:ind w:firstLine="1134"/>
        <w:jc w:val="both"/>
        <w:rPr>
          <w:b/>
          <w:bCs/>
        </w:rPr>
      </w:pPr>
      <w:r>
        <w:rPr>
          <w:b/>
          <w:bCs/>
        </w:rPr>
        <w:t>Abertura de Estudo de Registro de Patrimônio Imaterial</w:t>
      </w:r>
    </w:p>
    <w:p w:rsidR="003E6588" w:rsidRDefault="003E6588">
      <w:pPr>
        <w:ind w:firstLine="1134"/>
        <w:jc w:val="both"/>
        <w:rPr>
          <w:b/>
          <w:bCs/>
        </w:rPr>
      </w:pPr>
    </w:p>
    <w:p w:rsidR="003E6588" w:rsidRDefault="003E6588">
      <w:pPr>
        <w:tabs>
          <w:tab w:val="left" w:pos="567"/>
        </w:tabs>
        <w:ind w:left="1134"/>
        <w:jc w:val="both"/>
        <w:rPr>
          <w:color w:val="000000"/>
        </w:rPr>
      </w:pPr>
      <w:r>
        <w:rPr>
          <w:color w:val="000000"/>
        </w:rPr>
        <w:t>- Virado à Paulista.</w:t>
      </w:r>
    </w:p>
    <w:p w:rsidR="003E6588" w:rsidRDefault="003E6588" w:rsidP="00181F69">
      <w:pPr>
        <w:ind w:firstLine="1134"/>
        <w:jc w:val="both"/>
        <w:rPr>
          <w:highlight w:val="yellow"/>
        </w:rPr>
      </w:pPr>
    </w:p>
    <w:p w:rsidR="003E6588" w:rsidRDefault="003E6588">
      <w:pPr>
        <w:ind w:firstLine="1134"/>
        <w:jc w:val="both"/>
        <w:rPr>
          <w:b/>
          <w:bCs/>
        </w:rPr>
      </w:pPr>
      <w:r>
        <w:rPr>
          <w:b/>
          <w:bCs/>
        </w:rPr>
        <w:t>Publicação de Resoluções de Tombamento</w:t>
      </w:r>
    </w:p>
    <w:p w:rsidR="003E6588" w:rsidRDefault="003E6588">
      <w:pPr>
        <w:ind w:firstLine="1134"/>
        <w:jc w:val="both"/>
        <w:rPr>
          <w:b/>
          <w:bCs/>
        </w:rPr>
      </w:pPr>
    </w:p>
    <w:p w:rsidR="003E6588" w:rsidRDefault="003E6588">
      <w:pPr>
        <w:tabs>
          <w:tab w:val="left" w:pos="567"/>
        </w:tabs>
        <w:ind w:left="1134"/>
        <w:jc w:val="both"/>
        <w:rPr>
          <w:color w:val="000000"/>
        </w:rPr>
      </w:pPr>
      <w:r>
        <w:rPr>
          <w:color w:val="000000"/>
        </w:rPr>
        <w:t>- Estação Ferroviária de Piquete;</w:t>
      </w:r>
    </w:p>
    <w:p w:rsidR="003E6588" w:rsidRDefault="003E6588">
      <w:pPr>
        <w:tabs>
          <w:tab w:val="left" w:pos="567"/>
        </w:tabs>
        <w:ind w:left="1134"/>
        <w:jc w:val="both"/>
        <w:rPr>
          <w:color w:val="000000"/>
        </w:rPr>
      </w:pPr>
    </w:p>
    <w:p w:rsidR="003E6588" w:rsidRDefault="003E6588">
      <w:pPr>
        <w:tabs>
          <w:tab w:val="left" w:pos="567"/>
        </w:tabs>
        <w:ind w:left="1134"/>
        <w:jc w:val="both"/>
        <w:rPr>
          <w:color w:val="000000"/>
        </w:rPr>
      </w:pPr>
      <w:r>
        <w:rPr>
          <w:color w:val="000000"/>
        </w:rPr>
        <w:t>- Igreja Nossa Senhora D’Ajuda, Guararema;</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Antigo Teatro Carlos Gomes, Campinas;</w:t>
      </w:r>
    </w:p>
    <w:p w:rsidR="003E6588" w:rsidRDefault="003E6588">
      <w:pPr>
        <w:tabs>
          <w:tab w:val="left" w:pos="567"/>
        </w:tabs>
        <w:ind w:left="1134"/>
        <w:jc w:val="both"/>
        <w:rPr>
          <w:color w:val="000000"/>
        </w:rPr>
      </w:pPr>
    </w:p>
    <w:p w:rsidR="003E6588" w:rsidRDefault="003E6588">
      <w:pPr>
        <w:tabs>
          <w:tab w:val="left" w:pos="567"/>
        </w:tabs>
        <w:ind w:left="1134"/>
        <w:jc w:val="both"/>
        <w:rPr>
          <w:color w:val="000000"/>
        </w:rPr>
      </w:pPr>
      <w:r>
        <w:rPr>
          <w:color w:val="000000"/>
        </w:rPr>
        <w:t>- Antigo Hotel Excelsior e Cine Ipiranga, São Paulo;</w:t>
      </w:r>
    </w:p>
    <w:p w:rsidR="003E6588" w:rsidRDefault="003E6588">
      <w:pPr>
        <w:tabs>
          <w:tab w:val="left" w:pos="567"/>
        </w:tabs>
        <w:ind w:left="1134"/>
        <w:jc w:val="both"/>
        <w:rPr>
          <w:color w:val="000000"/>
        </w:rPr>
      </w:pPr>
    </w:p>
    <w:p w:rsidR="003E6588" w:rsidRDefault="003E6588">
      <w:pPr>
        <w:tabs>
          <w:tab w:val="left" w:pos="567"/>
        </w:tabs>
        <w:ind w:left="1134"/>
        <w:jc w:val="both"/>
        <w:rPr>
          <w:color w:val="000000"/>
        </w:rPr>
      </w:pPr>
      <w:r>
        <w:rPr>
          <w:color w:val="000000"/>
        </w:rPr>
        <w:t>- Conjunto das antigas instalações da OBAN e DOI-CODI, São Paulo;</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Instituto Agronômico de Campinas;</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Fazenda Santa Gertrudes;</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Catedral de São Sebastião;</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Antiga EEPG “Conceiçãozinha” (atual EE “Pastor Francisco Paiva de Figueiredo”);</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Antigo Ginásio de Guarulhos (atual EE “Conselheiro Crispiniano”);</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Conservatório Dramático e Musical de São Paulo;</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Antiga Fábrica de Tecidos Labor;</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Fazenda São Bernardo, Capivari;</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Antiga sede da TV Tupi, São Paulo;</w:t>
      </w:r>
    </w:p>
    <w:p w:rsidR="003E6588" w:rsidRDefault="003E6588" w:rsidP="00181F69">
      <w:pPr>
        <w:tabs>
          <w:tab w:val="left" w:pos="567"/>
        </w:tabs>
        <w:ind w:left="1134"/>
        <w:jc w:val="both"/>
        <w:rPr>
          <w:color w:val="000000"/>
        </w:rPr>
      </w:pPr>
    </w:p>
    <w:p w:rsidR="003E6588" w:rsidRDefault="003E6588">
      <w:pPr>
        <w:tabs>
          <w:tab w:val="left" w:pos="567"/>
        </w:tabs>
        <w:ind w:left="1134"/>
        <w:jc w:val="both"/>
        <w:rPr>
          <w:color w:val="000000"/>
        </w:rPr>
      </w:pPr>
      <w:r>
        <w:rPr>
          <w:color w:val="000000"/>
        </w:rPr>
        <w:t>- Castelinho de Pirituba.</w:t>
      </w:r>
    </w:p>
    <w:p w:rsidR="003E6588" w:rsidRDefault="003E6588">
      <w:pPr>
        <w:ind w:firstLine="1134"/>
        <w:jc w:val="both"/>
        <w:rPr>
          <w:b/>
        </w:rPr>
      </w:pPr>
    </w:p>
    <w:p w:rsidR="003E6588" w:rsidRDefault="003E6588">
      <w:pPr>
        <w:ind w:firstLine="1134"/>
        <w:jc w:val="both"/>
        <w:rPr>
          <w:b/>
          <w:bCs/>
        </w:rPr>
      </w:pPr>
      <w:r>
        <w:rPr>
          <w:b/>
          <w:bCs/>
        </w:rPr>
        <w:t>Revisão das Áreas Envoltórias de Bens Tombados</w:t>
      </w:r>
    </w:p>
    <w:p w:rsidR="003E6588" w:rsidRDefault="003E6588">
      <w:pPr>
        <w:ind w:firstLine="1134"/>
        <w:jc w:val="both"/>
        <w:rPr>
          <w:b/>
          <w:bCs/>
        </w:rPr>
      </w:pPr>
    </w:p>
    <w:p w:rsidR="003E6588" w:rsidRDefault="003E6588">
      <w:pPr>
        <w:ind w:left="1134"/>
        <w:jc w:val="both"/>
        <w:rPr>
          <w:bCs/>
        </w:rPr>
      </w:pPr>
      <w:r>
        <w:rPr>
          <w:bCs/>
        </w:rPr>
        <w:t>- Largo São Francisco, Capital;</w:t>
      </w:r>
    </w:p>
    <w:p w:rsidR="008A4595" w:rsidRDefault="008A4595">
      <w:pPr>
        <w:ind w:left="1134"/>
        <w:jc w:val="both"/>
        <w:rPr>
          <w:bCs/>
        </w:rPr>
      </w:pPr>
    </w:p>
    <w:p w:rsidR="003E6588" w:rsidRDefault="003E6588">
      <w:pPr>
        <w:ind w:left="1134"/>
        <w:jc w:val="both"/>
        <w:rPr>
          <w:bCs/>
        </w:rPr>
      </w:pPr>
      <w:r>
        <w:rPr>
          <w:bCs/>
        </w:rPr>
        <w:t>- Parque da Aclimação;</w:t>
      </w:r>
    </w:p>
    <w:p w:rsidR="003E6588" w:rsidRDefault="003E6588">
      <w:pPr>
        <w:ind w:left="1134"/>
        <w:jc w:val="both"/>
        <w:rPr>
          <w:bCs/>
        </w:rPr>
      </w:pPr>
      <w:r>
        <w:rPr>
          <w:bCs/>
        </w:rPr>
        <w:lastRenderedPageBreak/>
        <w:t>- Instituto Mackenzie;</w:t>
      </w:r>
    </w:p>
    <w:p w:rsidR="003E6588" w:rsidRDefault="003E6588" w:rsidP="00181F69">
      <w:pPr>
        <w:ind w:left="1134"/>
        <w:jc w:val="both"/>
        <w:rPr>
          <w:bCs/>
        </w:rPr>
      </w:pPr>
    </w:p>
    <w:p w:rsidR="003E6588" w:rsidRDefault="003E6588">
      <w:pPr>
        <w:ind w:left="1134"/>
        <w:jc w:val="both"/>
        <w:rPr>
          <w:bCs/>
        </w:rPr>
      </w:pPr>
      <w:r>
        <w:rPr>
          <w:bCs/>
        </w:rPr>
        <w:t>- Cratera da Colônia;</w:t>
      </w:r>
    </w:p>
    <w:p w:rsidR="003E6588" w:rsidRDefault="003E6588" w:rsidP="00181F69">
      <w:pPr>
        <w:ind w:left="1134"/>
        <w:jc w:val="both"/>
        <w:rPr>
          <w:bCs/>
        </w:rPr>
      </w:pPr>
    </w:p>
    <w:p w:rsidR="003E6588" w:rsidRDefault="003E6588">
      <w:pPr>
        <w:ind w:left="1134"/>
        <w:jc w:val="both"/>
        <w:rPr>
          <w:bCs/>
        </w:rPr>
      </w:pPr>
      <w:r>
        <w:rPr>
          <w:bCs/>
        </w:rPr>
        <w:t>- Indústrias Reunidas Francisco Matarazzo;</w:t>
      </w:r>
    </w:p>
    <w:p w:rsidR="003E6588" w:rsidRDefault="003E6588" w:rsidP="00181F69">
      <w:pPr>
        <w:ind w:left="1134"/>
        <w:jc w:val="both"/>
        <w:rPr>
          <w:bCs/>
        </w:rPr>
      </w:pPr>
    </w:p>
    <w:p w:rsidR="003E6588" w:rsidRDefault="003E6588">
      <w:pPr>
        <w:ind w:left="1134"/>
        <w:jc w:val="both"/>
        <w:rPr>
          <w:bCs/>
        </w:rPr>
      </w:pPr>
      <w:r>
        <w:rPr>
          <w:bCs/>
        </w:rPr>
        <w:t>- Parque Fernando Costa (Parque da Água Branca);</w:t>
      </w:r>
    </w:p>
    <w:p w:rsidR="003E6588" w:rsidRDefault="003E6588" w:rsidP="00181F69">
      <w:pPr>
        <w:ind w:left="1134"/>
        <w:jc w:val="both"/>
        <w:rPr>
          <w:bCs/>
        </w:rPr>
      </w:pPr>
    </w:p>
    <w:p w:rsidR="003E6588" w:rsidRDefault="003E6588">
      <w:pPr>
        <w:ind w:left="1134"/>
        <w:jc w:val="both"/>
        <w:rPr>
          <w:bCs/>
        </w:rPr>
      </w:pPr>
      <w:r>
        <w:rPr>
          <w:bCs/>
        </w:rPr>
        <w:t>- Terreiro Aché Ilé Obá;</w:t>
      </w:r>
    </w:p>
    <w:p w:rsidR="003E6588" w:rsidRDefault="003E6588" w:rsidP="00181F69">
      <w:pPr>
        <w:ind w:left="1134"/>
        <w:jc w:val="both"/>
        <w:rPr>
          <w:bCs/>
        </w:rPr>
      </w:pPr>
    </w:p>
    <w:p w:rsidR="003E6588" w:rsidRDefault="003E6588">
      <w:pPr>
        <w:ind w:left="1134"/>
        <w:jc w:val="both"/>
        <w:rPr>
          <w:bCs/>
        </w:rPr>
      </w:pPr>
      <w:r>
        <w:rPr>
          <w:bCs/>
        </w:rPr>
        <w:t>- Faculdade de Arquitetura e Urbanismo;</w:t>
      </w:r>
    </w:p>
    <w:p w:rsidR="003E6588" w:rsidRDefault="003E6588" w:rsidP="00181F69">
      <w:pPr>
        <w:ind w:left="1134"/>
        <w:jc w:val="both"/>
        <w:rPr>
          <w:bCs/>
        </w:rPr>
      </w:pPr>
    </w:p>
    <w:p w:rsidR="003E6588" w:rsidRDefault="003E6588">
      <w:pPr>
        <w:ind w:left="1134"/>
        <w:jc w:val="both"/>
        <w:rPr>
          <w:bCs/>
        </w:rPr>
      </w:pPr>
      <w:r>
        <w:rPr>
          <w:bCs/>
        </w:rPr>
        <w:t xml:space="preserve">- Teatro Brasileiro de Comédia </w:t>
      </w:r>
      <w:r w:rsidR="00A522F4">
        <w:rPr>
          <w:bCs/>
        </w:rPr>
        <w:t xml:space="preserve">- </w:t>
      </w:r>
      <w:r>
        <w:rPr>
          <w:bCs/>
        </w:rPr>
        <w:t>TBC;</w:t>
      </w:r>
    </w:p>
    <w:p w:rsidR="003E6588" w:rsidRDefault="003E6588" w:rsidP="00181F69">
      <w:pPr>
        <w:ind w:left="1134"/>
        <w:jc w:val="both"/>
        <w:rPr>
          <w:bCs/>
        </w:rPr>
      </w:pPr>
    </w:p>
    <w:p w:rsidR="003E6588" w:rsidRDefault="003E6588">
      <w:pPr>
        <w:ind w:left="1134"/>
        <w:jc w:val="both"/>
        <w:rPr>
          <w:bCs/>
        </w:rPr>
      </w:pPr>
      <w:r>
        <w:rPr>
          <w:bCs/>
        </w:rPr>
        <w:t xml:space="preserve">- Antigas instalações da Escola Politécnica da Universidade de São Paulo </w:t>
      </w:r>
      <w:r w:rsidR="00A522F4">
        <w:rPr>
          <w:bCs/>
        </w:rPr>
        <w:t xml:space="preserve">- </w:t>
      </w:r>
      <w:r>
        <w:rPr>
          <w:bCs/>
        </w:rPr>
        <w:t>USP;</w:t>
      </w:r>
    </w:p>
    <w:p w:rsidR="003E6588" w:rsidRDefault="003E6588" w:rsidP="00181F69">
      <w:pPr>
        <w:ind w:left="1134"/>
        <w:jc w:val="both"/>
        <w:rPr>
          <w:bCs/>
        </w:rPr>
      </w:pPr>
    </w:p>
    <w:p w:rsidR="003E6588" w:rsidRDefault="003E6588">
      <w:pPr>
        <w:ind w:left="1134"/>
        <w:jc w:val="both"/>
        <w:rPr>
          <w:bCs/>
        </w:rPr>
      </w:pPr>
      <w:r>
        <w:rPr>
          <w:bCs/>
        </w:rPr>
        <w:t>- Instituto dos Arquitetos do Brasil;</w:t>
      </w:r>
    </w:p>
    <w:p w:rsidR="003E6588" w:rsidRDefault="003E6588" w:rsidP="00181F69">
      <w:pPr>
        <w:ind w:left="1134"/>
        <w:jc w:val="both"/>
        <w:rPr>
          <w:bCs/>
        </w:rPr>
      </w:pPr>
    </w:p>
    <w:p w:rsidR="003E6588" w:rsidRDefault="003E6588">
      <w:pPr>
        <w:ind w:left="1134"/>
        <w:jc w:val="both"/>
        <w:rPr>
          <w:bCs/>
        </w:rPr>
      </w:pPr>
      <w:r>
        <w:rPr>
          <w:bCs/>
        </w:rPr>
        <w:t>- Conjunto dos Dominicanos;</w:t>
      </w:r>
    </w:p>
    <w:p w:rsidR="003E6588" w:rsidRDefault="003E6588" w:rsidP="00181F69">
      <w:pPr>
        <w:ind w:left="1134"/>
        <w:jc w:val="both"/>
        <w:rPr>
          <w:bCs/>
        </w:rPr>
      </w:pPr>
    </w:p>
    <w:p w:rsidR="003E6588" w:rsidRDefault="003E6588">
      <w:pPr>
        <w:ind w:left="1134"/>
        <w:jc w:val="both"/>
        <w:rPr>
          <w:bCs/>
        </w:rPr>
      </w:pPr>
      <w:r>
        <w:rPr>
          <w:bCs/>
        </w:rPr>
        <w:t>- Colégio Sion;</w:t>
      </w:r>
    </w:p>
    <w:p w:rsidR="003E6588" w:rsidRDefault="003E6588" w:rsidP="00181F69">
      <w:pPr>
        <w:ind w:left="1134"/>
        <w:jc w:val="both"/>
        <w:rPr>
          <w:bCs/>
        </w:rPr>
      </w:pPr>
    </w:p>
    <w:p w:rsidR="003E6588" w:rsidRDefault="003E6588">
      <w:pPr>
        <w:ind w:left="1134"/>
        <w:jc w:val="both"/>
        <w:rPr>
          <w:bCs/>
        </w:rPr>
      </w:pPr>
      <w:r>
        <w:rPr>
          <w:bCs/>
        </w:rPr>
        <w:t>- Vila Penteado;</w:t>
      </w:r>
    </w:p>
    <w:p w:rsidR="003E6588" w:rsidRDefault="003E6588" w:rsidP="00181F69">
      <w:pPr>
        <w:ind w:left="1134"/>
        <w:jc w:val="both"/>
        <w:rPr>
          <w:bCs/>
        </w:rPr>
      </w:pPr>
    </w:p>
    <w:p w:rsidR="003E6588" w:rsidRDefault="003E6588">
      <w:pPr>
        <w:ind w:left="1134"/>
        <w:jc w:val="both"/>
        <w:rPr>
          <w:bCs/>
        </w:rPr>
      </w:pPr>
      <w:r>
        <w:rPr>
          <w:bCs/>
        </w:rPr>
        <w:t>- Colégio Visconde de Porto Seguro;</w:t>
      </w:r>
    </w:p>
    <w:p w:rsidR="003E6588" w:rsidRDefault="003E6588" w:rsidP="00181F69">
      <w:pPr>
        <w:ind w:left="1134"/>
        <w:jc w:val="both"/>
        <w:rPr>
          <w:bCs/>
        </w:rPr>
      </w:pPr>
    </w:p>
    <w:p w:rsidR="003E6588" w:rsidRDefault="003E6588">
      <w:pPr>
        <w:tabs>
          <w:tab w:val="left" w:pos="1418"/>
        </w:tabs>
        <w:ind w:left="1134"/>
        <w:jc w:val="both"/>
        <w:rPr>
          <w:bCs/>
        </w:rPr>
      </w:pPr>
      <w:r>
        <w:rPr>
          <w:bCs/>
        </w:rPr>
        <w:t>- Residência à Rua Maranhão, 341;</w:t>
      </w:r>
    </w:p>
    <w:p w:rsidR="003E6588" w:rsidRDefault="003E6588" w:rsidP="00181F69">
      <w:pPr>
        <w:tabs>
          <w:tab w:val="left" w:pos="1418"/>
        </w:tabs>
        <w:ind w:left="1134"/>
        <w:jc w:val="both"/>
        <w:rPr>
          <w:bCs/>
        </w:rPr>
      </w:pPr>
    </w:p>
    <w:p w:rsidR="003E6588" w:rsidRDefault="003E6588">
      <w:pPr>
        <w:ind w:left="1134"/>
        <w:jc w:val="both"/>
        <w:rPr>
          <w:bCs/>
        </w:rPr>
      </w:pPr>
      <w:r>
        <w:rPr>
          <w:bCs/>
        </w:rPr>
        <w:t xml:space="preserve">- Faculdade de Filosofia, Ciências e Letras da Universidade de São Paulo </w:t>
      </w:r>
      <w:r w:rsidR="00A522F4">
        <w:rPr>
          <w:bCs/>
        </w:rPr>
        <w:t xml:space="preserve">- </w:t>
      </w:r>
      <w:r>
        <w:rPr>
          <w:bCs/>
        </w:rPr>
        <w:t>USP;</w:t>
      </w:r>
    </w:p>
    <w:p w:rsidR="003E6588" w:rsidRDefault="003E6588" w:rsidP="00181F69">
      <w:pPr>
        <w:ind w:left="1134"/>
        <w:jc w:val="both"/>
        <w:rPr>
          <w:bCs/>
        </w:rPr>
      </w:pPr>
    </w:p>
    <w:p w:rsidR="003E6588" w:rsidRDefault="003E6588">
      <w:pPr>
        <w:ind w:left="1134"/>
        <w:jc w:val="both"/>
        <w:rPr>
          <w:bCs/>
        </w:rPr>
      </w:pPr>
      <w:r>
        <w:rPr>
          <w:bCs/>
        </w:rPr>
        <w:t>- Sítio Santa Luzia;</w:t>
      </w:r>
    </w:p>
    <w:p w:rsidR="003E6588" w:rsidRDefault="003E6588" w:rsidP="00181F69">
      <w:pPr>
        <w:ind w:left="1134"/>
        <w:jc w:val="both"/>
        <w:rPr>
          <w:bCs/>
        </w:rPr>
      </w:pPr>
    </w:p>
    <w:p w:rsidR="003E6588" w:rsidRDefault="003E6588">
      <w:pPr>
        <w:ind w:left="1134"/>
        <w:jc w:val="both"/>
        <w:rPr>
          <w:bCs/>
        </w:rPr>
      </w:pPr>
      <w:r>
        <w:rPr>
          <w:bCs/>
        </w:rPr>
        <w:t>- Morro do Botelho;</w:t>
      </w:r>
    </w:p>
    <w:p w:rsidR="003E6588" w:rsidRDefault="003E6588">
      <w:pPr>
        <w:ind w:left="1134"/>
        <w:jc w:val="both"/>
        <w:rPr>
          <w:bCs/>
        </w:rPr>
      </w:pPr>
    </w:p>
    <w:p w:rsidR="003E6588" w:rsidRDefault="003E6588">
      <w:pPr>
        <w:ind w:left="1134"/>
        <w:jc w:val="both"/>
        <w:rPr>
          <w:bCs/>
        </w:rPr>
      </w:pPr>
      <w:r>
        <w:rPr>
          <w:bCs/>
        </w:rPr>
        <w:t>- Convento Franciscano Nossa Senhora do Amparo;</w:t>
      </w:r>
    </w:p>
    <w:p w:rsidR="003E6588" w:rsidRDefault="003E6588" w:rsidP="00181F69">
      <w:pPr>
        <w:ind w:left="1134"/>
        <w:jc w:val="both"/>
        <w:rPr>
          <w:bCs/>
        </w:rPr>
      </w:pPr>
    </w:p>
    <w:p w:rsidR="003E6588" w:rsidRDefault="003E6588">
      <w:pPr>
        <w:ind w:left="1134"/>
        <w:jc w:val="both"/>
        <w:rPr>
          <w:bCs/>
        </w:rPr>
      </w:pPr>
      <w:r>
        <w:rPr>
          <w:bCs/>
        </w:rPr>
        <w:t>- Horto Florestal de Rio Claro;</w:t>
      </w:r>
    </w:p>
    <w:p w:rsidR="003E6588" w:rsidRDefault="003E6588" w:rsidP="00181F69">
      <w:pPr>
        <w:ind w:left="1134"/>
        <w:jc w:val="both"/>
        <w:rPr>
          <w:bCs/>
        </w:rPr>
      </w:pPr>
    </w:p>
    <w:p w:rsidR="003E6588" w:rsidRDefault="003E6588">
      <w:pPr>
        <w:ind w:left="1134"/>
        <w:jc w:val="both"/>
        <w:rPr>
          <w:bCs/>
        </w:rPr>
      </w:pPr>
      <w:r>
        <w:rPr>
          <w:bCs/>
        </w:rPr>
        <w:t>- Vila Maria Zélia;</w:t>
      </w:r>
    </w:p>
    <w:p w:rsidR="003E6588" w:rsidRDefault="003E6588" w:rsidP="00181F69">
      <w:pPr>
        <w:ind w:left="1134"/>
        <w:jc w:val="both"/>
        <w:rPr>
          <w:bCs/>
        </w:rPr>
      </w:pPr>
    </w:p>
    <w:p w:rsidR="003E6588" w:rsidRDefault="003E6588">
      <w:pPr>
        <w:ind w:left="1134"/>
        <w:jc w:val="both"/>
        <w:rPr>
          <w:bCs/>
        </w:rPr>
      </w:pPr>
      <w:r>
        <w:rPr>
          <w:bCs/>
        </w:rPr>
        <w:t>- Catedral São João da Boa Vista;</w:t>
      </w:r>
    </w:p>
    <w:p w:rsidR="008A4595" w:rsidRDefault="008A4595">
      <w:pPr>
        <w:ind w:left="1134"/>
        <w:jc w:val="both"/>
        <w:rPr>
          <w:bCs/>
        </w:rPr>
      </w:pPr>
    </w:p>
    <w:p w:rsidR="003E6588" w:rsidRDefault="003E6588">
      <w:pPr>
        <w:ind w:left="1134"/>
        <w:jc w:val="both"/>
        <w:rPr>
          <w:bCs/>
        </w:rPr>
      </w:pPr>
      <w:r>
        <w:rPr>
          <w:bCs/>
        </w:rPr>
        <w:t>- Parque Estadual Fontes do Ipiranga.</w:t>
      </w:r>
    </w:p>
    <w:p w:rsidR="003E6588" w:rsidRDefault="003E6588">
      <w:pPr>
        <w:tabs>
          <w:tab w:val="left" w:pos="1560"/>
        </w:tabs>
        <w:ind w:left="1134"/>
        <w:jc w:val="both"/>
        <w:rPr>
          <w:b/>
        </w:rPr>
      </w:pPr>
      <w:r>
        <w:rPr>
          <w:b/>
        </w:rPr>
        <w:lastRenderedPageBreak/>
        <w:t>Difusão</w:t>
      </w:r>
    </w:p>
    <w:p w:rsidR="003E6588" w:rsidRDefault="003E6588">
      <w:pPr>
        <w:ind w:firstLine="1134"/>
        <w:jc w:val="both"/>
        <w:rPr>
          <w:b/>
        </w:rPr>
      </w:pPr>
    </w:p>
    <w:p w:rsidR="003E6588" w:rsidRDefault="003E6588">
      <w:pPr>
        <w:ind w:firstLine="1134"/>
        <w:jc w:val="both"/>
      </w:pPr>
      <w:r>
        <w:rPr>
          <w:b/>
        </w:rPr>
        <w:t xml:space="preserve">Realização do Encontro Patrimônio Cultural - Caminhos e Oportunidades 2014 - </w:t>
      </w:r>
      <w:r>
        <w:t>Foi enfatizada a preservação no âmbito municipal, com informações e troca de experiências para contribuir com a construção de políticas locais, alinhadas com a política estadual. Atingiu público de 140 pessoas.</w:t>
      </w:r>
    </w:p>
    <w:p w:rsidR="003E6588" w:rsidRDefault="003E6588">
      <w:pPr>
        <w:ind w:firstLine="1134"/>
        <w:jc w:val="both"/>
      </w:pPr>
    </w:p>
    <w:p w:rsidR="003E6588" w:rsidRDefault="003E6588">
      <w:pPr>
        <w:ind w:firstLine="1134"/>
        <w:jc w:val="both"/>
        <w:rPr>
          <w:color w:val="000000"/>
        </w:rPr>
      </w:pPr>
      <w:r>
        <w:rPr>
          <w:b/>
        </w:rPr>
        <w:t>Publicação do Livro “Fazendas de Café do Vale do Paraíba -</w:t>
      </w:r>
      <w:r>
        <w:rPr>
          <w:b/>
          <w:i/>
        </w:rPr>
        <w:t xml:space="preserve"> </w:t>
      </w:r>
      <w:r>
        <w:rPr>
          <w:b/>
        </w:rPr>
        <w:t xml:space="preserve">o que os inventários revelam (1817-1915)” - </w:t>
      </w:r>
      <w:r>
        <w:rPr>
          <w:color w:val="000000"/>
        </w:rPr>
        <w:t>Resultado de extensa pesquisa, empreendida por Carlos Eugênio Marcondes de Moura, nos anos 1974/1975, quando foram registrados 190 inventários de propriedades rurais localizadas no Vale do Paraíba, nos anos de 1817 a 1915.</w:t>
      </w:r>
    </w:p>
    <w:p w:rsidR="003E6588" w:rsidRDefault="003E6588">
      <w:pPr>
        <w:ind w:firstLine="1134"/>
        <w:jc w:val="both"/>
        <w:rPr>
          <w:b/>
        </w:rPr>
      </w:pPr>
    </w:p>
    <w:p w:rsidR="003E6588" w:rsidRDefault="003E6588">
      <w:pPr>
        <w:ind w:firstLine="1134"/>
        <w:jc w:val="both"/>
      </w:pPr>
      <w:r>
        <w:rPr>
          <w:b/>
        </w:rPr>
        <w:t xml:space="preserve">Gestão - </w:t>
      </w:r>
      <w:r>
        <w:t>A Unidade de Preservação do Patrimônio Histórico realizou os seguintes projetos:</w:t>
      </w:r>
    </w:p>
    <w:p w:rsidR="003E6588" w:rsidRDefault="003E6588">
      <w:pPr>
        <w:ind w:firstLine="1134"/>
        <w:jc w:val="both"/>
      </w:pPr>
    </w:p>
    <w:p w:rsidR="003E6588" w:rsidRDefault="003E6588">
      <w:pPr>
        <w:ind w:firstLine="1134"/>
        <w:jc w:val="both"/>
        <w:rPr>
          <w:color w:val="000000"/>
        </w:rPr>
      </w:pPr>
      <w:r>
        <w:rPr>
          <w:color w:val="000000"/>
        </w:rPr>
        <w:t xml:space="preserve">- Continuidade da parceria com a UFDPC para o lançamento do Edital ProAC nº 13/2014, que premiou projetos básicos de arquitetura e restauro dos bens tombados pelo CONDEPHAAT: </w:t>
      </w:r>
      <w:r>
        <w:rPr>
          <w:bCs/>
          <w:color w:val="000000"/>
        </w:rPr>
        <w:t>Casarão da Avenida Paulista nº 1.919</w:t>
      </w:r>
      <w:r>
        <w:rPr>
          <w:color w:val="000000"/>
        </w:rPr>
        <w:t xml:space="preserve">, em São Paulo, visando futuras - instalações do Museu da Diversidade Sexual e, </w:t>
      </w:r>
      <w:r>
        <w:rPr>
          <w:bCs/>
          <w:color w:val="000000"/>
        </w:rPr>
        <w:t>Estação Ferroviária de Mairinque</w:t>
      </w:r>
      <w:r>
        <w:rPr>
          <w:color w:val="000000"/>
        </w:rPr>
        <w:t>, em Mairinque;</w:t>
      </w:r>
    </w:p>
    <w:p w:rsidR="003E6588" w:rsidRDefault="003E6588">
      <w:pPr>
        <w:ind w:left="1134"/>
        <w:jc w:val="both"/>
        <w:rPr>
          <w:color w:val="000000"/>
        </w:rPr>
      </w:pPr>
    </w:p>
    <w:p w:rsidR="003E6588" w:rsidRDefault="003E6588">
      <w:pPr>
        <w:ind w:firstLine="1134"/>
        <w:jc w:val="both"/>
      </w:pPr>
      <w:r>
        <w:rPr>
          <w:color w:val="000000"/>
        </w:rPr>
        <w:t>- 50 deliberações por aplicação de multa (infrações contra o patrimônio cultural), conforme previsto na Resolução SC nº 64/2013;</w:t>
      </w:r>
    </w:p>
    <w:p w:rsidR="003E6588" w:rsidRDefault="003E6588">
      <w:pPr>
        <w:ind w:firstLine="1134"/>
        <w:jc w:val="both"/>
      </w:pPr>
    </w:p>
    <w:p w:rsidR="003E6588" w:rsidRDefault="003E6588">
      <w:pPr>
        <w:ind w:firstLine="1134"/>
        <w:jc w:val="both"/>
      </w:pPr>
      <w:r>
        <w:t>- Quatro averbações de tombamentos nas respectivas matrículas dos imóveis e mais seis em andamento;</w:t>
      </w:r>
    </w:p>
    <w:p w:rsidR="003E6588" w:rsidRDefault="003E6588">
      <w:pPr>
        <w:ind w:firstLine="1134"/>
        <w:jc w:val="both"/>
      </w:pPr>
    </w:p>
    <w:p w:rsidR="003E6588" w:rsidRDefault="003E6588">
      <w:pPr>
        <w:ind w:firstLine="1134"/>
        <w:jc w:val="both"/>
        <w:rPr>
          <w:bCs/>
        </w:rPr>
      </w:pPr>
      <w:r>
        <w:rPr>
          <w:bCs/>
        </w:rPr>
        <w:t>- Representação do Patrimônio Histórico no Encontro dos Dirigentes de Cultura;</w:t>
      </w:r>
    </w:p>
    <w:p w:rsidR="003E6588" w:rsidRDefault="003E6588">
      <w:pPr>
        <w:ind w:firstLine="1134"/>
        <w:jc w:val="both"/>
        <w:rPr>
          <w:bCs/>
        </w:rPr>
      </w:pPr>
    </w:p>
    <w:p w:rsidR="003E6588" w:rsidRDefault="003E6588">
      <w:pPr>
        <w:ind w:firstLine="1134"/>
        <w:jc w:val="both"/>
        <w:rPr>
          <w:bCs/>
        </w:rPr>
      </w:pPr>
      <w:r>
        <w:rPr>
          <w:bCs/>
        </w:rPr>
        <w:t xml:space="preserve">- </w:t>
      </w:r>
      <w:r w:rsidR="00A522F4" w:rsidRPr="00A522F4">
        <w:rPr>
          <w:bCs/>
        </w:rPr>
        <w:t>Sistema/Programa/Rede</w:t>
      </w:r>
      <w:r w:rsidR="00A522F4">
        <w:rPr>
          <w:bCs/>
        </w:rPr>
        <w:t xml:space="preserve"> </w:t>
      </w:r>
      <w:r>
        <w:rPr>
          <w:bCs/>
        </w:rPr>
        <w:t>- Integração dos municípios em uma política conjunta de ações para preservação do Patrimônio Cultural Paulista;</w:t>
      </w:r>
    </w:p>
    <w:p w:rsidR="003E6588" w:rsidRDefault="003E6588">
      <w:pPr>
        <w:ind w:firstLine="1134"/>
        <w:jc w:val="both"/>
        <w:rPr>
          <w:bCs/>
        </w:rPr>
      </w:pPr>
    </w:p>
    <w:p w:rsidR="003E6588" w:rsidRDefault="003E6588">
      <w:pPr>
        <w:ind w:firstLine="1134"/>
        <w:jc w:val="both"/>
      </w:pPr>
      <w:r>
        <w:rPr>
          <w:bCs/>
        </w:rPr>
        <w:t>- Implantação de novo sistema de informação.</w:t>
      </w:r>
    </w:p>
    <w:p w:rsidR="003E6588" w:rsidRDefault="003E6588">
      <w:pPr>
        <w:tabs>
          <w:tab w:val="left" w:pos="2700"/>
        </w:tabs>
        <w:ind w:firstLine="1134"/>
        <w:jc w:val="both"/>
        <w:rPr>
          <w:color w:val="000000"/>
        </w:rPr>
      </w:pPr>
    </w:p>
    <w:p w:rsidR="003E6588" w:rsidRDefault="003E6588">
      <w:pPr>
        <w:ind w:firstLine="1134"/>
        <w:jc w:val="both"/>
        <w:rPr>
          <w:strike/>
        </w:rPr>
      </w:pPr>
      <w:r>
        <w:rPr>
          <w:b/>
        </w:rPr>
        <w:t xml:space="preserve">Unidade de Bibliotecas e Leitura - </w:t>
      </w:r>
      <w:r>
        <w:t>Tem como atribuições formular, planejar, implantar e avaliar a política cultural para as bibliotecas públicas do Estado, bem como as políticas de incentivo e promoção à leitura.</w:t>
      </w:r>
    </w:p>
    <w:p w:rsidR="003E6588" w:rsidRDefault="003E6588">
      <w:pPr>
        <w:ind w:firstLine="1134"/>
        <w:jc w:val="both"/>
        <w:rPr>
          <w:b/>
        </w:rPr>
      </w:pPr>
    </w:p>
    <w:p w:rsidR="003E6588" w:rsidRDefault="003E6588">
      <w:pPr>
        <w:ind w:firstLine="1134"/>
        <w:jc w:val="both"/>
      </w:pPr>
      <w:r>
        <w:rPr>
          <w:b/>
        </w:rPr>
        <w:t xml:space="preserve">Biblioteca de São Paulo - </w:t>
      </w:r>
      <w:r>
        <w:t>Foram adquiridas 3.100 novas obras, totalizando 40 mil itens, divididos entre livros, CDs, DVDs e jogos. Atendeu 302 mil usuários, resultando em 78 mil consultas e/ou empréstimos. 700 atividades e oficinas com temas diversos ajudaram a movimentar a programação da BSP.</w:t>
      </w:r>
    </w:p>
    <w:p w:rsidR="003E6588" w:rsidRDefault="003E6588">
      <w:pPr>
        <w:pStyle w:val="PargrafodaLista"/>
        <w:tabs>
          <w:tab w:val="left" w:pos="7560"/>
        </w:tabs>
        <w:ind w:left="0" w:firstLine="1134"/>
      </w:pPr>
    </w:p>
    <w:p w:rsidR="003E6588" w:rsidRDefault="003E6588">
      <w:pPr>
        <w:ind w:firstLine="1134"/>
        <w:jc w:val="both"/>
        <w:rPr>
          <w:b/>
        </w:rPr>
      </w:pPr>
      <w:r>
        <w:rPr>
          <w:b/>
        </w:rPr>
        <w:t xml:space="preserve">Biblioteca Parque Villa-Lobos </w:t>
      </w:r>
      <w:r>
        <w:t>- Inaugurada em parceria com a Secretaria do Meio Ambiente, segue o mesmo conceito da Biblioteca de São Paulo, integrando diversas expressões artísticas para atrair o público não leitor.</w:t>
      </w:r>
    </w:p>
    <w:p w:rsidR="003E6588" w:rsidRDefault="003E6588">
      <w:pPr>
        <w:ind w:firstLine="1134"/>
        <w:jc w:val="both"/>
      </w:pPr>
      <w:r>
        <w:rPr>
          <w:b/>
        </w:rPr>
        <w:lastRenderedPageBreak/>
        <w:t>Prêmio São Paulo de Literatura -</w:t>
      </w:r>
      <w:r>
        <w:t xml:space="preserve"> A edição teve 169 livros inscritos. Os vencedores foram: “Anel de Vidro”, de Ana Luisa Escorel (Melhor Livro do Ano de 2013), “O Evangelho Segundo Hitler”, de Marcos Peres (Autores Estreantes com Idade de Até 40 Anos) e “Opisanie Swiata”, de Verônica Stigger (Autores Estreantes com Idade Acima de 40 Anos). Alguns autores finalistas estiveram nas bibliotecas públicas das cidades de Biriguí, Jundiaí, Lençóis Paulista, Praia Grande e Presidente Prudente, conversando com o público e divulgando suas obras. Foram promovidos encontros na Biblioteca de São Paulo, na Capital.</w:t>
      </w:r>
    </w:p>
    <w:p w:rsidR="003E6588" w:rsidRDefault="003E6588">
      <w:pPr>
        <w:tabs>
          <w:tab w:val="left" w:pos="7560"/>
        </w:tabs>
        <w:ind w:firstLine="1134"/>
        <w:jc w:val="both"/>
      </w:pPr>
    </w:p>
    <w:p w:rsidR="003E6588" w:rsidRDefault="003E6588">
      <w:pPr>
        <w:ind w:firstLine="1134"/>
        <w:jc w:val="both"/>
        <w:rPr>
          <w:b/>
        </w:rPr>
      </w:pPr>
      <w:r>
        <w:rPr>
          <w:b/>
        </w:rPr>
        <w:t>Viagem Literária</w:t>
      </w:r>
      <w:r>
        <w:t xml:space="preserve"> - Visa incentivar a leitura por meio da valorização das bibliotecas públicas municipais, promovendo atividades para fortalecer os vínculos entre esses espaços e a população. 80 municípios parceiros receberam apresentações de contação de histórias e bate-papos com escritores, dentre os quais destacam-se Ignácio de Loyola Brandão, Luiz Ruffato, Heloisa Prieto, João Carrascoza, Lauro César Muniz, Ilan Brenman, Jonas Ribeiro, Luiz Roberto Guedes, entre outros. Foram promovidos 300 eventos.</w:t>
      </w:r>
    </w:p>
    <w:p w:rsidR="003E6588" w:rsidRDefault="003E6588">
      <w:pPr>
        <w:ind w:firstLine="1134"/>
        <w:jc w:val="both"/>
      </w:pPr>
    </w:p>
    <w:p w:rsidR="003E6588" w:rsidRDefault="003E6588">
      <w:pPr>
        <w:tabs>
          <w:tab w:val="left" w:pos="2127"/>
        </w:tabs>
        <w:ind w:firstLine="1134"/>
        <w:jc w:val="both"/>
      </w:pPr>
      <w:r>
        <w:rPr>
          <w:b/>
        </w:rPr>
        <w:t xml:space="preserve">Sistema Estadual de Bibliotecas Públicas - SISEB - </w:t>
      </w:r>
      <w:r>
        <w:t>A Secretaria coordena o Sistema Estadual de Bibliotecas Públicas - SiSEB que reúne cerca de 840 bibliotecas públicas municipais existentes no Estado. Destaca-se o Programa de Capacitação das Equipes, que realizou 90 atividades de atualização profissional (oficinas, cursos e palestras) na Biblioteca de São Paulo e por todo o interior e litoral, facilitando a participação do público alvo. Estiveram presentes 2.800 pessoas. Outra ação foi o apoio aos acervos das bibliotecas e salas de leitura, com a distribuição de 110 mil itens (livros, revistas, CDs, DVDs).</w:t>
      </w:r>
    </w:p>
    <w:p w:rsidR="003E6588" w:rsidRDefault="003E6588">
      <w:pPr>
        <w:tabs>
          <w:tab w:val="left" w:pos="2700"/>
        </w:tabs>
        <w:ind w:left="284" w:firstLine="1134"/>
        <w:jc w:val="both"/>
        <w:rPr>
          <w:b/>
        </w:rPr>
      </w:pPr>
    </w:p>
    <w:p w:rsidR="003E6588" w:rsidRDefault="003E6588">
      <w:pPr>
        <w:pStyle w:val="PargrafodaLista"/>
        <w:tabs>
          <w:tab w:val="left" w:pos="142"/>
          <w:tab w:val="left" w:pos="2700"/>
        </w:tabs>
        <w:ind w:left="0" w:firstLine="1134"/>
        <w:rPr>
          <w:rFonts w:ascii="Times New Roman" w:hAnsi="Times New Roman"/>
          <w:sz w:val="24"/>
          <w:szCs w:val="24"/>
        </w:rPr>
      </w:pPr>
      <w:r>
        <w:rPr>
          <w:rFonts w:ascii="Times New Roman" w:hAnsi="Times New Roman"/>
          <w:b/>
          <w:sz w:val="24"/>
          <w:szCs w:val="24"/>
        </w:rPr>
        <w:t>VII Seminário Internacional de Bibliotecas Públicas e Comunitárias</w:t>
      </w:r>
      <w:r>
        <w:rPr>
          <w:rFonts w:ascii="Times New Roman" w:hAnsi="Times New Roman"/>
          <w:sz w:val="24"/>
          <w:szCs w:val="24"/>
        </w:rPr>
        <w:t xml:space="preserve"> - Realizado no Centro de Convenções Rebouças, na Capital, o Seminário reuniu cerca de 800 profissionais. Na pauta, os novos papéis e desafios das bibliotecas públicas e comunitárias brasileiras para a construção de uma nação leitora. O Seminário contou com a presença de especialistas nacionais e internacionais (Colômbia, Portugal, Chile Espanha e Estados Unidos). Ocorreu a apresentação de painéis que mostraram uma série de boas práticas na gestão das bibliotecas públicas e comunitárias brasileiras.</w:t>
      </w:r>
    </w:p>
    <w:p w:rsidR="003E6588" w:rsidRDefault="003E6588">
      <w:pPr>
        <w:pStyle w:val="PargrafodaLista"/>
        <w:tabs>
          <w:tab w:val="left" w:pos="142"/>
          <w:tab w:val="left" w:pos="2700"/>
        </w:tabs>
        <w:ind w:left="708" w:firstLine="1134"/>
      </w:pPr>
    </w:p>
    <w:p w:rsidR="003E6588" w:rsidRDefault="003E6588">
      <w:pPr>
        <w:ind w:firstLine="1134"/>
        <w:jc w:val="both"/>
        <w:rPr>
          <w:rFonts w:eastAsia="Batang"/>
          <w:strike/>
        </w:rPr>
      </w:pPr>
      <w:r>
        <w:rPr>
          <w:b/>
        </w:rPr>
        <w:t>Edital de Modernização de Bibliotecas Públicas -</w:t>
      </w:r>
      <w:r>
        <w:rPr>
          <w:rFonts w:eastAsia="Batang"/>
          <w:b/>
        </w:rPr>
        <w:t xml:space="preserve"> </w:t>
      </w:r>
      <w:r>
        <w:t>Foram selecionados 27 projetos de bibliotecas, integrantes do SISEB.</w:t>
      </w:r>
    </w:p>
    <w:p w:rsidR="003E6588" w:rsidRDefault="003E6588">
      <w:pPr>
        <w:pStyle w:val="PargrafodaLista"/>
        <w:tabs>
          <w:tab w:val="left" w:pos="142"/>
          <w:tab w:val="left" w:pos="2700"/>
        </w:tabs>
        <w:ind w:left="708" w:firstLine="1134"/>
        <w:rPr>
          <w:rFonts w:eastAsia="Batang"/>
        </w:rPr>
      </w:pPr>
    </w:p>
    <w:p w:rsidR="003E6588" w:rsidRDefault="003E6588">
      <w:pPr>
        <w:ind w:firstLine="1134"/>
        <w:jc w:val="both"/>
        <w:rPr>
          <w:rFonts w:eastAsia="Batang"/>
          <w:strike/>
        </w:rPr>
      </w:pPr>
      <w:r>
        <w:rPr>
          <w:rFonts w:eastAsia="Batang"/>
          <w:b/>
        </w:rPr>
        <w:t xml:space="preserve">Edital Agenda Cidadã - </w:t>
      </w:r>
      <w:r>
        <w:rPr>
          <w:rFonts w:eastAsia="Batang"/>
        </w:rPr>
        <w:t>Foram selecionadas 36 bibliotecas públicas municipais integrantes do SISEB. Este projeto consiste em dotar bibliotecas com microcomputadores, visando oferecer um serviço especializado de acesso às informações que contribuam com a qualidade de vida da comunidade.</w:t>
      </w:r>
    </w:p>
    <w:p w:rsidR="003E6588" w:rsidRDefault="003E6588" w:rsidP="00181F69">
      <w:pPr>
        <w:ind w:firstLine="1134"/>
        <w:jc w:val="both"/>
        <w:rPr>
          <w:rFonts w:eastAsia="Batang"/>
        </w:rPr>
      </w:pPr>
    </w:p>
    <w:p w:rsidR="003E6588" w:rsidRDefault="003E6588">
      <w:pPr>
        <w:ind w:firstLine="1134"/>
        <w:jc w:val="both"/>
        <w:rPr>
          <w:rFonts w:eastAsia="Batang"/>
        </w:rPr>
      </w:pPr>
      <w:r>
        <w:rPr>
          <w:rFonts w:eastAsia="Batang"/>
          <w:b/>
        </w:rPr>
        <w:t xml:space="preserve">Edital Coleção Básica </w:t>
      </w:r>
      <w:r>
        <w:rPr>
          <w:rFonts w:eastAsia="Batang"/>
        </w:rPr>
        <w:t xml:space="preserve">- Foram selecionadas 170 bibliotecas públicas municipais para receber </w:t>
      </w:r>
      <w:r>
        <w:t>um conjunto de 175 obras, composto por 147 livros e 28 DVDs, visando à atualização dos acervos.</w:t>
      </w:r>
    </w:p>
    <w:p w:rsidR="003E6588" w:rsidRDefault="003E6588" w:rsidP="00181F69">
      <w:pPr>
        <w:pStyle w:val="SemEspaamento"/>
        <w:ind w:firstLine="1134"/>
        <w:jc w:val="both"/>
        <w:rPr>
          <w:rFonts w:ascii="Times New Roman" w:eastAsia="Batang" w:hAnsi="Times New Roman"/>
          <w:sz w:val="24"/>
          <w:szCs w:val="24"/>
        </w:rPr>
      </w:pPr>
    </w:p>
    <w:p w:rsidR="003E6588" w:rsidRDefault="003E6588">
      <w:pPr>
        <w:ind w:firstLine="1134"/>
        <w:jc w:val="both"/>
      </w:pPr>
      <w:r>
        <w:rPr>
          <w:b/>
        </w:rPr>
        <w:lastRenderedPageBreak/>
        <w:t>Assessorias Técnicas aos Municípios</w:t>
      </w:r>
      <w:r>
        <w:t xml:space="preserve"> - Foram realizadas cerca de 80 assessorias aos municípios que desejam instalar e/ou modernizar os espaços das bibliotecas públicas. A orientação é dada aos municípios de modo que eles possam desenvolver seus projetos seguindo o conceito de Biblioteca Viva, o mesmo empreendido nas Bibliotecas de São Paulo e do Parque Villa-Lobos.</w:t>
      </w:r>
    </w:p>
    <w:p w:rsidR="003E6588" w:rsidRDefault="003E6588">
      <w:pPr>
        <w:ind w:firstLine="1134"/>
        <w:jc w:val="both"/>
        <w:rPr>
          <w:strike/>
        </w:rPr>
      </w:pPr>
    </w:p>
    <w:p w:rsidR="003E6588" w:rsidRDefault="003E6588">
      <w:pPr>
        <w:pStyle w:val="PargrafodaLista"/>
        <w:tabs>
          <w:tab w:val="left" w:pos="7560"/>
        </w:tabs>
        <w:ind w:left="0" w:firstLine="1134"/>
        <w:rPr>
          <w:rFonts w:ascii="Times New Roman" w:hAnsi="Times New Roman"/>
          <w:sz w:val="24"/>
          <w:szCs w:val="24"/>
        </w:rPr>
      </w:pPr>
      <w:r>
        <w:rPr>
          <w:rFonts w:ascii="Times New Roman" w:hAnsi="Times New Roman"/>
          <w:b/>
          <w:sz w:val="24"/>
          <w:szCs w:val="24"/>
        </w:rPr>
        <w:t>Publicações -</w:t>
      </w:r>
      <w:r>
        <w:rPr>
          <w:rFonts w:ascii="Times New Roman" w:hAnsi="Times New Roman"/>
          <w:sz w:val="24"/>
          <w:szCs w:val="24"/>
        </w:rPr>
        <w:t xml:space="preserve"> Deu-se continuidade à publicação do “5º Caderno Notas de Bibliotecas” - dirigido aos profissionais que atuam nestes espaços, bem como a publicação do “Espalhafatos” - jornal mensal destinado às crianças e jovens que frequentam as bibliotecas, trazendo curiosidades e brincadeiras acerca do mundo da leitura e literatura.</w:t>
      </w:r>
    </w:p>
    <w:p w:rsidR="003E6588" w:rsidRDefault="003E6588">
      <w:pPr>
        <w:pStyle w:val="PargrafodaLista"/>
        <w:tabs>
          <w:tab w:val="left" w:pos="7560"/>
        </w:tabs>
        <w:ind w:left="0" w:firstLine="1134"/>
        <w:rPr>
          <w:rFonts w:ascii="Times New Roman" w:hAnsi="Times New Roman"/>
          <w:strike/>
          <w:sz w:val="24"/>
          <w:szCs w:val="24"/>
        </w:rPr>
      </w:pPr>
    </w:p>
    <w:p w:rsidR="003E6588" w:rsidRDefault="003E6588">
      <w:pPr>
        <w:ind w:firstLine="1134"/>
        <w:jc w:val="both"/>
      </w:pPr>
      <w:r>
        <w:rPr>
          <w:b/>
        </w:rPr>
        <w:t xml:space="preserve">Unidade de Monitoramento - </w:t>
      </w:r>
      <w:r>
        <w:t>Responsável pela padronização e melhoria de procedimentos internos, criação de indicadores para mensuração e análise dos resultados da implantação das políticas públicas culturais, dentre outras atribuições. Realizou as seguintes atividades:</w:t>
      </w:r>
    </w:p>
    <w:p w:rsidR="003E6588" w:rsidRDefault="003E6588">
      <w:pPr>
        <w:tabs>
          <w:tab w:val="left" w:pos="7560"/>
        </w:tabs>
        <w:ind w:firstLine="1134"/>
        <w:jc w:val="both"/>
        <w:rPr>
          <w:strike/>
        </w:rPr>
      </w:pPr>
    </w:p>
    <w:p w:rsidR="003E6588" w:rsidRDefault="003E6588">
      <w:pPr>
        <w:tabs>
          <w:tab w:val="left" w:pos="7560"/>
        </w:tabs>
        <w:ind w:firstLine="1134"/>
        <w:jc w:val="both"/>
        <w:rPr>
          <w:b/>
        </w:rPr>
      </w:pPr>
      <w:r>
        <w:rPr>
          <w:b/>
        </w:rPr>
        <w:t>Relação de parceria entre o Estado e as organizações sociais de cultura</w:t>
      </w:r>
    </w:p>
    <w:p w:rsidR="003E6588" w:rsidRDefault="003E6588">
      <w:pPr>
        <w:tabs>
          <w:tab w:val="left" w:pos="7560"/>
        </w:tabs>
        <w:ind w:firstLine="1134"/>
        <w:jc w:val="both"/>
        <w:rPr>
          <w:b/>
        </w:rPr>
      </w:pPr>
    </w:p>
    <w:p w:rsidR="003E6588" w:rsidRDefault="003E6588">
      <w:pPr>
        <w:ind w:firstLine="1134"/>
        <w:jc w:val="both"/>
      </w:pPr>
      <w:r>
        <w:t>- Publicação da Resolução SC nº 37/2014, que estabelece a nova minuta padrão dos Contratos de Gestão com a Secretaria da Cultura.</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- 67 visitas técnicas a equipamentos culturais, grupos artísticos e programas culturais objeto dos contratos de gestão, realizadas em 9 municípios paulistas.</w:t>
      </w:r>
    </w:p>
    <w:p w:rsidR="003E6588" w:rsidRDefault="003E6588">
      <w:pPr>
        <w:ind w:left="360" w:firstLine="1134"/>
        <w:jc w:val="both"/>
        <w:rPr>
          <w:strike/>
        </w:rPr>
      </w:pPr>
    </w:p>
    <w:p w:rsidR="003E6588" w:rsidRDefault="003E6588">
      <w:pPr>
        <w:ind w:firstLine="1134"/>
        <w:jc w:val="both"/>
      </w:pPr>
      <w:r>
        <w:rPr>
          <w:b/>
        </w:rPr>
        <w:t xml:space="preserve">Grupo de Projetos e Obras - </w:t>
      </w:r>
      <w:r>
        <w:t>Por meio de seu Grupo de Projetos e Obras, a Secretaria da Cultura concluiu serviços de projeto e implantação da infraestrutura necessária para o desenvolvimento da política pública cultural. A seguir, estão listados exemplos do que foi realizado.</w:t>
      </w:r>
    </w:p>
    <w:p w:rsidR="003E6588" w:rsidRDefault="003E6588">
      <w:pPr>
        <w:ind w:firstLine="1134"/>
        <w:jc w:val="both"/>
        <w:rPr>
          <w:strike/>
        </w:rPr>
      </w:pPr>
    </w:p>
    <w:p w:rsidR="003E6588" w:rsidRDefault="003E6588">
      <w:pPr>
        <w:ind w:firstLine="1134"/>
        <w:jc w:val="both"/>
        <w:rPr>
          <w:b/>
        </w:rPr>
      </w:pPr>
      <w:r>
        <w:rPr>
          <w:b/>
        </w:rPr>
        <w:t>Obras e Projetos Finalizados</w:t>
      </w:r>
    </w:p>
    <w:p w:rsidR="003E6588" w:rsidRDefault="003E6588">
      <w:pPr>
        <w:ind w:firstLine="1134"/>
        <w:jc w:val="both"/>
      </w:pPr>
    </w:p>
    <w:p w:rsidR="003E6588" w:rsidRDefault="003E6588">
      <w:pPr>
        <w:pStyle w:val="PargrafodaLista"/>
        <w:tabs>
          <w:tab w:val="left" w:pos="709"/>
        </w:tabs>
        <w:ind w:left="0" w:firstLine="1134"/>
        <w:rPr>
          <w:rFonts w:ascii="Times New Roman" w:hAnsi="Times New Roman"/>
          <w:sz w:val="24"/>
          <w:szCs w:val="24"/>
        </w:rPr>
      </w:pPr>
      <w:r>
        <w:rPr>
          <w:rFonts w:ascii="Times New Roman" w:hAnsi="Times New Roman"/>
          <w:b/>
          <w:sz w:val="24"/>
          <w:szCs w:val="24"/>
        </w:rPr>
        <w:t xml:space="preserve">Museu Bernardino de Campos - Amparo - </w:t>
      </w:r>
      <w:r>
        <w:rPr>
          <w:rFonts w:ascii="Times New Roman" w:hAnsi="Times New Roman"/>
          <w:sz w:val="24"/>
          <w:szCs w:val="24"/>
        </w:rPr>
        <w:t xml:space="preserve">Projeto </w:t>
      </w:r>
      <w:r>
        <w:rPr>
          <w:rFonts w:ascii="Times New Roman" w:hAnsi="Times New Roman"/>
          <w:b/>
          <w:sz w:val="24"/>
          <w:szCs w:val="24"/>
        </w:rPr>
        <w:t xml:space="preserve">- </w:t>
      </w:r>
      <w:r>
        <w:rPr>
          <w:rFonts w:ascii="Times New Roman" w:hAnsi="Times New Roman"/>
          <w:sz w:val="24"/>
          <w:szCs w:val="24"/>
        </w:rPr>
        <w:t xml:space="preserve">Valor: R$ 140.668,35. Objeto: execução de projeto de arquitetura, engenharia e complementares. Contratada: Fernandes &amp; Terruggi Consultores Associados Ltda. </w:t>
      </w:r>
    </w:p>
    <w:p w:rsidR="003E6588" w:rsidRDefault="003E6588">
      <w:pPr>
        <w:pStyle w:val="PargrafodaLista"/>
        <w:tabs>
          <w:tab w:val="left" w:pos="709"/>
        </w:tabs>
        <w:ind w:left="0" w:firstLine="1134"/>
      </w:pPr>
    </w:p>
    <w:p w:rsidR="003E6588" w:rsidRDefault="003E6588">
      <w:pPr>
        <w:ind w:firstLine="1134"/>
        <w:jc w:val="both"/>
      </w:pPr>
      <w:r>
        <w:rPr>
          <w:b/>
        </w:rPr>
        <w:t xml:space="preserve">Museu Bernardino de Campos - Amparo - </w:t>
      </w:r>
      <w:r>
        <w:t xml:space="preserve">Obra </w:t>
      </w:r>
      <w:r>
        <w:rPr>
          <w:b/>
        </w:rPr>
        <w:t xml:space="preserve">- </w:t>
      </w:r>
      <w:r>
        <w:t>Valor atual R$ 1.455.073,00. Objeto: execução de obras complementares, instalações elétricas, ar-condicionado, CFTV e combate a incêndios. Contratada: 2N Engenharia Ltda.</w:t>
      </w:r>
    </w:p>
    <w:p w:rsidR="003E6588" w:rsidRDefault="003E6588">
      <w:pPr>
        <w:ind w:firstLine="1134"/>
        <w:jc w:val="both"/>
        <w:rPr>
          <w:b/>
        </w:rPr>
      </w:pPr>
    </w:p>
    <w:p w:rsidR="003E6588" w:rsidRDefault="003E6588">
      <w:pPr>
        <w:ind w:firstLine="1134"/>
        <w:jc w:val="both"/>
      </w:pPr>
      <w:r>
        <w:rPr>
          <w:b/>
        </w:rPr>
        <w:t xml:space="preserve">Catavento Cultural - Instalações Elétricas - </w:t>
      </w:r>
      <w:r>
        <w:t xml:space="preserve">Projeto </w:t>
      </w:r>
      <w:r>
        <w:rPr>
          <w:b/>
        </w:rPr>
        <w:t xml:space="preserve">- </w:t>
      </w:r>
      <w:r>
        <w:t xml:space="preserve">Valor: R$ 155.864,75. Objeto: elaboração de projeto executivo de instalações elétricas. </w:t>
      </w:r>
      <w:r>
        <w:rPr>
          <w:lang w:val="es-CO"/>
        </w:rPr>
        <w:t>Contratada: Hersa Engenharia e Serviços Ltda.</w:t>
      </w:r>
    </w:p>
    <w:p w:rsidR="003E6588" w:rsidRDefault="003E6588">
      <w:pPr>
        <w:pStyle w:val="PargrafodaLista"/>
        <w:tabs>
          <w:tab w:val="left" w:pos="709"/>
        </w:tabs>
        <w:ind w:left="0" w:firstLine="1134"/>
      </w:pPr>
    </w:p>
    <w:p w:rsidR="003E6588" w:rsidRDefault="003E6588">
      <w:pPr>
        <w:ind w:firstLine="1134"/>
        <w:jc w:val="both"/>
      </w:pPr>
      <w:r>
        <w:rPr>
          <w:b/>
        </w:rPr>
        <w:t xml:space="preserve">Teatro Sérgio Cardoso - Escada de Emergência - Rota de Fuga - </w:t>
      </w:r>
      <w:r>
        <w:t>Projeto -</w:t>
      </w:r>
      <w:r>
        <w:rPr>
          <w:b/>
        </w:rPr>
        <w:t xml:space="preserve"> </w:t>
      </w:r>
      <w:r>
        <w:t xml:space="preserve">Valor: R$ 120.363,93. Objeto: projeto para construção das escadas de emergência conforme normas do Corpo de Bombeiros e a readequação dos espaços do </w:t>
      </w:r>
      <w:r>
        <w:rPr>
          <w:i/>
        </w:rPr>
        <w:t>foyer</w:t>
      </w:r>
      <w:r>
        <w:t xml:space="preserve">, </w:t>
      </w:r>
      <w:r>
        <w:rPr>
          <w:i/>
        </w:rPr>
        <w:t>hall</w:t>
      </w:r>
      <w:r>
        <w:t>, bilheteria e chapelaria do teatro. Contratada: Hersa Engenharia e Serviços Ltda.</w:t>
      </w:r>
    </w:p>
    <w:p w:rsidR="003E6588" w:rsidRDefault="003E6588">
      <w:pPr>
        <w:ind w:firstLine="1134"/>
        <w:jc w:val="both"/>
      </w:pPr>
      <w:r>
        <w:rPr>
          <w:b/>
        </w:rPr>
        <w:lastRenderedPageBreak/>
        <w:t xml:space="preserve">Acessibilidade da Secretaria da Cultura - </w:t>
      </w:r>
      <w:r>
        <w:t xml:space="preserve">Projeto </w:t>
      </w:r>
      <w:r>
        <w:rPr>
          <w:b/>
        </w:rPr>
        <w:t xml:space="preserve">- </w:t>
      </w:r>
      <w:r>
        <w:t>Valor: R$ 2.912.380,00. Objeto: projetos executivos de arquitetura, restauro e complementares para a construção das instalações de acesso à Secretaria da Cultura e à Sala São Paulo. Contratada: Dupret Arquitetura e Coordenação S/S Ltda.</w:t>
      </w:r>
    </w:p>
    <w:p w:rsidR="003E6588" w:rsidRDefault="003E6588">
      <w:pPr>
        <w:ind w:firstLine="1134"/>
        <w:jc w:val="both"/>
      </w:pPr>
    </w:p>
    <w:p w:rsidR="003E6588" w:rsidRDefault="003E6588">
      <w:pPr>
        <w:ind w:firstLine="1134"/>
        <w:jc w:val="both"/>
      </w:pPr>
      <w:r>
        <w:rPr>
          <w:b/>
        </w:rPr>
        <w:t xml:space="preserve">Solar Julia Ferraz - Atibaia - </w:t>
      </w:r>
      <w:r>
        <w:t>Obra emergencial</w:t>
      </w:r>
      <w:r>
        <w:rPr>
          <w:b/>
        </w:rPr>
        <w:t xml:space="preserve"> - </w:t>
      </w:r>
      <w:r>
        <w:t>Valor: R$ 198.882,00. Objeto: realização de obras emergenciais de escoramento do Solar Julia Ferraz, bem tombado pelo CONDEPHAAT. Contratada: ADE Brasil.</w:t>
      </w:r>
    </w:p>
    <w:p w:rsidR="003E6588" w:rsidRDefault="003E6588">
      <w:pPr>
        <w:ind w:firstLine="1134"/>
        <w:jc w:val="both"/>
        <w:rPr>
          <w:b/>
        </w:rPr>
      </w:pPr>
    </w:p>
    <w:p w:rsidR="003E6588" w:rsidRDefault="003E6588">
      <w:pPr>
        <w:ind w:firstLine="1134"/>
        <w:jc w:val="both"/>
      </w:pPr>
      <w:r>
        <w:rPr>
          <w:b/>
        </w:rPr>
        <w:t xml:space="preserve">MAC - Museu de Arte Contemporânea - </w:t>
      </w:r>
      <w:r>
        <w:t xml:space="preserve">Obra </w:t>
      </w:r>
      <w:r>
        <w:rPr>
          <w:b/>
        </w:rPr>
        <w:t xml:space="preserve">- </w:t>
      </w:r>
      <w:r>
        <w:t>Valor: R$ 79.955.142,80. Objeto: reforma e ampliação dos edifícios do Pavilhão da Agricultura situado na Avenida Pedro Álvares Cabral, 1301. Contratada: Simétrica Engenharia Ltda.</w:t>
      </w:r>
    </w:p>
    <w:p w:rsidR="003E6588" w:rsidRDefault="003E6588">
      <w:pPr>
        <w:ind w:firstLine="1134"/>
        <w:jc w:val="both"/>
      </w:pPr>
    </w:p>
    <w:p w:rsidR="003E6588" w:rsidRDefault="003E6588">
      <w:pPr>
        <w:ind w:firstLine="1134"/>
        <w:jc w:val="both"/>
      </w:pPr>
      <w:r>
        <w:rPr>
          <w:b/>
        </w:rPr>
        <w:t xml:space="preserve">Museu Casa de Portinari - Brodowski - </w:t>
      </w:r>
      <w:r>
        <w:t>Obra</w:t>
      </w:r>
      <w:r>
        <w:rPr>
          <w:b/>
        </w:rPr>
        <w:t xml:space="preserve"> - </w:t>
      </w:r>
      <w:r>
        <w:t>Valor: R$ 2.153.003,71. Objeto: reforma e restauro do edifício ocupado pelo Museu Casa de Portinari na cidade de Brodowski. Contratada: ECG Engenharia Construções e Geotecnia Ltda.</w:t>
      </w:r>
    </w:p>
    <w:p w:rsidR="003E6588" w:rsidRDefault="003E6588">
      <w:pPr>
        <w:ind w:firstLine="1134"/>
        <w:jc w:val="both"/>
      </w:pPr>
    </w:p>
    <w:p w:rsidR="003E6588" w:rsidRDefault="003E6588">
      <w:pPr>
        <w:ind w:firstLine="1134"/>
        <w:jc w:val="both"/>
      </w:pPr>
      <w:r>
        <w:rPr>
          <w:b/>
        </w:rPr>
        <w:t xml:space="preserve">Museu Histórico e Pedagógico Major Novaes - Cruzeiro - </w:t>
      </w:r>
      <w:r>
        <w:t>Obra</w:t>
      </w:r>
      <w:r>
        <w:rPr>
          <w:b/>
        </w:rPr>
        <w:t xml:space="preserve"> - </w:t>
      </w:r>
      <w:r>
        <w:t>Valor: R$ 5.422.448,54. Objeto: projetos complementares e execução dos serviços propostos e necessários para recuperação e restauro do antigo solar do Major Novaes. Contratada: Concrejato Serviços Técnicos de Engenharia S/A.</w:t>
      </w:r>
    </w:p>
    <w:p w:rsidR="003E6588" w:rsidRDefault="003E6588">
      <w:pPr>
        <w:pStyle w:val="PargrafodaLista"/>
        <w:ind w:left="0" w:firstLine="1134"/>
      </w:pPr>
    </w:p>
    <w:p w:rsidR="003E6588" w:rsidRDefault="003E6588">
      <w:pPr>
        <w:ind w:firstLine="1134"/>
        <w:jc w:val="both"/>
      </w:pPr>
      <w:r>
        <w:rPr>
          <w:b/>
        </w:rPr>
        <w:t xml:space="preserve">Museu da Imigração - </w:t>
      </w:r>
      <w:r>
        <w:t xml:space="preserve">Obra </w:t>
      </w:r>
      <w:r>
        <w:rPr>
          <w:b/>
        </w:rPr>
        <w:t xml:space="preserve">- </w:t>
      </w:r>
      <w:r>
        <w:t xml:space="preserve">Valor: R$ 12.787.061,14. Objeto: obras de instalações e complementares do Museu da Imigração. Contratada: </w:t>
      </w:r>
      <w:r>
        <w:rPr>
          <w:bCs/>
        </w:rPr>
        <w:t>ECG Engenharia Construções e Geotecnia Ltda.</w:t>
      </w:r>
    </w:p>
    <w:p w:rsidR="003E6588" w:rsidRDefault="003E6588">
      <w:pPr>
        <w:ind w:firstLine="1134"/>
        <w:jc w:val="both"/>
      </w:pPr>
    </w:p>
    <w:p w:rsidR="003E6588" w:rsidRDefault="003E6588">
      <w:pPr>
        <w:ind w:firstLine="1134"/>
        <w:jc w:val="both"/>
      </w:pPr>
      <w:r>
        <w:rPr>
          <w:b/>
        </w:rPr>
        <w:t xml:space="preserve">Fábrica de Cultura Brasilândia (São Paulo) - </w:t>
      </w:r>
      <w:r>
        <w:t xml:space="preserve">Obra </w:t>
      </w:r>
      <w:r>
        <w:rPr>
          <w:b/>
        </w:rPr>
        <w:t xml:space="preserve">- </w:t>
      </w:r>
      <w:r>
        <w:t>Valor: R$ 13.253.232,75. Objeto: construção da Fábrica de Cultura de Brasilândia. Contratada: Construtora Ubiratan Ltda.</w:t>
      </w:r>
    </w:p>
    <w:p w:rsidR="003E6588" w:rsidRDefault="003E6588">
      <w:pPr>
        <w:ind w:firstLine="1134"/>
        <w:jc w:val="both"/>
      </w:pPr>
    </w:p>
    <w:p w:rsidR="003E6588" w:rsidRDefault="003E6588">
      <w:pPr>
        <w:ind w:firstLine="1134"/>
        <w:jc w:val="both"/>
      </w:pPr>
      <w:r>
        <w:rPr>
          <w:b/>
        </w:rPr>
        <w:t xml:space="preserve">Memorial da América Latina - </w:t>
      </w:r>
      <w:r>
        <w:t xml:space="preserve">Laudo </w:t>
      </w:r>
      <w:r>
        <w:rPr>
          <w:b/>
        </w:rPr>
        <w:t xml:space="preserve">- </w:t>
      </w:r>
      <w:r>
        <w:t>Valor: 385.000,00. Objeto: serviços de inspeção técnica para verificação das estruturas do auditório Simon Bolívar, do Memorial da América Latina. Contratada: IPT - Instituto de Pesquisas Tecnológicas do Estado.</w:t>
      </w:r>
    </w:p>
    <w:p w:rsidR="003E6588" w:rsidRDefault="003E6588">
      <w:pPr>
        <w:ind w:firstLine="1134"/>
        <w:jc w:val="both"/>
        <w:rPr>
          <w:strike/>
        </w:rPr>
      </w:pPr>
    </w:p>
    <w:p w:rsidR="003E6588" w:rsidRDefault="003E6588">
      <w:pPr>
        <w:ind w:firstLine="1134"/>
        <w:jc w:val="both"/>
        <w:rPr>
          <w:b/>
        </w:rPr>
      </w:pPr>
      <w:r>
        <w:rPr>
          <w:b/>
        </w:rPr>
        <w:t>Obras/Projetos e Serviços em Andamento</w:t>
      </w:r>
    </w:p>
    <w:p w:rsidR="003E6588" w:rsidRDefault="003E6588">
      <w:pPr>
        <w:ind w:firstLine="1134"/>
        <w:jc w:val="both"/>
        <w:rPr>
          <w:b/>
        </w:rPr>
      </w:pPr>
    </w:p>
    <w:p w:rsidR="003E6588" w:rsidRDefault="003E6588">
      <w:pPr>
        <w:tabs>
          <w:tab w:val="left" w:pos="851"/>
        </w:tabs>
        <w:ind w:firstLine="1134"/>
        <w:jc w:val="both"/>
      </w:pPr>
      <w:r>
        <w:rPr>
          <w:b/>
        </w:rPr>
        <w:t xml:space="preserve">Casa das Rosas - </w:t>
      </w:r>
      <w:r>
        <w:t>Projeto</w:t>
      </w:r>
      <w:r>
        <w:rPr>
          <w:b/>
        </w:rPr>
        <w:t xml:space="preserve"> - </w:t>
      </w:r>
      <w:r>
        <w:t xml:space="preserve">Valor atual: R$ 773.837,77. Objeto: elaboração de projetos básicos e executivos de engenharia e arquitetura para reforma e restauro da edificação. Contratada: Green Brasil Arquitetura e Engenharia Ltda. </w:t>
      </w:r>
      <w:r>
        <w:rPr>
          <w:i/>
        </w:rPr>
        <w:t>Status</w:t>
      </w:r>
      <w:r>
        <w:t>: projeto executivo em andamento.</w:t>
      </w:r>
    </w:p>
    <w:p w:rsidR="008A4595" w:rsidRDefault="008A4595">
      <w:pPr>
        <w:tabs>
          <w:tab w:val="left" w:pos="851"/>
        </w:tabs>
        <w:ind w:firstLine="1134"/>
        <w:jc w:val="both"/>
      </w:pPr>
    </w:p>
    <w:p w:rsidR="003E6588" w:rsidRDefault="003E6588">
      <w:pPr>
        <w:ind w:firstLine="1134"/>
        <w:jc w:val="both"/>
      </w:pPr>
      <w:r>
        <w:rPr>
          <w:b/>
        </w:rPr>
        <w:t xml:space="preserve">Unidade de Ensino Musical de Franca - </w:t>
      </w:r>
      <w:r>
        <w:t xml:space="preserve">Projeto </w:t>
      </w:r>
      <w:r>
        <w:rPr>
          <w:b/>
        </w:rPr>
        <w:t xml:space="preserve">- </w:t>
      </w:r>
      <w:r>
        <w:t>Valor atual: R$ 641.375,02. Objeto: projeto básico e executivo de arquitetura e engenharia para implantação de Unidade de Ensino Musical no Município de Franca. Contratada: Faccio Arquitetura S/S Ltda. Status: em andamento.</w:t>
      </w:r>
    </w:p>
    <w:p w:rsidR="003E6588" w:rsidRDefault="003E6588">
      <w:pPr>
        <w:ind w:firstLine="1134"/>
        <w:jc w:val="both"/>
      </w:pPr>
    </w:p>
    <w:p w:rsidR="003E6588" w:rsidRDefault="003E6588">
      <w:pPr>
        <w:ind w:firstLine="1134"/>
        <w:jc w:val="both"/>
      </w:pPr>
      <w:r>
        <w:rPr>
          <w:b/>
        </w:rPr>
        <w:lastRenderedPageBreak/>
        <w:t xml:space="preserve">Oficina Cultural Mario de Andrade - </w:t>
      </w:r>
      <w:r>
        <w:t xml:space="preserve">Projeto </w:t>
      </w:r>
      <w:r>
        <w:rPr>
          <w:b/>
        </w:rPr>
        <w:t xml:space="preserve">- </w:t>
      </w:r>
      <w:r>
        <w:t xml:space="preserve">Valor atual: R$ 257.188,16. Objeto: projetos de engenharia e arquitetura para reforma do edifício da Oficina Cultural Mário de Andrade, em São Paulo. Contratada: Gomes Machado Arquitetos Associados Ltda. </w:t>
      </w:r>
      <w:r>
        <w:rPr>
          <w:i/>
        </w:rPr>
        <w:t>Status</w:t>
      </w:r>
      <w:r>
        <w:t>: respondendo aos comunique-se para obter a aprovação da Prefeitura.</w:t>
      </w:r>
    </w:p>
    <w:p w:rsidR="003E6588" w:rsidRDefault="003E6588">
      <w:pPr>
        <w:ind w:firstLine="1134"/>
        <w:jc w:val="both"/>
      </w:pPr>
    </w:p>
    <w:p w:rsidR="003E6588" w:rsidRDefault="003E6588">
      <w:pPr>
        <w:ind w:firstLine="1134"/>
        <w:jc w:val="both"/>
      </w:pPr>
      <w:r>
        <w:rPr>
          <w:b/>
        </w:rPr>
        <w:t xml:space="preserve">Oficina Cultural Oswald de Andrade - </w:t>
      </w:r>
      <w:r>
        <w:t xml:space="preserve">Projeto </w:t>
      </w:r>
      <w:r>
        <w:rPr>
          <w:b/>
        </w:rPr>
        <w:t xml:space="preserve">- </w:t>
      </w:r>
      <w:r>
        <w:t xml:space="preserve">Valor atual: R$ 523.500,18. Objeto: projetos de engenharia e arquitetura para reforma do edifício da Oficina Cultural Oswald de Andrade - São Paulo. Contratada: Gomes Machado Arquitetos Associados Ltda. </w:t>
      </w:r>
      <w:r>
        <w:rPr>
          <w:i/>
        </w:rPr>
        <w:t>Status</w:t>
      </w:r>
      <w:r>
        <w:t>: Aguardando aprovações.</w:t>
      </w:r>
    </w:p>
    <w:p w:rsidR="003E6588" w:rsidRDefault="003E6588">
      <w:pPr>
        <w:ind w:firstLine="1134"/>
        <w:jc w:val="both"/>
        <w:rPr>
          <w:b/>
        </w:rPr>
      </w:pPr>
    </w:p>
    <w:p w:rsidR="003E6588" w:rsidRDefault="003E6588">
      <w:pPr>
        <w:ind w:firstLine="1134"/>
        <w:jc w:val="both"/>
      </w:pPr>
      <w:r>
        <w:rPr>
          <w:b/>
        </w:rPr>
        <w:t xml:space="preserve">Museu do Café - </w:t>
      </w:r>
      <w:r>
        <w:t>Projeto</w:t>
      </w:r>
      <w:r>
        <w:rPr>
          <w:b/>
        </w:rPr>
        <w:t xml:space="preserve"> - </w:t>
      </w:r>
      <w:r>
        <w:t xml:space="preserve">Valor atual: R$ 610.131,29. Objeto: serviços de arquitetura e engenharia, objetivando a restauração e requalificação da Antiga Bolsa Oficial de Café. Contratada: Gomes Machado Arquitetos Associados Ltda. </w:t>
      </w:r>
      <w:r>
        <w:rPr>
          <w:i/>
        </w:rPr>
        <w:t>Status</w:t>
      </w:r>
      <w:r>
        <w:t>: projeto em andamento. Está sendo providenciado o protocolo juntos aos órgãos de preservação (Iphan, CONDEPHAAT e Condepasa) e de aprovações (Prefeitura de Santos e Corpo de Bombeiros).</w:t>
      </w:r>
    </w:p>
    <w:p w:rsidR="003E6588" w:rsidRDefault="003E6588">
      <w:pPr>
        <w:ind w:firstLine="1134"/>
        <w:jc w:val="both"/>
      </w:pPr>
    </w:p>
    <w:p w:rsidR="003E6588" w:rsidRDefault="003E6588">
      <w:pPr>
        <w:autoSpaceDE w:val="0"/>
        <w:autoSpaceDN w:val="0"/>
        <w:adjustRightInd w:val="0"/>
        <w:ind w:firstLine="1134"/>
        <w:jc w:val="both"/>
      </w:pPr>
      <w:r>
        <w:rPr>
          <w:b/>
        </w:rPr>
        <w:t xml:space="preserve">Museu da História do Estado - </w:t>
      </w:r>
      <w:r>
        <w:t>Obra</w:t>
      </w:r>
      <w:r>
        <w:rPr>
          <w:b/>
        </w:rPr>
        <w:t xml:space="preserve"> - </w:t>
      </w:r>
      <w:r>
        <w:t xml:space="preserve">Valor atual: R$ 84.079.395,25. Objeto: obras de restauro, reforma e construção de edificações do Museu da História do Estado. Contratada: Construtora CVS S.A. </w:t>
      </w:r>
      <w:r>
        <w:rPr>
          <w:i/>
        </w:rPr>
        <w:t>Status</w:t>
      </w:r>
      <w:r>
        <w:t>: obra em execução em todas as frentes de serviço.</w:t>
      </w:r>
    </w:p>
    <w:p w:rsidR="003E6588" w:rsidRDefault="003E6588">
      <w:pPr>
        <w:pStyle w:val="PargrafodaLista"/>
        <w:ind w:left="0" w:firstLine="1134"/>
      </w:pPr>
    </w:p>
    <w:p w:rsidR="003E6588" w:rsidRDefault="003E6588">
      <w:pPr>
        <w:autoSpaceDE w:val="0"/>
        <w:autoSpaceDN w:val="0"/>
        <w:adjustRightInd w:val="0"/>
        <w:ind w:firstLine="1134"/>
        <w:jc w:val="both"/>
      </w:pPr>
      <w:r>
        <w:rPr>
          <w:b/>
        </w:rPr>
        <w:t xml:space="preserve">Palácio dos Campos Elíseos - </w:t>
      </w:r>
      <w:r>
        <w:t xml:space="preserve">Obra </w:t>
      </w:r>
      <w:r>
        <w:rPr>
          <w:b/>
        </w:rPr>
        <w:t xml:space="preserve">- </w:t>
      </w:r>
      <w:r>
        <w:t xml:space="preserve">Valor atual: R$ 19.936.246,28. Objeto: reforma e restauro da área interna do Palácio para adequação do imóvel às normas de segurança e acessibilidade. Contratada: Incorplan Engenharia Ltda. </w:t>
      </w:r>
      <w:r>
        <w:rPr>
          <w:i/>
        </w:rPr>
        <w:t>Status</w:t>
      </w:r>
      <w:r>
        <w:t>: maior parte dos serviços de reforços estruturais e de restauro executados. Serviços de infraestrutura em andamento em todos os pavimentos.</w:t>
      </w:r>
    </w:p>
    <w:p w:rsidR="003E6588" w:rsidRDefault="003E6588">
      <w:pPr>
        <w:autoSpaceDE w:val="0"/>
        <w:autoSpaceDN w:val="0"/>
        <w:adjustRightInd w:val="0"/>
        <w:ind w:firstLine="1134"/>
        <w:jc w:val="both"/>
      </w:pPr>
    </w:p>
    <w:p w:rsidR="00477A08" w:rsidRDefault="003E6588">
      <w:pPr>
        <w:autoSpaceDE w:val="0"/>
        <w:autoSpaceDN w:val="0"/>
        <w:adjustRightInd w:val="0"/>
        <w:ind w:firstLine="1134"/>
        <w:jc w:val="both"/>
      </w:pPr>
      <w:r>
        <w:rPr>
          <w:b/>
        </w:rPr>
        <w:t xml:space="preserve">Fábrica de Cultura de Diadema - </w:t>
      </w:r>
      <w:r>
        <w:t>Obra -</w:t>
      </w:r>
      <w:r>
        <w:rPr>
          <w:b/>
        </w:rPr>
        <w:t xml:space="preserve"> </w:t>
      </w:r>
      <w:r>
        <w:t>Valor atual R$ 14.298.134,63. Objeto: obra de construção da</w:t>
      </w:r>
      <w:r w:rsidR="00181F69">
        <w:t xml:space="preserve"> unidade de Fábrica de Cultura.</w:t>
      </w:r>
    </w:p>
    <w:p w:rsidR="00477A08" w:rsidRDefault="00477A08">
      <w:pPr>
        <w:autoSpaceDE w:val="0"/>
        <w:autoSpaceDN w:val="0"/>
        <w:adjustRightInd w:val="0"/>
        <w:ind w:firstLine="1134"/>
        <w:jc w:val="both"/>
      </w:pPr>
    </w:p>
    <w:p w:rsidR="003E6588" w:rsidRDefault="003E6588">
      <w:pPr>
        <w:autoSpaceDE w:val="0"/>
        <w:autoSpaceDN w:val="0"/>
        <w:adjustRightInd w:val="0"/>
        <w:ind w:firstLine="1134"/>
        <w:jc w:val="both"/>
      </w:pPr>
      <w:r>
        <w:t xml:space="preserve">Contratada: ECG </w:t>
      </w:r>
      <w:r>
        <w:rPr>
          <w:bCs/>
        </w:rPr>
        <w:t>Engenharia Construções e Geotecnia Ltda</w:t>
      </w:r>
      <w:r>
        <w:t xml:space="preserve"> </w:t>
      </w:r>
      <w:r>
        <w:rPr>
          <w:i/>
        </w:rPr>
        <w:t>Status</w:t>
      </w:r>
      <w:r>
        <w:t>: serviços de fundação concluídos e em andamento os serviços de super estrutura do prédio principal e do teatro (pilares, vigas e lajes).</w:t>
      </w:r>
    </w:p>
    <w:p w:rsidR="003E6588" w:rsidRDefault="003E6588">
      <w:pPr>
        <w:ind w:firstLine="1134"/>
        <w:jc w:val="both"/>
      </w:pPr>
    </w:p>
    <w:p w:rsidR="003E6588" w:rsidRDefault="003E6588">
      <w:pPr>
        <w:autoSpaceDE w:val="0"/>
        <w:autoSpaceDN w:val="0"/>
        <w:adjustRightInd w:val="0"/>
        <w:ind w:firstLine="1134"/>
        <w:jc w:val="both"/>
      </w:pPr>
      <w:r>
        <w:rPr>
          <w:b/>
        </w:rPr>
        <w:t xml:space="preserve">Oficina Cultural Amacio Mazzaropi - São Paulo - </w:t>
      </w:r>
      <w:r>
        <w:t>Obra -</w:t>
      </w:r>
      <w:r>
        <w:rPr>
          <w:b/>
        </w:rPr>
        <w:t xml:space="preserve"> </w:t>
      </w:r>
      <w:r>
        <w:t xml:space="preserve">Valor atual: R$ 3.635.744,27. Objeto: reforma e restauro. Contratada: </w:t>
      </w:r>
      <w:r>
        <w:rPr>
          <w:bCs/>
        </w:rPr>
        <w:t>ECG Engenharia Construções e Geotecnia Ltda</w:t>
      </w:r>
      <w:r>
        <w:t xml:space="preserve">. </w:t>
      </w:r>
      <w:r>
        <w:rPr>
          <w:i/>
        </w:rPr>
        <w:t>Status</w:t>
      </w:r>
      <w:r>
        <w:t>: já executados os serviços de fundações do novo auditório, demolições e retiradas. Em andamento os serviços de elétrica, hidráulica e alvenaria.</w:t>
      </w:r>
    </w:p>
    <w:p w:rsidR="003E6588" w:rsidRDefault="003E6588">
      <w:pPr>
        <w:ind w:firstLine="1134"/>
        <w:jc w:val="both"/>
      </w:pPr>
    </w:p>
    <w:p w:rsidR="003E6588" w:rsidRDefault="003E6588">
      <w:pPr>
        <w:autoSpaceDE w:val="0"/>
        <w:autoSpaceDN w:val="0"/>
        <w:adjustRightInd w:val="0"/>
        <w:ind w:firstLine="1134"/>
        <w:jc w:val="both"/>
      </w:pPr>
      <w:r>
        <w:rPr>
          <w:b/>
        </w:rPr>
        <w:t xml:space="preserve">Oficina Cultural Gerson de Abreu - Iguape - </w:t>
      </w:r>
      <w:r>
        <w:t xml:space="preserve">Obra </w:t>
      </w:r>
      <w:r>
        <w:rPr>
          <w:b/>
        </w:rPr>
        <w:t xml:space="preserve">- </w:t>
      </w:r>
      <w:r>
        <w:t xml:space="preserve">Valor atual: R$ 1.361.349,07. Objeto: reforma e restauro. Contratada: Incorplan Engenharia Ltda. </w:t>
      </w:r>
      <w:r>
        <w:rPr>
          <w:i/>
        </w:rPr>
        <w:t>Status</w:t>
      </w:r>
      <w:r>
        <w:t>: Executadas as retiradas e demolições e recuperação do telhado. Restauro em andamento.</w:t>
      </w:r>
    </w:p>
    <w:p w:rsidR="008A4595" w:rsidRDefault="008A4595">
      <w:pPr>
        <w:autoSpaceDE w:val="0"/>
        <w:autoSpaceDN w:val="0"/>
        <w:adjustRightInd w:val="0"/>
        <w:ind w:firstLine="1134"/>
        <w:jc w:val="both"/>
      </w:pPr>
    </w:p>
    <w:p w:rsidR="003E6588" w:rsidRDefault="003E6588">
      <w:pPr>
        <w:autoSpaceDE w:val="0"/>
        <w:autoSpaceDN w:val="0"/>
        <w:adjustRightInd w:val="0"/>
        <w:ind w:firstLine="1134"/>
        <w:jc w:val="both"/>
      </w:pPr>
      <w:r>
        <w:rPr>
          <w:b/>
        </w:rPr>
        <w:t xml:space="preserve">Oficina Cultural Glaudo Pinto de Moraes - Bauru - </w:t>
      </w:r>
      <w:r>
        <w:t>Obra</w:t>
      </w:r>
      <w:r>
        <w:rPr>
          <w:b/>
        </w:rPr>
        <w:t xml:space="preserve"> - </w:t>
      </w:r>
      <w:r>
        <w:t xml:space="preserve">Valor atual: R$ 5.327.181,73. Objeto: reforma e restauro. Contratada: Incorplan Engenharia Ltda. </w:t>
      </w:r>
      <w:r>
        <w:rPr>
          <w:i/>
        </w:rPr>
        <w:t>Status</w:t>
      </w:r>
      <w:r>
        <w:t xml:space="preserve">: reforços </w:t>
      </w:r>
      <w:r>
        <w:lastRenderedPageBreak/>
        <w:t>estruturais, telhado, consolidação da fundação executados. Em andamento serviços de alvenaria, elétrica, hidráulica e infraestrutura externa.</w:t>
      </w:r>
    </w:p>
    <w:p w:rsidR="003E6588" w:rsidRDefault="003E6588">
      <w:pPr>
        <w:ind w:firstLine="1134"/>
        <w:jc w:val="both"/>
      </w:pPr>
    </w:p>
    <w:p w:rsidR="003E6588" w:rsidRDefault="003E6588">
      <w:pPr>
        <w:autoSpaceDE w:val="0"/>
        <w:autoSpaceDN w:val="0"/>
        <w:adjustRightInd w:val="0"/>
        <w:ind w:firstLine="1134"/>
        <w:jc w:val="both"/>
      </w:pPr>
      <w:r>
        <w:rPr>
          <w:b/>
        </w:rPr>
        <w:t xml:space="preserve">Oficina Cultural Grande Otelo - Sorocaba - </w:t>
      </w:r>
      <w:r>
        <w:t xml:space="preserve">Obra </w:t>
      </w:r>
      <w:r>
        <w:rPr>
          <w:b/>
        </w:rPr>
        <w:t xml:space="preserve">- </w:t>
      </w:r>
      <w:r>
        <w:t xml:space="preserve">Valor atual: R$ 1.550.450,39. Objeto: reforma e restauro. Contratada: Incorplan Engenharia Ltda. </w:t>
      </w:r>
      <w:r>
        <w:rPr>
          <w:i/>
        </w:rPr>
        <w:t>Status</w:t>
      </w:r>
      <w:r>
        <w:t>: em andamento os serviços de telhado e avaliações estruturais.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rPr>
        <w:t xml:space="preserve">Oficina Cultural Regional Pagu - Santos - </w:t>
      </w:r>
      <w:r>
        <w:t>Obra</w:t>
      </w:r>
      <w:r>
        <w:rPr>
          <w:b/>
        </w:rPr>
        <w:t xml:space="preserve"> - </w:t>
      </w:r>
      <w:r>
        <w:t xml:space="preserve">Valor Atual: R$ 7.547.863,43. Objeto: reforma e restauro do edifício da antiga Casa de Câmara e Cadeia de Santos. Contratada: Erbauen Construtora e Incorporadora Ltda. </w:t>
      </w:r>
      <w:r>
        <w:rPr>
          <w:i/>
        </w:rPr>
        <w:t>Status</w:t>
      </w:r>
      <w:r>
        <w:t>: demolições, retiradas, serviços de recuperação de telhado do prédio principal prontos. Em andamento serviços de estrutura, de elétrica, hidráulica e ar-condicionado.</w:t>
      </w:r>
    </w:p>
    <w:p w:rsidR="003E6588" w:rsidRDefault="003E6588">
      <w:pPr>
        <w:ind w:firstLine="1134"/>
        <w:jc w:val="both"/>
      </w:pPr>
    </w:p>
    <w:p w:rsidR="003E6588" w:rsidRDefault="003E6588">
      <w:pPr>
        <w:ind w:firstLine="1134"/>
        <w:jc w:val="both"/>
      </w:pPr>
      <w:r>
        <w:rPr>
          <w:b/>
        </w:rPr>
        <w:t xml:space="preserve">Museu de Arte Contemporânea (CFTV) - </w:t>
      </w:r>
      <w:r>
        <w:t>Serviços</w:t>
      </w:r>
      <w:r>
        <w:rPr>
          <w:b/>
        </w:rPr>
        <w:t xml:space="preserve"> - </w:t>
      </w:r>
      <w:r>
        <w:t xml:space="preserve">Valor Atual: R$ 5.371.105,07. Objeto: instalação do sistema de segurança eletrônica de CFTV, controle de acesso, supervisão predial e som ambiente. Contratada: Staefa Control System Ltda. </w:t>
      </w:r>
      <w:r>
        <w:rPr>
          <w:i/>
        </w:rPr>
        <w:t>Status</w:t>
      </w:r>
      <w:r>
        <w:t>: em andamento.</w:t>
      </w:r>
    </w:p>
    <w:p w:rsidR="003E6588" w:rsidRDefault="003E6588">
      <w:pPr>
        <w:ind w:firstLine="1134"/>
        <w:jc w:val="both"/>
      </w:pPr>
    </w:p>
    <w:p w:rsidR="003E6588" w:rsidRDefault="003E6588">
      <w:pPr>
        <w:ind w:firstLine="1134"/>
        <w:jc w:val="both"/>
      </w:pPr>
      <w:r>
        <w:rPr>
          <w:b/>
        </w:rPr>
        <w:t xml:space="preserve">Elétrico do Teatro Sérgio Cardoso - </w:t>
      </w:r>
      <w:r>
        <w:t xml:space="preserve">Serviços </w:t>
      </w:r>
      <w:r>
        <w:rPr>
          <w:b/>
        </w:rPr>
        <w:t xml:space="preserve">- </w:t>
      </w:r>
      <w:r>
        <w:t xml:space="preserve">Valor atual: R$ 2.970.410,37. Objeto: execução da reforma do sistema elétrico do palco do Teatro Sérgio Cardoso. Contratada: 2N Engenharia Ltda. </w:t>
      </w:r>
      <w:r>
        <w:rPr>
          <w:i/>
        </w:rPr>
        <w:t>Status</w:t>
      </w:r>
      <w:r>
        <w:t>: em andamento, canteiro implantado. Em elaboração o projeto executivo.</w:t>
      </w:r>
    </w:p>
    <w:p w:rsidR="003E6588" w:rsidRDefault="003E6588">
      <w:pPr>
        <w:ind w:firstLine="1134"/>
        <w:jc w:val="both"/>
      </w:pPr>
    </w:p>
    <w:p w:rsidR="003E6588" w:rsidRDefault="003E6588">
      <w:pPr>
        <w:ind w:firstLine="1134"/>
        <w:jc w:val="both"/>
        <w:rPr>
          <w:bCs/>
          <w:strike/>
        </w:rPr>
      </w:pPr>
      <w:r>
        <w:rPr>
          <w:b/>
        </w:rPr>
        <w:t xml:space="preserve">Convênios - </w:t>
      </w:r>
      <w:r>
        <w:rPr>
          <w:bCs/>
        </w:rPr>
        <w:t>A Secretaria da Cultura formalizou 196 convênios com entidades e municípios.</w:t>
      </w:r>
    </w:p>
    <w:p w:rsidR="003E6588" w:rsidRDefault="003E6588">
      <w:pPr>
        <w:ind w:firstLine="1134"/>
        <w:jc w:val="both"/>
        <w:rPr>
          <w:bCs/>
          <w:strike/>
        </w:rPr>
      </w:pPr>
    </w:p>
    <w:p w:rsidR="003E6588" w:rsidRDefault="003E6588">
      <w:pPr>
        <w:ind w:firstLine="1134"/>
        <w:jc w:val="both"/>
        <w:rPr>
          <w:bCs/>
          <w:u w:val="single"/>
        </w:rPr>
      </w:pPr>
      <w:r>
        <w:rPr>
          <w:bCs/>
        </w:rPr>
        <w:t>Na área de preservação do patrimônio histórico, foram entregues as obras: restauro da Ponte Euclydes da Cunha, em São José do Rio Pardo e restauro do antigo Fórum de Botucatu, futura sede da primeira unidade da Pinacoteca do Estado no interior. Rebatizado como Fórum das Artes, o espaço abrigará também o MAC Itajahy Martins, museu municipal.</w:t>
      </w:r>
    </w:p>
    <w:p w:rsidR="003E6588" w:rsidRDefault="003E6588">
      <w:pPr>
        <w:ind w:firstLine="1134"/>
        <w:jc w:val="both"/>
        <w:rPr>
          <w:b/>
          <w:strike/>
        </w:rPr>
      </w:pPr>
    </w:p>
    <w:p w:rsidR="003E6588" w:rsidRDefault="003E6588">
      <w:pPr>
        <w:ind w:firstLine="1134"/>
        <w:jc w:val="both"/>
        <w:rPr>
          <w:b/>
        </w:rPr>
      </w:pPr>
      <w:r>
        <w:rPr>
          <w:b/>
        </w:rPr>
        <w:t>Fundação Memorial da América Latina</w:t>
      </w:r>
    </w:p>
    <w:p w:rsidR="003E6588" w:rsidRDefault="003E6588">
      <w:pPr>
        <w:ind w:firstLine="1134"/>
        <w:jc w:val="both"/>
        <w:rPr>
          <w:b/>
          <w:bCs/>
        </w:rPr>
      </w:pPr>
    </w:p>
    <w:p w:rsidR="003E6588" w:rsidRDefault="003E6588">
      <w:pPr>
        <w:ind w:firstLine="1134"/>
        <w:jc w:val="both"/>
        <w:rPr>
          <w:bCs/>
        </w:rPr>
      </w:pPr>
      <w:r>
        <w:rPr>
          <w:b/>
          <w:bCs/>
        </w:rPr>
        <w:t xml:space="preserve">Diretoria de Atividades Culturais - DAC - </w:t>
      </w:r>
      <w:r>
        <w:rPr>
          <w:bCs/>
        </w:rPr>
        <w:t>Entre as atividades estão a comemoração do aniversário da cidade de São Paulo, evento já tradicional, com a lavagem da mão de autoria de Oscar Niemeyer; a “Festa de Alasitas”, tradicional evento da comunidade boliviana em São Paulo; o “Ano Novo Chinês”; exposições na Galeria Marta Traba, como “25 Anos”</w:t>
      </w:r>
      <w:r>
        <w:rPr>
          <w:bCs/>
          <w:i/>
        </w:rPr>
        <w:t xml:space="preserve">, </w:t>
      </w:r>
      <w:r>
        <w:rPr>
          <w:bCs/>
        </w:rPr>
        <w:t xml:space="preserve">“Memorial e Futebol em Registro”; </w:t>
      </w:r>
      <w:r>
        <w:rPr>
          <w:bCs/>
          <w:i/>
        </w:rPr>
        <w:t>shows</w:t>
      </w:r>
      <w:r>
        <w:rPr>
          <w:bCs/>
        </w:rPr>
        <w:t xml:space="preserve"> de artistas em comemoração aos vinte e cinco anos do Memorial; a 7ª edição do Festival Ibero-Americano de Teatro de São Paulo; a 9ª edição do Festival de Cinema Latino-Americano de São Paulo; a exposição em homenagem ao ator Roberto Bolaños, da série Chaves, exibida pelo SBT. Ocorreu a Feira de Cultura Popular Latino-Americana, evento de final de semana com entrada livre para a população, apresentando espetáculos teatrais, </w:t>
      </w:r>
      <w:r>
        <w:rPr>
          <w:bCs/>
          <w:i/>
        </w:rPr>
        <w:t>shows</w:t>
      </w:r>
      <w:r>
        <w:rPr>
          <w:bCs/>
        </w:rPr>
        <w:t xml:space="preserve"> musicais, comidas típicas, feira de livros, de artesanatos e ações direcionadas para o público infantil.</w:t>
      </w:r>
    </w:p>
    <w:p w:rsidR="003E6588" w:rsidRDefault="003E6588">
      <w:pPr>
        <w:ind w:firstLine="1134"/>
        <w:rPr>
          <w:bCs/>
        </w:rPr>
      </w:pPr>
    </w:p>
    <w:p w:rsidR="003E6588" w:rsidRDefault="003E6588">
      <w:pPr>
        <w:ind w:firstLine="1134"/>
        <w:jc w:val="both"/>
        <w:rPr>
          <w:bCs/>
        </w:rPr>
      </w:pPr>
      <w:r>
        <w:rPr>
          <w:b/>
          <w:bCs/>
        </w:rPr>
        <w:t xml:space="preserve">Centro Brasileiro de Estudos da América Latina - CBEAL - </w:t>
      </w:r>
      <w:r>
        <w:rPr>
          <w:bCs/>
        </w:rPr>
        <w:t xml:space="preserve">Destaques para o Curso de Extensão Universitária “Processos políticos na América Latina contemporânea - história, cultura </w:t>
      </w:r>
      <w:r>
        <w:rPr>
          <w:bCs/>
        </w:rPr>
        <w:lastRenderedPageBreak/>
        <w:t>política e democratização numa era de transformações globais” (Cátedra UNESCO Memorial); Programa Educativo do Memorial (atendimento a alunos e visitantes); Serviço de Referência da Biblioteca Latino-Americana (atendimento a consultas e pesquisas); Ciclo de Debates “Ditadura e ...” - quatro debates sobre temas marcantes do período do regime autoritário (comunicação, mídia, educação e cultura); “II Congresso Internacional de Educação Patrimonial - Jornada Pessoas-Cidades-Patrimônios”; “II COCAAL - Colóquio de Cinema e Arte na América Latina: Memória e Resistência”.</w:t>
      </w:r>
    </w:p>
    <w:p w:rsidR="003E6588" w:rsidRDefault="003E6588" w:rsidP="00181F69">
      <w:pPr>
        <w:ind w:firstLine="1134"/>
        <w:jc w:val="both"/>
        <w:rPr>
          <w:b/>
          <w:bCs/>
        </w:rPr>
      </w:pPr>
    </w:p>
    <w:p w:rsidR="003E6588" w:rsidRDefault="003E6588" w:rsidP="00A522F4">
      <w:pPr>
        <w:ind w:firstLine="1134"/>
        <w:jc w:val="both"/>
        <w:rPr>
          <w:bCs/>
        </w:rPr>
      </w:pPr>
      <w:r>
        <w:rPr>
          <w:bCs/>
        </w:rPr>
        <w:t>Total de eventos - 243</w:t>
      </w:r>
    </w:p>
    <w:p w:rsidR="003E6588" w:rsidRDefault="003E6588" w:rsidP="00A522F4">
      <w:pPr>
        <w:ind w:firstLine="1134"/>
        <w:jc w:val="both"/>
        <w:rPr>
          <w:bCs/>
        </w:rPr>
      </w:pPr>
    </w:p>
    <w:p w:rsidR="003E6588" w:rsidRDefault="003E6588" w:rsidP="00A522F4">
      <w:pPr>
        <w:ind w:firstLine="1134"/>
        <w:jc w:val="both"/>
        <w:rPr>
          <w:bCs/>
        </w:rPr>
      </w:pPr>
      <w:r>
        <w:rPr>
          <w:bCs/>
        </w:rPr>
        <w:t>Total de público -</w:t>
      </w:r>
      <w:r>
        <w:rPr>
          <w:b/>
          <w:bCs/>
        </w:rPr>
        <w:t xml:space="preserve"> </w:t>
      </w:r>
      <w:r>
        <w:rPr>
          <w:bCs/>
        </w:rPr>
        <w:t>396.931</w:t>
      </w:r>
    </w:p>
    <w:p w:rsidR="003E6588" w:rsidRDefault="003E6588" w:rsidP="00181F69">
      <w:pPr>
        <w:ind w:firstLine="1134"/>
        <w:jc w:val="both"/>
        <w:rPr>
          <w:b/>
          <w:bCs/>
        </w:rPr>
      </w:pPr>
    </w:p>
    <w:p w:rsidR="003E6588" w:rsidRDefault="003E6588">
      <w:pPr>
        <w:ind w:firstLine="1134"/>
        <w:jc w:val="both"/>
        <w:rPr>
          <w:bCs/>
        </w:rPr>
      </w:pPr>
      <w:r>
        <w:rPr>
          <w:b/>
        </w:rPr>
        <w:t xml:space="preserve">Fundação Padre Anchieta - </w:t>
      </w:r>
      <w:r>
        <w:rPr>
          <w:bCs/>
        </w:rPr>
        <w:t xml:space="preserve">A Fundação Padre Anchieta - Centro Paulista de Rádio e TV Educativas foi qualificada pelo Instituto inglês de pesquisas </w:t>
      </w:r>
      <w:r>
        <w:rPr>
          <w:bCs/>
          <w:i/>
        </w:rPr>
        <w:t>Populus</w:t>
      </w:r>
      <w:r>
        <w:rPr>
          <w:bCs/>
        </w:rPr>
        <w:t xml:space="preserve"> como o segundo canal de televisão com a melhor qualidade de programação do mundo, como a emissora que mais contribui para o desenvolvimento cultural e educacional da população brasileira. Alguns programas foram reformulados e produziram 1.200 conteúdos inéditos.</w:t>
      </w:r>
    </w:p>
    <w:p w:rsidR="003E6588" w:rsidRDefault="003E6588">
      <w:pPr>
        <w:ind w:firstLine="1134"/>
        <w:jc w:val="both"/>
        <w:rPr>
          <w:bCs/>
          <w:strike/>
        </w:rPr>
      </w:pPr>
    </w:p>
    <w:p w:rsidR="003E6588" w:rsidRDefault="003E6588">
      <w:pPr>
        <w:ind w:firstLine="1134"/>
        <w:jc w:val="both"/>
        <w:rPr>
          <w:bCs/>
        </w:rPr>
      </w:pPr>
      <w:r>
        <w:rPr>
          <w:bCs/>
        </w:rPr>
        <w:t>O canal TV Rá Tim Bum! comemorou 10 anos no ar. Dedicado à programação infantil, ampliou o número de assinantes para 12,2 milhões. O canal digital 2.2 da multiprogramação da TV Cultura UNIVESP TV promoveu a exibição de conteúdos específicos, com o objetivo de apoiar o aprendizado dos alunos de cursos regulares de graduação e pós-graduação.</w:t>
      </w:r>
    </w:p>
    <w:p w:rsidR="003E6588" w:rsidRDefault="003E6588">
      <w:pPr>
        <w:ind w:firstLine="1134"/>
        <w:jc w:val="both"/>
        <w:rPr>
          <w:bCs/>
        </w:rPr>
      </w:pPr>
    </w:p>
    <w:p w:rsidR="003E6588" w:rsidRDefault="003E6588">
      <w:pPr>
        <w:ind w:firstLine="1134"/>
        <w:jc w:val="both"/>
        <w:rPr>
          <w:bCs/>
        </w:rPr>
      </w:pPr>
      <w:r>
        <w:rPr>
          <w:bCs/>
        </w:rPr>
        <w:t>A grande investida foi o lançamento do canal Multicultura Educativo MCE, dirigido ao apoio a professores, pais e alunos do ensino fundamental, uma proposta inovadora que busca contribuir para a melhoria da educação básica no País. Esta ação se deu por meio de acordo de cooperação firmado entre Fundação Roberto Marinho, Organização Globo e Fundação Padre Anchieta.</w:t>
      </w:r>
    </w:p>
    <w:p w:rsidR="003E6588" w:rsidRDefault="003E6588">
      <w:pPr>
        <w:ind w:firstLine="1134"/>
        <w:jc w:val="both"/>
        <w:rPr>
          <w:bCs/>
        </w:rPr>
      </w:pPr>
    </w:p>
    <w:p w:rsidR="003E6588" w:rsidRDefault="003E6588">
      <w:pPr>
        <w:ind w:firstLine="1134"/>
        <w:jc w:val="both"/>
        <w:rPr>
          <w:bCs/>
        </w:rPr>
      </w:pPr>
      <w:r>
        <w:rPr>
          <w:bCs/>
        </w:rPr>
        <w:t>O Núcleo de Educação da TV Cultura atendeu projetos ligados às Secretarias estaduais, destacamos a continuidade do programa Melhor Gestão, Melhor Ensino, voltado para a formação de gestores e professores do ensino fundamental, e o Núcleo de Vídeo, responsável pelo registro audiovisual dos projetos pedagógicos da Secretaria da Educação na produção de seus vídeos, e o Banco do Povo Paulista (SERT), na produção de vídeos no formato documentário da cartilha da Escola do Empreendedor.</w:t>
      </w:r>
    </w:p>
    <w:p w:rsidR="003E6588" w:rsidRDefault="003E6588">
      <w:pPr>
        <w:ind w:firstLine="1134"/>
        <w:jc w:val="both"/>
        <w:rPr>
          <w:bCs/>
        </w:rPr>
      </w:pPr>
    </w:p>
    <w:p w:rsidR="003E6588" w:rsidRDefault="003E6588">
      <w:pPr>
        <w:ind w:firstLine="1134"/>
        <w:jc w:val="both"/>
        <w:rPr>
          <w:bCs/>
        </w:rPr>
      </w:pPr>
      <w:r>
        <w:rPr>
          <w:bCs/>
        </w:rPr>
        <w:t>A rede da TV Cultura estabeleceu parcerias com emissoras de TV regionais para retransmissão não onerosa de sua programação, proporcionando a ampliação do alcance da emissora de para 80 afiliadas. Com isso, estendeu sua cobertura e marca presença hoje em 20 estados brasileiros, somando 1.622 municípios que recebem o sinal.</w:t>
      </w:r>
    </w:p>
    <w:p w:rsidR="003E6588" w:rsidRDefault="003E6588">
      <w:pPr>
        <w:ind w:firstLine="1134"/>
        <w:jc w:val="both"/>
        <w:rPr>
          <w:bCs/>
        </w:rPr>
      </w:pPr>
    </w:p>
    <w:p w:rsidR="003E6588" w:rsidRDefault="003E6588">
      <w:pPr>
        <w:ind w:firstLine="1134"/>
        <w:jc w:val="both"/>
        <w:rPr>
          <w:bCs/>
        </w:rPr>
      </w:pPr>
      <w:r>
        <w:rPr>
          <w:bCs/>
        </w:rPr>
        <w:t xml:space="preserve">O programa “Quintal da Cultura” foi contemplado com o Prêmio da APCA 2014 na categoria Infantil; e a série “Um Pouquinho de Brasil”, da Rádio Cultura FM, também foi contemplada com o Prêmio da APCA na categoria Destaque do Ano. A série “Pedro e Bianca” foi vencedora dos </w:t>
      </w:r>
      <w:r>
        <w:rPr>
          <w:bCs/>
        </w:rPr>
        <w:lastRenderedPageBreak/>
        <w:t xml:space="preserve">Prêmios </w:t>
      </w:r>
      <w:r>
        <w:rPr>
          <w:bCs/>
          <w:i/>
        </w:rPr>
        <w:t>International Emmy Kids</w:t>
      </w:r>
      <w:r>
        <w:rPr>
          <w:bCs/>
        </w:rPr>
        <w:t xml:space="preserve"> na categoria melhor série de TV, e </w:t>
      </w:r>
      <w:r>
        <w:rPr>
          <w:bCs/>
          <w:i/>
        </w:rPr>
        <w:t>Prix Jeunesse International</w:t>
      </w:r>
      <w:r>
        <w:rPr>
          <w:bCs/>
        </w:rPr>
        <w:t xml:space="preserve"> na categoria ficção e não-ficção para adolescentes de 12 a 15 anos.</w:t>
      </w:r>
    </w:p>
    <w:p w:rsidR="003E6588" w:rsidRDefault="003E6588">
      <w:pPr>
        <w:rPr>
          <w:b/>
          <w:bCs/>
        </w:rPr>
      </w:pPr>
      <w:r>
        <w:br w:type="page"/>
      </w:r>
      <w:r>
        <w:rPr>
          <w:b/>
        </w:rPr>
        <w:lastRenderedPageBreak/>
        <w:t>SECRETARIA DE DESENVOLVIMENTO ECONÔMICO, CIÊNCIA, TECNOLOGIA E INOVAÇÃO</w:t>
      </w:r>
    </w:p>
    <w:p w:rsidR="003E6588" w:rsidRDefault="003E6588"/>
    <w:p w:rsidR="003E6588" w:rsidRDefault="003E6588"/>
    <w:p w:rsidR="003E6588" w:rsidRDefault="003E6588">
      <w:pPr>
        <w:pStyle w:val="PargrafodaLista"/>
        <w:ind w:left="0" w:firstLine="1134"/>
        <w:contextualSpacing w:val="0"/>
        <w:rPr>
          <w:rFonts w:ascii="Times New Roman" w:hAnsi="Times New Roman"/>
          <w:sz w:val="24"/>
          <w:szCs w:val="24"/>
        </w:rPr>
      </w:pPr>
      <w:r>
        <w:rPr>
          <w:rFonts w:ascii="Times New Roman" w:hAnsi="Times New Roman"/>
          <w:sz w:val="24"/>
          <w:szCs w:val="24"/>
        </w:rPr>
        <w:t>A Secretaria de Desenvolvimento, Econômico, Ciência, Tecnologia e Inovação desenvolveu ações que contemplam todas as áreas relacionadas ao desenvolvimento, como formação de recursos humanos qualificados, apoio tecnológico, articulação junto a empresas e outros órgãos públicos. Por meio de ações estratégicas coordenadas, a Secretaria lançou as bases de um melhor e mais abrangente desenvolvimento sustentável do Estado.</w:t>
      </w:r>
    </w:p>
    <w:p w:rsidR="003E6588" w:rsidRDefault="003E6588">
      <w:pPr>
        <w:ind w:firstLine="1134"/>
        <w:jc w:val="both"/>
        <w:rPr>
          <w:b/>
          <w:strike/>
          <w:u w:val="single"/>
        </w:rPr>
      </w:pPr>
    </w:p>
    <w:p w:rsidR="003E6588" w:rsidRDefault="003E6588">
      <w:pPr>
        <w:ind w:firstLine="1134"/>
        <w:jc w:val="both"/>
        <w:rPr>
          <w:b/>
        </w:rPr>
      </w:pPr>
      <w:r>
        <w:rPr>
          <w:b/>
        </w:rPr>
        <w:t>Subsecretaria de Ciência, Tecnologia e Inovação</w:t>
      </w:r>
    </w:p>
    <w:p w:rsidR="003E6588" w:rsidRDefault="003E6588">
      <w:pPr>
        <w:ind w:firstLine="1134"/>
        <w:jc w:val="both"/>
        <w:rPr>
          <w:b/>
        </w:rPr>
      </w:pPr>
    </w:p>
    <w:p w:rsidR="003E6588" w:rsidRDefault="003E6588">
      <w:pPr>
        <w:ind w:firstLine="1134"/>
        <w:jc w:val="both"/>
      </w:pPr>
      <w:r>
        <w:rPr>
          <w:b/>
        </w:rPr>
        <w:t>Sistema Paulista de Parques Tecnológicos</w:t>
      </w:r>
      <w:r w:rsidR="00A522F4">
        <w:rPr>
          <w:b/>
        </w:rPr>
        <w:t xml:space="preserve"> </w:t>
      </w:r>
      <w:r>
        <w:rPr>
          <w:b/>
        </w:rPr>
        <w:t>- SPTec -</w:t>
      </w:r>
      <w:r>
        <w:t xml:space="preserve"> Oferece suporte para implantação de parques tecnológicos, com o objetivo de atrair investimentos e gerar novas empresas intensivas em conhecimento ou de base tecnológica. Foram formalizados 1 convênio (Parque de Tecnológico de Botucatu), 5 contratos (Parque Tecnológico do Estado de São Paulo) e 2 aditamentos de contrato (Parque Tecnológico do Estado de São Paulo), totalizando R$ 10.076.437,08.</w:t>
      </w:r>
    </w:p>
    <w:p w:rsidR="003E6588" w:rsidRDefault="003E6588">
      <w:pPr>
        <w:ind w:firstLine="1134"/>
        <w:jc w:val="both"/>
        <w:rPr>
          <w:b/>
        </w:rPr>
      </w:pPr>
    </w:p>
    <w:p w:rsidR="003E6588" w:rsidRDefault="003E6588">
      <w:pPr>
        <w:ind w:firstLine="1134"/>
        <w:jc w:val="both"/>
      </w:pPr>
      <w:r>
        <w:rPr>
          <w:b/>
        </w:rPr>
        <w:t>Parque Tecnológico de Botucatu -</w:t>
      </w:r>
      <w:r>
        <w:t xml:space="preserve"> Aquisição de móveis e equipamentos para prédio administrativo - assinado em 3/10/2014 - Valor - R$ 863.977,21.</w:t>
      </w:r>
    </w:p>
    <w:p w:rsidR="003E6588" w:rsidRDefault="003E6588">
      <w:pPr>
        <w:ind w:firstLine="1134"/>
        <w:jc w:val="both"/>
        <w:rPr>
          <w:b/>
        </w:rPr>
      </w:pPr>
    </w:p>
    <w:p w:rsidR="003E6588" w:rsidRDefault="003E6588">
      <w:pPr>
        <w:ind w:firstLine="1134"/>
        <w:jc w:val="both"/>
      </w:pPr>
      <w:r>
        <w:rPr>
          <w:b/>
        </w:rPr>
        <w:t>Parque Tecnológico do Estado de São Paulo -</w:t>
      </w:r>
      <w:r>
        <w:t xml:space="preserve"> Contratação da empresa de vigilância e segurança patrimonial do núcleo do parque - Valor - R$ 748.435,76.</w:t>
      </w:r>
    </w:p>
    <w:p w:rsidR="003E6588" w:rsidRDefault="003E6588">
      <w:pPr>
        <w:ind w:firstLine="1134"/>
        <w:jc w:val="both"/>
        <w:rPr>
          <w:b/>
        </w:rPr>
      </w:pPr>
    </w:p>
    <w:p w:rsidR="003E6588" w:rsidRDefault="003E6588">
      <w:pPr>
        <w:ind w:firstLine="1134"/>
        <w:jc w:val="both"/>
      </w:pPr>
      <w:r>
        <w:rPr>
          <w:b/>
        </w:rPr>
        <w:t>Parque Tecnológico do Estado de São Paulo -</w:t>
      </w:r>
      <w:r>
        <w:t xml:space="preserve"> Contratação de empresa para projeto e implantação do sistema de tecnologia da informação e comunicação para núcleo do parque - Valor - R$ 1.400.000,00.</w:t>
      </w:r>
    </w:p>
    <w:p w:rsidR="003E6588" w:rsidRDefault="003E6588">
      <w:pPr>
        <w:ind w:firstLine="1134"/>
        <w:jc w:val="both"/>
        <w:rPr>
          <w:b/>
        </w:rPr>
      </w:pPr>
    </w:p>
    <w:p w:rsidR="003E6588" w:rsidRDefault="003E6588">
      <w:pPr>
        <w:ind w:firstLine="1134"/>
        <w:jc w:val="both"/>
      </w:pPr>
      <w:r>
        <w:rPr>
          <w:b/>
        </w:rPr>
        <w:t>Parque Tecnológico do Estado de São Paulo -</w:t>
      </w:r>
      <w:r>
        <w:t xml:space="preserve"> Contratação de empresa para realização do projeto de paisagismo e estacionamento do núcleo - Valor - R$ 5.407.577,04.</w:t>
      </w:r>
    </w:p>
    <w:p w:rsidR="003E6588" w:rsidRDefault="003E6588">
      <w:pPr>
        <w:ind w:firstLine="1134"/>
        <w:jc w:val="both"/>
        <w:rPr>
          <w:b/>
        </w:rPr>
      </w:pPr>
    </w:p>
    <w:p w:rsidR="003E6588" w:rsidRDefault="003E6588">
      <w:pPr>
        <w:ind w:firstLine="1134"/>
        <w:jc w:val="both"/>
      </w:pPr>
      <w:r>
        <w:rPr>
          <w:b/>
        </w:rPr>
        <w:t>Parque Tecnológico do Estado de São Paulo -</w:t>
      </w:r>
      <w:r>
        <w:t xml:space="preserve"> Contratação da empresa de limpeza, jardinagem e saneamento do núcleo - Valor - R$ 79.685,34.</w:t>
      </w:r>
    </w:p>
    <w:p w:rsidR="003E6588" w:rsidRDefault="003E6588">
      <w:pPr>
        <w:ind w:firstLine="1134"/>
        <w:jc w:val="both"/>
        <w:rPr>
          <w:b/>
        </w:rPr>
      </w:pPr>
    </w:p>
    <w:p w:rsidR="003E6588" w:rsidRDefault="003E6588">
      <w:pPr>
        <w:ind w:firstLine="1134"/>
        <w:jc w:val="both"/>
      </w:pPr>
      <w:r>
        <w:rPr>
          <w:b/>
        </w:rPr>
        <w:t>Parque Tecnológico do Estado de São Paulo -</w:t>
      </w:r>
      <w:r>
        <w:t xml:space="preserve"> Contratação de empresa para aquisição de gerador para núcleo - Valor - R$ 236.000,00.</w:t>
      </w:r>
    </w:p>
    <w:p w:rsidR="003E6588" w:rsidRDefault="003E6588">
      <w:pPr>
        <w:ind w:firstLine="1134"/>
        <w:jc w:val="both"/>
        <w:rPr>
          <w:b/>
        </w:rPr>
      </w:pPr>
    </w:p>
    <w:p w:rsidR="003E6588" w:rsidRDefault="003E6588">
      <w:pPr>
        <w:ind w:firstLine="1134"/>
        <w:jc w:val="both"/>
      </w:pPr>
      <w:r>
        <w:rPr>
          <w:b/>
        </w:rPr>
        <w:t>Parque Tecnológico do Estado de São Paulo -</w:t>
      </w:r>
      <w:r>
        <w:t xml:space="preserve"> Aditamento de prazo e recursos de contrato celebrado para projeto e implantação do sistema de tecnologia da informação e comunicação do núcleo do parque - Valor - R$ 1.205.791,58.</w:t>
      </w:r>
    </w:p>
    <w:p w:rsidR="003E6588" w:rsidRDefault="003E6588">
      <w:pPr>
        <w:ind w:firstLine="1134"/>
        <w:jc w:val="both"/>
        <w:rPr>
          <w:b/>
        </w:rPr>
      </w:pPr>
    </w:p>
    <w:p w:rsidR="003E6588" w:rsidRDefault="003E6588">
      <w:pPr>
        <w:ind w:firstLine="1134"/>
        <w:jc w:val="both"/>
      </w:pPr>
      <w:r>
        <w:rPr>
          <w:b/>
        </w:rPr>
        <w:t>Parque Tecnológico do Estado de São Paulo -</w:t>
      </w:r>
      <w:r>
        <w:t xml:space="preserve"> Aditamento de prazo e recursos do contrato celebrado para aquisição de móveis para núcleo do parque - Valor - R$ 134.970,15.</w:t>
      </w:r>
    </w:p>
    <w:p w:rsidR="003E6588" w:rsidRDefault="003E6588">
      <w:pPr>
        <w:ind w:firstLine="1134"/>
        <w:jc w:val="both"/>
      </w:pPr>
      <w:r>
        <w:rPr>
          <w:b/>
        </w:rPr>
        <w:lastRenderedPageBreak/>
        <w:t>Centros de Inovação -</w:t>
      </w:r>
      <w:r>
        <w:t xml:space="preserve"> São destinados aos municípios que gostariam de implantar parques tecnológicos, mas não possuem condições necessárias para instalação. Foram formalizados 2 convênios: com a Prefeitura Municipal do Guarujá e com a Prefeitura Municipal de Indaiatuba, totalizando R$ 349.880,11.</w:t>
      </w:r>
    </w:p>
    <w:p w:rsidR="003E6588" w:rsidRDefault="003E6588">
      <w:pPr>
        <w:ind w:firstLine="1134"/>
        <w:jc w:val="both"/>
        <w:rPr>
          <w:b/>
        </w:rPr>
      </w:pPr>
    </w:p>
    <w:p w:rsidR="003E6588" w:rsidRDefault="003E6588">
      <w:pPr>
        <w:ind w:firstLine="1134"/>
        <w:jc w:val="both"/>
      </w:pPr>
      <w:r>
        <w:rPr>
          <w:b/>
        </w:rPr>
        <w:t>Prefeitura Municipal do Guarujá -</w:t>
      </w:r>
      <w:r>
        <w:t xml:space="preserve"> Elaboração do Estudo de Viabilidade Econômica e Financeira e do Plano de Negócios do Centro de Inovação Tecnológica - Valor - R$ 150.000,00.</w:t>
      </w:r>
    </w:p>
    <w:p w:rsidR="003E6588" w:rsidRDefault="003E6588">
      <w:pPr>
        <w:ind w:firstLine="1134"/>
        <w:jc w:val="both"/>
        <w:rPr>
          <w:b/>
        </w:rPr>
      </w:pPr>
    </w:p>
    <w:p w:rsidR="003E6588" w:rsidRDefault="003E6588">
      <w:pPr>
        <w:ind w:firstLine="1134"/>
        <w:jc w:val="both"/>
      </w:pPr>
      <w:r>
        <w:rPr>
          <w:b/>
        </w:rPr>
        <w:t>Prefeitura Municipal de Indaiatuba -</w:t>
      </w:r>
      <w:r>
        <w:t xml:space="preserve"> Elaboração do Estudo de Viabilidade Técnica, Econômica e Financeira para instalação do Centro de Inovação Tecnológica - Valor - R$ 199.880,11.</w:t>
      </w:r>
    </w:p>
    <w:p w:rsidR="003E6588" w:rsidRDefault="003E6588">
      <w:pPr>
        <w:ind w:firstLine="1134"/>
        <w:jc w:val="both"/>
      </w:pPr>
    </w:p>
    <w:p w:rsidR="003E6588" w:rsidRDefault="003E6588">
      <w:pPr>
        <w:ind w:firstLine="1134"/>
        <w:jc w:val="both"/>
      </w:pPr>
      <w:r>
        <w:rPr>
          <w:b/>
        </w:rPr>
        <w:t>Programa Unidade Móvel - Prumo -</w:t>
      </w:r>
      <w:r>
        <w:t xml:space="preserve"> Atendimento com duração de 2 a 3 dias, voltado às micro e pequenas empresas, com a ida de técnicos à empresa acompanhados de unidade móvel dotada de laboratório de análises; contempla os setores de tratamento de superfície, plástico, couro e calçados, madeira e móveis, borracha, cerâmica, têxtil e confecções; foram concluídos 70 atendimentos; em andamento 5.</w:t>
      </w:r>
    </w:p>
    <w:p w:rsidR="003E6588" w:rsidRDefault="003E6588">
      <w:pPr>
        <w:ind w:firstLine="1134"/>
        <w:jc w:val="both"/>
        <w:rPr>
          <w:b/>
        </w:rPr>
      </w:pPr>
    </w:p>
    <w:p w:rsidR="003E6588" w:rsidRDefault="003E6588">
      <w:pPr>
        <w:ind w:firstLine="1134"/>
        <w:jc w:val="both"/>
      </w:pPr>
      <w:r>
        <w:rPr>
          <w:b/>
        </w:rPr>
        <w:t>Programa de Apoio Tecnológico à Exportação - Progex -</w:t>
      </w:r>
      <w:r>
        <w:t xml:space="preserve"> Atendimento com duração de 4 a 6 meses; voltado à empresa que quer exportar e necessita adequar produtos para mercados externos; a ação é realizada por meio de estudos de viabilidade técnica e econômica, além de adequações tecnológicas que podem ser direcionadas à qualidade do produto, do processo produtivo, do </w:t>
      </w:r>
      <w:r>
        <w:rPr>
          <w:i/>
        </w:rPr>
        <w:t>design</w:t>
      </w:r>
      <w:r>
        <w:t>, dos custos, da embalagem ou à superação de barreiras técnicas para obtenção de certificados ou selos de qualidade; foram concluídos 6 atendimentos; em andamento 4.</w:t>
      </w:r>
    </w:p>
    <w:p w:rsidR="003E6588" w:rsidRDefault="003E6588">
      <w:pPr>
        <w:ind w:firstLine="1134"/>
        <w:jc w:val="both"/>
        <w:rPr>
          <w:b/>
        </w:rPr>
      </w:pPr>
    </w:p>
    <w:p w:rsidR="003E6588" w:rsidRDefault="003E6588">
      <w:pPr>
        <w:ind w:firstLine="1134"/>
        <w:jc w:val="both"/>
      </w:pPr>
      <w:r>
        <w:rPr>
          <w:b/>
        </w:rPr>
        <w:t>Gestão de Produção - Gespro -</w:t>
      </w:r>
      <w:r>
        <w:t xml:space="preserve"> Atendimento com duração de 4 a 5 meses, voltado às empresas que querem resolver problemas de gestão da produção como controle do estoque, inconformidade na linha de produção, re-fabricação, devolução de peças, </w:t>
      </w:r>
      <w:r>
        <w:rPr>
          <w:i/>
        </w:rPr>
        <w:t>layout</w:t>
      </w:r>
      <w:r>
        <w:t xml:space="preserve"> dos equipamentos; foram concluídos 16 atendimentos; em andamento 9.</w:t>
      </w:r>
    </w:p>
    <w:p w:rsidR="003E6588" w:rsidRDefault="003E6588">
      <w:pPr>
        <w:ind w:firstLine="1134"/>
        <w:jc w:val="both"/>
        <w:rPr>
          <w:b/>
        </w:rPr>
      </w:pPr>
    </w:p>
    <w:p w:rsidR="003E6588" w:rsidRDefault="003E6588">
      <w:pPr>
        <w:ind w:firstLine="1134"/>
        <w:jc w:val="both"/>
      </w:pPr>
      <w:r>
        <w:rPr>
          <w:b/>
        </w:rPr>
        <w:t>Qualificação para o mercado interno - Qualimint -</w:t>
      </w:r>
      <w:r>
        <w:t xml:space="preserve"> Atendimento que corresponde a adequação, aperfeiçoamento ou qualificação de produtos para o mercado interno, tendo em vista a necessidade de requisitos técnicos ou legais exigidos, demandados ou especificados no mercado nacional por instituições normativas ou por grandes empresas; foram concluídos 20 atendimentos; em andamento 34.</w:t>
      </w:r>
    </w:p>
    <w:p w:rsidR="003E6588" w:rsidRDefault="003E6588">
      <w:pPr>
        <w:ind w:firstLine="1134"/>
        <w:jc w:val="both"/>
        <w:rPr>
          <w:b/>
        </w:rPr>
      </w:pPr>
    </w:p>
    <w:p w:rsidR="003E6588" w:rsidRDefault="003E6588">
      <w:pPr>
        <w:ind w:firstLine="1134"/>
        <w:jc w:val="both"/>
      </w:pPr>
      <w:r>
        <w:rPr>
          <w:b/>
        </w:rPr>
        <w:t>Produção mais limpa - Prolimp -</w:t>
      </w:r>
      <w:r>
        <w:t xml:space="preserve"> Atendimento prestado a empresas voltadas às questões ambientais, que querem adotar tecnologias mais limpas para reduzir ou eliminar emissões, rejeitos de produção, consumo de água ou de energia e destinar corretamente os resíduos, além de preocupar-se com ciclo de vida dos produtos; foram concluídos 2 atendimentos.</w:t>
      </w:r>
    </w:p>
    <w:p w:rsidR="003E6588" w:rsidRDefault="003E6588">
      <w:pPr>
        <w:ind w:firstLine="1134"/>
        <w:jc w:val="both"/>
        <w:rPr>
          <w:b/>
        </w:rPr>
      </w:pPr>
    </w:p>
    <w:p w:rsidR="003E6588" w:rsidRDefault="003E6588">
      <w:pPr>
        <w:ind w:firstLine="1134"/>
        <w:jc w:val="both"/>
      </w:pPr>
      <w:r>
        <w:rPr>
          <w:b/>
        </w:rPr>
        <w:t>Rede Paulistas de Incubadoras de Base Tecnológica - RPITEC -</w:t>
      </w:r>
      <w:r>
        <w:t xml:space="preserve"> Foram realizados credenciamento das Incubadora Tecnológica de Guarulhos e Incubadora Tecnológica de Bebedouro. As incubadoras de Sorocaba (Intes), Botucatu (Prospecta), de Ribeirão Preto (Fipase), de Presidente </w:t>
      </w:r>
      <w:r>
        <w:lastRenderedPageBreak/>
        <w:t xml:space="preserve">Prudente (Intepp), de São José dos Campos (Cecompi) e de São Paulo (Cietec) obtiveram credenciamento provisório e deverão solicitar o credenciamento definitivo. Solicitaram credenciamento, mas estão em exame, a incubadora Incamp da Unicamp, incubadoras Cinet, </w:t>
      </w:r>
      <w:r w:rsidRPr="00A522F4">
        <w:rPr>
          <w:i/>
        </w:rPr>
        <w:t>Softnet</w:t>
      </w:r>
      <w:r>
        <w:t xml:space="preserve"> e </w:t>
      </w:r>
      <w:r w:rsidRPr="00A522F4">
        <w:rPr>
          <w:i/>
        </w:rPr>
        <w:t>Design Inn</w:t>
      </w:r>
      <w:r>
        <w:t xml:space="preserve"> do Parqtec de São Carlos e Incubadora de Empresas de Piracicaba.</w:t>
      </w:r>
    </w:p>
    <w:p w:rsidR="003E6588" w:rsidRDefault="003E6588">
      <w:pPr>
        <w:ind w:firstLine="1134"/>
        <w:jc w:val="both"/>
        <w:rPr>
          <w:b/>
        </w:rPr>
      </w:pPr>
    </w:p>
    <w:p w:rsidR="003E6588" w:rsidRDefault="003E6588">
      <w:pPr>
        <w:ind w:firstLine="1134"/>
        <w:jc w:val="both"/>
      </w:pPr>
      <w:r>
        <w:rPr>
          <w:b/>
        </w:rPr>
        <w:t>Convênio com a Incubadora Tecnológica de Presidente Prudente - Intepp -</w:t>
      </w:r>
      <w:r>
        <w:t xml:space="preserve"> Convênio para melhoria da infraestrutura (Programa Incubadora de Empresas de Base Tecnológica); área passou de 85 m² para 502 m²; comprados novos móveis e equipamentos.</w:t>
      </w:r>
    </w:p>
    <w:p w:rsidR="003E6588" w:rsidRDefault="003E6588">
      <w:pPr>
        <w:ind w:firstLine="1134"/>
        <w:jc w:val="both"/>
        <w:rPr>
          <w:b/>
        </w:rPr>
      </w:pPr>
    </w:p>
    <w:p w:rsidR="003E6588" w:rsidRDefault="003E6588">
      <w:pPr>
        <w:ind w:firstLine="1134"/>
        <w:jc w:val="both"/>
      </w:pPr>
      <w:r>
        <w:rPr>
          <w:b/>
        </w:rPr>
        <w:t>Tecnologia Sustentável para Indústria Paulista -</w:t>
      </w:r>
      <w:r>
        <w:t xml:space="preserve"> No contexto da Política Estadual de Mudanças Climáticas - PEMC, a Secretaria deu continuidade ao trabalho em desenvolvimento sobre o comportamento futuro do agregado da indústria paulista, envolvendo ramos industriais que comportam empresas de maior porte e aqueles intensivos em energia e que são basicamente indústrias de siderurgia, cimento, petróleo e gás, alumínio, química e papel e celulose.</w:t>
      </w:r>
    </w:p>
    <w:p w:rsidR="003E6588" w:rsidRDefault="003E6588">
      <w:pPr>
        <w:ind w:firstLine="1134"/>
        <w:jc w:val="both"/>
      </w:pPr>
    </w:p>
    <w:p w:rsidR="003E6588" w:rsidRDefault="003E6588">
      <w:pPr>
        <w:ind w:firstLine="1134"/>
        <w:jc w:val="both"/>
      </w:pPr>
      <w:r>
        <w:rPr>
          <w:b/>
        </w:rPr>
        <w:t>Projeto Planta Piloto de Gaseificação de Biomassa -</w:t>
      </w:r>
      <w:r>
        <w:t xml:space="preserve"> Convênio realizado com IPT, no valor de R$ 5.000.000,00, destinado a dar continuidade a projeto de levantamentos já iniciados e que configuram atualmente projeto conceitual; devido a mudanças ocorridas no cenário mundial, sua metodologia deverá ser revista, estendendo-se também seu prazo inicial que era de 48 meses.</w:t>
      </w:r>
    </w:p>
    <w:p w:rsidR="003E6588" w:rsidRDefault="003E6588">
      <w:pPr>
        <w:ind w:firstLine="1134"/>
        <w:jc w:val="both"/>
        <w:rPr>
          <w:b/>
        </w:rPr>
      </w:pPr>
    </w:p>
    <w:p w:rsidR="003E6588" w:rsidRDefault="003E6588">
      <w:pPr>
        <w:ind w:firstLine="1134"/>
        <w:jc w:val="both"/>
      </w:pPr>
      <w:r>
        <w:rPr>
          <w:b/>
        </w:rPr>
        <w:t>Proposta de decreto de utilidade pública de terreno em Iperó -</w:t>
      </w:r>
      <w:r>
        <w:t xml:space="preserve"> Publicado Decreto de Declaração de Utilidade Pública de terreno com 840.438,24 m², localizado na estrada municipal Sorocaba-Iperó, voltado à instalação do Reator Multipropósito Brasileiro - RMB; terrenos avaliados em R$ 5.250.000,00 pela Companhia Paulista de Obras e Serviços - CPOS.</w:t>
      </w:r>
    </w:p>
    <w:p w:rsidR="003E6588" w:rsidRDefault="003E6588">
      <w:pPr>
        <w:ind w:firstLine="1134"/>
        <w:jc w:val="both"/>
        <w:rPr>
          <w:b/>
        </w:rPr>
      </w:pPr>
    </w:p>
    <w:p w:rsidR="003E6588" w:rsidRDefault="003E6588">
      <w:pPr>
        <w:ind w:firstLine="1134"/>
        <w:jc w:val="both"/>
      </w:pPr>
      <w:r>
        <w:rPr>
          <w:b/>
        </w:rPr>
        <w:t>Contratação da CPOS -</w:t>
      </w:r>
      <w:r>
        <w:t xml:space="preserve"> Trabalho de engenharia especializada para avaliação de terrenos em Iperó, que serão utilizados para instalação do RMB - Valor - R$ 235.752,66.</w:t>
      </w:r>
    </w:p>
    <w:p w:rsidR="003E6588" w:rsidRDefault="003E6588">
      <w:pPr>
        <w:ind w:firstLine="1134"/>
        <w:jc w:val="both"/>
        <w:rPr>
          <w:b/>
        </w:rPr>
      </w:pPr>
    </w:p>
    <w:p w:rsidR="003E6588" w:rsidRDefault="003E6588">
      <w:pPr>
        <w:ind w:firstLine="1134"/>
        <w:jc w:val="both"/>
      </w:pPr>
      <w:r>
        <w:rPr>
          <w:b/>
        </w:rPr>
        <w:t>Desapropriação de terreno em Campinas, a ser destinado a nova Fonte de Luz Sincroton -</w:t>
      </w:r>
      <w:r>
        <w:t xml:space="preserve"> Foi lavrada escritura pública de desapropriação amigável de área com 150.014,88 m², desapropriada pelo Estado ao Banco Santander do Brasil, pelo valor de R$ 23.400.000,00, em Campinas. Deverá ser cedida ao Centro Nacional de Pesquisa em Energia e Materiais - CNPEM, nova denominação da Associação Brasileira de Tecnologia de Luz Síncroton - ABTLuS, Organização Social do Ministério da Ciência, Tecnologia e Inovação, que instalará ali nova fonte de Luz Síncroton, dita de 3ª geração.</w:t>
      </w:r>
    </w:p>
    <w:p w:rsidR="003E6588" w:rsidRDefault="003E6588">
      <w:pPr>
        <w:ind w:firstLine="1134"/>
        <w:jc w:val="both"/>
        <w:rPr>
          <w:b/>
        </w:rPr>
      </w:pPr>
    </w:p>
    <w:p w:rsidR="003E6588" w:rsidRDefault="003E6588">
      <w:pPr>
        <w:ind w:firstLine="1134"/>
        <w:jc w:val="both"/>
      </w:pPr>
      <w:r>
        <w:rPr>
          <w:b/>
        </w:rPr>
        <w:t>Programa Tecnológico de Apoio aos Municípios - Patem -</w:t>
      </w:r>
      <w:r>
        <w:t xml:space="preserve"> Ação presta atendimento aos municípios em suas necessidades técnicas locais de situações emergenciais que não possam ser solucionadas pela capacidade funcional e financeira própria. Destina-se principalmente aos pequenos e médios municípios; estão em andamento, mediante convênios, 17 atendimentos, beneficiando 17 municípios; valor total de investimento é de R$ 4,1 milhões; o Patem atua com o auxílio técnico do IPT.</w:t>
      </w:r>
    </w:p>
    <w:p w:rsidR="003E6588" w:rsidRDefault="003E6588">
      <w:pPr>
        <w:ind w:firstLine="1134"/>
        <w:jc w:val="both"/>
        <w:rPr>
          <w:b/>
        </w:rPr>
      </w:pPr>
    </w:p>
    <w:p w:rsidR="003E6588" w:rsidRDefault="003E6588">
      <w:pPr>
        <w:ind w:firstLine="1134"/>
        <w:jc w:val="both"/>
      </w:pPr>
      <w:r>
        <w:rPr>
          <w:b/>
        </w:rPr>
        <w:lastRenderedPageBreak/>
        <w:t>Renovação do convênio da Secretaria com a Prefeitura Municipal de São Carlos, objetivando a execução do Projeto Incubadora Cedin -</w:t>
      </w:r>
      <w:r>
        <w:t xml:space="preserve"> Permite uso do Centro de Desenvolvimento de Indústrias Nascentes - Cedin, próprio da Pasta e cedido à Prefeitura Municipal de São Carlos, por meio de termo de permissão de uso, para desenvolvimento de incubadora de empresas no local; convênio está sendo renovado por mais cinco anos; não envolve repasse de recursos por parte do Estado.</w:t>
      </w:r>
    </w:p>
    <w:p w:rsidR="003E6588" w:rsidRDefault="003E6588">
      <w:pPr>
        <w:ind w:firstLine="1134"/>
        <w:jc w:val="both"/>
      </w:pPr>
    </w:p>
    <w:p w:rsidR="003E6588" w:rsidRDefault="003E6588">
      <w:pPr>
        <w:ind w:firstLine="1134"/>
        <w:jc w:val="both"/>
      </w:pPr>
      <w:r w:rsidRPr="006D387F">
        <w:t>Outros contratos, convênios e serviços efetuados, totalizando</w:t>
      </w:r>
      <w:r>
        <w:rPr>
          <w:b/>
        </w:rPr>
        <w:t xml:space="preserve"> - </w:t>
      </w:r>
      <w:r>
        <w:t>R$ 680.955,79:</w:t>
      </w:r>
    </w:p>
    <w:p w:rsidR="003E6588" w:rsidRDefault="003E6588">
      <w:pPr>
        <w:ind w:firstLine="1134"/>
        <w:jc w:val="both"/>
        <w:rPr>
          <w:b/>
        </w:rPr>
      </w:pPr>
    </w:p>
    <w:p w:rsidR="003E6588" w:rsidRDefault="003E6588">
      <w:pPr>
        <w:ind w:firstLine="1134"/>
        <w:jc w:val="both"/>
        <w:rPr>
          <w:b/>
        </w:rPr>
      </w:pPr>
      <w:r>
        <w:rPr>
          <w:b/>
        </w:rPr>
        <w:t>Obra Social Dom Bosco</w:t>
      </w:r>
      <w:r>
        <w:t xml:space="preserve"> - Feira Tecnológica da Zona Leste - Valor - R$ 199.760,04.</w:t>
      </w:r>
    </w:p>
    <w:p w:rsidR="003E6588" w:rsidRDefault="003E6588">
      <w:pPr>
        <w:ind w:firstLine="1134"/>
        <w:jc w:val="both"/>
        <w:rPr>
          <w:b/>
        </w:rPr>
      </w:pPr>
    </w:p>
    <w:p w:rsidR="003E6588" w:rsidRDefault="003E6588">
      <w:pPr>
        <w:ind w:firstLine="1134"/>
        <w:jc w:val="both"/>
        <w:rPr>
          <w:b/>
        </w:rPr>
      </w:pPr>
      <w:r>
        <w:rPr>
          <w:b/>
        </w:rPr>
        <w:t>Fundação de Apoio a Universidade de São Paulo</w:t>
      </w:r>
      <w:r>
        <w:t xml:space="preserve"> - Mapeamento das Incubadoras do Estado de São Paulo, parte executado e pago (R$ 278.950,00).</w:t>
      </w:r>
    </w:p>
    <w:p w:rsidR="003E6588" w:rsidRDefault="003E6588">
      <w:pPr>
        <w:ind w:firstLine="1134"/>
        <w:jc w:val="both"/>
        <w:rPr>
          <w:b/>
        </w:rPr>
      </w:pPr>
    </w:p>
    <w:p w:rsidR="003E6588" w:rsidRDefault="003E6588">
      <w:pPr>
        <w:ind w:firstLine="1134"/>
        <w:jc w:val="both"/>
      </w:pPr>
      <w:r>
        <w:rPr>
          <w:b/>
        </w:rPr>
        <w:t>Secretaria de Desenvolvimento Econômico, Ciência, Tecnologia e Inovação</w:t>
      </w:r>
      <w:r>
        <w:t xml:space="preserve"> - Termo de Referência - Insumos para Plano Diretor de Ciência, Tecnologia e Inovação - confecção de livros - Valor - R$ 18.400,00.</w:t>
      </w:r>
    </w:p>
    <w:p w:rsidR="003E6588" w:rsidRDefault="003E6588">
      <w:pPr>
        <w:ind w:firstLine="1134"/>
        <w:jc w:val="both"/>
        <w:rPr>
          <w:b/>
        </w:rPr>
      </w:pPr>
    </w:p>
    <w:p w:rsidR="003E6588" w:rsidRDefault="003E6588">
      <w:pPr>
        <w:ind w:firstLine="1134"/>
        <w:jc w:val="both"/>
      </w:pPr>
      <w:r>
        <w:rPr>
          <w:b/>
        </w:rPr>
        <w:t>CPOS -</w:t>
      </w:r>
      <w:r>
        <w:t xml:space="preserve"> Contratação de Serviços Especializados de Engenharia, objetivando Avaliação do Valor de Mercado e Assistência Técnica em Perícia Judicial com Elaboração de Laudo de Vistoria e Avaliação - Valor - R$ 183.845,75.</w:t>
      </w:r>
    </w:p>
    <w:p w:rsidR="003E6588" w:rsidRDefault="003E6588">
      <w:pPr>
        <w:ind w:firstLine="1134"/>
        <w:jc w:val="both"/>
        <w:rPr>
          <w:b/>
        </w:rPr>
      </w:pPr>
    </w:p>
    <w:p w:rsidR="003E6588" w:rsidRDefault="003E6588">
      <w:pPr>
        <w:ind w:firstLine="1134"/>
        <w:jc w:val="both"/>
      </w:pPr>
      <w:r>
        <w:rPr>
          <w:b/>
        </w:rPr>
        <w:t>Fundo Estadual de Desenvolvimento Científico e Tecnológico - Funcet -</w:t>
      </w:r>
      <w:r>
        <w:t xml:space="preserve"> </w:t>
      </w:r>
      <w:r>
        <w:rPr>
          <w:shd w:val="clear" w:color="auto" w:fill="FFFFFF"/>
        </w:rPr>
        <w:t>Finalidade do Fundo é financiar projetos (produtos e processos) de inovação tecnológica de micro e pequenas empresas instaladas no Estado; r</w:t>
      </w:r>
      <w:r>
        <w:t>egistrado no orçamento como ação 1929, dentro do programa 1027 (inovação para a competitividade), recebeu dotação orçamentária simbólica de R$ 10,00; não houve oferta de financiamentos para as empresas, em virtude da mudança de administração e do remodelamento da operação do Fundo pela Desenvolve SP, por força da Lei nº 10.853/2001 e da Resolução Conjunta SF/SD/SEP nº 01/2010; o esforço foi para atualizar o programa, por meio de uma nova legislação que estimule a cultura da inovação nas empresas, reduzindo os juros do financiamento a zero; além disso, a Desenvolve SP estabeleceu convênio com o Centro Paula Souza para constituir um comitê de avaliação dos futuros projetos do Funcet; o remodelamento da operação está em fase final de elaboração.</w:t>
      </w:r>
    </w:p>
    <w:p w:rsidR="003E6588" w:rsidRDefault="003E6588">
      <w:pPr>
        <w:ind w:firstLine="1134"/>
        <w:jc w:val="both"/>
        <w:rPr>
          <w:b/>
        </w:rPr>
      </w:pPr>
    </w:p>
    <w:p w:rsidR="003E6588" w:rsidRDefault="003E6588">
      <w:pPr>
        <w:ind w:firstLine="1134"/>
        <w:jc w:val="both"/>
      </w:pPr>
      <w:r>
        <w:rPr>
          <w:b/>
        </w:rPr>
        <w:t>Conselho Estadual de Ciência e Tecnologia - Concite -</w:t>
      </w:r>
      <w:r>
        <w:t xml:space="preserve"> Aprovado Termo de Referência para insumos do Plano Diretor de Ciência, Tecnologia e Inovação </w:t>
      </w:r>
      <w:r w:rsidR="00E4115F">
        <w:t xml:space="preserve">- </w:t>
      </w:r>
      <w:r>
        <w:t>CTI do Estado; iniciados estudos para plano (diagnóstico em parceria com Fapesp).</w:t>
      </w:r>
    </w:p>
    <w:p w:rsidR="003E6588" w:rsidRDefault="003E6588">
      <w:pPr>
        <w:ind w:firstLine="1134"/>
        <w:jc w:val="both"/>
        <w:rPr>
          <w:b/>
        </w:rPr>
      </w:pPr>
    </w:p>
    <w:p w:rsidR="003E6588" w:rsidRDefault="003E6588">
      <w:pPr>
        <w:ind w:firstLine="1134"/>
        <w:jc w:val="both"/>
      </w:pPr>
      <w:r>
        <w:rPr>
          <w:b/>
        </w:rPr>
        <w:t>Conselho das Instituições de Pesquisa do Estado de São Paulo - Consip -</w:t>
      </w:r>
      <w:r>
        <w:t xml:space="preserve"> Criadas 4 comissões especializadas (revisão do Decreto de instituição do Consip, revisão dos instrumentos de convênio, gestão de recursos humanos e reformulação jurídica dos institutos); as três primeiras já concluíram trabalhos; quarta comissão aguarda consultas.</w:t>
      </w:r>
    </w:p>
    <w:p w:rsidR="003E6588" w:rsidRDefault="003E6588">
      <w:pPr>
        <w:spacing w:after="120"/>
        <w:ind w:firstLine="1134"/>
        <w:jc w:val="both"/>
        <w:rPr>
          <w:b/>
        </w:rPr>
      </w:pPr>
    </w:p>
    <w:p w:rsidR="003E6588" w:rsidRDefault="003E6588">
      <w:pPr>
        <w:ind w:firstLine="1134"/>
        <w:jc w:val="both"/>
      </w:pPr>
      <w:r>
        <w:rPr>
          <w:b/>
        </w:rPr>
        <w:lastRenderedPageBreak/>
        <w:t>Convênio entre SDECTI e Centro Paula Souza -</w:t>
      </w:r>
      <w:r>
        <w:t xml:space="preserve"> Implantação da Rede Inova Paula Souza de Núcleos Locais de Inovação e Empreendedorismo, para apoiar Sistemas Locais de Inovação em todas as Regiões Administrativas do Estado. Visa capacitação de 450 profissionais, agentes locais de inovação, incluindo 60% Professores de Fatecs, Etecs, gerentes de incubadoras, empreendedores de empresas nascentes, 40% agentes de desenvolvimento dos governos locais em todas as regiões, transferindo-lhes conhecimento sobre relevantes temas de inteligência competitiva setorial, gestão da inovação aberta e empreendedorismo e </w:t>
      </w:r>
      <w:r>
        <w:rPr>
          <w:i/>
        </w:rPr>
        <w:t>startups;</w:t>
      </w:r>
      <w:r>
        <w:t xml:space="preserve"> convênio se encontra com anuência do Governador, aguardando assinatura e devido empenho.</w:t>
      </w:r>
    </w:p>
    <w:p w:rsidR="003E6588" w:rsidRDefault="003E6588">
      <w:pPr>
        <w:ind w:firstLine="1134"/>
        <w:jc w:val="both"/>
        <w:rPr>
          <w:b/>
        </w:rPr>
      </w:pPr>
    </w:p>
    <w:p w:rsidR="003E6588" w:rsidRDefault="003E6588">
      <w:pPr>
        <w:ind w:firstLine="1134"/>
        <w:jc w:val="both"/>
        <w:rPr>
          <w:strike/>
        </w:rPr>
      </w:pPr>
      <w:r>
        <w:rPr>
          <w:b/>
        </w:rPr>
        <w:t xml:space="preserve">Subsecretaria de Empreendedorismo e da Micro e Pequena Empresa - </w:t>
      </w:r>
      <w:r>
        <w:t>Programa de governo gerenciado pela Subsecretaria é o Via Rápida Empresa. Seu direcionamento estratégico está centrado no aumento da geração de emprego e renda das microempresas e empresas de pequeno porte (MPE) na economia paulista. O Módulo Estadual de Licenciamento do programa, que é um serviço estadual de licenciamento automatizado para abertura de empresas de baixo risco, está disponível aos 645 municípios paulistas. Destes, 65 municípios têm a viabilidade e o alvará municipal conectados ao sistema do Estado. Outras 30 cidades estão em processo de integração.</w:t>
      </w:r>
    </w:p>
    <w:p w:rsidR="003E6588" w:rsidRDefault="003E6588">
      <w:pPr>
        <w:ind w:firstLine="1134"/>
        <w:jc w:val="both"/>
        <w:rPr>
          <w:b/>
        </w:rPr>
      </w:pPr>
    </w:p>
    <w:p w:rsidR="003E6588" w:rsidRDefault="003E6588">
      <w:pPr>
        <w:ind w:firstLine="1134"/>
        <w:jc w:val="both"/>
      </w:pPr>
      <w:r>
        <w:rPr>
          <w:b/>
        </w:rPr>
        <w:t>Coordenadoria de Desenvolvimento Regional e Territorial</w:t>
      </w:r>
    </w:p>
    <w:p w:rsidR="003E6588" w:rsidRDefault="003E6588">
      <w:pPr>
        <w:pStyle w:val="PargrafodaLista"/>
        <w:ind w:left="0" w:firstLine="1134"/>
        <w:rPr>
          <w:rFonts w:ascii="Times New Roman" w:hAnsi="Times New Roman"/>
          <w:b/>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Programa Estadual de Fomento aos Arranjos Produtivos Locais - APLs -</w:t>
      </w:r>
      <w:r>
        <w:rPr>
          <w:rFonts w:ascii="Times New Roman" w:hAnsi="Times New Roman"/>
          <w:sz w:val="24"/>
          <w:szCs w:val="24"/>
        </w:rPr>
        <w:t xml:space="preserve"> Foram financiados 4 projetos que beneficiaram 4 setores produtivos; valor total de investimentos da SDECTI foi de R$ 1.009.328,04. As ações estão relacionadas abaixo:</w:t>
      </w:r>
    </w:p>
    <w:p w:rsidR="003E6588" w:rsidRDefault="003E6588">
      <w:pPr>
        <w:pStyle w:val="PargrafodaLista"/>
        <w:spacing w:after="120"/>
        <w:ind w:left="0" w:firstLine="1134"/>
        <w:rPr>
          <w:rFonts w:ascii="Times New Roman" w:hAnsi="Times New Roman"/>
          <w:b/>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Aglomerado de Piscicultura de Mira Estrela - </w:t>
      </w:r>
      <w:r>
        <w:rPr>
          <w:rFonts w:ascii="Times New Roman" w:hAnsi="Times New Roman"/>
          <w:sz w:val="24"/>
          <w:szCs w:val="24"/>
        </w:rPr>
        <w:t>Projeto de Desenvolvimento da Piscicultura de Mira Estrela - convênio com Prefeitura Municipal de Mira Estrela (SDECTI R$ 289.420,00).</w:t>
      </w:r>
    </w:p>
    <w:p w:rsidR="003E6588" w:rsidRDefault="003E6588">
      <w:pPr>
        <w:pStyle w:val="PargrafodaLista"/>
        <w:spacing w:after="120"/>
        <w:ind w:left="0" w:firstLine="1134"/>
        <w:rPr>
          <w:rFonts w:ascii="Times New Roman" w:hAnsi="Times New Roman"/>
          <w:b/>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Metal Mecânico do Grande ABC - </w:t>
      </w:r>
      <w:r>
        <w:rPr>
          <w:rFonts w:ascii="Times New Roman" w:hAnsi="Times New Roman"/>
          <w:sz w:val="24"/>
          <w:szCs w:val="24"/>
        </w:rPr>
        <w:t>Projeto de Design Estratégico - convênio com Associação das Empresas do Setor Metal Mecânico da Região do Grande ABC</w:t>
      </w:r>
      <w:r>
        <w:rPr>
          <w:rFonts w:ascii="Times New Roman" w:hAnsi="Times New Roman"/>
          <w:b/>
          <w:sz w:val="24"/>
          <w:szCs w:val="24"/>
        </w:rPr>
        <w:t xml:space="preserve"> (</w:t>
      </w:r>
      <w:r>
        <w:rPr>
          <w:rFonts w:ascii="Times New Roman" w:hAnsi="Times New Roman"/>
          <w:sz w:val="24"/>
          <w:szCs w:val="24"/>
        </w:rPr>
        <w:t>SDECTI R$ 200.000,00 e contrapartida R$ 58.000,00).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de Confecções de Auriflama - </w:t>
      </w:r>
      <w:r>
        <w:rPr>
          <w:rFonts w:ascii="Times New Roman" w:hAnsi="Times New Roman"/>
          <w:sz w:val="24"/>
          <w:szCs w:val="24"/>
        </w:rPr>
        <w:t>Implantação do Núcleo Tecnológico de Moda - Convênio com Prefeitura Municipal de Auriflama</w:t>
      </w:r>
      <w:r>
        <w:rPr>
          <w:rFonts w:ascii="Times New Roman" w:hAnsi="Times New Roman"/>
          <w:b/>
          <w:sz w:val="24"/>
          <w:szCs w:val="24"/>
        </w:rPr>
        <w:t xml:space="preserve"> (</w:t>
      </w:r>
      <w:r>
        <w:rPr>
          <w:rFonts w:ascii="Times New Roman" w:hAnsi="Times New Roman"/>
          <w:sz w:val="24"/>
          <w:szCs w:val="24"/>
        </w:rPr>
        <w:t>SDECTI R$ 249.908,04 e contrapartida R$ 39.951,96).</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Aglomerado da Agropecuária de Santa Clara D´Oeste - </w:t>
      </w:r>
      <w:r>
        <w:rPr>
          <w:rFonts w:ascii="Times New Roman" w:hAnsi="Times New Roman"/>
          <w:sz w:val="24"/>
          <w:szCs w:val="24"/>
        </w:rPr>
        <w:t>Implantação do Centro de Desenvolvimento Tecnológico de Nutrição Animal - convênio com a Prefeitura Municipal de Santa Clara D´Oeste</w:t>
      </w:r>
      <w:r>
        <w:rPr>
          <w:rFonts w:ascii="Times New Roman" w:hAnsi="Times New Roman"/>
          <w:b/>
          <w:sz w:val="24"/>
          <w:szCs w:val="24"/>
        </w:rPr>
        <w:t xml:space="preserve"> </w:t>
      </w:r>
      <w:r>
        <w:rPr>
          <w:rFonts w:ascii="Times New Roman" w:hAnsi="Times New Roman"/>
          <w:sz w:val="24"/>
          <w:szCs w:val="24"/>
        </w:rPr>
        <w:t>(SDECTI - R$ 270.000,00 e contrapartida - R$ 32.000,00).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Programa de Fortalecimento da Competitividade das Empresas Localizadas em Arranjos Produtivos Locais do Estado de São Paulo - Programa do Banco Interamericano de Desenvolvimento - BID -</w:t>
      </w:r>
      <w:r>
        <w:rPr>
          <w:rFonts w:ascii="Times New Roman" w:hAnsi="Times New Roman"/>
          <w:sz w:val="24"/>
          <w:szCs w:val="24"/>
        </w:rPr>
        <w:t xml:space="preserve"> Contrato de Empréstimo 1911-OC/BR firmado entre o Estado e o BID; em execução pela SDECTI, no valor de US$ 10 milhões, e co-executado pelo SEBRAE, responsável pela </w:t>
      </w:r>
      <w:r>
        <w:rPr>
          <w:rFonts w:ascii="Times New Roman" w:hAnsi="Times New Roman"/>
          <w:sz w:val="24"/>
          <w:szCs w:val="24"/>
        </w:rPr>
        <w:lastRenderedPageBreak/>
        <w:t>contrapartida local, no valor de US$ 10 milhões, e pela FIESP. Objetivo do programa é fomentar 14 APLs, divididos em 8 setores produtivos, abrangendo cerca de 1 mil empresas, que geram mais de 60 mil empregos diretos; estágio do programa relacionado abaixo:</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de Móveis de Mirassol - </w:t>
      </w:r>
      <w:r>
        <w:rPr>
          <w:rFonts w:ascii="Times New Roman" w:hAnsi="Times New Roman"/>
          <w:sz w:val="24"/>
          <w:szCs w:val="24"/>
        </w:rPr>
        <w:t xml:space="preserve">Implantação da Central de Consolidação </w:t>
      </w:r>
      <w:r>
        <w:rPr>
          <w:rFonts w:ascii="Times New Roman" w:hAnsi="Times New Roman"/>
          <w:i/>
          <w:sz w:val="24"/>
          <w:szCs w:val="24"/>
        </w:rPr>
        <w:t>On Line</w:t>
      </w:r>
      <w:r>
        <w:rPr>
          <w:rFonts w:ascii="Times New Roman" w:hAnsi="Times New Roman"/>
          <w:sz w:val="24"/>
          <w:szCs w:val="24"/>
        </w:rPr>
        <w:t xml:space="preserve"> </w:t>
      </w:r>
      <w:r w:rsidR="00E4115F">
        <w:rPr>
          <w:rFonts w:ascii="Times New Roman" w:hAnsi="Times New Roman"/>
          <w:sz w:val="24"/>
          <w:szCs w:val="24"/>
        </w:rPr>
        <w:t xml:space="preserve">- </w:t>
      </w:r>
      <w:r>
        <w:rPr>
          <w:rFonts w:ascii="Times New Roman" w:hAnsi="Times New Roman"/>
          <w:sz w:val="24"/>
          <w:szCs w:val="24"/>
        </w:rPr>
        <w:t xml:space="preserve">CCO - convênio com Sindicato da Indústria do Mobiliário de Mirassol </w:t>
      </w:r>
      <w:r w:rsidR="00E4115F">
        <w:rPr>
          <w:rFonts w:ascii="Times New Roman" w:hAnsi="Times New Roman"/>
          <w:sz w:val="24"/>
          <w:szCs w:val="24"/>
        </w:rPr>
        <w:t xml:space="preserve">- </w:t>
      </w:r>
      <w:r>
        <w:rPr>
          <w:rFonts w:ascii="Times New Roman" w:hAnsi="Times New Roman"/>
          <w:sz w:val="24"/>
          <w:szCs w:val="24"/>
        </w:rPr>
        <w:t xml:space="preserve">SIMM </w:t>
      </w:r>
      <w:r>
        <w:rPr>
          <w:rFonts w:ascii="Times New Roman" w:hAnsi="Times New Roman"/>
          <w:b/>
          <w:sz w:val="24"/>
          <w:szCs w:val="24"/>
        </w:rPr>
        <w:t>(</w:t>
      </w:r>
      <w:r>
        <w:rPr>
          <w:rFonts w:ascii="Times New Roman" w:hAnsi="Times New Roman"/>
          <w:sz w:val="24"/>
          <w:szCs w:val="24"/>
        </w:rPr>
        <w:t>SDECTI - R$ 280.000,00)</w:t>
      </w:r>
      <w:r>
        <w:rPr>
          <w:rFonts w:ascii="Times New Roman" w:hAnsi="Times New Roman"/>
          <w:b/>
          <w:sz w:val="24"/>
          <w:szCs w:val="24"/>
        </w:rPr>
        <w:t>/</w:t>
      </w:r>
      <w:r>
        <w:rPr>
          <w:rFonts w:ascii="Times New Roman" w:hAnsi="Times New Roman"/>
          <w:sz w:val="24"/>
          <w:szCs w:val="24"/>
        </w:rPr>
        <w:t xml:space="preserve">Implantação do Laboratório de Design </w:t>
      </w:r>
      <w:r w:rsidR="00E4115F">
        <w:rPr>
          <w:rFonts w:ascii="Times New Roman" w:hAnsi="Times New Roman"/>
          <w:sz w:val="24"/>
          <w:szCs w:val="24"/>
        </w:rPr>
        <w:t xml:space="preserve">- </w:t>
      </w:r>
      <w:r>
        <w:rPr>
          <w:rFonts w:ascii="Times New Roman" w:hAnsi="Times New Roman"/>
          <w:sz w:val="24"/>
          <w:szCs w:val="24"/>
        </w:rPr>
        <w:t>LDM - convênio com SIMM (SDECTI - R$ 556.800,00).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de Têxtil Lar de Ibitinga - </w:t>
      </w:r>
      <w:r>
        <w:rPr>
          <w:rFonts w:ascii="Times New Roman" w:hAnsi="Times New Roman"/>
          <w:sz w:val="24"/>
          <w:szCs w:val="24"/>
        </w:rPr>
        <w:t xml:space="preserve">Implantação do Centro de Capacitação e Requalificação das Indústrias de Bordados de Ibitinga - convênio com a Prefeitura Municipal de Ibitinga (SDECTI </w:t>
      </w:r>
      <w:r w:rsidR="006D387F">
        <w:rPr>
          <w:rFonts w:ascii="Times New Roman" w:hAnsi="Times New Roman"/>
          <w:sz w:val="24"/>
          <w:szCs w:val="24"/>
        </w:rPr>
        <w:t xml:space="preserve">- </w:t>
      </w:r>
      <w:r>
        <w:rPr>
          <w:rFonts w:ascii="Times New Roman" w:hAnsi="Times New Roman"/>
          <w:sz w:val="24"/>
          <w:szCs w:val="24"/>
        </w:rPr>
        <w:t>R$ 911.169,00 e contrapartida - R$ 925.200,00).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de Calçados Masculinos de Franca - </w:t>
      </w:r>
      <w:r>
        <w:rPr>
          <w:rFonts w:ascii="Times New Roman" w:hAnsi="Times New Roman"/>
          <w:sz w:val="24"/>
          <w:szCs w:val="24"/>
        </w:rPr>
        <w:t>Implantação do Instituto Cidade do Calçado - convênio com SindiFranca (SDECTI - R$ 397.150,00).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de Tecnologia da Informação e Comunicação de São José dos Campos - </w:t>
      </w:r>
      <w:r>
        <w:rPr>
          <w:rFonts w:ascii="Times New Roman" w:hAnsi="Times New Roman"/>
          <w:sz w:val="24"/>
          <w:szCs w:val="24"/>
        </w:rPr>
        <w:t xml:space="preserve">Instalação do Centro de Disseminação do Conhecimento - convênio com o Centro para a Competitividade e Inovação do Cone Leste Paulista </w:t>
      </w:r>
      <w:r w:rsidR="00E4115F">
        <w:rPr>
          <w:rFonts w:ascii="Times New Roman" w:hAnsi="Times New Roman"/>
          <w:sz w:val="24"/>
          <w:szCs w:val="24"/>
        </w:rPr>
        <w:t xml:space="preserve">- </w:t>
      </w:r>
      <w:r>
        <w:rPr>
          <w:rFonts w:ascii="Times New Roman" w:hAnsi="Times New Roman"/>
          <w:sz w:val="24"/>
          <w:szCs w:val="24"/>
        </w:rPr>
        <w:t xml:space="preserve">Cecompi (SDECTI </w:t>
      </w:r>
      <w:r w:rsidR="006D387F">
        <w:rPr>
          <w:rFonts w:ascii="Times New Roman" w:hAnsi="Times New Roman"/>
          <w:sz w:val="24"/>
          <w:szCs w:val="24"/>
        </w:rPr>
        <w:t xml:space="preserve">- </w:t>
      </w:r>
      <w:r>
        <w:rPr>
          <w:rFonts w:ascii="Times New Roman" w:hAnsi="Times New Roman"/>
          <w:sz w:val="24"/>
          <w:szCs w:val="24"/>
        </w:rPr>
        <w:t>R$ 2.136.150,00).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de Calçados Infantis de Birigui - </w:t>
      </w:r>
      <w:r>
        <w:rPr>
          <w:rFonts w:ascii="Times New Roman" w:hAnsi="Times New Roman"/>
          <w:sz w:val="24"/>
          <w:szCs w:val="24"/>
        </w:rPr>
        <w:t xml:space="preserve">Implantação do Laboratório de Criatividade e Inovação de Calçados Infantis - convênio com Sindicato das Indústrias de Calçados e Vestuário de Birigui </w:t>
      </w:r>
      <w:r w:rsidR="00E4115F">
        <w:rPr>
          <w:rFonts w:ascii="Times New Roman" w:hAnsi="Times New Roman"/>
          <w:sz w:val="24"/>
          <w:szCs w:val="24"/>
        </w:rPr>
        <w:t xml:space="preserve">- </w:t>
      </w:r>
      <w:r>
        <w:rPr>
          <w:rFonts w:ascii="Times New Roman" w:hAnsi="Times New Roman"/>
          <w:sz w:val="24"/>
          <w:szCs w:val="24"/>
        </w:rPr>
        <w:t>Sinbi (SDECTI - R$ 600.000,00).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Aeroespacial e Defesa de São José dos Campos - </w:t>
      </w:r>
      <w:r>
        <w:rPr>
          <w:rFonts w:ascii="Times New Roman" w:hAnsi="Times New Roman"/>
          <w:sz w:val="24"/>
          <w:szCs w:val="24"/>
        </w:rPr>
        <w:t xml:space="preserve">Ampliação do Centro de </w:t>
      </w:r>
      <w:r>
        <w:rPr>
          <w:rFonts w:ascii="Times New Roman" w:hAnsi="Times New Roman"/>
          <w:i/>
          <w:sz w:val="24"/>
          <w:szCs w:val="24"/>
        </w:rPr>
        <w:t>Design</w:t>
      </w:r>
      <w:r>
        <w:rPr>
          <w:rFonts w:ascii="Times New Roman" w:hAnsi="Times New Roman"/>
          <w:sz w:val="24"/>
          <w:szCs w:val="24"/>
        </w:rPr>
        <w:t xml:space="preserve"> e Manufatura - convênio com Cecompi (SDECTI </w:t>
      </w:r>
      <w:r w:rsidR="006D387F">
        <w:rPr>
          <w:rFonts w:ascii="Times New Roman" w:hAnsi="Times New Roman"/>
          <w:sz w:val="24"/>
          <w:szCs w:val="24"/>
        </w:rPr>
        <w:t xml:space="preserve">- </w:t>
      </w:r>
      <w:r>
        <w:rPr>
          <w:rFonts w:ascii="Times New Roman" w:hAnsi="Times New Roman"/>
          <w:sz w:val="24"/>
          <w:szCs w:val="24"/>
        </w:rPr>
        <w:t>R$ 3.098.100,00).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 Médico Hospitalar e Odontológico de Ribeirão Preto - </w:t>
      </w:r>
      <w:r>
        <w:rPr>
          <w:rFonts w:ascii="Times New Roman" w:hAnsi="Times New Roman"/>
          <w:sz w:val="24"/>
          <w:szCs w:val="24"/>
        </w:rPr>
        <w:t xml:space="preserve">Ampliação do Centro de Desenvolvimento e Inovação Aplicada em Equipamentos Médicos-Hospitalares e Odontológicos </w:t>
      </w:r>
      <w:r w:rsidR="00E4115F">
        <w:rPr>
          <w:rFonts w:ascii="Times New Roman" w:hAnsi="Times New Roman"/>
          <w:sz w:val="24"/>
          <w:szCs w:val="24"/>
        </w:rPr>
        <w:t xml:space="preserve">- </w:t>
      </w:r>
      <w:r>
        <w:rPr>
          <w:rFonts w:ascii="Times New Roman" w:hAnsi="Times New Roman"/>
          <w:sz w:val="24"/>
          <w:szCs w:val="24"/>
        </w:rPr>
        <w:t xml:space="preserve">Cedina </w:t>
      </w:r>
      <w:r>
        <w:rPr>
          <w:rFonts w:ascii="Times New Roman" w:hAnsi="Times New Roman"/>
          <w:b/>
          <w:sz w:val="24"/>
          <w:szCs w:val="24"/>
        </w:rPr>
        <w:t xml:space="preserve">- </w:t>
      </w:r>
      <w:r>
        <w:rPr>
          <w:rFonts w:ascii="Times New Roman" w:hAnsi="Times New Roman"/>
          <w:sz w:val="24"/>
          <w:szCs w:val="24"/>
        </w:rPr>
        <w:t xml:space="preserve">convênio com a Fundação Instituto Polo Avançado da Saúde de Ribeirão Preto </w:t>
      </w:r>
      <w:r w:rsidR="00E4115F">
        <w:rPr>
          <w:rFonts w:ascii="Times New Roman" w:hAnsi="Times New Roman"/>
          <w:sz w:val="24"/>
          <w:szCs w:val="24"/>
        </w:rPr>
        <w:t xml:space="preserve">- </w:t>
      </w:r>
      <w:r>
        <w:rPr>
          <w:rFonts w:ascii="Times New Roman" w:hAnsi="Times New Roman"/>
          <w:sz w:val="24"/>
          <w:szCs w:val="24"/>
        </w:rPr>
        <w:t xml:space="preserve">Fipase (SDECTI </w:t>
      </w:r>
      <w:r w:rsidR="006D387F">
        <w:rPr>
          <w:rFonts w:ascii="Times New Roman" w:hAnsi="Times New Roman"/>
          <w:sz w:val="24"/>
          <w:szCs w:val="24"/>
        </w:rPr>
        <w:t xml:space="preserve">- </w:t>
      </w:r>
      <w:r>
        <w:rPr>
          <w:rFonts w:ascii="Times New Roman" w:hAnsi="Times New Roman"/>
          <w:sz w:val="24"/>
          <w:szCs w:val="24"/>
        </w:rPr>
        <w:t>R$ 1.618.260,00).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spacing w:after="120"/>
        <w:ind w:left="0" w:firstLine="1134"/>
        <w:rPr>
          <w:rFonts w:ascii="Times New Roman" w:hAnsi="Times New Roman"/>
          <w:sz w:val="24"/>
          <w:szCs w:val="24"/>
        </w:rPr>
      </w:pPr>
      <w:r>
        <w:rPr>
          <w:rFonts w:ascii="Times New Roman" w:hAnsi="Times New Roman"/>
          <w:b/>
          <w:sz w:val="24"/>
          <w:szCs w:val="24"/>
        </w:rPr>
        <w:t xml:space="preserve">APLs de Cerâmica Vermelha de Tatuí, Itú, Vargem Grande do Sul e Tambaú - </w:t>
      </w:r>
      <w:r>
        <w:rPr>
          <w:rFonts w:ascii="Times New Roman" w:hAnsi="Times New Roman"/>
          <w:sz w:val="24"/>
          <w:szCs w:val="24"/>
        </w:rPr>
        <w:t xml:space="preserve">Elaboração do Estudo para Desenvolvimento de Tecnologia para Aproveitamento de Resíduos da Indústria de Cerâmica Vermelha - contrato com IPT (SDECTI </w:t>
      </w:r>
      <w:r w:rsidR="006D387F">
        <w:rPr>
          <w:rFonts w:ascii="Times New Roman" w:hAnsi="Times New Roman"/>
          <w:sz w:val="24"/>
          <w:szCs w:val="24"/>
        </w:rPr>
        <w:t xml:space="preserve">- </w:t>
      </w:r>
      <w:r>
        <w:rPr>
          <w:rFonts w:ascii="Times New Roman" w:hAnsi="Times New Roman"/>
          <w:sz w:val="24"/>
          <w:szCs w:val="24"/>
        </w:rPr>
        <w:t>R$ 249.500,00).</w:t>
      </w:r>
    </w:p>
    <w:p w:rsidR="003E6588" w:rsidRDefault="003E6588">
      <w:pPr>
        <w:pStyle w:val="PargrafodaLista"/>
        <w:spacing w:after="120"/>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 xml:space="preserve">Chamada Pública Finep-MCT/Finep/Ação Transversal Tecnológica para o Desenvolvimento Social-01/2009 - </w:t>
      </w:r>
      <w:r>
        <w:rPr>
          <w:rFonts w:ascii="Times New Roman" w:hAnsi="Times New Roman"/>
          <w:sz w:val="24"/>
          <w:szCs w:val="24"/>
        </w:rPr>
        <w:t>O</w:t>
      </w:r>
      <w:r>
        <w:rPr>
          <w:rFonts w:ascii="Times New Roman" w:hAnsi="Times New Roman"/>
          <w:b/>
          <w:sz w:val="24"/>
          <w:szCs w:val="24"/>
        </w:rPr>
        <w:t xml:space="preserve"> </w:t>
      </w:r>
      <w:r>
        <w:rPr>
          <w:rFonts w:ascii="Times New Roman" w:hAnsi="Times New Roman"/>
          <w:sz w:val="24"/>
          <w:szCs w:val="24"/>
        </w:rPr>
        <w:t xml:space="preserve">projeto tem objetivo de promover desenvolvimento territorial sustentável e solidário em áreas urbanas e rurais do Estado, especialmente nos Territórios da Cidadania do Pontal do Paranapanema e Sudoeste Paulista. São 15 “Centrais Digitais e Cadeias Produtivas-Agregação de Tecnologia e Desenvolvimento Territorial”. Foram complementadas adequações previstas em projeto básico nos imóveis previstos, ficando a cargo do Itesp (co-executor) a revisão do projeto básico dos 9 imóveis restantes. As adequações destes imóveis foram realizadas em parceria </w:t>
      </w:r>
      <w:r>
        <w:rPr>
          <w:rFonts w:ascii="Times New Roman" w:hAnsi="Times New Roman"/>
          <w:sz w:val="24"/>
          <w:szCs w:val="24"/>
        </w:rPr>
        <w:lastRenderedPageBreak/>
        <w:t>com as prefeituras. O processo de licitação para aquisição de equipamentos de informática e mobiliário para os Centros Digitais com recursos do convênio está em andamento.</w:t>
      </w:r>
    </w:p>
    <w:p w:rsidR="003E6588" w:rsidRDefault="003E6588">
      <w:pPr>
        <w:shd w:val="clear" w:color="auto" w:fill="FFFFFF"/>
        <w:ind w:firstLine="1134"/>
        <w:jc w:val="both"/>
        <w:rPr>
          <w:b/>
          <w:bCs/>
          <w:color w:val="000000"/>
          <w:shd w:val="clear" w:color="auto" w:fill="FFFFFF"/>
        </w:rPr>
      </w:pPr>
    </w:p>
    <w:p w:rsidR="003E6588" w:rsidRDefault="003E6588">
      <w:pPr>
        <w:shd w:val="clear" w:color="auto" w:fill="FFFFFF"/>
        <w:ind w:firstLine="1134"/>
        <w:jc w:val="both"/>
        <w:rPr>
          <w:b/>
          <w:bCs/>
          <w:color w:val="000000"/>
        </w:rPr>
      </w:pPr>
      <w:r>
        <w:rPr>
          <w:b/>
          <w:bCs/>
          <w:color w:val="000000"/>
          <w:shd w:val="clear" w:color="auto" w:fill="FFFFFF"/>
        </w:rPr>
        <w:t>Coordenadoria de Ensino Técnico, Tecnológico e Profissionalizante</w:t>
      </w:r>
    </w:p>
    <w:p w:rsidR="003E6588" w:rsidRDefault="003E6588">
      <w:pPr>
        <w:shd w:val="clear" w:color="auto" w:fill="FFFFFF"/>
        <w:ind w:firstLine="1134"/>
        <w:jc w:val="both"/>
        <w:rPr>
          <w:b/>
          <w:bCs/>
          <w:color w:val="000000"/>
        </w:rPr>
      </w:pPr>
    </w:p>
    <w:p w:rsidR="003E6588" w:rsidRDefault="003E6588">
      <w:pPr>
        <w:shd w:val="clear" w:color="auto" w:fill="FFFFFF"/>
        <w:ind w:firstLine="1134"/>
        <w:jc w:val="both"/>
        <w:rPr>
          <w:strike/>
          <w:color w:val="000000"/>
        </w:rPr>
      </w:pPr>
      <w:r>
        <w:rPr>
          <w:b/>
          <w:bCs/>
          <w:color w:val="000000"/>
        </w:rPr>
        <w:t xml:space="preserve">Programa Via Rápida Emprego - </w:t>
      </w:r>
      <w:r>
        <w:rPr>
          <w:bCs/>
          <w:color w:val="000000"/>
        </w:rPr>
        <w:t>C</w:t>
      </w:r>
      <w:r>
        <w:rPr>
          <w:color w:val="000000"/>
        </w:rPr>
        <w:t xml:space="preserve">riado pelo Decreto nº 57.133/2011, o programa Via Rápida Emprego tem como objetivo preparar a população que está em busca de oportunidade no mercado de trabalho, bem como habilitá-la ao exercício dos direitos à cidadania. Consiste na oferta de cursos presenciais gratuitos, com carga horária de 230 horas. É voltado, prioritariamente, para quem está desempregado. Os participantes recebem material didático e subsídio de transporte, no valor de R$ 150,00 e de alimentação, no valor de R$ 100,00; os desempregados, sem seguro desemprego ou benefício previdenciário, além do subsídio acima, têm direito à bolsa-auxílio mensal de R$ 210,00 durante o período do curso. As inscrições são realizadas pelo </w:t>
      </w:r>
      <w:r>
        <w:rPr>
          <w:i/>
          <w:color w:val="000000"/>
        </w:rPr>
        <w:t>site</w:t>
      </w:r>
      <w:r>
        <w:rPr>
          <w:color w:val="000000"/>
        </w:rPr>
        <w:t xml:space="preserve"> </w:t>
      </w:r>
      <w:hyperlink r:id="rId37" w:tgtFrame="_blank" w:history="1">
        <w:r w:rsidRPr="006A574D">
          <w:t>www.viarapida.sp.gov.br</w:t>
        </w:r>
      </w:hyperlink>
      <w:r w:rsidRPr="006A574D">
        <w:t>,</w:t>
      </w:r>
      <w:r>
        <w:rPr>
          <w:color w:val="000000"/>
        </w:rPr>
        <w:t xml:space="preserve"> o programa ofertou vagas para os 645 municípios e qualificou 60 mil trabalhadores do Estado; foram investidos R$ 130 milhões, com recursos do tesouro estadual; o programa adquiriu 22 unidades móveis (carretas); essas unidades servem de laboratórios para execução de cursos em municípios onde não existem unidades do Centro Paula Souza; o programa inaugurou 2 unidades fixas (Presidente Prudente e Santos); o programa chegou a 1.356.503 pessoas inscritas.</w:t>
      </w:r>
    </w:p>
    <w:p w:rsidR="003E6588" w:rsidRDefault="003E6588">
      <w:pPr>
        <w:shd w:val="clear" w:color="auto" w:fill="FFFFFF"/>
        <w:ind w:firstLine="1134"/>
        <w:jc w:val="both"/>
        <w:rPr>
          <w:strike/>
          <w:color w:val="000000"/>
        </w:rPr>
      </w:pPr>
    </w:p>
    <w:tbl>
      <w:tblPr>
        <w:tblW w:w="3891" w:type="dxa"/>
        <w:jc w:val="center"/>
        <w:tblInd w:w="1657" w:type="dxa"/>
        <w:tblBorders>
          <w:top w:val="single" w:sz="8" w:space="0" w:color="auto"/>
          <w:left w:val="single" w:sz="8" w:space="0" w:color="auto"/>
          <w:bottom w:val="single" w:sz="4" w:space="0" w:color="auto"/>
          <w:right w:val="single" w:sz="4" w:space="0" w:color="auto"/>
          <w:insideH w:val="single" w:sz="8" w:space="0" w:color="auto"/>
          <w:insideV w:val="single" w:sz="4" w:space="0" w:color="auto"/>
        </w:tblBorders>
        <w:tblCellMar>
          <w:left w:w="70" w:type="dxa"/>
          <w:right w:w="70" w:type="dxa"/>
        </w:tblCellMar>
        <w:tblLook w:val="04A0"/>
      </w:tblPr>
      <w:tblGrid>
        <w:gridCol w:w="2561"/>
        <w:gridCol w:w="1330"/>
      </w:tblGrid>
      <w:tr w:rsidR="003E6588" w:rsidTr="00F53A5F">
        <w:trPr>
          <w:gridAfter w:val="1"/>
          <w:wAfter w:w="1330" w:type="dxa"/>
          <w:trHeight w:val="230"/>
          <w:jc w:val="center"/>
        </w:trPr>
        <w:tc>
          <w:tcPr>
            <w:tcW w:w="2561" w:type="dxa"/>
            <w:vMerge w:val="restart"/>
            <w:tcBorders>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Região Administrativa</w:t>
            </w:r>
          </w:p>
        </w:tc>
      </w:tr>
      <w:tr w:rsidR="003E6588" w:rsidTr="00F53A5F">
        <w:trPr>
          <w:trHeight w:val="100"/>
          <w:jc w:val="center"/>
        </w:trPr>
        <w:tc>
          <w:tcPr>
            <w:tcW w:w="2561" w:type="dxa"/>
            <w:vMerge/>
            <w:tcBorders>
              <w:bottom w:val="single" w:sz="8" w:space="0" w:color="auto"/>
              <w:right w:val="single" w:sz="8" w:space="0" w:color="auto"/>
            </w:tcBorders>
            <w:shd w:val="clear" w:color="auto" w:fill="auto"/>
            <w:vAlign w:val="center"/>
            <w:hideMark/>
          </w:tcPr>
          <w:p w:rsidR="003E6588" w:rsidRDefault="003E6588">
            <w:pPr>
              <w:rPr>
                <w:b/>
                <w:bCs/>
                <w:color w:val="000000"/>
                <w:sz w:val="20"/>
                <w:szCs w:val="20"/>
              </w:rPr>
            </w:pPr>
          </w:p>
        </w:tc>
        <w:tc>
          <w:tcPr>
            <w:tcW w:w="1330" w:type="dxa"/>
            <w:tcBorders>
              <w:left w:val="single" w:sz="8" w:space="0" w:color="auto"/>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Atendidos</w:t>
            </w:r>
          </w:p>
        </w:tc>
      </w:tr>
      <w:tr w:rsidR="003E6588" w:rsidTr="00F53A5F">
        <w:trPr>
          <w:trHeight w:val="70"/>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Araçatuba</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2.914</w:t>
            </w:r>
          </w:p>
        </w:tc>
      </w:tr>
      <w:tr w:rsidR="003E6588" w:rsidTr="00F53A5F">
        <w:trPr>
          <w:trHeight w:val="116"/>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Baixada Santista</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2.640</w:t>
            </w:r>
          </w:p>
        </w:tc>
      </w:tr>
      <w:tr w:rsidR="003E6588" w:rsidTr="00F53A5F">
        <w:trPr>
          <w:trHeight w:val="47"/>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Barretos</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1.070</w:t>
            </w:r>
          </w:p>
        </w:tc>
      </w:tr>
      <w:tr w:rsidR="003E6588" w:rsidTr="00F53A5F">
        <w:trPr>
          <w:trHeight w:val="65"/>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Bauru</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2.758</w:t>
            </w:r>
          </w:p>
        </w:tc>
      </w:tr>
      <w:tr w:rsidR="003E6588" w:rsidTr="00F53A5F">
        <w:trPr>
          <w:trHeight w:val="112"/>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Campinas</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8.870</w:t>
            </w:r>
          </w:p>
        </w:tc>
      </w:tr>
      <w:tr w:rsidR="003E6588" w:rsidTr="00F53A5F">
        <w:trPr>
          <w:trHeight w:val="158"/>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Central</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2.994</w:t>
            </w:r>
          </w:p>
        </w:tc>
      </w:tr>
      <w:tr w:rsidR="003E6588" w:rsidTr="00F53A5F">
        <w:trPr>
          <w:trHeight w:val="48"/>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Franca</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1.908</w:t>
            </w:r>
          </w:p>
        </w:tc>
      </w:tr>
      <w:tr w:rsidR="003E6588" w:rsidTr="00F53A5F">
        <w:trPr>
          <w:trHeight w:val="94"/>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Marília</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2.714</w:t>
            </w:r>
          </w:p>
        </w:tc>
      </w:tr>
      <w:tr w:rsidR="003E6588" w:rsidTr="00F53A5F">
        <w:trPr>
          <w:trHeight w:val="139"/>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Presidente Prudente</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4.446</w:t>
            </w:r>
          </w:p>
        </w:tc>
      </w:tr>
      <w:tr w:rsidR="003E6588" w:rsidTr="00F53A5F">
        <w:trPr>
          <w:trHeight w:val="47"/>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Registro</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630</w:t>
            </w:r>
          </w:p>
        </w:tc>
      </w:tr>
      <w:tr w:rsidR="003E6588" w:rsidTr="00F53A5F">
        <w:trPr>
          <w:trHeight w:val="89"/>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Ribeirão Preto</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2.158</w:t>
            </w:r>
          </w:p>
        </w:tc>
      </w:tr>
      <w:tr w:rsidR="003E6588" w:rsidTr="00F53A5F">
        <w:trPr>
          <w:trHeight w:val="136"/>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RM de São Paulo</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10.468</w:t>
            </w:r>
          </w:p>
        </w:tc>
      </w:tr>
      <w:tr w:rsidR="003E6588" w:rsidTr="00F53A5F">
        <w:trPr>
          <w:trHeight w:val="47"/>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São José do Rio Preto</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4.778</w:t>
            </w:r>
          </w:p>
        </w:tc>
      </w:tr>
      <w:tr w:rsidR="003E6588" w:rsidTr="00F53A5F">
        <w:trPr>
          <w:trHeight w:val="72"/>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São José dos Campos</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4.396</w:t>
            </w:r>
          </w:p>
        </w:tc>
      </w:tr>
      <w:tr w:rsidR="003E6588" w:rsidTr="00F53A5F">
        <w:trPr>
          <w:trHeight w:val="118"/>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São Paulo (Capital)</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8.068</w:t>
            </w:r>
          </w:p>
        </w:tc>
      </w:tr>
      <w:tr w:rsidR="003E6588" w:rsidTr="00F53A5F">
        <w:trPr>
          <w:trHeight w:val="47"/>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color w:val="000000"/>
                <w:sz w:val="20"/>
                <w:szCs w:val="20"/>
              </w:rPr>
            </w:pPr>
            <w:r>
              <w:rPr>
                <w:color w:val="000000"/>
                <w:sz w:val="20"/>
                <w:szCs w:val="20"/>
              </w:rPr>
              <w:t>Sorocaba</w:t>
            </w:r>
          </w:p>
        </w:tc>
        <w:tc>
          <w:tcPr>
            <w:tcW w:w="1330" w:type="dxa"/>
            <w:tcBorders>
              <w:left w:val="single" w:sz="8" w:space="0" w:color="auto"/>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5.046</w:t>
            </w:r>
          </w:p>
        </w:tc>
      </w:tr>
      <w:tr w:rsidR="003E6588" w:rsidTr="00F53A5F">
        <w:trPr>
          <w:trHeight w:val="68"/>
          <w:jc w:val="center"/>
        </w:trPr>
        <w:tc>
          <w:tcPr>
            <w:tcW w:w="2561" w:type="dxa"/>
            <w:tcBorders>
              <w:bottom w:val="single" w:sz="8" w:space="0" w:color="auto"/>
              <w:right w:val="single" w:sz="8" w:space="0" w:color="auto"/>
            </w:tcBorders>
            <w:shd w:val="clear" w:color="auto" w:fill="auto"/>
            <w:noWrap/>
            <w:vAlign w:val="bottom"/>
            <w:hideMark/>
          </w:tcPr>
          <w:p w:rsidR="003E6588" w:rsidRDefault="003E6588" w:rsidP="00E4115F">
            <w:pPr>
              <w:jc w:val="left"/>
              <w:rPr>
                <w:b/>
                <w:bCs/>
                <w:color w:val="000000"/>
                <w:sz w:val="20"/>
                <w:szCs w:val="20"/>
              </w:rPr>
            </w:pPr>
            <w:r>
              <w:rPr>
                <w:b/>
                <w:bCs/>
                <w:color w:val="000000"/>
                <w:sz w:val="20"/>
                <w:szCs w:val="20"/>
              </w:rPr>
              <w:t>TOTAL</w:t>
            </w:r>
          </w:p>
        </w:tc>
        <w:tc>
          <w:tcPr>
            <w:tcW w:w="1330" w:type="dxa"/>
            <w:tcBorders>
              <w:left w:val="single" w:sz="8" w:space="0" w:color="auto"/>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65.858</w:t>
            </w:r>
          </w:p>
        </w:tc>
      </w:tr>
    </w:tbl>
    <w:p w:rsidR="003E6588" w:rsidRDefault="003E6588">
      <w:pPr>
        <w:shd w:val="clear" w:color="auto" w:fill="FFFFFF"/>
        <w:jc w:val="both"/>
        <w:rPr>
          <w:strike/>
        </w:rPr>
      </w:pPr>
    </w:p>
    <w:p w:rsidR="003E6588" w:rsidRDefault="003E6588">
      <w:pPr>
        <w:shd w:val="clear" w:color="auto" w:fill="FFFFFF"/>
        <w:ind w:firstLine="1134"/>
        <w:jc w:val="both"/>
        <w:rPr>
          <w:b/>
          <w:bCs/>
          <w:color w:val="000000"/>
        </w:rPr>
      </w:pPr>
      <w:r>
        <w:rPr>
          <w:color w:val="000000"/>
        </w:rPr>
        <w:t>O programa ofereceu 20 mil vagas em cursos de idioma a distância (inglês e espanhol) para atender trabalhadores envolvidos com os eventos da Copa do Mundo de 2014, principalmente servidores públicos.</w:t>
      </w:r>
    </w:p>
    <w:p w:rsidR="006A574D" w:rsidRDefault="006A574D">
      <w:pPr>
        <w:shd w:val="clear" w:color="auto" w:fill="FFFFFF"/>
        <w:ind w:firstLine="1134"/>
        <w:jc w:val="both"/>
        <w:rPr>
          <w:b/>
          <w:bCs/>
          <w:color w:val="000000"/>
        </w:rPr>
      </w:pPr>
    </w:p>
    <w:p w:rsidR="003E6588" w:rsidRDefault="003E6588">
      <w:pPr>
        <w:shd w:val="clear" w:color="auto" w:fill="FFFFFF"/>
        <w:ind w:firstLine="1134"/>
        <w:jc w:val="both"/>
        <w:rPr>
          <w:color w:val="000000"/>
        </w:rPr>
      </w:pPr>
      <w:r>
        <w:rPr>
          <w:b/>
          <w:bCs/>
          <w:color w:val="000000"/>
        </w:rPr>
        <w:lastRenderedPageBreak/>
        <w:t xml:space="preserve">Programa EJA Mundo do Trabalho - </w:t>
      </w:r>
      <w:r>
        <w:rPr>
          <w:color w:val="000000"/>
        </w:rPr>
        <w:t>Ação coordenada pela SDECTI, que, por meio de parcerias com Secretarias Municipais de Educação, oferece educação para jovens e adultos, com conteúdos que dialogam diretamente com o mundo do trabalho. 16 municípios assinaram convênio com a Secretaria, sendo que, com a parceria da SDECTI e a Secretaria da Educação, 238 municípios participam do EJA. O programa atendeu 134</w:t>
      </w:r>
      <w:r>
        <w:rPr>
          <w:bCs/>
          <w:color w:val="000000"/>
        </w:rPr>
        <w:t xml:space="preserve">.000 </w:t>
      </w:r>
      <w:r>
        <w:rPr>
          <w:color w:val="000000"/>
        </w:rPr>
        <w:t xml:space="preserve">alunos. Os valores investidos na produção do material didático e na capacitação dos professores foram de </w:t>
      </w:r>
      <w:r>
        <w:rPr>
          <w:bCs/>
          <w:color w:val="000000"/>
        </w:rPr>
        <w:t xml:space="preserve">R$ 23 milhões. </w:t>
      </w:r>
      <w:r>
        <w:rPr>
          <w:color w:val="000000"/>
        </w:rPr>
        <w:t xml:space="preserve">Por intermédio de cooperação com a SE, o programa desenvolveu material didático para o Ciclo II do Ensino Fundamental oferecido nos Centros Estaduais de Educação </w:t>
      </w:r>
      <w:r w:rsidR="00E4115F">
        <w:rPr>
          <w:color w:val="000000"/>
        </w:rPr>
        <w:t xml:space="preserve">- </w:t>
      </w:r>
      <w:r>
        <w:rPr>
          <w:color w:val="000000"/>
        </w:rPr>
        <w:t>CEEJAs e iniciou a produção do material para o Ensino Médio e para os CEEJAs. A introdução desses materiais nos CEEJAs irá representar o atendimento de 80 mil alunos, na modalidade semi-presencial.</w:t>
      </w:r>
    </w:p>
    <w:p w:rsidR="003E6588" w:rsidRDefault="003E6588">
      <w:pPr>
        <w:ind w:firstLine="1134"/>
        <w:jc w:val="both"/>
      </w:pPr>
    </w:p>
    <w:p w:rsidR="003E6588" w:rsidRDefault="003E6588">
      <w:pPr>
        <w:ind w:firstLine="1134"/>
        <w:jc w:val="both"/>
      </w:pPr>
      <w:r>
        <w:rPr>
          <w:b/>
        </w:rPr>
        <w:t xml:space="preserve">Coordenação de Ensino Superior - </w:t>
      </w:r>
      <w:r>
        <w:t>Foram realizados estudos para ampliação do ensino superior público paulista (Programa Engenheiros do Futuro e Tecnólogos do Futuro). Por força do vínculo existente com as universidades públicas paulistas, são encaminhadas a esta Coordenação solicitações, gerando diversos expedientes e processos em andamento na Pasta.</w:t>
      </w:r>
    </w:p>
    <w:p w:rsidR="003E6588" w:rsidRDefault="003E6588">
      <w:pPr>
        <w:ind w:firstLine="1134"/>
        <w:jc w:val="both"/>
      </w:pPr>
    </w:p>
    <w:p w:rsidR="003E6588" w:rsidRDefault="003E6588">
      <w:pPr>
        <w:ind w:firstLine="1134"/>
        <w:jc w:val="both"/>
        <w:rPr>
          <w:b/>
        </w:rPr>
      </w:pPr>
      <w:r>
        <w:rPr>
          <w:b/>
        </w:rPr>
        <w:t>Convênios concluídos</w:t>
      </w:r>
    </w:p>
    <w:p w:rsidR="003E6588" w:rsidRDefault="003E6588">
      <w:pPr>
        <w:ind w:firstLine="1134"/>
        <w:jc w:val="both"/>
        <w:rPr>
          <w:b/>
        </w:rPr>
      </w:pPr>
    </w:p>
    <w:tbl>
      <w:tblPr>
        <w:tblW w:w="6828" w:type="dxa"/>
        <w:jc w:val="center"/>
        <w:tblInd w:w="7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985"/>
        <w:gridCol w:w="1701"/>
        <w:gridCol w:w="1701"/>
        <w:gridCol w:w="1441"/>
      </w:tblGrid>
      <w:tr w:rsidR="003E6588" w:rsidTr="006D387F">
        <w:trPr>
          <w:jc w:val="center"/>
        </w:trPr>
        <w:tc>
          <w:tcPr>
            <w:tcW w:w="1985" w:type="dxa"/>
            <w:shd w:val="clear" w:color="auto" w:fill="auto"/>
            <w:hideMark/>
          </w:tcPr>
          <w:p w:rsidR="003E6588" w:rsidRDefault="003E6588">
            <w:pPr>
              <w:rPr>
                <w:b/>
                <w:sz w:val="20"/>
                <w:szCs w:val="20"/>
              </w:rPr>
            </w:pPr>
            <w:r>
              <w:rPr>
                <w:b/>
                <w:sz w:val="20"/>
                <w:szCs w:val="20"/>
              </w:rPr>
              <w:t>Conveniada</w:t>
            </w:r>
          </w:p>
        </w:tc>
        <w:tc>
          <w:tcPr>
            <w:tcW w:w="1701" w:type="dxa"/>
            <w:shd w:val="clear" w:color="auto" w:fill="auto"/>
            <w:hideMark/>
          </w:tcPr>
          <w:p w:rsidR="003E6588" w:rsidRDefault="003E6588">
            <w:pPr>
              <w:rPr>
                <w:b/>
                <w:sz w:val="20"/>
                <w:szCs w:val="20"/>
              </w:rPr>
            </w:pPr>
            <w:r>
              <w:rPr>
                <w:b/>
                <w:sz w:val="20"/>
                <w:szCs w:val="20"/>
              </w:rPr>
              <w:t>Objeto</w:t>
            </w:r>
          </w:p>
        </w:tc>
        <w:tc>
          <w:tcPr>
            <w:tcW w:w="1701" w:type="dxa"/>
            <w:shd w:val="clear" w:color="auto" w:fill="auto"/>
            <w:hideMark/>
          </w:tcPr>
          <w:p w:rsidR="003E6588" w:rsidRDefault="003E6588">
            <w:pPr>
              <w:rPr>
                <w:b/>
                <w:sz w:val="20"/>
                <w:szCs w:val="20"/>
              </w:rPr>
            </w:pPr>
            <w:r>
              <w:rPr>
                <w:b/>
                <w:sz w:val="20"/>
                <w:szCs w:val="20"/>
              </w:rPr>
              <w:t>Convênio</w:t>
            </w:r>
          </w:p>
        </w:tc>
        <w:tc>
          <w:tcPr>
            <w:tcW w:w="1441" w:type="dxa"/>
            <w:shd w:val="clear" w:color="auto" w:fill="auto"/>
            <w:hideMark/>
          </w:tcPr>
          <w:p w:rsidR="003E6588" w:rsidRDefault="003E6588">
            <w:pPr>
              <w:rPr>
                <w:b/>
                <w:sz w:val="20"/>
                <w:szCs w:val="20"/>
              </w:rPr>
            </w:pPr>
            <w:r>
              <w:rPr>
                <w:b/>
                <w:sz w:val="20"/>
                <w:szCs w:val="20"/>
              </w:rPr>
              <w:t>Valor (R$)</w:t>
            </w:r>
          </w:p>
        </w:tc>
      </w:tr>
      <w:tr w:rsidR="003E6588" w:rsidTr="006D387F">
        <w:trPr>
          <w:jc w:val="center"/>
        </w:trPr>
        <w:tc>
          <w:tcPr>
            <w:tcW w:w="1985" w:type="dxa"/>
            <w:shd w:val="clear" w:color="auto" w:fill="auto"/>
            <w:hideMark/>
          </w:tcPr>
          <w:p w:rsidR="003E6588" w:rsidRDefault="003E6588">
            <w:pPr>
              <w:rPr>
                <w:sz w:val="20"/>
                <w:szCs w:val="20"/>
              </w:rPr>
            </w:pPr>
            <w:r>
              <w:rPr>
                <w:sz w:val="20"/>
                <w:szCs w:val="20"/>
              </w:rPr>
              <w:t>USP</w:t>
            </w:r>
          </w:p>
        </w:tc>
        <w:tc>
          <w:tcPr>
            <w:tcW w:w="1701" w:type="dxa"/>
            <w:shd w:val="clear" w:color="auto" w:fill="auto"/>
            <w:hideMark/>
          </w:tcPr>
          <w:p w:rsidR="003E6588" w:rsidRDefault="003E6588">
            <w:pPr>
              <w:rPr>
                <w:sz w:val="20"/>
                <w:szCs w:val="20"/>
              </w:rPr>
            </w:pPr>
            <w:r>
              <w:rPr>
                <w:sz w:val="20"/>
                <w:szCs w:val="20"/>
              </w:rPr>
              <w:t>Obras</w:t>
            </w:r>
          </w:p>
        </w:tc>
        <w:tc>
          <w:tcPr>
            <w:tcW w:w="1701" w:type="dxa"/>
            <w:shd w:val="clear" w:color="auto" w:fill="auto"/>
            <w:hideMark/>
          </w:tcPr>
          <w:p w:rsidR="003E6588" w:rsidRDefault="003E6588">
            <w:pPr>
              <w:rPr>
                <w:sz w:val="20"/>
                <w:szCs w:val="20"/>
              </w:rPr>
            </w:pPr>
            <w:r>
              <w:rPr>
                <w:sz w:val="20"/>
                <w:szCs w:val="20"/>
              </w:rPr>
              <w:t>2008CV00002</w:t>
            </w:r>
          </w:p>
        </w:tc>
        <w:tc>
          <w:tcPr>
            <w:tcW w:w="1441" w:type="dxa"/>
            <w:shd w:val="clear" w:color="auto" w:fill="auto"/>
            <w:hideMark/>
          </w:tcPr>
          <w:p w:rsidR="003E6588" w:rsidRDefault="003E6588">
            <w:pPr>
              <w:jc w:val="right"/>
              <w:rPr>
                <w:sz w:val="20"/>
                <w:szCs w:val="20"/>
              </w:rPr>
            </w:pPr>
            <w:r>
              <w:rPr>
                <w:sz w:val="20"/>
                <w:szCs w:val="20"/>
              </w:rPr>
              <w:t>21.068.317,90</w:t>
            </w:r>
          </w:p>
        </w:tc>
      </w:tr>
      <w:tr w:rsidR="00E4115F" w:rsidTr="006D387F">
        <w:trPr>
          <w:jc w:val="center"/>
        </w:trPr>
        <w:tc>
          <w:tcPr>
            <w:tcW w:w="1985" w:type="dxa"/>
            <w:shd w:val="clear" w:color="auto" w:fill="auto"/>
          </w:tcPr>
          <w:p w:rsidR="00E4115F" w:rsidRDefault="00E4115F">
            <w:pPr>
              <w:rPr>
                <w:sz w:val="20"/>
                <w:szCs w:val="20"/>
              </w:rPr>
            </w:pPr>
          </w:p>
        </w:tc>
        <w:tc>
          <w:tcPr>
            <w:tcW w:w="1701" w:type="dxa"/>
            <w:shd w:val="clear" w:color="auto" w:fill="auto"/>
          </w:tcPr>
          <w:p w:rsidR="00E4115F" w:rsidRDefault="00E4115F">
            <w:pPr>
              <w:rPr>
                <w:sz w:val="20"/>
                <w:szCs w:val="20"/>
              </w:rPr>
            </w:pPr>
          </w:p>
        </w:tc>
        <w:tc>
          <w:tcPr>
            <w:tcW w:w="1701" w:type="dxa"/>
            <w:shd w:val="clear" w:color="auto" w:fill="auto"/>
          </w:tcPr>
          <w:p w:rsidR="00E4115F" w:rsidRDefault="00E4115F">
            <w:pPr>
              <w:rPr>
                <w:sz w:val="20"/>
                <w:szCs w:val="20"/>
              </w:rPr>
            </w:pPr>
          </w:p>
        </w:tc>
        <w:tc>
          <w:tcPr>
            <w:tcW w:w="1441" w:type="dxa"/>
            <w:shd w:val="clear" w:color="auto" w:fill="auto"/>
          </w:tcPr>
          <w:p w:rsidR="00E4115F" w:rsidRDefault="00E4115F">
            <w:pPr>
              <w:jc w:val="right"/>
              <w:rPr>
                <w:sz w:val="20"/>
                <w:szCs w:val="20"/>
              </w:rPr>
            </w:pPr>
          </w:p>
        </w:tc>
      </w:tr>
      <w:tr w:rsidR="003E6588" w:rsidTr="006D387F">
        <w:trPr>
          <w:jc w:val="center"/>
        </w:trPr>
        <w:tc>
          <w:tcPr>
            <w:tcW w:w="1985" w:type="dxa"/>
            <w:shd w:val="clear" w:color="auto" w:fill="auto"/>
            <w:hideMark/>
          </w:tcPr>
          <w:p w:rsidR="003E6588" w:rsidRDefault="003E6588">
            <w:pPr>
              <w:rPr>
                <w:sz w:val="20"/>
                <w:szCs w:val="20"/>
              </w:rPr>
            </w:pPr>
            <w:r>
              <w:rPr>
                <w:sz w:val="20"/>
                <w:szCs w:val="20"/>
              </w:rPr>
              <w:t>Unesp</w:t>
            </w:r>
          </w:p>
        </w:tc>
        <w:tc>
          <w:tcPr>
            <w:tcW w:w="1701" w:type="dxa"/>
            <w:shd w:val="clear" w:color="auto" w:fill="auto"/>
            <w:hideMark/>
          </w:tcPr>
          <w:p w:rsidR="003E6588" w:rsidRDefault="003E6588">
            <w:pPr>
              <w:rPr>
                <w:sz w:val="20"/>
                <w:szCs w:val="20"/>
              </w:rPr>
            </w:pPr>
            <w:r>
              <w:rPr>
                <w:sz w:val="20"/>
                <w:szCs w:val="20"/>
              </w:rPr>
              <w:t>Curso Pedagogia</w:t>
            </w:r>
          </w:p>
        </w:tc>
        <w:tc>
          <w:tcPr>
            <w:tcW w:w="1701" w:type="dxa"/>
            <w:shd w:val="clear" w:color="auto" w:fill="auto"/>
            <w:hideMark/>
          </w:tcPr>
          <w:p w:rsidR="003E6588" w:rsidRDefault="003E6588">
            <w:pPr>
              <w:rPr>
                <w:sz w:val="20"/>
                <w:szCs w:val="20"/>
              </w:rPr>
            </w:pPr>
            <w:r>
              <w:rPr>
                <w:sz w:val="20"/>
                <w:szCs w:val="20"/>
              </w:rPr>
              <w:t>003/2009</w:t>
            </w:r>
          </w:p>
        </w:tc>
        <w:tc>
          <w:tcPr>
            <w:tcW w:w="1441" w:type="dxa"/>
            <w:shd w:val="clear" w:color="auto" w:fill="auto"/>
            <w:hideMark/>
          </w:tcPr>
          <w:p w:rsidR="003E6588" w:rsidRDefault="003E6588">
            <w:pPr>
              <w:jc w:val="right"/>
              <w:rPr>
                <w:sz w:val="20"/>
                <w:szCs w:val="20"/>
              </w:rPr>
            </w:pPr>
            <w:r>
              <w:rPr>
                <w:sz w:val="20"/>
                <w:szCs w:val="20"/>
              </w:rPr>
              <w:t>24.286.633,00</w:t>
            </w:r>
          </w:p>
        </w:tc>
      </w:tr>
    </w:tbl>
    <w:p w:rsidR="003E6588" w:rsidRDefault="003E6588"/>
    <w:p w:rsidR="003E6588" w:rsidRDefault="003E6588">
      <w:pPr>
        <w:ind w:firstLine="1134"/>
        <w:jc w:val="both"/>
        <w:rPr>
          <w:b/>
        </w:rPr>
      </w:pPr>
      <w:r>
        <w:rPr>
          <w:b/>
        </w:rPr>
        <w:t>Convênios em andamento</w:t>
      </w:r>
    </w:p>
    <w:p w:rsidR="003E6588" w:rsidRDefault="003E6588">
      <w:pPr>
        <w:ind w:firstLine="1134"/>
        <w:jc w:val="both"/>
        <w:rPr>
          <w:b/>
        </w:rPr>
      </w:pPr>
    </w:p>
    <w:tbl>
      <w:tblPr>
        <w:tblW w:w="0" w:type="auto"/>
        <w:jc w:val="center"/>
        <w:tblInd w:w="45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951"/>
        <w:gridCol w:w="1701"/>
        <w:gridCol w:w="1701"/>
        <w:gridCol w:w="1418"/>
      </w:tblGrid>
      <w:tr w:rsidR="003E6588" w:rsidTr="006D387F">
        <w:trPr>
          <w:jc w:val="center"/>
        </w:trPr>
        <w:tc>
          <w:tcPr>
            <w:tcW w:w="1951" w:type="dxa"/>
            <w:shd w:val="clear" w:color="auto" w:fill="auto"/>
            <w:hideMark/>
          </w:tcPr>
          <w:p w:rsidR="003E6588" w:rsidRDefault="003E6588">
            <w:pPr>
              <w:rPr>
                <w:b/>
                <w:sz w:val="20"/>
                <w:szCs w:val="20"/>
              </w:rPr>
            </w:pPr>
            <w:r>
              <w:rPr>
                <w:b/>
                <w:sz w:val="20"/>
                <w:szCs w:val="20"/>
              </w:rPr>
              <w:t>Conveniada</w:t>
            </w:r>
          </w:p>
        </w:tc>
        <w:tc>
          <w:tcPr>
            <w:tcW w:w="1701" w:type="dxa"/>
            <w:shd w:val="clear" w:color="auto" w:fill="auto"/>
            <w:hideMark/>
          </w:tcPr>
          <w:p w:rsidR="003E6588" w:rsidRDefault="003E6588">
            <w:pPr>
              <w:rPr>
                <w:b/>
                <w:sz w:val="20"/>
                <w:szCs w:val="20"/>
              </w:rPr>
            </w:pPr>
            <w:r>
              <w:rPr>
                <w:b/>
                <w:sz w:val="20"/>
                <w:szCs w:val="20"/>
              </w:rPr>
              <w:t>Objeto</w:t>
            </w:r>
          </w:p>
        </w:tc>
        <w:tc>
          <w:tcPr>
            <w:tcW w:w="1701" w:type="dxa"/>
            <w:shd w:val="clear" w:color="auto" w:fill="auto"/>
            <w:hideMark/>
          </w:tcPr>
          <w:p w:rsidR="003E6588" w:rsidRDefault="003E6588">
            <w:pPr>
              <w:rPr>
                <w:b/>
                <w:sz w:val="20"/>
                <w:szCs w:val="20"/>
              </w:rPr>
            </w:pPr>
            <w:r>
              <w:rPr>
                <w:b/>
                <w:sz w:val="20"/>
                <w:szCs w:val="20"/>
              </w:rPr>
              <w:t>Convênio</w:t>
            </w:r>
          </w:p>
        </w:tc>
        <w:tc>
          <w:tcPr>
            <w:tcW w:w="1418" w:type="dxa"/>
            <w:shd w:val="clear" w:color="auto" w:fill="auto"/>
            <w:hideMark/>
          </w:tcPr>
          <w:p w:rsidR="003E6588" w:rsidRDefault="003E6588">
            <w:pPr>
              <w:rPr>
                <w:b/>
                <w:sz w:val="20"/>
                <w:szCs w:val="20"/>
              </w:rPr>
            </w:pPr>
            <w:r>
              <w:rPr>
                <w:b/>
                <w:sz w:val="20"/>
                <w:szCs w:val="20"/>
              </w:rPr>
              <w:t>Valor (R$)</w:t>
            </w:r>
          </w:p>
        </w:tc>
      </w:tr>
      <w:tr w:rsidR="003E6588" w:rsidTr="006D387F">
        <w:trPr>
          <w:jc w:val="center"/>
        </w:trPr>
        <w:tc>
          <w:tcPr>
            <w:tcW w:w="1951" w:type="dxa"/>
            <w:shd w:val="clear" w:color="auto" w:fill="auto"/>
            <w:hideMark/>
          </w:tcPr>
          <w:p w:rsidR="003E6588" w:rsidRDefault="003E6588" w:rsidP="00E4115F">
            <w:pPr>
              <w:ind w:right="-29"/>
              <w:rPr>
                <w:sz w:val="20"/>
                <w:szCs w:val="20"/>
              </w:rPr>
            </w:pPr>
            <w:r>
              <w:rPr>
                <w:sz w:val="20"/>
                <w:szCs w:val="20"/>
              </w:rPr>
              <w:t>USP</w:t>
            </w:r>
          </w:p>
        </w:tc>
        <w:tc>
          <w:tcPr>
            <w:tcW w:w="1701" w:type="dxa"/>
            <w:shd w:val="clear" w:color="auto" w:fill="auto"/>
            <w:hideMark/>
          </w:tcPr>
          <w:p w:rsidR="003E6588" w:rsidRDefault="003E6588" w:rsidP="00E4115F">
            <w:pPr>
              <w:ind w:left="-45" w:right="-34"/>
              <w:rPr>
                <w:sz w:val="20"/>
                <w:szCs w:val="20"/>
              </w:rPr>
            </w:pPr>
            <w:r>
              <w:rPr>
                <w:sz w:val="20"/>
                <w:szCs w:val="20"/>
              </w:rPr>
              <w:t>Bioenergia</w:t>
            </w:r>
          </w:p>
        </w:tc>
        <w:tc>
          <w:tcPr>
            <w:tcW w:w="1701" w:type="dxa"/>
            <w:shd w:val="clear" w:color="auto" w:fill="auto"/>
            <w:hideMark/>
          </w:tcPr>
          <w:p w:rsidR="003E6588" w:rsidRDefault="003E6588">
            <w:pPr>
              <w:rPr>
                <w:sz w:val="20"/>
                <w:szCs w:val="20"/>
              </w:rPr>
            </w:pPr>
            <w:r>
              <w:rPr>
                <w:sz w:val="20"/>
                <w:szCs w:val="20"/>
              </w:rPr>
              <w:t>006/2009</w:t>
            </w:r>
          </w:p>
        </w:tc>
        <w:tc>
          <w:tcPr>
            <w:tcW w:w="1418" w:type="dxa"/>
            <w:shd w:val="clear" w:color="auto" w:fill="auto"/>
            <w:hideMark/>
          </w:tcPr>
          <w:p w:rsidR="003E6588" w:rsidRDefault="003E6588">
            <w:pPr>
              <w:jc w:val="right"/>
              <w:rPr>
                <w:sz w:val="20"/>
                <w:szCs w:val="20"/>
              </w:rPr>
            </w:pPr>
            <w:r>
              <w:rPr>
                <w:sz w:val="20"/>
                <w:szCs w:val="20"/>
              </w:rPr>
              <w:t>7.364.957,00</w:t>
            </w:r>
          </w:p>
        </w:tc>
      </w:tr>
      <w:tr w:rsidR="003E6588" w:rsidTr="006D387F">
        <w:trPr>
          <w:jc w:val="center"/>
        </w:trPr>
        <w:tc>
          <w:tcPr>
            <w:tcW w:w="1951" w:type="dxa"/>
            <w:shd w:val="clear" w:color="auto" w:fill="auto"/>
            <w:hideMark/>
          </w:tcPr>
          <w:p w:rsidR="003E6588" w:rsidRDefault="003E6588">
            <w:pPr>
              <w:rPr>
                <w:sz w:val="20"/>
                <w:szCs w:val="20"/>
              </w:rPr>
            </w:pPr>
            <w:r>
              <w:rPr>
                <w:sz w:val="20"/>
                <w:szCs w:val="20"/>
              </w:rPr>
              <w:t>Unesp</w:t>
            </w:r>
          </w:p>
        </w:tc>
        <w:tc>
          <w:tcPr>
            <w:tcW w:w="1701" w:type="dxa"/>
            <w:shd w:val="clear" w:color="auto" w:fill="auto"/>
            <w:hideMark/>
          </w:tcPr>
          <w:p w:rsidR="003E6588" w:rsidRDefault="003E6588">
            <w:pPr>
              <w:rPr>
                <w:sz w:val="20"/>
                <w:szCs w:val="20"/>
              </w:rPr>
            </w:pPr>
            <w:r>
              <w:rPr>
                <w:sz w:val="20"/>
                <w:szCs w:val="20"/>
              </w:rPr>
              <w:t>Bioenergia</w:t>
            </w:r>
          </w:p>
        </w:tc>
        <w:tc>
          <w:tcPr>
            <w:tcW w:w="1701" w:type="dxa"/>
            <w:shd w:val="clear" w:color="auto" w:fill="auto"/>
            <w:hideMark/>
          </w:tcPr>
          <w:p w:rsidR="003E6588" w:rsidRDefault="003E6588">
            <w:pPr>
              <w:rPr>
                <w:sz w:val="20"/>
                <w:szCs w:val="20"/>
              </w:rPr>
            </w:pPr>
            <w:r>
              <w:rPr>
                <w:sz w:val="20"/>
                <w:szCs w:val="20"/>
              </w:rPr>
              <w:t>005/2009</w:t>
            </w:r>
          </w:p>
        </w:tc>
        <w:tc>
          <w:tcPr>
            <w:tcW w:w="1418" w:type="dxa"/>
            <w:shd w:val="clear" w:color="auto" w:fill="auto"/>
            <w:hideMark/>
          </w:tcPr>
          <w:p w:rsidR="003E6588" w:rsidRDefault="003E6588">
            <w:pPr>
              <w:jc w:val="right"/>
              <w:rPr>
                <w:sz w:val="20"/>
                <w:szCs w:val="20"/>
              </w:rPr>
            </w:pPr>
            <w:r>
              <w:rPr>
                <w:sz w:val="20"/>
                <w:szCs w:val="20"/>
              </w:rPr>
              <w:t>5.523.717,00</w:t>
            </w:r>
          </w:p>
        </w:tc>
      </w:tr>
      <w:tr w:rsidR="003E6588" w:rsidTr="006D387F">
        <w:trPr>
          <w:jc w:val="center"/>
        </w:trPr>
        <w:tc>
          <w:tcPr>
            <w:tcW w:w="1951" w:type="dxa"/>
            <w:shd w:val="clear" w:color="auto" w:fill="auto"/>
            <w:hideMark/>
          </w:tcPr>
          <w:p w:rsidR="003E6588" w:rsidRDefault="003E6588">
            <w:pPr>
              <w:rPr>
                <w:sz w:val="20"/>
                <w:szCs w:val="20"/>
              </w:rPr>
            </w:pPr>
            <w:r>
              <w:rPr>
                <w:sz w:val="20"/>
                <w:szCs w:val="20"/>
              </w:rPr>
              <w:t>Unicamp</w:t>
            </w:r>
          </w:p>
        </w:tc>
        <w:tc>
          <w:tcPr>
            <w:tcW w:w="1701" w:type="dxa"/>
            <w:shd w:val="clear" w:color="auto" w:fill="auto"/>
            <w:hideMark/>
          </w:tcPr>
          <w:p w:rsidR="003E6588" w:rsidRDefault="003E6588">
            <w:pPr>
              <w:rPr>
                <w:sz w:val="20"/>
                <w:szCs w:val="20"/>
              </w:rPr>
            </w:pPr>
            <w:r>
              <w:rPr>
                <w:sz w:val="20"/>
                <w:szCs w:val="20"/>
              </w:rPr>
              <w:t>Bioenergia</w:t>
            </w:r>
          </w:p>
        </w:tc>
        <w:tc>
          <w:tcPr>
            <w:tcW w:w="1701" w:type="dxa"/>
            <w:shd w:val="clear" w:color="auto" w:fill="auto"/>
            <w:hideMark/>
          </w:tcPr>
          <w:p w:rsidR="003E6588" w:rsidRDefault="003E6588">
            <w:pPr>
              <w:rPr>
                <w:sz w:val="20"/>
                <w:szCs w:val="20"/>
              </w:rPr>
            </w:pPr>
            <w:r>
              <w:rPr>
                <w:sz w:val="20"/>
                <w:szCs w:val="20"/>
              </w:rPr>
              <w:t>007/2009</w:t>
            </w:r>
          </w:p>
        </w:tc>
        <w:tc>
          <w:tcPr>
            <w:tcW w:w="1418" w:type="dxa"/>
            <w:shd w:val="clear" w:color="auto" w:fill="auto"/>
            <w:hideMark/>
          </w:tcPr>
          <w:p w:rsidR="003E6588" w:rsidRDefault="003E6588">
            <w:pPr>
              <w:jc w:val="right"/>
              <w:rPr>
                <w:sz w:val="20"/>
                <w:szCs w:val="20"/>
              </w:rPr>
            </w:pPr>
            <w:r>
              <w:rPr>
                <w:sz w:val="20"/>
                <w:szCs w:val="20"/>
              </w:rPr>
              <w:t>5.523.718,00</w:t>
            </w:r>
          </w:p>
        </w:tc>
      </w:tr>
    </w:tbl>
    <w:p w:rsidR="003E6588" w:rsidRDefault="003E6588">
      <w:pPr>
        <w:jc w:val="both"/>
      </w:pPr>
    </w:p>
    <w:p w:rsidR="003E6588" w:rsidRDefault="003E6588">
      <w:pPr>
        <w:jc w:val="both"/>
      </w:pPr>
    </w:p>
    <w:p w:rsidR="003E6588" w:rsidRDefault="003E6588">
      <w:pPr>
        <w:rPr>
          <w:b/>
        </w:rPr>
      </w:pPr>
      <w:r>
        <w:rPr>
          <w:b/>
        </w:rPr>
        <w:t>UNIVERSIDADE VIRTUAL DO ESTADO DE SÃO PAULO - UNIVESP</w:t>
      </w:r>
    </w:p>
    <w:p w:rsidR="003E6588" w:rsidRDefault="003E6588">
      <w:pPr>
        <w:ind w:firstLine="1134"/>
        <w:jc w:val="both"/>
        <w:rPr>
          <w:strike/>
        </w:rPr>
      </w:pPr>
    </w:p>
    <w:p w:rsidR="003E6588" w:rsidRDefault="003E6588">
      <w:pPr>
        <w:ind w:firstLine="1134"/>
        <w:jc w:val="both"/>
        <w:rPr>
          <w:strike/>
        </w:rPr>
      </w:pPr>
    </w:p>
    <w:p w:rsidR="003E6588" w:rsidRDefault="003E6588">
      <w:pPr>
        <w:ind w:firstLine="1134"/>
        <w:jc w:val="both"/>
      </w:pPr>
      <w:r>
        <w:t xml:space="preserve">O regimento da instituição foi aprovado pelo Decreto nº 60.333/2012. Foram contratados 29 colaboradores para setores operacional, administrativo e técnico, selecionados por concurso público. Atualmente, a Univesp está em processo de credenciamento junto ao Ministério da Educação - MEC. Foram encaminhadas documentações referentes a 26 polos, à sede administrativa e 1 curso, num total de 28 avaliações, das quais 17 já receberam visitas de comissões avaliadoras, cujas notas atribuídas até o momento foram 4 (muito bom) e 5 (excelente). A Univesp realizou o primeiro vestibular, com oferta de cursos dentro do sistema UAB e em parceria com o Centro Paula Souza </w:t>
      </w:r>
      <w:r w:rsidR="00E4115F">
        <w:t xml:space="preserve">- </w:t>
      </w:r>
      <w:r>
        <w:t xml:space="preserve">CPS. Foram oferecidas 3.330 vagas em 24 cidades, para cursos de formação de professores em Ciências Naturais (Química, Física, Biologia) e Matemática e de Engenharias (de Produção e de Computação). O vestibular obteve </w:t>
      </w:r>
      <w:r>
        <w:lastRenderedPageBreak/>
        <w:t>35 mil intenções de inscrição e 12 mil inscrições efetivadas, configurando média de 5,7 candidatos por vaga (c/v) para os cursos de Engenharia e de 2,3 c/v para as Licenciaturas em Ciências Naturais e Matemática. Foram oferecidas 2.034 vagas para os cursos de Licenciatura, distribuídas por 32 polos em 24 cidades. Cursos têm duração de quatro anos, com encontros presenciais quinzenais. Para as Engenharias foram oferecidas 1.296 vagas, distribuídas por 18 polos em 9 cidades. Cursos têm duração de cinco anos, com encontros presenciais quinzenais. O curso de Tecnologia em Gestão Empresarial EaD, elaborado e produzido pela Univesp em parceria com CPS, foi oferecido pela primeira vez no vestibular de meio de ano das Fatecs. Foram 1.120 vagas distribuídas em 20 Fatecs. O processo seletivo para quinta turma do curso de Licenciatura em Ciências, oferecido pela USP em parceria com a Univesp, está em andamento pela Fuvest. São 360 vagas em sete cidades, somando 1.800 já oferecidas para este curso de graduação. Iniciou-se o Curso de Formação de Agentes e Gestores de Proteção e Defesa Civil, oferecido pela Univesp em parceria com a Defesa Civil do Estado, que já conta com duas turmas e 1.113 vagas oferecidas para todos os municípios. Além de cursos formais de nível superior, a Univesp oferece conteúdos de qualidade abertos à população, por meio de seus canais de comunicação.</w:t>
      </w:r>
    </w:p>
    <w:p w:rsidR="003E6588" w:rsidRDefault="003E6588">
      <w:pPr>
        <w:ind w:firstLine="1134"/>
        <w:jc w:val="both"/>
      </w:pPr>
    </w:p>
    <w:p w:rsidR="003E6588" w:rsidRDefault="003E6588">
      <w:pPr>
        <w:ind w:firstLine="1134"/>
        <w:jc w:val="both"/>
      </w:pPr>
      <w:r>
        <w:rPr>
          <w:b/>
        </w:rPr>
        <w:t xml:space="preserve">Univesp TV - </w:t>
      </w:r>
      <w:r>
        <w:t xml:space="preserve">Oferece programação de apoio aos cursos da instituição e conteúdo de qualidade para sociedade; a sintonia se dá por meio dos canais digitais da TV Cultura; todo conteúdo é disponibilizado em seu canal no </w:t>
      </w:r>
      <w:r>
        <w:rPr>
          <w:i/>
        </w:rPr>
        <w:t>YouTube;</w:t>
      </w:r>
      <w:r>
        <w:t xml:space="preserve"> por meio do canal, são oferecidos cerca de 40 cursos abertos (sem certificação) à toda população.</w:t>
      </w:r>
    </w:p>
    <w:p w:rsidR="003E6588" w:rsidRDefault="003E6588">
      <w:pPr>
        <w:ind w:firstLine="1134"/>
        <w:jc w:val="both"/>
      </w:pPr>
    </w:p>
    <w:p w:rsidR="003E6588" w:rsidRDefault="003E6588">
      <w:pPr>
        <w:ind w:firstLine="1134"/>
        <w:jc w:val="both"/>
      </w:pPr>
      <w:r>
        <w:rPr>
          <w:b/>
        </w:rPr>
        <w:t xml:space="preserve">Pré-Univesp - </w:t>
      </w:r>
      <w:r>
        <w:t>Revista digital que traz conteúdo focado nos assuntos da atualidade, presentes na matriz curricular do ensino médio e nos vestibulares; o conteúdo é gratuito, voltado ao público pré-universitário e professores do ensino médio; são 45 números lançados, com 30 mil visitas mensais.</w:t>
      </w:r>
    </w:p>
    <w:p w:rsidR="003E6588" w:rsidRDefault="003E6588">
      <w:pPr>
        <w:ind w:firstLine="1134"/>
        <w:jc w:val="both"/>
      </w:pPr>
    </w:p>
    <w:p w:rsidR="003E6588" w:rsidRDefault="003E6588">
      <w:pPr>
        <w:ind w:firstLine="1134"/>
        <w:jc w:val="both"/>
      </w:pPr>
    </w:p>
    <w:p w:rsidR="003E6588" w:rsidRDefault="003E6588">
      <w:pPr>
        <w:rPr>
          <w:b/>
        </w:rPr>
      </w:pPr>
      <w:r>
        <w:rPr>
          <w:b/>
        </w:rPr>
        <w:t>UNIVERSIDADE ESTADUAL PAULISTA “JÚLIO DE MESQUITA FILHO” - UNESP</w:t>
      </w:r>
    </w:p>
    <w:p w:rsidR="003E6588" w:rsidRDefault="003E6588">
      <w:pPr>
        <w:ind w:firstLine="1134"/>
        <w:jc w:val="both"/>
      </w:pPr>
    </w:p>
    <w:p w:rsidR="003E6588" w:rsidRDefault="003E6588">
      <w:pPr>
        <w:ind w:firstLine="1134"/>
        <w:jc w:val="both"/>
      </w:pPr>
    </w:p>
    <w:p w:rsidR="003E6588" w:rsidRDefault="003E6588">
      <w:pPr>
        <w:ind w:firstLine="1134"/>
        <w:jc w:val="both"/>
      </w:pPr>
      <w:r>
        <w:t xml:space="preserve">A Unesp está entre as 400 melhores universidades do mundo, de acordo com </w:t>
      </w:r>
      <w:r>
        <w:rPr>
          <w:i/>
        </w:rPr>
        <w:t>ranking</w:t>
      </w:r>
      <w:r>
        <w:t xml:space="preserve"> da Universidade </w:t>
      </w:r>
      <w:r w:rsidRPr="006D387F">
        <w:rPr>
          <w:i/>
        </w:rPr>
        <w:t>Jiao Tong</w:t>
      </w:r>
      <w:r>
        <w:t xml:space="preserve">, de Xangai. Na esfera nacional, está na faixa que abrange as posições 2-5, melhorando a posição anterior, que era na faixa 3-5. Já no </w:t>
      </w:r>
      <w:r>
        <w:rPr>
          <w:i/>
        </w:rPr>
        <w:t>ranking</w:t>
      </w:r>
      <w:r>
        <w:t xml:space="preserve"> dos países emergentes </w:t>
      </w:r>
      <w:r>
        <w:rPr>
          <w:i/>
        </w:rPr>
        <w:t>Times Higher Education - THE,</w:t>
      </w:r>
      <w:r>
        <w:t xml:space="preserve"> a Unesp está em 97º lugar. O </w:t>
      </w:r>
      <w:r>
        <w:rPr>
          <w:i/>
        </w:rPr>
        <w:t>ranking</w:t>
      </w:r>
      <w:r>
        <w:t xml:space="preserve"> classifica universidades dos BRICS (Brasil, Rússia, Índia, China, África do Sul) e 17 outras economias emergentes. A Unesp foi a universidade brasileira que mais ganhou pontos no </w:t>
      </w:r>
      <w:r>
        <w:rPr>
          <w:i/>
        </w:rPr>
        <w:t>ranking</w:t>
      </w:r>
      <w:r>
        <w:t xml:space="preserve"> da publicação britânica </w:t>
      </w:r>
      <w:r>
        <w:rPr>
          <w:i/>
        </w:rPr>
        <w:t>Quacquarelli Symonds - QS</w:t>
      </w:r>
      <w:r>
        <w:t xml:space="preserve">, uma das principais listas de universidades do mundo, divulgada em setembro, subindo 70 posições nos quesitos reputação e proporção de professor para estudante. A Unesp é a quarta brasileira a aparecer na lista e a quinta da América Latina. Saiu da colocação entre 491-500 para 421-430. A universidade passou também a figurar entre as nove melhores universidades da América Latina no </w:t>
      </w:r>
      <w:r>
        <w:rPr>
          <w:i/>
        </w:rPr>
        <w:t>ranking QS University Rankings</w:t>
      </w:r>
      <w:r>
        <w:t xml:space="preserve">: América Latina, ocupando a 9ª posição, recebendo, no </w:t>
      </w:r>
      <w:r>
        <w:rPr>
          <w:i/>
        </w:rPr>
        <w:t>ranking</w:t>
      </w:r>
      <w:r>
        <w:t>, quatro estrelas.</w:t>
      </w:r>
    </w:p>
    <w:p w:rsidR="003E6588" w:rsidRDefault="003E6588">
      <w:pPr>
        <w:ind w:firstLine="1134"/>
        <w:jc w:val="both"/>
      </w:pPr>
    </w:p>
    <w:p w:rsidR="003E6588" w:rsidRDefault="003E6588">
      <w:pPr>
        <w:ind w:firstLine="1134"/>
        <w:jc w:val="both"/>
      </w:pPr>
      <w:r>
        <w:lastRenderedPageBreak/>
        <w:t xml:space="preserve">O Laboratório de Análises Físicas a Unesp de Ourinhos recebeu o selo de Ensaio de Proficiência Instituto Agronômico de Campinas - IAC, concedido aos que atingem um índice de excelência. O Laboratório atingiu conceito A e ficou entre os 10 primeiros laboratórios, em nível de Brasil, no </w:t>
      </w:r>
      <w:r w:rsidRPr="00F53A5F">
        <w:rPr>
          <w:i/>
        </w:rPr>
        <w:t>ranking</w:t>
      </w:r>
      <w:r>
        <w:t xml:space="preserve"> de classificação em análise granulométrica. A Unesp investiu R$ 28 milhões em obras que foram concluídas.</w:t>
      </w:r>
    </w:p>
    <w:p w:rsidR="00E4115F" w:rsidRDefault="00E4115F">
      <w:pPr>
        <w:ind w:firstLine="1134"/>
        <w:jc w:val="both"/>
      </w:pPr>
    </w:p>
    <w:p w:rsidR="003E6588" w:rsidRDefault="003E6588">
      <w:pPr>
        <w:ind w:firstLine="1134"/>
        <w:jc w:val="both"/>
      </w:pPr>
      <w:r>
        <w:t>Foi inaugurado o Instituto de Pesquisa em Bioenergia - IPBEN, em Rio Claro, realizado em parceria com a Fapesp. O IPBEN integra o Centro Paulista de Pesquisa em Bioenergia, formado por laboratório central, instalado em Rio Claro, e outros sete laboratórios associados nas cidades de Jaboticabal, Guaratinguetá, Ilha Solteira, Botucatu, Assis, Araraquara e São José do Rio Preto. Ao todo, foram investidos R$ 9,6 milhões na construção dos laboratórios do IPBEN, sendo R$ 2,7 milhões apenas na sede de Rio Claro. No Instituto de Química de Araraquara, com apoio do Fapesp, foi inaugurado laboratório dedicado a realizar análises por espectroscopia de RMN (Ressonância Magnética Nuclear). Foram investidos na última chamada de propostas do programa R$ 167 milhões. Em São José do Rio Preto, foi inaugurado o Centro Multiusuário de Inovação Biomolecular - CMIB. O investimento realizado pela Reitoria da Unesp e pela Fapesp no CMIB é de R$ 4,1 milhões de reais.</w:t>
      </w:r>
    </w:p>
    <w:p w:rsidR="003E6588" w:rsidRDefault="003E6588">
      <w:pPr>
        <w:ind w:firstLine="1134"/>
        <w:jc w:val="both"/>
      </w:pPr>
    </w:p>
    <w:p w:rsidR="003E6588" w:rsidRDefault="003E6588">
      <w:pPr>
        <w:ind w:firstLine="1134"/>
        <w:jc w:val="both"/>
      </w:pPr>
    </w:p>
    <w:p w:rsidR="003E6588" w:rsidRDefault="003E6588">
      <w:pPr>
        <w:rPr>
          <w:b/>
        </w:rPr>
      </w:pPr>
      <w:r>
        <w:rPr>
          <w:b/>
        </w:rPr>
        <w:t>UNIVERSIDADE ESTADUAL DE CAMPINAS - UNICAMP</w:t>
      </w:r>
    </w:p>
    <w:p w:rsidR="003E6588" w:rsidRDefault="003E6588">
      <w:pPr>
        <w:ind w:firstLine="1134"/>
        <w:jc w:val="both"/>
      </w:pPr>
    </w:p>
    <w:p w:rsidR="003E6588" w:rsidRDefault="003E6588">
      <w:pPr>
        <w:ind w:firstLine="1134"/>
        <w:jc w:val="both"/>
      </w:pPr>
    </w:p>
    <w:p w:rsidR="003E6588" w:rsidRDefault="003E6588">
      <w:pPr>
        <w:ind w:firstLine="1134"/>
        <w:jc w:val="both"/>
      </w:pPr>
      <w:r>
        <w:t xml:space="preserve">A Unicamp contou com 33 mil alunos matriculados em 68 cursos de graduação e 156 programas de pós-graduação em seus </w:t>
      </w:r>
      <w:r>
        <w:rPr>
          <w:i/>
        </w:rPr>
        <w:t xml:space="preserve">campi </w:t>
      </w:r>
      <w:r>
        <w:t xml:space="preserve">de Campinas, Piracicaba e Limeira. Seus 1.759 docentes, 99% dos quais com titulação mínima de doutor e 92% atuando em regime de dedicação exclusiva, seguem liderando a produção </w:t>
      </w:r>
      <w:r>
        <w:rPr>
          <w:i/>
        </w:rPr>
        <w:t>per capita</w:t>
      </w:r>
      <w:r>
        <w:t xml:space="preserve"> nacional de artigos científicos publicados em revistas internacionais indexadas. No plano do ensino técnico, a Unicamp conta com 3.803 mil alunos matriculados em 36 cursos oferecidos em seus dois colégios técnicos. A Unicamp manteve-se na faixa que vai do 301° ao 350° lugar, no </w:t>
      </w:r>
      <w:r>
        <w:rPr>
          <w:i/>
        </w:rPr>
        <w:t xml:space="preserve">ranking </w:t>
      </w:r>
      <w:r>
        <w:t xml:space="preserve">internacional de instituições de ensino superior da publicação britânica </w:t>
      </w:r>
      <w:r>
        <w:rPr>
          <w:i/>
        </w:rPr>
        <w:t>Times Higher Education - THE.</w:t>
      </w:r>
      <w:r>
        <w:t xml:space="preserve"> A Unicamp se manteve na 15ª posição, do </w:t>
      </w:r>
      <w:r>
        <w:rPr>
          <w:i/>
        </w:rPr>
        <w:t>ranking</w:t>
      </w:r>
      <w:r>
        <w:t xml:space="preserve"> internacional de jovens universidades elaborado pela consultoria </w:t>
      </w:r>
      <w:r>
        <w:rPr>
          <w:i/>
        </w:rPr>
        <w:t>QS Quacquarelli Symonds</w:t>
      </w:r>
      <w:r>
        <w:t xml:space="preserve">, que contempla as universidades criadas há menos de 50 anos. A </w:t>
      </w:r>
      <w:r>
        <w:rPr>
          <w:i/>
        </w:rPr>
        <w:t>QS</w:t>
      </w:r>
      <w:r>
        <w:t xml:space="preserve"> já havia divulgado seu </w:t>
      </w:r>
      <w:r>
        <w:rPr>
          <w:i/>
        </w:rPr>
        <w:t>ranking</w:t>
      </w:r>
      <w:r>
        <w:t xml:space="preserve"> geral de universidades internacionais, no qual a Unicamp aparecia no 206° lugar.</w:t>
      </w:r>
    </w:p>
    <w:p w:rsidR="003E6588" w:rsidRDefault="003E6588">
      <w:pPr>
        <w:ind w:firstLine="1134"/>
        <w:jc w:val="both"/>
      </w:pPr>
    </w:p>
    <w:p w:rsidR="003E6588" w:rsidRDefault="003E6588">
      <w:pPr>
        <w:ind w:firstLine="1134"/>
        <w:jc w:val="both"/>
      </w:pPr>
      <w:r>
        <w:rPr>
          <w:b/>
        </w:rPr>
        <w:t xml:space="preserve">Vestibular - </w:t>
      </w:r>
      <w:r>
        <w:t>Há dez anos em vigor, o Programa de Ação Afirmativa e Inclusão Social - PAAIS da Unicamp tem conseguido, sem fazer uso de cotas, promover a inclusão social na Universidade. O número de inscritos que fizeram todo o ensino médio em escolas da rede pública representou 27,7% (18.684) do total de candidatos no vestibular. O percentual de inscritos autodeclarados pretos, pardos ou indígenas foi de 17,7% (11.920).</w:t>
      </w:r>
    </w:p>
    <w:p w:rsidR="003E6588" w:rsidRDefault="003E6588">
      <w:pPr>
        <w:ind w:firstLine="1134"/>
        <w:jc w:val="both"/>
        <w:rPr>
          <w:b/>
        </w:rPr>
      </w:pPr>
    </w:p>
    <w:p w:rsidR="003E6588" w:rsidRDefault="003E6588">
      <w:pPr>
        <w:ind w:firstLine="1134"/>
        <w:jc w:val="both"/>
      </w:pPr>
      <w:r>
        <w:rPr>
          <w:b/>
        </w:rPr>
        <w:t xml:space="preserve">Pós-Graduação - </w:t>
      </w:r>
      <w:r>
        <w:t xml:space="preserve">Com 45% de seus alunos concentrados na pós-graduação (proporção inédita na América Latina), a Unicamp responde por 12% das teses e dissertações produzidas no </w:t>
      </w:r>
      <w:r w:rsidR="00957E14">
        <w:t>País</w:t>
      </w:r>
      <w:r>
        <w:t xml:space="preserve">. Levantamento prévio indica que a Unicamp registrou 1.310 dissertações de mestrado e 946 teses de doutorado defendidas. Dos 75 cursos de pós-graduação oferecidos pela Unicamp e avaliados pela </w:t>
      </w:r>
      <w:r>
        <w:lastRenderedPageBreak/>
        <w:t>Coordenação de Aperfeiçoamento de Pessoal de Nível Superior (Capes) no mais recente ciclo trienal, 54 (72%) ficaram na faixa de notas de 5 a 7, o que os classifica como muito bons ou excelentes. Os cursos avaliados com nota 6 ou 7 são considerados de excelência, com padrão internacional. A Unicamp tem 33 nesta faixa, o que corresponde a 44% do total de pós-graduações avaliadas da universidade.</w:t>
      </w:r>
    </w:p>
    <w:p w:rsidR="003E6588" w:rsidRDefault="003E6588">
      <w:pPr>
        <w:ind w:firstLine="1134"/>
        <w:jc w:val="both"/>
      </w:pPr>
    </w:p>
    <w:p w:rsidR="003E6588" w:rsidRDefault="003E6588">
      <w:pPr>
        <w:ind w:firstLine="1134"/>
        <w:jc w:val="both"/>
        <w:rPr>
          <w:strike/>
        </w:rPr>
      </w:pPr>
      <w:r>
        <w:rPr>
          <w:b/>
        </w:rPr>
        <w:t xml:space="preserve">Produção científica - </w:t>
      </w:r>
      <w:r>
        <w:t xml:space="preserve">Tomando-se por base levantamentos do </w:t>
      </w:r>
      <w:r>
        <w:rPr>
          <w:i/>
        </w:rPr>
        <w:t>Institute for Scientific Information - ISI</w:t>
      </w:r>
      <w:r>
        <w:t>, dos Estados Unidos, que monitora dez mil revistas internacionais especializadas, a produção científica da Unicamp manteve a tendência de crescimento. Note-se que essa expansão se dá, ao longo dos anos, com um número estável de docentes/pesquisadores.</w:t>
      </w:r>
    </w:p>
    <w:p w:rsidR="003E6588" w:rsidRDefault="003E6588">
      <w:pPr>
        <w:ind w:firstLine="1134"/>
        <w:jc w:val="both"/>
      </w:pPr>
    </w:p>
    <w:p w:rsidR="003E6588" w:rsidRDefault="003E6588">
      <w:pPr>
        <w:ind w:firstLine="1134"/>
        <w:jc w:val="both"/>
      </w:pPr>
      <w:r>
        <w:rPr>
          <w:b/>
        </w:rPr>
        <w:t xml:space="preserve">Inovação tecnológica - </w:t>
      </w:r>
      <w:r>
        <w:t>A Agência de Inovação Inova Unicamp teve 69 pedidos de patentes depositados no Instituto Nacional da Propriedade Industrial - INPI, e 11 pedidos de patentes internacionais, via PCT (Tratado de Cooperação em Matéria de Patentes). Foram concedidas 12 patentes, sendo uma delas internacional, na Nova Zelândia. Foram feitas 99 comunicações de invenções. Em relação à transferência de tecnologias, foram assinados nove contratos de licenciamento. Há ainda outros sete em tramitação. A Inova Unicamp intermediou seis parcerias de P,D&amp;I (Pesquisa, Desenvolvimento e Inovação), convênios firmados com a Basf, Natura, PadTec, Ericsson, Hitachi e a PSA Peugeot Citroën do Brasil.</w:t>
      </w:r>
    </w:p>
    <w:p w:rsidR="003E6588" w:rsidRDefault="003E6588">
      <w:pPr>
        <w:ind w:firstLine="1134"/>
        <w:jc w:val="both"/>
      </w:pPr>
    </w:p>
    <w:p w:rsidR="003E6588" w:rsidRDefault="003E6588">
      <w:pPr>
        <w:ind w:firstLine="1134"/>
        <w:jc w:val="both"/>
      </w:pPr>
      <w:r>
        <w:rPr>
          <w:b/>
        </w:rPr>
        <w:t xml:space="preserve">Desempenho da área de Saúde - </w:t>
      </w:r>
      <w:r>
        <w:t>Por meio de cinco unidades de atendimento, ensino e pesquisa na área da saúde - Hospital de Clínicas, Centro de Atenção Integral à Saúde da Mulher (Hospital da Mulher-Caism), Hospital Estadual Sumaré, Gastrocentro e Hemocentro - a Unicamp vem consolidando sua condição de centro de referência hospitalar e de saúde na região de Campinas e no interior do Estado. Cobrindo área de 90 municípios e população superior a 5 milhões de habitantes, as unidades de saúde disponibilizaram 818 leitos que propiciaram 37.801 internações. Conjuntamente, realizaram 541 mil consultas, 30,3 mil cirurgias, 4,7 mil partos, 5,1 milhões de exames laboratoriais e 273 transplantes de córnea, coração, medula óssea, rim e fígado. Além dos atendimentos do complexo hospitalar, a Unicamp estendeu suas ações na área de saúde por meio dos Ambulatórios Médicos de Especialidades - AMEs nos Municípios de Santa Bárbara D'Oeste, Piracicaba, Rio Claro, Limeira, Mogi-Guaçu e São João da Boa Vista.</w:t>
      </w:r>
    </w:p>
    <w:p w:rsidR="003E6588" w:rsidRDefault="003E6588">
      <w:pPr>
        <w:ind w:firstLine="1134"/>
        <w:jc w:val="both"/>
        <w:rPr>
          <w:b/>
        </w:rPr>
      </w:pPr>
    </w:p>
    <w:p w:rsidR="003E6588" w:rsidRDefault="003E6588">
      <w:pPr>
        <w:ind w:firstLine="1134"/>
        <w:jc w:val="both"/>
        <w:rPr>
          <w:strike/>
        </w:rPr>
      </w:pPr>
      <w:r>
        <w:rPr>
          <w:b/>
        </w:rPr>
        <w:t xml:space="preserve">Planejamento estratégico - </w:t>
      </w:r>
      <w:r>
        <w:t>Foram liberados R$ 31.623.000,00 em duas etapas para o programa de melhoria de infraestrutura da Unicamp. Na primeira etapa, foram destinados R$ 10.000.000,00 e aprovados projetos de obras e infraestrutura para 10 unidades de ensino e de um centro interdisciplinar. Na segunda etapa, foram destinados R$ 21.623.000,00 e aprovados projetos de manutenção e reforma predial vinculados às atividades de ensino, pesquisa e extensão para 41 áreas da Unicamp, sendo 22 unidades de ensino e pesquisa, três unidades da área de saúde, 15 centros e núcleos interdisciplinares e um colégio técnico. O processo de avaliação institucional proporcionou análise interna e externa das unidades de ensino e dos colégios da Unicamp. Um dos resultados obtidos com a avaliação interna foi a revisão do Planes 2011-2015 de cada unidade de ensino e pesquisa, sob a ótica do diagnóstico realizado.</w:t>
      </w:r>
    </w:p>
    <w:p w:rsidR="003E6588" w:rsidRDefault="003E6588">
      <w:pPr>
        <w:ind w:firstLine="1134"/>
        <w:jc w:val="both"/>
        <w:rPr>
          <w:strike/>
        </w:rPr>
      </w:pPr>
    </w:p>
    <w:p w:rsidR="003E6588" w:rsidRDefault="003E6588">
      <w:pPr>
        <w:ind w:firstLine="1134"/>
        <w:jc w:val="both"/>
      </w:pPr>
      <w:r>
        <w:rPr>
          <w:b/>
        </w:rPr>
        <w:lastRenderedPageBreak/>
        <w:t>Internacionalização -</w:t>
      </w:r>
      <w:r>
        <w:t xml:space="preserve"> A Vice-Reitoria Executiva de Relações Internacionais - VRERI elaborou o Plano de Desenvolvimento Institucional, propondo internacionalização baseada na relevância acadêmica e a reciprocidade. A proposta é discutir e construir a internacionalização em parceria com unidades de ensino e pesquisa da Unicamp. Como apoio à construção dessas estratégias, foram realizadas reuniões com diretores e coordenadores, de graduação e pós-graduação, e criados Programas de Mobilidade Internacional para suprir carências em áreas específicas e criar oportunidades para docentes, funcionários técnico-administrativos e estudantes. Foi firmado acordo para a instalação do Instituto Confucius na Unicamp, promovendo aproximação com a China.</w:t>
      </w:r>
    </w:p>
    <w:p w:rsidR="003E6588" w:rsidRDefault="003E6588">
      <w:pPr>
        <w:ind w:firstLine="1134"/>
        <w:jc w:val="both"/>
        <w:rPr>
          <w:b/>
        </w:rPr>
      </w:pPr>
    </w:p>
    <w:p w:rsidR="003E6588" w:rsidRDefault="003E6588">
      <w:pPr>
        <w:ind w:firstLine="1134"/>
        <w:jc w:val="both"/>
      </w:pPr>
      <w:r>
        <w:rPr>
          <w:b/>
        </w:rPr>
        <w:t xml:space="preserve">Obras - </w:t>
      </w:r>
      <w:r>
        <w:t xml:space="preserve">No plano de investimentos, foram aplicados R$ R$ 82.907.714,96 em obras físicas, resultando em 177.746,83 m² entre construções, reformas, infraestrutura nos </w:t>
      </w:r>
      <w:r>
        <w:rPr>
          <w:i/>
        </w:rPr>
        <w:t>campi</w:t>
      </w:r>
      <w:r>
        <w:t xml:space="preserve"> de Campinas e Limeira, com destaque para valorização dos espaços de ensino na graduação. Desse total, 50.845,81 m² correspondem ao total de área concluída e 126.901,02 m² às obras em andamento.</w:t>
      </w:r>
    </w:p>
    <w:p w:rsidR="003E6588" w:rsidRDefault="003E6588">
      <w:pPr>
        <w:ind w:firstLine="1134"/>
        <w:jc w:val="both"/>
      </w:pPr>
    </w:p>
    <w:p w:rsidR="003E6588" w:rsidRDefault="003E6588">
      <w:pPr>
        <w:ind w:firstLine="1134"/>
        <w:jc w:val="both"/>
      </w:pPr>
    </w:p>
    <w:p w:rsidR="003E6588" w:rsidRDefault="003E6588">
      <w:pPr>
        <w:rPr>
          <w:b/>
        </w:rPr>
      </w:pPr>
      <w:r>
        <w:rPr>
          <w:b/>
        </w:rPr>
        <w:t>UNIVERSIDADE DE SÃO PAULO - USP</w:t>
      </w:r>
    </w:p>
    <w:p w:rsidR="003E6588" w:rsidRDefault="003E6588">
      <w:pPr>
        <w:ind w:firstLine="1134"/>
        <w:jc w:val="both"/>
      </w:pPr>
    </w:p>
    <w:p w:rsidR="003E6588" w:rsidRDefault="003E6588">
      <w:pPr>
        <w:ind w:firstLine="1134"/>
        <w:jc w:val="both"/>
      </w:pPr>
    </w:p>
    <w:p w:rsidR="003E6588" w:rsidRDefault="003E6588">
      <w:pPr>
        <w:ind w:firstLine="1134"/>
        <w:jc w:val="both"/>
      </w:pPr>
      <w:r>
        <w:t xml:space="preserve">A USP conta com mais de </w:t>
      </w:r>
      <w:r>
        <w:rPr>
          <w:rStyle w:val="Forte"/>
          <w:b w:val="0"/>
        </w:rPr>
        <w:t>92 mil alunos, nos seus 249 cursos de graduação e nos 222 programas de pós-graduação</w:t>
      </w:r>
      <w:r>
        <w:t xml:space="preserve">, distribuídos em </w:t>
      </w:r>
      <w:r>
        <w:rPr>
          <w:i/>
        </w:rPr>
        <w:t>campi</w:t>
      </w:r>
      <w:r>
        <w:t xml:space="preserve"> na Capital e no interior; 6.008 docentes e 17.450 funcionários técnico-administrativos.</w:t>
      </w:r>
    </w:p>
    <w:p w:rsidR="003E6588" w:rsidRDefault="003E6588">
      <w:pPr>
        <w:ind w:firstLine="1134"/>
        <w:jc w:val="both"/>
        <w:rPr>
          <w:b/>
        </w:rPr>
      </w:pPr>
    </w:p>
    <w:p w:rsidR="003E6588" w:rsidRDefault="003E6588">
      <w:pPr>
        <w:ind w:firstLine="1134"/>
        <w:jc w:val="both"/>
      </w:pPr>
      <w:r>
        <w:rPr>
          <w:b/>
        </w:rPr>
        <w:t>Valorização das atividades de ensino de graduação -</w:t>
      </w:r>
      <w:r>
        <w:t xml:space="preserve"> Metas basearam-se em atividades acadêmicas destinadas aos docentes e em ações de apoio aos estudantes e professores em sala de aula e laboratórios de pesquisa. Três simpósios temáticos, com 600 participantes, foram realizados com foco em inovações em laboratórios de ensino; o esporte na formação e integração dos estudantes; e a docência na USP: desafios e inovações. Promovidos em São Paulo, eventos foram disponibilizados pelo canal IPTV-USP para atingir docentes dos </w:t>
      </w:r>
      <w:r>
        <w:rPr>
          <w:i/>
        </w:rPr>
        <w:t>campi</w:t>
      </w:r>
      <w:r>
        <w:t xml:space="preserve"> do interior. Foram desenvolvidos três programas com impacto direto em sala de aula e laboratórios de pesquisa, com investimento de R$ 5.467.449,00. Os programas Ensinar com Pesquisa, Sala de Apoio Pró-Aluno e Programa de Estímulo ao Ensino de Graduação envolveram 1.110 alunos e 850 professores em todas as Unidades de Ensino e Pesquisa da USP.</w:t>
      </w:r>
    </w:p>
    <w:p w:rsidR="003E6588" w:rsidRDefault="003E6588">
      <w:pPr>
        <w:ind w:firstLine="1134"/>
        <w:jc w:val="both"/>
        <w:rPr>
          <w:b/>
          <w:bCs/>
        </w:rPr>
      </w:pPr>
    </w:p>
    <w:p w:rsidR="003E6588" w:rsidRDefault="003E6588">
      <w:pPr>
        <w:ind w:firstLine="1134"/>
        <w:jc w:val="both"/>
      </w:pPr>
      <w:r>
        <w:rPr>
          <w:b/>
        </w:rPr>
        <w:t>Descentralização e transparência na gestão -</w:t>
      </w:r>
      <w:r>
        <w:t xml:space="preserve"> Descentralização, para Unidades de Ensino e Pesquisa, do processo de reformulação das estruturas curriculares dos cursos de graduação, para ampliar autonomia e agilizar atualizações dos currículos.</w:t>
      </w:r>
    </w:p>
    <w:p w:rsidR="003E6588" w:rsidRDefault="003E6588">
      <w:pPr>
        <w:ind w:firstLine="1134"/>
        <w:jc w:val="both"/>
        <w:rPr>
          <w:b/>
        </w:rPr>
      </w:pPr>
    </w:p>
    <w:p w:rsidR="003E6588" w:rsidRDefault="003E6588">
      <w:pPr>
        <w:ind w:firstLine="1134"/>
        <w:jc w:val="both"/>
      </w:pPr>
      <w:r>
        <w:rPr>
          <w:b/>
        </w:rPr>
        <w:t>Aprimoramento e ampliação do processo de inclusão social - Inclusp -</w:t>
      </w:r>
      <w:r>
        <w:t xml:space="preserve"> Para ampliar número de estudantes de escolas públicas nos cursos de graduação da USP e aprimorar o processo de inclusão social foi promovida modificação no Sistema de Pontuação Acrescida (</w:t>
      </w:r>
      <w:r>
        <w:rPr>
          <w:i/>
        </w:rPr>
        <w:t>bônus</w:t>
      </w:r>
      <w:r>
        <w:t xml:space="preserve">) para candidatos que participam do vestibular da Fuvest. O sistema de bonificação modificado passou a atribuir a pontuação total para os candidatos Inclusp: 12% para alunos que cursaram integralmente o ensino médio em escolas públicas e 15% para os que cursaram os ensinos fundamental e médio em escolas </w:t>
      </w:r>
      <w:r>
        <w:lastRenderedPageBreak/>
        <w:t>públicas. Para os candidatos Pasusp e autodeclarados pretos, pardos ou indígenas (grupo PPI), o bônus completo foi de 25%. Para dar maior visibilidade aos cursos de graduação da USP e do novo Sistema de Pontuação Acrescida (bônus), foi criada a campanha “</w:t>
      </w:r>
      <w:r>
        <w:rPr>
          <w:i/>
        </w:rPr>
        <w:t>#vocetambempode”</w:t>
      </w:r>
      <w:r>
        <w:t>, que visa aumentar o ingresso de estudantes de escolas públicas nos cursos da Universidade.</w:t>
      </w:r>
    </w:p>
    <w:p w:rsidR="003E6588" w:rsidRDefault="003E6588">
      <w:pPr>
        <w:ind w:firstLine="1134"/>
        <w:jc w:val="both"/>
      </w:pPr>
    </w:p>
    <w:p w:rsidR="003E6588" w:rsidRDefault="003E6588">
      <w:pPr>
        <w:ind w:firstLine="1134"/>
        <w:jc w:val="both"/>
      </w:pPr>
      <w:r>
        <w:rPr>
          <w:b/>
        </w:rPr>
        <w:t>Integração dos estudantes por meio do esporte -</w:t>
      </w:r>
      <w:r>
        <w:t xml:space="preserve"> Entre as ações, destacam-se o “I Torneio de </w:t>
      </w:r>
      <w:r>
        <w:rPr>
          <w:i/>
        </w:rPr>
        <w:t>Rugby”,</w:t>
      </w:r>
      <w:r>
        <w:t xml:space="preserve"> que aconteceu no Centro de Práticas Esportivas da USP, e a realização de seminário temático, que apontou os benefícios do esporte para a integração dos alunos e para a saúde física e mental.</w:t>
      </w:r>
    </w:p>
    <w:p w:rsidR="003E6588" w:rsidRDefault="003E6588">
      <w:pPr>
        <w:ind w:firstLine="1134"/>
        <w:jc w:val="both"/>
      </w:pPr>
    </w:p>
    <w:p w:rsidR="003E6588" w:rsidRDefault="003E6588">
      <w:pPr>
        <w:ind w:firstLine="1134"/>
        <w:jc w:val="both"/>
      </w:pPr>
      <w:r>
        <w:rPr>
          <w:b/>
        </w:rPr>
        <w:t>Atualização do Programa de Formação de Professores -</w:t>
      </w:r>
      <w:r>
        <w:t xml:space="preserve"> Programa de Formação de Professores da USP, envolveu 47 alunos monitores dos programas de Pós-Graduação para atuarem em conjunto com 45 professores em atividades associadas aos cursos de Licenciaturas. A revisão das metas e atualização do programa foi tema do evento denominado “Jornada das Licenciaturas”, que aconteceu no </w:t>
      </w:r>
      <w:r>
        <w:rPr>
          <w:i/>
        </w:rPr>
        <w:t>campus</w:t>
      </w:r>
      <w:r>
        <w:t xml:space="preserve"> de São Carlos.</w:t>
      </w:r>
    </w:p>
    <w:p w:rsidR="003E6588" w:rsidRDefault="003E6588">
      <w:pPr>
        <w:ind w:firstLine="1134"/>
        <w:jc w:val="both"/>
      </w:pPr>
    </w:p>
    <w:p w:rsidR="003E6588" w:rsidRDefault="003E6588">
      <w:pPr>
        <w:ind w:firstLine="1134"/>
        <w:jc w:val="both"/>
      </w:pPr>
      <w:r>
        <w:rPr>
          <w:b/>
          <w:bCs/>
        </w:rPr>
        <w:t>Programa de Pós-Doutorado -</w:t>
      </w:r>
      <w:r>
        <w:t xml:space="preserve"> Foi expandido para 2 mil pós-doutores. Trata-se de programa de pesquisa, realizado nas unidades, museus e instituto, por portadores de título de doutor, com o objetivo de melhorar o nível de excelência científica da Universidade.</w:t>
      </w:r>
    </w:p>
    <w:p w:rsidR="003E6588" w:rsidRDefault="003E6588">
      <w:pPr>
        <w:ind w:firstLine="1134"/>
        <w:jc w:val="both"/>
        <w:rPr>
          <w:b/>
          <w:bCs/>
        </w:rPr>
      </w:pPr>
    </w:p>
    <w:p w:rsidR="003E6588" w:rsidRDefault="003E6588">
      <w:pPr>
        <w:ind w:firstLine="1134"/>
        <w:jc w:val="both"/>
      </w:pPr>
      <w:r>
        <w:rPr>
          <w:b/>
          <w:bCs/>
        </w:rPr>
        <w:t>Ciência na Graduação -</w:t>
      </w:r>
      <w:r>
        <w:t xml:space="preserve"> Foram cadastrados, para o “22º Simpósio Internacional de Iniciação Científica e Tecnológica”, 4.222 inscritos. </w:t>
      </w:r>
      <w:r>
        <w:rPr>
          <w:color w:val="000000"/>
          <w:shd w:val="clear" w:color="auto" w:fill="FFFFFF"/>
        </w:rPr>
        <w:t>O simpósio tem como objetivo a divulgação dos resultados de projetos de pesquisas científicas e tecnológicas realizadas pelos alunos de graduação da universidade e de outras instituições nacionais e internacionais.</w:t>
      </w:r>
    </w:p>
    <w:p w:rsidR="003E6588" w:rsidRDefault="003E6588">
      <w:pPr>
        <w:ind w:firstLine="1134"/>
        <w:jc w:val="both"/>
        <w:rPr>
          <w:b/>
          <w:bCs/>
        </w:rPr>
      </w:pPr>
    </w:p>
    <w:p w:rsidR="003E6588" w:rsidRDefault="003E6588">
      <w:pPr>
        <w:ind w:firstLine="1134"/>
        <w:jc w:val="both"/>
      </w:pPr>
      <w:r>
        <w:rPr>
          <w:b/>
          <w:bCs/>
        </w:rPr>
        <w:t xml:space="preserve">Novos projetos desenvolvidos na Pós-Graduação - </w:t>
      </w:r>
      <w:r>
        <w:t>45 cursos receberam o conceito 6. No Brasil, a USP responde por 22% dos programas com conceitos 6 e 7. Além disso, 66 programas ficaram com a nota 5, 60 receberam nota 4 e 15 receberam conceito 3. Há 20 Programas de Mestrado Profissional.</w:t>
      </w:r>
    </w:p>
    <w:p w:rsidR="003E6588" w:rsidRDefault="003E6588">
      <w:pPr>
        <w:ind w:firstLine="1134"/>
        <w:jc w:val="both"/>
        <w:rPr>
          <w:b/>
          <w:bCs/>
        </w:rPr>
      </w:pPr>
    </w:p>
    <w:p w:rsidR="003E6588" w:rsidRDefault="003E6588">
      <w:pPr>
        <w:ind w:firstLine="1134"/>
        <w:jc w:val="both"/>
        <w:rPr>
          <w:b/>
          <w:shd w:val="clear" w:color="auto" w:fill="FFFFFF"/>
        </w:rPr>
      </w:pPr>
      <w:r>
        <w:rPr>
          <w:b/>
          <w:bCs/>
        </w:rPr>
        <w:t>Relacionamento com a sociedade -</w:t>
      </w:r>
      <w:r>
        <w:rPr>
          <w:shd w:val="clear" w:color="auto" w:fill="FFFFFF"/>
        </w:rPr>
        <w:t xml:space="preserve"> Oferecidos 1.062 cursos de extensão universitária (aperfeiçoamento, atualização, difusão, especialização, prática profissionalizante e atualização), que contaram com 22.556 mil participantes.</w:t>
      </w:r>
    </w:p>
    <w:p w:rsidR="003E6588" w:rsidRDefault="003E6588">
      <w:pPr>
        <w:ind w:firstLine="1134"/>
        <w:jc w:val="both"/>
        <w:rPr>
          <w:b/>
          <w:shd w:val="clear" w:color="auto" w:fill="FFFFFF"/>
        </w:rPr>
      </w:pPr>
    </w:p>
    <w:p w:rsidR="003E6588" w:rsidRDefault="003E6588">
      <w:pPr>
        <w:ind w:firstLine="1134"/>
        <w:jc w:val="both"/>
        <w:rPr>
          <w:shd w:val="clear" w:color="auto" w:fill="FFFFFF"/>
        </w:rPr>
      </w:pPr>
      <w:r>
        <w:rPr>
          <w:b/>
          <w:shd w:val="clear" w:color="auto" w:fill="FFFFFF"/>
        </w:rPr>
        <w:t>Programa de Apoio à Permanência e Formação Estudantil -</w:t>
      </w:r>
      <w:r>
        <w:rPr>
          <w:shd w:val="clear" w:color="auto" w:fill="FFFFFF"/>
        </w:rPr>
        <w:t xml:space="preserve"> Tem como objetivo fornecer condições, por meio de bolsas e apoios financeiros, para que estudante mantenha e amplie atividades na academia, visando concluir o curso, reduzindo evasão e contribuindo para formação acadêmica integral. 5.496, auxílio-alimentação; 2.923, auxílio-moradia; 986, auxílio-transporte; 700 estudantes receberam auxílio-livros e 470 alunos receberam apoio moradia-vaga.</w:t>
      </w:r>
    </w:p>
    <w:p w:rsidR="003E6588" w:rsidRDefault="003E6588">
      <w:pPr>
        <w:ind w:firstLine="1134"/>
        <w:jc w:val="both"/>
        <w:rPr>
          <w:b/>
        </w:rPr>
      </w:pPr>
    </w:p>
    <w:p w:rsidR="003E6588" w:rsidRDefault="003E6588">
      <w:pPr>
        <w:ind w:firstLine="1134"/>
        <w:jc w:val="both"/>
      </w:pPr>
      <w:r>
        <w:rPr>
          <w:b/>
        </w:rPr>
        <w:t>Plano de Obras -</w:t>
      </w:r>
      <w:r>
        <w:t xml:space="preserve"> Definidos critérios técnicos para continuidade de empreendimentos e intervenções, dentro da conjuntura financeira existente. Principais realizações foram as de serviços para mitigar os problemas ambientais da USP Leste, que levaram à interdição do </w:t>
      </w:r>
      <w:r>
        <w:rPr>
          <w:i/>
        </w:rPr>
        <w:t>campus</w:t>
      </w:r>
      <w:r>
        <w:t xml:space="preserve"> e, depois da </w:t>
      </w:r>
      <w:r>
        <w:lastRenderedPageBreak/>
        <w:t xml:space="preserve">liberação, instalação de dutos de extração de gases do solo e monitoramento da contaminação do solo. Obras em curso foram finalizadas, dentre elas reforma do edifício da Reitoria e construção do novo edifício do Conselho Universitário, em São Paulo; além de reformas, ampliações e novas edificações nos </w:t>
      </w:r>
      <w:r>
        <w:rPr>
          <w:i/>
        </w:rPr>
        <w:t xml:space="preserve">campi </w:t>
      </w:r>
      <w:r>
        <w:t>de Pirassununga, Ribeirão Preto, Bauru, São Carlos e Piracicaba. Em Ribeirão Preto, o núcleo do parque tecnológico está em construção, em área de 373 mil m², para instalações de empresas de base tecnológica e incubadora com 44 empresas.</w:t>
      </w:r>
    </w:p>
    <w:p w:rsidR="003E6588" w:rsidRDefault="003E6588">
      <w:pPr>
        <w:ind w:firstLine="1134"/>
        <w:jc w:val="both"/>
      </w:pPr>
    </w:p>
    <w:p w:rsidR="003E6588" w:rsidRDefault="003E6588">
      <w:pPr>
        <w:ind w:firstLine="1134"/>
        <w:jc w:val="both"/>
      </w:pPr>
    </w:p>
    <w:p w:rsidR="003E6588" w:rsidRDefault="003E6588">
      <w:pPr>
        <w:rPr>
          <w:b/>
        </w:rPr>
      </w:pPr>
      <w:r>
        <w:rPr>
          <w:b/>
        </w:rPr>
        <w:t>FACULDADE DE MEDICINA DE MARÍLIA - FAMEMA</w:t>
      </w:r>
    </w:p>
    <w:p w:rsidR="003E6588" w:rsidRDefault="003E6588">
      <w:pPr>
        <w:ind w:firstLine="1134"/>
        <w:jc w:val="both"/>
        <w:rPr>
          <w:strike/>
        </w:rPr>
      </w:pPr>
    </w:p>
    <w:p w:rsidR="003E6588" w:rsidRDefault="003E6588">
      <w:pPr>
        <w:ind w:firstLine="1134"/>
        <w:jc w:val="both"/>
        <w:rPr>
          <w:strike/>
        </w:rPr>
      </w:pPr>
    </w:p>
    <w:p w:rsidR="003E6588" w:rsidRDefault="003E6588">
      <w:pPr>
        <w:ind w:firstLine="1134"/>
        <w:jc w:val="both"/>
      </w:pPr>
      <w:r>
        <w:t>A Famema constitui complexo integrado de hospitais de ensino que oferecem campo de estágios para os cursos de graduação de Medicina e Enfermagem, como também para os programas de Residência Médica e Multiprofissional.</w:t>
      </w:r>
    </w:p>
    <w:p w:rsidR="003E6588" w:rsidRDefault="003E6588">
      <w:pPr>
        <w:ind w:firstLine="1134"/>
        <w:jc w:val="both"/>
        <w:rPr>
          <w:b/>
        </w:rPr>
      </w:pPr>
    </w:p>
    <w:p w:rsidR="003E6588" w:rsidRDefault="003E6588">
      <w:pPr>
        <w:ind w:firstLine="1134"/>
        <w:jc w:val="both"/>
      </w:pPr>
      <w:r>
        <w:rPr>
          <w:b/>
        </w:rPr>
        <w:t xml:space="preserve">Graduação - </w:t>
      </w:r>
      <w:r>
        <w:t xml:space="preserve">Curso de Medicina tem 480 estudantes. O curso de Enfermagem tem 144 estudantes. O curso de Medicina da Famema foi classificado como o melhor do Estado e o terceiro mais bem colocado do País no Exame Nacional do Desempenho dos Estudantes - Enade 2010, com conceito 4,60. O curso ficou na faixa 5 da avaliação do MEC. Os cursos de Medicina e de Enfermagem da Famema foram destaques no </w:t>
      </w:r>
      <w:r>
        <w:rPr>
          <w:i/>
        </w:rPr>
        <w:t>Ranking</w:t>
      </w:r>
      <w:r>
        <w:t xml:space="preserve"> Universitário Folha - RUF 2014, divulgado pelo jornal Folha de São Paulo, com classificação entre os dez melhores no Estado. Os cursos de Medicina e de Enfermagem da Famema se destacaram no Guia do Estudante Melhores Universidades 2014, da Editora Abril. O curso de Medicina recebeu a classificação de quatro estrelas no Guia do Estudante. Já o de Enfermagem recebeu cinco estrelas. A Famema possui 203 docentes e 119 assistentes de ensino, sendo 149 especialistas, 65 mestres, 99 doutores, 10 pós-doutores e 2 livres-docentes.</w:t>
      </w:r>
    </w:p>
    <w:p w:rsidR="003E6588" w:rsidRDefault="003E6588">
      <w:pPr>
        <w:ind w:firstLine="1134"/>
        <w:jc w:val="both"/>
        <w:rPr>
          <w:b/>
        </w:rPr>
      </w:pPr>
    </w:p>
    <w:p w:rsidR="003E6588" w:rsidRDefault="003E6588">
      <w:pPr>
        <w:ind w:firstLine="1134"/>
        <w:jc w:val="both"/>
      </w:pPr>
      <w:r>
        <w:rPr>
          <w:b/>
        </w:rPr>
        <w:t xml:space="preserve">Pós-graduação - </w:t>
      </w:r>
      <w:r>
        <w:t xml:space="preserve">Destaques para os cursos </w:t>
      </w:r>
      <w:r>
        <w:rPr>
          <w:i/>
        </w:rPr>
        <w:t>stricto sensu</w:t>
      </w:r>
      <w:r>
        <w:t xml:space="preserve"> de Envelhecimento e Saúde (mestrado acadêmico/doutorado) e de Ensino em Saúde (mestrado profissional). Também para os cursos de Residência Multiprofissional. Oferece Especialização em Psicoterapias de Orientação Psicanalítica, Aprimoramento em Saúde Mental, Nutrição Clínica, Hemoterapia e Saúde da Família e o Programa de Residência Médica, com 93 vagas credenciadas em 25 áreas.</w:t>
      </w:r>
    </w:p>
    <w:p w:rsidR="003E6588" w:rsidRDefault="003E6588">
      <w:pPr>
        <w:ind w:firstLine="1134"/>
        <w:jc w:val="both"/>
        <w:rPr>
          <w:b/>
        </w:rPr>
      </w:pPr>
    </w:p>
    <w:p w:rsidR="003E6588" w:rsidRDefault="003E6588">
      <w:pPr>
        <w:ind w:firstLine="1134"/>
        <w:jc w:val="both"/>
      </w:pPr>
      <w:r>
        <w:rPr>
          <w:b/>
        </w:rPr>
        <w:t xml:space="preserve">Complexo Assistencial Famema - </w:t>
      </w:r>
      <w:r>
        <w:t xml:space="preserve">Formado pelo Hospital das Clínicas - Unidade I (Clínico-Cirúrgica de Média e Alta Complexidade, Oncologia, Urgência e Emergência); HC II - Unidade Materno Infantil (Pediatria, Ginecologia, Obstetrícia, Urgência e Emergência); HC III - Unidade São Francisco (Saúde Mental, Hospital de Retaguarda nas áreas Clínica e Cirúrgica, Oftalmologia); Hemocentro - (Ambulatório de Hematologia, Hemoterapia e Laboratório de Patologias Clínicas) e Ambulatório Médico de Especialidades Governador Mário Covas. O Complexo Famema atendeu 1.711.835 procedimentos relacionados a consultas, cirurgias, exames e internações. O número de consultas foi de 687.809. Foram 21.470 cirurgias e pequenas cirurgias realizadas. As internações chegaram a 13.104 nas unidades do complexo assistencial. Atualmente, o Complexo tem 2.454 funcionários: Hospital das Clínicas-I com 605 colaboradores, o HC - II - Materno Infantil com 317, HC III - 100, Hemocentro com 209, Faculdade (Técnicos Administrativos+Docentes) 458, Administração </w:t>
      </w:r>
      <w:r>
        <w:lastRenderedPageBreak/>
        <w:t>com 300, Serviço de Apoio 422 e Centro Lucy Montoro com 43. O Estado proporciona investimentos para ampliação, reforma e modernização do Hospital das Clínicas - Unidade I. As obras estão sendo realizadas em quatro etapas. Foram concluídas as obras de reforma da Ala B para 20 leitos e construção da Central de Material, Lavanderia Climatizada e nova cabine de força de alta tensão. Foram licitadas ampliação e reforma de 4 andares da Ala C do Hospital das Clínicas no espaço localizado na Rua Aziz Atallah. Foi inaugurado o Centro de Reabilitação Lucy Montoro com área construída de 3.500 m², em parceria com as Secretarias da Saúde e dos Direitos da Pessoa com Deficiência. O Serviço de Oncologia da Famema passou a realizar atendimentos no novo prédio, no modelo hospital/dia. Os trabalhos realizados pela Comissão constituída pela Casa Civil definiram novo formato para a instituição, mediante a criação de Autarquia de Atenção à Saúde para as unidades da área assistencial, ligada à Secretaria da Saúde. A Autarquia HC Famema, cujo projeto de lei complementar recebeu pareceres favoráveis em todas as comissões internas, está na Ordem do Dia para votação em plenário na Assembleia Legislativa.</w:t>
      </w:r>
    </w:p>
    <w:p w:rsidR="003E6588" w:rsidRDefault="003E6588">
      <w:pPr>
        <w:ind w:firstLine="1134"/>
        <w:jc w:val="both"/>
      </w:pPr>
    </w:p>
    <w:p w:rsidR="003E6588" w:rsidRDefault="003E6588">
      <w:pPr>
        <w:ind w:firstLine="1134"/>
        <w:jc w:val="both"/>
      </w:pPr>
    </w:p>
    <w:p w:rsidR="003E6588" w:rsidRDefault="003E6588">
      <w:pPr>
        <w:rPr>
          <w:b/>
        </w:rPr>
      </w:pPr>
      <w:r>
        <w:rPr>
          <w:b/>
        </w:rPr>
        <w:t>FACULDADE DE MEDICINA DE SÃO JOSÉ DO RIO PRETO - FAMERP</w:t>
      </w:r>
    </w:p>
    <w:p w:rsidR="003E6588" w:rsidRDefault="003E6588">
      <w:pPr>
        <w:ind w:firstLine="1134"/>
        <w:jc w:val="both"/>
      </w:pPr>
    </w:p>
    <w:p w:rsidR="003E6588" w:rsidRDefault="003E6588">
      <w:pPr>
        <w:ind w:firstLine="1134"/>
        <w:jc w:val="both"/>
      </w:pPr>
    </w:p>
    <w:p w:rsidR="003E6588" w:rsidRDefault="003E6588">
      <w:pPr>
        <w:ind w:firstLine="1134"/>
        <w:jc w:val="both"/>
      </w:pPr>
      <w:r>
        <w:t xml:space="preserve">O número de alunos cursando a graduação na Famerp foi de 572, sendo 401 no curso de medicina e 171 em enfermagem. Foram 80 novos alunos para medicina e 54 para enfermagem. No curso de pós-graduação </w:t>
      </w:r>
      <w:r>
        <w:rPr>
          <w:i/>
        </w:rPr>
        <w:t>stricto sensu</w:t>
      </w:r>
      <w:r>
        <w:t xml:space="preserve"> de Medicina, são 216 alunos no programa Ciências da Saúde, 123 no mestrado e 93 no doutorado. Na pós-graduação </w:t>
      </w:r>
      <w:r>
        <w:rPr>
          <w:i/>
        </w:rPr>
        <w:t>stricto sensu</w:t>
      </w:r>
      <w:r>
        <w:t xml:space="preserve"> enfermagem, são 46 alunos, todos no mestrado. Na pós-graduação </w:t>
      </w:r>
      <w:r>
        <w:rPr>
          <w:i/>
        </w:rPr>
        <w:t>stricto sensu</w:t>
      </w:r>
      <w:r>
        <w:t xml:space="preserve"> Psicologia e Saúde, a faculdade possuiu 33 alunos no mestrado. Foram 404 ressidentes. Foram oferecidos 64 programas de residência médica. Atualmente trabalham na Famerp 281 docentes e 264 funcionários técnicos e administrativos.</w:t>
      </w:r>
    </w:p>
    <w:p w:rsidR="003E6588" w:rsidRDefault="003E6588">
      <w:pPr>
        <w:ind w:firstLine="1134"/>
        <w:jc w:val="both"/>
      </w:pPr>
    </w:p>
    <w:p w:rsidR="003E6588" w:rsidRDefault="003E6588">
      <w:pPr>
        <w:ind w:firstLine="1134"/>
        <w:jc w:val="both"/>
      </w:pPr>
      <w:r>
        <w:t>Programas de Pós-Graduação receberam da Capes o valor de R$ 115.000,00, para despesas com apoio à Pós-Graduação (alunos e professores). Foram concedidas 22 bolsas para o Programa Ciências da Saúde, sendo 10 para mestrado e 12 para doutorado. No programa de enfermagem, foram 4 bolsas de mestrado; no programa de pós-doutorado, foram 3 bolsas, sendo 1 para o programa de enfermagem e 2 para o programa ciências da saúde. No programa de pós-graduação em Enfermagem, 11 dissertações de mestrado foram defendidas. No programa de pós em Ciências da Saúde foram defendidas 60 teses, com aporte de recursos de CNPq, Fapesp e Capes.</w:t>
      </w:r>
    </w:p>
    <w:p w:rsidR="003E6588" w:rsidRDefault="003E6588">
      <w:pPr>
        <w:ind w:firstLine="1134"/>
        <w:jc w:val="both"/>
        <w:rPr>
          <w:b/>
        </w:rPr>
      </w:pPr>
    </w:p>
    <w:p w:rsidR="003E6588" w:rsidRDefault="003E6588">
      <w:pPr>
        <w:ind w:firstLine="1134"/>
        <w:jc w:val="both"/>
      </w:pPr>
      <w:r>
        <w:t>A Diretoria de Extensão promoveu 120 eventos entre cursos, simpósios, seminários, palestras, campanhas, capacitações e projetos comunitários. No total, 2.587 pessoas participaram. As ligas promoveram 25 eventos, que contemplaram 250 alunos dos cursos de medicina e enfermagem.</w:t>
      </w:r>
    </w:p>
    <w:p w:rsidR="003E6588" w:rsidRDefault="003E6588">
      <w:pPr>
        <w:ind w:firstLine="1134"/>
        <w:jc w:val="both"/>
      </w:pPr>
    </w:p>
    <w:p w:rsidR="003E6588" w:rsidRDefault="003E6588">
      <w:pPr>
        <w:ind w:firstLine="1134"/>
        <w:jc w:val="both"/>
      </w:pPr>
      <w:r>
        <w:t xml:space="preserve">A biblioteca possui acervo com 25.194 exemplares de livros, sendo 12.708 títulos. Número de periódicos é de 60.984, um total de 1.057 títulos. Foram 20.110 empréstimos; 104.201 registros de alunos na biblioteca e a incorporação de 339 títulos. Foi liberado acesso temporário às Bases de Dados: </w:t>
      </w:r>
      <w:r>
        <w:rPr>
          <w:i/>
        </w:rPr>
        <w:t>AAAS - Science, Bentham,</w:t>
      </w:r>
      <w:r>
        <w:t xml:space="preserve"> Credo, Digitalia, </w:t>
      </w:r>
      <w:r>
        <w:rPr>
          <w:i/>
        </w:rPr>
        <w:t>IG Publishing</w:t>
      </w:r>
      <w:r>
        <w:t xml:space="preserve">, MedicinaNET e </w:t>
      </w:r>
      <w:r>
        <w:rPr>
          <w:i/>
        </w:rPr>
        <w:t>E-volution</w:t>
      </w:r>
      <w:r>
        <w:t xml:space="preserve">. Biblioteca recebeu três novas impressoras, sistemas de biometria e implantação da Capes </w:t>
      </w:r>
      <w:r>
        <w:rPr>
          <w:i/>
        </w:rPr>
        <w:t>Web</w:t>
      </w:r>
      <w:r>
        <w:t xml:space="preserve"> TV. A Famerp </w:t>
      </w:r>
      <w:r>
        <w:lastRenderedPageBreak/>
        <w:t xml:space="preserve">disponibilizou Módulo de Notas Intermediárias, sistema que justifica de maneira </w:t>
      </w:r>
      <w:r>
        <w:rPr>
          <w:i/>
        </w:rPr>
        <w:t>on line</w:t>
      </w:r>
      <w:r>
        <w:t xml:space="preserve"> notas de trabalhos, avaliações e outras atividades, antes de serem anexadas às médias finais. O </w:t>
      </w:r>
      <w:r>
        <w:rPr>
          <w:i/>
        </w:rPr>
        <w:t>site</w:t>
      </w:r>
      <w:r>
        <w:t xml:space="preserve"> da instituição ganhou uma versão </w:t>
      </w:r>
      <w:r>
        <w:rPr>
          <w:i/>
        </w:rPr>
        <w:t>mobile</w:t>
      </w:r>
      <w:r>
        <w:t>. Setenta e seis computadores da instituição passaram por manutenção. O Centro Acadêmico de Enfermagem recebeu três novas antenas de rede sem fio. O Laboratório Multiusuário - LMU passou por reformulação para atender à comunidade de pesquisadores. A Famerp foi mais uma vez selecionada para o Projeto Rondon.</w:t>
      </w:r>
    </w:p>
    <w:p w:rsidR="003E6588" w:rsidRDefault="003E6588">
      <w:pPr>
        <w:ind w:firstLine="1134"/>
        <w:jc w:val="both"/>
      </w:pPr>
    </w:p>
    <w:p w:rsidR="003E6588" w:rsidRDefault="003E6588">
      <w:pPr>
        <w:ind w:firstLine="1134"/>
        <w:jc w:val="both"/>
      </w:pPr>
      <w:r>
        <w:t>Para ampliar a prática médica e de enfermagem durante as aulas, a Famerp está desenvolvendo um Laboratório de Habilidades. O investimento de aproximadamente R$ 2 milhões inclui um espaço de 700 m² e equipamentos, como simuladores realísticos para aprendizado. Com os simuladores será possível treinamento para sutura, traumas, parada cardíaca.</w:t>
      </w:r>
    </w:p>
    <w:p w:rsidR="003E6588" w:rsidRDefault="003E6588">
      <w:pPr>
        <w:ind w:firstLine="1134"/>
        <w:jc w:val="both"/>
      </w:pPr>
    </w:p>
    <w:p w:rsidR="003E6588" w:rsidRDefault="003E6588">
      <w:pPr>
        <w:ind w:firstLine="1134"/>
        <w:jc w:val="both"/>
      </w:pPr>
      <w:r>
        <w:t>O novo auditório, com 2.348m² e capacidade para 838 pessoas, está sendo construído. O valor do investimento é de R$ 2,8 milhões. O projeto arquitetônico viabiliza a divisão do local em cinco salas menores. Construção está sendo realizada no andar térreo do prédio Bloco U-6.</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Comissão de Avaliação da Política de Desenvolvimento Econômico do Estado de São Paulo - </w:t>
      </w:r>
      <w:r>
        <w:rPr>
          <w:rFonts w:ascii="Times New Roman" w:hAnsi="Times New Roman"/>
          <w:sz w:val="24"/>
          <w:szCs w:val="24"/>
        </w:rPr>
        <w:t>Composta pelas Secretarias de Desenvolvimento Econômico, Ciência, Tecnologia e Inovação, Fazenda e Planejamento e Desenvolvimento Regional, analisa demandas tributárias, propondo modificações e atualizações da legislação. O papel da SDECTI na Comissão é receber os pleitos de empresas, associações ou entidades e discutir, em conjunto com as outras Pastas, a viabilidade da demanda.</w:t>
      </w:r>
    </w:p>
    <w:p w:rsidR="003E6588" w:rsidRDefault="003E6588">
      <w:pPr>
        <w:ind w:firstLine="1134"/>
        <w:jc w:val="both"/>
      </w:pPr>
    </w:p>
    <w:p w:rsidR="003E6588" w:rsidRDefault="003E6588">
      <w:pPr>
        <w:ind w:firstLine="1134"/>
        <w:jc w:val="both"/>
      </w:pPr>
      <w:r>
        <w:t>Entre decretos aprovados e publicados, destacam-se:</w:t>
      </w:r>
    </w:p>
    <w:p w:rsidR="003E6588" w:rsidRDefault="003E6588">
      <w:pPr>
        <w:ind w:firstLine="1134"/>
        <w:jc w:val="both"/>
      </w:pPr>
    </w:p>
    <w:p w:rsidR="003E6588" w:rsidRDefault="003E6588">
      <w:pPr>
        <w:ind w:firstLine="1134"/>
        <w:jc w:val="both"/>
      </w:pPr>
      <w:r>
        <w:t>- Decreto nº 60.056/2014, que concede suspensão parcial e crédito outorgado de 4% no desembaraço aduaneiro de catodo de cobre;</w:t>
      </w:r>
    </w:p>
    <w:p w:rsidR="003E6588" w:rsidRDefault="003E6588">
      <w:pPr>
        <w:ind w:firstLine="1134"/>
        <w:jc w:val="both"/>
      </w:pPr>
    </w:p>
    <w:p w:rsidR="003E6588" w:rsidRDefault="003E6588">
      <w:pPr>
        <w:ind w:firstLine="1134"/>
        <w:jc w:val="both"/>
      </w:pPr>
      <w:r>
        <w:t>- Decreto nº 60.057/2014, que concede redução de base de cálculo do ICMS incidente na saída interna de tubos, laminados e ligas de cobre;</w:t>
      </w:r>
    </w:p>
    <w:p w:rsidR="003E6588" w:rsidRDefault="003E6588">
      <w:pPr>
        <w:ind w:firstLine="1134"/>
        <w:jc w:val="both"/>
      </w:pPr>
    </w:p>
    <w:p w:rsidR="003E6588" w:rsidRDefault="003E6588">
      <w:pPr>
        <w:ind w:firstLine="1134"/>
        <w:jc w:val="both"/>
      </w:pPr>
      <w:r>
        <w:t>- Decreto nº 60.058/2014, que concede redução de base de cálculo nas operações com componentes de sistemas espaciais identificados no Anexo Único do Convênio ICMS 148/2013, destinadas à empresa Visiona Tecnologia Espacial S.A., com a finalidade de implantar o sistema do Satélite Geoestacionário de Defesa e Comunicações Estratégicas Brasileiro - SGDC;</w:t>
      </w:r>
    </w:p>
    <w:p w:rsidR="003E6588" w:rsidRDefault="003E6588">
      <w:pPr>
        <w:ind w:firstLine="1134"/>
        <w:jc w:val="both"/>
      </w:pPr>
    </w:p>
    <w:p w:rsidR="003E6588" w:rsidRDefault="003E6588">
      <w:pPr>
        <w:ind w:firstLine="1134"/>
        <w:jc w:val="both"/>
      </w:pPr>
      <w:r>
        <w:t>- Decreto nº 60.059/2014, que concede isenção do ICMS nas saídas realizadas com bolas de aço forjadas e fundidas;</w:t>
      </w:r>
    </w:p>
    <w:p w:rsidR="003E6588" w:rsidRDefault="003E6588">
      <w:pPr>
        <w:ind w:firstLine="1134"/>
        <w:jc w:val="both"/>
      </w:pPr>
    </w:p>
    <w:p w:rsidR="003E6588" w:rsidRDefault="003E6588">
      <w:pPr>
        <w:ind w:firstLine="1134"/>
        <w:jc w:val="both"/>
      </w:pPr>
      <w:r>
        <w:t>- Decreto nº 60.062/2014, que concede às saídas de retroescavadeiras o crédito outorgado mencionado no artigo 36 do Anexo III do Regulamento do ICMS do Estado;</w:t>
      </w:r>
    </w:p>
    <w:p w:rsidR="003E6588" w:rsidRDefault="003E6588">
      <w:pPr>
        <w:ind w:firstLine="1134"/>
        <w:jc w:val="both"/>
      </w:pPr>
    </w:p>
    <w:p w:rsidR="003E6588" w:rsidRDefault="003E6588">
      <w:pPr>
        <w:ind w:firstLine="1134"/>
        <w:jc w:val="both"/>
      </w:pPr>
      <w:r>
        <w:lastRenderedPageBreak/>
        <w:t>- Decreto nº 60.063/2014, que concede às operações com lâmpada LED, luminária LED, refletor LED, fita LED e painel LED os mesmos benefícios concedidos às lâmpadas LED mencionados nos artigos 395-F, 395-G, 29 das DDTT e 55 do Anexo II do Regulamento do ICMS do Estado;</w:t>
      </w:r>
    </w:p>
    <w:p w:rsidR="006A574D" w:rsidRDefault="006A574D">
      <w:pPr>
        <w:ind w:firstLine="1134"/>
        <w:jc w:val="both"/>
      </w:pPr>
    </w:p>
    <w:p w:rsidR="003E6588" w:rsidRDefault="003E6588">
      <w:pPr>
        <w:ind w:firstLine="1134"/>
        <w:jc w:val="both"/>
      </w:pPr>
      <w:r>
        <w:t xml:space="preserve">- Decreto nº 60.064/2014, que concede redução de base de cálculo nas saídas de carrocerias sobre </w:t>
      </w:r>
      <w:r>
        <w:rPr>
          <w:i/>
        </w:rPr>
        <w:t>chassis</w:t>
      </w:r>
      <w:r>
        <w:t>, reboques e semirreboques e vagões ferroviários;</w:t>
      </w:r>
    </w:p>
    <w:p w:rsidR="003E6588" w:rsidRDefault="003E6588">
      <w:pPr>
        <w:ind w:firstLine="1134"/>
        <w:jc w:val="both"/>
      </w:pPr>
    </w:p>
    <w:p w:rsidR="003E6588" w:rsidRDefault="003E6588">
      <w:pPr>
        <w:ind w:firstLine="1134"/>
        <w:jc w:val="both"/>
      </w:pPr>
      <w:r>
        <w:t>- Decreto nº 60.297/2014, que concede suspensão do ICMS na importação ou tomada punica e integral de crédito na operação interna de aquisição de bens do ativo imobilizado para contribuinte que gere energia térmica a partir de biomassa resultante da industrialização e de resíduos da cana-de-açúcar;</w:t>
      </w:r>
    </w:p>
    <w:p w:rsidR="003E6588" w:rsidRDefault="003E6588">
      <w:pPr>
        <w:ind w:firstLine="1134"/>
        <w:jc w:val="both"/>
      </w:pPr>
    </w:p>
    <w:p w:rsidR="003E6588" w:rsidRDefault="003E6588">
      <w:pPr>
        <w:ind w:firstLine="1134"/>
        <w:jc w:val="both"/>
      </w:pPr>
      <w:r>
        <w:t>- Decreto nº 60.298/2014, que concede suspensão do ICMS na importação ou tomada punica e integral de crédito na operação interna de aquisição de bens do ativo imobilizado para contribuinte que gere energia térmica a partir de fonte solar fotovoltaica e resíduos sólidos urbanos;</w:t>
      </w:r>
    </w:p>
    <w:p w:rsidR="003E6588" w:rsidRDefault="003E6588">
      <w:pPr>
        <w:ind w:firstLine="1134"/>
        <w:jc w:val="both"/>
      </w:pPr>
    </w:p>
    <w:p w:rsidR="003E6588" w:rsidRDefault="003E6588">
      <w:pPr>
        <w:ind w:firstLine="1134"/>
        <w:jc w:val="both"/>
      </w:pPr>
      <w:r>
        <w:t>- Decreto nº 60.570/2014, que prorroga o prazo de utilização dos benefícios dos Decretos nº 53.051/2008, nº 53.826/2008 e nº 54.904/2009, que tratam, respectivamente, do Programa de Incentivo ao Investimento pelo Fabricante de Veículo Automotor, dos Incentivos no Âmbito dos Parques Tecnológicos e do Programa de Incentivo ao Investimento pelo Fabricante de Produtos da Indústria de Processamento Eletrônico de Dados.</w:t>
      </w:r>
    </w:p>
    <w:p w:rsidR="003E6588" w:rsidRDefault="003E6588">
      <w:pPr>
        <w:ind w:firstLine="1134"/>
        <w:jc w:val="both"/>
      </w:pPr>
    </w:p>
    <w:p w:rsidR="003E6588" w:rsidRDefault="003E6588">
      <w:pPr>
        <w:ind w:firstLine="1134"/>
        <w:jc w:val="both"/>
      </w:pPr>
      <w:r>
        <w:rPr>
          <w:b/>
        </w:rPr>
        <w:t xml:space="preserve">Subsecretaria do Trabalho Artesanal nas Comunidades - Sutaco - </w:t>
      </w:r>
      <w:r>
        <w:t>Após avaliar, classificar e quantificar a produção de um artesão, a Sutaco o cadastra e emite uma Carteira de Identificação que o credencia como profissional de artesanato. O cadastramento possibilita a utilização dos serviços de emissão de nota fiscal eletrônica, participação em cursos de qualificação e requalificação (como aluno ou mesmo como professor), divulgação, apoio à comercialização, acesso ao microcrédito (Banco do Povo) e orientação técnica e jurídica. Após extinção da Autarquia (Decreto nº 59.327/2013), a mesma foi absorvida pela SDECTI como Subsecretaria do Trabalho Artesanal das Comunidades. Houve a criação de um conselho Gestor, surgindo uma nova proposta de trabalho a ser realizada pela nova Secretaria. Desde sua criação, a Sutaco cadastrou 83 mil artesãos. Foram oferecidos 32 cursos de capacitação, onde foram 456 pessoas capacitadas.</w:t>
      </w:r>
    </w:p>
    <w:p w:rsidR="003E6588" w:rsidRDefault="003E6588">
      <w:pPr>
        <w:ind w:firstLine="1134"/>
        <w:jc w:val="both"/>
        <w:rPr>
          <w:b/>
        </w:rPr>
      </w:pPr>
    </w:p>
    <w:p w:rsidR="003E6588" w:rsidRDefault="003E6588">
      <w:pPr>
        <w:ind w:firstLine="1134"/>
        <w:jc w:val="both"/>
      </w:pPr>
      <w:r>
        <w:rPr>
          <w:b/>
        </w:rPr>
        <w:t xml:space="preserve">Comunicação - </w:t>
      </w:r>
      <w:r>
        <w:t xml:space="preserve">Divulgação é feita por </w:t>
      </w:r>
      <w:r>
        <w:rPr>
          <w:i/>
        </w:rPr>
        <w:t>Twitter, Facebook, Flickr, YouTube</w:t>
      </w:r>
      <w:r>
        <w:t xml:space="preserve"> e </w:t>
      </w:r>
      <w:r>
        <w:rPr>
          <w:i/>
        </w:rPr>
        <w:t>blog Wordpress,</w:t>
      </w:r>
      <w:r>
        <w:t xml:space="preserve"> </w:t>
      </w:r>
      <w:r>
        <w:rPr>
          <w:i/>
        </w:rPr>
        <w:t>site</w:t>
      </w:r>
      <w:r>
        <w:t xml:space="preserve"> institucional e folhetos informativos. A intensidade das postagens foi ampliada. Foram feitos 128 </w:t>
      </w:r>
      <w:r>
        <w:rPr>
          <w:i/>
        </w:rPr>
        <w:t>posts</w:t>
      </w:r>
      <w:r>
        <w:t xml:space="preserve"> no </w:t>
      </w:r>
      <w:r>
        <w:rPr>
          <w:i/>
        </w:rPr>
        <w:t>blog</w:t>
      </w:r>
      <w:r>
        <w:t xml:space="preserve">, média de 4 publicações diárias no </w:t>
      </w:r>
      <w:r>
        <w:rPr>
          <w:i/>
        </w:rPr>
        <w:t>facebook</w:t>
      </w:r>
      <w:r>
        <w:t xml:space="preserve"> e </w:t>
      </w:r>
      <w:r>
        <w:rPr>
          <w:i/>
        </w:rPr>
        <w:t>twitter</w:t>
      </w:r>
      <w:r>
        <w:t xml:space="preserve">, média de 1.000 visualizações diárias do </w:t>
      </w:r>
      <w:r>
        <w:rPr>
          <w:i/>
        </w:rPr>
        <w:t>site</w:t>
      </w:r>
      <w:r>
        <w:t xml:space="preserve"> institucional e do </w:t>
      </w:r>
      <w:r>
        <w:rPr>
          <w:i/>
        </w:rPr>
        <w:t>blog</w:t>
      </w:r>
      <w:r>
        <w:t>.</w:t>
      </w:r>
    </w:p>
    <w:p w:rsidR="003E6588" w:rsidRDefault="003E6588">
      <w:pPr>
        <w:ind w:firstLine="1134"/>
        <w:jc w:val="both"/>
        <w:rPr>
          <w:b/>
        </w:rPr>
      </w:pPr>
    </w:p>
    <w:p w:rsidR="003E6588" w:rsidRDefault="003E6588">
      <w:pPr>
        <w:ind w:firstLine="1134"/>
        <w:jc w:val="both"/>
      </w:pPr>
      <w:r>
        <w:rPr>
          <w:b/>
        </w:rPr>
        <w:t>Termos de Cooperação com Municípios -</w:t>
      </w:r>
      <w:r>
        <w:t xml:space="preserve"> Treinamentos ministrados </w:t>
      </w:r>
      <w:r w:rsidR="006D387F">
        <w:t>-</w:t>
      </w:r>
      <w:r>
        <w:t xml:space="preserve"> 3</w:t>
      </w:r>
      <w:r w:rsidR="006D387F">
        <w:t xml:space="preserve">; </w:t>
      </w:r>
      <w:r>
        <w:t xml:space="preserve">número de agentes de cooperação participantes </w:t>
      </w:r>
      <w:r w:rsidR="006D387F">
        <w:t>-</w:t>
      </w:r>
      <w:r>
        <w:t xml:space="preserve"> 115</w:t>
      </w:r>
      <w:r w:rsidR="006D387F">
        <w:t xml:space="preserve">; </w:t>
      </w:r>
      <w:r>
        <w:t>municípios participantes - 61.</w:t>
      </w:r>
    </w:p>
    <w:p w:rsidR="003E6588" w:rsidRDefault="003E6588">
      <w:pPr>
        <w:ind w:firstLine="1134"/>
        <w:jc w:val="both"/>
      </w:pPr>
    </w:p>
    <w:p w:rsidR="003E6588" w:rsidRDefault="003E6588">
      <w:pPr>
        <w:ind w:firstLine="1134"/>
        <w:jc w:val="both"/>
      </w:pPr>
      <w:r>
        <w:rPr>
          <w:b/>
        </w:rPr>
        <w:t xml:space="preserve">Parcerias - </w:t>
      </w:r>
      <w:r>
        <w:t xml:space="preserve">ABIH; ADP; Artesol; Banco do Brasil; CDHU; Comitê Paulista para a Copa 2014; Companhia do Metropolitano de São Paulo - Metrô; </w:t>
      </w:r>
      <w:r>
        <w:rPr>
          <w:i/>
        </w:rPr>
        <w:t>Design</w:t>
      </w:r>
      <w:r>
        <w:t xml:space="preserve"> Possível; EMTU; FESP; Funap; </w:t>
      </w:r>
      <w:r>
        <w:lastRenderedPageBreak/>
        <w:t>Imprensa Oficial; ITCP-FGV; Itesp; Secretaria do Meio Ambiente, Secretaria do Verde e do Meio Ambiente; Mackenzie; Paulista Viva; Unimed.</w:t>
      </w:r>
    </w:p>
    <w:p w:rsidR="003E6588" w:rsidRDefault="003E6588">
      <w:pPr>
        <w:ind w:firstLine="1134"/>
        <w:jc w:val="both"/>
        <w:rPr>
          <w:b/>
        </w:rPr>
      </w:pPr>
    </w:p>
    <w:p w:rsidR="003E6588" w:rsidRDefault="003E6588">
      <w:pPr>
        <w:ind w:firstLine="1134"/>
        <w:jc w:val="both"/>
      </w:pPr>
      <w:r>
        <w:rPr>
          <w:b/>
        </w:rPr>
        <w:t xml:space="preserve">Lojas - </w:t>
      </w:r>
      <w:r>
        <w:t>Com o intuito de contribuir com geração de renda dos artesãos, a Sutaco conta com dois pontos de venda fixos a partir de parceria. Com a Imprensa Oficial do Estado, a loja da Rua XV de Novembro; e com o Metrô, a loja da Estação Vila Madalena. Isto permitiu à Sutaco comercializar para o artesão o valor de R$ 291.505,00 em peças artesanais.</w:t>
      </w:r>
    </w:p>
    <w:p w:rsidR="003E6588" w:rsidRDefault="003E6588">
      <w:pPr>
        <w:ind w:firstLine="1134"/>
        <w:jc w:val="both"/>
        <w:rPr>
          <w:b/>
        </w:rPr>
      </w:pPr>
    </w:p>
    <w:p w:rsidR="003E6588" w:rsidRDefault="003E6588">
      <w:pPr>
        <w:ind w:firstLine="1134"/>
        <w:jc w:val="both"/>
      </w:pPr>
      <w:r>
        <w:rPr>
          <w:b/>
        </w:rPr>
        <w:t xml:space="preserve">Feiras - </w:t>
      </w:r>
      <w:r>
        <w:t>Como complemento à ação das lojas, a Sutaco participou de 17 feiras e/ou exposições com movimento de R$ 101.591,70 de comercialização de 4.999 peças.</w:t>
      </w:r>
    </w:p>
    <w:p w:rsidR="003E6588" w:rsidRDefault="003E6588">
      <w:pPr>
        <w:ind w:firstLine="1134"/>
        <w:jc w:val="both"/>
      </w:pPr>
    </w:p>
    <w:p w:rsidR="003E6588" w:rsidRDefault="003E6588">
      <w:pPr>
        <w:ind w:firstLine="1134"/>
        <w:jc w:val="both"/>
      </w:pPr>
      <w:r>
        <w:rPr>
          <w:b/>
        </w:rPr>
        <w:t xml:space="preserve">Cadastro - </w:t>
      </w:r>
      <w:r>
        <w:t>Foram atendidos 5.000 artesãos, sendo 2.718 novos cadastros e 2.282 recadastramentos.</w:t>
      </w:r>
    </w:p>
    <w:p w:rsidR="003E6588" w:rsidRDefault="003E6588">
      <w:pPr>
        <w:ind w:firstLine="1134"/>
        <w:jc w:val="both"/>
        <w:rPr>
          <w:b/>
        </w:rPr>
      </w:pPr>
    </w:p>
    <w:p w:rsidR="003E6588" w:rsidRDefault="003E6588">
      <w:pPr>
        <w:ind w:firstLine="1134"/>
        <w:jc w:val="both"/>
      </w:pPr>
      <w:r>
        <w:rPr>
          <w:b/>
        </w:rPr>
        <w:t xml:space="preserve">Nota Fiscal - </w:t>
      </w:r>
      <w:r>
        <w:t>Foram atendidos 5.631 artesãos, sendo emitidas 10.620 notas fiscais, totalizando R$ 16. 850.273,80, sendo repassado à Sutaco R$ 676.521,72.</w:t>
      </w:r>
    </w:p>
    <w:p w:rsidR="003E6588" w:rsidRDefault="003E6588">
      <w:pPr>
        <w:ind w:firstLine="1134"/>
        <w:jc w:val="both"/>
      </w:pPr>
    </w:p>
    <w:p w:rsidR="003E6588" w:rsidRDefault="003E6588">
      <w:pPr>
        <w:ind w:firstLine="1134"/>
        <w:jc w:val="both"/>
      </w:pPr>
    </w:p>
    <w:p w:rsidR="003E6588" w:rsidRDefault="003E6588">
      <w:pPr>
        <w:rPr>
          <w:b/>
        </w:rPr>
      </w:pPr>
      <w:r>
        <w:rPr>
          <w:b/>
        </w:rPr>
        <w:t>CENTRO ESTADUAL DE EDUCAÇÃO TECNOLÓGICA PAULA SOUZA - CEETPS</w:t>
      </w:r>
    </w:p>
    <w:p w:rsidR="003E6588" w:rsidRPr="00E64E79" w:rsidRDefault="003E6588">
      <w:pPr>
        <w:ind w:firstLine="1134"/>
        <w:jc w:val="both"/>
      </w:pPr>
    </w:p>
    <w:p w:rsidR="003E6588" w:rsidRPr="00E64E79" w:rsidRDefault="003E6588">
      <w:pPr>
        <w:ind w:firstLine="1134"/>
        <w:jc w:val="both"/>
      </w:pPr>
    </w:p>
    <w:p w:rsidR="003E6588" w:rsidRDefault="003E6588">
      <w:pPr>
        <w:ind w:firstLine="1134"/>
        <w:jc w:val="both"/>
      </w:pPr>
      <w:r>
        <w:rPr>
          <w:b/>
        </w:rPr>
        <w:t>Escolas Técnicas Estaduais - Etecs -</w:t>
      </w:r>
      <w:r>
        <w:t xml:space="preserve"> O CPS administra 218 Etecs, que oferecem Ensino Médio e 135 cursos técnicos para 212 mil matriculados (139.604 alunos no Ensino Técnico, 30.201 no Ensino Integrado e 42.231 no Ensino Médio). Considerando os dois processos seletivos, que acontecem semestralmente, foram oferecidas 138.348 vagas nos Ensinos Técnico e Médio (essa última modalidade é oferecida apenas no 1º semestre de cada ano). Ensino Técnico Integrado ao Médio - Etim:</w:t>
      </w:r>
      <w:r>
        <w:rPr>
          <w:b/>
        </w:rPr>
        <w:t xml:space="preserve"> </w:t>
      </w:r>
      <w:r>
        <w:t>para essa modalidade de ensino,</w:t>
      </w:r>
      <w:r>
        <w:rPr>
          <w:b/>
        </w:rPr>
        <w:t xml:space="preserve"> </w:t>
      </w:r>
      <w:r>
        <w:t>foram oferecidas 15.252 vagas. Foram implantadas 7 Etecs, localizadas nos Municípios de Apiaí, Arujá, Caieiras, Mairiporã, Rio Grande da Serra e Santa Fé do Sul e São Paulo (Sebrae). Investimento para estas 7 unidades: R$ 9 milhões em obras, em parcerias com prefeituras e outros órgãos, e R$ 3,5 milhões em mobiliários e equipamentos.</w:t>
      </w:r>
    </w:p>
    <w:p w:rsidR="003E6588" w:rsidRDefault="003E6588">
      <w:pPr>
        <w:ind w:firstLine="1134"/>
        <w:jc w:val="both"/>
      </w:pPr>
    </w:p>
    <w:p w:rsidR="003E6588" w:rsidRDefault="003E6588">
      <w:pPr>
        <w:ind w:firstLine="1134"/>
        <w:jc w:val="both"/>
      </w:pPr>
      <w:r>
        <w:rPr>
          <w:b/>
        </w:rPr>
        <w:t xml:space="preserve">Classes Descentralizadas - </w:t>
      </w:r>
      <w:r>
        <w:t>Foram implantadas 22 novas classes descentralizadas - CDs para 6.152 alunos, que estão matriculados em 149 CDs. Em parceria com a Secretaria da Educação e com a Prefeitura, foram desenvolvidos cursos técnicos em 5 novas escolas estaduais, totalizando 135 EEs e em 22 Centros Educacionais Unificados - CEUs. Este convênio permitiu a abertura de 100 mil vagas em cursos técnicos e integrados.</w:t>
      </w:r>
    </w:p>
    <w:p w:rsidR="003E6588" w:rsidRDefault="003E6588">
      <w:pPr>
        <w:ind w:firstLine="1134"/>
        <w:jc w:val="both"/>
        <w:rPr>
          <w:b/>
        </w:rPr>
      </w:pPr>
    </w:p>
    <w:p w:rsidR="003E6588" w:rsidRDefault="003E6588">
      <w:pPr>
        <w:ind w:firstLine="1134"/>
        <w:jc w:val="both"/>
      </w:pPr>
      <w:r>
        <w:rPr>
          <w:b/>
        </w:rPr>
        <w:t>Programa Vence -</w:t>
      </w:r>
      <w:r>
        <w:t xml:space="preserve"> Por meio do programa, outra parceria com a SE, o CPS estende a oferta do Etim às escolas estaduais.</w:t>
      </w:r>
    </w:p>
    <w:p w:rsidR="003E6588" w:rsidRDefault="003E6588">
      <w:pPr>
        <w:ind w:firstLine="1134"/>
        <w:jc w:val="both"/>
      </w:pPr>
    </w:p>
    <w:p w:rsidR="003E6588" w:rsidRDefault="003E6588">
      <w:pPr>
        <w:ind w:firstLine="1134"/>
        <w:jc w:val="both"/>
      </w:pPr>
      <w:r>
        <w:rPr>
          <w:b/>
        </w:rPr>
        <w:t>Especialização técnica de nível médio -</w:t>
      </w:r>
      <w:r>
        <w:t xml:space="preserve"> O vestibulinho das Etecs oferece vagas para diversos cursos desta modalidade de ensino. O processo seletivo ofereceu 305 vagas.</w:t>
      </w:r>
    </w:p>
    <w:p w:rsidR="003E6588" w:rsidRDefault="003E6588">
      <w:pPr>
        <w:ind w:firstLine="1134"/>
        <w:jc w:val="both"/>
      </w:pPr>
    </w:p>
    <w:p w:rsidR="003E6588" w:rsidRDefault="003E6588">
      <w:pPr>
        <w:ind w:firstLine="1134"/>
        <w:jc w:val="both"/>
      </w:pPr>
      <w:r>
        <w:rPr>
          <w:b/>
        </w:rPr>
        <w:lastRenderedPageBreak/>
        <w:t>Telecurso TEC -</w:t>
      </w:r>
      <w:r>
        <w:t xml:space="preserve"> Cursos técnicos de Eletrônica e Informática, na modalidade semipresencial, foram implantados para turma piloto. O Telecurso TEC, composto pelos cursos técnicos de Administração, Comércio e Secretariado, passou a ser oferecido nas modalidades aberta, semipresencial e </w:t>
      </w:r>
      <w:r>
        <w:rPr>
          <w:i/>
        </w:rPr>
        <w:t>on line</w:t>
      </w:r>
      <w:r>
        <w:t>. O programa obteve, em média, 4.400 estudantes por semestre. Do total de 300 videoaulas para o curso de Educação de Jovens e Adultos - Ensino Médio, 131 já foram elaboradas. Foram capacitados 150 professores da instituição em formações específicas para a docência na modalidade à distância.</w:t>
      </w:r>
    </w:p>
    <w:p w:rsidR="003E6588" w:rsidRDefault="003E6588">
      <w:pPr>
        <w:ind w:firstLine="1134"/>
        <w:jc w:val="both"/>
      </w:pPr>
    </w:p>
    <w:p w:rsidR="003E6588" w:rsidRDefault="003E6588">
      <w:pPr>
        <w:ind w:firstLine="1134"/>
        <w:jc w:val="both"/>
      </w:pPr>
      <w:r>
        <w:rPr>
          <w:b/>
        </w:rPr>
        <w:t>Faculdades de Tecnologia - Fatecs -</w:t>
      </w:r>
      <w:r>
        <w:t xml:space="preserve"> O CPS administra 63 Fatecs que oferecem 71 cursos de graduação, para 70.789 matriculados. Foram implantadas Fatecs nos Municípios de Assis, Bebedouro, Campinas, Cotia, Itapira, São Carlos e São Paulo (Sebrae). Com o início das atividades da Fatec de Santana de Parnaíba, serão 64 unidades. Foram oferecidas 27.040 vagas (esse número inclui os dois processos seletivos semestrais) no Ensino Tecnológico.</w:t>
      </w:r>
    </w:p>
    <w:p w:rsidR="003E6588" w:rsidRDefault="003E6588">
      <w:pPr>
        <w:ind w:firstLine="1134"/>
        <w:jc w:val="both"/>
      </w:pPr>
    </w:p>
    <w:p w:rsidR="003E6588" w:rsidRDefault="003E6588">
      <w:pPr>
        <w:ind w:firstLine="1134"/>
        <w:jc w:val="both"/>
      </w:pPr>
      <w:r>
        <w:rPr>
          <w:b/>
        </w:rPr>
        <w:t>Convênios Internacionais -</w:t>
      </w:r>
      <w:r>
        <w:t xml:space="preserve"> Foram assinados 8 acordos de cooperação: Argentina (Set Idiomas), Costa Rica (Instituto Nacional de Aprendizagem - INA), 2 com Espanha (Universidades de Barcelona e Giroma), Estados Unidos (Universidade da Flórida), Itália (Empresa Costa Crociere) e 2 com México (Universidades de Colima e Sinaloa).</w:t>
      </w:r>
    </w:p>
    <w:p w:rsidR="003E6588" w:rsidRDefault="003E6588">
      <w:pPr>
        <w:ind w:firstLine="1134"/>
        <w:jc w:val="both"/>
        <w:rPr>
          <w:b/>
        </w:rPr>
      </w:pPr>
    </w:p>
    <w:p w:rsidR="003E6588" w:rsidRDefault="003E6588">
      <w:pPr>
        <w:ind w:firstLine="1134"/>
        <w:jc w:val="both"/>
      </w:pPr>
      <w:r>
        <w:rPr>
          <w:b/>
        </w:rPr>
        <w:t>Convênios com Empresas -</w:t>
      </w:r>
      <w:r>
        <w:t xml:space="preserve"> Foram celebrados 20 acordos de cooperação: Abividro, Banco Santander, Fasm, entre outros, com o intuito de estabelecer relações conjuntas, programas de capacitação e treinamento para os alunos das Etecs e Fatecs.</w:t>
      </w:r>
    </w:p>
    <w:p w:rsidR="003E6588" w:rsidRDefault="003E6588">
      <w:pPr>
        <w:ind w:firstLine="1134"/>
        <w:jc w:val="both"/>
      </w:pPr>
    </w:p>
    <w:p w:rsidR="003E6588" w:rsidRDefault="003E6588">
      <w:pPr>
        <w:ind w:firstLine="1134"/>
        <w:jc w:val="both"/>
      </w:pPr>
      <w:r>
        <w:rPr>
          <w:b/>
        </w:rPr>
        <w:t>Feira Tecnológica do Centro Paula Souza -</w:t>
      </w:r>
      <w:r>
        <w:t xml:space="preserve"> A 8ª edição da Feteps, apresentou 244 projetos desenvolvidos por estudantes das Etecs e Fatecs, 15 de outros países (Argentina, Costa Rica, Colômbia, México, Peru, Guatemala, Polônia) e mais 5 de outros Estados (Amazonas, Bahia e Mato Grosso do Sul).</w:t>
      </w:r>
    </w:p>
    <w:p w:rsidR="003E6588" w:rsidRDefault="003E6588">
      <w:pPr>
        <w:ind w:firstLine="1134"/>
        <w:jc w:val="both"/>
        <w:rPr>
          <w:b/>
        </w:rPr>
      </w:pPr>
    </w:p>
    <w:p w:rsidR="003E6588" w:rsidRDefault="003E6588">
      <w:pPr>
        <w:ind w:firstLine="1134"/>
        <w:jc w:val="both"/>
      </w:pPr>
      <w:r>
        <w:rPr>
          <w:b/>
        </w:rPr>
        <w:t>Via Rápida Emprego - Unidades Móveis -</w:t>
      </w:r>
      <w:r>
        <w:t xml:space="preserve"> Foram entregues 19 carretas: Artesanato, Confecção Industrial (3 unidades), Hospitalidade, Imagem Pessoal (3 unidades), Manutenção Automotiva, Manutenção de Motos, Panificação, Panificação e Açougue (2), Refrigeração e Climatização, Produção Alimentícia (2 unidades) e Soldagem (3 unidades).Valor de investimentos nas 19 novas carretas: R$ 35.780.000,00.</w:t>
      </w:r>
    </w:p>
    <w:p w:rsidR="003E6588" w:rsidRDefault="003E6588">
      <w:pPr>
        <w:ind w:firstLine="1134"/>
        <w:jc w:val="both"/>
        <w:rPr>
          <w:b/>
        </w:rPr>
      </w:pPr>
    </w:p>
    <w:p w:rsidR="003E6588" w:rsidRDefault="003E6588">
      <w:pPr>
        <w:ind w:firstLine="1134"/>
        <w:jc w:val="both"/>
      </w:pPr>
      <w:r>
        <w:rPr>
          <w:b/>
        </w:rPr>
        <w:t>Via Rápida Emprego-Unidades fixas -</w:t>
      </w:r>
      <w:r>
        <w:t xml:space="preserve"> São 4 estruturas físicas. Duas unidades iniciaram atividades: Presidente Prudente e São Bernardo do Campo. Valor de investimento na construção das 4 unidades fixas: R$ 11,3 milhões. Desse valor R$ 4,5 milhões foram repassados à SE responsável pela construção da obra de Santos. O CPS atendeu 28.360 pessoas pelo Via Rápida.</w:t>
      </w:r>
    </w:p>
    <w:p w:rsidR="003E6588" w:rsidRDefault="003E6588">
      <w:pPr>
        <w:ind w:firstLine="1134"/>
        <w:jc w:val="both"/>
      </w:pPr>
    </w:p>
    <w:p w:rsidR="003E6588" w:rsidRDefault="003E6588">
      <w:pPr>
        <w:ind w:firstLine="1134"/>
        <w:jc w:val="both"/>
      </w:pPr>
      <w:r>
        <w:rPr>
          <w:b/>
        </w:rPr>
        <w:t>Outros Programas de Qualificação</w:t>
      </w:r>
      <w:r>
        <w:rPr>
          <w:i/>
        </w:rPr>
        <w:t xml:space="preserve"> - </w:t>
      </w:r>
      <w:r>
        <w:t>São 3 programas desenvolvidos em parceria com a</w:t>
      </w:r>
      <w:r>
        <w:rPr>
          <w:b/>
        </w:rPr>
        <w:t xml:space="preserve"> </w:t>
      </w:r>
      <w:r>
        <w:t>Secretaria do Emprego e Relações do Trabalho</w:t>
      </w:r>
      <w:r>
        <w:rPr>
          <w:b/>
        </w:rPr>
        <w:t xml:space="preserve"> - </w:t>
      </w:r>
      <w:r>
        <w:t>SERT:</w:t>
      </w:r>
      <w:r w:rsidRPr="00E64E79">
        <w:t xml:space="preserve"> </w:t>
      </w:r>
      <w:r>
        <w:t>Aprendiz Paulista: voltado aos alunos de curso técnico das Etecs, com idade entre 14 a 24 anos. Foram atendidos 463 jovens.</w:t>
      </w:r>
    </w:p>
    <w:p w:rsidR="003E6588" w:rsidRDefault="003E6588">
      <w:pPr>
        <w:ind w:firstLine="1134"/>
        <w:jc w:val="both"/>
      </w:pPr>
    </w:p>
    <w:p w:rsidR="003E6588" w:rsidRDefault="003E6588">
      <w:pPr>
        <w:ind w:firstLine="1134"/>
        <w:jc w:val="both"/>
      </w:pPr>
      <w:r>
        <w:rPr>
          <w:b/>
        </w:rPr>
        <w:lastRenderedPageBreak/>
        <w:t>Programa Emergencial de Auxílio Desemprego - PEAD -</w:t>
      </w:r>
      <w:r>
        <w:t xml:space="preserve"> Se destina à qualificação e requalificação de trabalhadores, com idade a partir dos 18 anos, independente de escolarização, a fim de promover seu ingresso e reingresso no mercado. Atendimentos - 1.063.</w:t>
      </w:r>
    </w:p>
    <w:p w:rsidR="006A574D" w:rsidRDefault="006A574D">
      <w:pPr>
        <w:ind w:firstLine="1134"/>
        <w:jc w:val="both"/>
      </w:pPr>
    </w:p>
    <w:p w:rsidR="003E6588" w:rsidRDefault="003E6588">
      <w:pPr>
        <w:ind w:firstLine="1134"/>
        <w:jc w:val="both"/>
      </w:pPr>
      <w:r>
        <w:rPr>
          <w:b/>
        </w:rPr>
        <w:t>Programa de Qualificação Profissional - PEQ</w:t>
      </w:r>
      <w:r>
        <w:t xml:space="preserve"> - Visa habilitar o desempregado que busca oportunidade de trabalho. Nº de atendimentos - 2.351.</w:t>
      </w:r>
    </w:p>
    <w:p w:rsidR="003E6588" w:rsidRDefault="003E6588">
      <w:pPr>
        <w:ind w:firstLine="1134"/>
        <w:jc w:val="both"/>
        <w:rPr>
          <w:b/>
        </w:rPr>
      </w:pPr>
    </w:p>
    <w:p w:rsidR="003E6588" w:rsidRDefault="003E6588">
      <w:pPr>
        <w:ind w:firstLine="1134"/>
        <w:jc w:val="both"/>
      </w:pPr>
      <w:r>
        <w:rPr>
          <w:b/>
        </w:rPr>
        <w:t>Fundação Casa -</w:t>
      </w:r>
      <w:r>
        <w:t xml:space="preserve"> Parceria entre o CPS, a Fundação de Apoio a Tecnologia - FAT e a Fundação Casa, que visa oferecer cursos de qualificação profissional básica a adolescentes em cumprimento de medida socioeducativa. Foram atendidos 9.172 jovens.</w:t>
      </w:r>
      <w:r>
        <w:cr/>
      </w:r>
    </w:p>
    <w:p w:rsidR="003E6588" w:rsidRDefault="003E6588">
      <w:pPr>
        <w:ind w:firstLine="1134"/>
        <w:jc w:val="both"/>
      </w:pPr>
      <w:r>
        <w:rPr>
          <w:b/>
        </w:rPr>
        <w:t>Fussesp -</w:t>
      </w:r>
      <w:r>
        <w:t xml:space="preserve"> O programa do Fundo Social de Solidariedade do Estado de São Paulo - FUSSESP, visa qualificar o desempregado que busca oportunidade no mercado de trabalho. Nº de atendimentos - 24.473.</w:t>
      </w:r>
    </w:p>
    <w:p w:rsidR="003E6588" w:rsidRDefault="003E6588">
      <w:pPr>
        <w:ind w:firstLine="1134"/>
        <w:jc w:val="both"/>
        <w:rPr>
          <w:b/>
        </w:rPr>
      </w:pPr>
    </w:p>
    <w:p w:rsidR="003E6588" w:rsidRDefault="003E6588">
      <w:pPr>
        <w:ind w:firstLine="1134"/>
        <w:jc w:val="both"/>
      </w:pPr>
      <w:r>
        <w:rPr>
          <w:b/>
        </w:rPr>
        <w:t>Pronatec -</w:t>
      </w:r>
      <w:r>
        <w:t xml:space="preserve"> CPS atua no Bolsa-Formação, subprograma do Pronatec, onde União financia oferta de cursos técnicos e de qualificação. Publico alvo: estudantes do Ensino Médio da rede pública, trabalhadores, entre outros. Atendimentos - 2.970.</w:t>
      </w:r>
    </w:p>
    <w:p w:rsidR="003E6588" w:rsidRDefault="003E6588">
      <w:pPr>
        <w:ind w:firstLine="1134"/>
        <w:jc w:val="both"/>
      </w:pPr>
    </w:p>
    <w:p w:rsidR="003E6588" w:rsidRDefault="003E6588">
      <w:pPr>
        <w:ind w:firstLine="1134"/>
        <w:jc w:val="both"/>
      </w:pPr>
      <w:r>
        <w:rPr>
          <w:b/>
        </w:rPr>
        <w:t>Programa de intercâmbio -</w:t>
      </w:r>
      <w:r>
        <w:t xml:space="preserve"> Oferece bolsas de estudo de inglês e espanhol de um mês de duração para Argentina, Chile, Estados Unidos, Inglaterra ou Nova Zelândia, com todas as despesas pagas. Em seu quarto ano consecutivo, programa já beneficiou 2.130 estudantes e 400 professores de Etecs e Fatecs, totalizando investimento de R$ 37,7 milhões.</w:t>
      </w:r>
    </w:p>
    <w:p w:rsidR="003E6588" w:rsidRDefault="003E6588">
      <w:pPr>
        <w:ind w:firstLine="1134"/>
        <w:jc w:val="both"/>
      </w:pPr>
    </w:p>
    <w:p w:rsidR="003E6588" w:rsidRDefault="003E6588">
      <w:pPr>
        <w:ind w:firstLine="1134"/>
        <w:jc w:val="both"/>
      </w:pPr>
      <w:r>
        <w:rPr>
          <w:b/>
        </w:rPr>
        <w:t xml:space="preserve">Programa de Melhorias das Etecs e Fatecs - </w:t>
      </w:r>
      <w:r>
        <w:t>O valor do investimento destinado a 104 Etecs e 29 Fatecs, distribuídas em 79 municípios, de 15 regiões administrativas do Estado, superou R$ 140 milhões (um acréscimo de 55 milhões no valor anunciado, em razão da inclusão de 48 Etecs e 13 Fatecs na relação de unidades que estão recebendo melhorias). Entre os serviços executados estão obras para atendimento às pessoas com deficiência e serviços de reforma e manutenção das instalações elétricas, hidráulicas e de cobertura.</w:t>
      </w:r>
    </w:p>
    <w:p w:rsidR="003E6588" w:rsidRDefault="003E6588">
      <w:pPr>
        <w:ind w:firstLine="1134"/>
        <w:jc w:val="both"/>
      </w:pPr>
    </w:p>
    <w:p w:rsidR="003E6588" w:rsidRDefault="003E6588">
      <w:pPr>
        <w:ind w:firstLine="1134"/>
        <w:jc w:val="both"/>
      </w:pPr>
      <w:r>
        <w:rPr>
          <w:b/>
        </w:rPr>
        <w:t>Capacitação docente -</w:t>
      </w:r>
      <w:r>
        <w:t xml:space="preserve"> Foram capacitados 11.329 servidores, distribuídos pelos três níveis de ensino, sendo 7 mil certificados pelas Etecs, 1.605 pelas Fatecs e 2.724 e para docentes e coordenadores que atuam no Via Rápida e em outros cursos de qualificação.</w:t>
      </w:r>
    </w:p>
    <w:p w:rsidR="003E6588" w:rsidRDefault="003E6588">
      <w:pPr>
        <w:ind w:firstLine="1134"/>
        <w:jc w:val="both"/>
        <w:rPr>
          <w:b/>
        </w:rPr>
      </w:pPr>
    </w:p>
    <w:p w:rsidR="003E6588" w:rsidRDefault="003E6588">
      <w:pPr>
        <w:ind w:firstLine="1134"/>
        <w:jc w:val="both"/>
      </w:pPr>
      <w:r>
        <w:rPr>
          <w:b/>
        </w:rPr>
        <w:t>Educação à distância -</w:t>
      </w:r>
      <w:r>
        <w:t xml:space="preserve"> Realizado vestibular para oferta de 1.120 vagas para primeiro curso de graduação tecnológica a distância: Gestão Empresarial em 20 Fatecs credenciadas como polos de EaD. Processo seletivo para 1º semestre de 2015 oferece mais 1.960 vagas, divididas entre 35 Fatecs credenciadas como polos de EaD. Desse total, 15 são novas unidades.</w:t>
      </w:r>
    </w:p>
    <w:p w:rsidR="003E6588" w:rsidRDefault="003E6588">
      <w:pPr>
        <w:ind w:firstLine="1134"/>
        <w:jc w:val="both"/>
      </w:pPr>
    </w:p>
    <w:p w:rsidR="003E6588" w:rsidRDefault="003E6588">
      <w:pPr>
        <w:ind w:firstLine="1134"/>
        <w:jc w:val="both"/>
      </w:pPr>
      <w:r>
        <w:rPr>
          <w:b/>
        </w:rPr>
        <w:t>Agência Inova Paula Souza -</w:t>
      </w:r>
      <w:r>
        <w:t xml:space="preserve"> A Inova recebeu autorizações para celebração de convênio entre SDECTI e CPS, no valor de R$ 1,3 milhão, para implantar Rede Inova Paula Souza de Núcleos Locais de Inovação e Empreendedorismo. Convênio permitirá realização de capacitação nas áreas de </w:t>
      </w:r>
      <w:r>
        <w:lastRenderedPageBreak/>
        <w:t xml:space="preserve">inteligência competitiva setorial, gestão da inovação aberta e empreendedorismo e </w:t>
      </w:r>
      <w:r>
        <w:rPr>
          <w:i/>
        </w:rPr>
        <w:t>startups</w:t>
      </w:r>
      <w:r>
        <w:t>, de agentes locais de inovação a serem selecionados entre professores de Etecs, Fatecs, gestores de incubadoras e gestores de desenvolvimento dos governos locais em todas as regiões administrativas do Estado. Submeteu à Fapesp 2 projetos de apoio à pesquisa na área de inovação tecnológica. Estabeleceu protocolos e acordos de colaboração com vários municípios e instituições paulistas, visando intercâmbio de experiências em prol do desenvolvimento da cultura da inovação e do empreendedorismo.</w:t>
      </w:r>
    </w:p>
    <w:p w:rsidR="003E6588" w:rsidRDefault="003E6588">
      <w:pPr>
        <w:ind w:firstLine="1134"/>
        <w:jc w:val="both"/>
      </w:pPr>
    </w:p>
    <w:p w:rsidR="003E6588" w:rsidRDefault="003E6588">
      <w:pPr>
        <w:ind w:firstLine="1134"/>
        <w:jc w:val="both"/>
      </w:pPr>
    </w:p>
    <w:p w:rsidR="003E6588" w:rsidRDefault="003E6588">
      <w:pPr>
        <w:rPr>
          <w:b/>
        </w:rPr>
      </w:pPr>
      <w:r>
        <w:rPr>
          <w:b/>
        </w:rPr>
        <w:t>INSTITUTO DE PESQUISAS TECNOLÓGICAS - IPT</w:t>
      </w:r>
    </w:p>
    <w:p w:rsidR="003E6588" w:rsidRDefault="003E6588">
      <w:pPr>
        <w:ind w:firstLine="1134"/>
        <w:jc w:val="both"/>
      </w:pPr>
    </w:p>
    <w:p w:rsidR="003E6588" w:rsidRDefault="003E6588">
      <w:pPr>
        <w:ind w:firstLine="1134"/>
        <w:jc w:val="both"/>
      </w:pPr>
    </w:p>
    <w:p w:rsidR="003E6588" w:rsidRDefault="003E6588">
      <w:pPr>
        <w:ind w:firstLine="1134"/>
        <w:jc w:val="both"/>
      </w:pPr>
      <w:r>
        <w:t>O faturamento do IPT ultrapassou os R$ 100 milhões e a proporção de recursos próprios deve ultrapassar 67% do orçamento anual. Diversos esforços contribuíram para que esse resultado fosse possível.</w:t>
      </w:r>
    </w:p>
    <w:p w:rsidR="003E6588" w:rsidRDefault="003E6588">
      <w:pPr>
        <w:ind w:firstLine="1134"/>
        <w:jc w:val="both"/>
      </w:pPr>
    </w:p>
    <w:p w:rsidR="003E6588" w:rsidRDefault="003E6588">
      <w:pPr>
        <w:ind w:firstLine="1134"/>
        <w:jc w:val="both"/>
      </w:pPr>
      <w:r>
        <w:rPr>
          <w:b/>
        </w:rPr>
        <w:t>Atendimento a empresas -</w:t>
      </w:r>
      <w:r>
        <w:t xml:space="preserve"> Mais de 3.700 empresas, emitindo 10.000 notas fiscais relativas a ensaios, análises e calibrações. Do total de receita própria, 56% é originário de empresas privadas, disso sendo 54% de empresas do setor de serviços e 46% do setor industrial.</w:t>
      </w:r>
    </w:p>
    <w:p w:rsidR="003E6588" w:rsidRDefault="003E6588">
      <w:pPr>
        <w:ind w:firstLine="1134"/>
        <w:jc w:val="both"/>
      </w:pPr>
    </w:p>
    <w:p w:rsidR="003E6588" w:rsidRDefault="003E6588">
      <w:pPr>
        <w:ind w:firstLine="1134"/>
        <w:jc w:val="both"/>
      </w:pPr>
      <w:r>
        <w:rPr>
          <w:b/>
        </w:rPr>
        <w:t>Produção tecnológica -</w:t>
      </w:r>
      <w:r>
        <w:t xml:space="preserve"> IPT emitiu mais de 26.000 documentos técnicos e conduziu 303 projetos, tendo concluído 118. Dos 303, 82 foram subsidiados pelo próprio IPT (projetos de capacitação); 71 têm como parceiros empresas privadas; 123 instituições e empresas públicas e 27 parcerias de empresas públicas e privadas (Finep + interveniente; BNDES + interveniente e CNI + empresas).</w:t>
      </w:r>
    </w:p>
    <w:p w:rsidR="003E6588" w:rsidRDefault="003E6588">
      <w:pPr>
        <w:ind w:firstLine="1134"/>
        <w:jc w:val="both"/>
      </w:pPr>
    </w:p>
    <w:p w:rsidR="003E6588" w:rsidRDefault="003E6588">
      <w:pPr>
        <w:ind w:firstLine="1134"/>
        <w:jc w:val="both"/>
      </w:pPr>
      <w:r>
        <w:rPr>
          <w:b/>
        </w:rPr>
        <w:t>Prospecção de clientes e parceiros -</w:t>
      </w:r>
      <w:r>
        <w:t xml:space="preserve"> Foco em oportunidades junto a empresas públicas e privadas para apoiar seus processos de inovação. O IPT teve bom faturamento (R$ 95 milhões), principalmente com clientes do setor privado. Com a crise, as empresas estão buscando inovação para aumentar sua competitividade.</w:t>
      </w:r>
    </w:p>
    <w:p w:rsidR="003E6588" w:rsidRDefault="003E6588">
      <w:pPr>
        <w:ind w:firstLine="1134"/>
        <w:jc w:val="both"/>
      </w:pPr>
    </w:p>
    <w:p w:rsidR="003E6588" w:rsidRDefault="003E6588">
      <w:pPr>
        <w:ind w:firstLine="1134"/>
        <w:jc w:val="both"/>
      </w:pPr>
      <w:r>
        <w:rPr>
          <w:b/>
        </w:rPr>
        <w:t>Estratégia -</w:t>
      </w:r>
      <w:r>
        <w:t xml:space="preserve"> Para atingir a visão de futuro de 40% de receitas com inovações até 2018, o processo de Planejamento Estratégico - PE desdobrou-se em 8 projetos institucionais. Esses projetos tiveram início em um </w:t>
      </w:r>
      <w:r>
        <w:rPr>
          <w:i/>
        </w:rPr>
        <w:t xml:space="preserve">workshop </w:t>
      </w:r>
      <w:r>
        <w:t>com a participação de mais de 100 pessoas e buscaram soluções para intensificar o apoio do IPT à inovação para a indústria e a sociedade.</w:t>
      </w:r>
    </w:p>
    <w:p w:rsidR="003E6588" w:rsidRDefault="003E6588">
      <w:pPr>
        <w:ind w:firstLine="1134"/>
        <w:jc w:val="both"/>
      </w:pPr>
    </w:p>
    <w:p w:rsidR="003E6588" w:rsidRDefault="003E6588">
      <w:pPr>
        <w:ind w:firstLine="1134"/>
        <w:jc w:val="both"/>
      </w:pPr>
      <w:r>
        <w:rPr>
          <w:b/>
        </w:rPr>
        <w:t>Inovação com o setor industrial (Empresa Brasileira para Pesquisa e Inovação Industrial) -</w:t>
      </w:r>
      <w:r>
        <w:t xml:space="preserve"> Visando desenvolver projetos de inovação com empresas industriais (P&amp;D&amp;I) com o objetivo de gerar conhecimento novo para a empresa, o IPT encerrou a fase de contratação da ação piloto da Embrapii. Foram 20 projetos, R$ 54,7 milhões. Recursos foram financiados em R$ 20 milhões pelas empresas privadas, R$ 17,7 milhões pela Finep (via CNI) e R$ 17 milhões como contrapartida do IPT. Novo termo de cooperação foi assinado, firmando o IPT como unidade Embrapii na área Desenvolvimento de Tecnologias de Materiais, em temas que possui tradição e infraestrutura </w:t>
      </w:r>
      <w:r>
        <w:lastRenderedPageBreak/>
        <w:t>diferenciada: ligas metálicas, materiais resistentes à corrosão, nanopartículas e materiais nanoestruturados, materiais compósitos, materiais cerâmicos.</w:t>
      </w:r>
    </w:p>
    <w:p w:rsidR="003E6588" w:rsidRDefault="003E6588">
      <w:pPr>
        <w:ind w:firstLine="1134"/>
        <w:jc w:val="both"/>
      </w:pPr>
    </w:p>
    <w:p w:rsidR="003E6588" w:rsidRDefault="003E6588">
      <w:pPr>
        <w:ind w:firstLine="1134"/>
        <w:jc w:val="both"/>
      </w:pPr>
      <w:r>
        <w:rPr>
          <w:b/>
        </w:rPr>
        <w:t>Apoiando a pequena empresa -</w:t>
      </w:r>
      <w:r>
        <w:t xml:space="preserve"> O Núcleo de Atendimento à MPE, via programas da SDECTI como Qualimint, Prolimp e Gespro, além do Prumo e do Progex, realizou 190 atendimentos a pequenas empresas.</w:t>
      </w:r>
    </w:p>
    <w:p w:rsidR="003E6588" w:rsidRDefault="003E6588">
      <w:pPr>
        <w:ind w:firstLine="1134"/>
        <w:jc w:val="both"/>
      </w:pPr>
    </w:p>
    <w:p w:rsidR="003E6588" w:rsidRDefault="003E6588">
      <w:pPr>
        <w:ind w:firstLine="1134"/>
        <w:jc w:val="both"/>
      </w:pPr>
      <w:r>
        <w:rPr>
          <w:b/>
        </w:rPr>
        <w:t>Gestão da Qualidade -</w:t>
      </w:r>
      <w:r>
        <w:t xml:space="preserve"> O Sistema de Gestão da Qualidade - SGQ está implementado há mais de dez anos e atende as normas ABNT NBR ISO 9001 (gestão da qualidade) e ABNT NBR ISO/IEC 17025 (competência de laboratórios). A busca da melhoria contínua e o estimulo às inovações dos processos contribuíram para, dentre outros, a definição dos seguintes objetivos: atender requisitos do cliente, promover visibilidade no mercado, manter excelência técnica, ampliar oferta de serviços. Resultados: 480 contribuições de clientes para melhoria de processos; 439 serviços técnicos auditados; 304 pessoas treinadas em temas SGQ.</w:t>
      </w:r>
    </w:p>
    <w:p w:rsidR="003E6588" w:rsidRDefault="003E6588">
      <w:pPr>
        <w:ind w:firstLine="1134"/>
        <w:jc w:val="both"/>
      </w:pPr>
    </w:p>
    <w:p w:rsidR="003E6588" w:rsidRDefault="003E6588">
      <w:pPr>
        <w:ind w:firstLine="1134"/>
        <w:jc w:val="both"/>
      </w:pPr>
      <w:r>
        <w:rPr>
          <w:b/>
        </w:rPr>
        <w:t>Relações internacionais -</w:t>
      </w:r>
      <w:r>
        <w:t xml:space="preserve"> Foram recebidas delegações de oito países e firmados novos acordos de cooperação com a </w:t>
      </w:r>
      <w:r>
        <w:rPr>
          <w:i/>
        </w:rPr>
        <w:t xml:space="preserve">University of Greenwich </w:t>
      </w:r>
      <w:r w:rsidRPr="00E64E79">
        <w:t>e o</w:t>
      </w:r>
      <w:r>
        <w:rPr>
          <w:i/>
        </w:rPr>
        <w:t xml:space="preserve"> Muroran Institute of Technology</w:t>
      </w:r>
      <w:r>
        <w:t>. Por meio do Programa de Desenvolvimento e Capacitação no Exterior, o IPT enviou pesquisadores para instituições na Alemanha, Inglaterra e Portugal. Pelo Programa de Pesquisador Visitante, recebeu dois pesquisadores alemães, dois portugueses e uma turca.</w:t>
      </w:r>
    </w:p>
    <w:p w:rsidR="003E6588" w:rsidRDefault="003E6588">
      <w:pPr>
        <w:ind w:firstLine="1134"/>
        <w:jc w:val="both"/>
      </w:pPr>
    </w:p>
    <w:p w:rsidR="003E6588" w:rsidRDefault="003E6588">
      <w:pPr>
        <w:ind w:firstLine="1134"/>
        <w:jc w:val="both"/>
      </w:pPr>
      <w:r>
        <w:rPr>
          <w:b/>
        </w:rPr>
        <w:t>Gerando conhecimento - projetos de capacitação -</w:t>
      </w:r>
      <w:r>
        <w:t xml:space="preserve"> Foram investidos R$ 5 milhões em atividades de pesquisa, desenvolvimento e capacitação pelo edital interno de projetos de capacitação. Os 43 projetos aprovados foram: 8 de modelamento matemático, 8 multidisciplinares e 27 relativos às áreas de atuação dos Centros Tecnológicos.</w:t>
      </w:r>
    </w:p>
    <w:p w:rsidR="003E6588" w:rsidRDefault="003E6588">
      <w:pPr>
        <w:ind w:firstLine="1134"/>
        <w:jc w:val="both"/>
        <w:rPr>
          <w:b/>
        </w:rPr>
      </w:pPr>
    </w:p>
    <w:p w:rsidR="003E6588" w:rsidRDefault="003E6588">
      <w:pPr>
        <w:ind w:firstLine="1134"/>
        <w:jc w:val="both"/>
      </w:pPr>
      <w:r>
        <w:rPr>
          <w:b/>
        </w:rPr>
        <w:t>Atraindo talentos - Programa Novos Talentos -</w:t>
      </w:r>
      <w:r>
        <w:t xml:space="preserve"> Com apoio da FIPT, teve continuidade com aprovação de bolsas para 6 alunos de mestrado, 7 de doutorado e 5 de pós-doutorado. Eles estão realizando pesquisas de interesse do IPT e auxiliando na promoção da relação mais estreita entre o instituto e as universidades.</w:t>
      </w:r>
    </w:p>
    <w:p w:rsidR="003E6588" w:rsidRDefault="003E6588">
      <w:pPr>
        <w:ind w:firstLine="1134"/>
        <w:jc w:val="both"/>
        <w:rPr>
          <w:b/>
        </w:rPr>
      </w:pPr>
    </w:p>
    <w:p w:rsidR="003E6588" w:rsidRDefault="003E6588">
      <w:pPr>
        <w:ind w:firstLine="1134"/>
        <w:jc w:val="both"/>
      </w:pPr>
      <w:r>
        <w:rPr>
          <w:b/>
        </w:rPr>
        <w:t>Patente em eficiência energética no bombeamento de esgoto em EEES -</w:t>
      </w:r>
      <w:r>
        <w:t xml:space="preserve"> Projeto elaborado com objetivo de desenvolver metodologia para medir vazão de esgoto visando avaliar eficiência energética dos sistemas de bombeamento em operação em estações elevatórias de esgoto. Patente do método (modelo de utilidades) em andamento.</w:t>
      </w:r>
    </w:p>
    <w:p w:rsidR="003E6588" w:rsidRDefault="003E6588">
      <w:pPr>
        <w:ind w:firstLine="1134"/>
        <w:jc w:val="both"/>
        <w:rPr>
          <w:b/>
        </w:rPr>
      </w:pPr>
    </w:p>
    <w:p w:rsidR="003E6588" w:rsidRDefault="003E6588">
      <w:pPr>
        <w:ind w:firstLine="1134"/>
        <w:jc w:val="both"/>
      </w:pPr>
      <w:r>
        <w:rPr>
          <w:b/>
        </w:rPr>
        <w:t>Aumento de segurança ferroviária -</w:t>
      </w:r>
      <w:r>
        <w:t xml:space="preserve"> Instrumentação e medição de parâmetros de vagões equipados com sistema de freio eletropneumático, que permite a frenagem simultânea de todos os vagões de um trem, aumentando a segurança da operação. IPT prestou serviços a empresa privada de mineração que usa transporte ferroviário. Investigou-se desempenho de frenagem em componentes do sistema de freio convencional com relação à energia de frenagem em trecho e vida útil de hastes.</w:t>
      </w:r>
    </w:p>
    <w:p w:rsidR="003E6588" w:rsidRDefault="003E6588">
      <w:pPr>
        <w:ind w:firstLine="1134"/>
        <w:jc w:val="both"/>
        <w:rPr>
          <w:b/>
        </w:rPr>
      </w:pPr>
    </w:p>
    <w:p w:rsidR="003E6588" w:rsidRDefault="003E6588">
      <w:pPr>
        <w:ind w:firstLine="1134"/>
        <w:jc w:val="both"/>
      </w:pPr>
      <w:r>
        <w:rPr>
          <w:b/>
        </w:rPr>
        <w:lastRenderedPageBreak/>
        <w:t>Tecnologia de ponta para melhoria de tratamento odontológico -</w:t>
      </w:r>
      <w:r>
        <w:t xml:space="preserve"> Projeto para obtenção de nanopartículas para aplicação em cimentos dentários na área de novos materiais da fase piloto da Embrapii teve valor total de R$ 300 mil. Empresa Angelus Indústria Produtos Odontológicos S/A foi parceira do IPT no desenvolvimento do cimento odontológico com partículas nanométricas, que teve como objetivo reduzir o tempo de endurecimento de 15 minutos para aproximadamente 2 minutos, proporcionando maior conforto ao paciente durante o tratamento no consultório.</w:t>
      </w:r>
    </w:p>
    <w:p w:rsidR="003E6588" w:rsidRDefault="003E6588">
      <w:pPr>
        <w:ind w:firstLine="1134"/>
        <w:jc w:val="both"/>
        <w:rPr>
          <w:b/>
        </w:rPr>
      </w:pPr>
    </w:p>
    <w:p w:rsidR="003E6588" w:rsidRDefault="003E6588">
      <w:pPr>
        <w:ind w:firstLine="1134"/>
        <w:jc w:val="both"/>
      </w:pPr>
      <w:r>
        <w:rPr>
          <w:b/>
        </w:rPr>
        <w:t>Estudo de equipamentos semafóricos -</w:t>
      </w:r>
      <w:r>
        <w:t xml:space="preserve"> A pedido da Secretaria Municipal de Transportes, os Centros de TI e de Mecânica/Naval/Elétrica estudaram as condições de operação e proteção elétrica de modelos de controladores semafóricos instalados em São Paulo, principalmente placas eletrônicas. Um conjunto de recomendações auxiliará no planejamento da manutenção dos atuais controladores e subsidiará futuras aquisições.</w:t>
      </w:r>
    </w:p>
    <w:p w:rsidR="003E6588" w:rsidRDefault="003E6588">
      <w:pPr>
        <w:ind w:firstLine="1134"/>
        <w:jc w:val="both"/>
        <w:rPr>
          <w:b/>
        </w:rPr>
      </w:pPr>
    </w:p>
    <w:p w:rsidR="003E6588" w:rsidRDefault="003E6588">
      <w:pPr>
        <w:ind w:firstLine="1134"/>
        <w:jc w:val="both"/>
      </w:pPr>
      <w:r>
        <w:rPr>
          <w:b/>
        </w:rPr>
        <w:t>Avaliação das causas da queda da ponte sobre o Rio Piracicaba</w:t>
      </w:r>
      <w:r>
        <w:t xml:space="preserve"> (ruptura do Apoio 4 na pista sul da Rodovia do Contorno de Piracicaba) - No momento do resgate das vítimas, foram inspecionados os escombros. Foram feitas inspeções subaquáticas, entrevistas com testemunhas, extrações/ensaios de amostras, análise da treliça de lançamento de vigas, inspeções da base do apoio rompido após orientação de construção e instalação de ensecadeira e verificação teórica da capacidade resistente do apoio da ponte. A ruptura foi decorrente da falta de solidarização entre o núcleo de concreto moldado </w:t>
      </w:r>
      <w:r>
        <w:rPr>
          <w:i/>
        </w:rPr>
        <w:t>in loco</w:t>
      </w:r>
      <w:r>
        <w:t xml:space="preserve"> e a camisa pré-moldada de concreto.</w:t>
      </w:r>
    </w:p>
    <w:p w:rsidR="003E6588" w:rsidRDefault="003E6588">
      <w:pPr>
        <w:ind w:firstLine="1134"/>
        <w:jc w:val="both"/>
        <w:rPr>
          <w:b/>
        </w:rPr>
      </w:pPr>
    </w:p>
    <w:p w:rsidR="003E6588" w:rsidRDefault="003E6588">
      <w:pPr>
        <w:ind w:firstLine="1134"/>
        <w:jc w:val="both"/>
        <w:rPr>
          <w:b/>
        </w:rPr>
      </w:pPr>
      <w:r>
        <w:rPr>
          <w:b/>
        </w:rPr>
        <w:t xml:space="preserve">Investimentos em laboratórios - </w:t>
      </w:r>
      <w:r>
        <w:t>Foram destinados R$ 5 milhões para modernização, aplicados da seguinte forma: laboratório de processos metalúrgicos; laboratório de embalagem e acondicionamento; laboratório de segurança ao fogo e a explosões; laboratório de equipamentos elétricos e ópticos; laboratório de materiais e construção civil; seção de engenharia de estruturas; centro de obras e infraestrutura; laboratório de metrologia mecânica; laboratório de tecnologia têxtil; laboratório de calçados e produtos de proteção; laboratório de análises químicas; laboratório de árvores, madeiras e móveis.</w:t>
      </w:r>
    </w:p>
    <w:p w:rsidR="003E6588" w:rsidRDefault="003E6588">
      <w:pPr>
        <w:ind w:firstLine="1134"/>
        <w:jc w:val="both"/>
      </w:pPr>
    </w:p>
    <w:p w:rsidR="003E6588" w:rsidRDefault="003E6588">
      <w:pPr>
        <w:ind w:firstLine="1134"/>
        <w:jc w:val="both"/>
      </w:pPr>
    </w:p>
    <w:p w:rsidR="003E6588" w:rsidRDefault="003E6588">
      <w:pPr>
        <w:tabs>
          <w:tab w:val="left" w:pos="567"/>
        </w:tabs>
        <w:rPr>
          <w:rStyle w:val="Forte"/>
        </w:rPr>
      </w:pPr>
      <w:r>
        <w:rPr>
          <w:rStyle w:val="Forte"/>
        </w:rPr>
        <w:t>INSTITUTO DE PESQUISAS ENERGÉTICAS E NUCLEARES - IPEN</w:t>
      </w:r>
    </w:p>
    <w:p w:rsidR="003E6588" w:rsidRDefault="003E6588">
      <w:pPr>
        <w:ind w:firstLine="1134"/>
        <w:jc w:val="both"/>
      </w:pPr>
    </w:p>
    <w:p w:rsidR="003E6588" w:rsidRDefault="003E6588">
      <w:pPr>
        <w:ind w:firstLine="1134"/>
        <w:jc w:val="both"/>
      </w:pPr>
    </w:p>
    <w:p w:rsidR="003E6588" w:rsidRDefault="003E6588">
      <w:pPr>
        <w:ind w:firstLine="1134"/>
        <w:jc w:val="both"/>
      </w:pPr>
      <w:r>
        <w:rPr>
          <w:b/>
        </w:rPr>
        <w:t>Medicina Nuclear -</w:t>
      </w:r>
      <w:r>
        <w:t xml:space="preserve"> Produção e distribuição de radiofármacos para diagnóstico e tratamento de diversas doenças para realização de cerca de 2 milhões de procedimentos médicos em todo País. Aquisição de novas celas de processamento de radiofármacos, da linha de produção de geradores de 99Mo-99mTc, e adequação de infraestrutura para atendimento às Boas Práticas de Fabricação de Radiofármacos, incluindo a construção de área limpa para produção de reagentes liofilizados para marcação com tecnécio-99m e almoxarifado para recepção e armazenamento de insumos de processo.</w:t>
      </w:r>
    </w:p>
    <w:p w:rsidR="003E6588" w:rsidRDefault="003E6588">
      <w:pPr>
        <w:ind w:firstLine="1134"/>
        <w:jc w:val="both"/>
      </w:pPr>
    </w:p>
    <w:p w:rsidR="003E6588" w:rsidRDefault="003E6588">
      <w:pPr>
        <w:ind w:firstLine="1134"/>
        <w:jc w:val="both"/>
      </w:pPr>
      <w:r>
        <w:rPr>
          <w:b/>
        </w:rPr>
        <w:t>Tecnologia das radiações aplicadas à indústria -</w:t>
      </w:r>
      <w:r>
        <w:t xml:space="preserve"> Desenvolvido sistema de quarta geração de tomografia computadorizada com raios gama, capaz de gerar imagens em tempo real, do interior de </w:t>
      </w:r>
      <w:r>
        <w:lastRenderedPageBreak/>
        <w:t>colunas de processos industriais com transientes rápidos, sem paralisar produção. Desenvolvido com apoio da Fapesp. Beneficiários deste projeto são indústrias de refino de petróleo e seus derivados e indústrias químicas de base.</w:t>
      </w:r>
    </w:p>
    <w:p w:rsidR="003E6588" w:rsidRDefault="003E6588">
      <w:pPr>
        <w:ind w:firstLine="1134"/>
        <w:jc w:val="both"/>
      </w:pPr>
    </w:p>
    <w:p w:rsidR="003E6588" w:rsidRDefault="003E6588">
      <w:pPr>
        <w:ind w:firstLine="1134"/>
        <w:jc w:val="both"/>
      </w:pPr>
      <w:r>
        <w:rPr>
          <w:b/>
        </w:rPr>
        <w:t>Consolidação do uso da tecnologia da radiação para preservação e desinfestação de bens culturais -</w:t>
      </w:r>
      <w:r>
        <w:t xml:space="preserve"> Recuperação de obras culturais, com controle dos efeitos da radiação sobre os diversos materiais infestados por fungos e outros microrganismos. Algumas instituições beneficiadas: Palácio do Governo de São Paulo, Bibliotecas Mario de Andrade, Escola de Comunicação e Artes/USP, Instituto de Química/USP, Sistema Integrado de Biblioteca/USP - Sibi e da Biblioteca Brasiliana/USP, Centro Cultural São Paulo, Arquivo Público do Estado de São Paulo, Museu de Arte Moderna de São Paulo (MAM), Museu Afro Brasil, do Instituto Lina Bo &amp; Prieto Maria Bardi e restauradores particulares.</w:t>
      </w:r>
    </w:p>
    <w:p w:rsidR="003E6588" w:rsidRDefault="003E6588">
      <w:pPr>
        <w:ind w:firstLine="1134"/>
        <w:jc w:val="both"/>
        <w:rPr>
          <w:b/>
        </w:rPr>
      </w:pPr>
    </w:p>
    <w:p w:rsidR="003E6588" w:rsidRDefault="003E6588">
      <w:pPr>
        <w:ind w:firstLine="1134"/>
        <w:jc w:val="both"/>
      </w:pPr>
      <w:r>
        <w:rPr>
          <w:b/>
        </w:rPr>
        <w:t>Reator IEA-R1 -</w:t>
      </w:r>
      <w:r>
        <w:t xml:space="preserve"> Retorno à operação regular do reator após um ano em manutenção. Estudo usando análise por ativação neutrônica de placa da Babilônica antiga com escritas cuneiformes produziu resultados compatíveis com outras técnicas de datação (~600AC). Consolidação do uso de equipamento portátil, baseado na Tecnologia de Fluorescência de Raios X, para execução de análises bioquímica em amostras de sangue, fornecendo subsídios para realizações de ações baseadas no atendimento à saúde de populações carentes, bem como benefício para recém-nascidos prematuros, onde disponibilidade de sangue é escassa.</w:t>
      </w:r>
    </w:p>
    <w:p w:rsidR="003E6588" w:rsidRDefault="003E6588">
      <w:pPr>
        <w:ind w:firstLine="1134"/>
        <w:jc w:val="both"/>
        <w:rPr>
          <w:b/>
        </w:rPr>
      </w:pPr>
    </w:p>
    <w:p w:rsidR="003E6588" w:rsidRDefault="003E6588">
      <w:pPr>
        <w:ind w:firstLine="1134"/>
        <w:jc w:val="both"/>
      </w:pPr>
      <w:r>
        <w:rPr>
          <w:b/>
        </w:rPr>
        <w:t>Combustíveis Nucleares para Reatores de Pesquisa -</w:t>
      </w:r>
      <w:r>
        <w:t xml:space="preserve"> Produção de 7 elementos combustíveis para reator IEA-R1. Área física da unidade fabril do CCN em fase de implantação, bem como novos laboratórios de caracterização: difração e fluoroscopia de raios-X. Alvos de irradiação para produção de Mo99 em fase final de desenvolvimento tecnológico, tendo gerado uma patente. Projetos de eletroquímica de urânio e actinídeos, com financiamento por meio da FAPESP, desenvolveram patente em eletrodeposição pulsada de urânio.</w:t>
      </w:r>
    </w:p>
    <w:p w:rsidR="003E6588" w:rsidRDefault="003E6588">
      <w:pPr>
        <w:ind w:firstLine="1134"/>
        <w:jc w:val="both"/>
        <w:rPr>
          <w:b/>
        </w:rPr>
      </w:pPr>
    </w:p>
    <w:p w:rsidR="003E6588" w:rsidRDefault="003E6588">
      <w:pPr>
        <w:ind w:firstLine="1134"/>
        <w:jc w:val="both"/>
      </w:pPr>
      <w:r>
        <w:rPr>
          <w:b/>
        </w:rPr>
        <w:t>Reator Multipropósito Brasileiro - RMB -</w:t>
      </w:r>
      <w:r>
        <w:t xml:space="preserve"> Realizados projetos conceitual e básico de engenharia do Empreendimento. Projeto conceitual e básico de engenharia de prédios, sistemas e infraestrutura foi realizado pela empresa Intertechne. Projeto básico de engenharia dos itens e sistemas nucleares do reator foi realizado pela empresa Invap. Entregue à DRS/CNEN relatório de local do RMB, com solicitação de emissão de Licença de Local - LL, primeira das licenças do licenciamento nuclear. Aprovado convênio Finep/CNEN/CTMSP no valor de R$ 25 milhões para adequação das instalações para fabricação do combustível para RMB e adequação do reator Ipen/MB-01 para um núcleo semelhante ao RMB. Ipen/CNEN fabricará combustíveis para este projeto e para RMB.</w:t>
      </w:r>
    </w:p>
    <w:p w:rsidR="003E6588" w:rsidRDefault="003E6588">
      <w:pPr>
        <w:ind w:firstLine="1134"/>
        <w:jc w:val="both"/>
        <w:rPr>
          <w:b/>
        </w:rPr>
      </w:pPr>
    </w:p>
    <w:p w:rsidR="003E6588" w:rsidRDefault="003E6588">
      <w:pPr>
        <w:ind w:firstLine="1134"/>
        <w:jc w:val="both"/>
      </w:pPr>
      <w:r>
        <w:rPr>
          <w:b/>
        </w:rPr>
        <w:t>Células a Combustíveis e Hidrogênio -</w:t>
      </w:r>
      <w:r>
        <w:t xml:space="preserve"> Demonstrada operação de células cerâmicas a etanol direto de alto desempenho com etanol por cerca de 600 horas sem degradação devida a formação de carbono. No âmbito do desenvolvimento de células a combustível poliméricas, foram obtidos novos eletrólitos híbridos e eletrocatalisadores capazes de operar em temperaturas intermediárias (~100ºC). Foram obtidos resultados importantes avançando estudo de células a combustível alcalinas.</w:t>
      </w:r>
    </w:p>
    <w:p w:rsidR="003E6588" w:rsidRDefault="003E6588">
      <w:pPr>
        <w:ind w:firstLine="1134"/>
        <w:jc w:val="both"/>
      </w:pPr>
    </w:p>
    <w:p w:rsidR="003E6588" w:rsidRDefault="003E6588">
      <w:pPr>
        <w:ind w:firstLine="1134"/>
        <w:jc w:val="both"/>
      </w:pPr>
      <w:r>
        <w:lastRenderedPageBreak/>
        <w:t>Retomados estudos de reforma a vapor catalítica visando produção de hidrogênio para células a combustível.</w:t>
      </w:r>
    </w:p>
    <w:p w:rsidR="003E6588" w:rsidRDefault="003E6588">
      <w:pPr>
        <w:ind w:firstLine="1134"/>
        <w:jc w:val="both"/>
      </w:pPr>
    </w:p>
    <w:p w:rsidR="003E6588" w:rsidRDefault="003E6588">
      <w:pPr>
        <w:ind w:firstLine="1134"/>
        <w:jc w:val="both"/>
      </w:pPr>
      <w:r>
        <w:rPr>
          <w:b/>
        </w:rPr>
        <w:t>Biotecnologia -</w:t>
      </w:r>
      <w:r>
        <w:t xml:space="preserve"> O Biotério do Ipen obteve credenciamento junto ao Conselho Nacional de Controle da Experimentação Animal - Concea do MCTI para criar, manter e realizar ensaios com animais de laboratório para desenvolvimento de novos fármacos e radiofármacos; projeto em parceria com a empresa Biosintesis, recebeu acreditação do Inmetro em Boas Práticas de Laboratório - BPL. No Brasil, é a única instalação de teste reconhecida em condições BPL para estudos </w:t>
      </w:r>
      <w:r>
        <w:rPr>
          <w:i/>
        </w:rPr>
        <w:t>in vitro</w:t>
      </w:r>
      <w:r>
        <w:t>.</w:t>
      </w:r>
    </w:p>
    <w:p w:rsidR="003E6588" w:rsidRDefault="003E6588">
      <w:pPr>
        <w:ind w:firstLine="1134"/>
        <w:jc w:val="both"/>
        <w:rPr>
          <w:b/>
        </w:rPr>
      </w:pPr>
    </w:p>
    <w:p w:rsidR="003E6588" w:rsidRDefault="003E6588">
      <w:pPr>
        <w:ind w:firstLine="1134"/>
        <w:jc w:val="both"/>
      </w:pPr>
      <w:r>
        <w:rPr>
          <w:b/>
        </w:rPr>
        <w:t>Tecnologia Laser -</w:t>
      </w:r>
      <w:r>
        <w:t xml:space="preserve"> Concedido projeto FAPESP temático e outro multiusuário para produção de circuitos microfluídicos genéricos com uso de </w:t>
      </w:r>
      <w:r>
        <w:rPr>
          <w:i/>
        </w:rPr>
        <w:t>laser</w:t>
      </w:r>
      <w:r>
        <w:t xml:space="preserve"> de pulsos ultracurtos. Quarta edição do “</w:t>
      </w:r>
      <w:r>
        <w:rPr>
          <w:i/>
        </w:rPr>
        <w:t>Workshop CLA”</w:t>
      </w:r>
      <w:r>
        <w:t xml:space="preserve"> teve mais de 150 participantes. Desenvolvido </w:t>
      </w:r>
      <w:r>
        <w:rPr>
          <w:i/>
        </w:rPr>
        <w:t>laser</w:t>
      </w:r>
      <w:r>
        <w:t xml:space="preserve"> de Nd:YLF com 65% de eficiência e depositado a patente. Projeto Capes/Eletronuclear garantiu doze bolsas de mestrado e doutorado para Centro de </w:t>
      </w:r>
      <w:r>
        <w:rPr>
          <w:i/>
        </w:rPr>
        <w:t>Lasers</w:t>
      </w:r>
      <w:r>
        <w:t xml:space="preserve"> e Aplicações - CLA.</w:t>
      </w:r>
    </w:p>
    <w:p w:rsidR="003E6588" w:rsidRDefault="003E6588">
      <w:pPr>
        <w:ind w:firstLine="1134"/>
        <w:jc w:val="both"/>
        <w:rPr>
          <w:b/>
        </w:rPr>
      </w:pPr>
    </w:p>
    <w:p w:rsidR="003E6588" w:rsidRDefault="003E6588">
      <w:pPr>
        <w:ind w:firstLine="1134"/>
        <w:jc w:val="both"/>
      </w:pPr>
      <w:r>
        <w:rPr>
          <w:b/>
        </w:rPr>
        <w:t>Radiometria Ambiental -</w:t>
      </w:r>
      <w:r>
        <w:t xml:space="preserve"> Manutenção da prestação de serviços de monitoração ambiental pré-operacional em Iperó, na área do RMB.</w:t>
      </w:r>
    </w:p>
    <w:p w:rsidR="003E6588" w:rsidRDefault="003E6588">
      <w:pPr>
        <w:ind w:firstLine="1134"/>
        <w:jc w:val="both"/>
        <w:rPr>
          <w:b/>
        </w:rPr>
      </w:pPr>
    </w:p>
    <w:p w:rsidR="003E6588" w:rsidRDefault="003E6588">
      <w:pPr>
        <w:ind w:firstLine="1134"/>
        <w:jc w:val="both"/>
      </w:pPr>
      <w:r>
        <w:rPr>
          <w:b/>
        </w:rPr>
        <w:t>Radioproteção -</w:t>
      </w:r>
      <w:r>
        <w:t xml:space="preserve"> Realizados 9 atendimentos de emergência radiológica no Estado. Ipen participou na composição das forças de segurança pública para os grandes eventos, Copa Fifa 2014, onde executou medidas de segurança radiológica para prevenção, detecção e resposta a emergência radiológica ou nuclear nas cidades de São Paulo, Curitiba, Porto Alegre e Recife.</w:t>
      </w:r>
    </w:p>
    <w:p w:rsidR="003E6588" w:rsidRDefault="003E6588">
      <w:pPr>
        <w:ind w:firstLine="1134"/>
        <w:jc w:val="both"/>
        <w:rPr>
          <w:b/>
        </w:rPr>
      </w:pPr>
    </w:p>
    <w:p w:rsidR="003E6588" w:rsidRDefault="003E6588">
      <w:pPr>
        <w:ind w:firstLine="1134"/>
        <w:jc w:val="both"/>
      </w:pPr>
      <w:r>
        <w:rPr>
          <w:b/>
        </w:rPr>
        <w:t xml:space="preserve">Inovação em tecnologias ambientais - </w:t>
      </w:r>
      <w:r>
        <w:t>Tecnologia alternativa e inovadora de refino de combustíveis veiculares, testada inicialmente com óleo diesel, tem se mostrado eficiente na redução do teor de poluentes, principalmente enxofre e nitrogênio. Unidade de processamento do combustível por microondas, patenteado pelo Ipen/Petrobrás, tem vantagem de realizar um aquecimento mais rápido, permitindo redução de 98,5% do poluente enxofre.</w:t>
      </w:r>
    </w:p>
    <w:p w:rsidR="003E6588" w:rsidRDefault="003E6588">
      <w:pPr>
        <w:ind w:firstLine="1134"/>
        <w:jc w:val="both"/>
      </w:pPr>
    </w:p>
    <w:p w:rsidR="003E6588" w:rsidRDefault="003E6588">
      <w:pPr>
        <w:ind w:firstLine="1134"/>
        <w:jc w:val="both"/>
      </w:pPr>
      <w:r>
        <w:rPr>
          <w:b/>
        </w:rPr>
        <w:t>Preservação de meio ambiente -</w:t>
      </w:r>
      <w:r>
        <w:t xml:space="preserve"> A Agência Internacional de Energia Atômica - AIEA e CNEN aprovaram projeto para estudo e desenvolvimento de unidade móvel de irradiação com feixe de elétrons, capaz de tratar efluentes domésticos e industriais para reuso, degradar corantes de efluentes têxteis e compostos orgânicos presentes em água produzida de petróleo para remoção de óleo.</w:t>
      </w:r>
    </w:p>
    <w:p w:rsidR="003E6588" w:rsidRDefault="003E6588">
      <w:pPr>
        <w:ind w:firstLine="1134"/>
        <w:jc w:val="both"/>
        <w:rPr>
          <w:b/>
        </w:rPr>
      </w:pPr>
    </w:p>
    <w:p w:rsidR="003E6588" w:rsidRDefault="003E6588">
      <w:pPr>
        <w:ind w:firstLine="1134"/>
        <w:jc w:val="both"/>
      </w:pPr>
      <w:r>
        <w:rPr>
          <w:b/>
        </w:rPr>
        <w:t>Ensino -</w:t>
      </w:r>
      <w:r>
        <w:t xml:space="preserve"> Inaugurado “Espaço da Tecnologia Nuclear”, projetado para facilitar compreensão da tecnologia nuclear e seus fundamentos e aplicações nas áreas de energia e saúde.</w:t>
      </w:r>
    </w:p>
    <w:p w:rsidR="003E6588" w:rsidRPr="00AD667B" w:rsidRDefault="003E6588">
      <w:pPr>
        <w:ind w:firstLine="1134"/>
        <w:jc w:val="both"/>
        <w:rPr>
          <w:sz w:val="18"/>
          <w:szCs w:val="18"/>
        </w:rPr>
      </w:pPr>
    </w:p>
    <w:p w:rsidR="003E6588" w:rsidRPr="00AD667B" w:rsidRDefault="003E6588">
      <w:pPr>
        <w:ind w:firstLine="1134"/>
        <w:jc w:val="both"/>
        <w:rPr>
          <w:sz w:val="18"/>
          <w:szCs w:val="18"/>
        </w:rPr>
      </w:pPr>
    </w:p>
    <w:p w:rsidR="003E6588" w:rsidRDefault="003E6588">
      <w:pPr>
        <w:rPr>
          <w:b/>
        </w:rPr>
      </w:pPr>
      <w:r>
        <w:rPr>
          <w:b/>
        </w:rPr>
        <w:t>AGÊNCIA PAULISTA DE PROMOÇÃO DE INVESTIMENTOS E COMPETITIVIDADE - INVESTE SÃO PAULO</w:t>
      </w:r>
    </w:p>
    <w:p w:rsidR="003E6588" w:rsidRPr="00AD667B" w:rsidRDefault="003E6588">
      <w:pPr>
        <w:ind w:firstLine="1134"/>
        <w:jc w:val="both"/>
        <w:rPr>
          <w:sz w:val="18"/>
          <w:szCs w:val="18"/>
        </w:rPr>
      </w:pPr>
    </w:p>
    <w:p w:rsidR="003E6588" w:rsidRDefault="003E6588">
      <w:pPr>
        <w:ind w:firstLine="1134"/>
        <w:jc w:val="both"/>
      </w:pPr>
      <w:r>
        <w:rPr>
          <w:b/>
        </w:rPr>
        <w:t>Investimentos anunciados -</w:t>
      </w:r>
      <w:r>
        <w:t xml:space="preserve"> 27 empresas atendidas pela Investe São Paulo anunciaram investimentos no Estado. Dessa forma, o total investido pelas empresas atendidas pela Investe SP chegou a R$ 3,4 bilhões, com estimativa de geração de 3.967 empregos.</w:t>
      </w:r>
    </w:p>
    <w:p w:rsidR="003E6588" w:rsidRDefault="003E6588">
      <w:pPr>
        <w:ind w:firstLine="1134"/>
        <w:jc w:val="both"/>
      </w:pPr>
      <w:r>
        <w:rPr>
          <w:b/>
        </w:rPr>
        <w:lastRenderedPageBreak/>
        <w:t>Carteira de projetos -</w:t>
      </w:r>
      <w:r>
        <w:t xml:space="preserve"> 91 projetos em andamento, totalizando um potencial de investimento de R$ 10 bilhões e possibilidade de geração de 24.640 empregos diretos.</w:t>
      </w:r>
    </w:p>
    <w:p w:rsidR="00AD667B" w:rsidRDefault="00AD667B">
      <w:pPr>
        <w:ind w:firstLine="1134"/>
        <w:jc w:val="both"/>
      </w:pPr>
    </w:p>
    <w:p w:rsidR="003E6588" w:rsidRDefault="003E6588">
      <w:pPr>
        <w:ind w:firstLine="1134"/>
        <w:jc w:val="both"/>
      </w:pPr>
      <w:r>
        <w:rPr>
          <w:b/>
        </w:rPr>
        <w:t>Consultas -</w:t>
      </w:r>
      <w:r>
        <w:t xml:space="preserve"> Atendimento específico realizado pelos especialistas (tributária, de infraestrutura e ambiental). Foram efetuadas 556 demandas de consultas e projetos pelas empresas, sendo 117 referentes à infraestrutura, 126 a temas ambientais e 313 a questões tributárias.</w:t>
      </w:r>
    </w:p>
    <w:p w:rsidR="003E6588" w:rsidRDefault="003E6588">
      <w:pPr>
        <w:ind w:firstLine="1134"/>
        <w:jc w:val="both"/>
      </w:pPr>
    </w:p>
    <w:p w:rsidR="003E6588" w:rsidRDefault="003E6588">
      <w:pPr>
        <w:ind w:firstLine="1134"/>
        <w:jc w:val="both"/>
      </w:pPr>
      <w:r>
        <w:rPr>
          <w:b/>
        </w:rPr>
        <w:t>Relações internacionais -</w:t>
      </w:r>
      <w:r>
        <w:t xml:space="preserve"> Realizadas 10 missões ao exterior, contemplando os seguintes países: China, Estados Unidos, Noruega, Suécia, Países Baixos, Reino Unido e Alemanha. A Investe SP fez 268 atendimentos internacionais, compreendendo atendimentos a representantes governamentais e empresariais, agências de promoção de investimentos internacionais, representações diplomáticas, organismos internacionais e consultorias internacionais. Foram estabelecidos 12 protocolos de cooperação com as seguintes instituições internacionais: Banco da China, HSBC, Câmara de Comércio de Ontário, </w:t>
      </w:r>
      <w:r>
        <w:rPr>
          <w:i/>
        </w:rPr>
        <w:t>Invest Shenzhen</w:t>
      </w:r>
      <w:r>
        <w:t xml:space="preserve">, Câmara de Comércio Brasil - Espanha, União Brasileira dos Promotores de Feiras - Ubrafe, Banco </w:t>
      </w:r>
      <w:r>
        <w:rPr>
          <w:i/>
        </w:rPr>
        <w:t>Mizuho</w:t>
      </w:r>
      <w:r>
        <w:t xml:space="preserve"> do Brasil, São Paulo </w:t>
      </w:r>
      <w:r>
        <w:rPr>
          <w:i/>
        </w:rPr>
        <w:t>Convention and Visitors Bureau</w:t>
      </w:r>
      <w:r>
        <w:t xml:space="preserve">, Câmara Portuguesa, </w:t>
      </w:r>
      <w:r>
        <w:rPr>
          <w:i/>
        </w:rPr>
        <w:t>Paris Region Entreprise</w:t>
      </w:r>
      <w:r>
        <w:t xml:space="preserve">, </w:t>
      </w:r>
      <w:r>
        <w:rPr>
          <w:i/>
        </w:rPr>
        <w:t>Switzerland Global Enterprise e Offshore Energy.dk</w:t>
      </w:r>
      <w:r>
        <w:t>.</w:t>
      </w:r>
    </w:p>
    <w:p w:rsidR="003E6588" w:rsidRDefault="003E6588">
      <w:pPr>
        <w:ind w:firstLine="1134"/>
        <w:jc w:val="both"/>
        <w:rPr>
          <w:b/>
        </w:rPr>
      </w:pPr>
    </w:p>
    <w:p w:rsidR="003E6588" w:rsidRDefault="003E6588">
      <w:pPr>
        <w:ind w:firstLine="1134"/>
        <w:jc w:val="both"/>
      </w:pPr>
      <w:r>
        <w:rPr>
          <w:b/>
        </w:rPr>
        <w:t>Relações Institucionais -</w:t>
      </w:r>
      <w:r>
        <w:t xml:space="preserve"> A Investe SP realizou 183 atendimentos a prefeituras.</w:t>
      </w:r>
    </w:p>
    <w:p w:rsidR="003E6588" w:rsidRDefault="003E6588">
      <w:pPr>
        <w:ind w:firstLine="1134"/>
        <w:jc w:val="both"/>
      </w:pPr>
    </w:p>
    <w:p w:rsidR="003E6588" w:rsidRDefault="003E6588">
      <w:pPr>
        <w:ind w:firstLine="1134"/>
        <w:jc w:val="both"/>
      </w:pPr>
      <w:r>
        <w:rPr>
          <w:b/>
        </w:rPr>
        <w:t xml:space="preserve">Comunicação e </w:t>
      </w:r>
      <w:r>
        <w:rPr>
          <w:b/>
          <w:i/>
        </w:rPr>
        <w:t xml:space="preserve">Marketing </w:t>
      </w:r>
      <w:r>
        <w:rPr>
          <w:b/>
        </w:rPr>
        <w:t>-</w:t>
      </w:r>
      <w:r>
        <w:t xml:space="preserve"> A agência reformulou o </w:t>
      </w:r>
      <w:r>
        <w:rPr>
          <w:i/>
        </w:rPr>
        <w:t xml:space="preserve">layout </w:t>
      </w:r>
      <w:r>
        <w:t xml:space="preserve">do </w:t>
      </w:r>
      <w:r>
        <w:rPr>
          <w:i/>
        </w:rPr>
        <w:t>website</w:t>
      </w:r>
      <w:r>
        <w:t xml:space="preserve"> chamado “Encontre um Sócio” (www.encontreumsocio.com), produziu a revista bilíngue anual “Investe SP Magazine” e produziu a terceira edição do Prêmio Investe São Paulo.</w:t>
      </w:r>
    </w:p>
    <w:p w:rsidR="003E6588" w:rsidRDefault="003E6588">
      <w:pPr>
        <w:ind w:firstLine="1134"/>
        <w:jc w:val="both"/>
      </w:pPr>
    </w:p>
    <w:p w:rsidR="003E6588" w:rsidRDefault="003E6588">
      <w:pPr>
        <w:ind w:firstLine="1134"/>
        <w:jc w:val="both"/>
      </w:pPr>
    </w:p>
    <w:p w:rsidR="003E6588" w:rsidRDefault="003E6588">
      <w:pPr>
        <w:rPr>
          <w:b/>
        </w:rPr>
      </w:pPr>
      <w:r>
        <w:rPr>
          <w:b/>
        </w:rPr>
        <w:t>FUNDAÇÃO DE AMPARO À PESQUISA DO ESTADO DE SÃO PAULO - FAPESP</w:t>
      </w:r>
    </w:p>
    <w:p w:rsidR="003E6588" w:rsidRDefault="003E6588">
      <w:pPr>
        <w:ind w:firstLine="1134"/>
        <w:jc w:val="both"/>
      </w:pPr>
    </w:p>
    <w:p w:rsidR="003E6588" w:rsidRDefault="003E6588">
      <w:pPr>
        <w:ind w:firstLine="1134"/>
        <w:jc w:val="both"/>
      </w:pPr>
    </w:p>
    <w:p w:rsidR="003E6588" w:rsidRDefault="003E6588">
      <w:pPr>
        <w:ind w:firstLine="1134"/>
        <w:jc w:val="both"/>
      </w:pPr>
      <w:r>
        <w:t>A Fundação recebeu 20.525 novas propostas de projetos de pesquisa e contratou 10.690 novos projetos. Apoiou 16.248 projetos de pesquisa.</w:t>
      </w:r>
    </w:p>
    <w:p w:rsidR="003E6588" w:rsidRDefault="003E6588">
      <w:pPr>
        <w:ind w:firstLine="1134"/>
        <w:jc w:val="both"/>
      </w:pPr>
    </w:p>
    <w:p w:rsidR="003E6588" w:rsidRDefault="003E6588">
      <w:pPr>
        <w:ind w:firstLine="1134"/>
        <w:jc w:val="both"/>
      </w:pPr>
      <w:r>
        <w:rPr>
          <w:b/>
        </w:rPr>
        <w:t>Recursos destinados à pesquisa</w:t>
      </w:r>
      <w:r>
        <w:t xml:space="preserve"> -</w:t>
      </w:r>
      <w:r>
        <w:rPr>
          <w:b/>
        </w:rPr>
        <w:t xml:space="preserve"> </w:t>
      </w:r>
      <w:r>
        <w:t>Desembolso com bolsas e projetos de pesquisa vigentes, foi de R$ 1,019 bilhão. Às pesquisas com vistas a aplicações, foram destinados 49% do desembolso. Pesquisas orientadas ao avanço do conhecimento receberam 45% dos recursos. Outros 6% foram investidos em infraestrutura de pesquisa.</w:t>
      </w:r>
    </w:p>
    <w:p w:rsidR="003E6588" w:rsidRDefault="003E6588">
      <w:pPr>
        <w:ind w:firstLine="1134"/>
        <w:jc w:val="both"/>
      </w:pPr>
    </w:p>
    <w:p w:rsidR="003E6588" w:rsidRDefault="003E6588">
      <w:pPr>
        <w:ind w:firstLine="1134"/>
        <w:jc w:val="both"/>
      </w:pPr>
      <w:r>
        <w:rPr>
          <w:b/>
        </w:rPr>
        <w:t>Formação de recursos humanos -</w:t>
      </w:r>
      <w:r>
        <w:t xml:space="preserve"> 6.672 novos bolsistas passaram a contar com apoio da FAPESP para estudo em São Paulo (83%) e no exterior (17%). Às 11.393 bolsas vigentes, foram destinados R$ 440,55 milhões. Foram contratados 4.018 novos projetos na modalidade auxílios à pesquisa. Os 4.855 auxílios regulares vigentes receberam R$ 371,93 milhões, incluindo projetos temáticos que se diferenciam por permitir propostas ousadas de pesquisa.</w:t>
      </w:r>
    </w:p>
    <w:p w:rsidR="003E6588" w:rsidRDefault="003E6588">
      <w:pPr>
        <w:ind w:firstLine="1134"/>
        <w:jc w:val="both"/>
      </w:pPr>
    </w:p>
    <w:p w:rsidR="003E6588" w:rsidRDefault="003E6588">
      <w:pPr>
        <w:ind w:firstLine="1134"/>
        <w:jc w:val="both"/>
      </w:pPr>
      <w:r>
        <w:rPr>
          <w:b/>
        </w:rPr>
        <w:t>Formação de lideranças científicas -</w:t>
      </w:r>
      <w:r>
        <w:t xml:space="preserve"> O programa Jovens Pesquisadores em Centros Emergentes está voltado para a atração para o Estado de novas lideranças científicas, jovens doutores </w:t>
      </w:r>
      <w:r>
        <w:lastRenderedPageBreak/>
        <w:t>do Brasil e de outros países. Foram contratados 62 novos projetos Jovens Pesquisadores. Aos 275 projetos JP em andamento foram destinados R$ 35,42 milhões.</w:t>
      </w:r>
    </w:p>
    <w:p w:rsidR="003E6588" w:rsidRDefault="003E6588">
      <w:pPr>
        <w:ind w:firstLine="1134"/>
        <w:jc w:val="both"/>
      </w:pPr>
    </w:p>
    <w:p w:rsidR="003E6588" w:rsidRDefault="003E6588">
      <w:pPr>
        <w:ind w:firstLine="1134"/>
        <w:jc w:val="both"/>
      </w:pPr>
      <w:r>
        <w:rPr>
          <w:b/>
        </w:rPr>
        <w:t xml:space="preserve">Apoio à infraestrutura de pesquisa - </w:t>
      </w:r>
      <w:r>
        <w:t>A FAPESP destinou R$ 57,33 milhões a projetos no âmbito dos programas de apoio à infraestrutura de pesquisa, garantindo às universidades e institutos de pesquisa no Estado infraestrutura de nível internacional.</w:t>
      </w:r>
    </w:p>
    <w:p w:rsidR="003E6588" w:rsidRDefault="003E6588">
      <w:pPr>
        <w:ind w:firstLine="1134"/>
        <w:jc w:val="both"/>
      </w:pPr>
    </w:p>
    <w:p w:rsidR="003E6588" w:rsidRDefault="003E6588">
      <w:pPr>
        <w:ind w:firstLine="1134"/>
        <w:jc w:val="both"/>
      </w:pPr>
      <w:r>
        <w:rPr>
          <w:b/>
        </w:rPr>
        <w:t>Pesquisa, inovação e difusão -</w:t>
      </w:r>
      <w:r>
        <w:t xml:space="preserve"> Os 17 novos Centros de Pesquisa, Inovação e Difusão - Cepids apoiados pela FAPESP receberam R$ 48,84 milhões.</w:t>
      </w:r>
    </w:p>
    <w:p w:rsidR="003E6588" w:rsidRDefault="003E6588">
      <w:pPr>
        <w:ind w:firstLine="1134"/>
        <w:jc w:val="both"/>
      </w:pPr>
    </w:p>
    <w:p w:rsidR="003E6588" w:rsidRDefault="003E6588">
      <w:pPr>
        <w:ind w:firstLine="1134"/>
        <w:jc w:val="both"/>
      </w:pPr>
      <w:r>
        <w:rPr>
          <w:b/>
        </w:rPr>
        <w:t>Estímulo à inovação nas pequenas empresas -</w:t>
      </w:r>
      <w:r>
        <w:t xml:space="preserve"> O programa Pesquisa Inovativa em Pequenas Empresas - PIPE contratou 105 novos projetos de auxílio à pesquisa em empresas de pequeno porte. Foram iniciados por semana dois novos projetos de pesquisa em pequenas empresas. O processo de seleção ocorre quatro vezes no ano. Em cada uma das etapas, a FAPESP promove, em parceria com o Centro das Indústrias do Estado de São Paulo - Ciesp, evento para esclarecimento de dúvidas de empresas interessadas em submeter projetos. Foram destinados R$ 19,98 milhões para os 159 projetos vigentes.</w:t>
      </w:r>
    </w:p>
    <w:p w:rsidR="003E6588" w:rsidRDefault="003E6588">
      <w:pPr>
        <w:ind w:firstLine="1134"/>
        <w:jc w:val="both"/>
      </w:pPr>
    </w:p>
    <w:p w:rsidR="003E6588" w:rsidRDefault="003E6588">
      <w:pPr>
        <w:ind w:firstLine="1134"/>
        <w:jc w:val="both"/>
        <w:rPr>
          <w:b/>
        </w:rPr>
      </w:pPr>
      <w:r>
        <w:rPr>
          <w:b/>
        </w:rPr>
        <w:t>Parceria entre universidades e empresas</w:t>
      </w:r>
    </w:p>
    <w:p w:rsidR="003E6588" w:rsidRDefault="003E6588">
      <w:pPr>
        <w:ind w:firstLine="1134"/>
        <w:jc w:val="both"/>
        <w:rPr>
          <w:b/>
        </w:rPr>
      </w:pPr>
    </w:p>
    <w:p w:rsidR="003E6588" w:rsidRDefault="003E6588">
      <w:pPr>
        <w:ind w:firstLine="1134"/>
        <w:jc w:val="both"/>
      </w:pPr>
      <w:r>
        <w:rPr>
          <w:b/>
        </w:rPr>
        <w:t>O programa Pesquisa em Parceria para Inovação Tecnológica - PITE</w:t>
      </w:r>
      <w:r>
        <w:t xml:space="preserve"> - Visa fortalecer a pesquisa em parceria entre pesquisadores de instituições de pesquisa sediadas no Estado e de empresas. Os 55 projetos em andamento receberam R$ 5,60 milhões. Foi assinado acordo de cooperação com a Biozeus Desenvolvimento de Produtos Biofarmacêuticos S.A, totalizando 16 acordos vigentes com empresas nacionais e estrangeiras.</w:t>
      </w:r>
    </w:p>
    <w:p w:rsidR="003E6588" w:rsidRDefault="003E6588">
      <w:pPr>
        <w:ind w:firstLine="1134"/>
        <w:jc w:val="both"/>
        <w:rPr>
          <w:b/>
        </w:rPr>
      </w:pPr>
    </w:p>
    <w:p w:rsidR="003E6588" w:rsidRDefault="003E6588">
      <w:pPr>
        <w:ind w:firstLine="1134"/>
        <w:jc w:val="both"/>
        <w:rPr>
          <w:strike/>
        </w:rPr>
      </w:pPr>
      <w:r>
        <w:rPr>
          <w:b/>
        </w:rPr>
        <w:t>Centros de Pesquisa em Engenharia em áreas estratégicas para o desenvolvimento tecnológico do Estado de São Paulo -</w:t>
      </w:r>
      <w:r>
        <w:t xml:space="preserve"> O modelo dos Cepids inspirou a FAPESP para a criação de centros de pesquisa co-financiados por empresas.</w:t>
      </w:r>
    </w:p>
    <w:p w:rsidR="003E6588" w:rsidRDefault="003E6588">
      <w:pPr>
        <w:ind w:firstLine="1134"/>
        <w:jc w:val="both"/>
        <w:rPr>
          <w:strike/>
        </w:rPr>
      </w:pPr>
    </w:p>
    <w:p w:rsidR="003E6588" w:rsidRDefault="003E6588">
      <w:pPr>
        <w:ind w:firstLine="1134"/>
        <w:jc w:val="both"/>
      </w:pPr>
      <w:r>
        <w:rPr>
          <w:b/>
        </w:rPr>
        <w:t>Internacionalização -</w:t>
      </w:r>
      <w:r>
        <w:t xml:space="preserve"> Realizou encontros científicos (Fapesp </w:t>
      </w:r>
      <w:r>
        <w:rPr>
          <w:i/>
        </w:rPr>
        <w:t>Week</w:t>
      </w:r>
      <w:r>
        <w:t xml:space="preserve">) na China, Alemanha e Estados Unidos, aproximando pesquisadores brasileiros e estrangeiros com áreas de interesse comum em pesquisa. Na China, o simpósio foi organizado com a </w:t>
      </w:r>
      <w:r>
        <w:rPr>
          <w:i/>
        </w:rPr>
        <w:t>Peking University</w:t>
      </w:r>
      <w:r>
        <w:t xml:space="preserve">. Na Alemanha, o evento foi organizado em conjunto com a </w:t>
      </w:r>
      <w:r>
        <w:rPr>
          <w:i/>
        </w:rPr>
        <w:t>Bavarian State Ministry</w:t>
      </w:r>
      <w:r>
        <w:t xml:space="preserve"> </w:t>
      </w:r>
      <w:r>
        <w:rPr>
          <w:i/>
        </w:rPr>
        <w:t>of Education, Science, and the Arts</w:t>
      </w:r>
      <w:r>
        <w:t xml:space="preserve">. Nos Estados Unidos, duas cidades da Califórnia sediaram os eventos realizados em parceria com a </w:t>
      </w:r>
      <w:r>
        <w:rPr>
          <w:i/>
        </w:rPr>
        <w:t>University of California Berkeley</w:t>
      </w:r>
      <w:r>
        <w:t xml:space="preserve">, a </w:t>
      </w:r>
      <w:r>
        <w:rPr>
          <w:i/>
        </w:rPr>
        <w:t>UC Davis</w:t>
      </w:r>
      <w:r>
        <w:t xml:space="preserve">, e o </w:t>
      </w:r>
      <w:r>
        <w:rPr>
          <w:i/>
        </w:rPr>
        <w:t>Brazil Institute do Woodrow Wilson Center</w:t>
      </w:r>
      <w:r>
        <w:t xml:space="preserve">. Em </w:t>
      </w:r>
      <w:r>
        <w:rPr>
          <w:i/>
        </w:rPr>
        <w:t>Washington</w:t>
      </w:r>
      <w:r>
        <w:t xml:space="preserve">, foi realizado o Fapesp-U.S. </w:t>
      </w:r>
      <w:r>
        <w:rPr>
          <w:i/>
        </w:rPr>
        <w:t>Collaborative Research on the Amazon</w:t>
      </w:r>
      <w:r>
        <w:t xml:space="preserve">, em parceria com o Departamento de Energia dos Estados Unidos (DOE) e o </w:t>
      </w:r>
      <w:r>
        <w:rPr>
          <w:i/>
        </w:rPr>
        <w:t>Brazil Institute do Woodrow Wilson Center</w:t>
      </w:r>
      <w:r>
        <w:t>. A Fapesp assinou 33 acordos de cooperação com instituições de ensino superior e agências de fomento à pesquisa de 20 diferentes países. Houve 25 editais de apoio á pesquisa em colaborações internacionais. A FAPESP recebeu a visita de 23 delegações de países como Japão, Canadá, Reino Unido, Estados Unidos, Alemanha, França, Suíça, Holanda, Portugal, Bélgica, China, Tailândia, Irã, e Etiópia, interessados em parcerias com a Fundação.</w:t>
      </w:r>
    </w:p>
    <w:p w:rsidR="003E6588" w:rsidRDefault="003E6588">
      <w:pPr>
        <w:pStyle w:val="PargrafodaLista"/>
        <w:ind w:left="0"/>
        <w:contextualSpacing w:val="0"/>
        <w:jc w:val="center"/>
        <w:rPr>
          <w:rFonts w:ascii="Times New Roman" w:hAnsi="Times New Roman"/>
          <w:b/>
          <w:sz w:val="24"/>
          <w:szCs w:val="24"/>
        </w:rPr>
      </w:pPr>
      <w:r>
        <w:rPr>
          <w:rFonts w:ascii="Times New Roman" w:hAnsi="Times New Roman"/>
          <w:b/>
          <w:sz w:val="24"/>
          <w:szCs w:val="24"/>
        </w:rPr>
        <w:lastRenderedPageBreak/>
        <w:t>JUNTA COMERCIAL DO ESTADO DE SÃO PAULO - JUCESP</w:t>
      </w:r>
    </w:p>
    <w:p w:rsidR="003E6588" w:rsidRDefault="003E6588">
      <w:pPr>
        <w:ind w:firstLine="1134"/>
        <w:jc w:val="both"/>
      </w:pPr>
    </w:p>
    <w:p w:rsidR="003E6588" w:rsidRDefault="003E6588">
      <w:pPr>
        <w:ind w:firstLine="1134"/>
        <w:jc w:val="both"/>
      </w:pPr>
    </w:p>
    <w:p w:rsidR="003E6588" w:rsidRDefault="003E6588">
      <w:pPr>
        <w:ind w:firstLine="1134"/>
        <w:jc w:val="both"/>
      </w:pPr>
      <w:r>
        <w:t xml:space="preserve">Um importante avanço da Jucesp foi a consolidação do Módulo Estadual de Licenciamento do Via Rápida Empresa - VRE, desenvolvido em parceria com a Subsecretaria de Empreendedorismo e da Micro e Pequena Empresa, voltado à desburocratização. O VRE é solução integrada entre os diversos órgãos estaduais, municipais e federais, em um único atendimento, que oferece serviços de pesquisa de viabilidade, registro empresarial, inscrições tributárias e licenciamento de atividades. Todos os 645 municípios paulistas estão integrados ao sistema. Existem 64 municípios conveniados que oferecem a viabilidade prévia e, para estes municípios, além do licenciamento estadual, o empresário obtém no mesmo certificado o alvará municipal. Outro fato relevante é o desenvolvimento do Sistema de Abertura de Empresas </w:t>
      </w:r>
      <w:r>
        <w:rPr>
          <w:i/>
        </w:rPr>
        <w:t>on line</w:t>
      </w:r>
      <w:r>
        <w:t xml:space="preserve"> que possibilitará que empresa seja constituída, registrada e licenciada pela </w:t>
      </w:r>
      <w:r>
        <w:rPr>
          <w:i/>
        </w:rPr>
        <w:t>internet</w:t>
      </w:r>
      <w:r>
        <w:t>, sem necessidade de deslocamentos, impressões e protocolos presenciais. Solução modernizará todo fluxo documental interno da Jucesp, tornando-o mais ágil e seguro.</w:t>
      </w:r>
    </w:p>
    <w:p w:rsidR="003E6588" w:rsidRDefault="003E6588">
      <w:pPr>
        <w:ind w:firstLine="1134"/>
        <w:jc w:val="both"/>
      </w:pPr>
    </w:p>
    <w:p w:rsidR="003E6588" w:rsidRDefault="003E6588">
      <w:pPr>
        <w:ind w:firstLine="1134"/>
        <w:jc w:val="both"/>
        <w:rPr>
          <w:b/>
        </w:rPr>
      </w:pPr>
      <w:r>
        <w:rPr>
          <w:b/>
        </w:rPr>
        <w:t xml:space="preserve">Números - </w:t>
      </w:r>
      <w:r>
        <w:t>Realizada média de 1.121 atendimentos presenciais diariamente, promovendo aproximação com usuários e melhoria na qualidade dos serviços. O plantão de dúvidas realizou 20.915 atendimentos para esclarecimentos sobre exigências e outros atos do registro público mercantil. O serviço de suporte Via Rápida Empresa totalizou 17.929 atendimentos. O tempo médio de espera para atendimento presencial foi de 16 minutos. A Jucesp arquivou 932.141 processos (incluindo Micro Empreendedor Individual - MEI). Cabe ressaltar diminuição no tempo para abertura de empresas, foram abertas em um prazo médio de 4,6 dias. Os números indicam que 159.480 empresas foram constituídas (exceto MEI), sendo que deste total 117.497 são microempresas e 23.749 são empresas de pequeno porte. Houve encerramento de outras 59.720 empresas. Foram realizadas 712.941 alterações. O corpo técnico recebeu 338.657 pacotes de documentos para análise. Houve também entrada 129.532 livros e autenticação de 85.505 registros de livros.</w:t>
      </w:r>
    </w:p>
    <w:p w:rsidR="003E6588" w:rsidRDefault="003E6588">
      <w:pPr>
        <w:pStyle w:val="PargrafodaLista"/>
        <w:ind w:left="0" w:firstLine="1134"/>
        <w:contextualSpacing w:val="0"/>
        <w:rPr>
          <w:rFonts w:ascii="Times New Roman" w:hAnsi="Times New Roman"/>
          <w:b/>
          <w:sz w:val="24"/>
          <w:szCs w:val="24"/>
        </w:rPr>
      </w:pPr>
    </w:p>
    <w:p w:rsidR="003E6588" w:rsidRDefault="003E6588">
      <w:pPr>
        <w:rPr>
          <w:b/>
        </w:rPr>
      </w:pPr>
      <w:r>
        <w:br w:type="page"/>
      </w:r>
      <w:r>
        <w:rPr>
          <w:b/>
        </w:rPr>
        <w:lastRenderedPageBreak/>
        <w:t>SECRETARIA DE DESENVOLVIMENTO SOCIAL</w:t>
      </w:r>
    </w:p>
    <w:p w:rsidR="003E6588" w:rsidRDefault="003E6588"/>
    <w:p w:rsidR="00EC2B3F" w:rsidRDefault="00EC2B3F"/>
    <w:p w:rsidR="003E6588" w:rsidRDefault="003E6588" w:rsidP="00F40CFB">
      <w:pPr>
        <w:ind w:firstLine="1134"/>
        <w:jc w:val="both"/>
        <w:rPr>
          <w:b/>
        </w:rPr>
      </w:pPr>
      <w:r>
        <w:rPr>
          <w:b/>
        </w:rPr>
        <w:t>Coordenadoria de Gestão Estratégica - CGE</w:t>
      </w:r>
    </w:p>
    <w:p w:rsidR="003E6588" w:rsidRDefault="003E6588">
      <w:pPr>
        <w:ind w:firstLine="1276"/>
      </w:pPr>
    </w:p>
    <w:p w:rsidR="003E6588" w:rsidRDefault="003E6588" w:rsidP="00F40CFB">
      <w:pPr>
        <w:ind w:firstLine="1134"/>
        <w:jc w:val="both"/>
        <w:rPr>
          <w:color w:val="000000"/>
        </w:rPr>
      </w:pPr>
      <w:r>
        <w:rPr>
          <w:b/>
        </w:rPr>
        <w:t xml:space="preserve">Cadastro Pró-Social (Sistema Pró-Social) - </w:t>
      </w:r>
      <w:r>
        <w:rPr>
          <w:color w:val="000000"/>
        </w:rPr>
        <w:t>O Pró-Social é uma ferramenta de gestão do Governo do Estado, que tem por objetivo integrar as ações, programas e projetos num cadastro único, bem como fornecer informações estratégicas, consistentes para a SDS e o Governo do Estado, com intuito de fomentar e subsidiar a elaboração de Políticas Públicas em Assistência e Desenvolvimento Social.</w:t>
      </w:r>
    </w:p>
    <w:p w:rsidR="003E6588" w:rsidRDefault="003E6588">
      <w:pPr>
        <w:autoSpaceDE w:val="0"/>
        <w:autoSpaceDN w:val="0"/>
        <w:adjustRightInd w:val="0"/>
        <w:ind w:left="261" w:firstLine="1276"/>
        <w:jc w:val="both"/>
        <w:rPr>
          <w:color w:val="000000"/>
        </w:rPr>
      </w:pPr>
    </w:p>
    <w:p w:rsidR="003E6588" w:rsidRDefault="003E6588" w:rsidP="00EE3D7B">
      <w:pPr>
        <w:autoSpaceDE w:val="0"/>
        <w:autoSpaceDN w:val="0"/>
        <w:adjustRightInd w:val="0"/>
        <w:ind w:firstLine="1134"/>
        <w:jc w:val="both"/>
        <w:rPr>
          <w:strike/>
          <w:color w:val="000000"/>
        </w:rPr>
      </w:pPr>
      <w:r>
        <w:rPr>
          <w:color w:val="000000"/>
        </w:rPr>
        <w:t>O Sistema é utilizado por gestores e técnicos de todos os municípios, Secretaria de Desenvolvimento Social e outros parceiros, tais como Fundação Casa, Centro Estadual de Educação Tecnológica Paula Souza e Secretaria da Administração Penitenciária</w:t>
      </w:r>
      <w:r w:rsidR="00F40CFB">
        <w:rPr>
          <w:color w:val="000000"/>
        </w:rPr>
        <w:t>.</w:t>
      </w:r>
    </w:p>
    <w:p w:rsidR="003E6588" w:rsidRDefault="003E6588">
      <w:pPr>
        <w:autoSpaceDE w:val="0"/>
        <w:autoSpaceDN w:val="0"/>
        <w:adjustRightInd w:val="0"/>
        <w:ind w:left="261" w:firstLine="1276"/>
        <w:jc w:val="both"/>
        <w:rPr>
          <w:color w:val="000000"/>
        </w:rPr>
      </w:pPr>
    </w:p>
    <w:p w:rsidR="003E6588" w:rsidRDefault="003E6588" w:rsidP="002749CB">
      <w:pPr>
        <w:autoSpaceDE w:val="0"/>
        <w:autoSpaceDN w:val="0"/>
        <w:adjustRightInd w:val="0"/>
        <w:ind w:firstLine="1134"/>
        <w:jc w:val="both"/>
        <w:rPr>
          <w:color w:val="000000"/>
        </w:rPr>
      </w:pPr>
      <w:r>
        <w:rPr>
          <w:color w:val="000000"/>
        </w:rPr>
        <w:t>Para utilização desta ferramenta, foram capacitados funcionários do Centro Estadual de Educação Tecnológica Paula Souza e da Prefeitura Municipal de Campo Limpo Paulista, no Módulo Família/Beneficiários Sistema Pró-Social.</w:t>
      </w:r>
    </w:p>
    <w:p w:rsidR="003E6588" w:rsidRDefault="003E6588">
      <w:pPr>
        <w:autoSpaceDE w:val="0"/>
        <w:autoSpaceDN w:val="0"/>
        <w:adjustRightInd w:val="0"/>
        <w:ind w:left="261" w:firstLine="1276"/>
        <w:jc w:val="both"/>
        <w:rPr>
          <w:color w:val="000000"/>
        </w:rPr>
      </w:pPr>
    </w:p>
    <w:p w:rsidR="003E6588" w:rsidRDefault="003E6588" w:rsidP="002749CB">
      <w:pPr>
        <w:autoSpaceDE w:val="0"/>
        <w:autoSpaceDN w:val="0"/>
        <w:adjustRightInd w:val="0"/>
        <w:ind w:firstLine="1134"/>
        <w:jc w:val="both"/>
        <w:rPr>
          <w:color w:val="000000"/>
        </w:rPr>
      </w:pPr>
      <w:r>
        <w:rPr>
          <w:color w:val="000000"/>
        </w:rPr>
        <w:t>Os atendimentos somam 5.000 usuários entre Gestores e Técnicos Municipais, Secretarias de Estado e Organizações não governamentais.</w:t>
      </w:r>
    </w:p>
    <w:p w:rsidR="003E6588" w:rsidRDefault="003E6588" w:rsidP="002749CB">
      <w:pPr>
        <w:autoSpaceDE w:val="0"/>
        <w:autoSpaceDN w:val="0"/>
        <w:adjustRightInd w:val="0"/>
        <w:ind w:firstLine="1134"/>
        <w:jc w:val="both"/>
        <w:rPr>
          <w:color w:val="000000"/>
        </w:rPr>
      </w:pPr>
    </w:p>
    <w:p w:rsidR="003E6588" w:rsidRDefault="003E6588" w:rsidP="002749CB">
      <w:pPr>
        <w:autoSpaceDE w:val="0"/>
        <w:autoSpaceDN w:val="0"/>
        <w:adjustRightInd w:val="0"/>
        <w:ind w:firstLine="1134"/>
        <w:jc w:val="both"/>
        <w:rPr>
          <w:color w:val="000000"/>
        </w:rPr>
      </w:pPr>
      <w:r>
        <w:rPr>
          <w:color w:val="000000"/>
        </w:rPr>
        <w:t xml:space="preserve">Merecem destaque os atendimentos para operacionalização do sistema (por meio do fale-conosco, </w:t>
      </w:r>
      <w:r>
        <w:rPr>
          <w:i/>
          <w:color w:val="000000"/>
        </w:rPr>
        <w:t>e-mail</w:t>
      </w:r>
      <w:r>
        <w:rPr>
          <w:color w:val="000000"/>
        </w:rPr>
        <w:t xml:space="preserve"> e ligações telefônicas).</w:t>
      </w:r>
    </w:p>
    <w:p w:rsidR="00F40CFB" w:rsidRDefault="00F40CFB"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Estão cadastradas, sem fins lucrativos, 2.520 entidades no Sistema Pró-Social Módulo/Instituções e no âmbito do Programa de Estímulo à Cidadania Fiscal do Estado de São Paulo</w:t>
      </w:r>
      <w:r w:rsidR="00F40CFB">
        <w:t>,</w:t>
      </w:r>
      <w:r>
        <w:t xml:space="preserve"> conforme a Resolução Conjunta das Secretarias da Fazenda e de Desenvolvimento Social nº 1/2009.</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rPr>
          <w:b/>
        </w:rPr>
        <w:t xml:space="preserve">Apoio às Ações Municipais (Sistema PMAS </w:t>
      </w:r>
      <w:r w:rsidRPr="00EE3D7B">
        <w:rPr>
          <w:b/>
          <w:i/>
        </w:rPr>
        <w:t>Web</w:t>
      </w:r>
      <w:r>
        <w:rPr>
          <w:b/>
        </w:rPr>
        <w:t xml:space="preserve">) - </w:t>
      </w:r>
      <w:r>
        <w:t xml:space="preserve">O sistema dos Planos Municipais de Assistência Social </w:t>
      </w:r>
      <w:r w:rsidR="00EE3D7B">
        <w:t xml:space="preserve">- </w:t>
      </w:r>
      <w:r>
        <w:t>PMAS</w:t>
      </w:r>
      <w:r w:rsidRPr="00EE3D7B">
        <w:rPr>
          <w:i/>
        </w:rPr>
        <w:t>web</w:t>
      </w:r>
      <w:r>
        <w:t xml:space="preserve"> é a principal ferramenta do Estado para inserção e extração de informações sobre os serviços socioassistenciais e sobre o planejamento de ações dos municípios paulistas, disponibilizado para técnicos, gestores e conselheiros municipais e estaduais, visando a facilitar a coordenação e gerenciamento da rede de serviços socioassistenciais.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rPr>
          <w:strike/>
        </w:rPr>
      </w:pPr>
      <w:r>
        <w:t>O PMAS</w:t>
      </w:r>
      <w:r>
        <w:rPr>
          <w:i/>
        </w:rPr>
        <w:t>web</w:t>
      </w:r>
      <w:r>
        <w:t xml:space="preserve"> permite acesso </w:t>
      </w:r>
      <w:r>
        <w:rPr>
          <w:i/>
        </w:rPr>
        <w:t>on line</w:t>
      </w:r>
      <w:r>
        <w:t xml:space="preserve"> a todas as informações dos planos municipais dos 645 municípios paulistas, contribuindo com a elaboração de análises e diagnósticos socioass</w:t>
      </w:r>
      <w:r w:rsidR="00F40CFB">
        <w:t>istenciais locais ou regionais.</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rPr>
          <w:b/>
        </w:rPr>
      </w:pPr>
      <w:r>
        <w:rPr>
          <w:b/>
        </w:rPr>
        <w:t>Ações desenvolvidas</w:t>
      </w:r>
    </w:p>
    <w:p w:rsidR="003E6588" w:rsidRPr="00797C42"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lastRenderedPageBreak/>
        <w:t>Recebimento das solicitações dos municípios para atualizações dos seus Planos Municipais de Assistência Social, análise e avaliação sobre a adequação das solicitações, autorização para desbloqueio do sistema e monitoramento sobre o correto preenchimento.</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Desenvolvimento da versão 2015 do sistema PMAS</w:t>
      </w:r>
      <w:r>
        <w:rPr>
          <w:i/>
        </w:rPr>
        <w:t>web</w:t>
      </w:r>
      <w:r w:rsidR="00F40CFB">
        <w:rPr>
          <w:i/>
        </w:rPr>
        <w:t>;</w:t>
      </w:r>
      <w:r>
        <w:t xml:space="preserve"> estudo de nova legislação e construção do escopo da proposta de aperfeiçoamento do sistema; realização de consulta à sede, DRADS e municípios sobre propostas de aperfeiçoamento do sistema; incorporação das sugestões e sistematização da proposta de desenvolvimento. Dentre as alterações contempladas por esta nova versão, destacam-se: detalhamento dos registros referentes ao Programa de Erradicação do Trabalho Infantil </w:t>
      </w:r>
      <w:r w:rsidR="00EE3D7B">
        <w:t xml:space="preserve">- </w:t>
      </w:r>
      <w:r>
        <w:t>PETI, incluindo informações sobre suas ações estratégicas; integração com o sistema Pró Social; registro das entidades socioassistenciais de assessoramento e de defesa e garantia de direitos; simplificação do cronograma de desembolso financeiro, facilitando a execução dos recursos de cofinanciamento estadual pelos municípios; e a atualização para adequação aos novos serviços da Tipificação Nacional; apresentação e entrega da proposta ao DNI e à PRODESP para desenvolvimento do sistema; apresentação da proposta junto à CIB; acompanhamento e homologação das alterações desenvolvidas; organização e operacionalização do teste do sistema</w:t>
      </w:r>
      <w:r w:rsidR="00F40CFB">
        <w:t>,</w:t>
      </w:r>
      <w:r>
        <w:t xml:space="preserve"> com a participação de 25 DRADS e 79 municípios; pactuação sobre o desenvolvimento do sistema em sua versão 2014 (para o período 2014/2015) e do período de elaboração e deliberação sobre os planos municipais junto à CIB </w:t>
      </w:r>
      <w:r w:rsidR="00F40CFB">
        <w:t xml:space="preserve">por meio </w:t>
      </w:r>
      <w:r>
        <w:t>da Portaria CIB nº 15/2014; organização e operacionalização da capacitação junto às 26 DRADS, realizada em duas etapas: na primeira, 89 pessoas, entre técnicos e diretores das DRADS e das coordenadorias da SDS, foram capacitadas na Escola de Formação de Professores “Paulo Renato Costa Souza”, da Secretaria da Educação. A segunda etapa da capacitação ocorreu de maneira descentralizada, quando os técnicos das DRADS multiplicaram as orientações recebidas para cerca de 2.200 pessoas, entre técnicos, gestores e conselheiros municipais de suas regiões; atualização de manuais e orientações; acompanhamento do preenchimento dos Planos Municipais pelos órgãos gestores municipais e posterior deliberação dos Conselhos Municipais de Assistência Social.</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rPr>
          <w:b/>
        </w:rPr>
      </w:pPr>
      <w:r>
        <w:rPr>
          <w:b/>
        </w:rPr>
        <w:t>Monitoramento e Avaliação - M&amp;A</w:t>
      </w:r>
    </w:p>
    <w:p w:rsidR="003E6588" w:rsidRDefault="003E6588" w:rsidP="002749CB">
      <w:pPr>
        <w:autoSpaceDE w:val="0"/>
        <w:autoSpaceDN w:val="0"/>
        <w:adjustRightInd w:val="0"/>
        <w:ind w:firstLine="1134"/>
        <w:jc w:val="both"/>
        <w:rPr>
          <w:sz w:val="20"/>
          <w:szCs w:val="20"/>
        </w:rPr>
      </w:pPr>
    </w:p>
    <w:p w:rsidR="003E6588" w:rsidRDefault="003E6588" w:rsidP="002749CB">
      <w:pPr>
        <w:autoSpaceDE w:val="0"/>
        <w:autoSpaceDN w:val="0"/>
        <w:adjustRightInd w:val="0"/>
        <w:ind w:firstLine="1134"/>
        <w:jc w:val="both"/>
      </w:pPr>
      <w:r>
        <w:rPr>
          <w:b/>
        </w:rPr>
        <w:t xml:space="preserve">Aprimoramento, Desenvolvimento de Sistemas e </w:t>
      </w:r>
      <w:r w:rsidR="00F40CFB">
        <w:rPr>
          <w:b/>
        </w:rPr>
        <w:t xml:space="preserve">Tecnologia </w:t>
      </w:r>
      <w:r>
        <w:rPr>
          <w:b/>
        </w:rPr>
        <w:t xml:space="preserve">da Informação para Aperfeiçoamento da Política Socioassistencial no Estado - </w:t>
      </w:r>
      <w:r>
        <w:t xml:space="preserve">O sistema de </w:t>
      </w:r>
      <w:r>
        <w:rPr>
          <w:i/>
        </w:rPr>
        <w:t xml:space="preserve">Business Intelligence (BI) Cognos </w:t>
      </w:r>
      <w:r>
        <w:t>da IBM é produto oriundo do Projeto Avaliação e Aprimoramento, que teve como objetivo melhorar a eficiência e efetividade da Política de Assistência Social do Estado e dos projetos de assistência, promoção e desenvolvimento social mediante apoio ao desenvolvimento institucional da Rede de Proteção Social do Estado de São Paulo.</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As ações foram voltadas à revisão do Termo de Referência</w:t>
      </w:r>
      <w:r w:rsidR="00F40CFB">
        <w:t>,</w:t>
      </w:r>
      <w:r>
        <w:t xml:space="preserve"> visando serviços de manutenção e inserção de novas bases de dados no sistema de </w:t>
      </w:r>
      <w:r>
        <w:rPr>
          <w:i/>
        </w:rPr>
        <w:t>Business Intelligence (BI) Cognos</w:t>
      </w:r>
      <w:r>
        <w:t xml:space="preserve"> da IBM, para monitoramento e avaliação da Política Social no Estado, e incluíram: participação na elaboração de termo de referência e análise de propostas para contratação de metodologia de monitoramento do programa estadual São Paulo Solidário, no qual consta interface com o sistema de BI em questão; participação na elaboração de Termo de Referência</w:t>
      </w:r>
      <w:r w:rsidR="00F40CFB">
        <w:t>,</w:t>
      </w:r>
      <w:r>
        <w:t xml:space="preserve"> objetivando contratação de Consultor para acompanhar o processo de revisão do sistema de </w:t>
      </w:r>
      <w:r>
        <w:rPr>
          <w:i/>
        </w:rPr>
        <w:t>BI</w:t>
      </w:r>
      <w:r>
        <w:t xml:space="preserve"> em questão.</w:t>
      </w:r>
    </w:p>
    <w:p w:rsidR="003E6588" w:rsidRDefault="003E6588" w:rsidP="002749CB">
      <w:pPr>
        <w:autoSpaceDE w:val="0"/>
        <w:autoSpaceDN w:val="0"/>
        <w:adjustRightInd w:val="0"/>
        <w:ind w:firstLine="1134"/>
        <w:jc w:val="both"/>
      </w:pPr>
      <w:r>
        <w:rPr>
          <w:b/>
        </w:rPr>
        <w:lastRenderedPageBreak/>
        <w:t xml:space="preserve">Desenvolvimento do Aplicativo de Monitoramento de Medidas Socioeducativas em Meio Aberto - </w:t>
      </w:r>
      <w:r>
        <w:t xml:space="preserve">Com a publicação da Lei nº 12.594/2012, que institui o Sistema Nacional de Atendimento Socioeducativo - SINASE, foi estabelecida a obrigatoriedade de todos os municípios ofertarem o serviço de Medidas Socioeducativas - MSE. A fim de agilizar a produção de informações e prestação de contas, a equipe de Proteção Social Especial, responsável pelo acompanhamento das medidas socioeducativas na esfera estadual, solicitou ao Grupo de Monitoramento e Avaliação o desenvolvimento de instrumento informatizado (com uniformização de conceitos e padronização no registro dos dados) de identificação e caracterização dos adolescentes que estão em cumprimento das medidas socioeducativas para ser utilizado por todos os serviços que atendem adolescentes. As informações são coletadas (via entrevista presencial) e podem ser utilizadas tanto para elaborar o plano de atendimento e perfil psicossocial como para obter um diagnóstico socioeconômico dos adolescentes atendidos e suas famílias. Permite ainda identificar questões como renda, condições de moradia, acesso ao mercado de trabalho, além de relativos ao campo da saúde e educação. </w:t>
      </w:r>
      <w:r w:rsidR="00F40CFB">
        <w:t xml:space="preserve">Foi </w:t>
      </w:r>
      <w:r>
        <w:t>feita a revisão de toda documentação produzida, incluindo os ajustes propostos na capacitação do Município de São Paulo</w:t>
      </w:r>
      <w:r w:rsidR="00F40CFB">
        <w:t>.</w:t>
      </w:r>
      <w:r>
        <w:t xml:space="preserve"> Com essa etapa, foram finalizadas as ativida</w:t>
      </w:r>
      <w:r w:rsidR="00F40CFB">
        <w:t>des desse Grupo nesse trabalho.</w:t>
      </w:r>
    </w:p>
    <w:p w:rsidR="00F40CFB" w:rsidRDefault="00F40CFB">
      <w:pPr>
        <w:autoSpaceDE w:val="0"/>
        <w:autoSpaceDN w:val="0"/>
        <w:adjustRightInd w:val="0"/>
        <w:ind w:firstLine="1276"/>
        <w:jc w:val="both"/>
        <w:rPr>
          <w:b/>
        </w:rPr>
      </w:pPr>
    </w:p>
    <w:p w:rsidR="003E6588" w:rsidRDefault="003E6588" w:rsidP="002749CB">
      <w:pPr>
        <w:autoSpaceDE w:val="0"/>
        <w:autoSpaceDN w:val="0"/>
        <w:adjustRightInd w:val="0"/>
        <w:ind w:firstLine="1134"/>
        <w:jc w:val="both"/>
      </w:pPr>
      <w:r>
        <w:rPr>
          <w:b/>
        </w:rPr>
        <w:t xml:space="preserve">Publicações do Censo Suas - </w:t>
      </w:r>
      <w:r>
        <w:t>A publicação do Censo Suas destina-se a disseminar informações e análises sobre a estrutura dos órgãos e serviços constitutivos da política de assistência social no Estado a partir de dados do Censo Suas do ano de 2012. A edição apresenta temas diversos: Centros de Referência de Assistência Social - CRAS, Centros de Referência Especializado de Assistência Social - CREAS, Centros de Referência da população de rua - Centro Pop, Gestão e Conselhos Estadual e Municipal. Todos os temas apresentam dados referentes a identificação, estrutura física, serviços e recursos humanos.</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rsidRPr="00F40CFB">
        <w:t>Foram elaboradas e distribuídas as edições de 2012; as edições de 2013 foram elaboradas em 2014.</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Censo Suas 2013</w:t>
      </w:r>
      <w:r>
        <w:t xml:space="preserve"> - A publicação do Censo Suas 2013, apresenta resultados dos dados e indicadores, introduzindo a disseminação de informações e análises sobre a estrutura dos órgãos e os serviços ofertados para o desenvolvimento da política de assistência social no Estado.</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Desenvolvimento do Boletim S</w:t>
      </w:r>
      <w:r w:rsidR="00F40CFB">
        <w:rPr>
          <w:b/>
        </w:rPr>
        <w:t>DS,</w:t>
      </w:r>
      <w:r>
        <w:rPr>
          <w:b/>
        </w:rPr>
        <w:t xml:space="preserve"> com apresentação do Painel dos dados sociais do Estado - </w:t>
      </w:r>
      <w:r>
        <w:t xml:space="preserve">O painel de dados sociais é um demonstrativo quantitativo que traz informações atualizadas da área socioassistencial do território paulista. É periódico de divulgação trimestral que está disponível no </w:t>
      </w:r>
      <w:r>
        <w:rPr>
          <w:i/>
        </w:rPr>
        <w:t>site</w:t>
      </w:r>
      <w:r>
        <w:t xml:space="preserve"> da Secretaria de Desenvolvimento Social. Apresenta de forma direta valores de índices sintéticos, cadastro social e de entidades de assistência social</w:t>
      </w:r>
      <w:r w:rsidR="00F40CFB">
        <w:t>,</w:t>
      </w:r>
      <w:r>
        <w:t xml:space="preserve"> além de dados dos programas de transferência de Renda. As informações apresentadas no Boletim Seds são dados trabalhados provenientes de várias fontes, dentre elas: Sistema Pró-social (Programas Renda Cidadã, Ação Jovem, Benefício Idoso e cadastro das entidades)</w:t>
      </w:r>
      <w:r w:rsidR="00F40CFB">
        <w:t>,</w:t>
      </w:r>
      <w:r>
        <w:t xml:space="preserve"> Plano Municipal de Assistência Social - PMAS-</w:t>
      </w:r>
      <w:r>
        <w:rPr>
          <w:i/>
        </w:rPr>
        <w:t>Web,</w:t>
      </w:r>
      <w:r>
        <w:t xml:space="preserve"> Folha de pagamento do Programa Bolsa Família, Fundação Seade, IBGE, MDS-SAGI. Foram produzidos 4 painéis.</w:t>
      </w:r>
    </w:p>
    <w:p w:rsidR="003E6588" w:rsidRDefault="003E6588">
      <w:pPr>
        <w:autoSpaceDE w:val="0"/>
        <w:autoSpaceDN w:val="0"/>
        <w:adjustRightInd w:val="0"/>
        <w:ind w:firstLine="1276"/>
        <w:jc w:val="both"/>
        <w:rPr>
          <w:b/>
        </w:rPr>
      </w:pPr>
    </w:p>
    <w:p w:rsidR="003E6588" w:rsidRDefault="003E6588" w:rsidP="002749CB">
      <w:pPr>
        <w:autoSpaceDE w:val="0"/>
        <w:autoSpaceDN w:val="0"/>
        <w:adjustRightInd w:val="0"/>
        <w:ind w:firstLine="1134"/>
        <w:jc w:val="both"/>
      </w:pPr>
      <w:r>
        <w:rPr>
          <w:b/>
        </w:rPr>
        <w:lastRenderedPageBreak/>
        <w:t xml:space="preserve">Plano Estadual de Capacitação dos Novos Formulários do Cadastro Único para Programas Sociais - </w:t>
      </w:r>
      <w:r>
        <w:t xml:space="preserve">O Cadastro Único para Programas Sociais do Governo Federal </w:t>
      </w:r>
      <w:r w:rsidR="00F57A62">
        <w:t xml:space="preserve">- </w:t>
      </w:r>
      <w:r>
        <w:t xml:space="preserve">CADÚNICO é instrumento que identifica e caracteriza as famílias de baixa renda e permite conhecer a realidade socioeconômica dessas famílias em todo o </w:t>
      </w:r>
      <w:r w:rsidR="00F40CFB">
        <w:t>País</w:t>
      </w:r>
      <w:r>
        <w:t xml:space="preserve">. Seu gerenciamento é feito pelo Governo Federal, por meio do Ministério do Desenvolvimento Social e Combate à Fome - MDS, e cabe ao Governo de cada Estado o acompanhamento, a coordenação do processo de cadastramento em âmbito estadual, bem como o apoio às atividades de capacitação dos municípios. A Coordenadoria de Gestão Estratégica - CGE, por meio do Grupo Gestão de Cadastros </w:t>
      </w:r>
      <w:r w:rsidR="00F40CFB">
        <w:t>-</w:t>
      </w:r>
      <w:r>
        <w:t xml:space="preserve"> GCD</w:t>
      </w:r>
      <w:r w:rsidR="00F40CFB">
        <w:t>,</w:t>
      </w:r>
      <w:r>
        <w:t xml:space="preserve"> elaborou o Plano Estadual do Cadastro Único, dando continuidade nas capacitações que vem ocorrendo desde 2009</w:t>
      </w:r>
      <w:r w:rsidR="00F40CFB">
        <w:t>,</w:t>
      </w:r>
      <w:r>
        <w:t xml:space="preserve"> quando foi implementado os Novos Formulários da Versão 7. Foram capacitados 475 entrevistadores; 440 operadores e 21 instrutores, perfazendo um total de 936 pessoas capacita</w:t>
      </w:r>
      <w:r w:rsidR="00F40CFB">
        <w:t>das</w:t>
      </w:r>
      <w:r>
        <w:t>.</w:t>
      </w:r>
    </w:p>
    <w:p w:rsidR="003E6588" w:rsidRDefault="003E6588">
      <w:pPr>
        <w:autoSpaceDE w:val="0"/>
        <w:autoSpaceDN w:val="0"/>
        <w:adjustRightInd w:val="0"/>
        <w:ind w:firstLine="1276"/>
        <w:jc w:val="both"/>
        <w:rPr>
          <w:b/>
        </w:rPr>
      </w:pPr>
    </w:p>
    <w:p w:rsidR="003E6588" w:rsidRDefault="003E6588" w:rsidP="002749CB">
      <w:pPr>
        <w:autoSpaceDE w:val="0"/>
        <w:autoSpaceDN w:val="0"/>
        <w:adjustRightInd w:val="0"/>
        <w:ind w:firstLine="1134"/>
        <w:jc w:val="both"/>
      </w:pPr>
      <w:r>
        <w:rPr>
          <w:b/>
        </w:rPr>
        <w:t xml:space="preserve">Grupo de Disseminação de Informações GDI - </w:t>
      </w:r>
      <w:r>
        <w:t>O GDI realizou as seguintes atividades:</w:t>
      </w:r>
      <w:r w:rsidR="00F57A62">
        <w:t xml:space="preserve"> </w:t>
      </w:r>
      <w:r>
        <w:t xml:space="preserve">Divulgação Sistema de Monitoramento de Programas e Ações do PPA </w:t>
      </w:r>
      <w:r w:rsidR="00F57A62">
        <w:t xml:space="preserve">- </w:t>
      </w:r>
      <w:r>
        <w:t>SIMPA; elabor</w:t>
      </w:r>
      <w:r w:rsidR="00F40CFB">
        <w:t>ação</w:t>
      </w:r>
      <w:r>
        <w:t xml:space="preserve"> </w:t>
      </w:r>
      <w:r w:rsidR="00F40CFB">
        <w:t>d</w:t>
      </w:r>
      <w:r>
        <w:t xml:space="preserve">o relatório de Atividades da Secretaria de Desenvolvimento Social - Secretaria da Fazenda (Anual); revisão e adequação de documentos (para posterior disseminação dos mesmos) - </w:t>
      </w:r>
      <w:r w:rsidR="00F40CFB">
        <w:t>exemplos</w:t>
      </w:r>
      <w:r>
        <w:t>: GT Supervisão/Manual de Preenchimento do Aplicativo das Medidas Socioeducativas</w:t>
      </w:r>
      <w:r w:rsidR="00F40CFB">
        <w:t>;</w:t>
      </w:r>
      <w:r>
        <w:t xml:space="preserve"> </w:t>
      </w:r>
      <w:r w:rsidR="00F40CFB">
        <w:t xml:space="preserve">elaboração </w:t>
      </w:r>
      <w:r>
        <w:t>de relatório acerca das ações, projetos e programas desenvolvidos pela Secretaria de Desenvolvimento Social e entidades, e as metas concretizadas</w:t>
      </w:r>
      <w:r w:rsidR="00F40CFB">
        <w:t>;</w:t>
      </w:r>
      <w:r>
        <w:t xml:space="preserve"> </w:t>
      </w:r>
      <w:r w:rsidR="00F40CFB">
        <w:t xml:space="preserve">elaboração </w:t>
      </w:r>
      <w:r>
        <w:t>e finalização do relatório mensal de atividades.</w:t>
      </w:r>
    </w:p>
    <w:p w:rsidR="003E6588" w:rsidRDefault="003E6588">
      <w:pPr>
        <w:autoSpaceDE w:val="0"/>
        <w:autoSpaceDN w:val="0"/>
        <w:adjustRightInd w:val="0"/>
        <w:ind w:firstLine="1276"/>
        <w:jc w:val="both"/>
        <w:rPr>
          <w:b/>
        </w:rPr>
      </w:pPr>
    </w:p>
    <w:p w:rsidR="003E6588" w:rsidRDefault="003E6588" w:rsidP="002749CB">
      <w:pPr>
        <w:autoSpaceDE w:val="0"/>
        <w:autoSpaceDN w:val="0"/>
        <w:adjustRightInd w:val="0"/>
        <w:ind w:firstLine="1134"/>
        <w:jc w:val="both"/>
        <w:rPr>
          <w:b/>
        </w:rPr>
      </w:pPr>
      <w:r>
        <w:rPr>
          <w:b/>
        </w:rPr>
        <w:t>Programas de Transferência de Renda</w:t>
      </w:r>
    </w:p>
    <w:p w:rsidR="003E6588" w:rsidRDefault="003E6588" w:rsidP="002749CB">
      <w:pPr>
        <w:autoSpaceDE w:val="0"/>
        <w:autoSpaceDN w:val="0"/>
        <w:adjustRightInd w:val="0"/>
        <w:ind w:firstLine="1134"/>
        <w:jc w:val="both"/>
        <w:rPr>
          <w:b/>
        </w:rPr>
      </w:pPr>
    </w:p>
    <w:p w:rsidR="003E6588" w:rsidRPr="00F57A62" w:rsidRDefault="003E6588" w:rsidP="002749CB">
      <w:pPr>
        <w:autoSpaceDE w:val="0"/>
        <w:autoSpaceDN w:val="0"/>
        <w:adjustRightInd w:val="0"/>
        <w:ind w:firstLine="1134"/>
        <w:jc w:val="both"/>
      </w:pPr>
      <w:r>
        <w:rPr>
          <w:b/>
        </w:rPr>
        <w:t xml:space="preserve">Programas de Transferência Direta de Renda - </w:t>
      </w:r>
      <w:r>
        <w:t>A SDS coordena ações e Programas de Transferência de renda em execução nos 645 municípios do Estado, de</w:t>
      </w:r>
      <w:r w:rsidR="0005789F">
        <w:t xml:space="preserve"> iniciativa estadual e federal.</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Programa Estadual Ação Jovem - </w:t>
      </w:r>
      <w:r>
        <w:t xml:space="preserve">O Programa Estadual Ação Jovem tem como objetivo promover a inclusão social de jovens, na faixa etária de 15 a 24 anos, pertencentes a famílias com renda </w:t>
      </w:r>
      <w:r>
        <w:rPr>
          <w:i/>
        </w:rPr>
        <w:t>per capita</w:t>
      </w:r>
      <w:r>
        <w:t xml:space="preserve"> mensal de até meio salário mínimo, mediante transferência direta de renda, como apoio financeiro temporário para estimular a conclusão da escolaridade básica, somada a ações complementares e de apoio à iniciação profissional.</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Principais Ações/Atividades no desenvolvimento do programa - </w:t>
      </w:r>
      <w:r>
        <w:t xml:space="preserve">Gestão de cadastro; gestão de benefício; capacitação técnica e operacional; monitoramento da oferta de ações complementares e do acompanhamento de condicionalidades por parte das prefeituras e demais parceiros; avaliação periódica do desenvolvimento do programa e dos resultados apresentados; ampliação de 4.198 metas para 91 municípios que solicitaram expansão, via ofício, e que tiveram avaliação favorável quanto a capacidade de gestão; realização de 6 encontros técnicos para o aprimoramento da gestão do programa Ação Jovem, por macro regiões, totalizando 840 participantes diretamente envolvidos na execução do programa nas DRADS, prefeituras municipais, Entidades Sociais e demais parcerias; capacitação específica para 40 profissionais do Centro Paula Souza para operacionalização do </w:t>
      </w:r>
      <w:r w:rsidR="00D07EC4">
        <w:t xml:space="preserve">Programa </w:t>
      </w:r>
      <w:r>
        <w:t xml:space="preserve">Ação Jovem em novas unidades de </w:t>
      </w:r>
      <w:r w:rsidR="00F57A62">
        <w:t>Etec</w:t>
      </w:r>
      <w:r>
        <w:t xml:space="preserve">; implantação de novo relatório estatístico no Aplicativo Ação Jovem, que propicia aos parceiros determinar o perfil dos beneficiários localmente e às DRADS por região; manutenção da parceria com o SESC, que tem por objetivo </w:t>
      </w:r>
      <w:r>
        <w:lastRenderedPageBreak/>
        <w:t>oferecer aos beneficiários do programa Ação Jovem acesso às atividades nas áreas de esporte, cultura e lazer; participação em reuniões técnicas para disseminar o programa Ação Jovem junto a outros potenciais parceiros; monitoramento da gestão de benefício, da oferta de ações complementares e do acompanhamento de condicionalidades por parte das prefeituras e demais parceiros; alimentação dos sistemas do Governo SIMPA da Secretaria de Planejamento e Desenvolvimento Regional e COAG da Casa Civil; participação no “Encontro para Planejamento das Ações do Sistema Único de Assistência Social - CAS/2014”</w:t>
      </w:r>
      <w:r w:rsidR="0005789F">
        <w:t>,</w:t>
      </w:r>
      <w:r>
        <w:t xml:space="preserve"> em Águas de Lindóia; participação em reunião socioeducativa com beneficiários do programa Ação Jovem em Mirandópolis - </w:t>
      </w:r>
      <w:r w:rsidR="00F57A62">
        <w:t xml:space="preserve">Região </w:t>
      </w:r>
      <w:r>
        <w:t>Alta Noroeste; participação na Palestra “PETI - Estratégias de Mobilização Social e utilização de Recursos”.</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Atendimentos - 110 mil jovens na faixa etária de 15 a 24 anos.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Recursos destinados - R$</w:t>
      </w:r>
      <w:r w:rsidR="00F57A62">
        <w:t xml:space="preserve"> </w:t>
      </w:r>
      <w:r>
        <w:t>101.905.119,50.</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Programas Renda Cidadã e Renda Cidadã - Benefício Idoso - </w:t>
      </w:r>
      <w:r>
        <w:t xml:space="preserve">O objetivo é atender famílias em situação de pobreza (com renda mensal familiar </w:t>
      </w:r>
      <w:r>
        <w:rPr>
          <w:i/>
        </w:rPr>
        <w:t>per capita</w:t>
      </w:r>
      <w:r>
        <w:t xml:space="preserve"> de até meio salário mínimo nacional)</w:t>
      </w:r>
      <w:r w:rsidR="0005789F">
        <w:t>,</w:t>
      </w:r>
      <w:r>
        <w:t xml:space="preserve"> mediante ações complementares e transferência direta de renda.</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Os recursos destinados ao Programa foram de</w:t>
      </w:r>
      <w:r>
        <w:rPr>
          <w:b/>
        </w:rPr>
        <w:t xml:space="preserve"> </w:t>
      </w:r>
      <w:r>
        <w:t>R$ 172.870.178,60. Foram atendidas 186 mil famílias.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O objetivo do</w:t>
      </w:r>
      <w:r>
        <w:rPr>
          <w:b/>
        </w:rPr>
        <w:t xml:space="preserve"> </w:t>
      </w:r>
      <w:r>
        <w:t>Programa Renda Cidadã - Benefício Idoso</w:t>
      </w:r>
      <w:r>
        <w:rPr>
          <w:b/>
        </w:rPr>
        <w:t xml:space="preserve"> </w:t>
      </w:r>
      <w:r>
        <w:t>é atender pessoas com oitenta anos ou mais, que integra</w:t>
      </w:r>
      <w:r w:rsidR="0005789F">
        <w:t>m</w:t>
      </w:r>
      <w:r>
        <w:t xml:space="preserve"> família com renda mensal familiar per capita de até meio salário mínimo nacional, mediante transferência direta de renda.</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Os recursos previstos foram de R$ 7.482.487,63. O Programa atendeu 4.337 idosos.</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Ações ligadas aos Programas - </w:t>
      </w:r>
      <w:r>
        <w:t xml:space="preserve">Relatórios gerenciais para acompanhamento das famílias que não sacaram o benefício, excluídas com saldo, com pagamento suspenso, controle de metas ociosas e monitoramento e avaliação da gestão municipal; reuniões com equipe técnica para acompanhamento e socialização dos programas e projetos da Coordenadoria de Desenvolvimento Social; orientações as Diretorias Regionais de Assistência e Desenvolvimento Social - DRADS e Municípios sobre o conteúdo técnico do Programa Renda Cidadã e aplicativo do Programa; alimentação de informações nos sistemas do Governo SIMPA da Secretaria de Planejamento e Desenvolvimento Regional e COAG da Casa Civil; realização de evento </w:t>
      </w:r>
      <w:r w:rsidR="0005789F">
        <w:t>-</w:t>
      </w:r>
      <w:r>
        <w:t xml:space="preserve"> </w:t>
      </w:r>
      <w:r w:rsidR="0005789F">
        <w:t>“</w:t>
      </w:r>
      <w:r>
        <w:t>Discussão Técnica sobre a gestão dos Programas Renda Cidadã e Renda Cidadã - Benefício Idoso</w:t>
      </w:r>
      <w:r w:rsidR="0005789F">
        <w:t>”</w:t>
      </w:r>
      <w:r>
        <w:t>.</w:t>
      </w:r>
    </w:p>
    <w:p w:rsidR="003E6588" w:rsidRDefault="003E6588" w:rsidP="002749CB">
      <w:pPr>
        <w:autoSpaceDE w:val="0"/>
        <w:autoSpaceDN w:val="0"/>
        <w:adjustRightInd w:val="0"/>
        <w:ind w:firstLine="1134"/>
        <w:jc w:val="both"/>
      </w:pPr>
    </w:p>
    <w:p w:rsidR="003E6588" w:rsidRPr="0005789F" w:rsidRDefault="003E6588" w:rsidP="002749CB">
      <w:pPr>
        <w:autoSpaceDE w:val="0"/>
        <w:autoSpaceDN w:val="0"/>
        <w:adjustRightInd w:val="0"/>
        <w:ind w:firstLine="1134"/>
        <w:jc w:val="both"/>
      </w:pPr>
      <w:r w:rsidRPr="0005789F">
        <w:rPr>
          <w:b/>
        </w:rPr>
        <w:t xml:space="preserve">Programa Bolsa Família - </w:t>
      </w:r>
      <w:r w:rsidRPr="0005789F">
        <w:t>É um programa de transferência direta de renda, que beneficia famílias em situação de pobreza e extrema pobreza com renda mensal, por pessoa, de até R$ 154,00. O Programa associa a transferência do benefício financeiro aos direitos sociais básicos (saúde, alimentação, educação e assistência social).</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lastRenderedPageBreak/>
        <w:t xml:space="preserve">O Estado participa da gestão descentralizada do Programa Bolsa Família, compartilhando responsabilidades com a União e com 645 municípios. Atua nas seguintes áreas: apoio técnico, monitoramento e capacitação para gestão de cadastro único e gestão do Programa Bolsa Família </w:t>
      </w:r>
      <w:r w:rsidR="00F57A62">
        <w:t xml:space="preserve">- </w:t>
      </w:r>
      <w:r>
        <w:t>PBF.</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As famílias com crianças de zero a seis anos que</w:t>
      </w:r>
      <w:r w:rsidR="0005789F">
        <w:t>,</w:t>
      </w:r>
      <w:r>
        <w:t xml:space="preserve"> mesmo recebendo os benefícios financeiros do </w:t>
      </w:r>
      <w:r w:rsidRPr="00F57A62">
        <w:t>PBF, continuam</w:t>
      </w:r>
      <w:r>
        <w:t xml:space="preserve"> em situação de pobreza extrema recebem o Benefício para Superação da Extrema Pobreza na Primeira Infância </w:t>
      </w:r>
      <w:r w:rsidR="00D07EC4">
        <w:t xml:space="preserve">- </w:t>
      </w:r>
      <w:r>
        <w:t>BSP o valor do benefício correspondente ao necessário para que a família supere os R$ 77,00 mensais por pessoa.</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Ações realizadas - </w:t>
      </w:r>
      <w:r>
        <w:t>Orientações às DRADS e municípios sobre o conteúdo técnico do Programa Bolsa Família; reuniões com equipe técnica para acompanhamento e socialização dos programas e projetos da Coordenadoria de Desenvolvimento Social; reunião sobre o Monitoramento do Cadastro Único com as Coordenações do Programa Bolsa Família e Cadastro; reuniões com Colegiado do PBF para discussão das ações e atividades de condicionalidades de Saúde e Educação; participação em encontros, seminários, capacitações; realização de capacitações em Gestão do PBF e Gestão do Cadastro Único; organização de capacitações do Sistema de Benefício do Cidadão - SIBEC, junto com CAIXA; realização de capacitações para a Instância de Controle Social do PBF.</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Foram atendidas 1.327.024 famílias no Estado, as famílias recebem valores que variam de R$ 77,00 a R$ 336,00 conforme o número de gestantes e nutrizes e idade dos filhos até 17 anos.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 xml:space="preserve">Programa de Erradicação do Trabalho Infantil - PETI e Projovem Adolescente e Transição para novo modo de Financiamento e Funcionamento do Serviço de Convivência e Fortalecimento de Vínculos - SCFV - </w:t>
      </w:r>
      <w:r>
        <w:t>A equipe estadual de referência do Programa de Erradicação do Trabalho Infantil - PETI, em âmbito estadual, coordena, presta apoio técnico, assessora e acompanha os municípios na execução do programa que foi incluído na Lei Orgânica da Assistência Social - LOAS. O programa articula um conjunto de ações interinstitucionais e intersetoriais, envolvendo as diferentes esferas de governo e entidades da sociedade civil e tem como objetivo a prevenção de ocorrência de trabalho precoce e a retirada de crianças e adolescentes de até 16 anos das práticas de trabalho infantil, exceto na condição de aprendiz a partir de 14 anos. No âmbito do SUAS, o PETI tem três eixos básicos de ação:</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 Transferência direta de renda às famílias com crianças ou adolescentes em situação de trabalho;</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Inserção no Serviço de Convivência e Fortalecimento de Vínculos - SCFV;</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Acompanhamento familiar realizado pelo Serviço de Proteção e Atendimento Integral a Família - PAIF.</w:t>
      </w:r>
    </w:p>
    <w:p w:rsidR="00F57A62" w:rsidRDefault="00F57A62"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sidRPr="0005789F">
        <w:t>A equipe estadual do PETI concentrou suas atividades na reconfiguração do PETI, orientando e esclarecendo 83 municípios do Estado selecionados com base na alta incidência de situações que envolvem</w:t>
      </w:r>
      <w:r>
        <w:rPr>
          <w:color w:val="FF0000"/>
        </w:rPr>
        <w:t xml:space="preserve"> </w:t>
      </w:r>
      <w:r>
        <w:t xml:space="preserve">trabalho infantil; finalização do processo de capacitação de técnicos dos </w:t>
      </w:r>
      <w:r>
        <w:lastRenderedPageBreak/>
        <w:t>municípios e das DRADS sobre o reordenamento do Serviço de Convivência e Fortalecimento de Vínculos da Proteção Social Básica.</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rPr>
          <w:b/>
        </w:rPr>
        <w:t xml:space="preserve">Principais ações realizadas - </w:t>
      </w:r>
      <w:r>
        <w:t xml:space="preserve">16 reuniões (regionais e municipais) de apoio técnico e de esclarecimentos </w:t>
      </w:r>
      <w:r w:rsidRPr="002749CB">
        <w:t>sobre a reconfiguração do PETI</w:t>
      </w:r>
      <w:r>
        <w:t xml:space="preserve"> (Ações Estratégicas do PETI) e execução do PETI para técnicos municipais e das DRADS; realização de videoconferência de orientação de utilização de recursos do cofinanciamento federal das Ações Estratégicas do PETI para os técnicos dos 76 municípios e de 22 DRADS; realização de reunião estadual sobre elaboração de Plano de Trabalho com representantes dos 76 munícipios que aderiram às Ações Estratégicas do PETI; 6 reuniões regionais de orientação técnicas sobre o Reordenamento do Serviço de Conivência e Fortalecimento de Vínculos </w:t>
      </w:r>
      <w:r w:rsidR="00F57A62">
        <w:t xml:space="preserve">- </w:t>
      </w:r>
      <w:r>
        <w:t>SCFV para técnicos das DRADS; realização de 6 palestras sobre SCFV nas 6 etapas dos encontros regionais de participação como representante titular da SDS nas reuniões do Colegiado do Fórum Paulista de prevenção e Erradicação do Trabalho Infantil.</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rPr>
          <w:b/>
        </w:rPr>
        <w:t>Benefício de Prestação Continuada da Assistência Social</w:t>
      </w:r>
      <w:r>
        <w:t xml:space="preserve"> -</w:t>
      </w:r>
      <w:r>
        <w:rPr>
          <w:b/>
        </w:rPr>
        <w:t xml:space="preserve"> BPC - </w:t>
      </w:r>
      <w:r>
        <w:t>Benefício da Política de Assistência Social, individual, não vitalício e intransferível, que garante a transferência mensal de 1 salário mínimo ao idoso, com 65 anos ou mais, e à pessoa com deficiência, de qualquer idade, com impedimentos de longo prazo, de natureza física, mental, intelectual ou sensorial, que comprovem não possuir meios para prover a própria manutenção</w:t>
      </w:r>
      <w:r w:rsidR="0005789F">
        <w:t>,</w:t>
      </w:r>
      <w:r>
        <w:t xml:space="preserve"> nem de tê-la provida por sua família.</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 xml:space="preserve">BPC na Escola - </w:t>
      </w:r>
      <w:r>
        <w:t>Programa de Acompanhamento e Monitoramento do Acesso e Permanência na Escola das Pessoas com Deficiência, Beneficiárias do Benefício de Prestação Continuada da Assistência Social - BPC. O objetivo é promover a elevação da qualidade de vida e dignidade das pessoas com deficiência, beneficiárias do BPC, preferencialmente de 0 a 18 anos de idade, garantindo-lhes acesso e permanência na escola, por meio de ações articuladas das áreas da saúde, educação, assistência social e direitos humanos.</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No Estado</w:t>
      </w:r>
      <w:r w:rsidR="0005789F">
        <w:t>,</w:t>
      </w:r>
      <w:r>
        <w:t xml:space="preserve"> 326 municípios aderiram ao Programa, com 59.061 beneficiários participantes, de um total de 69.847. Destes participantes, 37.983 estão inseridos na escola.</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BPC Trabalho - </w:t>
      </w:r>
      <w:r>
        <w:t>Programa de Promoção do Acesso das Pessoas com Deficiência, Beneficiárias do Benefício de Prestação Continuada da Assistência Socia</w:t>
      </w:r>
      <w:r w:rsidR="00F57A62">
        <w:t xml:space="preserve">l, à </w:t>
      </w:r>
      <w:r w:rsidR="00F57A62" w:rsidRPr="0005789F">
        <w:t>Qualificação Profissional</w:t>
      </w:r>
      <w:r w:rsidR="0005789F">
        <w:t>.</w:t>
      </w:r>
    </w:p>
    <w:p w:rsidR="00F57A62" w:rsidRDefault="00F57A62">
      <w:pPr>
        <w:autoSpaceDE w:val="0"/>
        <w:autoSpaceDN w:val="0"/>
        <w:adjustRightInd w:val="0"/>
        <w:ind w:firstLine="1276"/>
        <w:jc w:val="both"/>
        <w:rPr>
          <w:b/>
        </w:rPr>
      </w:pPr>
    </w:p>
    <w:p w:rsidR="003E6588" w:rsidRDefault="00F57A62" w:rsidP="002749CB">
      <w:pPr>
        <w:autoSpaceDE w:val="0"/>
        <w:autoSpaceDN w:val="0"/>
        <w:adjustRightInd w:val="0"/>
        <w:ind w:firstLine="1134"/>
        <w:jc w:val="both"/>
        <w:rPr>
          <w:b/>
        </w:rPr>
      </w:pPr>
      <w:r>
        <w:rPr>
          <w:b/>
        </w:rPr>
        <w:t>Atividades</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t>- Coordenação do Grupo Gestor Estadual do Programa BPC na Escola - Ação contínua;</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Participação em reuniões de Conselhos, Comissões e Câmaras Temáticas;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xml:space="preserve">- Palestra na Capacitação do Programa BPC na Escola, promovida pela Prefeitura Municipal de Indaiatuba, em Indaiatuba; participação no </w:t>
      </w:r>
      <w:r w:rsidR="0005789F">
        <w:t>“</w:t>
      </w:r>
      <w:r>
        <w:t>III Encontro do Programa BPC Trabalho</w:t>
      </w:r>
      <w:r w:rsidR="0005789F">
        <w:t>”</w:t>
      </w:r>
      <w:r>
        <w:t xml:space="preserve">, promovido pelo Ministério do Desenvolvimento Social e Combate à Fome - MDS, em Brasília; participação no </w:t>
      </w:r>
      <w:r w:rsidR="0005789F">
        <w:t>“II</w:t>
      </w:r>
      <w:r>
        <w:t xml:space="preserve"> Encontro de Avaliação e Planejamento do Sistema Único de Assistência Social </w:t>
      </w:r>
      <w:r w:rsidR="00D07EC4">
        <w:t>-</w:t>
      </w:r>
      <w:r>
        <w:t xml:space="preserve"> </w:t>
      </w:r>
      <w:r>
        <w:lastRenderedPageBreak/>
        <w:t>SUAS</w:t>
      </w:r>
      <w:r w:rsidR="0005789F">
        <w:t>”</w:t>
      </w:r>
      <w:r>
        <w:t>, promovido pela SDS, em Águas de Lindóia; realização de Oficina de Acompanhamento Familiar dos Beneficiários do BPC, com os municípios da região da DRADS Vale do Paraíba, em Taubaté; realização de Oficina de Acompanhamento Familiar dos Beneficiários do BPC, com os municípios da região da DRADS Vale do Ribeira, em Registro; realização de Oficina de Acompanhamento Familiar dos Beneficiários do BPC, com os municípios das regiões das DRADS Alta Paulista, Alta Sorocabana e Alta Noroeste, em Dracena; realização de Oficina de Acompanhamento Familiar dos Beneficiários do BPC, com os municípios das regiões das DRADS Capital, Grande São Paulo e Baixada Santista, em São Paulo; participação em Reuniões Técnicas sobre o BPC Trabalho, promovidas pelo MDS, em São Paulo e Osasco; participação na Reunião Técnica sobre a inclusão dos beneficiários do BPC no Cadastro Único, promovida pelo MDS, em Brasília; participação na Reunião Técnica entre Assistência Social e Previdência Social, promovida pelo MDS, em São Paulo; participação no Curso Metodologias de Trabalho com Famílias, promovido pela S</w:t>
      </w:r>
      <w:r w:rsidR="0005789F">
        <w:t>DS</w:t>
      </w:r>
      <w:r>
        <w:t xml:space="preserve"> em parceria com a EDESP - Escola de Desenvolvimento Social do Estado de São Paulo.</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Foram beneficiadas 305.947 pessoas com deficiência e 358.960 idosos, totalizando R$4.744.969.369,00 de recursos pagos.</w:t>
      </w:r>
    </w:p>
    <w:p w:rsidR="003E6588" w:rsidRDefault="003E6588">
      <w:pPr>
        <w:autoSpaceDE w:val="0"/>
        <w:autoSpaceDN w:val="0"/>
        <w:adjustRightInd w:val="0"/>
        <w:ind w:firstLine="1276"/>
        <w:jc w:val="both"/>
        <w:rPr>
          <w:b/>
        </w:rPr>
      </w:pPr>
    </w:p>
    <w:p w:rsidR="003E6588" w:rsidRDefault="003E6588" w:rsidP="002749CB">
      <w:pPr>
        <w:autoSpaceDE w:val="0"/>
        <w:autoSpaceDN w:val="0"/>
        <w:adjustRightInd w:val="0"/>
        <w:ind w:firstLine="1134"/>
        <w:jc w:val="both"/>
        <w:rPr>
          <w:b/>
        </w:rPr>
      </w:pPr>
      <w:r>
        <w:rPr>
          <w:b/>
        </w:rPr>
        <w:t>Proteção Social</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Proteção Social Básica no Estado de São Paulo - </w:t>
      </w:r>
      <w:r>
        <w:t xml:space="preserve">Considerando que a implantação do CRAS é fundamental para a consolidação das ofertas de serviços da proteção social básica, registramos avanço gradual na implantação desses equipamentos: contabilizando, conforme dados do Plano Municipal de Assistência Social - PMAS, 1.007 CRAS implantados em 633 municípios. </w:t>
      </w:r>
      <w:r w:rsidR="0005789F">
        <w:t xml:space="preserve">Há </w:t>
      </w:r>
      <w:r>
        <w:t>12 municípios no Estado sem unidades do CRAS, todos de pequeno porte (municípios de até 20 mil habitantes).</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Compõe a rede socioassistencial da Proteção Social Básica do Estado, de acordo com informações do Sistema dos Planos Municipais de Assistência Social (PMAS 2014), 7.524 executoras, entre públicas e privadas, que desenvolvem serviços de caráter preventivo e proativo. São atendidos por esta rede socioassistencial 6.844.471 usuários entre famílias, crianças, adolescentes, idosos, pessoas com deficiência.</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xml:space="preserve">O apoio financeiro aos municípios se dá </w:t>
      </w:r>
      <w:r w:rsidR="0005789F">
        <w:t xml:space="preserve">por meio </w:t>
      </w:r>
      <w:r>
        <w:t>do repasse financeiro direto, no sistema Fundo a Fundo, do Fundo Estadual - FEAS para os Fundos Municipais - FMAS, conforme a Lei nº 13.242/2008, Decreto nº 54.026/2009, e Decreto nº 49.668/2005. O valor total repassado foi de R$ 86.513.952,00.</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rPr>
          <w:b/>
        </w:rPr>
      </w:pPr>
      <w:r>
        <w:rPr>
          <w:b/>
        </w:rPr>
        <w:t>Ações realizadas pela Proteção Social Básica</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Capacitação PAIF - </w:t>
      </w:r>
      <w:r>
        <w:t xml:space="preserve">Continuidade dos Encontros Regionais Temáticos, cujo objetivo é orientar os técnicos das DRADS, equipes técnicas dos CRAS, órgão gestor e conselheiros municipais a respeito do PAIF - Serviço de Proteção e Atendimento Integral à Família, Equipe Volante e Metas de </w:t>
      </w:r>
      <w:r>
        <w:lastRenderedPageBreak/>
        <w:t>Desenvolvimento (Resolução CIT nº 08/2010). Foram contempladas duas últimas regiões faltantes: Vale do Paraíba e Município de São Paulo.</w:t>
      </w:r>
    </w:p>
    <w:p w:rsidR="003E6588" w:rsidRDefault="003E6588">
      <w:pPr>
        <w:autoSpaceDE w:val="0"/>
        <w:autoSpaceDN w:val="0"/>
        <w:adjustRightInd w:val="0"/>
        <w:ind w:firstLine="1276"/>
        <w:jc w:val="both"/>
        <w:rPr>
          <w:b/>
        </w:rPr>
      </w:pPr>
    </w:p>
    <w:p w:rsidR="003E6588" w:rsidRDefault="003E6588" w:rsidP="002749CB">
      <w:pPr>
        <w:autoSpaceDE w:val="0"/>
        <w:autoSpaceDN w:val="0"/>
        <w:adjustRightInd w:val="0"/>
        <w:ind w:firstLine="1134"/>
        <w:jc w:val="both"/>
      </w:pPr>
      <w:r>
        <w:t>A ação atingiu os seguintes resultados -</w:t>
      </w:r>
      <w:r>
        <w:rPr>
          <w:b/>
        </w:rPr>
        <w:t xml:space="preserve"> </w:t>
      </w:r>
      <w:r>
        <w:t>2.900 participantes de diversas áreas; 40 técnicos dos Centro de Referência Especializado de Assistência Social - CREAS e 31 conselheiros de assistência social.</w:t>
      </w:r>
    </w:p>
    <w:p w:rsidR="003E6588" w:rsidRDefault="003E6588">
      <w:pPr>
        <w:autoSpaceDE w:val="0"/>
        <w:autoSpaceDN w:val="0"/>
        <w:adjustRightInd w:val="0"/>
        <w:ind w:firstLine="1276"/>
        <w:jc w:val="both"/>
        <w:rPr>
          <w:b/>
        </w:rPr>
      </w:pPr>
    </w:p>
    <w:p w:rsidR="003E6588" w:rsidRDefault="003E6588" w:rsidP="002749CB">
      <w:pPr>
        <w:autoSpaceDE w:val="0"/>
        <w:autoSpaceDN w:val="0"/>
        <w:adjustRightInd w:val="0"/>
        <w:ind w:firstLine="1134"/>
        <w:jc w:val="both"/>
      </w:pPr>
      <w:r>
        <w:t>Foram capacitados 569 municípios. Monitoramento dos Planos de Providência e Apoio.</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Sistematicamente</w:t>
      </w:r>
      <w:r w:rsidR="003E4C4B">
        <w:t>,</w:t>
      </w:r>
      <w:r>
        <w:t xml:space="preserve"> a equipe monitora os Planos de Providência e Planos de Apoio, objetivando apoiar, em parceira com as 26 DRADS, os municípios no cumprimento das Metas de Desenvolvimento dos CRAS.</w:t>
      </w:r>
    </w:p>
    <w:p w:rsidR="003E6588" w:rsidRDefault="003E6588" w:rsidP="002749CB">
      <w:pPr>
        <w:autoSpaceDE w:val="0"/>
        <w:autoSpaceDN w:val="0"/>
        <w:adjustRightInd w:val="0"/>
        <w:ind w:firstLine="1134"/>
        <w:jc w:val="both"/>
      </w:pPr>
    </w:p>
    <w:p w:rsidR="003E6588" w:rsidRPr="003E4C4B" w:rsidRDefault="003E6588" w:rsidP="002749CB">
      <w:pPr>
        <w:autoSpaceDE w:val="0"/>
        <w:autoSpaceDN w:val="0"/>
        <w:adjustRightInd w:val="0"/>
        <w:ind w:firstLine="1134"/>
        <w:jc w:val="both"/>
      </w:pPr>
      <w:r w:rsidRPr="003E4C4B">
        <w:rPr>
          <w:b/>
        </w:rPr>
        <w:t xml:space="preserve">Implantação de CRAS no Estado - </w:t>
      </w:r>
      <w:r w:rsidR="003E4C4B" w:rsidRPr="003E4C4B">
        <w:t xml:space="preserve">O </w:t>
      </w:r>
      <w:r w:rsidRPr="003E4C4B">
        <w:t>Estado contava 43 municípios sem CRAS. Desse total</w:t>
      </w:r>
      <w:r w:rsidR="003E4C4B" w:rsidRPr="003E4C4B">
        <w:t>,</w:t>
      </w:r>
      <w:r w:rsidRPr="003E4C4B">
        <w:t xml:space="preserve"> 39 municípios de porte I, 3 municípios de porte II e 1 município de porte médio. Tendo como base o diagnóstico desses municípios que não tinham implantado seus CRAS, foi constatada que uma das principais dificuldades dos municípios (60%) estava relacionada </w:t>
      </w:r>
      <w:r w:rsidR="003E4C4B" w:rsidRPr="003E4C4B">
        <w:t xml:space="preserve">a </w:t>
      </w:r>
      <w:r w:rsidRPr="003E4C4B">
        <w:t xml:space="preserve">contratação de Recursos Humanos. </w:t>
      </w:r>
      <w:r w:rsidR="003E4C4B" w:rsidRPr="003E4C4B">
        <w:t xml:space="preserve">Foram </w:t>
      </w:r>
      <w:r w:rsidRPr="003E4C4B">
        <w:t>apontadas outras dificuldades: estrutura física (28%); problemas políticos (12%) e falta de interesse do gestor.</w:t>
      </w:r>
    </w:p>
    <w:p w:rsidR="003E6588" w:rsidRPr="003E4C4B"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Diante das dificuldades apresentadas pelos municípios e tendo como meta avançar no aperfeiçoamento e no fortalecimento da gestão da assistência social no âmbito do Estado, a SDS repassou aos 43 municípios sem CRAS</w:t>
      </w:r>
      <w:r w:rsidR="003E4C4B">
        <w:t>,</w:t>
      </w:r>
      <w:r>
        <w:t xml:space="preserve"> em parcela única</w:t>
      </w:r>
      <w:r w:rsidR="003E4C4B">
        <w:t>,</w:t>
      </w:r>
      <w:r>
        <w:t xml:space="preserve"> o valor de R$ 60.000,00</w:t>
      </w:r>
      <w:r w:rsidR="003E4C4B">
        <w:t>,</w:t>
      </w:r>
      <w:r>
        <w:t xml:space="preserve"> conforme critérios estabelecidos na Resolução SDS nº 04/2014 e Portaria Conjunta CAF/CAS nº 003/2014.</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Como estratégia de sensibilização prévia</w:t>
      </w:r>
      <w:r w:rsidR="003E4C4B">
        <w:t>,</w:t>
      </w:r>
      <w:r>
        <w:t xml:space="preserve"> foram realizados 9 Encontros Regionais (Araraquara, Marília, Araçatuba, Sorocaba, Barretos, Presidente Prudente, Vale do Paraíba, Ribeirão Preto, Piracicaba)</w:t>
      </w:r>
      <w:r w:rsidR="003E4C4B">
        <w:t>,</w:t>
      </w:r>
      <w:r>
        <w:t xml:space="preserve"> além de reuniões entre as equipes da PSB, técnicos das DRADS e técnicos dos municípios</w:t>
      </w:r>
      <w:r w:rsidR="003E4C4B">
        <w:t>,</w:t>
      </w:r>
      <w:r>
        <w:t xml:space="preserve"> para subsidiá-los nesse processo inicial de implantação do CRAS.</w:t>
      </w:r>
    </w:p>
    <w:p w:rsidR="003E6588" w:rsidRDefault="003E6588">
      <w:pPr>
        <w:autoSpaceDE w:val="0"/>
        <w:autoSpaceDN w:val="0"/>
        <w:adjustRightInd w:val="0"/>
        <w:ind w:firstLine="1276"/>
        <w:jc w:val="both"/>
        <w:rPr>
          <w:b/>
        </w:rPr>
      </w:pPr>
    </w:p>
    <w:p w:rsidR="003E6588" w:rsidRDefault="003E6588" w:rsidP="002749CB">
      <w:pPr>
        <w:autoSpaceDE w:val="0"/>
        <w:autoSpaceDN w:val="0"/>
        <w:adjustRightInd w:val="0"/>
        <w:ind w:firstLine="1134"/>
        <w:jc w:val="both"/>
      </w:pPr>
      <w:r>
        <w:rPr>
          <w:b/>
        </w:rPr>
        <w:t xml:space="preserve">Operacionalização do Serviço de Convivência e Fortalecimento de Vínculos - </w:t>
      </w:r>
      <w:r>
        <w:t>realização de 6 Encontros Macro Regionais (envolvendo técnicos das 26 DRADS para orientação prévia acerca do reordenamento do SCFV):</w:t>
      </w:r>
      <w:r>
        <w:rPr>
          <w:b/>
        </w:rPr>
        <w:t xml:space="preserve"> </w:t>
      </w:r>
      <w:r>
        <w:t xml:space="preserve">realização de encontro com técnicos das 26 DRADS e equipe técnica do Ministério do Desenvolvimento Social e Combate à Fome </w:t>
      </w:r>
      <w:r w:rsidR="00D07EC4">
        <w:t>-</w:t>
      </w:r>
      <w:r>
        <w:t xml:space="preserve"> MDS</w:t>
      </w:r>
      <w:r w:rsidR="003E4C4B">
        <w:t>,</w:t>
      </w:r>
      <w:r>
        <w:t xml:space="preserve"> visando capacitá-los acerca das novas propostas previstas para o SCFV, além da apresentação do Sistema de Informações do Serviço de Convivência e Fortalecimento de Vínculos - SISC.</w:t>
      </w:r>
    </w:p>
    <w:p w:rsidR="003E6588" w:rsidRDefault="003E6588" w:rsidP="002749CB">
      <w:pPr>
        <w:autoSpaceDE w:val="0"/>
        <w:autoSpaceDN w:val="0"/>
        <w:adjustRightInd w:val="0"/>
        <w:ind w:firstLine="1134"/>
        <w:jc w:val="both"/>
        <w:rPr>
          <w:b/>
        </w:rPr>
      </w:pPr>
    </w:p>
    <w:p w:rsidR="003E6588" w:rsidRDefault="003E6588" w:rsidP="002749CB">
      <w:pPr>
        <w:autoSpaceDE w:val="0"/>
        <w:autoSpaceDN w:val="0"/>
        <w:adjustRightInd w:val="0"/>
        <w:ind w:firstLine="1134"/>
        <w:jc w:val="both"/>
      </w:pPr>
      <w:r>
        <w:rPr>
          <w:b/>
        </w:rPr>
        <w:t xml:space="preserve">Proteção Social Especial no Estado - </w:t>
      </w:r>
      <w:r>
        <w:t>Conforme a Política Nacional de Assistência Social - PNAS e o Sistema Único de Assistência Social - SUAS (Lei nº 12.435/2011)</w:t>
      </w:r>
      <w:r w:rsidR="003E4C4B">
        <w:t>,</w:t>
      </w:r>
      <w:r>
        <w:t xml:space="preserve"> a Proteção Social Especial é a área de atendimento socioassistencial destinado a famílias e indivíduos que se encontram em risco pessoal e social, por ocorrência de abandono, maus tratos físicos ou psíquicos, abuso sexual, uso de substâncias psicoativas, cumprimento de medidas socioeducativas, situação de rua, situação de trabalho infantil.</w:t>
      </w:r>
    </w:p>
    <w:p w:rsidR="003E6588" w:rsidRDefault="003E6588" w:rsidP="002749CB">
      <w:pPr>
        <w:autoSpaceDE w:val="0"/>
        <w:autoSpaceDN w:val="0"/>
        <w:adjustRightInd w:val="0"/>
        <w:ind w:firstLine="1134"/>
        <w:jc w:val="both"/>
      </w:pPr>
      <w:r>
        <w:lastRenderedPageBreak/>
        <w:t>O atendimento socioassistencial da Proteção Social Especial está dividido em dois níveis: média complexidade e alta complexidade.</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A equipe de Proteção Social Especial promoveu a assistência técnica por meio eletrônico, telefônico e presencial das 26 DRADS.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 xml:space="preserve">Proteção Social Especial de Média Complexidade </w:t>
      </w:r>
      <w:r w:rsidR="003E4C4B">
        <w:rPr>
          <w:b/>
        </w:rPr>
        <w:t>-</w:t>
      </w:r>
      <w:r>
        <w:rPr>
          <w:b/>
        </w:rPr>
        <w:t xml:space="preserve"> </w:t>
      </w:r>
      <w:r w:rsidR="003E4C4B" w:rsidRPr="003E4C4B">
        <w:t>Inicio</w:t>
      </w:r>
      <w:r w:rsidR="003E4C4B">
        <w:t>u-se</w:t>
      </w:r>
      <w:r w:rsidR="003E4C4B" w:rsidRPr="003E4C4B">
        <w:t xml:space="preserve"> </w:t>
      </w:r>
      <w:r>
        <w:t>com total de 238 Centros de Referência Especializado de Assistência Social - CREAS.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xml:space="preserve">Nos CREAS estão instalados o serviço de Proteção e Atendimento Especializado a Famílias e Indivíduos </w:t>
      </w:r>
      <w:r w:rsidR="003E4C4B">
        <w:t>-</w:t>
      </w:r>
      <w:r>
        <w:t xml:space="preserve"> PAEFI</w:t>
      </w:r>
      <w:r w:rsidR="003E4C4B">
        <w:t>,</w:t>
      </w:r>
      <w:r>
        <w:t xml:space="preserve"> que tem por objetivo apoiar, orientar e acompanhar indivíduos e famílias em situação de ameaça ou violação de direitos.</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 xml:space="preserve">Os 245 serviços de MSE LA são cofinanciados pelo Governo do Estado com o investimento </w:t>
      </w:r>
      <w:r w:rsidR="003E4C4B">
        <w:t xml:space="preserve">de </w:t>
      </w:r>
      <w:r>
        <w:t>R$ 21.462.020,00 (ano). Entre os municípios cofinanciado e não-cofinanciado</w:t>
      </w:r>
      <w:r w:rsidR="003E4C4B">
        <w:t>,</w:t>
      </w:r>
      <w:r>
        <w:t xml:space="preserve"> o total de atendimento é de 16.135 (PMAS/</w:t>
      </w:r>
      <w:r w:rsidR="00D07EC4">
        <w:rPr>
          <w:i/>
        </w:rPr>
        <w:t>web</w:t>
      </w:r>
      <w:r>
        <w:t>) adolescentes em conflito com a lei.</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As ações da equipe da Proteção Especial se voltaram para a elaboração dos Planos Decenais de Atendimento Socioeducativo. O Plano Estadual foi resultado de trabalho de levantamento e análise de dados, realizados intersetorialmente com outras secretarias que compõem a comissão de elaboração e implantação do SINASE em São Paulo. Além disso, considerando os prazos para finalização dos Planos Municipais de Atendimento Socioeducativo, foi realizada capacitação por videoconferência</w:t>
      </w:r>
      <w:r w:rsidR="003E4C4B">
        <w:t>,</w:t>
      </w:r>
      <w:r>
        <w:t xml:space="preserve"> com foco nos técnicos das DRADS, e estendida a todos os setores do sistema de garantia de direitos nos municípios.</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O Serviço de Abordagem Social é desenvolvido em CREAS, em Centro Pop e no Órgão Gestor Municipal da Assistência Social. No Estado</w:t>
      </w:r>
      <w:r w:rsidR="003E4C4B">
        <w:t>,</w:t>
      </w:r>
      <w:r>
        <w:t xml:space="preserve"> encontramos o total de 174 serviços</w:t>
      </w:r>
      <w:r w:rsidR="003E4C4B">
        <w:t>,</w:t>
      </w:r>
      <w:r>
        <w:t xml:space="preserve"> com previsão de atendimento anual de 172.570 usuários com o investimento no valor de R$ 1.431.549,48 (ano).</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O Serviço a Pessoas com Deficiência, Idosos e suas famílias são desenvolvidos no CREAS para atender as famílias com pessoas com deficiência e idosos com algum grau de dependência, que tiveram suas limitações agravadas por violação de direitos.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A população em situação de rua é contemplada pela Política Nacional de Assistência Social. Foram 36 unidades de Centro de Referência à População em Situação de Rua - Centro Pop.</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t>Foram realizados 11 encontros com as DRADS e 56 municípios que participaram do processo de expansão e reordenamento federal dos serviços socioassistenciais para população em situação de rua</w:t>
      </w:r>
      <w:r w:rsidR="003E4C4B">
        <w:t>,</w:t>
      </w:r>
      <w:r>
        <w:t xml:space="preserve"> com objetivo de mobilização dos gestores acerca da necessidade de realizar o reordenamento e expansão dos serviços; exposição de documentos de referência acerca da Política de Inclusão Social para pessoas em Situação de Rua e o papel do SUAS; realização de </w:t>
      </w:r>
      <w:r w:rsidRPr="00F57A62">
        <w:t>visita técnica</w:t>
      </w:r>
      <w:r>
        <w:t xml:space="preserve"> em 20 municípios</w:t>
      </w:r>
      <w:r w:rsidR="003E4C4B">
        <w:t>,</w:t>
      </w:r>
      <w:r>
        <w:t xml:space="preserve"> com objetivo de verificar o processo da implantação e de reordenamento e orientar os municípios sobre as necessidades de adequação dos serviços para população em situação de rua.</w:t>
      </w:r>
    </w:p>
    <w:p w:rsidR="003E6588" w:rsidRDefault="003E6588" w:rsidP="002749CB">
      <w:pPr>
        <w:autoSpaceDE w:val="0"/>
        <w:autoSpaceDN w:val="0"/>
        <w:adjustRightInd w:val="0"/>
        <w:ind w:firstLine="1134"/>
        <w:jc w:val="both"/>
      </w:pPr>
      <w:r>
        <w:rPr>
          <w:b/>
        </w:rPr>
        <w:lastRenderedPageBreak/>
        <w:t xml:space="preserve">Proteção Social Especial de Alta Complexidade - </w:t>
      </w:r>
      <w:r>
        <w:t>No âmbito da Alta Complexidade</w:t>
      </w:r>
      <w:r w:rsidR="003E4C4B">
        <w:t>,</w:t>
      </w:r>
      <w:r>
        <w:t>a Proteção Social Especial atende por meio dos serviços de Acolhimento Institucional, Acolhimento em Repúblicas, Acolhimento em Família Acolhedora.</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De acordo com dados PMAS, são executados 7 serviços da PSE de Alta Complexidade</w:t>
      </w:r>
      <w:r w:rsidR="003E4C4B">
        <w:t>,</w:t>
      </w:r>
      <w:r>
        <w:t xml:space="preserve"> conforme Tipificação Nacional de Serviços Socioassistenciais - que apresentam previsão de atendimento anual de 360.476 e totalizam o repasse de R$ 65.726.901,16. Há ainda 55 serviços de alta complexidade não tipificados pela Resolução CNAS nº 109/2009, com 3.192 vagas, que apresentam previsão de atendimento anual de 11.637, cujo repasse totaliza R$ 1.358.251,18.</w:t>
      </w:r>
    </w:p>
    <w:p w:rsidR="003E6588" w:rsidRDefault="003E6588">
      <w:pPr>
        <w:autoSpaceDE w:val="0"/>
        <w:autoSpaceDN w:val="0"/>
        <w:adjustRightInd w:val="0"/>
        <w:ind w:firstLine="1276"/>
        <w:jc w:val="both"/>
      </w:pPr>
    </w:p>
    <w:p w:rsidR="003E6588" w:rsidRDefault="003E6588" w:rsidP="002749CB">
      <w:pPr>
        <w:autoSpaceDE w:val="0"/>
        <w:autoSpaceDN w:val="0"/>
        <w:adjustRightInd w:val="0"/>
        <w:ind w:firstLine="1134"/>
        <w:jc w:val="both"/>
      </w:pPr>
      <w:r>
        <w:rPr>
          <w:b/>
        </w:rPr>
        <w:t xml:space="preserve">Reordenamento dos Serviços de Acolhimento de Crianças, Adolescentes e Jovens até 21 anos - </w:t>
      </w:r>
      <w:r>
        <w:t xml:space="preserve">O Serviço de Acolhimento de Crianças, Adolescentes e Jovens integram a proteção Social Especial de Alta Complexidade do Sistema Único de Assistência Social - SUAS e devem ser organizados em consonância com os princípios, as diretrizes e as orientações contidas </w:t>
      </w:r>
      <w:r w:rsidRPr="00F57A62">
        <w:t>na legislação</w:t>
      </w:r>
      <w:r>
        <w:t xml:space="preserve"> e políticas nacionais, em especial aquelas diretamente relacionadas ao tema</w:t>
      </w:r>
      <w:r w:rsidR="002749CB">
        <w:t>,</w:t>
      </w:r>
      <w:r>
        <w:t xml:space="preserve"> a saber: Estatuto da </w:t>
      </w:r>
      <w:r w:rsidR="002749CB">
        <w:t xml:space="preserve">Criança </w:t>
      </w:r>
      <w:r>
        <w:t xml:space="preserve">e do </w:t>
      </w:r>
      <w:r w:rsidR="002749CB">
        <w:t xml:space="preserve">Adolescente </w:t>
      </w:r>
      <w:r>
        <w:t xml:space="preserve">- ECA, Norma Operacional Básica de recursos Humanos do Suas - NOB-RH/SUAS, Tipificação nacional de Serviços Socioassistencias, Orientações Técnicas: Serviços de Acolhimento para crianças e adolescentes, Plano Nacional de </w:t>
      </w:r>
      <w:r w:rsidR="002749CB">
        <w:t>Promoção</w:t>
      </w:r>
      <w:r>
        <w:t xml:space="preserve">, </w:t>
      </w:r>
      <w:r w:rsidR="002749CB">
        <w:t xml:space="preserve">Proteção </w:t>
      </w:r>
      <w:r>
        <w:t xml:space="preserve">e </w:t>
      </w:r>
      <w:r w:rsidR="002749CB">
        <w:t xml:space="preserve">Defesa </w:t>
      </w:r>
      <w:r>
        <w:t xml:space="preserve">do </w:t>
      </w:r>
      <w:r w:rsidR="002749CB">
        <w:t xml:space="preserve">Direito </w:t>
      </w:r>
      <w:r>
        <w:t xml:space="preserve">de </w:t>
      </w:r>
      <w:r w:rsidR="002749CB">
        <w:t xml:space="preserve">Crianças </w:t>
      </w:r>
      <w:r>
        <w:t xml:space="preserve">e </w:t>
      </w:r>
      <w:r w:rsidR="002749CB">
        <w:t xml:space="preserve">Adolescentes </w:t>
      </w:r>
      <w:r>
        <w:t xml:space="preserve">à </w:t>
      </w:r>
      <w:r w:rsidR="002749CB">
        <w:t xml:space="preserve">Convivência Familiar </w:t>
      </w:r>
      <w:r>
        <w:t xml:space="preserve">e </w:t>
      </w:r>
      <w:r w:rsidR="002749CB">
        <w:t>Comunitária</w:t>
      </w:r>
      <w:r>
        <w:t xml:space="preserve">, Plano Decenal dos Direitos </w:t>
      </w:r>
      <w:r w:rsidR="002749CB">
        <w:t xml:space="preserve">Humanos </w:t>
      </w:r>
      <w:r>
        <w:t xml:space="preserve">de </w:t>
      </w:r>
      <w:r w:rsidR="002749CB">
        <w:t xml:space="preserve">Crianças </w:t>
      </w:r>
      <w:r>
        <w:t xml:space="preserve">e </w:t>
      </w:r>
      <w:r w:rsidR="002749CB">
        <w:t xml:space="preserve">Adolescentes </w:t>
      </w:r>
      <w:r>
        <w:t xml:space="preserve">e Diretrizes Internacionais para </w:t>
      </w:r>
      <w:r w:rsidR="002749CB">
        <w:t xml:space="preserve">Cuidados Alternativos </w:t>
      </w:r>
      <w:r>
        <w:t xml:space="preserve">a </w:t>
      </w:r>
      <w:r w:rsidR="002749CB">
        <w:t xml:space="preserve">Crianças </w:t>
      </w:r>
      <w:r>
        <w:t xml:space="preserve">sem </w:t>
      </w:r>
      <w:r w:rsidR="002749CB">
        <w:t>Cuidados Parentais</w:t>
      </w:r>
      <w:r>
        <w:t>.</w:t>
      </w:r>
    </w:p>
    <w:p w:rsidR="00F57A62" w:rsidRDefault="00F57A62" w:rsidP="00D07EC4">
      <w:pPr>
        <w:autoSpaceDE w:val="0"/>
        <w:autoSpaceDN w:val="0"/>
        <w:adjustRightInd w:val="0"/>
        <w:ind w:firstLine="1134"/>
        <w:jc w:val="both"/>
        <w:rPr>
          <w:strike/>
        </w:rPr>
      </w:pPr>
    </w:p>
    <w:p w:rsidR="003E6588" w:rsidRDefault="003E6588" w:rsidP="002749CB">
      <w:pPr>
        <w:autoSpaceDE w:val="0"/>
        <w:autoSpaceDN w:val="0"/>
        <w:adjustRightInd w:val="0"/>
        <w:ind w:firstLine="1134"/>
        <w:jc w:val="both"/>
        <w:rPr>
          <w:b/>
        </w:rPr>
      </w:pPr>
      <w:r>
        <w:rPr>
          <w:b/>
        </w:rPr>
        <w:t>As atividades realizadas pela Proteção Social Especial</w:t>
      </w:r>
    </w:p>
    <w:p w:rsidR="003E6588" w:rsidRDefault="003E6588" w:rsidP="00D07EC4">
      <w:pPr>
        <w:autoSpaceDE w:val="0"/>
        <w:autoSpaceDN w:val="0"/>
        <w:adjustRightInd w:val="0"/>
        <w:ind w:firstLine="1134"/>
        <w:jc w:val="both"/>
      </w:pPr>
    </w:p>
    <w:p w:rsidR="003E6588" w:rsidRDefault="003E6588" w:rsidP="002749CB">
      <w:pPr>
        <w:autoSpaceDE w:val="0"/>
        <w:autoSpaceDN w:val="0"/>
        <w:adjustRightInd w:val="0"/>
        <w:ind w:firstLine="1134"/>
        <w:jc w:val="both"/>
      </w:pPr>
      <w:r>
        <w:t>- Reunião com as Diretorias Regionais para informar sobre o processo de reordenamento e as legislações que embasam esse processo.</w:t>
      </w:r>
    </w:p>
    <w:p w:rsidR="003E6588" w:rsidRDefault="003E6588" w:rsidP="00D07EC4">
      <w:pPr>
        <w:autoSpaceDE w:val="0"/>
        <w:autoSpaceDN w:val="0"/>
        <w:adjustRightInd w:val="0"/>
        <w:ind w:firstLine="1134"/>
        <w:jc w:val="both"/>
      </w:pPr>
    </w:p>
    <w:p w:rsidR="003E6588" w:rsidRDefault="003E6588" w:rsidP="002749CB">
      <w:pPr>
        <w:autoSpaceDE w:val="0"/>
        <w:autoSpaceDN w:val="0"/>
        <w:adjustRightInd w:val="0"/>
        <w:ind w:firstLine="1134"/>
        <w:jc w:val="both"/>
      </w:pPr>
      <w:r>
        <w:t>- Videoconferência sobre Orientações técnicas para Elaboração do Plano Municipal de Acolhimento Institucional</w:t>
      </w:r>
      <w:r w:rsidR="002749CB">
        <w:t>,</w:t>
      </w:r>
      <w:r>
        <w:t xml:space="preserve"> realizada pela Escola de Desenvolvimento Social de São Paulo</w:t>
      </w:r>
      <w:r w:rsidR="002749CB">
        <w:t>,</w:t>
      </w:r>
      <w:r>
        <w:t xml:space="preserve"> em parceria com a Coordenadoria de Ação Social - Proteção Social Especial e Ministério de Desenvolvimento Social e Combate à Fome.</w:t>
      </w:r>
    </w:p>
    <w:p w:rsidR="003E6588" w:rsidRDefault="003E6588" w:rsidP="00D07EC4">
      <w:pPr>
        <w:autoSpaceDE w:val="0"/>
        <w:autoSpaceDN w:val="0"/>
        <w:adjustRightInd w:val="0"/>
        <w:ind w:firstLine="1134"/>
        <w:jc w:val="both"/>
      </w:pPr>
    </w:p>
    <w:p w:rsidR="003E6588" w:rsidRDefault="003E6588" w:rsidP="002749CB">
      <w:pPr>
        <w:autoSpaceDE w:val="0"/>
        <w:autoSpaceDN w:val="0"/>
        <w:adjustRightInd w:val="0"/>
        <w:ind w:firstLine="1134"/>
        <w:jc w:val="both"/>
      </w:pPr>
      <w:r>
        <w:t>Público - 260 municípios que aderiram a expansão do serviço.</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Total de participantes - 2.000 pessoas.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Videoconferência sobre Reordenamento de Instituições de Acolhimento</w:t>
      </w:r>
      <w:r w:rsidR="002749CB">
        <w:t>,</w:t>
      </w:r>
      <w:r>
        <w:t xml:space="preserve"> realizada pelo Tribunal de Justiça do Estado de São Paulo</w:t>
      </w:r>
      <w:r w:rsidR="002749CB">
        <w:t>,</w:t>
      </w:r>
      <w:r>
        <w:t xml:space="preserve"> em parceria com a Secretaria de Desenvolvimento Social</w:t>
      </w:r>
      <w:r w:rsidR="00D07EC4">
        <w:t xml:space="preserve"> </w:t>
      </w:r>
      <w:r>
        <w:t>- SDS.</w:t>
      </w:r>
    </w:p>
    <w:p w:rsidR="003E6588" w:rsidRDefault="003E6588" w:rsidP="00D07EC4">
      <w:pPr>
        <w:autoSpaceDE w:val="0"/>
        <w:autoSpaceDN w:val="0"/>
        <w:adjustRightInd w:val="0"/>
        <w:ind w:firstLine="1134"/>
        <w:jc w:val="both"/>
      </w:pPr>
    </w:p>
    <w:p w:rsidR="003E6588" w:rsidRDefault="003E6588" w:rsidP="002749CB">
      <w:pPr>
        <w:autoSpaceDE w:val="0"/>
        <w:autoSpaceDN w:val="0"/>
        <w:adjustRightInd w:val="0"/>
        <w:ind w:firstLine="1134"/>
        <w:jc w:val="both"/>
      </w:pPr>
      <w:r>
        <w:t>Público -</w:t>
      </w:r>
      <w:r>
        <w:rPr>
          <w:b/>
        </w:rPr>
        <w:t xml:space="preserve"> </w:t>
      </w:r>
      <w:r>
        <w:t>Juízes e 260 municípios que aderiram à expansão 2013.</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Total de participantes - 2.500 pessoas.</w:t>
      </w:r>
    </w:p>
    <w:p w:rsidR="003E6588" w:rsidRDefault="003E6588" w:rsidP="002749CB">
      <w:pPr>
        <w:autoSpaceDE w:val="0"/>
        <w:autoSpaceDN w:val="0"/>
        <w:adjustRightInd w:val="0"/>
        <w:ind w:firstLine="1134"/>
        <w:jc w:val="both"/>
      </w:pPr>
      <w:r>
        <w:lastRenderedPageBreak/>
        <w:t>Participação em evento, realizado pelo CRP/Baixada Santista</w:t>
      </w:r>
      <w:r w:rsidR="002749CB">
        <w:t>,</w:t>
      </w:r>
      <w:r>
        <w:t xml:space="preserve"> voltado para psicólogos que atuam em acolhimento para crianças, adolescentes e jovens da região da Baixada Santista.</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 xml:space="preserve">Implantação de Serviço de Acolhimento: para </w:t>
      </w:r>
      <w:r w:rsidR="002749CB">
        <w:rPr>
          <w:b/>
        </w:rPr>
        <w:t xml:space="preserve">adultos </w:t>
      </w:r>
      <w:r>
        <w:rPr>
          <w:b/>
        </w:rPr>
        <w:t xml:space="preserve">e famílias/migrantes - </w:t>
      </w:r>
      <w:r>
        <w:t>Foi implantado serviço de acolhimento para adultos e famílias/migrantes no Município de São Paulo. O modelo se enquadra no previsto nas Resoluções, porém não é parte do processo de expansão proposto pelo MDS</w:t>
      </w:r>
      <w:r w:rsidR="002749CB">
        <w:t>,</w:t>
      </w:r>
      <w:r>
        <w:t xml:space="preserve"> uma vez que é financiado apenas com recursos estaduais. O serviço foi pactuado na CIB (Portaria CIB//SP nº 08/2014) e deliberado pelo no CONSEAS.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xml:space="preserve">O serviço de </w:t>
      </w:r>
      <w:r w:rsidRPr="002749CB">
        <w:t>acolhimento é na modalidade Casa de Passagem, tem 54 vagas para estrangeiros recém-chegados em situação de alta vulnerabilidade e vítimas de tráfico de pessoas. O perfil prioritário dos usuários são famílias</w:t>
      </w:r>
      <w:r>
        <w:t xml:space="preserve"> (adultos com crianças e/ou adolescentes) e pessoas LGBT.</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 xml:space="preserve">Para Pessoas com Deficiência - Residência Inclusivas - </w:t>
      </w:r>
      <w:r>
        <w:t xml:space="preserve">As unidades executoras do Serviço de Acolhimento Institucional de Pessoas com Deficiência municipais </w:t>
      </w:r>
      <w:r w:rsidRPr="002749CB">
        <w:t>foram ampliadas, totalizando</w:t>
      </w:r>
      <w:r>
        <w:rPr>
          <w:color w:val="FF0000"/>
        </w:rPr>
        <w:t xml:space="preserve"> </w:t>
      </w:r>
      <w:r>
        <w:t>20 residências inclusiva implantadas em 14 municípios.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t xml:space="preserve">O </w:t>
      </w:r>
      <w:r>
        <w:rPr>
          <w:b/>
        </w:rPr>
        <w:t>Serviço de Proteção em Situação de Calamidades Públicas e de Emergências</w:t>
      </w:r>
      <w:r>
        <w:t xml:space="preserve"> é desenvolvido por meio de comitê articulado com a Defesa Civil e demais políticas públicas setoriais.</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 xml:space="preserve">Ações de articulação intersetorial - </w:t>
      </w:r>
      <w:r>
        <w:t>A equipe de Proteção Social Especial desenvolve atividades em parceria intersetorial e interinstitucional com a Secretaria da Justiça e da Defesa da Cidadania (Comitê Intersecretarial de Defesa da Diversidade Sexual, MSE LA, Comitê Interinstitucional de Enfrentamento e Prevenção ao Tráfico de Pessoas, Conselho de Medidas Socioeducativas da Fundação Casa, Conselho Estadual de Políticas sobre Drogas, Programa de Proteção a Crianças e Adolescentes Ameaçados de Morte); com o Tribunal de Justiça do Estado de São Paulo (Plano de Atendimento Familiar, Entrega do Filho, Escuta Não-vitimizante); Secretaria dos Direitos da Pessoa com Deficiência (Conselho Estadual da Pessoa com Deficiência); Conselho Estadual dos Direitos da Criança e do Adolescente - CONDECA (Comitê Estadual de Violência Sexual contra Crianças e Adolescentes); CONDESB/Câmara Temática de Política para Mulheres (Conselho de Desenvolvimento da Região Metropolitana da Baixada Santista).</w:t>
      </w:r>
    </w:p>
    <w:p w:rsidR="003E6588" w:rsidRDefault="003E6588" w:rsidP="002749CB">
      <w:pPr>
        <w:autoSpaceDE w:val="0"/>
        <w:autoSpaceDN w:val="0"/>
        <w:adjustRightInd w:val="0"/>
        <w:ind w:firstLine="1134"/>
        <w:jc w:val="both"/>
      </w:pPr>
    </w:p>
    <w:p w:rsidR="003E6588" w:rsidRDefault="003E6588" w:rsidP="002749CB">
      <w:pPr>
        <w:autoSpaceDE w:val="0"/>
        <w:autoSpaceDN w:val="0"/>
        <w:adjustRightInd w:val="0"/>
        <w:ind w:firstLine="1134"/>
        <w:jc w:val="both"/>
      </w:pPr>
      <w:r>
        <w:rPr>
          <w:b/>
        </w:rPr>
        <w:t xml:space="preserve">Grupo Estadual de Gestão do SUAS - </w:t>
      </w:r>
      <w:r>
        <w:t xml:space="preserve">O Grupo Estadual de Gestão do SUAS, além de atender às demandas de diversos setores da SDS por informações sobre toda a rede socioassistencial do Estado, teve como principais focos de trabalho a gestão e desenvolvimento da versão 2015 do sistema </w:t>
      </w:r>
      <w:r>
        <w:rPr>
          <w:i/>
        </w:rPr>
        <w:t xml:space="preserve">web </w:t>
      </w:r>
      <w:r>
        <w:t>dos Planos Municipais de Assistência Social - PMAS</w:t>
      </w:r>
      <w:r>
        <w:rPr>
          <w:i/>
        </w:rPr>
        <w:t>web</w:t>
      </w:r>
      <w:r>
        <w:t>, a continuidade da coordenação do Grupo de Trabalho de Reestruturação dos Procedimentos de Supervisão, Monitoramento e Avaliação - GT Supervisão, o acompanhamento dos sistemas do Ministério do Desenvolvimento Social e Combate à Fome - MDS: Censo SUAS, Demonstrativo Físico-financeiro, Plano de Ação e Registro Mensal de Atendimentos - RMA, além de iniciar os trabalhos de desenvolvimento do Sistema para Gestão de Assistência Social - SIGEAS, visando a, inicialmente, sistematizar o fluxo e acompanhamento das ações dos Planos de Providências dos Municípios.</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rPr>
          <w:b/>
        </w:rPr>
      </w:pPr>
      <w:r>
        <w:rPr>
          <w:b/>
        </w:rPr>
        <w:lastRenderedPageBreak/>
        <w:t>Ações realizadas</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pPr>
      <w:r>
        <w:rPr>
          <w:b/>
        </w:rPr>
        <w:t xml:space="preserve">GT Supervisão - </w:t>
      </w:r>
      <w:r>
        <w:t>O Grupo de Trabalho de Reestruturação dos Procedimentos de Supervisão, Monitoramento e Avaliação - GT Supervisão estruturado sob a coordenação do Grupo Estadual de Gestão do SUAS</w:t>
      </w:r>
      <w:r w:rsidR="008C4E35">
        <w:t>,</w:t>
      </w:r>
      <w:r>
        <w:t xml:space="preserve"> é composto por representantes da CAS, CGE, CDS e das DRADS.</w:t>
      </w:r>
    </w:p>
    <w:p w:rsidR="003E6588" w:rsidRDefault="003E6588">
      <w:pPr>
        <w:autoSpaceDE w:val="0"/>
        <w:autoSpaceDN w:val="0"/>
        <w:adjustRightInd w:val="0"/>
        <w:ind w:firstLine="1276"/>
        <w:jc w:val="both"/>
      </w:pPr>
    </w:p>
    <w:p w:rsidR="003E6588" w:rsidRDefault="003E6588">
      <w:pPr>
        <w:autoSpaceDE w:val="0"/>
        <w:autoSpaceDN w:val="0"/>
        <w:adjustRightInd w:val="0"/>
        <w:ind w:firstLine="1276"/>
        <w:jc w:val="both"/>
      </w:pPr>
      <w:r>
        <w:rPr>
          <w:b/>
        </w:rPr>
        <w:t xml:space="preserve">Aplicativos da Rede SUAS - </w:t>
      </w:r>
      <w:r>
        <w:t>Entre as ações sob a responsabilidade do Grupo Estadual de Gestão do SUAS, destaca-se o monitoramento sobre os aplicativos da Rede SUAS.</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pPr>
      <w:r>
        <w:rPr>
          <w:b/>
        </w:rPr>
        <w:t xml:space="preserve">Ações realizadas - </w:t>
      </w:r>
      <w:r>
        <w:t>Gestão das senhas de acesso aos aplicativos da Rede SUAS para todos os técnicos do Estado; preenchimento dos aplicativos referentes ao Plano de Ação 2014, Demonstrativo de Execução Físico-Financeira 2013 e o Censo SUAS 2014 - Gestão Estadual; acompanhamento e orientação às DRADS e municípios quanto ao preenchimento, no âmbito municipal, do Plano de Ação, do Demonstrativo de Execução Físico-Financeira, do Registro Mensal de Atendimento de CRAS e CREAS e do Censo SUAS.</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rPr>
          <w:strike/>
        </w:rPr>
      </w:pPr>
      <w:r>
        <w:rPr>
          <w:b/>
        </w:rPr>
        <w:t xml:space="preserve">SIGEAS - </w:t>
      </w:r>
      <w:r>
        <w:t xml:space="preserve">O Sistema para Gestão da Assistência Social - SIGEAS - é sistema informatizado desenvolvido pela Secretaria de Desenvolvimento Social </w:t>
      </w:r>
      <w:r w:rsidR="00D779A4">
        <w:t>-</w:t>
      </w:r>
      <w:r>
        <w:t xml:space="preserve"> SDS</w:t>
      </w:r>
      <w:r w:rsidR="008C4E35">
        <w:t>,</w:t>
      </w:r>
      <w:r>
        <w:t xml:space="preserve"> com objetivo de subsidiar a gestão da Assistência Social no Estado</w:t>
      </w:r>
      <w:r w:rsidR="008C4E35">
        <w:t>.</w:t>
      </w:r>
    </w:p>
    <w:p w:rsidR="003E6588" w:rsidRDefault="003E6588">
      <w:pPr>
        <w:autoSpaceDE w:val="0"/>
        <w:autoSpaceDN w:val="0"/>
        <w:adjustRightInd w:val="0"/>
        <w:ind w:firstLine="1276"/>
        <w:jc w:val="both"/>
        <w:rPr>
          <w:strike/>
        </w:rPr>
      </w:pPr>
    </w:p>
    <w:p w:rsidR="003E6588" w:rsidRDefault="003E6588">
      <w:pPr>
        <w:autoSpaceDE w:val="0"/>
        <w:autoSpaceDN w:val="0"/>
        <w:adjustRightInd w:val="0"/>
        <w:ind w:firstLine="1276"/>
        <w:jc w:val="both"/>
      </w:pPr>
      <w:r>
        <w:rPr>
          <w:b/>
        </w:rPr>
        <w:t xml:space="preserve">Ações realizadas - </w:t>
      </w:r>
      <w:r>
        <w:t>Discussão, estruturação e elaboração de documento detalhando o desenvolvimento do SIGEAS; reuniões com Departamento de Normatização e Informática e PRODESP</w:t>
      </w:r>
      <w:r w:rsidR="00D779A4">
        <w:t>,</w:t>
      </w:r>
      <w:r>
        <w:t xml:space="preserve"> para viabilização do desenvolvimento do sistema </w:t>
      </w:r>
      <w:r w:rsidR="00D779A4">
        <w:t xml:space="preserve">por meio </w:t>
      </w:r>
      <w:r>
        <w:t xml:space="preserve">de parceria entre SDS e PRODESP; elaboração da modelagem do sistema e da elaboração de protótipo para apresentação e discussão junto aos atores envolvidos nos processos de gestão da assistência social (CIB, Municípios, Coordenadorias da SDS, Conselhos); recebimento, sistematização e organização dos Planos de Providências municipais e dos Planos de Apoio estaduais para pactuações junto à CIB, em conjunto com a equipe de Proteção Social Básica; participação na </w:t>
      </w:r>
      <w:r w:rsidR="00D779A4">
        <w:t>“</w:t>
      </w:r>
      <w:r>
        <w:t>I Reunião de Apoio Técnico à Gestão Descentralizada do SUAS</w:t>
      </w:r>
      <w:r w:rsidR="00D779A4">
        <w:t>”</w:t>
      </w:r>
      <w:r>
        <w:t xml:space="preserve">, promovida pelo MDS, em Brasília; participação na </w:t>
      </w:r>
      <w:r w:rsidR="00D779A4">
        <w:t>“</w:t>
      </w:r>
      <w:r>
        <w:t>II Reunião de Apoio Técnico à Gestão Descentralizada do SUAS</w:t>
      </w:r>
      <w:r w:rsidR="00D779A4">
        <w:t>”</w:t>
      </w:r>
      <w:r>
        <w:t xml:space="preserve">, promovida pelo MDS, em Brasília; participação no </w:t>
      </w:r>
      <w:r w:rsidR="00D779A4">
        <w:t>“</w:t>
      </w:r>
      <w:r>
        <w:t>VII Encontro Nacional de Monitoramento e Vigilância Socioassistencial</w:t>
      </w:r>
      <w:r w:rsidR="00D779A4">
        <w:t>”</w:t>
      </w:r>
      <w:r>
        <w:t>, promovido pelo MDS, em Brasília; participação na Oficina de Capacitação de Educadores para Implantação e Utilização do Prontuário SUAS, promovida pelo MDS, em Brasília; participação no Grupo de Trabalho sobre o Pacto de Aprimoramento da Gestão Municipal 2014-2017.</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rPr>
          <w:strike/>
        </w:rPr>
      </w:pPr>
      <w:r>
        <w:rPr>
          <w:b/>
        </w:rPr>
        <w:t xml:space="preserve">Programa SP Amigo do Idoso - </w:t>
      </w:r>
      <w:r>
        <w:t xml:space="preserve">O Programa São Paulo Amigo do Idoso objetiva promover amplo processo de mobilização regional, de diversos setores governamentais e da sociedade, para desenvolver territórios amigáveis a todas as idades, com foco no </w:t>
      </w:r>
      <w:r w:rsidR="00D779A4">
        <w:t>envelhecimento ativo do Estado.</w:t>
      </w:r>
    </w:p>
    <w:p w:rsidR="003E6588" w:rsidRDefault="003E6588">
      <w:pPr>
        <w:autoSpaceDE w:val="0"/>
        <w:autoSpaceDN w:val="0"/>
        <w:adjustRightInd w:val="0"/>
        <w:ind w:firstLine="1276"/>
        <w:jc w:val="both"/>
        <w:rPr>
          <w:strike/>
        </w:rPr>
      </w:pPr>
    </w:p>
    <w:p w:rsidR="003E6588" w:rsidRPr="00D779A4" w:rsidRDefault="003E6588">
      <w:pPr>
        <w:autoSpaceDE w:val="0"/>
        <w:autoSpaceDN w:val="0"/>
        <w:adjustRightInd w:val="0"/>
        <w:ind w:firstLine="1276"/>
        <w:jc w:val="both"/>
      </w:pPr>
      <w:r w:rsidRPr="00D779A4">
        <w:t>No âmbito da Política de Assistência Social, houve ampliação da rede de equipamentos de Proteção Social Básica e Proteção Social Especial, com implantação de 78 Centros Dia e 204 Centros de Convivência e 37 unidades do Programa Vila Dignidade, por meio de convênios celebrados com municípios.</w:t>
      </w:r>
    </w:p>
    <w:p w:rsidR="003E6588" w:rsidRDefault="003E6588">
      <w:pPr>
        <w:autoSpaceDE w:val="0"/>
        <w:autoSpaceDN w:val="0"/>
        <w:adjustRightInd w:val="0"/>
        <w:ind w:firstLine="1276"/>
        <w:jc w:val="both"/>
        <w:rPr>
          <w:b/>
        </w:rPr>
      </w:pPr>
      <w:r>
        <w:rPr>
          <w:b/>
        </w:rPr>
        <w:lastRenderedPageBreak/>
        <w:t xml:space="preserve">Ações realizadas - </w:t>
      </w:r>
      <w:r>
        <w:t xml:space="preserve">Visitas Técnicas - Programa Vila Dignidade; 15 visitas a municípios com unidades em funcionamento e unidades em fase de implantação; orientação técnica sobre processo de seleção e gestão do equipamento; monitoramento e avaliação; assessoria e apoio técnico permanente: Centro Dia; visitas às unidades em funcionamento - orientação técnica sobre execução de serviços e gestão do equipamento; monitoramento e avaliação; reuniões técnicas com DRADS, gestores e técnicos municipais. elaboração e distribuição de Guias de Orientações Técnicas dos Centro Dia do Idoso e Centro de Convivência do Idoso aos 645 municípios do Estado; elaboração e oferta Curso </w:t>
      </w:r>
      <w:r w:rsidRPr="007D7094">
        <w:rPr>
          <w:i/>
        </w:rPr>
        <w:t>on</w:t>
      </w:r>
      <w:r w:rsidR="007D7094" w:rsidRPr="007D7094">
        <w:rPr>
          <w:i/>
        </w:rPr>
        <w:t xml:space="preserve"> </w:t>
      </w:r>
      <w:r w:rsidRPr="007D7094">
        <w:rPr>
          <w:i/>
        </w:rPr>
        <w:t>line</w:t>
      </w:r>
      <w:r>
        <w:t xml:space="preserve">, </w:t>
      </w:r>
      <w:r w:rsidR="007D7094">
        <w:t xml:space="preserve">por meio </w:t>
      </w:r>
      <w:r>
        <w:t>da EDESP e Fundap:</w:t>
      </w:r>
      <w:r>
        <w:rPr>
          <w:b/>
        </w:rPr>
        <w:t xml:space="preserve"> </w:t>
      </w:r>
      <w:r w:rsidR="007D7094">
        <w:rPr>
          <w:b/>
        </w:rPr>
        <w:t>“</w:t>
      </w:r>
      <w:r>
        <w:t>Envelhecer no século XXI - conquistas, desafios e perspectivas</w:t>
      </w:r>
      <w:r w:rsidR="007D7094">
        <w:t>”</w:t>
      </w:r>
      <w:r>
        <w:t>;</w:t>
      </w:r>
      <w:r>
        <w:rPr>
          <w:b/>
        </w:rPr>
        <w:t xml:space="preserve"> </w:t>
      </w:r>
      <w:r>
        <w:t>CEPAM - envelhecimento da população: desafios e políticas públicas municipais;</w:t>
      </w:r>
      <w:r>
        <w:rPr>
          <w:b/>
        </w:rPr>
        <w:t xml:space="preserve"> </w:t>
      </w:r>
      <w:r>
        <w:t>2º encontro nacional de promotores, defensores, delegados e conselheiros;</w:t>
      </w:r>
      <w:r>
        <w:rPr>
          <w:b/>
        </w:rPr>
        <w:t xml:space="preserve"> </w:t>
      </w:r>
      <w:r>
        <w:t>3º fórum nacional de gestores estaduais em Direitos Humanos</w:t>
      </w:r>
      <w:r>
        <w:rPr>
          <w:b/>
        </w:rPr>
        <w:t xml:space="preserve">; </w:t>
      </w:r>
      <w:r>
        <w:t>campanha nacional de enfrentamento à violência contra a pessoa idosa da Secretaria de Direitos Humanos da Presidência da República.</w:t>
      </w:r>
    </w:p>
    <w:p w:rsidR="003E6588" w:rsidRDefault="003E6588">
      <w:pPr>
        <w:autoSpaceDE w:val="0"/>
        <w:autoSpaceDN w:val="0"/>
        <w:adjustRightInd w:val="0"/>
        <w:ind w:firstLine="1276"/>
        <w:jc w:val="both"/>
      </w:pPr>
    </w:p>
    <w:p w:rsidR="003E6588" w:rsidRDefault="003E6588">
      <w:pPr>
        <w:autoSpaceDE w:val="0"/>
        <w:autoSpaceDN w:val="0"/>
        <w:adjustRightInd w:val="0"/>
        <w:ind w:firstLine="1276"/>
        <w:jc w:val="both"/>
        <w:rPr>
          <w:b/>
        </w:rPr>
      </w:pPr>
      <w:r>
        <w:rPr>
          <w:b/>
        </w:rPr>
        <w:t>Segurança Alimentar e Nutricional</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pPr>
      <w:r>
        <w:rPr>
          <w:b/>
        </w:rPr>
        <w:t xml:space="preserve">Vivaleite - </w:t>
      </w:r>
      <w:r>
        <w:t xml:space="preserve">O Projeto Estadual Vivaleite </w:t>
      </w:r>
      <w:r w:rsidRPr="00076E8C">
        <w:t>está inserido no</w:t>
      </w:r>
      <w:r>
        <w:rPr>
          <w:color w:val="FF0000"/>
        </w:rPr>
        <w:t xml:space="preserve"> </w:t>
      </w:r>
      <w:r>
        <w:t>Programa Estadual de Alimentação e Nutrição para populações em situa</w:t>
      </w:r>
      <w:r w:rsidR="007D7094">
        <w:t xml:space="preserve">ção de vulnerabilidade social. A </w:t>
      </w:r>
      <w:r>
        <w:t>Secretaria de Desenvolvimento Social</w:t>
      </w:r>
      <w:r w:rsidR="007D7094">
        <w:t>,</w:t>
      </w:r>
      <w:r>
        <w:t xml:space="preserve"> por meio da Coordenadoria de Segurança Alimentar e Nutricional </w:t>
      </w:r>
      <w:r w:rsidR="00076E8C">
        <w:t>-</w:t>
      </w:r>
      <w:r>
        <w:t xml:space="preserve"> COSAN</w:t>
      </w:r>
      <w:r w:rsidR="007D7094">
        <w:t>,</w:t>
      </w:r>
      <w:r>
        <w:t xml:space="preserve"> administra o Projeto Estadual Vivaleite</w:t>
      </w:r>
      <w:r w:rsidR="007D7094">
        <w:t>.</w:t>
      </w:r>
      <w:r>
        <w:t xml:space="preserve"> </w:t>
      </w:r>
      <w:r w:rsidR="007D7094">
        <w:t xml:space="preserve">Por </w:t>
      </w:r>
      <w:r>
        <w:t>meio de 2.690 entidades credenciadas, 217.017 crianças recebem 3.255.255 litros/mês de leite e 124.392 idosos recebem 1.865.880 litros/mês de leite na Capital e Grande São Paulo. O Projeto que se estende pelo Estado estabeleceu convênios com 605 municípios</w:t>
      </w:r>
      <w:r w:rsidR="007D7094">
        <w:t>,</w:t>
      </w:r>
      <w:r>
        <w:t xml:space="preserve"> beneficiando 278.331 crianças que recebem 4.174.965 litros/mês de leite, totalizando 620 mil beneficiários, que consomem, aproximadamente, 9.296.100 litros/mês.</w:t>
      </w:r>
    </w:p>
    <w:p w:rsidR="003E6588" w:rsidRDefault="003E6588">
      <w:pPr>
        <w:autoSpaceDE w:val="0"/>
        <w:autoSpaceDN w:val="0"/>
        <w:adjustRightInd w:val="0"/>
        <w:ind w:firstLine="1276"/>
        <w:jc w:val="both"/>
      </w:pPr>
    </w:p>
    <w:p w:rsidR="003E6588" w:rsidRDefault="003E6588">
      <w:pPr>
        <w:autoSpaceDE w:val="0"/>
        <w:autoSpaceDN w:val="0"/>
        <w:adjustRightInd w:val="0"/>
        <w:ind w:firstLine="1276"/>
        <w:jc w:val="both"/>
      </w:pPr>
      <w:r>
        <w:t>O principal objetivo do projeto é oferecer complemento alimentar seguro e de alto valor nutritivo às crianças que vivem em condição de risco nutricional. A</w:t>
      </w:r>
      <w:r w:rsidR="007D7094">
        <w:t xml:space="preserve"> </w:t>
      </w:r>
      <w:r>
        <w:t>produção de leite do tipo C corresponde a 7% da produção paulista. O Projeto Vivaleite distribui gratuitamente leite fluido pasteurizado enriquecido com Ferro, Vitamina A e Vitamina D, auxiliando na prevenção de anemia ferropriva e das deficiências vitamínicas citadas. A presença do projeto em regiões de vulnerabilidade social fortalece a atuação do Estado e incentiva o desenvolvimento de outras ações públicas e assistenciais na região por meio das entidades parceiras ou prefeituras conveniadas. Os investimentos são de R$ 219.961.383,46.</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pPr>
      <w:r>
        <w:rPr>
          <w:b/>
        </w:rPr>
        <w:t xml:space="preserve">Bom Prato - </w:t>
      </w:r>
      <w:r>
        <w:t>Projeto de Restaurante Popular Bom Prato foi concebido para oferecer refeições de qualidade com alto teor nutricional a preços acessíveis à população de baixa renda. Cada unidade do Restaurante Bom Prato gera de 10 a 20 empregos diretos</w:t>
      </w:r>
      <w:r w:rsidR="007D7094">
        <w:t xml:space="preserve">. </w:t>
      </w:r>
      <w:r>
        <w:t xml:space="preserve">Foram inauguradas 6 unidades. Foram revitalizadas 3 unidades, sendo que 2 estão em processo de finalização. </w:t>
      </w:r>
      <w:r w:rsidR="007D7094">
        <w:t xml:space="preserve">A </w:t>
      </w:r>
      <w:r>
        <w:t>Unidade Campos Elíseos, situada em área de grande vulnerabilidade social, iniciou o fornecimento de refeições noturnas (jantar) e aos finais de semana.</w:t>
      </w:r>
      <w:r>
        <w:rPr>
          <w:b/>
        </w:rPr>
        <w:t xml:space="preserve"> </w:t>
      </w:r>
      <w:r>
        <w:t>Foram servidas 17.710.773 refeições, entre almoço e café da manhã. Foram investidos R$ 55.489.676,20.</w:t>
      </w:r>
    </w:p>
    <w:p w:rsidR="003E6588" w:rsidRDefault="003E6588">
      <w:pPr>
        <w:autoSpaceDE w:val="0"/>
        <w:autoSpaceDN w:val="0"/>
        <w:adjustRightInd w:val="0"/>
        <w:ind w:firstLine="1276"/>
        <w:jc w:val="both"/>
        <w:rPr>
          <w:b/>
        </w:rPr>
      </w:pPr>
    </w:p>
    <w:p w:rsidR="003E6588" w:rsidRDefault="003E6588">
      <w:pPr>
        <w:autoSpaceDE w:val="0"/>
        <w:autoSpaceDN w:val="0"/>
        <w:adjustRightInd w:val="0"/>
        <w:ind w:firstLine="1276"/>
        <w:jc w:val="both"/>
      </w:pPr>
      <w:r>
        <w:rPr>
          <w:b/>
        </w:rPr>
        <w:t xml:space="preserve">Programa São Paulo Solidário - </w:t>
      </w:r>
      <w:r>
        <w:t xml:space="preserve">Atualização de dados sobre a </w:t>
      </w:r>
      <w:r w:rsidR="00076E8C">
        <w:t xml:space="preserve">pobreza </w:t>
      </w:r>
      <w:r>
        <w:t>multidimensional e ações do projeto.</w:t>
      </w:r>
    </w:p>
    <w:p w:rsidR="003E6588" w:rsidRDefault="003E6588">
      <w:pPr>
        <w:autoSpaceDE w:val="0"/>
        <w:autoSpaceDN w:val="0"/>
        <w:adjustRightInd w:val="0"/>
        <w:ind w:firstLine="1276"/>
        <w:jc w:val="both"/>
        <w:rPr>
          <w:b/>
          <w:strike/>
        </w:rPr>
      </w:pPr>
      <w:r>
        <w:lastRenderedPageBreak/>
        <w:t>O Projeto São Paulo Solidário atingiu 538 municípios</w:t>
      </w:r>
      <w:r w:rsidR="007D7094">
        <w:t>,</w:t>
      </w:r>
      <w:r>
        <w:t xml:space="preserve"> dos quais 97 estão na fase de execução de plano de trabalho de enfrentamento da pobreza multidimensional</w:t>
      </w:r>
      <w:r w:rsidR="007D7094">
        <w:t>;</w:t>
      </w:r>
      <w:r>
        <w:t xml:space="preserve"> são eles os municípios de menor IDH</w:t>
      </w:r>
      <w:r w:rsidR="007D7094">
        <w:t>,</w:t>
      </w:r>
      <w:r>
        <w:t xml:space="preserve"> onde a atuação do Estado no campo do enfretamento </w:t>
      </w:r>
      <w:r w:rsidR="007D7094">
        <w:t>à</w:t>
      </w:r>
      <w:r>
        <w:t xml:space="preserve"> pobreza multidimensional  teve </w:t>
      </w:r>
      <w:r w:rsidRPr="00470342">
        <w:t xml:space="preserve">início </w:t>
      </w:r>
      <w:r>
        <w:t xml:space="preserve">em 441 municípios nos quais havia sido realizada a Busca Ativa </w:t>
      </w:r>
      <w:r w:rsidRPr="00470342">
        <w:t>em 2013</w:t>
      </w:r>
      <w:r>
        <w:t xml:space="preserve"> foi concluída a sistematização dos dados e entregue às DRADS os Retratos Sociais e os dados relativos ao diagnóstico realizado com a parceria da FUNDAP, nesse segundo grupo de municípios, para distribuição aos gestores municipais. Com os dados da segunda Busca Ativa ati</w:t>
      </w:r>
      <w:r w:rsidR="00470342">
        <w:t>ngiu-se 83% do total do Estado.</w:t>
      </w:r>
    </w:p>
    <w:p w:rsidR="003E6588" w:rsidRDefault="003E6588">
      <w:pPr>
        <w:autoSpaceDE w:val="0"/>
        <w:autoSpaceDN w:val="0"/>
        <w:adjustRightInd w:val="0"/>
        <w:ind w:firstLine="1276"/>
        <w:jc w:val="both"/>
        <w:rPr>
          <w:strike/>
        </w:rPr>
      </w:pPr>
    </w:p>
    <w:p w:rsidR="003E6588" w:rsidRDefault="003E6588">
      <w:pPr>
        <w:ind w:firstLine="1134"/>
        <w:jc w:val="both"/>
      </w:pPr>
      <w:r>
        <w:t>Para atingir suas metas</w:t>
      </w:r>
      <w:r w:rsidR="00470342">
        <w:t>,</w:t>
      </w:r>
      <w:r>
        <w:t xml:space="preserve"> o Programa realizou as seguintes ações:Busca Ativa realizada em 441 municípios do interior - visitados 928.000 domicílios; ratificação do Compromisso Paulista entre as Secretarias Estaduais, com intuito de priorizar o público do São Paulo Solidário em programas, projetos e ações do Governo do Estado, que visem atender as necessidades elencadas na Agenda da Família e no Retrato Social; formulação e distribuição de Caderno de Orientação - São Paulo Solidário, para todos os municípios da primeira fase, reunindo informações para facilitar a elaboração dos Planos de Trabalho, assim como as exigências para os municípios se inscreverem nos Programas Estaduais</w:t>
      </w:r>
      <w:r w:rsidR="00470342">
        <w:t>,</w:t>
      </w:r>
      <w:r>
        <w:t xml:space="preserve"> e a consolidação das privações apontadas pelas Agendas da Família de cada município; reuniões técnicas regionais com os DRADS e seus respectivos municípios para orientação quanto a elaboração dos planos de trabalho que atendam a população em extrema pobreza; reuniões técnicas individualizadas, com os interlocutores do São Paulo Solidário, para primeira avaliação dos Planos de Trabalho e proposição de ajustes pactuados entre os técnicos do São Paulo Solidário e equipes das DRADS; manifestação documental</w:t>
      </w:r>
      <w:r w:rsidR="00470342">
        <w:t>,</w:t>
      </w:r>
      <w:r>
        <w:t xml:space="preserve"> por meio de processo interno, da posição da equipe acerca da reformulação da legislação que rege a distribuição dos recursos do fundo, na qual se defende a transferência fundo a fundo automática, a reprogramação e o uso do recurso para investimento, além de custeio; manifestação acerca da necessidade de reformulação da Portaria CAS/CAF que dispões sobre os instrumentais de prestação de contas.</w:t>
      </w:r>
    </w:p>
    <w:p w:rsidR="003E6588" w:rsidRDefault="003E6588">
      <w:pPr>
        <w:ind w:firstLine="1134"/>
        <w:jc w:val="both"/>
        <w:rPr>
          <w:b/>
        </w:rPr>
      </w:pPr>
    </w:p>
    <w:p w:rsidR="003E6588" w:rsidRDefault="003E6588">
      <w:pPr>
        <w:ind w:firstLine="1134"/>
        <w:jc w:val="both"/>
      </w:pPr>
      <w:r>
        <w:rPr>
          <w:b/>
        </w:rPr>
        <w:t xml:space="preserve">Aprimoramento, Capacitação Profissional e Treinamento na Área Social - </w:t>
      </w:r>
      <w:r>
        <w:t>A Escola de Desenvolvimento Social do Estado de São Paulo - Edesp, vinculada à Secretaria de Desenvolvimento Social, foi criada com objetivo de garantir educação continuada dos trabalhadores da área socioassistencial.</w:t>
      </w:r>
    </w:p>
    <w:p w:rsidR="003E6588" w:rsidRDefault="003E6588">
      <w:pPr>
        <w:ind w:firstLine="1134"/>
        <w:jc w:val="both"/>
      </w:pPr>
    </w:p>
    <w:p w:rsidR="003E6588" w:rsidRDefault="003E6588">
      <w:pPr>
        <w:ind w:firstLine="1134"/>
        <w:jc w:val="both"/>
      </w:pPr>
      <w:r>
        <w:rPr>
          <w:b/>
        </w:rPr>
        <w:t xml:space="preserve">A Edesp executou as seguintes ações - </w:t>
      </w:r>
      <w:r>
        <w:t>Aplicação do Levantamento de Necessidades de Capacitação - LNC; com base no levantamento</w:t>
      </w:r>
      <w:r w:rsidR="00470342">
        <w:t>,</w:t>
      </w:r>
      <w:r>
        <w:t xml:space="preserve"> elaborou o planejamento estratégico; atualização do Plano Estadual de Capacitação (PEC - 2014–2015); elaboração de plano executivo para contratação serviço especializado; estabeleceu parcerias com a Escola de Formação e Aperfeiçoamento dos Professores “Paulo Renato Costa Souza” - Efap/Rede do Saber, da Secretaria da Educação; reestruturação do Portal Edesp; reuniões técnico-pedagógicas; ofereceu 35 ações educativas; atendeu 25.066 cursistas pelas ações educativas da Edesp, nas modalidades presencial, semipresencial e EAD; elaborou Termo de Referência - TR e edital de licitação junto com o Departamento de Administração - DA da SDS; participou de 4 reuniões técnicas de alinhamento com o MDS em Brasília e no Espírito Santo.</w:t>
      </w:r>
    </w:p>
    <w:p w:rsidR="003E6588" w:rsidRDefault="003E6588" w:rsidP="005D7369">
      <w:pPr>
        <w:ind w:firstLine="1134"/>
        <w:jc w:val="both"/>
      </w:pPr>
    </w:p>
    <w:p w:rsidR="00470342" w:rsidRDefault="00470342" w:rsidP="005D7369">
      <w:pPr>
        <w:ind w:firstLine="1134"/>
        <w:jc w:val="both"/>
      </w:pPr>
    </w:p>
    <w:p w:rsidR="003E6588" w:rsidRDefault="003E6588" w:rsidP="005D7369">
      <w:pPr>
        <w:ind w:firstLine="1134"/>
        <w:jc w:val="both"/>
        <w:rPr>
          <w:b/>
        </w:rPr>
      </w:pPr>
      <w:r>
        <w:rPr>
          <w:b/>
        </w:rPr>
        <w:lastRenderedPageBreak/>
        <w:t>Execução Orçamentária</w:t>
      </w:r>
    </w:p>
    <w:p w:rsidR="003E6588" w:rsidRDefault="003E6588" w:rsidP="005D7369">
      <w:pPr>
        <w:ind w:firstLine="1134"/>
        <w:jc w:val="both"/>
        <w:rPr>
          <w:b/>
        </w:rPr>
      </w:pPr>
    </w:p>
    <w:p w:rsidR="003E6588" w:rsidRDefault="003E6588">
      <w:pPr>
        <w:ind w:firstLine="1134"/>
        <w:jc w:val="both"/>
      </w:pPr>
      <w:r>
        <w:rPr>
          <w:b/>
        </w:rPr>
        <w:t xml:space="preserve">Recomeço - Programa Estadual de Enfrentamento ao </w:t>
      </w:r>
      <w:r>
        <w:rPr>
          <w:b/>
          <w:i/>
        </w:rPr>
        <w:t>Crack</w:t>
      </w:r>
      <w:r>
        <w:rPr>
          <w:b/>
        </w:rPr>
        <w:t xml:space="preserve"> - </w:t>
      </w:r>
      <w:r>
        <w:t>Execução de ações socioassistenciais que atuem na prevenção, acolhimento, reinserção social e na redução de situações de vulnerabilidade social de pessoas com histórico de uso de substâncias psicoativas e suas famílias, mediante apoio técnico e financeiro aos municípios e organizações sociais.</w:t>
      </w:r>
    </w:p>
    <w:p w:rsidR="003E6588" w:rsidRDefault="003E6588" w:rsidP="005D7369">
      <w:pPr>
        <w:ind w:firstLine="1134"/>
        <w:jc w:val="both"/>
      </w:pPr>
    </w:p>
    <w:p w:rsidR="003E6588" w:rsidRDefault="003E6588" w:rsidP="005D7369">
      <w:pPr>
        <w:ind w:firstLine="1134"/>
        <w:jc w:val="both"/>
      </w:pPr>
      <w:r>
        <w:t>Valor Total - R$ 7.086.503,64.</w:t>
      </w:r>
    </w:p>
    <w:p w:rsidR="003E6588" w:rsidRDefault="003E6588" w:rsidP="005D7369">
      <w:pPr>
        <w:ind w:firstLine="1134"/>
        <w:jc w:val="both"/>
      </w:pPr>
    </w:p>
    <w:p w:rsidR="003E6588" w:rsidRDefault="003E6588" w:rsidP="005D7369">
      <w:pPr>
        <w:ind w:firstLine="1134"/>
        <w:jc w:val="both"/>
      </w:pPr>
      <w:r>
        <w:t>Metas/Resultados Alcançados - 224 pessoas atendidas.</w:t>
      </w:r>
    </w:p>
    <w:p w:rsidR="003E6588" w:rsidRDefault="003E6588" w:rsidP="005D7369">
      <w:pPr>
        <w:ind w:firstLine="1134"/>
        <w:jc w:val="both"/>
      </w:pPr>
    </w:p>
    <w:p w:rsidR="003E6588" w:rsidRDefault="003E6588">
      <w:pPr>
        <w:ind w:firstLine="1134"/>
        <w:jc w:val="both"/>
      </w:pPr>
      <w:r>
        <w:t>Situação - em execução.</w:t>
      </w:r>
    </w:p>
    <w:p w:rsidR="003E6588" w:rsidRDefault="003E6588" w:rsidP="005D7369">
      <w:pPr>
        <w:ind w:firstLine="1134"/>
        <w:jc w:val="both"/>
        <w:rPr>
          <w:b/>
        </w:rPr>
      </w:pPr>
    </w:p>
    <w:p w:rsidR="003E6588" w:rsidRDefault="003E6588">
      <w:pPr>
        <w:ind w:firstLine="1134"/>
        <w:jc w:val="both"/>
      </w:pPr>
      <w:r>
        <w:rPr>
          <w:b/>
        </w:rPr>
        <w:t xml:space="preserve">Proteção Social Básica - Piso Social - </w:t>
      </w:r>
      <w:r>
        <w:t>Apoio técnico e financeiro aos Municípios, Entidades e Organizações de Assistência Social na execução de ações de Proteção Social Básica e serviços socioassistenciais</w:t>
      </w:r>
      <w:r w:rsidR="00470342">
        <w:t>,</w:t>
      </w:r>
      <w:r>
        <w:t xml:space="preserve"> destinadas à população em situação de vulnerabilidade e exclusão social.</w:t>
      </w:r>
    </w:p>
    <w:p w:rsidR="003E6588" w:rsidRDefault="003E6588" w:rsidP="005D7369">
      <w:pPr>
        <w:ind w:firstLine="1134"/>
        <w:jc w:val="both"/>
        <w:rPr>
          <w:b/>
        </w:rPr>
      </w:pPr>
    </w:p>
    <w:p w:rsidR="003E6588" w:rsidRDefault="003E6588" w:rsidP="005D7369">
      <w:pPr>
        <w:ind w:firstLine="1134"/>
        <w:jc w:val="both"/>
      </w:pPr>
      <w:r>
        <w:t>Prefeituras</w:t>
      </w:r>
      <w:r w:rsidR="00076E8C">
        <w:tab/>
      </w:r>
      <w:r w:rsidR="00076E8C">
        <w:tab/>
      </w:r>
      <w:r w:rsidR="00076E8C">
        <w:tab/>
        <w:t>R$ 84.029.249,39</w:t>
      </w:r>
    </w:p>
    <w:p w:rsidR="005D7369" w:rsidRDefault="005D7369" w:rsidP="005D7369">
      <w:pPr>
        <w:ind w:firstLine="1134"/>
        <w:jc w:val="both"/>
      </w:pPr>
    </w:p>
    <w:p w:rsidR="003E6588" w:rsidRDefault="003E6588" w:rsidP="005D7369">
      <w:pPr>
        <w:ind w:firstLine="1134"/>
        <w:jc w:val="both"/>
      </w:pPr>
      <w:r>
        <w:t>Entidades</w:t>
      </w:r>
      <w:r w:rsidR="00076E8C">
        <w:tab/>
      </w:r>
      <w:r w:rsidR="00076E8C">
        <w:tab/>
      </w:r>
      <w:r w:rsidR="00076E8C">
        <w:tab/>
      </w:r>
      <w:r w:rsidR="00076E8C">
        <w:tab/>
        <w:t>R$   1.909.349,28</w:t>
      </w:r>
    </w:p>
    <w:p w:rsidR="003E6588" w:rsidRDefault="003E6588" w:rsidP="005D7369">
      <w:pPr>
        <w:ind w:firstLine="1134"/>
        <w:jc w:val="both"/>
      </w:pPr>
    </w:p>
    <w:p w:rsidR="003E6588" w:rsidRDefault="003E6588" w:rsidP="005D7369">
      <w:pPr>
        <w:ind w:firstLine="1134"/>
        <w:jc w:val="both"/>
      </w:pPr>
      <w:r>
        <w:t>Valor Total</w:t>
      </w:r>
      <w:r w:rsidR="00076E8C">
        <w:tab/>
      </w:r>
      <w:r w:rsidR="00076E8C">
        <w:tab/>
      </w:r>
      <w:r w:rsidR="00076E8C">
        <w:tab/>
        <w:t>R$ 85.938.598,67</w:t>
      </w:r>
    </w:p>
    <w:p w:rsidR="003E6588" w:rsidRDefault="003E6588" w:rsidP="005D7369">
      <w:pPr>
        <w:ind w:firstLine="1134"/>
        <w:jc w:val="both"/>
      </w:pPr>
    </w:p>
    <w:p w:rsidR="003E6588" w:rsidRDefault="003E6588" w:rsidP="005D7369">
      <w:pPr>
        <w:ind w:firstLine="1134"/>
        <w:jc w:val="both"/>
      </w:pPr>
      <w:r>
        <w:t>Metas/Resulta</w:t>
      </w:r>
      <w:r w:rsidR="00076E8C">
        <w:t>dos Alcançados - 645 municípios</w:t>
      </w:r>
    </w:p>
    <w:p w:rsidR="003E6588" w:rsidRDefault="003E6588" w:rsidP="005D7369">
      <w:pPr>
        <w:ind w:firstLine="1134"/>
        <w:jc w:val="both"/>
      </w:pPr>
    </w:p>
    <w:p w:rsidR="003E6588" w:rsidRDefault="00076E8C" w:rsidP="005D7369">
      <w:pPr>
        <w:ind w:firstLine="1134"/>
        <w:jc w:val="both"/>
      </w:pPr>
      <w:r>
        <w:t>Situação - ação continuada</w:t>
      </w:r>
    </w:p>
    <w:p w:rsidR="003E6588" w:rsidRDefault="003E6588" w:rsidP="005D7369">
      <w:pPr>
        <w:ind w:firstLine="1134"/>
        <w:jc w:val="both"/>
        <w:rPr>
          <w:b/>
        </w:rPr>
      </w:pPr>
    </w:p>
    <w:p w:rsidR="003E6588" w:rsidRDefault="003E6588">
      <w:pPr>
        <w:ind w:firstLine="1134"/>
        <w:jc w:val="both"/>
      </w:pPr>
      <w:r>
        <w:rPr>
          <w:b/>
        </w:rPr>
        <w:t xml:space="preserve">Projeto São Paulo Solidário - </w:t>
      </w:r>
      <w:r>
        <w:t>Objetiva erradicação da extrema pobreza no Estado. Foi realizada a Busca- Ativa em 483 municípios e está na Fase Além Renda</w:t>
      </w:r>
      <w:r w:rsidR="00470342">
        <w:t>,</w:t>
      </w:r>
      <w:r>
        <w:t xml:space="preserve"> que abrange 97 municípios com menor IDHM. São transferidos recursos para custeio, obras e investimentos</w:t>
      </w:r>
      <w:r w:rsidR="00470342">
        <w:t>,</w:t>
      </w:r>
      <w:r>
        <w:t xml:space="preserve"> objetivando superar a extrema pobreza e promover a mobilidade social desta população. Este Projeto tem como meta atingir todos os municípios do Estado.</w:t>
      </w:r>
    </w:p>
    <w:p w:rsidR="003E6588" w:rsidRDefault="003E6588">
      <w:pPr>
        <w:ind w:firstLine="1134"/>
        <w:jc w:val="both"/>
      </w:pPr>
    </w:p>
    <w:p w:rsidR="003E6588" w:rsidRDefault="00076E8C">
      <w:pPr>
        <w:ind w:firstLine="1134"/>
        <w:jc w:val="both"/>
      </w:pPr>
      <w:r>
        <w:t>Valor Total - R$ 61.819.500,00</w:t>
      </w:r>
    </w:p>
    <w:p w:rsidR="003E6588" w:rsidRDefault="003E6588">
      <w:pPr>
        <w:ind w:firstLine="1134"/>
        <w:jc w:val="both"/>
      </w:pPr>
    </w:p>
    <w:p w:rsidR="003E6588" w:rsidRDefault="003E6588">
      <w:pPr>
        <w:ind w:firstLine="1134"/>
        <w:jc w:val="both"/>
      </w:pPr>
      <w:r>
        <w:t>Metas/Resultado</w:t>
      </w:r>
      <w:r w:rsidR="00076E8C">
        <w:t>s Alcançados - 587.000 famílias</w:t>
      </w:r>
    </w:p>
    <w:p w:rsidR="003E6588" w:rsidRDefault="003E6588">
      <w:pPr>
        <w:ind w:firstLine="1134"/>
        <w:jc w:val="both"/>
      </w:pPr>
    </w:p>
    <w:p w:rsidR="003E6588" w:rsidRDefault="003E6588">
      <w:pPr>
        <w:ind w:firstLine="1134"/>
        <w:jc w:val="both"/>
      </w:pPr>
      <w:r>
        <w:t>Situação - em e</w:t>
      </w:r>
      <w:r w:rsidR="00076E8C">
        <w:t>xecução</w:t>
      </w:r>
    </w:p>
    <w:p w:rsidR="003E6588" w:rsidRDefault="003E6588">
      <w:pPr>
        <w:ind w:firstLine="1134"/>
        <w:jc w:val="both"/>
      </w:pPr>
    </w:p>
    <w:p w:rsidR="003E6588" w:rsidRDefault="003E6588">
      <w:pPr>
        <w:ind w:firstLine="1134"/>
        <w:jc w:val="both"/>
      </w:pPr>
      <w:r>
        <w:rPr>
          <w:b/>
        </w:rPr>
        <w:t xml:space="preserve">Ação Proteção Social Especial - Reinserção e Inclusão Social - </w:t>
      </w:r>
      <w:r>
        <w:t>Apoio técnico e financeiro aos municípios, entidades e organizações de assistência social na execução de ações de proteção social especial e serviços socioassistenciais, em regime aberto ou de acolhimento.</w:t>
      </w:r>
    </w:p>
    <w:p w:rsidR="003E6588" w:rsidRDefault="003E6588">
      <w:pPr>
        <w:ind w:firstLine="1134"/>
        <w:jc w:val="both"/>
      </w:pPr>
    </w:p>
    <w:p w:rsidR="003E6588" w:rsidRDefault="003E6588" w:rsidP="00D02591">
      <w:pPr>
        <w:ind w:firstLine="1134"/>
        <w:jc w:val="both"/>
      </w:pPr>
      <w:r>
        <w:lastRenderedPageBreak/>
        <w:t>Prefeituras</w:t>
      </w:r>
      <w:r w:rsidR="00076E8C">
        <w:tab/>
      </w:r>
      <w:r w:rsidR="00076E8C">
        <w:tab/>
      </w:r>
      <w:r w:rsidR="00076E8C">
        <w:tab/>
        <w:t>R$ 83.137.704,65</w:t>
      </w:r>
    </w:p>
    <w:p w:rsidR="003E6588" w:rsidRDefault="003E6588" w:rsidP="00D02591">
      <w:pPr>
        <w:ind w:firstLine="1134"/>
        <w:jc w:val="both"/>
      </w:pPr>
    </w:p>
    <w:p w:rsidR="003E6588" w:rsidRDefault="003E6588" w:rsidP="00D02591">
      <w:pPr>
        <w:ind w:firstLine="1134"/>
        <w:jc w:val="both"/>
      </w:pPr>
      <w:r>
        <w:t>Entidades</w:t>
      </w:r>
      <w:r w:rsidR="00076E8C">
        <w:tab/>
      </w:r>
      <w:r w:rsidR="00076E8C">
        <w:tab/>
      </w:r>
      <w:r w:rsidR="00076E8C">
        <w:tab/>
      </w:r>
      <w:r w:rsidR="00076E8C">
        <w:tab/>
        <w:t>R$ 13.588.599,32</w:t>
      </w:r>
    </w:p>
    <w:p w:rsidR="003E6588" w:rsidRDefault="003E6588" w:rsidP="00D02591">
      <w:pPr>
        <w:ind w:firstLine="1134"/>
        <w:jc w:val="both"/>
      </w:pPr>
    </w:p>
    <w:p w:rsidR="003E6588" w:rsidRDefault="003E6588" w:rsidP="00D02591">
      <w:pPr>
        <w:ind w:firstLine="1134"/>
        <w:jc w:val="both"/>
      </w:pPr>
      <w:r>
        <w:t>Valor Total</w:t>
      </w:r>
      <w:r w:rsidR="00076E8C">
        <w:tab/>
      </w:r>
      <w:r w:rsidR="00076E8C">
        <w:tab/>
      </w:r>
      <w:r w:rsidR="00076E8C">
        <w:tab/>
        <w:t>R$ 96.726.303,97</w:t>
      </w:r>
    </w:p>
    <w:p w:rsidR="003E6588" w:rsidRDefault="003E6588" w:rsidP="00D02591">
      <w:pPr>
        <w:ind w:firstLine="1134"/>
        <w:jc w:val="both"/>
      </w:pPr>
    </w:p>
    <w:p w:rsidR="003E6588" w:rsidRDefault="003E6588" w:rsidP="00D02591">
      <w:pPr>
        <w:ind w:firstLine="1134"/>
        <w:jc w:val="both"/>
      </w:pPr>
      <w:r>
        <w:t>Metas/Resultados Alc</w:t>
      </w:r>
      <w:r w:rsidR="00076E8C">
        <w:t>ançados - 645 municípios</w:t>
      </w:r>
    </w:p>
    <w:p w:rsidR="003E6588" w:rsidRDefault="003E6588" w:rsidP="00D02591">
      <w:pPr>
        <w:ind w:firstLine="1134"/>
        <w:jc w:val="both"/>
      </w:pPr>
    </w:p>
    <w:p w:rsidR="003E6588" w:rsidRDefault="00076E8C" w:rsidP="00D02591">
      <w:pPr>
        <w:ind w:firstLine="1134"/>
        <w:jc w:val="both"/>
      </w:pPr>
      <w:r>
        <w:t>Situação - ação continuada</w:t>
      </w:r>
    </w:p>
    <w:p w:rsidR="003E6588" w:rsidRDefault="003E6588" w:rsidP="00D02591">
      <w:pPr>
        <w:ind w:firstLine="1134"/>
        <w:jc w:val="both"/>
        <w:rPr>
          <w:b/>
        </w:rPr>
      </w:pPr>
    </w:p>
    <w:p w:rsidR="003E6588" w:rsidRDefault="003E6588">
      <w:pPr>
        <w:ind w:firstLine="1134"/>
        <w:jc w:val="both"/>
      </w:pPr>
      <w:r>
        <w:rPr>
          <w:b/>
        </w:rPr>
        <w:t xml:space="preserve">Atenção Especial à Família - </w:t>
      </w:r>
      <w:r>
        <w:t>Serviço regionalizado de apoio, orientação e acompanhamento a famílias</w:t>
      </w:r>
      <w:r w:rsidR="002E59FA">
        <w:t>,</w:t>
      </w:r>
      <w:r>
        <w:t xml:space="preserve"> com um ou mais de seus membros em situação de ameaça ou violação de direitos, com ações direcionadas à promoção de direitos, preservação e fortalecimento de vínculos familiares, comunitários e sociais e para o fortalecimento da função protetiva das famílias diante do conjunto de condições que as vulnerabilizam ou as submetam a situações de risco pessoal e social.</w:t>
      </w:r>
    </w:p>
    <w:p w:rsidR="003E6588" w:rsidRDefault="003E6588">
      <w:pPr>
        <w:ind w:firstLine="1134"/>
        <w:jc w:val="both"/>
      </w:pPr>
    </w:p>
    <w:p w:rsidR="003E6588" w:rsidRDefault="00076E8C" w:rsidP="00D02591">
      <w:pPr>
        <w:ind w:firstLine="1134"/>
        <w:jc w:val="both"/>
      </w:pPr>
      <w:r>
        <w:t>Valor Total - R$ 6.704.612,17</w:t>
      </w:r>
    </w:p>
    <w:p w:rsidR="003E6588" w:rsidRDefault="003E6588">
      <w:pPr>
        <w:ind w:firstLine="1134"/>
        <w:jc w:val="both"/>
      </w:pPr>
    </w:p>
    <w:p w:rsidR="003E6588" w:rsidRDefault="003E6588">
      <w:pPr>
        <w:ind w:firstLine="1134"/>
        <w:jc w:val="both"/>
      </w:pPr>
      <w:r>
        <w:t>Metas/Resultados Alca</w:t>
      </w:r>
      <w:r w:rsidR="00076E8C">
        <w:t>nçados - Manutenção de 67 CREAS</w:t>
      </w:r>
    </w:p>
    <w:p w:rsidR="00D02591" w:rsidRDefault="00D02591">
      <w:pPr>
        <w:ind w:firstLine="1134"/>
        <w:jc w:val="both"/>
      </w:pPr>
    </w:p>
    <w:p w:rsidR="003E6588" w:rsidRDefault="003E6588">
      <w:pPr>
        <w:ind w:firstLine="1134"/>
        <w:jc w:val="both"/>
      </w:pPr>
      <w:r>
        <w:t>Situação - ação continuada</w:t>
      </w:r>
    </w:p>
    <w:p w:rsidR="00D02591" w:rsidRDefault="00D02591">
      <w:pPr>
        <w:ind w:firstLine="1134"/>
        <w:jc w:val="both"/>
      </w:pPr>
    </w:p>
    <w:p w:rsidR="003E6588" w:rsidRDefault="003E6588">
      <w:pPr>
        <w:ind w:firstLine="1134"/>
        <w:jc w:val="both"/>
        <w:rPr>
          <w:b/>
        </w:rPr>
      </w:pPr>
      <w:r>
        <w:rPr>
          <w:b/>
        </w:rPr>
        <w:t xml:space="preserve">Liberdade Assistida - </w:t>
      </w:r>
      <w:r>
        <w:t>Serviço de atendimento a adolescentes em conflito com a lei, com medida socioeducativa de meio aberto</w:t>
      </w:r>
      <w:r w:rsidR="002E59FA">
        <w:t>,</w:t>
      </w:r>
      <w:r>
        <w:t xml:space="preserve"> executada pelas prefeituras municipais por meio do próprio órgão gestor CREAS ou entidades sociais.</w:t>
      </w:r>
    </w:p>
    <w:p w:rsidR="003E6588" w:rsidRDefault="003E6588">
      <w:pPr>
        <w:ind w:firstLine="1134"/>
        <w:jc w:val="both"/>
      </w:pPr>
    </w:p>
    <w:p w:rsidR="003E6588" w:rsidRDefault="00076E8C">
      <w:pPr>
        <w:ind w:firstLine="1134"/>
        <w:jc w:val="both"/>
      </w:pPr>
      <w:r>
        <w:t>Valor Total - R$ 21.729.158,20</w:t>
      </w:r>
    </w:p>
    <w:p w:rsidR="00076E8C" w:rsidRDefault="00076E8C">
      <w:pPr>
        <w:ind w:firstLine="1134"/>
        <w:jc w:val="both"/>
      </w:pPr>
    </w:p>
    <w:p w:rsidR="003E6588" w:rsidRDefault="003E6588">
      <w:pPr>
        <w:ind w:firstLine="1134"/>
        <w:jc w:val="both"/>
      </w:pPr>
      <w:r>
        <w:t>Metas/Resultados Alcançados</w:t>
      </w:r>
      <w:r w:rsidR="00076E8C">
        <w:t xml:space="preserve"> - atendimento a 247 municípios</w:t>
      </w:r>
    </w:p>
    <w:p w:rsidR="003E6588" w:rsidRDefault="003E6588">
      <w:pPr>
        <w:ind w:firstLine="1134"/>
        <w:jc w:val="both"/>
      </w:pPr>
    </w:p>
    <w:p w:rsidR="003E6588" w:rsidRDefault="003E6588">
      <w:pPr>
        <w:ind w:firstLine="1134"/>
        <w:jc w:val="both"/>
      </w:pPr>
      <w:r>
        <w:t>Situação - ação continuada</w:t>
      </w:r>
    </w:p>
    <w:p w:rsidR="003E6588" w:rsidRPr="00C62BC7" w:rsidRDefault="003E6588">
      <w:pPr>
        <w:ind w:firstLine="1134"/>
        <w:jc w:val="both"/>
      </w:pPr>
    </w:p>
    <w:p w:rsidR="003E6588" w:rsidRDefault="003E6588">
      <w:pPr>
        <w:ind w:firstLine="1134"/>
        <w:jc w:val="both"/>
        <w:rPr>
          <w:strike/>
        </w:rPr>
      </w:pPr>
      <w:r>
        <w:rPr>
          <w:b/>
        </w:rPr>
        <w:t xml:space="preserve">Aluguel Social - </w:t>
      </w:r>
      <w:r>
        <w:t xml:space="preserve">Repasse de recursos financeiros aos municípios, destinados ao co-financiamento dos subsídios financeiros a serem repassados às famílias em situação de vulnerabilidade social e de risco iminente, mediante concessão de auxílio moradia, possibilitando suas remoções da área de risco. </w:t>
      </w:r>
      <w:r w:rsidRPr="002E59FA">
        <w:t>Municípios envolvidos: Santo André, São Bernardo, Diadema, Mauá, Ribeirão Pires e Rio Grande da Serra.</w:t>
      </w:r>
    </w:p>
    <w:p w:rsidR="003E6588" w:rsidRPr="00C62BC7" w:rsidRDefault="003E6588">
      <w:pPr>
        <w:ind w:firstLine="1134"/>
        <w:jc w:val="both"/>
        <w:rPr>
          <w:strike/>
        </w:rPr>
      </w:pPr>
    </w:p>
    <w:p w:rsidR="003E6588" w:rsidRDefault="00076E8C">
      <w:pPr>
        <w:ind w:firstLine="1134"/>
        <w:jc w:val="both"/>
      </w:pPr>
      <w:r>
        <w:t>Valor Total - R$ 846.982,50</w:t>
      </w:r>
    </w:p>
    <w:p w:rsidR="003E6588" w:rsidRDefault="003E6588">
      <w:pPr>
        <w:ind w:firstLine="1134"/>
        <w:jc w:val="both"/>
      </w:pPr>
    </w:p>
    <w:p w:rsidR="003E6588" w:rsidRDefault="003E6588">
      <w:pPr>
        <w:ind w:firstLine="1134"/>
        <w:jc w:val="both"/>
      </w:pPr>
      <w:r>
        <w:t>Metas/Resul</w:t>
      </w:r>
      <w:r w:rsidR="00076E8C">
        <w:t>tados Alcançados - 630 famílias</w:t>
      </w:r>
    </w:p>
    <w:p w:rsidR="003E6588" w:rsidRDefault="003E6588">
      <w:pPr>
        <w:ind w:firstLine="1134"/>
        <w:jc w:val="both"/>
      </w:pPr>
    </w:p>
    <w:p w:rsidR="003E6588" w:rsidRDefault="00076E8C">
      <w:pPr>
        <w:ind w:firstLine="1134"/>
        <w:jc w:val="both"/>
      </w:pPr>
      <w:r>
        <w:t>Situação - em execução</w:t>
      </w:r>
    </w:p>
    <w:p w:rsidR="003E6588" w:rsidRDefault="003E6588">
      <w:pPr>
        <w:ind w:firstLine="1134"/>
        <w:jc w:val="both"/>
      </w:pPr>
      <w:r>
        <w:rPr>
          <w:b/>
        </w:rPr>
        <w:lastRenderedPageBreak/>
        <w:t xml:space="preserve">Renda Cidadã - Erradicação da Miséria Extrema - </w:t>
      </w:r>
      <w:r>
        <w:t xml:space="preserve">Transferência direta de renda às Famílias com renda </w:t>
      </w:r>
      <w:r>
        <w:rPr>
          <w:i/>
        </w:rPr>
        <w:t>per capita</w:t>
      </w:r>
      <w:r>
        <w:t xml:space="preserve"> até 1/2 salário mínimo, mediante pagamento de subsídio financeiro R$ 80,00/mês, beneficiando 186.000 famílias atualmente.</w:t>
      </w:r>
    </w:p>
    <w:p w:rsidR="003E6588" w:rsidRPr="00076E8C" w:rsidRDefault="003E6588">
      <w:pPr>
        <w:ind w:firstLine="1134"/>
        <w:jc w:val="both"/>
      </w:pPr>
    </w:p>
    <w:p w:rsidR="003E6588" w:rsidRDefault="00076E8C">
      <w:pPr>
        <w:ind w:firstLine="1134"/>
        <w:jc w:val="both"/>
      </w:pPr>
      <w:r>
        <w:t>Valor total - R$ 172.870.178,60</w:t>
      </w:r>
    </w:p>
    <w:p w:rsidR="003E6588" w:rsidRDefault="003E6588">
      <w:pPr>
        <w:ind w:firstLine="1134"/>
        <w:jc w:val="both"/>
      </w:pPr>
    </w:p>
    <w:p w:rsidR="003E6588" w:rsidRDefault="003E6588">
      <w:pPr>
        <w:ind w:firstLine="1134"/>
        <w:jc w:val="both"/>
      </w:pPr>
      <w:r>
        <w:t>Metas/Resultados Alcançados - 186 mi</w:t>
      </w:r>
      <w:r w:rsidR="00076E8C">
        <w:t>l famílias</w:t>
      </w:r>
    </w:p>
    <w:p w:rsidR="003E6588" w:rsidRPr="002E59FA" w:rsidRDefault="003E6588">
      <w:pPr>
        <w:ind w:firstLine="1134"/>
        <w:jc w:val="both"/>
      </w:pPr>
    </w:p>
    <w:p w:rsidR="003E6588" w:rsidRDefault="00076E8C">
      <w:pPr>
        <w:ind w:firstLine="1134"/>
        <w:jc w:val="both"/>
      </w:pPr>
      <w:r>
        <w:t>Situação - em execução</w:t>
      </w:r>
    </w:p>
    <w:p w:rsidR="003E6588" w:rsidRPr="00D02591" w:rsidRDefault="003E6588">
      <w:pPr>
        <w:ind w:firstLine="1134"/>
        <w:jc w:val="both"/>
        <w:rPr>
          <w:b/>
          <w:sz w:val="16"/>
          <w:szCs w:val="16"/>
        </w:rPr>
      </w:pPr>
    </w:p>
    <w:p w:rsidR="003E6588" w:rsidRDefault="003E6588">
      <w:pPr>
        <w:ind w:firstLine="1134"/>
        <w:jc w:val="both"/>
      </w:pPr>
      <w:r>
        <w:rPr>
          <w:b/>
        </w:rPr>
        <w:t xml:space="preserve">Renda Cidadã - Benefício ao idoso - </w:t>
      </w:r>
      <w:r>
        <w:t>Atendimento ao idoso com oitenta anos ou mais</w:t>
      </w:r>
      <w:r w:rsidR="002E59FA">
        <w:t>,</w:t>
      </w:r>
      <w:r>
        <w:t xml:space="preserve"> que integra família com renda familiar mensal </w:t>
      </w:r>
      <w:r>
        <w:rPr>
          <w:i/>
        </w:rPr>
        <w:t>per capita</w:t>
      </w:r>
      <w:r>
        <w:t xml:space="preserve"> de até meio salário mínimo nacional, mediante transferência direta de renda, com apoio financeiro do Estado.</w:t>
      </w:r>
    </w:p>
    <w:p w:rsidR="003E6588" w:rsidRPr="00076E8C" w:rsidRDefault="003E6588">
      <w:pPr>
        <w:ind w:firstLine="1134"/>
        <w:jc w:val="both"/>
      </w:pPr>
    </w:p>
    <w:p w:rsidR="003E6588" w:rsidRDefault="003E6588">
      <w:pPr>
        <w:ind w:firstLine="1134"/>
        <w:jc w:val="both"/>
      </w:pPr>
      <w:r>
        <w:t>Valor total - R$ 7.482.487,63.</w:t>
      </w:r>
    </w:p>
    <w:p w:rsidR="003E6588" w:rsidRDefault="003E6588">
      <w:pPr>
        <w:ind w:firstLine="1134"/>
        <w:jc w:val="both"/>
      </w:pPr>
    </w:p>
    <w:p w:rsidR="003E6588" w:rsidRDefault="003E6588">
      <w:pPr>
        <w:ind w:firstLine="1134"/>
        <w:jc w:val="both"/>
      </w:pPr>
      <w:r>
        <w:t>Metas/Resultados Alcançados - 4.337 idosos atendidos por mês.</w:t>
      </w:r>
    </w:p>
    <w:p w:rsidR="003E6588" w:rsidRDefault="003E6588">
      <w:pPr>
        <w:ind w:firstLine="1134"/>
        <w:jc w:val="both"/>
      </w:pPr>
    </w:p>
    <w:p w:rsidR="003E6588" w:rsidRDefault="003E6588">
      <w:pPr>
        <w:ind w:firstLine="1134"/>
        <w:jc w:val="both"/>
      </w:pPr>
      <w:r>
        <w:t>Situação - em execução.</w:t>
      </w:r>
    </w:p>
    <w:p w:rsidR="00D02591" w:rsidRPr="00076E8C" w:rsidRDefault="00D02591">
      <w:pPr>
        <w:ind w:firstLine="1134"/>
        <w:jc w:val="both"/>
      </w:pPr>
    </w:p>
    <w:p w:rsidR="003E6588" w:rsidRDefault="003E6588">
      <w:pPr>
        <w:ind w:firstLine="1134"/>
        <w:jc w:val="both"/>
      </w:pPr>
      <w:r>
        <w:rPr>
          <w:b/>
        </w:rPr>
        <w:t xml:space="preserve">Ação Jovem - Meu Futuro - </w:t>
      </w:r>
      <w:r>
        <w:t>Transferência Direta de Renda aos jovens de 15 a 24 anos de idade, incentivando a conclusão da escolaridade básica e favorecendo o desenvolvimento pessoal para a iniciação no mercado de trabalho. Pagamento de bolsa de R$ 80,00/mês.</w:t>
      </w:r>
    </w:p>
    <w:p w:rsidR="003E6588" w:rsidRDefault="003E6588">
      <w:pPr>
        <w:ind w:firstLine="1134"/>
        <w:jc w:val="both"/>
      </w:pPr>
    </w:p>
    <w:p w:rsidR="003E6588" w:rsidRDefault="003E6588">
      <w:pPr>
        <w:ind w:firstLine="1134"/>
        <w:jc w:val="both"/>
      </w:pPr>
      <w:r>
        <w:t>Valor total - R$ 101.905.119,50.</w:t>
      </w:r>
    </w:p>
    <w:p w:rsidR="003E6588" w:rsidRDefault="003E6588">
      <w:pPr>
        <w:ind w:firstLine="1134"/>
        <w:jc w:val="both"/>
      </w:pPr>
    </w:p>
    <w:p w:rsidR="003E6588" w:rsidRDefault="003E6588">
      <w:pPr>
        <w:ind w:firstLine="1134"/>
        <w:jc w:val="both"/>
      </w:pPr>
      <w:r>
        <w:t>Metas/Resultados Alcançados - 110 mil jovens beneficiados.</w:t>
      </w:r>
    </w:p>
    <w:p w:rsidR="00D02591" w:rsidRDefault="00D02591">
      <w:pPr>
        <w:ind w:firstLine="1134"/>
        <w:jc w:val="both"/>
      </w:pPr>
    </w:p>
    <w:p w:rsidR="003E6588" w:rsidRDefault="003E6588">
      <w:pPr>
        <w:ind w:firstLine="1134"/>
        <w:jc w:val="both"/>
      </w:pPr>
      <w:r>
        <w:t>Situação - em execução.</w:t>
      </w:r>
    </w:p>
    <w:p w:rsidR="002E59FA" w:rsidRDefault="002E59FA">
      <w:pPr>
        <w:ind w:firstLine="1134"/>
        <w:jc w:val="both"/>
        <w:rPr>
          <w:b/>
        </w:rPr>
      </w:pPr>
    </w:p>
    <w:p w:rsidR="003E6588" w:rsidRDefault="003E6588">
      <w:pPr>
        <w:ind w:firstLine="1134"/>
        <w:jc w:val="both"/>
        <w:rPr>
          <w:b/>
        </w:rPr>
      </w:pPr>
      <w:r>
        <w:rPr>
          <w:b/>
        </w:rPr>
        <w:t>Coordenadoria de Segurança Alimentar e Nutricional</w:t>
      </w:r>
    </w:p>
    <w:p w:rsidR="003E6588" w:rsidRPr="00076E8C" w:rsidRDefault="003E6588">
      <w:pPr>
        <w:ind w:firstLine="1134"/>
        <w:jc w:val="both"/>
        <w:rPr>
          <w:b/>
        </w:rPr>
      </w:pPr>
    </w:p>
    <w:p w:rsidR="003E6588" w:rsidRDefault="003E6588">
      <w:pPr>
        <w:ind w:firstLine="1134"/>
        <w:jc w:val="both"/>
      </w:pPr>
      <w:r>
        <w:rPr>
          <w:b/>
        </w:rPr>
        <w:t xml:space="preserve">Viva Leite - </w:t>
      </w:r>
      <w:r>
        <w:t>Atendimento às famílias com distribuição de 9 milhões de litros de leite enriquecido com vitaminas A, D e Ferro/mês.</w:t>
      </w:r>
    </w:p>
    <w:p w:rsidR="003E6588" w:rsidRDefault="003E6588">
      <w:pPr>
        <w:ind w:firstLine="1134"/>
        <w:jc w:val="both"/>
      </w:pPr>
    </w:p>
    <w:p w:rsidR="003E6588" w:rsidRDefault="003E6588">
      <w:pPr>
        <w:ind w:firstLine="1134"/>
        <w:jc w:val="both"/>
      </w:pPr>
      <w:r>
        <w:t>Valor total - R$ 219.961.383,46.</w:t>
      </w:r>
    </w:p>
    <w:p w:rsidR="003E6588" w:rsidRDefault="003E6588">
      <w:pPr>
        <w:ind w:firstLine="1134"/>
        <w:jc w:val="both"/>
      </w:pPr>
    </w:p>
    <w:p w:rsidR="003E6588" w:rsidRDefault="003E6588" w:rsidP="00D02591">
      <w:pPr>
        <w:ind w:firstLine="1134"/>
        <w:jc w:val="both"/>
      </w:pPr>
      <w:r>
        <w:t>Metas/Resultados Alcançados - 629.988 pessoas atendidas - idosos e crianças por mês.</w:t>
      </w:r>
    </w:p>
    <w:p w:rsidR="003E6588" w:rsidRDefault="003E6588" w:rsidP="00076E8C">
      <w:pPr>
        <w:ind w:firstLine="1134"/>
        <w:jc w:val="both"/>
      </w:pPr>
    </w:p>
    <w:p w:rsidR="003E6588" w:rsidRDefault="003E6588">
      <w:pPr>
        <w:ind w:firstLine="1134"/>
        <w:jc w:val="both"/>
      </w:pPr>
      <w:r>
        <w:t>Situação - em execução.</w:t>
      </w:r>
    </w:p>
    <w:p w:rsidR="003E6588" w:rsidRPr="00D02591" w:rsidRDefault="003E6588">
      <w:pPr>
        <w:ind w:firstLine="1134"/>
        <w:jc w:val="both"/>
        <w:rPr>
          <w:b/>
          <w:sz w:val="16"/>
          <w:szCs w:val="16"/>
        </w:rPr>
      </w:pPr>
    </w:p>
    <w:p w:rsidR="003E6588" w:rsidRDefault="003E6588">
      <w:pPr>
        <w:ind w:firstLine="1134"/>
        <w:jc w:val="both"/>
      </w:pPr>
      <w:r>
        <w:rPr>
          <w:b/>
        </w:rPr>
        <w:t xml:space="preserve">Bom Prato - </w:t>
      </w:r>
      <w:r>
        <w:t>Fornece refeições em restaurantes populares ao preço de R$ 1,00 o almoço e R$ 0,50 o café da manhã, visando a segurança alimentar.</w:t>
      </w:r>
    </w:p>
    <w:p w:rsidR="003E6588" w:rsidRDefault="003E6588" w:rsidP="00D02591">
      <w:pPr>
        <w:ind w:firstLine="1134"/>
        <w:jc w:val="both"/>
      </w:pPr>
      <w:r>
        <w:lastRenderedPageBreak/>
        <w:t>Valor total - R$ 55.48</w:t>
      </w:r>
      <w:r w:rsidR="00076E8C">
        <w:t>9.676,20</w:t>
      </w:r>
    </w:p>
    <w:p w:rsidR="00076E8C" w:rsidRDefault="00076E8C" w:rsidP="00D02591">
      <w:pPr>
        <w:ind w:firstLine="1134"/>
        <w:jc w:val="both"/>
      </w:pPr>
    </w:p>
    <w:p w:rsidR="003E6588" w:rsidRDefault="003E6588" w:rsidP="00D02591">
      <w:pPr>
        <w:ind w:firstLine="1134"/>
        <w:jc w:val="both"/>
      </w:pPr>
      <w:r>
        <w:t>Metas/Resultados Al</w:t>
      </w:r>
      <w:r w:rsidR="00076E8C">
        <w:t>cançados - 17.710.773 refeições</w:t>
      </w:r>
    </w:p>
    <w:p w:rsidR="003E6588" w:rsidRDefault="003E6588" w:rsidP="00D02591">
      <w:pPr>
        <w:ind w:firstLine="1134"/>
        <w:jc w:val="both"/>
      </w:pPr>
    </w:p>
    <w:p w:rsidR="003E6588" w:rsidRDefault="00076E8C" w:rsidP="00D02591">
      <w:pPr>
        <w:ind w:firstLine="1134"/>
        <w:jc w:val="both"/>
      </w:pPr>
      <w:r>
        <w:t>Situação - em execução</w:t>
      </w:r>
    </w:p>
    <w:p w:rsidR="003E6588" w:rsidRDefault="003E6588" w:rsidP="00D02591">
      <w:pPr>
        <w:ind w:firstLine="1134"/>
        <w:jc w:val="both"/>
        <w:rPr>
          <w:b/>
        </w:rPr>
      </w:pPr>
    </w:p>
    <w:p w:rsidR="003E6588" w:rsidRDefault="003E6588" w:rsidP="00D02591">
      <w:pPr>
        <w:ind w:firstLine="1134"/>
        <w:jc w:val="both"/>
        <w:rPr>
          <w:b/>
        </w:rPr>
      </w:pPr>
      <w:r>
        <w:rPr>
          <w:b/>
        </w:rPr>
        <w:t>Administração Superior Secretaria e Sede</w:t>
      </w:r>
    </w:p>
    <w:p w:rsidR="003E6588" w:rsidRPr="00D02591" w:rsidRDefault="003E6588" w:rsidP="00D02591">
      <w:pPr>
        <w:ind w:firstLine="1134"/>
        <w:jc w:val="both"/>
        <w:rPr>
          <w:b/>
          <w:sz w:val="16"/>
          <w:szCs w:val="16"/>
        </w:rPr>
      </w:pPr>
    </w:p>
    <w:p w:rsidR="003E6588" w:rsidRDefault="003E6588">
      <w:pPr>
        <w:ind w:firstLine="1134"/>
        <w:jc w:val="both"/>
      </w:pPr>
      <w:r>
        <w:rPr>
          <w:b/>
        </w:rPr>
        <w:t xml:space="preserve">Equipamentos Sociais - Centros de Referência de Assistência Social - </w:t>
      </w:r>
      <w:r>
        <w:t>Celebração de convênios com municípios e entidades para construção, reforma e readequação de equipamentos sociais, revitalizando a rede executora das ações, visando melhoria do atendimento da população assistida.</w:t>
      </w:r>
    </w:p>
    <w:p w:rsidR="003E6588" w:rsidRDefault="003E6588">
      <w:pPr>
        <w:ind w:firstLine="1134"/>
        <w:jc w:val="both"/>
      </w:pPr>
    </w:p>
    <w:p w:rsidR="003E6588" w:rsidRDefault="00076E8C" w:rsidP="00D02591">
      <w:pPr>
        <w:ind w:firstLine="1134"/>
        <w:jc w:val="both"/>
      </w:pPr>
      <w:r>
        <w:t>Valor total - R$ 19.801.713,86</w:t>
      </w:r>
    </w:p>
    <w:p w:rsidR="003E6588" w:rsidRDefault="003E6588" w:rsidP="00D02591">
      <w:pPr>
        <w:ind w:firstLine="1134"/>
        <w:jc w:val="both"/>
      </w:pPr>
    </w:p>
    <w:p w:rsidR="003E6588" w:rsidRDefault="003E6588" w:rsidP="00D02591">
      <w:pPr>
        <w:ind w:firstLine="1134"/>
        <w:jc w:val="both"/>
      </w:pPr>
      <w:r>
        <w:t xml:space="preserve">Metas/Resultados Alcançados - 343 </w:t>
      </w:r>
      <w:r w:rsidR="00076E8C">
        <w:t>equipamentos sociais instalados</w:t>
      </w:r>
    </w:p>
    <w:p w:rsidR="003E6588" w:rsidRDefault="003E6588" w:rsidP="00D02591">
      <w:pPr>
        <w:ind w:firstLine="1134"/>
        <w:jc w:val="both"/>
      </w:pPr>
    </w:p>
    <w:p w:rsidR="003E6588" w:rsidRDefault="00076E8C" w:rsidP="00D02591">
      <w:pPr>
        <w:ind w:firstLine="1134"/>
        <w:jc w:val="both"/>
      </w:pPr>
      <w:r>
        <w:t>Situação - em execução</w:t>
      </w:r>
    </w:p>
    <w:p w:rsidR="003E6588" w:rsidRPr="00D02591" w:rsidRDefault="003E6588" w:rsidP="00D02591">
      <w:pPr>
        <w:ind w:firstLine="1134"/>
        <w:jc w:val="both"/>
        <w:rPr>
          <w:b/>
          <w:sz w:val="16"/>
          <w:szCs w:val="16"/>
        </w:rPr>
      </w:pPr>
    </w:p>
    <w:p w:rsidR="003E6588" w:rsidRDefault="003E6588">
      <w:pPr>
        <w:ind w:firstLine="1134"/>
        <w:jc w:val="both"/>
      </w:pPr>
      <w:r>
        <w:rPr>
          <w:b/>
        </w:rPr>
        <w:t xml:space="preserve">Equipamentos Sociais - Centro Dia do Idoso e Centro de Convivência do Idoso - </w:t>
      </w:r>
      <w:r>
        <w:t>Celebração de convênios com municípios para proporcionar espaço de acolhimento, proteção e convivência adequado às necessidades de pessoas idosas em Centros Dia do Idoso e Centros de Convivência do Idoso.</w:t>
      </w:r>
    </w:p>
    <w:p w:rsidR="003E6588" w:rsidRDefault="003E6588">
      <w:pPr>
        <w:ind w:firstLine="1134"/>
        <w:jc w:val="both"/>
      </w:pPr>
    </w:p>
    <w:p w:rsidR="003E6588" w:rsidRDefault="00076E8C" w:rsidP="00D02591">
      <w:pPr>
        <w:ind w:firstLine="1134"/>
        <w:jc w:val="both"/>
      </w:pPr>
      <w:r>
        <w:t>Valor total - R$ 2.560.000,00</w:t>
      </w:r>
    </w:p>
    <w:p w:rsidR="003E6588" w:rsidRDefault="003E6588" w:rsidP="00D02591">
      <w:pPr>
        <w:ind w:firstLine="1134"/>
        <w:jc w:val="both"/>
      </w:pPr>
    </w:p>
    <w:p w:rsidR="003E6588" w:rsidRDefault="003E6588" w:rsidP="00D02591">
      <w:pPr>
        <w:ind w:firstLine="1134"/>
        <w:jc w:val="both"/>
      </w:pPr>
      <w:r>
        <w:t>Metas/Resultados Alc</w:t>
      </w:r>
      <w:r w:rsidR="00076E8C">
        <w:t>ançados - 31 centros instalados</w:t>
      </w:r>
    </w:p>
    <w:p w:rsidR="003E6588" w:rsidRDefault="003E6588" w:rsidP="00076E8C">
      <w:pPr>
        <w:ind w:firstLine="1134"/>
        <w:jc w:val="both"/>
      </w:pPr>
    </w:p>
    <w:p w:rsidR="003E6588" w:rsidRDefault="00076E8C" w:rsidP="00D02591">
      <w:pPr>
        <w:ind w:firstLine="1134"/>
        <w:jc w:val="both"/>
      </w:pPr>
      <w:r>
        <w:t>Situação - em execução</w:t>
      </w:r>
    </w:p>
    <w:p w:rsidR="002E59FA" w:rsidRDefault="002E59FA" w:rsidP="00D02591">
      <w:pPr>
        <w:ind w:firstLine="1134"/>
        <w:jc w:val="both"/>
      </w:pPr>
    </w:p>
    <w:p w:rsidR="003E6588" w:rsidRDefault="003E6588">
      <w:pPr>
        <w:rPr>
          <w:b/>
          <w:bCs/>
        </w:rPr>
      </w:pPr>
      <w:r>
        <w:br w:type="page"/>
      </w:r>
      <w:r>
        <w:rPr>
          <w:b/>
          <w:bCs/>
        </w:rPr>
        <w:lastRenderedPageBreak/>
        <w:t>SECRETARIA DOS DIREITOS DA PESSOA COM DEFICIÊNCIA</w:t>
      </w:r>
    </w:p>
    <w:p w:rsidR="003E6588" w:rsidRDefault="003E6588"/>
    <w:p w:rsidR="003E6588" w:rsidRDefault="003E6588"/>
    <w:p w:rsidR="001B3165" w:rsidRPr="001B3165" w:rsidRDefault="001B3165" w:rsidP="001B3165">
      <w:pPr>
        <w:tabs>
          <w:tab w:val="left" w:pos="0"/>
        </w:tabs>
        <w:ind w:firstLine="1134"/>
        <w:jc w:val="both"/>
        <w:rPr>
          <w:strike/>
        </w:rPr>
      </w:pPr>
      <w:r>
        <w:t xml:space="preserve">À </w:t>
      </w:r>
      <w:r w:rsidRPr="001B3165">
        <w:t>Secretaria dos Direitos da Pessoa com Deficiência cabe exercer funções que contribuam para a adequada condução das políticas públicas que visem à melhoria da qualidade de vida das pessoas com deficiência e de suas famílias, tendo como missão garantir o acesso das pessoas com deficiência a todos os bens, produtos e serviços existentes na sociedade. Esta garantia deve atingir os 41.262.199 paulistas, que, segundo o censo do IBGE 2010, apresentam pelo menos uma deficiência.</w:t>
      </w:r>
    </w:p>
    <w:p w:rsidR="001B3165" w:rsidRDefault="001B3165" w:rsidP="001B3165">
      <w:pPr>
        <w:tabs>
          <w:tab w:val="left" w:pos="0"/>
        </w:tabs>
        <w:spacing w:line="480" w:lineRule="auto"/>
        <w:jc w:val="both"/>
        <w:rPr>
          <w:b/>
        </w:rPr>
      </w:pPr>
    </w:p>
    <w:p w:rsidR="001B3165" w:rsidRPr="001B3165" w:rsidRDefault="001B3165" w:rsidP="001B3165">
      <w:pPr>
        <w:tabs>
          <w:tab w:val="left" w:pos="0"/>
        </w:tabs>
        <w:ind w:firstLine="1134"/>
        <w:jc w:val="both"/>
        <w:rPr>
          <w:lang w:val="pt-PT"/>
        </w:rPr>
      </w:pPr>
      <w:r w:rsidRPr="001B3165">
        <w:rPr>
          <w:b/>
        </w:rPr>
        <w:t xml:space="preserve">Atividades - </w:t>
      </w:r>
      <w:r w:rsidRPr="001B3165">
        <w:t>D</w:t>
      </w:r>
      <w:r w:rsidRPr="001B3165">
        <w:rPr>
          <w:lang w:val="pt-PT"/>
        </w:rPr>
        <w:t>estacam-se os Programas e Projetos desenvolvidos dentro do seu campo funcional. Objetiva trazer para o centro das políticas públicas as pessoas com deficiência e seus familiares por meio da sistematização de conjunto de medidas, que proporcione autonomia, igualdade de oportunidades e participação social a que têm direito como cidadãos. As questões da sustentabilidade da diversidade e da inclusão são decisivas para o futuro. Continuidade do trabalho em parceria, com clara definição em todas as fases do processo: conceituação, planejamento, execução, monitoração e avaliação dos resultados, possibilitando a esse segmento populacional utilização plena de todos os espaços públicos e edificados, bem como dos transportes e das tecnologias de informação, proporcionando aumento da qualidade de vida e prevenção e eliminação de diversas formas de discriminação.</w:t>
      </w:r>
    </w:p>
    <w:p w:rsidR="001B3165" w:rsidRDefault="001B3165" w:rsidP="001B3165">
      <w:pPr>
        <w:ind w:firstLine="1134"/>
        <w:jc w:val="both"/>
        <w:rPr>
          <w:lang w:val="pt-PT"/>
        </w:rPr>
      </w:pPr>
    </w:p>
    <w:p w:rsidR="001B3165" w:rsidRPr="001B3165" w:rsidRDefault="001B3165" w:rsidP="001B3165">
      <w:pPr>
        <w:ind w:firstLine="1134"/>
        <w:jc w:val="both"/>
        <w:rPr>
          <w:lang w:val="pt-PT"/>
        </w:rPr>
      </w:pPr>
      <w:r w:rsidRPr="001B3165">
        <w:rPr>
          <w:lang w:val="pt-PT"/>
        </w:rPr>
        <w:t>A geração e execução de programas e projetos desenvolvidos pela SDPD objetivaram analisar e reforçar as políticas e estratégias para estimular o processo de eliminação de barreiras, fornecendo informações sobre os obstáculos que persistem e impedem o exercício e gozo, por parte das pessoas com deficiência, de seus direitos humanos e liberdades fundamentais, nas esferas civil, política e econômica.</w:t>
      </w:r>
    </w:p>
    <w:p w:rsidR="001B3165" w:rsidRPr="001B3165" w:rsidRDefault="001B3165" w:rsidP="001B3165">
      <w:pPr>
        <w:ind w:firstLine="1134"/>
        <w:jc w:val="both"/>
        <w:rPr>
          <w:lang w:val="pt-PT"/>
        </w:rPr>
      </w:pPr>
    </w:p>
    <w:p w:rsidR="001B3165" w:rsidRDefault="001B3165" w:rsidP="001B3165">
      <w:pPr>
        <w:tabs>
          <w:tab w:val="left" w:pos="0"/>
        </w:tabs>
        <w:ind w:firstLine="1134"/>
        <w:jc w:val="both"/>
        <w:rPr>
          <w:b/>
        </w:rPr>
      </w:pPr>
      <w:r>
        <w:rPr>
          <w:b/>
        </w:rPr>
        <w:t>Programas e Projetos</w:t>
      </w:r>
    </w:p>
    <w:p w:rsidR="001B3165" w:rsidRDefault="001B3165" w:rsidP="001B3165">
      <w:pPr>
        <w:tabs>
          <w:tab w:val="left" w:pos="0"/>
        </w:tabs>
        <w:ind w:firstLine="1134"/>
        <w:jc w:val="both"/>
        <w:rPr>
          <w:b/>
        </w:rPr>
      </w:pPr>
    </w:p>
    <w:tbl>
      <w:tblPr>
        <w:tblW w:w="0" w:type="auto"/>
        <w:jc w:val="center"/>
        <w:tblInd w:w="2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9792"/>
      </w:tblGrid>
      <w:tr w:rsidR="00FD5D16" w:rsidRPr="006B6298" w:rsidTr="00FD5D16">
        <w:trPr>
          <w:trHeight w:val="263"/>
          <w:jc w:val="center"/>
        </w:trPr>
        <w:tc>
          <w:tcPr>
            <w:tcW w:w="9792" w:type="dxa"/>
            <w:shd w:val="clear" w:color="auto" w:fill="auto"/>
            <w:vAlign w:val="center"/>
          </w:tcPr>
          <w:p w:rsidR="001B3165" w:rsidRPr="006B6298" w:rsidRDefault="001B3165" w:rsidP="001B3165">
            <w:pPr>
              <w:rPr>
                <w:sz w:val="20"/>
                <w:szCs w:val="20"/>
              </w:rPr>
            </w:pPr>
            <w:r w:rsidRPr="006B6298">
              <w:rPr>
                <w:b/>
                <w:sz w:val="20"/>
                <w:szCs w:val="20"/>
              </w:rPr>
              <w:t>ESPORTE</w:t>
            </w:r>
          </w:p>
        </w:tc>
      </w:tr>
      <w:tr w:rsidR="006B6298" w:rsidRPr="006B6298" w:rsidTr="00FD5D16">
        <w:trPr>
          <w:jc w:val="center"/>
        </w:trPr>
        <w:tc>
          <w:tcPr>
            <w:tcW w:w="9792" w:type="dxa"/>
            <w:shd w:val="clear" w:color="auto" w:fill="auto"/>
          </w:tcPr>
          <w:p w:rsidR="001B3165" w:rsidRPr="006B6298" w:rsidRDefault="009E1003" w:rsidP="00D53E66">
            <w:pPr>
              <w:jc w:val="left"/>
              <w:rPr>
                <w:b/>
                <w:sz w:val="20"/>
                <w:szCs w:val="20"/>
              </w:rPr>
            </w:pPr>
            <w:r w:rsidRPr="006B6298">
              <w:rPr>
                <w:b/>
                <w:sz w:val="20"/>
                <w:szCs w:val="20"/>
              </w:rPr>
              <w:t xml:space="preserve">PROJETO - TIME SÃO PAULO PARAOLÍMPICO </w:t>
            </w:r>
            <w:r w:rsidR="001B3165" w:rsidRPr="006B6298">
              <w:rPr>
                <w:b/>
                <w:sz w:val="20"/>
                <w:szCs w:val="20"/>
              </w:rPr>
              <w:t>- CPB (Comitê Paraolimpíco Brasileiro)</w:t>
            </w:r>
          </w:p>
        </w:tc>
      </w:tr>
      <w:tr w:rsidR="006B6298" w:rsidRPr="006B6298" w:rsidTr="00FD5D16">
        <w:trPr>
          <w:jc w:val="center"/>
        </w:trPr>
        <w:tc>
          <w:tcPr>
            <w:tcW w:w="9792" w:type="dxa"/>
            <w:shd w:val="clear" w:color="auto" w:fill="auto"/>
          </w:tcPr>
          <w:p w:rsidR="001B3165" w:rsidRPr="006B6298" w:rsidRDefault="001B3165" w:rsidP="001B3165">
            <w:pPr>
              <w:pStyle w:val="PargrafodaLista"/>
              <w:ind w:left="0"/>
              <w:rPr>
                <w:rFonts w:ascii="Times New Roman" w:hAnsi="Times New Roman"/>
                <w:sz w:val="20"/>
                <w:szCs w:val="20"/>
              </w:rPr>
            </w:pPr>
            <w:r w:rsidRPr="006B6298">
              <w:rPr>
                <w:rFonts w:ascii="Times New Roman" w:hAnsi="Times New Roman"/>
                <w:b/>
                <w:sz w:val="20"/>
                <w:szCs w:val="20"/>
              </w:rPr>
              <w:t xml:space="preserve">Objetivo - </w:t>
            </w:r>
            <w:r w:rsidRPr="006B6298">
              <w:rPr>
                <w:rFonts w:ascii="Times New Roman" w:hAnsi="Times New Roman"/>
                <w:sz w:val="20"/>
                <w:szCs w:val="20"/>
              </w:rPr>
              <w:t>Planejamento, organização, execução e controle de ações de suporte ao desenvolvimento esportivo de atletas paraolímpicos de alto n</w:t>
            </w:r>
            <w:r w:rsidR="009E1003" w:rsidRPr="006B6298">
              <w:rPr>
                <w:rFonts w:ascii="Times New Roman" w:hAnsi="Times New Roman"/>
                <w:sz w:val="20"/>
                <w:szCs w:val="20"/>
              </w:rPr>
              <w:t>ível, vinculados ao Estado</w:t>
            </w:r>
            <w:r w:rsidRPr="006B6298">
              <w:rPr>
                <w:rFonts w:ascii="Times New Roman" w:hAnsi="Times New Roman"/>
                <w:sz w:val="20"/>
                <w:szCs w:val="20"/>
              </w:rPr>
              <w:t>, que apresentem potencial de bom desempenho nos Campeonatos Mundiais específicos em suas respectivas modalidades Jogos Parapan Americanos Toronto 2015 e Jogos Paralímpicos Rio 2016.</w:t>
            </w:r>
          </w:p>
          <w:p w:rsidR="006B6298" w:rsidRPr="006B6298" w:rsidRDefault="006B6298" w:rsidP="001B3165">
            <w:pPr>
              <w:jc w:val="both"/>
              <w:rPr>
                <w:b/>
                <w:sz w:val="20"/>
                <w:szCs w:val="20"/>
              </w:rPr>
            </w:pPr>
          </w:p>
          <w:p w:rsidR="001B3165" w:rsidRPr="006B6298" w:rsidRDefault="009E1003" w:rsidP="001B3165">
            <w:pPr>
              <w:jc w:val="both"/>
              <w:rPr>
                <w:b/>
                <w:sz w:val="20"/>
                <w:szCs w:val="20"/>
              </w:rPr>
            </w:pPr>
            <w:r w:rsidRPr="006B6298">
              <w:rPr>
                <w:b/>
                <w:sz w:val="20"/>
                <w:szCs w:val="20"/>
              </w:rPr>
              <w:t>Resultados Esperados/Alcançados</w:t>
            </w:r>
          </w:p>
          <w:p w:rsidR="001B3165" w:rsidRPr="006B6298" w:rsidRDefault="009E1003" w:rsidP="009E1003">
            <w:pPr>
              <w:pStyle w:val="PargrafodaLista"/>
              <w:ind w:left="0"/>
              <w:rPr>
                <w:rFonts w:ascii="Times New Roman" w:hAnsi="Times New Roman"/>
                <w:sz w:val="20"/>
                <w:szCs w:val="20"/>
              </w:rPr>
            </w:pPr>
            <w:r w:rsidRPr="006B6298">
              <w:rPr>
                <w:rFonts w:ascii="Times New Roman" w:hAnsi="Times New Roman"/>
                <w:sz w:val="20"/>
                <w:szCs w:val="20"/>
              </w:rPr>
              <w:t xml:space="preserve">- </w:t>
            </w:r>
            <w:r w:rsidR="001B3165" w:rsidRPr="006B6298">
              <w:rPr>
                <w:rFonts w:ascii="Times New Roman" w:hAnsi="Times New Roman"/>
                <w:sz w:val="20"/>
                <w:szCs w:val="20"/>
              </w:rPr>
              <w:t xml:space="preserve">Posicionar 12 atletas entre a 1ª e a 5ª posição no </w:t>
            </w:r>
            <w:r w:rsidR="001B3165" w:rsidRPr="006B6298">
              <w:rPr>
                <w:rFonts w:ascii="Times New Roman" w:hAnsi="Times New Roman"/>
                <w:i/>
                <w:sz w:val="20"/>
                <w:szCs w:val="20"/>
              </w:rPr>
              <w:t xml:space="preserve">ranking </w:t>
            </w:r>
            <w:r w:rsidR="001B3165" w:rsidRPr="006B6298">
              <w:rPr>
                <w:rFonts w:ascii="Times New Roman" w:hAnsi="Times New Roman"/>
                <w:sz w:val="20"/>
                <w:szCs w:val="20"/>
              </w:rPr>
              <w:t>mundial de suas modalidades - Atualmente são 18 atletas</w:t>
            </w:r>
            <w:r w:rsidRPr="006B6298">
              <w:rPr>
                <w:rFonts w:ascii="Times New Roman" w:hAnsi="Times New Roman"/>
                <w:sz w:val="20"/>
                <w:szCs w:val="20"/>
              </w:rPr>
              <w:t>,</w:t>
            </w:r>
            <w:r w:rsidR="001B3165" w:rsidRPr="006B6298">
              <w:rPr>
                <w:rFonts w:ascii="Times New Roman" w:hAnsi="Times New Roman"/>
                <w:sz w:val="20"/>
                <w:szCs w:val="20"/>
              </w:rPr>
              <w:t xml:space="preserve"> totalizando 47 marcas nessas posições;</w:t>
            </w:r>
          </w:p>
          <w:p w:rsidR="001B3165" w:rsidRPr="006B6298" w:rsidRDefault="009E1003" w:rsidP="009E1003">
            <w:pPr>
              <w:pStyle w:val="PargrafodaLista"/>
              <w:ind w:left="0"/>
              <w:rPr>
                <w:rFonts w:ascii="Times New Roman" w:hAnsi="Times New Roman"/>
                <w:sz w:val="20"/>
                <w:szCs w:val="20"/>
              </w:rPr>
            </w:pPr>
            <w:r w:rsidRPr="006B6298">
              <w:rPr>
                <w:rFonts w:ascii="Times New Roman" w:hAnsi="Times New Roman"/>
                <w:sz w:val="20"/>
                <w:szCs w:val="20"/>
              </w:rPr>
              <w:t xml:space="preserve">- </w:t>
            </w:r>
            <w:r w:rsidR="001B3165" w:rsidRPr="006B6298">
              <w:rPr>
                <w:rFonts w:ascii="Times New Roman" w:hAnsi="Times New Roman"/>
                <w:sz w:val="20"/>
                <w:szCs w:val="20"/>
              </w:rPr>
              <w:t xml:space="preserve">Posicionar 10 atletas entre a 6ª e a 10ª colocação no </w:t>
            </w:r>
            <w:r w:rsidR="001B3165" w:rsidRPr="006B6298">
              <w:rPr>
                <w:rFonts w:ascii="Times New Roman" w:hAnsi="Times New Roman"/>
                <w:i/>
                <w:sz w:val="20"/>
                <w:szCs w:val="20"/>
              </w:rPr>
              <w:t xml:space="preserve">ranking </w:t>
            </w:r>
            <w:r w:rsidR="001B3165" w:rsidRPr="006B6298">
              <w:rPr>
                <w:rFonts w:ascii="Times New Roman" w:hAnsi="Times New Roman"/>
                <w:sz w:val="20"/>
                <w:szCs w:val="20"/>
              </w:rPr>
              <w:t>mundial de suas modalidades Atualmente são 9 atletas totalizando</w:t>
            </w:r>
            <w:r w:rsidRPr="006B6298">
              <w:rPr>
                <w:rFonts w:ascii="Times New Roman" w:hAnsi="Times New Roman"/>
                <w:sz w:val="20"/>
                <w:szCs w:val="20"/>
              </w:rPr>
              <w:t>,</w:t>
            </w:r>
            <w:r w:rsidR="001B3165" w:rsidRPr="006B6298">
              <w:rPr>
                <w:rFonts w:ascii="Times New Roman" w:hAnsi="Times New Roman"/>
                <w:sz w:val="20"/>
                <w:szCs w:val="20"/>
              </w:rPr>
              <w:t xml:space="preserve"> 14 marcas nessas posições;</w:t>
            </w:r>
          </w:p>
          <w:p w:rsidR="001B3165" w:rsidRPr="006B6298" w:rsidRDefault="009E1003" w:rsidP="009E1003">
            <w:pPr>
              <w:pStyle w:val="PargrafodaLista"/>
              <w:ind w:left="0"/>
              <w:rPr>
                <w:rFonts w:ascii="Times New Roman" w:hAnsi="Times New Roman"/>
                <w:sz w:val="20"/>
                <w:szCs w:val="20"/>
              </w:rPr>
            </w:pPr>
            <w:r w:rsidRPr="006B6298">
              <w:rPr>
                <w:rFonts w:ascii="Times New Roman" w:hAnsi="Times New Roman"/>
                <w:sz w:val="20"/>
                <w:szCs w:val="20"/>
              </w:rPr>
              <w:t xml:space="preserve">- </w:t>
            </w:r>
            <w:r w:rsidR="001B3165" w:rsidRPr="006B6298">
              <w:rPr>
                <w:rFonts w:ascii="Times New Roman" w:hAnsi="Times New Roman"/>
                <w:sz w:val="20"/>
                <w:szCs w:val="20"/>
              </w:rPr>
              <w:t xml:space="preserve">Posicionar oito atletas entre a 11ª e a 15ª posição no </w:t>
            </w:r>
            <w:r w:rsidR="001B3165" w:rsidRPr="006B6298">
              <w:rPr>
                <w:rFonts w:ascii="Times New Roman" w:hAnsi="Times New Roman"/>
                <w:i/>
                <w:sz w:val="20"/>
                <w:szCs w:val="20"/>
              </w:rPr>
              <w:t xml:space="preserve">ranking </w:t>
            </w:r>
            <w:r w:rsidR="001B3165" w:rsidRPr="006B6298">
              <w:rPr>
                <w:rFonts w:ascii="Times New Roman" w:hAnsi="Times New Roman"/>
                <w:sz w:val="20"/>
                <w:szCs w:val="20"/>
              </w:rPr>
              <w:t>mundial de suas modalidades - Atualmente são 3 atletas totalizando</w:t>
            </w:r>
            <w:r w:rsidRPr="006B6298">
              <w:rPr>
                <w:rFonts w:ascii="Times New Roman" w:hAnsi="Times New Roman"/>
                <w:sz w:val="20"/>
                <w:szCs w:val="20"/>
              </w:rPr>
              <w:t>,</w:t>
            </w:r>
            <w:r w:rsidR="001B3165" w:rsidRPr="006B6298">
              <w:rPr>
                <w:rFonts w:ascii="Times New Roman" w:hAnsi="Times New Roman"/>
                <w:sz w:val="20"/>
                <w:szCs w:val="20"/>
              </w:rPr>
              <w:t xml:space="preserve"> 3 marcas nessas posições;</w:t>
            </w:r>
          </w:p>
          <w:p w:rsidR="001B3165" w:rsidRPr="006B6298" w:rsidRDefault="009E1003" w:rsidP="009E1003">
            <w:pPr>
              <w:pStyle w:val="PargrafodaLista"/>
              <w:ind w:left="0"/>
              <w:rPr>
                <w:rFonts w:ascii="Times New Roman" w:hAnsi="Times New Roman"/>
                <w:sz w:val="20"/>
                <w:szCs w:val="20"/>
              </w:rPr>
            </w:pPr>
            <w:r w:rsidRPr="006B6298">
              <w:rPr>
                <w:rFonts w:ascii="Times New Roman" w:hAnsi="Times New Roman"/>
                <w:sz w:val="20"/>
                <w:szCs w:val="20"/>
              </w:rPr>
              <w:t xml:space="preserve">- </w:t>
            </w:r>
            <w:r w:rsidR="001B3165" w:rsidRPr="006B6298">
              <w:rPr>
                <w:rFonts w:ascii="Times New Roman" w:hAnsi="Times New Roman"/>
                <w:sz w:val="20"/>
                <w:szCs w:val="20"/>
              </w:rPr>
              <w:t xml:space="preserve">Posicionar cinco atletas entre a 16ª e a 20ª posição no </w:t>
            </w:r>
            <w:r w:rsidR="001B3165" w:rsidRPr="006B6298">
              <w:rPr>
                <w:rFonts w:ascii="Times New Roman" w:hAnsi="Times New Roman"/>
                <w:i/>
                <w:sz w:val="20"/>
                <w:szCs w:val="20"/>
              </w:rPr>
              <w:t>ranking</w:t>
            </w:r>
            <w:r w:rsidR="001B3165" w:rsidRPr="006B6298">
              <w:rPr>
                <w:rFonts w:ascii="Times New Roman" w:hAnsi="Times New Roman"/>
                <w:sz w:val="20"/>
                <w:szCs w:val="20"/>
              </w:rPr>
              <w:t xml:space="preserve"> mundial de suas modalidades - Atualmente são 4 atletas</w:t>
            </w:r>
            <w:r w:rsidRPr="006B6298">
              <w:rPr>
                <w:rFonts w:ascii="Times New Roman" w:hAnsi="Times New Roman"/>
                <w:sz w:val="20"/>
                <w:szCs w:val="20"/>
              </w:rPr>
              <w:t>,</w:t>
            </w:r>
            <w:r w:rsidR="001B3165" w:rsidRPr="006B6298">
              <w:rPr>
                <w:rFonts w:ascii="Times New Roman" w:hAnsi="Times New Roman"/>
                <w:sz w:val="20"/>
                <w:szCs w:val="20"/>
              </w:rPr>
              <w:t xml:space="preserve"> com 4 marcas nessas posições.</w:t>
            </w:r>
          </w:p>
          <w:p w:rsidR="001B3165" w:rsidRPr="006B6298" w:rsidRDefault="009E1003" w:rsidP="009E1003">
            <w:pPr>
              <w:tabs>
                <w:tab w:val="left" w:pos="454"/>
              </w:tabs>
              <w:ind w:left="29"/>
              <w:jc w:val="both"/>
              <w:rPr>
                <w:sz w:val="20"/>
                <w:szCs w:val="20"/>
              </w:rPr>
            </w:pPr>
            <w:r w:rsidRPr="006B6298">
              <w:rPr>
                <w:b/>
                <w:sz w:val="20"/>
                <w:szCs w:val="20"/>
              </w:rPr>
              <w:lastRenderedPageBreak/>
              <w:t>Parceiros -</w:t>
            </w:r>
            <w:r w:rsidR="001B3165" w:rsidRPr="006B6298">
              <w:rPr>
                <w:b/>
                <w:sz w:val="20"/>
                <w:szCs w:val="20"/>
              </w:rPr>
              <w:t xml:space="preserve"> </w:t>
            </w:r>
            <w:r w:rsidR="001B3165" w:rsidRPr="006B6298">
              <w:rPr>
                <w:sz w:val="20"/>
                <w:szCs w:val="20"/>
              </w:rPr>
              <w:t xml:space="preserve">Comitê Paralímpico Brasileiro </w:t>
            </w:r>
            <w:r w:rsidRPr="006B6298">
              <w:rPr>
                <w:sz w:val="20"/>
                <w:szCs w:val="20"/>
              </w:rPr>
              <w:t xml:space="preserve">- </w:t>
            </w:r>
            <w:r w:rsidR="001B3165" w:rsidRPr="006B6298">
              <w:rPr>
                <w:sz w:val="20"/>
                <w:szCs w:val="20"/>
              </w:rPr>
              <w:t>CPB</w:t>
            </w:r>
          </w:p>
        </w:tc>
      </w:tr>
      <w:tr w:rsidR="006B6298" w:rsidRPr="006B6298" w:rsidTr="00FD5D16">
        <w:trPr>
          <w:jc w:val="center"/>
        </w:trPr>
        <w:tc>
          <w:tcPr>
            <w:tcW w:w="9792" w:type="dxa"/>
            <w:shd w:val="clear" w:color="auto" w:fill="auto"/>
          </w:tcPr>
          <w:p w:rsidR="001B3165" w:rsidRPr="006B6298" w:rsidRDefault="009E1003" w:rsidP="00D53E66">
            <w:pPr>
              <w:jc w:val="left"/>
              <w:rPr>
                <w:b/>
                <w:sz w:val="20"/>
                <w:szCs w:val="20"/>
              </w:rPr>
            </w:pPr>
            <w:r w:rsidRPr="006B6298">
              <w:rPr>
                <w:b/>
                <w:sz w:val="20"/>
                <w:szCs w:val="20"/>
              </w:rPr>
              <w:lastRenderedPageBreak/>
              <w:t>PROJETO - CENTRO DE INCLUSÃO ESPORTIVA - BOTUCATU</w:t>
            </w:r>
          </w:p>
        </w:tc>
      </w:tr>
      <w:tr w:rsidR="006B6298" w:rsidRPr="006B6298" w:rsidTr="00FD5D16">
        <w:trPr>
          <w:jc w:val="center"/>
        </w:trPr>
        <w:tc>
          <w:tcPr>
            <w:tcW w:w="9792" w:type="dxa"/>
            <w:shd w:val="clear" w:color="auto" w:fill="auto"/>
          </w:tcPr>
          <w:p w:rsidR="001B3165" w:rsidRPr="006B6298" w:rsidRDefault="009E1003"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Implantação de 2 piscinas para a prática esportiva e a hidroginástica, além de sala para fisioterapia.</w:t>
            </w:r>
          </w:p>
          <w:p w:rsidR="001B3165" w:rsidRPr="006B6298" w:rsidRDefault="001B3165" w:rsidP="001B3165">
            <w:pPr>
              <w:jc w:val="both"/>
              <w:rPr>
                <w:sz w:val="20"/>
                <w:szCs w:val="20"/>
              </w:rPr>
            </w:pPr>
            <w:r w:rsidRPr="006B6298">
              <w:rPr>
                <w:sz w:val="20"/>
                <w:szCs w:val="20"/>
              </w:rPr>
              <w:t>Inauguração do Centro de Inclusão Esportiva de Botucatu.</w:t>
            </w:r>
          </w:p>
          <w:p w:rsidR="001B3165" w:rsidRPr="006B6298" w:rsidRDefault="009E1003" w:rsidP="009E1003">
            <w:pPr>
              <w:pStyle w:val="PargrafodaLista"/>
              <w:ind w:left="0"/>
              <w:rPr>
                <w:rFonts w:ascii="Times New Roman" w:hAnsi="Times New Roman"/>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Prefeitura Municipal de Botucatu</w:t>
            </w:r>
          </w:p>
        </w:tc>
      </w:tr>
      <w:tr w:rsidR="006B6298" w:rsidRPr="006B6298" w:rsidTr="00FD5D16">
        <w:trPr>
          <w:jc w:val="center"/>
        </w:trPr>
        <w:tc>
          <w:tcPr>
            <w:tcW w:w="9792" w:type="dxa"/>
            <w:shd w:val="clear" w:color="auto" w:fill="auto"/>
          </w:tcPr>
          <w:p w:rsidR="001B3165" w:rsidRPr="006B6298" w:rsidRDefault="009E1003" w:rsidP="00D53E66">
            <w:pPr>
              <w:jc w:val="left"/>
              <w:rPr>
                <w:b/>
                <w:sz w:val="20"/>
                <w:szCs w:val="20"/>
              </w:rPr>
            </w:pPr>
            <w:r w:rsidRPr="006B6298">
              <w:rPr>
                <w:b/>
                <w:sz w:val="20"/>
                <w:szCs w:val="20"/>
              </w:rPr>
              <w:t>PROJETO - CENTRO PARAOLÍMPICO "CENTRO INTEGRADO DE AVALIAÇÃO E LABORATÓRIO DA CONDIÇÃO FUNCIONAL DO ATLETA PARAOLÍMPICO"</w:t>
            </w:r>
          </w:p>
        </w:tc>
      </w:tr>
      <w:tr w:rsidR="006B6298" w:rsidRPr="006B6298" w:rsidTr="00FD5D16">
        <w:trPr>
          <w:jc w:val="center"/>
        </w:trPr>
        <w:tc>
          <w:tcPr>
            <w:tcW w:w="9792" w:type="dxa"/>
            <w:shd w:val="clear" w:color="auto" w:fill="auto"/>
          </w:tcPr>
          <w:p w:rsidR="001B3165" w:rsidRPr="006B6298" w:rsidRDefault="009E1003"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Construção e implantação de Centro Integrado de Avaliação e Laboratório da Condição Funcional do Atleta Paraolímpico, que contará com o Centro de Treinamento e um laboratório de avaliação funcional do atleta.</w:t>
            </w:r>
          </w:p>
          <w:p w:rsidR="001B3165" w:rsidRPr="006B6298" w:rsidRDefault="009E1003" w:rsidP="006B6298">
            <w:pPr>
              <w:jc w:val="both"/>
              <w:rPr>
                <w:strike/>
                <w:sz w:val="20"/>
                <w:szCs w:val="20"/>
              </w:rPr>
            </w:pPr>
            <w:r w:rsidRPr="006B6298">
              <w:rPr>
                <w:b/>
                <w:sz w:val="20"/>
                <w:szCs w:val="20"/>
              </w:rPr>
              <w:t>Parceiros -</w:t>
            </w:r>
            <w:r w:rsidR="001B3165" w:rsidRPr="006B6298">
              <w:rPr>
                <w:b/>
                <w:sz w:val="20"/>
                <w:szCs w:val="20"/>
              </w:rPr>
              <w:t xml:space="preserve"> </w:t>
            </w:r>
            <w:r w:rsidR="001B3165" w:rsidRPr="006B6298">
              <w:rPr>
                <w:sz w:val="20"/>
                <w:szCs w:val="20"/>
              </w:rPr>
              <w:t xml:space="preserve">Ministério do Esporte e Comitê Paralímpico Brasileiro </w:t>
            </w:r>
            <w:r w:rsidRPr="006B6298">
              <w:rPr>
                <w:sz w:val="20"/>
                <w:szCs w:val="20"/>
              </w:rPr>
              <w:t xml:space="preserve">- </w:t>
            </w:r>
            <w:r w:rsidR="001B3165" w:rsidRPr="006B6298">
              <w:rPr>
                <w:sz w:val="20"/>
                <w:szCs w:val="20"/>
              </w:rPr>
              <w:t>CPB</w:t>
            </w:r>
            <w:r w:rsidRPr="006B6298">
              <w:rPr>
                <w:sz w:val="20"/>
                <w:szCs w:val="20"/>
              </w:rPr>
              <w:t>.</w:t>
            </w:r>
          </w:p>
        </w:tc>
      </w:tr>
      <w:tr w:rsidR="006B6298" w:rsidRPr="006B6298" w:rsidTr="00FD5D16">
        <w:trPr>
          <w:jc w:val="center"/>
        </w:trPr>
        <w:tc>
          <w:tcPr>
            <w:tcW w:w="9792" w:type="dxa"/>
            <w:shd w:val="clear" w:color="auto" w:fill="auto"/>
          </w:tcPr>
          <w:p w:rsidR="001B3165" w:rsidRPr="006B6298" w:rsidRDefault="009E1003" w:rsidP="00D53E66">
            <w:pPr>
              <w:jc w:val="left"/>
              <w:rPr>
                <w:b/>
                <w:sz w:val="20"/>
                <w:szCs w:val="20"/>
              </w:rPr>
            </w:pPr>
            <w:r w:rsidRPr="006B6298">
              <w:rPr>
                <w:b/>
                <w:sz w:val="20"/>
                <w:szCs w:val="20"/>
              </w:rPr>
              <w:t>PROJETO - PROGRAMA DE ACADEMIAS ADAPTADAS</w:t>
            </w:r>
          </w:p>
        </w:tc>
      </w:tr>
      <w:tr w:rsidR="006B6298" w:rsidRPr="006B6298" w:rsidTr="00FD5D16">
        <w:trPr>
          <w:trHeight w:val="557"/>
          <w:jc w:val="center"/>
        </w:trPr>
        <w:tc>
          <w:tcPr>
            <w:tcW w:w="9792" w:type="dxa"/>
            <w:shd w:val="clear" w:color="auto" w:fill="auto"/>
          </w:tcPr>
          <w:p w:rsidR="001B3165" w:rsidRPr="006B6298" w:rsidRDefault="009E1003"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Implantação de academias adaptadas, em municípios e e</w:t>
            </w:r>
            <w:r w:rsidRPr="006B6298">
              <w:rPr>
                <w:rFonts w:ascii="Times New Roman" w:hAnsi="Times New Roman"/>
                <w:sz w:val="20"/>
                <w:szCs w:val="20"/>
              </w:rPr>
              <w:t>ntidades do Estado</w:t>
            </w:r>
            <w:r w:rsidR="001B3165" w:rsidRPr="006B6298">
              <w:rPr>
                <w:rFonts w:ascii="Times New Roman" w:hAnsi="Times New Roman"/>
                <w:sz w:val="20"/>
                <w:szCs w:val="20"/>
              </w:rPr>
              <w:t>, por meio de convênio com a SDPD</w:t>
            </w:r>
            <w:r w:rsidRPr="006B6298">
              <w:rPr>
                <w:rFonts w:ascii="Times New Roman" w:hAnsi="Times New Roman"/>
                <w:sz w:val="20"/>
                <w:szCs w:val="20"/>
              </w:rPr>
              <w:t>.</w:t>
            </w:r>
          </w:p>
          <w:p w:rsidR="001B3165" w:rsidRPr="006B6298" w:rsidRDefault="00CC79EA" w:rsidP="001B3165">
            <w:pPr>
              <w:jc w:val="both"/>
              <w:rPr>
                <w:sz w:val="20"/>
                <w:szCs w:val="20"/>
              </w:rPr>
            </w:pPr>
            <w:r w:rsidRPr="006B6298">
              <w:rPr>
                <w:sz w:val="20"/>
                <w:szCs w:val="20"/>
              </w:rPr>
              <w:t xml:space="preserve">Foram </w:t>
            </w:r>
            <w:r w:rsidR="001B3165" w:rsidRPr="006B6298">
              <w:rPr>
                <w:sz w:val="20"/>
                <w:szCs w:val="20"/>
              </w:rPr>
              <w:t>instaladas 108 academias adaptadas.</w:t>
            </w:r>
          </w:p>
          <w:p w:rsidR="001B3165" w:rsidRPr="006B6298" w:rsidRDefault="00CC79EA" w:rsidP="001B3165">
            <w:pPr>
              <w:pStyle w:val="PargrafodaLista"/>
              <w:ind w:left="0"/>
              <w:rPr>
                <w:rFonts w:ascii="Times New Roman" w:hAnsi="Times New Roman"/>
                <w:sz w:val="20"/>
                <w:szCs w:val="20"/>
              </w:rPr>
            </w:pPr>
            <w:r w:rsidRPr="006B6298">
              <w:rPr>
                <w:rFonts w:ascii="Times New Roman" w:hAnsi="Times New Roman"/>
                <w:b/>
                <w:sz w:val="20"/>
                <w:szCs w:val="20"/>
              </w:rPr>
              <w:t>Parceiros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Municípios e e</w:t>
            </w:r>
            <w:r w:rsidRPr="006B6298">
              <w:rPr>
                <w:rFonts w:ascii="Times New Roman" w:hAnsi="Times New Roman"/>
                <w:sz w:val="20"/>
                <w:szCs w:val="20"/>
              </w:rPr>
              <w:t>ntidades do Estado</w:t>
            </w:r>
          </w:p>
          <w:p w:rsidR="001B3165" w:rsidRPr="006B6298" w:rsidRDefault="00CC79EA" w:rsidP="00CC79EA">
            <w:pPr>
              <w:jc w:val="both"/>
              <w:rPr>
                <w:sz w:val="20"/>
                <w:szCs w:val="20"/>
              </w:rPr>
            </w:pPr>
            <w:r w:rsidRPr="006B6298">
              <w:rPr>
                <w:b/>
                <w:sz w:val="20"/>
                <w:szCs w:val="20"/>
              </w:rPr>
              <w:t>Orçamento -</w:t>
            </w:r>
            <w:r w:rsidR="001B3165" w:rsidRPr="006B6298">
              <w:rPr>
                <w:b/>
                <w:sz w:val="20"/>
                <w:szCs w:val="20"/>
              </w:rPr>
              <w:t xml:space="preserve"> </w:t>
            </w:r>
            <w:r w:rsidR="001B3165" w:rsidRPr="006B6298">
              <w:rPr>
                <w:sz w:val="20"/>
                <w:szCs w:val="20"/>
              </w:rPr>
              <w:t>Não há repasse de recursos aos municípios/entidades, apenas transferência dos equipamentos.</w:t>
            </w:r>
          </w:p>
        </w:tc>
      </w:tr>
      <w:tr w:rsidR="006B6298" w:rsidRPr="006B6298" w:rsidTr="00FD5D16">
        <w:trPr>
          <w:jc w:val="center"/>
        </w:trPr>
        <w:tc>
          <w:tcPr>
            <w:tcW w:w="9792" w:type="dxa"/>
            <w:shd w:val="clear" w:color="auto" w:fill="auto"/>
          </w:tcPr>
          <w:p w:rsidR="001B3165" w:rsidRPr="006B6298" w:rsidRDefault="001B3165" w:rsidP="00D53E66">
            <w:pPr>
              <w:tabs>
                <w:tab w:val="left" w:pos="1508"/>
              </w:tabs>
              <w:jc w:val="left"/>
              <w:rPr>
                <w:b/>
                <w:sz w:val="20"/>
                <w:szCs w:val="20"/>
              </w:rPr>
            </w:pPr>
            <w:r w:rsidRPr="006B6298">
              <w:rPr>
                <w:b/>
                <w:sz w:val="20"/>
                <w:szCs w:val="20"/>
              </w:rPr>
              <w:t>PROJETO</w:t>
            </w:r>
            <w:r w:rsidR="00CC79EA" w:rsidRPr="006B6298">
              <w:rPr>
                <w:b/>
                <w:sz w:val="20"/>
                <w:szCs w:val="20"/>
              </w:rPr>
              <w:t xml:space="preserve"> -</w:t>
            </w:r>
            <w:r w:rsidRPr="006B6298">
              <w:rPr>
                <w:b/>
                <w:sz w:val="20"/>
                <w:szCs w:val="20"/>
              </w:rPr>
              <w:t xml:space="preserve"> CENTRO PARADESPORTIVO EM MOGI DAS CRUZES</w:t>
            </w:r>
          </w:p>
        </w:tc>
      </w:tr>
      <w:tr w:rsidR="006B6298" w:rsidRPr="006B6298" w:rsidTr="00FD5D16">
        <w:trPr>
          <w:jc w:val="center"/>
        </w:trPr>
        <w:tc>
          <w:tcPr>
            <w:tcW w:w="9792" w:type="dxa"/>
            <w:shd w:val="clear" w:color="auto" w:fill="auto"/>
          </w:tcPr>
          <w:p w:rsidR="001B3165" w:rsidRPr="006B6298" w:rsidRDefault="00CC79EA"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Implantação de Centro Paradesporto, contemplando praça de esporte composta por quadra paradesportiva coberta, sanitários, vestiários adaptados e estacionamento, destinado </w:t>
            </w:r>
            <w:r w:rsidRPr="006B6298">
              <w:rPr>
                <w:rFonts w:ascii="Times New Roman" w:hAnsi="Times New Roman"/>
                <w:sz w:val="20"/>
                <w:szCs w:val="20"/>
              </w:rPr>
              <w:t>à</w:t>
            </w:r>
            <w:r w:rsidR="001B3165" w:rsidRPr="006B6298">
              <w:rPr>
                <w:rFonts w:ascii="Times New Roman" w:hAnsi="Times New Roman"/>
                <w:sz w:val="20"/>
                <w:szCs w:val="20"/>
              </w:rPr>
              <w:t xml:space="preserve"> inclusão da pessoa com deficiência do município de Mogi das Cruzes e Região.</w:t>
            </w:r>
          </w:p>
          <w:p w:rsidR="001B3165" w:rsidRPr="006B6298" w:rsidRDefault="001B3165" w:rsidP="001B3165">
            <w:pPr>
              <w:jc w:val="both"/>
              <w:rPr>
                <w:sz w:val="20"/>
                <w:szCs w:val="20"/>
              </w:rPr>
            </w:pPr>
            <w:r w:rsidRPr="006B6298">
              <w:rPr>
                <w:sz w:val="20"/>
                <w:szCs w:val="20"/>
              </w:rPr>
              <w:t>Centro inaugurado</w:t>
            </w:r>
            <w:r w:rsidR="00CC79EA" w:rsidRPr="006B6298">
              <w:rPr>
                <w:sz w:val="20"/>
                <w:szCs w:val="20"/>
              </w:rPr>
              <w:t>.</w:t>
            </w:r>
          </w:p>
          <w:p w:rsidR="001B3165" w:rsidRPr="006B6298" w:rsidRDefault="00CC79EA" w:rsidP="00CC79EA">
            <w:pPr>
              <w:jc w:val="both"/>
              <w:rPr>
                <w:sz w:val="20"/>
                <w:szCs w:val="20"/>
              </w:rPr>
            </w:pPr>
            <w:r w:rsidRPr="006B6298">
              <w:rPr>
                <w:b/>
                <w:sz w:val="20"/>
                <w:szCs w:val="20"/>
              </w:rPr>
              <w:t>Parceiro -</w:t>
            </w:r>
            <w:r w:rsidR="001B3165" w:rsidRPr="006B6298">
              <w:rPr>
                <w:b/>
                <w:sz w:val="20"/>
                <w:szCs w:val="20"/>
              </w:rPr>
              <w:t xml:space="preserve"> </w:t>
            </w:r>
            <w:r w:rsidR="001B3165" w:rsidRPr="006B6298">
              <w:rPr>
                <w:sz w:val="20"/>
                <w:szCs w:val="20"/>
              </w:rPr>
              <w:t>Prefeitura Municipal de Mogi das Cruzes</w:t>
            </w:r>
          </w:p>
        </w:tc>
      </w:tr>
      <w:tr w:rsidR="006B6298" w:rsidRPr="006B6298" w:rsidTr="00FD5D16">
        <w:trPr>
          <w:jc w:val="center"/>
        </w:trPr>
        <w:tc>
          <w:tcPr>
            <w:tcW w:w="9792" w:type="dxa"/>
            <w:shd w:val="clear" w:color="auto" w:fill="auto"/>
          </w:tcPr>
          <w:p w:rsidR="001B3165" w:rsidRPr="006B6298" w:rsidRDefault="001B3165" w:rsidP="001B3165">
            <w:pPr>
              <w:rPr>
                <w:b/>
                <w:sz w:val="20"/>
                <w:szCs w:val="20"/>
              </w:rPr>
            </w:pPr>
            <w:r w:rsidRPr="006B6298">
              <w:rPr>
                <w:b/>
                <w:sz w:val="20"/>
                <w:szCs w:val="20"/>
              </w:rPr>
              <w:t>LAZER</w:t>
            </w:r>
          </w:p>
        </w:tc>
      </w:tr>
      <w:tr w:rsidR="006B6298" w:rsidRPr="006B6298" w:rsidTr="00FD5D16">
        <w:trPr>
          <w:jc w:val="center"/>
        </w:trPr>
        <w:tc>
          <w:tcPr>
            <w:tcW w:w="9792" w:type="dxa"/>
            <w:shd w:val="clear" w:color="auto" w:fill="auto"/>
          </w:tcPr>
          <w:p w:rsidR="001B3165" w:rsidRPr="006B6298" w:rsidRDefault="001B3165" w:rsidP="00D53E66">
            <w:pPr>
              <w:jc w:val="left"/>
              <w:rPr>
                <w:b/>
                <w:sz w:val="20"/>
                <w:szCs w:val="20"/>
              </w:rPr>
            </w:pPr>
            <w:r w:rsidRPr="006B6298">
              <w:rPr>
                <w:b/>
                <w:sz w:val="20"/>
                <w:szCs w:val="20"/>
              </w:rPr>
              <w:t>PROJETO</w:t>
            </w:r>
            <w:r w:rsidR="00CC79EA" w:rsidRPr="006B6298">
              <w:rPr>
                <w:b/>
                <w:sz w:val="20"/>
                <w:szCs w:val="20"/>
              </w:rPr>
              <w:t xml:space="preserve"> -</w:t>
            </w:r>
            <w:r w:rsidRPr="006B6298">
              <w:rPr>
                <w:b/>
                <w:sz w:val="20"/>
                <w:szCs w:val="20"/>
              </w:rPr>
              <w:t xml:space="preserve"> PRAIA ACESSÍVEL LAZER PARA TODOS</w:t>
            </w:r>
          </w:p>
        </w:tc>
      </w:tr>
      <w:tr w:rsidR="006B6298" w:rsidRPr="006B6298" w:rsidTr="00FD5D16">
        <w:trPr>
          <w:jc w:val="center"/>
        </w:trPr>
        <w:tc>
          <w:tcPr>
            <w:tcW w:w="9792" w:type="dxa"/>
            <w:shd w:val="clear" w:color="auto" w:fill="auto"/>
          </w:tcPr>
          <w:p w:rsidR="001B3165" w:rsidRPr="006B6298" w:rsidRDefault="00D53E66"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Disponibilização de cadeiras de rodas anfíbias, garantindo o pleno acesso das pessoas com deficiência às praias paulistas. Conceituar o lazer como direito de todos.</w:t>
            </w:r>
          </w:p>
          <w:p w:rsidR="001B3165" w:rsidRPr="006B6298" w:rsidRDefault="001B3165" w:rsidP="001B3165">
            <w:pPr>
              <w:jc w:val="both"/>
              <w:rPr>
                <w:sz w:val="20"/>
                <w:szCs w:val="20"/>
              </w:rPr>
            </w:pPr>
            <w:r w:rsidRPr="006B6298">
              <w:rPr>
                <w:sz w:val="20"/>
                <w:szCs w:val="20"/>
              </w:rPr>
              <w:t>Celebração de convênio com municípios (sem repasse de verba) para disponibilização de cadeiras de rodas anfíbias em cidades do litoral e em praias de água doce, garantindo o pleno acesso das pessoas com deficiência às praias paulistas.</w:t>
            </w:r>
          </w:p>
          <w:p w:rsidR="001B3165" w:rsidRPr="006B6298" w:rsidRDefault="00D53E66" w:rsidP="001B3165">
            <w:pPr>
              <w:jc w:val="both"/>
              <w:rPr>
                <w:sz w:val="20"/>
                <w:szCs w:val="20"/>
              </w:rPr>
            </w:pPr>
            <w:r w:rsidRPr="006B6298">
              <w:rPr>
                <w:b/>
                <w:sz w:val="20"/>
                <w:szCs w:val="20"/>
              </w:rPr>
              <w:t>Parceiros -</w:t>
            </w:r>
            <w:r w:rsidR="001B3165" w:rsidRPr="006B6298">
              <w:rPr>
                <w:sz w:val="20"/>
                <w:szCs w:val="20"/>
              </w:rPr>
              <w:t xml:space="preserve"> Praias de rio: Panorama, Rifaina, Teodoro Sampaio, Arealva, Avaré, Caconde, Iguape, Ilha Solteira, Itapura, Martinópolis, Miguelópolis, Paraibuna, Presidente Epitácio, Rosana, Santa Fé do Sul, e São Manoel. Praias do litoral norte e sul: Bertioga, Cananéia, Caraguatatuba, Guarujá, Ilhabela, Itanhaém, Mongaguá, Praia Grande, São Sebastião, Ubatuba, São Vicente, Santos e Peruíbe</w:t>
            </w:r>
            <w:r w:rsidRPr="006B6298">
              <w:rPr>
                <w:sz w:val="20"/>
                <w:szCs w:val="20"/>
              </w:rPr>
              <w:t>.</w:t>
            </w:r>
          </w:p>
          <w:p w:rsidR="006B6298" w:rsidRPr="006B6298" w:rsidRDefault="001B3165" w:rsidP="006B6298">
            <w:pPr>
              <w:jc w:val="both"/>
              <w:rPr>
                <w:sz w:val="20"/>
                <w:szCs w:val="20"/>
              </w:rPr>
            </w:pPr>
            <w:r w:rsidRPr="006B6298">
              <w:rPr>
                <w:sz w:val="20"/>
                <w:szCs w:val="20"/>
              </w:rPr>
              <w:t>Contrapartida dos municípios</w:t>
            </w:r>
            <w:r w:rsidR="00D53E66" w:rsidRPr="006B6298">
              <w:rPr>
                <w:sz w:val="20"/>
                <w:szCs w:val="20"/>
              </w:rPr>
              <w:t xml:space="preserve"> -</w:t>
            </w:r>
            <w:r w:rsidRPr="006B6298">
              <w:rPr>
                <w:sz w:val="20"/>
                <w:szCs w:val="20"/>
              </w:rPr>
              <w:t xml:space="preserve"> Toda infraestrutura para funcionamento do Programa Praia Acessível (Ex.: Disponibilização de pessoal para atendimento; conservação das cadeiras).</w:t>
            </w:r>
          </w:p>
        </w:tc>
      </w:tr>
      <w:tr w:rsidR="006B6298" w:rsidRPr="006B6298" w:rsidTr="00FD5D16">
        <w:trPr>
          <w:jc w:val="center"/>
        </w:trPr>
        <w:tc>
          <w:tcPr>
            <w:tcW w:w="9792" w:type="dxa"/>
            <w:shd w:val="clear" w:color="auto" w:fill="auto"/>
          </w:tcPr>
          <w:p w:rsidR="001B3165" w:rsidRPr="006B6298" w:rsidRDefault="001B3165" w:rsidP="00D53E66">
            <w:pPr>
              <w:tabs>
                <w:tab w:val="left" w:pos="1508"/>
              </w:tabs>
              <w:jc w:val="left"/>
              <w:rPr>
                <w:b/>
                <w:sz w:val="20"/>
                <w:szCs w:val="20"/>
              </w:rPr>
            </w:pPr>
            <w:r w:rsidRPr="006B6298">
              <w:rPr>
                <w:b/>
                <w:sz w:val="20"/>
                <w:szCs w:val="20"/>
              </w:rPr>
              <w:t>PROJETO</w:t>
            </w:r>
            <w:r w:rsidR="00D53E66" w:rsidRPr="006B6298">
              <w:rPr>
                <w:b/>
                <w:sz w:val="20"/>
                <w:szCs w:val="20"/>
              </w:rPr>
              <w:t xml:space="preserve"> -</w:t>
            </w:r>
            <w:r w:rsidRPr="006B6298">
              <w:rPr>
                <w:b/>
                <w:sz w:val="20"/>
                <w:szCs w:val="20"/>
              </w:rPr>
              <w:t xml:space="preserve"> EQUITAÇÃO ADAPTADA</w:t>
            </w:r>
          </w:p>
        </w:tc>
      </w:tr>
      <w:tr w:rsidR="006B6298" w:rsidRPr="006B6298" w:rsidTr="00FD5D16">
        <w:trPr>
          <w:jc w:val="center"/>
        </w:trPr>
        <w:tc>
          <w:tcPr>
            <w:tcW w:w="9792" w:type="dxa"/>
            <w:shd w:val="clear" w:color="auto" w:fill="auto"/>
          </w:tcPr>
          <w:p w:rsidR="001B3165" w:rsidRPr="006B6298" w:rsidRDefault="00D53E66" w:rsidP="001B3165">
            <w:pPr>
              <w:pStyle w:val="PargrafodaLista"/>
              <w:ind w:left="0"/>
              <w:rPr>
                <w:rFonts w:ascii="Times New Roman" w:hAnsi="Times New Roman"/>
                <w:sz w:val="20"/>
                <w:szCs w:val="20"/>
              </w:rPr>
            </w:pPr>
            <w:r w:rsidRPr="006B6298">
              <w:rPr>
                <w:rFonts w:ascii="Times New Roman" w:hAnsi="Times New Roman"/>
                <w:b/>
                <w:sz w:val="20"/>
                <w:szCs w:val="20"/>
              </w:rPr>
              <w:t xml:space="preserve">Objetivo - </w:t>
            </w:r>
            <w:r w:rsidRPr="006B6298">
              <w:rPr>
                <w:rFonts w:ascii="Times New Roman" w:hAnsi="Times New Roman"/>
                <w:sz w:val="20"/>
                <w:szCs w:val="20"/>
              </w:rPr>
              <w:t xml:space="preserve">Inclusão </w:t>
            </w:r>
            <w:r w:rsidR="001B3165" w:rsidRPr="006B6298">
              <w:rPr>
                <w:rFonts w:ascii="Times New Roman" w:hAnsi="Times New Roman"/>
                <w:sz w:val="20"/>
                <w:szCs w:val="20"/>
              </w:rPr>
              <w:t>social e desenvolvimento biopsicossocial de pessoas com deficiência por meio da equitação adaptada.</w:t>
            </w:r>
          </w:p>
          <w:p w:rsidR="001B3165" w:rsidRPr="006B6298" w:rsidRDefault="001B3165" w:rsidP="001B3165">
            <w:pPr>
              <w:jc w:val="both"/>
              <w:rPr>
                <w:sz w:val="20"/>
                <w:szCs w:val="20"/>
              </w:rPr>
            </w:pPr>
            <w:r w:rsidRPr="006B6298">
              <w:rPr>
                <w:sz w:val="20"/>
                <w:szCs w:val="20"/>
              </w:rPr>
              <w:t>Atendimento de 40 pessoas com deficiência na prática de Equitação Adaptada, com acompanhamento do seu desenvolvimento biopsicossocial.</w:t>
            </w:r>
          </w:p>
          <w:p w:rsidR="001B3165" w:rsidRPr="006B6298" w:rsidRDefault="00D53E66" w:rsidP="00D53E66">
            <w:pPr>
              <w:pStyle w:val="PargrafodaLista"/>
              <w:ind w:left="0"/>
              <w:rPr>
                <w:rFonts w:ascii="Times New Roman" w:hAnsi="Times New Roman"/>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Instituto Anjos de Deus </w:t>
            </w:r>
            <w:r w:rsidRPr="006B6298">
              <w:rPr>
                <w:rFonts w:ascii="Times New Roman" w:hAnsi="Times New Roman"/>
                <w:sz w:val="20"/>
                <w:szCs w:val="20"/>
              </w:rPr>
              <w:t xml:space="preserve">- </w:t>
            </w:r>
            <w:r w:rsidR="001B3165" w:rsidRPr="006B6298">
              <w:rPr>
                <w:rFonts w:ascii="Times New Roman" w:hAnsi="Times New Roman"/>
                <w:sz w:val="20"/>
                <w:szCs w:val="20"/>
              </w:rPr>
              <w:t>IAD</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1B3165">
            <w:pPr>
              <w:rPr>
                <w:b/>
                <w:sz w:val="20"/>
                <w:szCs w:val="20"/>
              </w:rPr>
            </w:pPr>
            <w:r w:rsidRPr="006B6298">
              <w:rPr>
                <w:b/>
                <w:sz w:val="20"/>
                <w:szCs w:val="20"/>
              </w:rPr>
              <w:t>ESTRATÉGICO DA SECRETARIA</w:t>
            </w:r>
          </w:p>
        </w:tc>
      </w:tr>
      <w:tr w:rsidR="006B6298" w:rsidRPr="006B6298" w:rsidTr="00FD5D16">
        <w:trPr>
          <w:jc w:val="center"/>
        </w:trPr>
        <w:tc>
          <w:tcPr>
            <w:tcW w:w="9792" w:type="dxa"/>
            <w:shd w:val="clear" w:color="auto" w:fill="auto"/>
          </w:tcPr>
          <w:p w:rsidR="001B3165" w:rsidRPr="006B6298" w:rsidRDefault="001B3165" w:rsidP="00D53E66">
            <w:pPr>
              <w:tabs>
                <w:tab w:val="left" w:pos="1508"/>
              </w:tabs>
              <w:jc w:val="both"/>
              <w:rPr>
                <w:b/>
                <w:sz w:val="20"/>
                <w:szCs w:val="20"/>
              </w:rPr>
            </w:pPr>
            <w:r w:rsidRPr="006B6298">
              <w:rPr>
                <w:b/>
                <w:sz w:val="20"/>
                <w:szCs w:val="20"/>
              </w:rPr>
              <w:t>PROJETO</w:t>
            </w:r>
            <w:r w:rsidR="00D53E66" w:rsidRPr="006B6298">
              <w:rPr>
                <w:b/>
                <w:sz w:val="20"/>
                <w:szCs w:val="20"/>
              </w:rPr>
              <w:t xml:space="preserve"> -</w:t>
            </w:r>
            <w:r w:rsidRPr="006B6298">
              <w:rPr>
                <w:b/>
                <w:sz w:val="20"/>
                <w:szCs w:val="20"/>
              </w:rPr>
              <w:t xml:space="preserve"> REDE LUCY MONTORO</w:t>
            </w:r>
          </w:p>
        </w:tc>
      </w:tr>
      <w:tr w:rsidR="006B6298" w:rsidRPr="006B6298" w:rsidTr="00FD5D16">
        <w:trPr>
          <w:jc w:val="center"/>
        </w:trPr>
        <w:tc>
          <w:tcPr>
            <w:tcW w:w="9792" w:type="dxa"/>
            <w:shd w:val="clear" w:color="auto" w:fill="auto"/>
          </w:tcPr>
          <w:p w:rsidR="001B3165" w:rsidRPr="006B6298" w:rsidRDefault="00D53E66" w:rsidP="001B3165">
            <w:pPr>
              <w:jc w:val="both"/>
              <w:rPr>
                <w:b/>
                <w:sz w:val="20"/>
                <w:szCs w:val="20"/>
              </w:rPr>
            </w:pPr>
            <w:r w:rsidRPr="006B6298">
              <w:rPr>
                <w:b/>
                <w:sz w:val="20"/>
                <w:szCs w:val="20"/>
              </w:rPr>
              <w:t>Objetivo -</w:t>
            </w:r>
            <w:r w:rsidR="001B3165" w:rsidRPr="006B6298">
              <w:rPr>
                <w:b/>
                <w:sz w:val="20"/>
                <w:szCs w:val="20"/>
              </w:rPr>
              <w:t xml:space="preserve"> </w:t>
            </w:r>
            <w:r w:rsidR="001B3165" w:rsidRPr="006B6298">
              <w:rPr>
                <w:sz w:val="20"/>
                <w:szCs w:val="20"/>
              </w:rPr>
              <w:t>Desenvolvimento e implantação dos parâmetros para a Rede de Atendimento em Reabilitação de forma hierarquizada e descentralizada nos parâmetros do Sistema Único de Saúde</w:t>
            </w:r>
            <w:r w:rsidR="006B6298" w:rsidRPr="006B6298">
              <w:rPr>
                <w:sz w:val="20"/>
                <w:szCs w:val="20"/>
              </w:rPr>
              <w:t xml:space="preserve"> - </w:t>
            </w:r>
            <w:r w:rsidR="001B3165" w:rsidRPr="006B6298">
              <w:rPr>
                <w:sz w:val="20"/>
                <w:szCs w:val="20"/>
              </w:rPr>
              <w:t>SUS</w:t>
            </w:r>
            <w:r w:rsidRPr="006B6298">
              <w:rPr>
                <w:sz w:val="20"/>
                <w:szCs w:val="20"/>
              </w:rPr>
              <w:t>;</w:t>
            </w:r>
            <w:r w:rsidR="001B3165" w:rsidRPr="006B6298">
              <w:rPr>
                <w:sz w:val="20"/>
                <w:szCs w:val="20"/>
              </w:rPr>
              <w:t xml:space="preserve"> Suprimento das necessidades de ampliação e descentralização de atenção, qualificando os profissionais para fornecimento de órteses, próteses e meios auxiliares de locomoção; Promoção do desenvolvimento tecnológico na área, por meio de novos materiais e processos; </w:t>
            </w:r>
            <w:r w:rsidRPr="006B6298">
              <w:rPr>
                <w:sz w:val="20"/>
                <w:szCs w:val="20"/>
              </w:rPr>
              <w:t xml:space="preserve">Garantia </w:t>
            </w:r>
            <w:r w:rsidR="001B3165" w:rsidRPr="006B6298">
              <w:rPr>
                <w:sz w:val="20"/>
                <w:szCs w:val="20"/>
              </w:rPr>
              <w:t>da qualificação de recursos humanos para atendimento em reabilitação na Rede Básica de Saúde.</w:t>
            </w:r>
          </w:p>
          <w:p w:rsidR="001B3165" w:rsidRPr="006B6298" w:rsidRDefault="001B3165" w:rsidP="001B3165">
            <w:pPr>
              <w:jc w:val="both"/>
              <w:rPr>
                <w:strike/>
                <w:sz w:val="20"/>
                <w:szCs w:val="20"/>
              </w:rPr>
            </w:pPr>
            <w:r w:rsidRPr="006B6298">
              <w:rPr>
                <w:sz w:val="20"/>
                <w:szCs w:val="20"/>
              </w:rPr>
              <w:t xml:space="preserve">Foram inauguradas 17 unidades de Reabilitação Física em São Paulo e </w:t>
            </w:r>
            <w:r w:rsidR="00D53E66" w:rsidRPr="006B6298">
              <w:rPr>
                <w:sz w:val="20"/>
                <w:szCs w:val="20"/>
              </w:rPr>
              <w:t>I</w:t>
            </w:r>
            <w:r w:rsidRPr="006B6298">
              <w:rPr>
                <w:sz w:val="20"/>
                <w:szCs w:val="20"/>
              </w:rPr>
              <w:t>nterior</w:t>
            </w:r>
            <w:r w:rsidR="00F12107" w:rsidRPr="006B6298">
              <w:rPr>
                <w:sz w:val="20"/>
                <w:szCs w:val="20"/>
              </w:rPr>
              <w:t>.</w:t>
            </w:r>
            <w:r w:rsidRPr="006B6298">
              <w:rPr>
                <w:sz w:val="20"/>
                <w:szCs w:val="20"/>
              </w:rPr>
              <w:t xml:space="preserve"> Na Capital: Vila Mariana, Morumbi, Clínicas, Lapa e Jardim Umarizal, e uma Unidade Móvel; </w:t>
            </w:r>
            <w:r w:rsidR="00F12107" w:rsidRPr="006B6298">
              <w:rPr>
                <w:sz w:val="20"/>
                <w:szCs w:val="20"/>
              </w:rPr>
              <w:t xml:space="preserve">no </w:t>
            </w:r>
            <w:r w:rsidRPr="006B6298">
              <w:rPr>
                <w:sz w:val="20"/>
                <w:szCs w:val="20"/>
              </w:rPr>
              <w:t xml:space="preserve">interior: Campinas, Fernandópolis, Jaú, Marília, Pariquera-Açu, Presidente Prudente, Ribeirão Preto, Santos, São José do Rio Preto, São José dos Campos, Mogi </w:t>
            </w:r>
            <w:r w:rsidRPr="006B6298">
              <w:rPr>
                <w:sz w:val="20"/>
                <w:szCs w:val="20"/>
              </w:rPr>
              <w:lastRenderedPageBreak/>
              <w:t>Mirim.</w:t>
            </w:r>
          </w:p>
          <w:p w:rsidR="001B3165" w:rsidRPr="006B6298" w:rsidRDefault="00F12107" w:rsidP="00F12107">
            <w:pPr>
              <w:jc w:val="both"/>
              <w:rPr>
                <w:strike/>
                <w:sz w:val="20"/>
                <w:szCs w:val="20"/>
              </w:rPr>
            </w:pPr>
            <w:r w:rsidRPr="006B6298">
              <w:rPr>
                <w:b/>
                <w:sz w:val="20"/>
                <w:szCs w:val="20"/>
              </w:rPr>
              <w:t>Parceiros -</w:t>
            </w:r>
            <w:r w:rsidR="001B3165" w:rsidRPr="006B6298">
              <w:rPr>
                <w:b/>
                <w:sz w:val="20"/>
                <w:szCs w:val="20"/>
              </w:rPr>
              <w:t xml:space="preserve"> </w:t>
            </w:r>
            <w:r w:rsidR="001B3165" w:rsidRPr="006B6298">
              <w:rPr>
                <w:sz w:val="20"/>
                <w:szCs w:val="20"/>
              </w:rPr>
              <w:t xml:space="preserve">Secretaria da Saúde </w:t>
            </w:r>
            <w:r w:rsidRPr="006B6298">
              <w:rPr>
                <w:sz w:val="20"/>
                <w:szCs w:val="20"/>
              </w:rPr>
              <w:t xml:space="preserve">- </w:t>
            </w:r>
            <w:r w:rsidR="001B3165" w:rsidRPr="006B6298">
              <w:rPr>
                <w:sz w:val="20"/>
                <w:szCs w:val="20"/>
              </w:rPr>
              <w:t xml:space="preserve">SS; Hospital das Clínicas da Faculdade de Medicina da Universidade de São Paulo </w:t>
            </w:r>
            <w:r w:rsidRPr="006B6298">
              <w:rPr>
                <w:sz w:val="20"/>
                <w:szCs w:val="20"/>
              </w:rPr>
              <w:t xml:space="preserve">- </w:t>
            </w:r>
            <w:r w:rsidR="001B3165" w:rsidRPr="006B6298">
              <w:rPr>
                <w:sz w:val="20"/>
                <w:szCs w:val="20"/>
              </w:rPr>
              <w:t xml:space="preserve">HC-FMUSP e Fundação Faculdade de Medicina </w:t>
            </w:r>
            <w:r w:rsidRPr="006B6298">
              <w:rPr>
                <w:sz w:val="20"/>
                <w:szCs w:val="20"/>
              </w:rPr>
              <w:t xml:space="preserve">- </w:t>
            </w:r>
            <w:r w:rsidR="001B3165" w:rsidRPr="006B6298">
              <w:rPr>
                <w:sz w:val="20"/>
                <w:szCs w:val="20"/>
              </w:rPr>
              <w:t>FFM</w:t>
            </w:r>
            <w:r w:rsidRPr="006B6298">
              <w:rPr>
                <w:sz w:val="20"/>
                <w:szCs w:val="20"/>
              </w:rPr>
              <w:t>.</w:t>
            </w:r>
          </w:p>
        </w:tc>
      </w:tr>
      <w:tr w:rsidR="006B6298" w:rsidRPr="006B6298" w:rsidTr="00FD5D16">
        <w:trPr>
          <w:jc w:val="center"/>
        </w:trPr>
        <w:tc>
          <w:tcPr>
            <w:tcW w:w="9792" w:type="dxa"/>
            <w:shd w:val="clear" w:color="auto" w:fill="auto"/>
          </w:tcPr>
          <w:p w:rsidR="001B3165" w:rsidRPr="006B6298" w:rsidRDefault="001B3165" w:rsidP="00894264">
            <w:pPr>
              <w:jc w:val="both"/>
              <w:rPr>
                <w:b/>
                <w:sz w:val="20"/>
                <w:szCs w:val="20"/>
              </w:rPr>
            </w:pPr>
            <w:r w:rsidRPr="006B6298">
              <w:rPr>
                <w:b/>
                <w:sz w:val="20"/>
                <w:szCs w:val="20"/>
              </w:rPr>
              <w:lastRenderedPageBreak/>
              <w:t>PROJETO</w:t>
            </w:r>
            <w:r w:rsidR="00F12107" w:rsidRPr="006B6298">
              <w:rPr>
                <w:b/>
                <w:sz w:val="20"/>
                <w:szCs w:val="20"/>
              </w:rPr>
              <w:t xml:space="preserve"> -</w:t>
            </w:r>
            <w:r w:rsidRPr="006B6298">
              <w:rPr>
                <w:b/>
                <w:sz w:val="20"/>
                <w:szCs w:val="20"/>
              </w:rPr>
              <w:t xml:space="preserve"> PREVENÇÃO AO DESAPARECIMENTO DE PESSOAS COM DEFICIÊNCIA</w:t>
            </w:r>
          </w:p>
        </w:tc>
      </w:tr>
      <w:tr w:rsidR="006B6298" w:rsidRPr="006B6298" w:rsidTr="00FD5D16">
        <w:trPr>
          <w:jc w:val="center"/>
        </w:trPr>
        <w:tc>
          <w:tcPr>
            <w:tcW w:w="9792" w:type="dxa"/>
            <w:shd w:val="clear" w:color="auto" w:fill="auto"/>
          </w:tcPr>
          <w:p w:rsidR="001B3165" w:rsidRPr="006B6298" w:rsidRDefault="00F12107" w:rsidP="001B3165">
            <w:pPr>
              <w:jc w:val="both"/>
              <w:rPr>
                <w:sz w:val="20"/>
                <w:szCs w:val="20"/>
              </w:rPr>
            </w:pPr>
            <w:r w:rsidRPr="006B6298">
              <w:rPr>
                <w:b/>
                <w:sz w:val="20"/>
                <w:szCs w:val="20"/>
              </w:rPr>
              <w:t>Objetivo -</w:t>
            </w:r>
            <w:r w:rsidR="001B3165" w:rsidRPr="006B6298">
              <w:rPr>
                <w:b/>
                <w:sz w:val="20"/>
                <w:szCs w:val="20"/>
              </w:rPr>
              <w:t xml:space="preserve"> </w:t>
            </w:r>
            <w:r w:rsidR="001B3165" w:rsidRPr="006B6298">
              <w:rPr>
                <w:sz w:val="20"/>
                <w:szCs w:val="20"/>
              </w:rPr>
              <w:t>Conjugação de esforços e apoio mútuo entre os partícipes de modo a estabelecer mecanismos de atendimento e prevenção ao desaparecimento de pessoas com deficiência, por meio de metodologia que envolvam pesquisa, integração tecnológica e inovação na elucidação dos casos de desaparecidos. Conscientização da população sobre a gravidade do desaparecimento de pessoas com deficiência.</w:t>
            </w:r>
          </w:p>
          <w:p w:rsidR="001B3165" w:rsidRPr="006B6298" w:rsidRDefault="001B3165" w:rsidP="001B3165">
            <w:pPr>
              <w:jc w:val="both"/>
              <w:rPr>
                <w:sz w:val="20"/>
                <w:szCs w:val="20"/>
              </w:rPr>
            </w:pPr>
            <w:r w:rsidRPr="006B6298">
              <w:rPr>
                <w:sz w:val="20"/>
                <w:szCs w:val="20"/>
              </w:rPr>
              <w:t>Conscientização da população, capacitação de profissionais que trabalham nas instituições voltadas ao atendimento de pessoas com deficiência, além da criação de banco de dados relacional com informações pessoais, biométricas, por meio de fotos, pela genética e via moleculares, que possibilite todo tip</w:t>
            </w:r>
            <w:r w:rsidR="006B6298" w:rsidRPr="006B6298">
              <w:rPr>
                <w:sz w:val="20"/>
                <w:szCs w:val="20"/>
              </w:rPr>
              <w:t>o de cruzamento de informações.</w:t>
            </w:r>
          </w:p>
          <w:p w:rsidR="001B3165" w:rsidRPr="006B6298" w:rsidRDefault="00F12107" w:rsidP="00F12107">
            <w:pPr>
              <w:jc w:val="both"/>
              <w:rPr>
                <w:b/>
                <w:strike/>
                <w:sz w:val="20"/>
                <w:szCs w:val="20"/>
              </w:rPr>
            </w:pPr>
            <w:r w:rsidRPr="006B6298">
              <w:rPr>
                <w:b/>
                <w:sz w:val="20"/>
                <w:szCs w:val="20"/>
              </w:rPr>
              <w:t>Parceiros -</w:t>
            </w:r>
            <w:r w:rsidR="001B3165" w:rsidRPr="006B6298">
              <w:rPr>
                <w:b/>
                <w:sz w:val="20"/>
                <w:szCs w:val="20"/>
              </w:rPr>
              <w:t xml:space="preserve"> </w:t>
            </w:r>
            <w:r w:rsidR="001B3165" w:rsidRPr="006B6298">
              <w:rPr>
                <w:sz w:val="20"/>
                <w:szCs w:val="20"/>
              </w:rPr>
              <w:t xml:space="preserve">Hospital das Clínicas da Faculdade de Medicina da Universidade de São Paulo </w:t>
            </w:r>
            <w:r w:rsidRPr="006B6298">
              <w:rPr>
                <w:sz w:val="20"/>
                <w:szCs w:val="20"/>
              </w:rPr>
              <w:t>-</w:t>
            </w:r>
            <w:r w:rsidR="001B3165" w:rsidRPr="006B6298">
              <w:rPr>
                <w:sz w:val="20"/>
                <w:szCs w:val="20"/>
              </w:rPr>
              <w:t xml:space="preserve"> HCFMUSP; Laboratório de Imuno-Hematologia e Hematologia Forense - LIM-40 e Fundação Faculdade de Medicina </w:t>
            </w:r>
            <w:r w:rsidRPr="006B6298">
              <w:rPr>
                <w:sz w:val="20"/>
                <w:szCs w:val="20"/>
              </w:rPr>
              <w:t>-</w:t>
            </w:r>
            <w:r w:rsidR="001B3165" w:rsidRPr="006B6298">
              <w:rPr>
                <w:sz w:val="20"/>
                <w:szCs w:val="20"/>
              </w:rPr>
              <w:t xml:space="preserve"> FFM</w:t>
            </w:r>
          </w:p>
        </w:tc>
      </w:tr>
      <w:tr w:rsidR="006B6298" w:rsidRPr="006B6298" w:rsidTr="00FD5D16">
        <w:trPr>
          <w:jc w:val="center"/>
        </w:trPr>
        <w:tc>
          <w:tcPr>
            <w:tcW w:w="9792" w:type="dxa"/>
            <w:shd w:val="clear" w:color="auto" w:fill="auto"/>
          </w:tcPr>
          <w:p w:rsidR="001B3165" w:rsidRPr="006B6298" w:rsidRDefault="00F12107" w:rsidP="00F12107">
            <w:pPr>
              <w:jc w:val="both"/>
              <w:rPr>
                <w:b/>
                <w:sz w:val="20"/>
                <w:szCs w:val="20"/>
              </w:rPr>
            </w:pPr>
            <w:r w:rsidRPr="006B6298">
              <w:rPr>
                <w:b/>
                <w:sz w:val="20"/>
                <w:szCs w:val="20"/>
              </w:rPr>
              <w:t>PROJETO -</w:t>
            </w:r>
            <w:r w:rsidR="001B3165" w:rsidRPr="006B6298">
              <w:rPr>
                <w:b/>
                <w:sz w:val="20"/>
                <w:szCs w:val="20"/>
              </w:rPr>
              <w:t xml:space="preserve"> IMPLANTAÇÃO DE CENTRAL DE ATENDIMENTO PARA CENTRO DE ORIENTAÇÃO E ENCAMINHAMENTO PARA PESSOAS COM DEFICIÊNCIA E FAMILIARES - COE</w:t>
            </w:r>
          </w:p>
        </w:tc>
      </w:tr>
      <w:tr w:rsidR="006B6298" w:rsidRPr="006B6298" w:rsidTr="00FD5D16">
        <w:trPr>
          <w:jc w:val="center"/>
        </w:trPr>
        <w:tc>
          <w:tcPr>
            <w:tcW w:w="9792" w:type="dxa"/>
            <w:shd w:val="clear" w:color="auto" w:fill="auto"/>
          </w:tcPr>
          <w:p w:rsidR="001B3165" w:rsidRPr="006B6298" w:rsidRDefault="00F12107"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Contratação dos serviços de tele atendimento para o COE, que visa prestar</w:t>
            </w:r>
            <w:r w:rsidRPr="006B6298">
              <w:rPr>
                <w:rFonts w:ascii="Times New Roman" w:hAnsi="Times New Roman"/>
                <w:sz w:val="20"/>
                <w:szCs w:val="20"/>
              </w:rPr>
              <w:t>,</w:t>
            </w:r>
            <w:r w:rsidR="001B3165" w:rsidRPr="006B6298">
              <w:rPr>
                <w:rFonts w:ascii="Times New Roman" w:hAnsi="Times New Roman"/>
                <w:sz w:val="20"/>
                <w:szCs w:val="20"/>
              </w:rPr>
              <w:t xml:space="preserve"> gratuitamente, esclarecimentos e informações relativas aos direitos e assuntos relacionados às pessoas com todos os tipos de deficiência via telefone (0800), </w:t>
            </w:r>
            <w:r w:rsidR="001B3165" w:rsidRPr="006B6298">
              <w:rPr>
                <w:rFonts w:ascii="Times New Roman" w:hAnsi="Times New Roman"/>
                <w:i/>
                <w:sz w:val="20"/>
                <w:szCs w:val="20"/>
              </w:rPr>
              <w:t xml:space="preserve">chat </w:t>
            </w:r>
            <w:r w:rsidR="001B3165" w:rsidRPr="006B6298">
              <w:rPr>
                <w:rFonts w:ascii="Times New Roman" w:hAnsi="Times New Roman"/>
                <w:sz w:val="20"/>
                <w:szCs w:val="20"/>
              </w:rPr>
              <w:t>(</w:t>
            </w:r>
            <w:r w:rsidR="001B3165" w:rsidRPr="006B6298">
              <w:rPr>
                <w:rFonts w:ascii="Times New Roman" w:hAnsi="Times New Roman"/>
                <w:i/>
                <w:sz w:val="20"/>
                <w:szCs w:val="20"/>
              </w:rPr>
              <w:t>web</w:t>
            </w:r>
            <w:r w:rsidR="001B3165" w:rsidRPr="006B6298">
              <w:rPr>
                <w:rFonts w:ascii="Times New Roman" w:hAnsi="Times New Roman"/>
                <w:sz w:val="20"/>
                <w:szCs w:val="20"/>
              </w:rPr>
              <w:t xml:space="preserve">) e </w:t>
            </w:r>
            <w:r w:rsidR="001B3165" w:rsidRPr="006B6298">
              <w:rPr>
                <w:rFonts w:ascii="Times New Roman" w:hAnsi="Times New Roman"/>
                <w:i/>
                <w:sz w:val="20"/>
                <w:szCs w:val="20"/>
              </w:rPr>
              <w:t>e-mail</w:t>
            </w:r>
            <w:r w:rsidR="001B3165" w:rsidRPr="006B6298">
              <w:rPr>
                <w:rFonts w:ascii="Times New Roman" w:hAnsi="Times New Roman"/>
                <w:sz w:val="20"/>
                <w:szCs w:val="20"/>
              </w:rPr>
              <w:t>.</w:t>
            </w:r>
          </w:p>
          <w:p w:rsidR="001B3165" w:rsidRPr="006B6298" w:rsidRDefault="001B3165" w:rsidP="001B3165">
            <w:pPr>
              <w:jc w:val="both"/>
              <w:rPr>
                <w:strike/>
                <w:sz w:val="20"/>
                <w:szCs w:val="20"/>
              </w:rPr>
            </w:pPr>
            <w:r w:rsidRPr="006B6298">
              <w:rPr>
                <w:sz w:val="20"/>
                <w:szCs w:val="20"/>
              </w:rPr>
              <w:t>Fornecimento à população das informações necessárias sobre os recursos para atendimento de suas necessidades, contemplando serviços de saúde, educação, jurídicos e sociais, além da disponibilização de informações que possibilitem valorização da diversidade humana e fortalecimento da aceitação das diferenças individuais, contribuindo para formação de personalidades saudáveis dos indivídu</w:t>
            </w:r>
            <w:r w:rsidR="00F408C4" w:rsidRPr="006B6298">
              <w:rPr>
                <w:sz w:val="20"/>
                <w:szCs w:val="20"/>
              </w:rPr>
              <w:t>os, sem qualquer descriminação.</w:t>
            </w:r>
          </w:p>
          <w:p w:rsidR="001B3165" w:rsidRPr="006B6298" w:rsidRDefault="00F408C4" w:rsidP="00F408C4">
            <w:pPr>
              <w:pStyle w:val="PargrafodaLista"/>
              <w:ind w:left="0"/>
              <w:rPr>
                <w:rFonts w:ascii="Times New Roman" w:hAnsi="Times New Roman"/>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Amigos Metr</w:t>
            </w:r>
            <w:r w:rsidRPr="006B6298">
              <w:rPr>
                <w:rFonts w:ascii="Times New Roman" w:hAnsi="Times New Roman"/>
                <w:sz w:val="20"/>
                <w:szCs w:val="20"/>
              </w:rPr>
              <w:t>oviários dos Excepcionais - AME.</w:t>
            </w:r>
          </w:p>
        </w:tc>
      </w:tr>
      <w:tr w:rsidR="006B6298" w:rsidRPr="006B6298" w:rsidTr="00FD5D16">
        <w:trPr>
          <w:jc w:val="center"/>
        </w:trPr>
        <w:tc>
          <w:tcPr>
            <w:tcW w:w="9792" w:type="dxa"/>
            <w:shd w:val="clear" w:color="auto" w:fill="auto"/>
          </w:tcPr>
          <w:p w:rsidR="001B3165" w:rsidRPr="006B6298" w:rsidRDefault="001B3165" w:rsidP="00F408C4">
            <w:pPr>
              <w:tabs>
                <w:tab w:val="left" w:pos="924"/>
              </w:tabs>
              <w:jc w:val="both"/>
              <w:rPr>
                <w:b/>
                <w:sz w:val="20"/>
                <w:szCs w:val="20"/>
              </w:rPr>
            </w:pPr>
            <w:r w:rsidRPr="006B6298">
              <w:rPr>
                <w:b/>
                <w:sz w:val="20"/>
                <w:szCs w:val="20"/>
              </w:rPr>
              <w:t>PROJETO</w:t>
            </w:r>
            <w:r w:rsidR="00F408C4" w:rsidRPr="006B6298">
              <w:rPr>
                <w:b/>
                <w:sz w:val="20"/>
                <w:szCs w:val="20"/>
              </w:rPr>
              <w:t xml:space="preserve"> -</w:t>
            </w:r>
            <w:r w:rsidRPr="006B6298">
              <w:rPr>
                <w:b/>
                <w:sz w:val="20"/>
                <w:szCs w:val="20"/>
              </w:rPr>
              <w:t xml:space="preserve"> TOM SÃO PAULO</w:t>
            </w:r>
          </w:p>
        </w:tc>
      </w:tr>
      <w:tr w:rsidR="006B6298" w:rsidRPr="006B6298" w:rsidTr="00FD5D16">
        <w:trPr>
          <w:jc w:val="center"/>
        </w:trPr>
        <w:tc>
          <w:tcPr>
            <w:tcW w:w="9792" w:type="dxa"/>
            <w:shd w:val="clear" w:color="auto" w:fill="auto"/>
          </w:tcPr>
          <w:p w:rsidR="001B3165" w:rsidRPr="006B6298" w:rsidRDefault="00F408C4"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Realização do </w:t>
            </w:r>
            <w:r w:rsidRPr="006B6298">
              <w:rPr>
                <w:rFonts w:ascii="Times New Roman" w:hAnsi="Times New Roman"/>
                <w:sz w:val="20"/>
                <w:szCs w:val="20"/>
              </w:rPr>
              <w:t>Evento “</w:t>
            </w:r>
            <w:r w:rsidR="001B3165" w:rsidRPr="006B6298">
              <w:rPr>
                <w:rFonts w:ascii="Times New Roman" w:hAnsi="Times New Roman"/>
                <w:sz w:val="20"/>
                <w:szCs w:val="20"/>
              </w:rPr>
              <w:t>TOM São Paulo</w:t>
            </w:r>
            <w:r w:rsidRPr="006B6298">
              <w:rPr>
                <w:rFonts w:ascii="Times New Roman" w:hAnsi="Times New Roman"/>
                <w:sz w:val="20"/>
                <w:szCs w:val="20"/>
              </w:rPr>
              <w:t>”</w:t>
            </w:r>
            <w:r w:rsidR="001B3165" w:rsidRPr="006B6298">
              <w:rPr>
                <w:rFonts w:ascii="Times New Roman" w:hAnsi="Times New Roman"/>
                <w:sz w:val="20"/>
                <w:szCs w:val="20"/>
              </w:rPr>
              <w:t xml:space="preserve">, realizada em Nazaré, Israel, reunindo pessoas com deficiência e equipes de profissionais/especialistas voluntários (engenheiros, arquitetos, médicos, fisioterapeutas, terapeutas ocupacionais, fonoaudiólogos, </w:t>
            </w:r>
            <w:r w:rsidR="001B3165" w:rsidRPr="006B6298">
              <w:rPr>
                <w:rFonts w:ascii="Times New Roman" w:hAnsi="Times New Roman"/>
                <w:i/>
                <w:sz w:val="20"/>
                <w:szCs w:val="20"/>
              </w:rPr>
              <w:t>designers</w:t>
            </w:r>
            <w:r w:rsidR="001B3165" w:rsidRPr="006B6298">
              <w:rPr>
                <w:rFonts w:ascii="Times New Roman" w:hAnsi="Times New Roman"/>
                <w:sz w:val="20"/>
                <w:szCs w:val="20"/>
              </w:rPr>
              <w:t>), visando o desenvolvimento de soluções viáveis para os desafios do dia a dia enfrentados pela pessoa com deficiência.</w:t>
            </w:r>
          </w:p>
          <w:p w:rsidR="001B3165" w:rsidRPr="006B6298" w:rsidRDefault="001B3165" w:rsidP="001B3165">
            <w:pPr>
              <w:jc w:val="both"/>
              <w:rPr>
                <w:strike/>
                <w:sz w:val="20"/>
                <w:szCs w:val="20"/>
              </w:rPr>
            </w:pPr>
            <w:r w:rsidRPr="006B6298">
              <w:rPr>
                <w:sz w:val="20"/>
                <w:szCs w:val="20"/>
              </w:rPr>
              <w:t>Evento realizado com objetivo de definir, por meio de análise de sugestões de pessoas com deficiência desafios</w:t>
            </w:r>
            <w:r w:rsidR="00894264" w:rsidRPr="006B6298">
              <w:rPr>
                <w:sz w:val="20"/>
                <w:szCs w:val="20"/>
              </w:rPr>
              <w:t xml:space="preserve"> </w:t>
            </w:r>
            <w:r w:rsidRPr="006B6298">
              <w:rPr>
                <w:sz w:val="20"/>
                <w:szCs w:val="20"/>
              </w:rPr>
              <w:t>para serem objeto de estudo pelas equipes multitarefa, formadas por profissionais de diferentes áreas de formação, que se encarregaram de apresentar soluções para assuntos controversos</w:t>
            </w:r>
            <w:r w:rsidR="00894264" w:rsidRPr="006B6298">
              <w:rPr>
                <w:sz w:val="20"/>
                <w:szCs w:val="20"/>
              </w:rPr>
              <w:t>.</w:t>
            </w:r>
          </w:p>
          <w:p w:rsidR="001B3165" w:rsidRPr="006B6298" w:rsidRDefault="001B3165" w:rsidP="001B3165">
            <w:pPr>
              <w:jc w:val="both"/>
              <w:rPr>
                <w:sz w:val="20"/>
                <w:szCs w:val="20"/>
              </w:rPr>
            </w:pPr>
            <w:r w:rsidRPr="006B6298">
              <w:rPr>
                <w:sz w:val="20"/>
                <w:szCs w:val="20"/>
              </w:rPr>
              <w:t>Desafios Apresentados:</w:t>
            </w:r>
          </w:p>
          <w:p w:rsidR="001B3165" w:rsidRPr="006B6298" w:rsidRDefault="001B3165" w:rsidP="001B3165">
            <w:pPr>
              <w:jc w:val="both"/>
              <w:rPr>
                <w:sz w:val="20"/>
                <w:szCs w:val="20"/>
              </w:rPr>
            </w:pPr>
            <w:r w:rsidRPr="006B6298">
              <w:rPr>
                <w:sz w:val="20"/>
                <w:szCs w:val="20"/>
              </w:rPr>
              <w:t>Desafio 1</w:t>
            </w:r>
            <w:r w:rsidR="00894264" w:rsidRPr="006B6298">
              <w:rPr>
                <w:sz w:val="20"/>
                <w:szCs w:val="20"/>
              </w:rPr>
              <w:t xml:space="preserve"> -</w:t>
            </w:r>
            <w:r w:rsidRPr="006B6298">
              <w:rPr>
                <w:sz w:val="20"/>
                <w:szCs w:val="20"/>
              </w:rPr>
              <w:t xml:space="preserve"> </w:t>
            </w:r>
            <w:r w:rsidR="00894264" w:rsidRPr="006B6298">
              <w:rPr>
                <w:sz w:val="20"/>
                <w:szCs w:val="20"/>
              </w:rPr>
              <w:t>Equipamento Paraolímpico.</w:t>
            </w:r>
          </w:p>
          <w:p w:rsidR="001B3165" w:rsidRPr="006B6298" w:rsidRDefault="001B3165" w:rsidP="001B3165">
            <w:pPr>
              <w:jc w:val="both"/>
              <w:rPr>
                <w:sz w:val="20"/>
                <w:szCs w:val="20"/>
              </w:rPr>
            </w:pPr>
            <w:r w:rsidRPr="006B6298">
              <w:rPr>
                <w:sz w:val="20"/>
                <w:szCs w:val="20"/>
              </w:rPr>
              <w:t>Desafio 2</w:t>
            </w:r>
            <w:r w:rsidR="00894264" w:rsidRPr="006B6298">
              <w:rPr>
                <w:sz w:val="20"/>
                <w:szCs w:val="20"/>
              </w:rPr>
              <w:t xml:space="preserve"> -</w:t>
            </w:r>
            <w:r w:rsidRPr="006B6298">
              <w:rPr>
                <w:sz w:val="20"/>
                <w:szCs w:val="20"/>
              </w:rPr>
              <w:t xml:space="preserve"> </w:t>
            </w:r>
            <w:r w:rsidR="00894264" w:rsidRPr="006B6298">
              <w:rPr>
                <w:sz w:val="20"/>
                <w:szCs w:val="20"/>
              </w:rPr>
              <w:t>Controle Ambiental.</w:t>
            </w:r>
          </w:p>
          <w:p w:rsidR="001B3165" w:rsidRPr="006B6298" w:rsidRDefault="001B3165" w:rsidP="001B3165">
            <w:pPr>
              <w:jc w:val="both"/>
              <w:rPr>
                <w:sz w:val="20"/>
                <w:szCs w:val="20"/>
              </w:rPr>
            </w:pPr>
            <w:r w:rsidRPr="006B6298">
              <w:rPr>
                <w:sz w:val="20"/>
                <w:szCs w:val="20"/>
              </w:rPr>
              <w:t>Desafio 3</w:t>
            </w:r>
            <w:r w:rsidR="00894264" w:rsidRPr="006B6298">
              <w:rPr>
                <w:sz w:val="20"/>
                <w:szCs w:val="20"/>
              </w:rPr>
              <w:t xml:space="preserve"> -</w:t>
            </w:r>
            <w:r w:rsidRPr="006B6298">
              <w:rPr>
                <w:sz w:val="20"/>
                <w:szCs w:val="20"/>
              </w:rPr>
              <w:t xml:space="preserve"> </w:t>
            </w:r>
            <w:r w:rsidR="00894264" w:rsidRPr="006B6298">
              <w:rPr>
                <w:sz w:val="20"/>
                <w:szCs w:val="20"/>
              </w:rPr>
              <w:t>Aplicativo Georreferenciado de Acessibilidade.</w:t>
            </w:r>
          </w:p>
          <w:p w:rsidR="001B3165" w:rsidRPr="006B6298" w:rsidRDefault="001B3165" w:rsidP="001B3165">
            <w:pPr>
              <w:jc w:val="both"/>
              <w:rPr>
                <w:sz w:val="20"/>
                <w:szCs w:val="20"/>
              </w:rPr>
            </w:pPr>
            <w:r w:rsidRPr="006B6298">
              <w:rPr>
                <w:sz w:val="20"/>
                <w:szCs w:val="20"/>
              </w:rPr>
              <w:t>Desafio 4</w:t>
            </w:r>
            <w:r w:rsidR="00894264" w:rsidRPr="006B6298">
              <w:rPr>
                <w:sz w:val="20"/>
                <w:szCs w:val="20"/>
              </w:rPr>
              <w:t xml:space="preserve"> -</w:t>
            </w:r>
            <w:r w:rsidRPr="006B6298">
              <w:rPr>
                <w:sz w:val="20"/>
                <w:szCs w:val="20"/>
              </w:rPr>
              <w:t xml:space="preserve"> </w:t>
            </w:r>
            <w:r w:rsidR="00894264" w:rsidRPr="006B6298">
              <w:rPr>
                <w:sz w:val="20"/>
                <w:szCs w:val="20"/>
              </w:rPr>
              <w:t>Jogo Inclusivo.</w:t>
            </w:r>
          </w:p>
          <w:p w:rsidR="001B3165" w:rsidRPr="006B6298" w:rsidRDefault="001B3165" w:rsidP="001B3165">
            <w:pPr>
              <w:jc w:val="both"/>
              <w:rPr>
                <w:sz w:val="20"/>
                <w:szCs w:val="20"/>
              </w:rPr>
            </w:pPr>
            <w:r w:rsidRPr="006B6298">
              <w:rPr>
                <w:sz w:val="20"/>
                <w:szCs w:val="20"/>
              </w:rPr>
              <w:t>Desafio 5</w:t>
            </w:r>
            <w:r w:rsidR="00894264" w:rsidRPr="006B6298">
              <w:rPr>
                <w:sz w:val="20"/>
                <w:szCs w:val="20"/>
              </w:rPr>
              <w:t xml:space="preserve"> -</w:t>
            </w:r>
            <w:r w:rsidRPr="006B6298">
              <w:rPr>
                <w:sz w:val="20"/>
                <w:szCs w:val="20"/>
              </w:rPr>
              <w:t xml:space="preserve"> </w:t>
            </w:r>
            <w:r w:rsidR="00894264" w:rsidRPr="006B6298">
              <w:rPr>
                <w:i/>
                <w:sz w:val="20"/>
                <w:szCs w:val="20"/>
              </w:rPr>
              <w:t>Display Braile</w:t>
            </w:r>
            <w:r w:rsidR="00894264" w:rsidRPr="006B6298">
              <w:rPr>
                <w:sz w:val="20"/>
                <w:szCs w:val="20"/>
              </w:rPr>
              <w:t xml:space="preserve"> Inovador.</w:t>
            </w:r>
          </w:p>
          <w:p w:rsidR="001B3165" w:rsidRPr="006B6298" w:rsidRDefault="001B3165" w:rsidP="001B3165">
            <w:pPr>
              <w:jc w:val="both"/>
              <w:rPr>
                <w:sz w:val="20"/>
                <w:szCs w:val="20"/>
              </w:rPr>
            </w:pPr>
            <w:r w:rsidRPr="006B6298">
              <w:rPr>
                <w:sz w:val="20"/>
                <w:szCs w:val="20"/>
              </w:rPr>
              <w:t>Desafio 6</w:t>
            </w:r>
            <w:r w:rsidR="00894264" w:rsidRPr="006B6298">
              <w:rPr>
                <w:sz w:val="20"/>
                <w:szCs w:val="20"/>
              </w:rPr>
              <w:t xml:space="preserve"> -</w:t>
            </w:r>
            <w:r w:rsidRPr="006B6298">
              <w:rPr>
                <w:sz w:val="20"/>
                <w:szCs w:val="20"/>
              </w:rPr>
              <w:t xml:space="preserve"> </w:t>
            </w:r>
            <w:r w:rsidR="00894264" w:rsidRPr="006B6298">
              <w:rPr>
                <w:i/>
                <w:sz w:val="20"/>
                <w:szCs w:val="20"/>
              </w:rPr>
              <w:t>Games</w:t>
            </w:r>
            <w:r w:rsidR="00894264" w:rsidRPr="006B6298">
              <w:rPr>
                <w:sz w:val="20"/>
                <w:szCs w:val="20"/>
              </w:rPr>
              <w:t xml:space="preserve"> Acessíveis.</w:t>
            </w:r>
          </w:p>
          <w:p w:rsidR="001B3165" w:rsidRPr="006B6298" w:rsidRDefault="00894264" w:rsidP="00894264">
            <w:pPr>
              <w:pStyle w:val="PargrafodaLista"/>
              <w:ind w:left="0"/>
              <w:rPr>
                <w:rFonts w:ascii="Times New Roman" w:hAnsi="Times New Roman"/>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Departamento de Engenharia de Produção da Poli/USP.</w:t>
            </w:r>
          </w:p>
        </w:tc>
      </w:tr>
      <w:tr w:rsidR="006B6298" w:rsidRPr="006B6298" w:rsidTr="00FD5D16">
        <w:trPr>
          <w:jc w:val="center"/>
        </w:trPr>
        <w:tc>
          <w:tcPr>
            <w:tcW w:w="9792" w:type="dxa"/>
            <w:shd w:val="clear" w:color="auto" w:fill="auto"/>
          </w:tcPr>
          <w:p w:rsidR="001B3165" w:rsidRPr="006B6298" w:rsidRDefault="001B3165" w:rsidP="00894264">
            <w:pPr>
              <w:jc w:val="both"/>
              <w:rPr>
                <w:b/>
                <w:sz w:val="20"/>
                <w:szCs w:val="20"/>
              </w:rPr>
            </w:pPr>
            <w:r w:rsidRPr="006B6298">
              <w:rPr>
                <w:b/>
                <w:sz w:val="20"/>
                <w:szCs w:val="20"/>
              </w:rPr>
              <w:t>PROJETO</w:t>
            </w:r>
            <w:r w:rsidR="00894264" w:rsidRPr="006B6298">
              <w:rPr>
                <w:b/>
                <w:sz w:val="20"/>
                <w:szCs w:val="20"/>
              </w:rPr>
              <w:t xml:space="preserve"> -</w:t>
            </w:r>
            <w:r w:rsidRPr="006B6298">
              <w:rPr>
                <w:b/>
                <w:sz w:val="20"/>
                <w:szCs w:val="20"/>
              </w:rPr>
              <w:t xml:space="preserve"> FÓRUM ESTADUAL DE SECRETÁRIOS E GESTORES DOS DIREITOS DA PESSOA COM DEFICIÊNCIA DE SÃO PAULO - V CARAVANA DA INCLUSÃO, ACESSIBILIDADE E CIDADANIA</w:t>
            </w:r>
          </w:p>
        </w:tc>
      </w:tr>
      <w:tr w:rsidR="006B6298" w:rsidRPr="006B6298" w:rsidTr="00FD5D16">
        <w:trPr>
          <w:jc w:val="center"/>
        </w:trPr>
        <w:tc>
          <w:tcPr>
            <w:tcW w:w="9792" w:type="dxa"/>
            <w:shd w:val="clear" w:color="auto" w:fill="auto"/>
          </w:tcPr>
          <w:p w:rsidR="001B3165" w:rsidRPr="006B6298" w:rsidRDefault="00894264"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Reunião de gestores dos direitos da pessoa com deficiência de todo o Estado para troca de experiências em políticas públicas inclusivas.</w:t>
            </w:r>
          </w:p>
          <w:p w:rsidR="001B3165" w:rsidRPr="006B6298" w:rsidRDefault="001B3165" w:rsidP="001B3165">
            <w:pPr>
              <w:jc w:val="both"/>
              <w:rPr>
                <w:sz w:val="20"/>
                <w:szCs w:val="20"/>
              </w:rPr>
            </w:pPr>
            <w:r w:rsidRPr="006B6298">
              <w:rPr>
                <w:sz w:val="20"/>
                <w:szCs w:val="20"/>
              </w:rPr>
              <w:t>Interlocução com gestores municipais, com realização d</w:t>
            </w:r>
            <w:r w:rsidR="00894264" w:rsidRPr="006B6298">
              <w:rPr>
                <w:sz w:val="20"/>
                <w:szCs w:val="20"/>
              </w:rPr>
              <w:t>e</w:t>
            </w:r>
            <w:r w:rsidRPr="006B6298">
              <w:rPr>
                <w:sz w:val="20"/>
                <w:szCs w:val="20"/>
              </w:rPr>
              <w:t xml:space="preserve"> encontros em São Paulo, Avaré, Araras, Pederneiras e </w:t>
            </w:r>
            <w:r w:rsidR="00894264" w:rsidRPr="006B6298">
              <w:rPr>
                <w:sz w:val="20"/>
                <w:szCs w:val="20"/>
              </w:rPr>
              <w:t>Águas da Prata.</w:t>
            </w:r>
          </w:p>
          <w:p w:rsidR="001B3165" w:rsidRPr="006B6298" w:rsidRDefault="00894264" w:rsidP="00894264">
            <w:pPr>
              <w:pStyle w:val="PargrafodaLista"/>
              <w:ind w:left="0"/>
              <w:rPr>
                <w:rFonts w:ascii="Times New Roman" w:hAnsi="Times New Roman"/>
                <w:b/>
                <w:strike/>
                <w:sz w:val="20"/>
                <w:szCs w:val="20"/>
              </w:rPr>
            </w:pPr>
            <w:r w:rsidRPr="006B6298">
              <w:rPr>
                <w:rFonts w:ascii="Times New Roman" w:hAnsi="Times New Roman"/>
                <w:b/>
                <w:sz w:val="20"/>
                <w:szCs w:val="20"/>
              </w:rPr>
              <w:t>Parceiros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Gestores Municipais</w:t>
            </w:r>
          </w:p>
        </w:tc>
      </w:tr>
      <w:tr w:rsidR="006B6298" w:rsidRPr="006B6298" w:rsidTr="00FD5D16">
        <w:trPr>
          <w:jc w:val="center"/>
        </w:trPr>
        <w:tc>
          <w:tcPr>
            <w:tcW w:w="9792" w:type="dxa"/>
            <w:shd w:val="clear" w:color="auto" w:fill="auto"/>
          </w:tcPr>
          <w:p w:rsidR="001B3165" w:rsidRPr="006B6298" w:rsidRDefault="001B3165" w:rsidP="00894264">
            <w:pPr>
              <w:jc w:val="both"/>
              <w:rPr>
                <w:b/>
                <w:sz w:val="20"/>
                <w:szCs w:val="20"/>
              </w:rPr>
            </w:pPr>
            <w:r w:rsidRPr="006B6298">
              <w:rPr>
                <w:b/>
                <w:sz w:val="20"/>
                <w:szCs w:val="20"/>
              </w:rPr>
              <w:t>PROJETO</w:t>
            </w:r>
            <w:r w:rsidR="00894264" w:rsidRPr="006B6298">
              <w:rPr>
                <w:b/>
                <w:sz w:val="20"/>
                <w:szCs w:val="20"/>
              </w:rPr>
              <w:t xml:space="preserve"> -</w:t>
            </w:r>
            <w:r w:rsidRPr="006B6298">
              <w:rPr>
                <w:b/>
                <w:sz w:val="20"/>
                <w:szCs w:val="20"/>
              </w:rPr>
              <w:t xml:space="preserve"> PESQUISA E MONITORAMENTO DE NECESSIDADES JUNTO AOS PACIENTES ATENDIDOS PELA REDE LUCY MONTORO DE REABILITAÇÃO</w:t>
            </w:r>
          </w:p>
        </w:tc>
      </w:tr>
      <w:tr w:rsidR="006B6298" w:rsidRPr="006B6298" w:rsidTr="00FD5D16">
        <w:trPr>
          <w:jc w:val="center"/>
        </w:trPr>
        <w:tc>
          <w:tcPr>
            <w:tcW w:w="9792" w:type="dxa"/>
            <w:shd w:val="clear" w:color="auto" w:fill="auto"/>
          </w:tcPr>
          <w:p w:rsidR="001B3165" w:rsidRPr="006B6298" w:rsidRDefault="00CA1772" w:rsidP="001B3165">
            <w:pPr>
              <w:jc w:val="both"/>
              <w:rPr>
                <w:sz w:val="20"/>
                <w:szCs w:val="20"/>
              </w:rPr>
            </w:pPr>
            <w:r w:rsidRPr="006B6298">
              <w:rPr>
                <w:b/>
                <w:sz w:val="20"/>
                <w:szCs w:val="20"/>
              </w:rPr>
              <w:t>Objetivo -</w:t>
            </w:r>
            <w:r w:rsidR="001B3165" w:rsidRPr="006B6298">
              <w:rPr>
                <w:b/>
                <w:sz w:val="20"/>
                <w:szCs w:val="20"/>
              </w:rPr>
              <w:t xml:space="preserve"> </w:t>
            </w:r>
            <w:r w:rsidR="001B3165" w:rsidRPr="006B6298">
              <w:rPr>
                <w:sz w:val="20"/>
                <w:szCs w:val="20"/>
              </w:rPr>
              <w:t>Pesquisa e monitoramento das necessidades junto aos pacientes atendidos pela Rede Lucy Montoro de Reabilitação (que visa avaliar os serviços de reabilitação) e mapeamento dos obs</w:t>
            </w:r>
            <w:r w:rsidRPr="006B6298">
              <w:rPr>
                <w:sz w:val="20"/>
                <w:szCs w:val="20"/>
              </w:rPr>
              <w:t>táculos da cidade de São Paulo.</w:t>
            </w:r>
          </w:p>
          <w:p w:rsidR="001B3165" w:rsidRPr="006B6298" w:rsidRDefault="00CA1772" w:rsidP="001B3165">
            <w:pPr>
              <w:pStyle w:val="PargrafodaLista"/>
              <w:ind w:left="0"/>
              <w:rPr>
                <w:rFonts w:ascii="Times New Roman" w:hAnsi="Times New Roman"/>
                <w:sz w:val="20"/>
                <w:szCs w:val="20"/>
              </w:rPr>
            </w:pPr>
            <w:r w:rsidRPr="006B6298">
              <w:rPr>
                <w:rFonts w:ascii="Times New Roman" w:hAnsi="Times New Roman"/>
                <w:sz w:val="20"/>
                <w:szCs w:val="20"/>
              </w:rPr>
              <w:lastRenderedPageBreak/>
              <w:t>Foram realizadas 2 pesquisas:</w:t>
            </w:r>
          </w:p>
          <w:p w:rsidR="001B3165" w:rsidRPr="006B6298" w:rsidRDefault="001B3165" w:rsidP="00CA1772">
            <w:pPr>
              <w:pStyle w:val="PargrafodaLista"/>
              <w:tabs>
                <w:tab w:val="left" w:pos="313"/>
              </w:tabs>
              <w:ind w:left="0"/>
              <w:rPr>
                <w:rFonts w:ascii="Times New Roman" w:hAnsi="Times New Roman"/>
                <w:sz w:val="20"/>
                <w:szCs w:val="20"/>
              </w:rPr>
            </w:pPr>
            <w:r w:rsidRPr="006B6298">
              <w:rPr>
                <w:rFonts w:ascii="Times New Roman" w:hAnsi="Times New Roman"/>
                <w:b/>
                <w:sz w:val="20"/>
                <w:szCs w:val="20"/>
              </w:rPr>
              <w:t>Pesquisa Domiciliar com Pacientes e Cuidadores</w:t>
            </w:r>
            <w:r w:rsidR="00CA1772" w:rsidRPr="006B6298">
              <w:rPr>
                <w:rFonts w:ascii="Times New Roman" w:hAnsi="Times New Roman"/>
                <w:b/>
                <w:sz w:val="20"/>
                <w:szCs w:val="20"/>
              </w:rPr>
              <w:t xml:space="preserve"> -</w:t>
            </w:r>
            <w:r w:rsidRPr="006B6298">
              <w:rPr>
                <w:rFonts w:ascii="Times New Roman" w:hAnsi="Times New Roman"/>
                <w:sz w:val="20"/>
                <w:szCs w:val="20"/>
              </w:rPr>
              <w:t xml:space="preserve"> Após a validação do banco de dados disponibilizado pela Rede, foram identificados 1</w:t>
            </w:r>
            <w:r w:rsidR="00CA1772" w:rsidRPr="006B6298">
              <w:rPr>
                <w:rFonts w:ascii="Times New Roman" w:hAnsi="Times New Roman"/>
                <w:sz w:val="20"/>
                <w:szCs w:val="20"/>
              </w:rPr>
              <w:t>.</w:t>
            </w:r>
            <w:r w:rsidRPr="006B6298">
              <w:rPr>
                <w:rFonts w:ascii="Times New Roman" w:hAnsi="Times New Roman"/>
                <w:sz w:val="20"/>
                <w:szCs w:val="20"/>
              </w:rPr>
              <w:t xml:space="preserve">390 pacientes e cuidadores, dispersos em 33 </w:t>
            </w:r>
            <w:r w:rsidR="00CA1772" w:rsidRPr="006B6298">
              <w:rPr>
                <w:rFonts w:ascii="Times New Roman" w:hAnsi="Times New Roman"/>
                <w:sz w:val="20"/>
                <w:szCs w:val="20"/>
              </w:rPr>
              <w:t xml:space="preserve">Municípios </w:t>
            </w:r>
            <w:r w:rsidRPr="006B6298">
              <w:rPr>
                <w:rFonts w:ascii="Times New Roman" w:hAnsi="Times New Roman"/>
                <w:sz w:val="20"/>
                <w:szCs w:val="20"/>
              </w:rPr>
              <w:t xml:space="preserve">da Região Metropolitana de São Paulo e 3 </w:t>
            </w:r>
            <w:r w:rsidR="00CA1772" w:rsidRPr="006B6298">
              <w:rPr>
                <w:rFonts w:ascii="Times New Roman" w:hAnsi="Times New Roman"/>
                <w:sz w:val="20"/>
                <w:szCs w:val="20"/>
              </w:rPr>
              <w:t xml:space="preserve">Municípios </w:t>
            </w:r>
            <w:r w:rsidRPr="006B6298">
              <w:rPr>
                <w:rFonts w:ascii="Times New Roman" w:hAnsi="Times New Roman"/>
                <w:sz w:val="20"/>
                <w:szCs w:val="20"/>
              </w:rPr>
              <w:t xml:space="preserve">da Região Metropolitana de Campinas. </w:t>
            </w:r>
            <w:r w:rsidR="00CA1772" w:rsidRPr="006B6298">
              <w:rPr>
                <w:rFonts w:ascii="Times New Roman" w:hAnsi="Times New Roman"/>
                <w:sz w:val="20"/>
                <w:szCs w:val="20"/>
              </w:rPr>
              <w:t xml:space="preserve">Foram </w:t>
            </w:r>
            <w:r w:rsidRPr="006B6298">
              <w:rPr>
                <w:rFonts w:ascii="Times New Roman" w:hAnsi="Times New Roman"/>
                <w:sz w:val="20"/>
                <w:szCs w:val="20"/>
              </w:rPr>
              <w:t xml:space="preserve">realizadas </w:t>
            </w:r>
            <w:r w:rsidR="00CA1772" w:rsidRPr="006B6298">
              <w:rPr>
                <w:rFonts w:ascii="Times New Roman" w:hAnsi="Times New Roman"/>
                <w:sz w:val="20"/>
                <w:szCs w:val="20"/>
              </w:rPr>
              <w:t>8</w:t>
            </w:r>
            <w:r w:rsidRPr="006B6298">
              <w:rPr>
                <w:rFonts w:ascii="Times New Roman" w:hAnsi="Times New Roman"/>
                <w:sz w:val="20"/>
                <w:szCs w:val="20"/>
              </w:rPr>
              <w:t>9</w:t>
            </w:r>
            <w:r w:rsidR="00CA1772" w:rsidRPr="006B6298">
              <w:rPr>
                <w:rFonts w:ascii="Times New Roman" w:hAnsi="Times New Roman"/>
                <w:sz w:val="20"/>
                <w:szCs w:val="20"/>
              </w:rPr>
              <w:t>1</w:t>
            </w:r>
            <w:r w:rsidRPr="006B6298">
              <w:rPr>
                <w:rFonts w:ascii="Times New Roman" w:hAnsi="Times New Roman"/>
                <w:sz w:val="20"/>
                <w:szCs w:val="20"/>
              </w:rPr>
              <w:t xml:space="preserve"> entrevistas. A análise abordou seis temas distintos: perfil dos pacientes, causas da deficiência, tratamentos/programas e resultados, participação atual em programa de reabilitação</w:t>
            </w:r>
            <w:r w:rsidR="00CA1772" w:rsidRPr="006B6298">
              <w:rPr>
                <w:rFonts w:ascii="Times New Roman" w:hAnsi="Times New Roman"/>
                <w:sz w:val="20"/>
                <w:szCs w:val="20"/>
              </w:rPr>
              <w:t xml:space="preserve">, </w:t>
            </w:r>
            <w:r w:rsidRPr="006B6298">
              <w:rPr>
                <w:rFonts w:ascii="Times New Roman" w:hAnsi="Times New Roman"/>
                <w:sz w:val="20"/>
                <w:szCs w:val="20"/>
              </w:rPr>
              <w:t>necessidade de cuidador e r</w:t>
            </w:r>
            <w:r w:rsidR="00CA1772" w:rsidRPr="006B6298">
              <w:rPr>
                <w:rFonts w:ascii="Times New Roman" w:hAnsi="Times New Roman"/>
                <w:sz w:val="20"/>
                <w:szCs w:val="20"/>
              </w:rPr>
              <w:t>ecebimento e uso dos aparelhos.</w:t>
            </w:r>
          </w:p>
          <w:p w:rsidR="001B3165" w:rsidRPr="006B6298" w:rsidRDefault="001B3165" w:rsidP="00CA1772">
            <w:pPr>
              <w:pStyle w:val="PargrafodaLista"/>
              <w:tabs>
                <w:tab w:val="left" w:pos="313"/>
              </w:tabs>
              <w:ind w:left="0"/>
              <w:rPr>
                <w:rFonts w:ascii="Times New Roman" w:hAnsi="Times New Roman"/>
                <w:b/>
                <w:sz w:val="20"/>
                <w:szCs w:val="20"/>
              </w:rPr>
            </w:pPr>
            <w:r w:rsidRPr="006B6298">
              <w:rPr>
                <w:rFonts w:ascii="Times New Roman" w:hAnsi="Times New Roman"/>
                <w:b/>
                <w:sz w:val="20"/>
                <w:szCs w:val="20"/>
              </w:rPr>
              <w:t xml:space="preserve">Pesquisa de Mapeamento dos Obstáculos à Mobilidade e Acessibilidade </w:t>
            </w:r>
            <w:r w:rsidR="00CA1772" w:rsidRPr="006B6298">
              <w:rPr>
                <w:rFonts w:ascii="Times New Roman" w:hAnsi="Times New Roman"/>
                <w:b/>
                <w:sz w:val="20"/>
                <w:szCs w:val="20"/>
              </w:rPr>
              <w:t>-</w:t>
            </w:r>
            <w:r w:rsidRPr="006B6298">
              <w:rPr>
                <w:rFonts w:ascii="Times New Roman" w:hAnsi="Times New Roman"/>
                <w:sz w:val="20"/>
                <w:szCs w:val="20"/>
              </w:rPr>
              <w:t xml:space="preserve"> Resultou em 1.631 ocorrências e 5.135 problemas identificados, além de 2.900 fotos e 200 vídeos.</w:t>
            </w:r>
          </w:p>
          <w:p w:rsidR="001B3165" w:rsidRPr="006B6298" w:rsidRDefault="00CA1772" w:rsidP="00CA1772">
            <w:pPr>
              <w:pStyle w:val="PargrafodaLista"/>
              <w:ind w:left="0"/>
              <w:rPr>
                <w:rFonts w:ascii="Times New Roman" w:hAnsi="Times New Roman"/>
                <w:strike/>
                <w:sz w:val="20"/>
                <w:szCs w:val="20"/>
              </w:rPr>
            </w:pPr>
            <w:r w:rsidRPr="006B6298">
              <w:rPr>
                <w:rFonts w:ascii="Times New Roman" w:hAnsi="Times New Roman"/>
                <w:b/>
                <w:sz w:val="20"/>
                <w:szCs w:val="20"/>
              </w:rPr>
              <w:t>Parceiro -</w:t>
            </w:r>
            <w:r w:rsidR="001B3165" w:rsidRPr="006B6298">
              <w:rPr>
                <w:rFonts w:ascii="Times New Roman" w:hAnsi="Times New Roman"/>
                <w:sz w:val="20"/>
                <w:szCs w:val="20"/>
              </w:rPr>
              <w:t xml:space="preserve"> FUNDAP </w:t>
            </w:r>
            <w:r w:rsidRPr="006B6298">
              <w:rPr>
                <w:rFonts w:ascii="Times New Roman" w:hAnsi="Times New Roman"/>
                <w:sz w:val="20"/>
                <w:szCs w:val="20"/>
              </w:rPr>
              <w:t>-</w:t>
            </w:r>
            <w:r w:rsidR="001B3165" w:rsidRPr="006B6298">
              <w:rPr>
                <w:rFonts w:ascii="Times New Roman" w:hAnsi="Times New Roman"/>
                <w:sz w:val="20"/>
                <w:szCs w:val="20"/>
              </w:rPr>
              <w:t xml:space="preserve"> Fundação de Desenvolvimento Administrativo</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CA1772">
            <w:pPr>
              <w:jc w:val="both"/>
              <w:rPr>
                <w:b/>
                <w:sz w:val="20"/>
                <w:szCs w:val="20"/>
              </w:rPr>
            </w:pPr>
            <w:r w:rsidRPr="006B6298">
              <w:rPr>
                <w:b/>
                <w:sz w:val="20"/>
                <w:szCs w:val="20"/>
              </w:rPr>
              <w:lastRenderedPageBreak/>
              <w:t>PROJETO</w:t>
            </w:r>
            <w:r w:rsidR="00CA1772" w:rsidRPr="006B6298">
              <w:rPr>
                <w:b/>
                <w:sz w:val="20"/>
                <w:szCs w:val="20"/>
              </w:rPr>
              <w:t xml:space="preserve"> -</w:t>
            </w:r>
            <w:r w:rsidRPr="006B6298">
              <w:rPr>
                <w:b/>
                <w:sz w:val="20"/>
                <w:szCs w:val="20"/>
              </w:rPr>
              <w:t xml:space="preserve"> GESTÃO DO CENTRO DE APOIO DA DELEGACIA DE POLÍCIA DA PESSOA COM DEFICIÊNCIA (CONTRATO DE GESTÃO)</w:t>
            </w:r>
          </w:p>
        </w:tc>
      </w:tr>
      <w:tr w:rsidR="006B6298" w:rsidRPr="006B6298" w:rsidTr="00FD5D16">
        <w:trPr>
          <w:trHeight w:val="1639"/>
          <w:jc w:val="center"/>
        </w:trPr>
        <w:tc>
          <w:tcPr>
            <w:tcW w:w="9792" w:type="dxa"/>
            <w:shd w:val="clear" w:color="auto" w:fill="auto"/>
          </w:tcPr>
          <w:p w:rsidR="001B3165" w:rsidRPr="006B6298" w:rsidRDefault="00CA1772"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Gestão do Centro de Apoio da 1ª Delegacia de Polícia da Pessoa com Deficiência.</w:t>
            </w:r>
          </w:p>
          <w:p w:rsidR="001B3165" w:rsidRPr="006B6298" w:rsidRDefault="001B3165" w:rsidP="001B3165">
            <w:pPr>
              <w:jc w:val="both"/>
              <w:rPr>
                <w:sz w:val="20"/>
                <w:szCs w:val="20"/>
              </w:rPr>
            </w:pPr>
            <w:r w:rsidRPr="006B6298">
              <w:rPr>
                <w:sz w:val="20"/>
                <w:szCs w:val="20"/>
              </w:rPr>
              <w:t>Operação, gerência e execução dos serviços de atendimento ou promoção de direitos das pessoas com deficiência no Centro de Apoio da 1ª Delegacia de Polícia da Pessoa com Deficiência, a serem desenvolvidas na estrutura da Polícia Civil do Estado, subordinada à 1ª Delegacia Seccional de Polícia do Departamento de Polícia Judiciária da Capital - DECAP.</w:t>
            </w:r>
          </w:p>
          <w:p w:rsidR="001B3165" w:rsidRPr="006B6298" w:rsidRDefault="00CA1772" w:rsidP="001B3165">
            <w:pPr>
              <w:pStyle w:val="PargrafodaLista"/>
              <w:ind w:left="0"/>
              <w:rPr>
                <w:rFonts w:ascii="Times New Roman" w:hAnsi="Times New Roman"/>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Casa de Isabel (Organização Social)</w:t>
            </w:r>
            <w:r w:rsidRPr="006B6298">
              <w:rPr>
                <w:rFonts w:ascii="Times New Roman" w:hAnsi="Times New Roman"/>
                <w:sz w:val="20"/>
                <w:szCs w:val="20"/>
              </w:rPr>
              <w:t>.</w:t>
            </w:r>
          </w:p>
          <w:p w:rsidR="001B3165" w:rsidRPr="006B6298" w:rsidRDefault="001B3165" w:rsidP="00CA1772">
            <w:pPr>
              <w:jc w:val="both"/>
              <w:rPr>
                <w:b/>
                <w:sz w:val="20"/>
                <w:szCs w:val="20"/>
              </w:rPr>
            </w:pPr>
            <w:r w:rsidRPr="006B6298">
              <w:rPr>
                <w:b/>
                <w:sz w:val="20"/>
                <w:szCs w:val="20"/>
              </w:rPr>
              <w:t>Obs</w:t>
            </w:r>
            <w:r w:rsidR="00CA1772" w:rsidRPr="006B6298">
              <w:rPr>
                <w:b/>
                <w:sz w:val="20"/>
                <w:szCs w:val="20"/>
              </w:rPr>
              <w:t xml:space="preserve"> -</w:t>
            </w:r>
            <w:r w:rsidRPr="006B6298">
              <w:rPr>
                <w:b/>
                <w:sz w:val="20"/>
                <w:szCs w:val="20"/>
              </w:rPr>
              <w:t xml:space="preserve"> </w:t>
            </w:r>
            <w:r w:rsidRPr="006B6298">
              <w:rPr>
                <w:sz w:val="20"/>
                <w:szCs w:val="20"/>
              </w:rPr>
              <w:t>A 1ª Delegacia de Polícia da Pessoa com Deficiência</w:t>
            </w:r>
            <w:r w:rsidR="00CA1772" w:rsidRPr="006B6298">
              <w:rPr>
                <w:sz w:val="20"/>
                <w:szCs w:val="20"/>
              </w:rPr>
              <w:t xml:space="preserve"> </w:t>
            </w:r>
            <w:r w:rsidRPr="006B6298">
              <w:rPr>
                <w:sz w:val="20"/>
                <w:szCs w:val="20"/>
              </w:rPr>
              <w:t>criada por meio do Decreto nº 60.028/2014, foi implantada.</w:t>
            </w:r>
          </w:p>
        </w:tc>
      </w:tr>
      <w:tr w:rsidR="006B6298" w:rsidRPr="006B6298" w:rsidTr="00FD5D16">
        <w:trPr>
          <w:jc w:val="center"/>
        </w:trPr>
        <w:tc>
          <w:tcPr>
            <w:tcW w:w="9792" w:type="dxa"/>
            <w:shd w:val="clear" w:color="auto" w:fill="auto"/>
          </w:tcPr>
          <w:p w:rsidR="001B3165" w:rsidRPr="006B6298" w:rsidRDefault="001B3165" w:rsidP="00CA1772">
            <w:pPr>
              <w:jc w:val="both"/>
              <w:rPr>
                <w:b/>
                <w:sz w:val="20"/>
                <w:szCs w:val="20"/>
              </w:rPr>
            </w:pPr>
            <w:r w:rsidRPr="006B6298">
              <w:rPr>
                <w:b/>
                <w:sz w:val="20"/>
                <w:szCs w:val="20"/>
              </w:rPr>
              <w:t>PROJETO</w:t>
            </w:r>
            <w:r w:rsidR="00CA1772" w:rsidRPr="006B6298">
              <w:rPr>
                <w:b/>
                <w:sz w:val="20"/>
                <w:szCs w:val="20"/>
              </w:rPr>
              <w:t xml:space="preserve"> -</w:t>
            </w:r>
            <w:r w:rsidRPr="006B6298">
              <w:rPr>
                <w:b/>
                <w:sz w:val="20"/>
                <w:szCs w:val="20"/>
              </w:rPr>
              <w:t xml:space="preserve"> 1ª UNIDADE DE SERVIÇO DE REABILITAÇÃO PARA </w:t>
            </w:r>
            <w:r w:rsidR="004C7C34">
              <w:rPr>
                <w:b/>
                <w:sz w:val="20"/>
                <w:szCs w:val="20"/>
              </w:rPr>
              <w:t>DEFICIÊNCIA VISUAL LUCY MONTORO</w:t>
            </w:r>
          </w:p>
        </w:tc>
      </w:tr>
      <w:tr w:rsidR="006B6298" w:rsidRPr="006B6298" w:rsidTr="00FD5D16">
        <w:trPr>
          <w:jc w:val="center"/>
        </w:trPr>
        <w:tc>
          <w:tcPr>
            <w:tcW w:w="9792" w:type="dxa"/>
            <w:shd w:val="clear" w:color="auto" w:fill="auto"/>
          </w:tcPr>
          <w:p w:rsidR="001B3165" w:rsidRPr="006B6298" w:rsidRDefault="00DC4312" w:rsidP="001B3165">
            <w:pPr>
              <w:jc w:val="both"/>
              <w:rPr>
                <w:sz w:val="20"/>
                <w:szCs w:val="20"/>
              </w:rPr>
            </w:pPr>
            <w:r w:rsidRPr="006B6298">
              <w:rPr>
                <w:b/>
                <w:sz w:val="20"/>
                <w:szCs w:val="20"/>
              </w:rPr>
              <w:t>Objetivo -</w:t>
            </w:r>
            <w:r w:rsidR="001B3165" w:rsidRPr="006B6298">
              <w:rPr>
                <w:b/>
                <w:sz w:val="20"/>
                <w:szCs w:val="20"/>
              </w:rPr>
              <w:t xml:space="preserve"> </w:t>
            </w:r>
            <w:r w:rsidRPr="006B6298">
              <w:rPr>
                <w:sz w:val="20"/>
                <w:szCs w:val="20"/>
              </w:rPr>
              <w:t>I</w:t>
            </w:r>
            <w:r w:rsidR="001B3165" w:rsidRPr="006B6298">
              <w:rPr>
                <w:sz w:val="20"/>
                <w:szCs w:val="20"/>
              </w:rPr>
              <w:t>mplantação do Serviço de Reabilitação Lucy Montoro</w:t>
            </w:r>
            <w:r w:rsidR="00CF2CCA" w:rsidRPr="006B6298">
              <w:rPr>
                <w:sz w:val="20"/>
                <w:szCs w:val="20"/>
              </w:rPr>
              <w:t>,</w:t>
            </w:r>
            <w:r w:rsidR="001B3165" w:rsidRPr="006B6298">
              <w:rPr>
                <w:sz w:val="20"/>
                <w:szCs w:val="20"/>
              </w:rPr>
              <w:t xml:space="preserve"> destinad</w:t>
            </w:r>
            <w:r w:rsidR="00CF2CCA" w:rsidRPr="006B6298">
              <w:rPr>
                <w:sz w:val="20"/>
                <w:szCs w:val="20"/>
              </w:rPr>
              <w:t>o</w:t>
            </w:r>
            <w:r w:rsidR="001B3165" w:rsidRPr="006B6298">
              <w:rPr>
                <w:sz w:val="20"/>
                <w:szCs w:val="20"/>
              </w:rPr>
              <w:t xml:space="preserve"> </w:t>
            </w:r>
            <w:r w:rsidR="00CF2CCA" w:rsidRPr="006B6298">
              <w:rPr>
                <w:sz w:val="20"/>
                <w:szCs w:val="20"/>
              </w:rPr>
              <w:t>à</w:t>
            </w:r>
            <w:r w:rsidR="001B3165" w:rsidRPr="006B6298">
              <w:rPr>
                <w:sz w:val="20"/>
                <w:szCs w:val="20"/>
              </w:rPr>
              <w:t>s Pessoas com Deficiência Visual, para o desenvolvimento de ações de habilidades/reabilitação visual e promoção da qualidade de vida da pessoa com deficiência visual.</w:t>
            </w:r>
          </w:p>
          <w:p w:rsidR="001B3165" w:rsidRPr="006B6298" w:rsidRDefault="002E69F9" w:rsidP="001B3165">
            <w:pPr>
              <w:jc w:val="both"/>
              <w:rPr>
                <w:sz w:val="20"/>
                <w:szCs w:val="20"/>
              </w:rPr>
            </w:pPr>
            <w:r w:rsidRPr="006B6298">
              <w:rPr>
                <w:sz w:val="20"/>
                <w:szCs w:val="20"/>
              </w:rPr>
              <w:t xml:space="preserve">Inaugurada </w:t>
            </w:r>
            <w:r w:rsidR="001B3165" w:rsidRPr="006B6298">
              <w:rPr>
                <w:sz w:val="20"/>
                <w:szCs w:val="20"/>
              </w:rPr>
              <w:t xml:space="preserve">a 1ª Unidade de Serviço de Reabilitação Lucy Montoro destinada </w:t>
            </w:r>
            <w:r w:rsidRPr="006B6298">
              <w:rPr>
                <w:sz w:val="20"/>
                <w:szCs w:val="20"/>
              </w:rPr>
              <w:t>à</w:t>
            </w:r>
            <w:r w:rsidR="001B3165" w:rsidRPr="006B6298">
              <w:rPr>
                <w:sz w:val="20"/>
                <w:szCs w:val="20"/>
              </w:rPr>
              <w:t>s Pessoas com Deficiência Visual, que contará com os seguintes serviços: Avaliação Psicossocial, Avaliação Oftalmológica, Avaliação de Funcionalidade, Orientação e Acompanhamento, Intervenção Essencial, Apoio à Educação, Reabilitação Visual, Inclusão no Trabalho, Tecnologia de Comunicação</w:t>
            </w:r>
            <w:r w:rsidRPr="006B6298">
              <w:rPr>
                <w:sz w:val="20"/>
                <w:szCs w:val="20"/>
              </w:rPr>
              <w:t xml:space="preserve"> e Informação, Cultura e Lazer.</w:t>
            </w:r>
          </w:p>
          <w:p w:rsidR="001B3165" w:rsidRPr="006B6298" w:rsidRDefault="00DC4312" w:rsidP="002E69F9">
            <w:pPr>
              <w:pStyle w:val="PargrafodaLista"/>
              <w:ind w:left="0"/>
              <w:rPr>
                <w:rFonts w:ascii="Times New Roman" w:hAnsi="Times New Roman"/>
                <w:b/>
                <w:strike/>
                <w:sz w:val="20"/>
                <w:szCs w:val="20"/>
              </w:rPr>
            </w:pPr>
            <w:r w:rsidRPr="006B6298">
              <w:rPr>
                <w:rFonts w:ascii="Times New Roman" w:hAnsi="Times New Roman"/>
                <w:b/>
                <w:sz w:val="20"/>
                <w:szCs w:val="20"/>
              </w:rPr>
              <w:t>Parceiro</w:t>
            </w:r>
            <w:r w:rsidR="002E69F9" w:rsidRPr="006B6298">
              <w:rPr>
                <w:rFonts w:ascii="Times New Roman" w:hAnsi="Times New Roman"/>
                <w:sz w:val="20"/>
                <w:szCs w:val="20"/>
              </w:rPr>
              <w:t>s -</w:t>
            </w:r>
            <w:r w:rsidR="001B3165" w:rsidRPr="006B6298">
              <w:rPr>
                <w:rFonts w:ascii="Times New Roman" w:hAnsi="Times New Roman"/>
                <w:sz w:val="20"/>
                <w:szCs w:val="20"/>
              </w:rPr>
              <w:t xml:space="preserve"> Fundação Faculdade de Medicina, Hospital das Clinicas e Rede Lucy Montoro</w:t>
            </w:r>
            <w:r w:rsidR="002E69F9"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4C7C34">
            <w:pPr>
              <w:jc w:val="both"/>
              <w:rPr>
                <w:b/>
                <w:sz w:val="20"/>
                <w:szCs w:val="20"/>
              </w:rPr>
            </w:pPr>
            <w:r w:rsidRPr="006B6298">
              <w:rPr>
                <w:b/>
                <w:sz w:val="20"/>
                <w:szCs w:val="20"/>
              </w:rPr>
              <w:t>PROJETO</w:t>
            </w:r>
            <w:r w:rsidR="002E69F9" w:rsidRPr="006B6298">
              <w:rPr>
                <w:b/>
                <w:sz w:val="20"/>
                <w:szCs w:val="20"/>
              </w:rPr>
              <w:t xml:space="preserve"> -</w:t>
            </w:r>
            <w:r w:rsidRPr="006B6298">
              <w:rPr>
                <w:b/>
                <w:sz w:val="20"/>
                <w:szCs w:val="20"/>
              </w:rPr>
              <w:t xml:space="preserve"> ENCONTROS REGIONAIS E SEMINÁRIO - PROGRAMA ESTADUAL DE PREVENÇÃO À VIOLÊNCIA CONTRA PESSOA COM DEFICIÊNCIA - APAE</w:t>
            </w:r>
          </w:p>
        </w:tc>
      </w:tr>
      <w:tr w:rsidR="006B6298" w:rsidRPr="006B6298" w:rsidTr="00FD5D16">
        <w:trPr>
          <w:jc w:val="center"/>
        </w:trPr>
        <w:tc>
          <w:tcPr>
            <w:tcW w:w="9792" w:type="dxa"/>
            <w:shd w:val="clear" w:color="auto" w:fill="auto"/>
          </w:tcPr>
          <w:p w:rsidR="001B3165" w:rsidRPr="006B6298" w:rsidRDefault="002E69F9" w:rsidP="002E69F9">
            <w:pPr>
              <w:jc w:val="both"/>
              <w:rPr>
                <w:sz w:val="20"/>
                <w:szCs w:val="20"/>
              </w:rPr>
            </w:pPr>
            <w:r w:rsidRPr="006B6298">
              <w:rPr>
                <w:b/>
                <w:sz w:val="20"/>
                <w:szCs w:val="20"/>
              </w:rPr>
              <w:t>Objetivo -</w:t>
            </w:r>
            <w:r w:rsidR="001B3165" w:rsidRPr="006B6298">
              <w:rPr>
                <w:b/>
                <w:sz w:val="20"/>
                <w:szCs w:val="20"/>
              </w:rPr>
              <w:t xml:space="preserve"> </w:t>
            </w:r>
            <w:r w:rsidR="001B3165" w:rsidRPr="006B6298">
              <w:rPr>
                <w:sz w:val="20"/>
                <w:szCs w:val="20"/>
              </w:rPr>
              <w:t xml:space="preserve">Desenvolvimento e execução de 26 encontros regionais sobre violência contra pessoa com deficiência e organização do </w:t>
            </w:r>
            <w:r w:rsidRPr="006B6298">
              <w:rPr>
                <w:sz w:val="20"/>
                <w:szCs w:val="20"/>
              </w:rPr>
              <w:t>“</w:t>
            </w:r>
            <w:r w:rsidR="001B3165" w:rsidRPr="006B6298">
              <w:rPr>
                <w:sz w:val="20"/>
                <w:szCs w:val="20"/>
              </w:rPr>
              <w:t>1º Seminário Estadual de Prevenção e Combate à Violência contra as Pessoas com Deficiência</w:t>
            </w:r>
            <w:r w:rsidRPr="006B6298">
              <w:rPr>
                <w:sz w:val="20"/>
                <w:szCs w:val="20"/>
              </w:rPr>
              <w:t>”</w:t>
            </w:r>
            <w:r w:rsidR="001B3165" w:rsidRPr="006B6298">
              <w:rPr>
                <w:sz w:val="20"/>
                <w:szCs w:val="20"/>
              </w:rPr>
              <w:t>, objetivando consolidar saberes e propostas dos encontros regionais.</w:t>
            </w:r>
          </w:p>
          <w:p w:rsidR="001B3165" w:rsidRPr="006B6298" w:rsidRDefault="002E69F9" w:rsidP="006B6298">
            <w:pPr>
              <w:pStyle w:val="PargrafodaLista"/>
              <w:ind w:left="0"/>
              <w:rPr>
                <w:rFonts w:ascii="Times New Roman" w:hAnsi="Times New Roman"/>
                <w:b/>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Associação de Pais e Amigos dos Excepcionais de São Paulo </w:t>
            </w:r>
            <w:r w:rsidRPr="006B6298">
              <w:rPr>
                <w:rFonts w:ascii="Times New Roman" w:hAnsi="Times New Roman"/>
                <w:sz w:val="20"/>
                <w:szCs w:val="20"/>
              </w:rPr>
              <w:t>-</w:t>
            </w:r>
            <w:r w:rsidR="001B3165" w:rsidRPr="006B6298">
              <w:rPr>
                <w:rFonts w:ascii="Times New Roman" w:hAnsi="Times New Roman"/>
                <w:sz w:val="20"/>
                <w:szCs w:val="20"/>
              </w:rPr>
              <w:t xml:space="preserve"> APAE</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1B3165">
            <w:pPr>
              <w:rPr>
                <w:b/>
                <w:sz w:val="20"/>
                <w:szCs w:val="20"/>
              </w:rPr>
            </w:pPr>
            <w:r w:rsidRPr="006B6298">
              <w:rPr>
                <w:b/>
                <w:sz w:val="20"/>
                <w:szCs w:val="20"/>
              </w:rPr>
              <w:t>CULTURA</w:t>
            </w:r>
          </w:p>
        </w:tc>
      </w:tr>
      <w:tr w:rsidR="006B6298" w:rsidRPr="006B6298" w:rsidTr="00FD5D16">
        <w:trPr>
          <w:jc w:val="center"/>
        </w:trPr>
        <w:tc>
          <w:tcPr>
            <w:tcW w:w="9792" w:type="dxa"/>
            <w:shd w:val="clear" w:color="auto" w:fill="auto"/>
          </w:tcPr>
          <w:p w:rsidR="001B3165" w:rsidRPr="006B6298" w:rsidRDefault="001B3165" w:rsidP="00DB4F0A">
            <w:pPr>
              <w:jc w:val="both"/>
              <w:rPr>
                <w:b/>
                <w:sz w:val="20"/>
                <w:szCs w:val="20"/>
              </w:rPr>
            </w:pPr>
            <w:r w:rsidRPr="006B6298">
              <w:rPr>
                <w:b/>
                <w:sz w:val="20"/>
                <w:szCs w:val="20"/>
              </w:rPr>
              <w:t>PROJETO</w:t>
            </w:r>
            <w:r w:rsidR="00DB4F0A" w:rsidRPr="006B6298">
              <w:rPr>
                <w:b/>
                <w:sz w:val="20"/>
                <w:szCs w:val="20"/>
              </w:rPr>
              <w:t xml:space="preserve"> -</w:t>
            </w:r>
            <w:r w:rsidRPr="006B6298">
              <w:rPr>
                <w:b/>
                <w:sz w:val="20"/>
                <w:szCs w:val="20"/>
              </w:rPr>
              <w:t xml:space="preserve"> SEMINÁRIO DE ENFRENTAMENTO À VIOLÊNCIA CONTRA PESSOAS COM DEFICIÊNCIA</w:t>
            </w:r>
          </w:p>
        </w:tc>
      </w:tr>
      <w:tr w:rsidR="006B6298" w:rsidRPr="006B6298" w:rsidTr="00FD5D16">
        <w:trPr>
          <w:jc w:val="center"/>
        </w:trPr>
        <w:tc>
          <w:tcPr>
            <w:tcW w:w="9792" w:type="dxa"/>
            <w:shd w:val="clear" w:color="auto" w:fill="auto"/>
          </w:tcPr>
          <w:p w:rsidR="001B3165" w:rsidRPr="006B6298" w:rsidRDefault="00DB4F0A"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Realização de Seminário visando à reunião de 500 participantes, além de representantes dos 3 níveis de governo, das universidades e da sociedade civil, para analisar a violência contra essa parcela da população, mostrar ações de enfrentamento implantadas e discutir formas de prevenção.</w:t>
            </w:r>
          </w:p>
          <w:p w:rsidR="001B3165" w:rsidRPr="006B6298" w:rsidRDefault="001B3165" w:rsidP="00635F11">
            <w:pPr>
              <w:jc w:val="both"/>
              <w:rPr>
                <w:strike/>
                <w:sz w:val="20"/>
                <w:szCs w:val="20"/>
              </w:rPr>
            </w:pPr>
            <w:r w:rsidRPr="006B6298">
              <w:rPr>
                <w:sz w:val="20"/>
                <w:szCs w:val="20"/>
              </w:rPr>
              <w:t>Seminário realizado</w:t>
            </w:r>
            <w:r w:rsidR="00DB4F0A" w:rsidRPr="006B6298">
              <w:rPr>
                <w:sz w:val="20"/>
                <w:szCs w:val="20"/>
              </w:rPr>
              <w:t xml:space="preserve"> e</w:t>
            </w:r>
            <w:r w:rsidRPr="006B6298">
              <w:rPr>
                <w:sz w:val="20"/>
                <w:szCs w:val="20"/>
              </w:rPr>
              <w:t xml:space="preserve"> apresentados </w:t>
            </w:r>
            <w:r w:rsidRPr="006B6298">
              <w:rPr>
                <w:bCs/>
                <w:sz w:val="20"/>
                <w:szCs w:val="20"/>
              </w:rPr>
              <w:t>números alarmantes da violência</w:t>
            </w:r>
            <w:r w:rsidR="00635F11" w:rsidRPr="006B6298">
              <w:rPr>
                <w:bCs/>
                <w:sz w:val="20"/>
                <w:szCs w:val="20"/>
              </w:rPr>
              <w:t>.</w:t>
            </w:r>
            <w:r w:rsidRPr="006B6298">
              <w:rPr>
                <w:bCs/>
                <w:sz w:val="20"/>
                <w:szCs w:val="20"/>
              </w:rPr>
              <w:t xml:space="preserve"> </w:t>
            </w:r>
            <w:r w:rsidR="00635F11" w:rsidRPr="006B6298">
              <w:rPr>
                <w:bCs/>
                <w:sz w:val="20"/>
                <w:szCs w:val="20"/>
              </w:rPr>
              <w:t xml:space="preserve">Registro </w:t>
            </w:r>
            <w:r w:rsidRPr="006B6298">
              <w:rPr>
                <w:bCs/>
                <w:sz w:val="20"/>
                <w:szCs w:val="20"/>
              </w:rPr>
              <w:t xml:space="preserve">de </w:t>
            </w:r>
            <w:r w:rsidRPr="006B6298">
              <w:rPr>
                <w:sz w:val="20"/>
                <w:szCs w:val="20"/>
              </w:rPr>
              <w:t>37 episódios diários de violência</w:t>
            </w:r>
            <w:r w:rsidR="00635F11" w:rsidRPr="006B6298">
              <w:rPr>
                <w:sz w:val="20"/>
                <w:szCs w:val="20"/>
              </w:rPr>
              <w:t xml:space="preserve"> contra pessoas com deficiência.</w:t>
            </w:r>
            <w:r w:rsidRPr="006B6298">
              <w:rPr>
                <w:sz w:val="20"/>
                <w:szCs w:val="20"/>
              </w:rPr>
              <w:t xml:space="preserve"> </w:t>
            </w:r>
            <w:r w:rsidR="00635F11" w:rsidRPr="006B6298">
              <w:rPr>
                <w:sz w:val="20"/>
                <w:szCs w:val="20"/>
              </w:rPr>
              <w:t xml:space="preserve">Foram </w:t>
            </w:r>
            <w:r w:rsidRPr="006B6298">
              <w:rPr>
                <w:sz w:val="20"/>
                <w:szCs w:val="20"/>
              </w:rPr>
              <w:t xml:space="preserve">registradas 4.452 ocorrências, envolvendo 4.502 vítimas. </w:t>
            </w:r>
            <w:r w:rsidR="00635F11" w:rsidRPr="006B6298">
              <w:rPr>
                <w:sz w:val="20"/>
                <w:szCs w:val="20"/>
              </w:rPr>
              <w:t xml:space="preserve">Foram </w:t>
            </w:r>
            <w:r w:rsidRPr="006B6298">
              <w:rPr>
                <w:sz w:val="20"/>
                <w:szCs w:val="20"/>
              </w:rPr>
              <w:t>discutidas: ações específicas para minimizar a violência contra pessoas com deficiência</w:t>
            </w:r>
            <w:r w:rsidR="00635F11" w:rsidRPr="006B6298">
              <w:rPr>
                <w:sz w:val="20"/>
                <w:szCs w:val="20"/>
              </w:rPr>
              <w:t xml:space="preserve">; </w:t>
            </w:r>
            <w:r w:rsidRPr="006B6298">
              <w:rPr>
                <w:sz w:val="20"/>
                <w:szCs w:val="20"/>
              </w:rPr>
              <w:t>especificidades no atendimento à vítimas com deficiência;  especificidades no atendimento ao agressor; ações de apoio ao cuidador familiar; e estratégias de prevenção.</w:t>
            </w:r>
          </w:p>
        </w:tc>
      </w:tr>
      <w:tr w:rsidR="006B6298" w:rsidRPr="006B6298" w:rsidTr="00FD5D16">
        <w:trPr>
          <w:jc w:val="center"/>
        </w:trPr>
        <w:tc>
          <w:tcPr>
            <w:tcW w:w="9792" w:type="dxa"/>
            <w:shd w:val="clear" w:color="auto" w:fill="auto"/>
          </w:tcPr>
          <w:p w:rsidR="001B3165" w:rsidRPr="006B6298" w:rsidRDefault="001B3165" w:rsidP="00635F11">
            <w:pPr>
              <w:jc w:val="both"/>
              <w:rPr>
                <w:b/>
                <w:sz w:val="20"/>
                <w:szCs w:val="20"/>
              </w:rPr>
            </w:pPr>
            <w:r w:rsidRPr="006B6298">
              <w:rPr>
                <w:b/>
                <w:sz w:val="20"/>
                <w:szCs w:val="20"/>
              </w:rPr>
              <w:t>PROJETO</w:t>
            </w:r>
            <w:r w:rsidR="00635F11" w:rsidRPr="006B6298">
              <w:rPr>
                <w:b/>
                <w:sz w:val="20"/>
                <w:szCs w:val="20"/>
              </w:rPr>
              <w:t xml:space="preserve"> -</w:t>
            </w:r>
            <w:r w:rsidRPr="006B6298">
              <w:rPr>
                <w:b/>
                <w:sz w:val="20"/>
                <w:szCs w:val="20"/>
              </w:rPr>
              <w:t xml:space="preserve"> CONCURSO DE DOCUMENTÁRIO SOBRE MORADIAS ASSISTIDAS "PASSA LÁ EM CASA"</w:t>
            </w:r>
          </w:p>
        </w:tc>
      </w:tr>
      <w:tr w:rsidR="006B6298" w:rsidRPr="006B6298" w:rsidTr="00FD5D16">
        <w:trPr>
          <w:jc w:val="center"/>
        </w:trPr>
        <w:tc>
          <w:tcPr>
            <w:tcW w:w="9792" w:type="dxa"/>
            <w:shd w:val="clear" w:color="auto" w:fill="auto"/>
          </w:tcPr>
          <w:p w:rsidR="001B3165" w:rsidRPr="006B6298" w:rsidRDefault="00635F11"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Realização do concurso “Passa Lá em Casa </w:t>
            </w:r>
            <w:r w:rsidRPr="006B6298">
              <w:rPr>
                <w:rFonts w:ascii="Times New Roman" w:hAnsi="Times New Roman"/>
                <w:sz w:val="20"/>
                <w:szCs w:val="20"/>
              </w:rPr>
              <w:t>-</w:t>
            </w:r>
            <w:r w:rsidR="001B3165" w:rsidRPr="006B6298">
              <w:rPr>
                <w:rFonts w:ascii="Times New Roman" w:hAnsi="Times New Roman"/>
                <w:sz w:val="20"/>
                <w:szCs w:val="20"/>
              </w:rPr>
              <w:t xml:space="preserve"> A Moradia Assistida e a Autonomia Possível”, visando à disseminação do conceito de inclusão social das pessoas com deficiência, com abordagem das experiências de moradia assistida no Brasil e no exterior, preferencialmente públicas, tendo como base questões como autonomia individual, </w:t>
            </w:r>
            <w:r w:rsidR="001B3165" w:rsidRPr="006B6298">
              <w:rPr>
                <w:rFonts w:ascii="Times New Roman" w:hAnsi="Times New Roman"/>
                <w:sz w:val="20"/>
                <w:szCs w:val="20"/>
              </w:rPr>
              <w:lastRenderedPageBreak/>
              <w:t>inserção social, relação com a família e trabalho.</w:t>
            </w:r>
          </w:p>
          <w:p w:rsidR="001B3165" w:rsidRPr="006B6298" w:rsidRDefault="001B3165" w:rsidP="001B3165">
            <w:pPr>
              <w:jc w:val="both"/>
              <w:rPr>
                <w:sz w:val="20"/>
                <w:szCs w:val="20"/>
              </w:rPr>
            </w:pPr>
            <w:r w:rsidRPr="006B6298">
              <w:rPr>
                <w:sz w:val="20"/>
                <w:szCs w:val="20"/>
              </w:rPr>
              <w:t>Lançado</w:t>
            </w:r>
            <w:r w:rsidR="00635F11" w:rsidRPr="006B6298">
              <w:rPr>
                <w:sz w:val="20"/>
                <w:szCs w:val="20"/>
              </w:rPr>
              <w:t>s</w:t>
            </w:r>
            <w:r w:rsidRPr="006B6298">
              <w:rPr>
                <w:sz w:val="20"/>
                <w:szCs w:val="20"/>
              </w:rPr>
              <w:t xml:space="preserve"> três documentários que compõem o projeto no Centro Cultural Banco do Brasil. Após o lançamento, os filmes foram exibidos pela TV Cultura.</w:t>
            </w:r>
          </w:p>
          <w:p w:rsidR="001B3165" w:rsidRPr="006B6298" w:rsidRDefault="00635F11" w:rsidP="00635F11">
            <w:pPr>
              <w:pStyle w:val="PargrafodaLista"/>
              <w:ind w:left="0"/>
              <w:rPr>
                <w:rFonts w:ascii="Times New Roman" w:hAnsi="Times New Roman"/>
                <w:b/>
                <w:strike/>
                <w:sz w:val="20"/>
                <w:szCs w:val="20"/>
              </w:rPr>
            </w:pPr>
            <w:r w:rsidRPr="006B6298">
              <w:rPr>
                <w:rFonts w:ascii="Times New Roman" w:hAnsi="Times New Roman"/>
                <w:b/>
                <w:sz w:val="20"/>
                <w:szCs w:val="20"/>
              </w:rPr>
              <w:t>Parceiros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Fundação Padre Anchieta </w:t>
            </w:r>
            <w:r w:rsidRPr="006B6298">
              <w:rPr>
                <w:rFonts w:ascii="Times New Roman" w:hAnsi="Times New Roman"/>
                <w:sz w:val="20"/>
                <w:szCs w:val="20"/>
              </w:rPr>
              <w:t>-</w:t>
            </w:r>
            <w:r w:rsidR="001B3165" w:rsidRPr="006B6298">
              <w:rPr>
                <w:rFonts w:ascii="Times New Roman" w:hAnsi="Times New Roman"/>
                <w:sz w:val="20"/>
                <w:szCs w:val="20"/>
              </w:rPr>
              <w:t xml:space="preserve"> Centro Paulista de Rádio e TVs Educativa</w:t>
            </w:r>
            <w:r w:rsidRPr="006B6298">
              <w:rPr>
                <w:rFonts w:ascii="Times New Roman" w:hAnsi="Times New Roman"/>
                <w:sz w:val="20"/>
                <w:szCs w:val="20"/>
              </w:rPr>
              <w:t>s.</w:t>
            </w:r>
          </w:p>
        </w:tc>
      </w:tr>
      <w:tr w:rsidR="006B6298" w:rsidRPr="006B6298" w:rsidTr="00FD5D16">
        <w:trPr>
          <w:jc w:val="center"/>
        </w:trPr>
        <w:tc>
          <w:tcPr>
            <w:tcW w:w="9792" w:type="dxa"/>
            <w:shd w:val="clear" w:color="auto" w:fill="auto"/>
          </w:tcPr>
          <w:p w:rsidR="001B3165" w:rsidRPr="006B6298" w:rsidRDefault="001B3165" w:rsidP="00635F11">
            <w:pPr>
              <w:jc w:val="both"/>
              <w:rPr>
                <w:b/>
                <w:sz w:val="20"/>
                <w:szCs w:val="20"/>
              </w:rPr>
            </w:pPr>
            <w:r w:rsidRPr="006B6298">
              <w:rPr>
                <w:b/>
                <w:sz w:val="20"/>
                <w:szCs w:val="20"/>
              </w:rPr>
              <w:lastRenderedPageBreak/>
              <w:t>PROJETO</w:t>
            </w:r>
            <w:r w:rsidR="00635F11" w:rsidRPr="006B6298">
              <w:rPr>
                <w:b/>
                <w:sz w:val="20"/>
                <w:szCs w:val="20"/>
              </w:rPr>
              <w:t xml:space="preserve"> -</w:t>
            </w:r>
            <w:r w:rsidRPr="006B6298">
              <w:rPr>
                <w:b/>
                <w:sz w:val="20"/>
                <w:szCs w:val="20"/>
              </w:rPr>
              <w:t xml:space="preserve"> DOCUMENTÁRIO "30 ANOS DO ANO INTERNACIONAL DA PESSOA COM DEFICIÊNCIA"</w:t>
            </w:r>
          </w:p>
        </w:tc>
      </w:tr>
      <w:tr w:rsidR="006B6298" w:rsidRPr="006B6298" w:rsidTr="00FD5D16">
        <w:trPr>
          <w:jc w:val="center"/>
        </w:trPr>
        <w:tc>
          <w:tcPr>
            <w:tcW w:w="9792" w:type="dxa"/>
            <w:shd w:val="clear" w:color="auto" w:fill="auto"/>
          </w:tcPr>
          <w:p w:rsidR="001B3165" w:rsidRPr="006B6298" w:rsidRDefault="00635F11"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Gerenciamento da produção do documentário "30 anos do Ano Internacional da Pessoa com Deficiência", a fim de retratar a evolução das conquistas dos direitos das pessoas com</w:t>
            </w:r>
            <w:r w:rsidRPr="006B6298">
              <w:rPr>
                <w:rFonts w:ascii="Times New Roman" w:hAnsi="Times New Roman"/>
                <w:sz w:val="20"/>
                <w:szCs w:val="20"/>
              </w:rPr>
              <w:t xml:space="preserve"> deficiência ao longo dos anos.</w:t>
            </w:r>
          </w:p>
          <w:p w:rsidR="001B3165" w:rsidRPr="006B6298" w:rsidRDefault="001B3165" w:rsidP="001B3165">
            <w:pPr>
              <w:jc w:val="both"/>
              <w:rPr>
                <w:sz w:val="20"/>
                <w:szCs w:val="20"/>
              </w:rPr>
            </w:pPr>
            <w:r w:rsidRPr="006B6298">
              <w:rPr>
                <w:sz w:val="20"/>
                <w:szCs w:val="20"/>
              </w:rPr>
              <w:t xml:space="preserve">Pré-lançamento do documentário “Da Invisibilidade à Cidadania: os caminhos da pessoa com deficiência”. O documentário conta a história do movimento social e político das pessoas com deficiência em defesa de seus direitos no Brasil, tendo como foco as memórias de militantes e lideranças atuantes desde meados de 1981 - ano esse proclamado, pela ONU, como Ano Internacional das Pessoas Deficientes </w:t>
            </w:r>
            <w:r w:rsidR="00635F11" w:rsidRPr="006B6298">
              <w:rPr>
                <w:sz w:val="20"/>
                <w:szCs w:val="20"/>
              </w:rPr>
              <w:t xml:space="preserve">- </w:t>
            </w:r>
            <w:r w:rsidRPr="006B6298">
              <w:rPr>
                <w:sz w:val="20"/>
                <w:szCs w:val="20"/>
              </w:rPr>
              <w:t>AIPD.</w:t>
            </w:r>
          </w:p>
          <w:p w:rsidR="001B3165" w:rsidRPr="006B6298" w:rsidRDefault="00635F11" w:rsidP="00635F11">
            <w:pPr>
              <w:pStyle w:val="PargrafodaLista"/>
              <w:ind w:left="0"/>
              <w:rPr>
                <w:rFonts w:ascii="Times New Roman" w:hAnsi="Times New Roman"/>
                <w:sz w:val="20"/>
                <w:szCs w:val="20"/>
              </w:rPr>
            </w:pPr>
            <w:r w:rsidRPr="006B6298">
              <w:rPr>
                <w:rFonts w:ascii="Times New Roman" w:hAnsi="Times New Roman"/>
                <w:b/>
                <w:sz w:val="20"/>
                <w:szCs w:val="20"/>
              </w:rPr>
              <w:t>Parceiros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Fundação Padre Anchieta </w:t>
            </w:r>
            <w:r w:rsidRPr="006B6298">
              <w:rPr>
                <w:rFonts w:ascii="Times New Roman" w:hAnsi="Times New Roman"/>
                <w:sz w:val="20"/>
                <w:szCs w:val="20"/>
              </w:rPr>
              <w:t>-</w:t>
            </w:r>
            <w:r w:rsidR="001B3165" w:rsidRPr="006B6298">
              <w:rPr>
                <w:rFonts w:ascii="Times New Roman" w:hAnsi="Times New Roman"/>
                <w:sz w:val="20"/>
                <w:szCs w:val="20"/>
              </w:rPr>
              <w:t xml:space="preserve"> Centro Paulista de Rádio e TVs Educativas</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635F11">
            <w:pPr>
              <w:jc w:val="both"/>
              <w:rPr>
                <w:b/>
                <w:sz w:val="20"/>
                <w:szCs w:val="20"/>
              </w:rPr>
            </w:pPr>
            <w:r w:rsidRPr="006B6298">
              <w:rPr>
                <w:b/>
                <w:sz w:val="20"/>
                <w:szCs w:val="20"/>
              </w:rPr>
              <w:t>PROJETO</w:t>
            </w:r>
            <w:r w:rsidR="00635F11" w:rsidRPr="006B6298">
              <w:rPr>
                <w:b/>
                <w:sz w:val="20"/>
                <w:szCs w:val="20"/>
              </w:rPr>
              <w:t xml:space="preserve"> -</w:t>
            </w:r>
            <w:r w:rsidRPr="006B6298">
              <w:rPr>
                <w:b/>
                <w:sz w:val="20"/>
                <w:szCs w:val="20"/>
              </w:rPr>
              <w:t xml:space="preserve"> HISTÓRIA ORAL</w:t>
            </w:r>
          </w:p>
        </w:tc>
      </w:tr>
      <w:tr w:rsidR="006B6298" w:rsidRPr="006B6298" w:rsidTr="00FD5D16">
        <w:trPr>
          <w:jc w:val="center"/>
        </w:trPr>
        <w:tc>
          <w:tcPr>
            <w:tcW w:w="9792" w:type="dxa"/>
            <w:shd w:val="clear" w:color="auto" w:fill="auto"/>
          </w:tcPr>
          <w:p w:rsidR="001B3165" w:rsidRPr="006B6298" w:rsidRDefault="00635F11"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Realização de entrevistas com pessoas relacionadas à História do Movimento Político das Pessoas com Deficiência no Brasil e produção de material audiovisual de registros existentes no acervo do Memorial da Inclusão.</w:t>
            </w:r>
          </w:p>
          <w:p w:rsidR="001B3165" w:rsidRPr="006B6298" w:rsidRDefault="00635F11" w:rsidP="00635F11">
            <w:pPr>
              <w:pStyle w:val="PargrafodaLista"/>
              <w:ind w:left="0"/>
              <w:rPr>
                <w:rFonts w:ascii="Times New Roman" w:hAnsi="Times New Roman"/>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Fala Escrita Pesquisa e Documentação Histórica Ltda.</w:t>
            </w:r>
          </w:p>
        </w:tc>
      </w:tr>
      <w:tr w:rsidR="006B6298" w:rsidRPr="006B6298" w:rsidTr="00FD5D16">
        <w:trPr>
          <w:jc w:val="center"/>
        </w:trPr>
        <w:tc>
          <w:tcPr>
            <w:tcW w:w="9792" w:type="dxa"/>
            <w:shd w:val="clear" w:color="auto" w:fill="auto"/>
          </w:tcPr>
          <w:p w:rsidR="001B3165" w:rsidRPr="006B6298" w:rsidRDefault="001B3165" w:rsidP="00635F11">
            <w:pPr>
              <w:jc w:val="both"/>
              <w:rPr>
                <w:b/>
                <w:sz w:val="20"/>
                <w:szCs w:val="20"/>
              </w:rPr>
            </w:pPr>
            <w:r w:rsidRPr="006B6298">
              <w:rPr>
                <w:b/>
                <w:sz w:val="20"/>
                <w:szCs w:val="20"/>
              </w:rPr>
              <w:t>PROJETO</w:t>
            </w:r>
            <w:r w:rsidR="00635F11" w:rsidRPr="006B6298">
              <w:rPr>
                <w:b/>
                <w:sz w:val="20"/>
                <w:szCs w:val="20"/>
              </w:rPr>
              <w:t xml:space="preserve"> -</w:t>
            </w:r>
            <w:r w:rsidRPr="006B6298">
              <w:rPr>
                <w:b/>
                <w:sz w:val="20"/>
                <w:szCs w:val="20"/>
              </w:rPr>
              <w:t xml:space="preserve"> PROGRAMA MEMORIAL DA INCLUSÃO (CONTRATO DE GESTÃO)</w:t>
            </w:r>
          </w:p>
        </w:tc>
      </w:tr>
      <w:tr w:rsidR="006B6298" w:rsidRPr="006B6298" w:rsidTr="00FD5D16">
        <w:trPr>
          <w:trHeight w:val="699"/>
          <w:jc w:val="center"/>
        </w:trPr>
        <w:tc>
          <w:tcPr>
            <w:tcW w:w="9792" w:type="dxa"/>
            <w:shd w:val="clear" w:color="auto" w:fill="auto"/>
          </w:tcPr>
          <w:p w:rsidR="001B3165" w:rsidRPr="006B6298" w:rsidRDefault="001E4AA3" w:rsidP="001B3165">
            <w:pPr>
              <w:pStyle w:val="PargrafodaLista"/>
              <w:ind w:left="0"/>
              <w:rPr>
                <w:rFonts w:ascii="Times New Roman" w:hAnsi="Times New Roman"/>
                <w:sz w:val="20"/>
                <w:szCs w:val="20"/>
              </w:rPr>
            </w:pPr>
            <w:r w:rsidRPr="006B6298">
              <w:rPr>
                <w:rFonts w:ascii="Times New Roman" w:hAnsi="Times New Roman"/>
                <w:b/>
                <w:sz w:val="20"/>
                <w:szCs w:val="20"/>
              </w:rPr>
              <w:t>Objetivo</w:t>
            </w:r>
            <w:r w:rsidR="001B3165" w:rsidRPr="006B6298">
              <w:rPr>
                <w:rFonts w:ascii="Times New Roman" w:hAnsi="Times New Roman"/>
                <w:b/>
                <w:sz w:val="20"/>
                <w:szCs w:val="20"/>
              </w:rPr>
              <w:t xml:space="preserve">: </w:t>
            </w:r>
            <w:r w:rsidR="001B3165" w:rsidRPr="006B6298">
              <w:rPr>
                <w:rFonts w:ascii="Times New Roman" w:hAnsi="Times New Roman"/>
                <w:sz w:val="20"/>
                <w:szCs w:val="20"/>
              </w:rPr>
              <w:t>Gestão do Memorial da Inclusão, contemplan</w:t>
            </w:r>
            <w:r w:rsidRPr="006B6298">
              <w:rPr>
                <w:rFonts w:ascii="Times New Roman" w:hAnsi="Times New Roman"/>
                <w:sz w:val="20"/>
                <w:szCs w:val="20"/>
              </w:rPr>
              <w:t>do seus projetos e ações:</w:t>
            </w:r>
          </w:p>
          <w:p w:rsidR="001B3165" w:rsidRPr="006B6298" w:rsidRDefault="001E4AA3" w:rsidP="001B3165">
            <w:pPr>
              <w:jc w:val="both"/>
              <w:rPr>
                <w:sz w:val="20"/>
                <w:szCs w:val="20"/>
              </w:rPr>
            </w:pPr>
            <w:r w:rsidRPr="006B6298">
              <w:rPr>
                <w:sz w:val="20"/>
                <w:szCs w:val="20"/>
              </w:rPr>
              <w:t>-</w:t>
            </w:r>
            <w:r w:rsidR="001B3165" w:rsidRPr="006B6298">
              <w:rPr>
                <w:sz w:val="20"/>
                <w:szCs w:val="20"/>
              </w:rPr>
              <w:t xml:space="preserve"> Exposições Permanente, Itinerante, Virtual e Temporária;</w:t>
            </w:r>
          </w:p>
          <w:p w:rsidR="001B3165" w:rsidRPr="006B6298" w:rsidRDefault="001E4AA3" w:rsidP="001B3165">
            <w:pPr>
              <w:jc w:val="both"/>
              <w:rPr>
                <w:sz w:val="20"/>
                <w:szCs w:val="20"/>
              </w:rPr>
            </w:pPr>
            <w:r w:rsidRPr="006B6298">
              <w:rPr>
                <w:sz w:val="20"/>
                <w:szCs w:val="20"/>
              </w:rPr>
              <w:t>-</w:t>
            </w:r>
            <w:r w:rsidR="001B3165" w:rsidRPr="006B6298">
              <w:rPr>
                <w:sz w:val="20"/>
                <w:szCs w:val="20"/>
              </w:rPr>
              <w:t xml:space="preserve"> Virada Inclusiva</w:t>
            </w:r>
          </w:p>
          <w:p w:rsidR="001B3165" w:rsidRPr="006B6298" w:rsidRDefault="001E4AA3" w:rsidP="001B3165">
            <w:pPr>
              <w:jc w:val="both"/>
              <w:rPr>
                <w:sz w:val="20"/>
                <w:szCs w:val="20"/>
              </w:rPr>
            </w:pPr>
            <w:r w:rsidRPr="006B6298">
              <w:rPr>
                <w:sz w:val="20"/>
                <w:szCs w:val="20"/>
              </w:rPr>
              <w:t>-</w:t>
            </w:r>
            <w:r w:rsidR="001B3165" w:rsidRPr="006B6298">
              <w:rPr>
                <w:sz w:val="20"/>
                <w:szCs w:val="20"/>
              </w:rPr>
              <w:t xml:space="preserve"> Ação Educativa e EAD;</w:t>
            </w:r>
          </w:p>
          <w:p w:rsidR="001B3165" w:rsidRPr="006B6298" w:rsidRDefault="001E4AA3" w:rsidP="001B3165">
            <w:pPr>
              <w:jc w:val="both"/>
              <w:rPr>
                <w:sz w:val="20"/>
                <w:szCs w:val="20"/>
              </w:rPr>
            </w:pPr>
            <w:r w:rsidRPr="006B6298">
              <w:rPr>
                <w:sz w:val="20"/>
                <w:szCs w:val="20"/>
              </w:rPr>
              <w:t>-</w:t>
            </w:r>
            <w:r w:rsidR="001B3165" w:rsidRPr="006B6298">
              <w:rPr>
                <w:sz w:val="20"/>
                <w:szCs w:val="20"/>
              </w:rPr>
              <w:t xml:space="preserve"> Estudos e Pesquisas (Projeto memórias; Centro de Documentação; Seminários; Simpósios, Rede Brasileira e Publicação de Vídeos e Documentários).</w:t>
            </w:r>
          </w:p>
          <w:p w:rsidR="001B3165" w:rsidRPr="006B6298" w:rsidRDefault="001E4AA3" w:rsidP="001E4AA3">
            <w:pPr>
              <w:pStyle w:val="PargrafodaLista"/>
              <w:ind w:left="0"/>
              <w:rPr>
                <w:rFonts w:ascii="Times New Roman" w:hAnsi="Times New Roman"/>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Organização Social ABAÇAÍ Cultura e Arte</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1E4AA3">
            <w:pPr>
              <w:jc w:val="both"/>
              <w:rPr>
                <w:b/>
                <w:sz w:val="20"/>
                <w:szCs w:val="20"/>
              </w:rPr>
            </w:pPr>
            <w:r w:rsidRPr="006B6298">
              <w:rPr>
                <w:b/>
                <w:sz w:val="20"/>
                <w:szCs w:val="20"/>
              </w:rPr>
              <w:t>PROJETO</w:t>
            </w:r>
            <w:r w:rsidR="001E4AA3" w:rsidRPr="006B6298">
              <w:rPr>
                <w:b/>
                <w:sz w:val="20"/>
                <w:szCs w:val="20"/>
              </w:rPr>
              <w:t xml:space="preserve"> -</w:t>
            </w:r>
            <w:r w:rsidRPr="006B6298">
              <w:rPr>
                <w:b/>
                <w:sz w:val="20"/>
                <w:szCs w:val="20"/>
              </w:rPr>
              <w:t xml:space="preserve"> ENCONTRO DE GESTORES DE COMU</w:t>
            </w:r>
            <w:r w:rsidR="001E4AA3" w:rsidRPr="006B6298">
              <w:rPr>
                <w:b/>
                <w:sz w:val="20"/>
                <w:szCs w:val="20"/>
              </w:rPr>
              <w:t>NICAÇÃO DO ESTADO DE SÃO PAULO</w:t>
            </w:r>
          </w:p>
        </w:tc>
      </w:tr>
      <w:tr w:rsidR="006B6298" w:rsidRPr="006B6298" w:rsidTr="00FD5D16">
        <w:trPr>
          <w:jc w:val="center"/>
        </w:trPr>
        <w:tc>
          <w:tcPr>
            <w:tcW w:w="9792" w:type="dxa"/>
            <w:shd w:val="clear" w:color="auto" w:fill="auto"/>
          </w:tcPr>
          <w:p w:rsidR="001B3165" w:rsidRPr="006B6298" w:rsidRDefault="001E4AA3"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Informação de técnicas sobre acessibilidade na comunicação, visando à inclusão social das pessoas com deficiência</w:t>
            </w:r>
          </w:p>
          <w:p w:rsidR="001B3165" w:rsidRPr="006B6298" w:rsidRDefault="001B3165" w:rsidP="00450249">
            <w:pPr>
              <w:jc w:val="both"/>
              <w:rPr>
                <w:sz w:val="20"/>
                <w:szCs w:val="20"/>
              </w:rPr>
            </w:pPr>
            <w:r w:rsidRPr="006B6298">
              <w:rPr>
                <w:sz w:val="20"/>
                <w:szCs w:val="20"/>
              </w:rPr>
              <w:t>Encontro realizado, em que foram abordados temas como audiodescrição em eventos, teatros, programas de TV, cinemas e espetáculos. O público vivenciou a experiência de não entender peça de propaganda composta, apenas, de elementos visuais. Foram distribuídas vendas para os olhos e apresentada a importância da audiodescrição na prática.</w:t>
            </w:r>
          </w:p>
        </w:tc>
      </w:tr>
      <w:tr w:rsidR="006B6298" w:rsidRPr="006B6298" w:rsidTr="00FD5D16">
        <w:trPr>
          <w:jc w:val="center"/>
        </w:trPr>
        <w:tc>
          <w:tcPr>
            <w:tcW w:w="9792" w:type="dxa"/>
            <w:shd w:val="clear" w:color="auto" w:fill="auto"/>
          </w:tcPr>
          <w:p w:rsidR="001B3165" w:rsidRPr="006B6298" w:rsidRDefault="001B3165" w:rsidP="00450249">
            <w:pPr>
              <w:jc w:val="both"/>
              <w:rPr>
                <w:b/>
                <w:sz w:val="20"/>
                <w:szCs w:val="20"/>
              </w:rPr>
            </w:pPr>
            <w:r w:rsidRPr="006B6298">
              <w:rPr>
                <w:b/>
                <w:sz w:val="20"/>
                <w:szCs w:val="20"/>
              </w:rPr>
              <w:t>PROJETO</w:t>
            </w:r>
            <w:r w:rsidR="00450249" w:rsidRPr="006B6298">
              <w:rPr>
                <w:b/>
                <w:sz w:val="20"/>
                <w:szCs w:val="20"/>
              </w:rPr>
              <w:t xml:space="preserve"> -</w:t>
            </w:r>
            <w:r w:rsidRPr="006B6298">
              <w:rPr>
                <w:b/>
                <w:sz w:val="20"/>
                <w:szCs w:val="20"/>
              </w:rPr>
              <w:t xml:space="preserve"> MODA INCLUSIVA </w:t>
            </w:r>
            <w:r w:rsidR="00450249" w:rsidRPr="006B6298">
              <w:rPr>
                <w:b/>
                <w:sz w:val="20"/>
                <w:szCs w:val="20"/>
              </w:rPr>
              <w:t>-</w:t>
            </w:r>
            <w:r w:rsidRPr="006B6298">
              <w:rPr>
                <w:b/>
                <w:sz w:val="20"/>
                <w:szCs w:val="20"/>
              </w:rPr>
              <w:t xml:space="preserve"> ESTÍMULO </w:t>
            </w:r>
            <w:r w:rsidR="00450249" w:rsidRPr="006B6298">
              <w:rPr>
                <w:b/>
                <w:sz w:val="20"/>
                <w:szCs w:val="20"/>
              </w:rPr>
              <w:t>À</w:t>
            </w:r>
            <w:r w:rsidRPr="006B6298">
              <w:rPr>
                <w:b/>
                <w:sz w:val="20"/>
                <w:szCs w:val="20"/>
              </w:rPr>
              <w:t xml:space="preserve"> ADOÇÃO DO DESENHO UNIVERSAL NA MODELAGEM E CONCEITO DE MODA </w:t>
            </w:r>
            <w:r w:rsidR="00450249" w:rsidRPr="006B6298">
              <w:rPr>
                <w:b/>
                <w:sz w:val="20"/>
                <w:szCs w:val="20"/>
              </w:rPr>
              <w:t>-</w:t>
            </w:r>
            <w:r w:rsidRPr="006B6298">
              <w:rPr>
                <w:b/>
                <w:sz w:val="20"/>
                <w:szCs w:val="20"/>
              </w:rPr>
              <w:t xml:space="preserve"> VALORIZAÇÃO DE DIVERSIDADE</w:t>
            </w:r>
          </w:p>
        </w:tc>
      </w:tr>
      <w:tr w:rsidR="006B6298" w:rsidRPr="006B6298" w:rsidTr="00FD5D16">
        <w:trPr>
          <w:jc w:val="center"/>
        </w:trPr>
        <w:tc>
          <w:tcPr>
            <w:tcW w:w="9792" w:type="dxa"/>
            <w:shd w:val="clear" w:color="auto" w:fill="auto"/>
          </w:tcPr>
          <w:p w:rsidR="001B3165" w:rsidRPr="006B6298" w:rsidRDefault="00450249" w:rsidP="001B3165">
            <w:pPr>
              <w:jc w:val="both"/>
              <w:rPr>
                <w:sz w:val="20"/>
                <w:szCs w:val="20"/>
              </w:rPr>
            </w:pPr>
            <w:r w:rsidRPr="006B6298">
              <w:rPr>
                <w:b/>
                <w:sz w:val="20"/>
                <w:szCs w:val="20"/>
              </w:rPr>
              <w:t>Objetivo -</w:t>
            </w:r>
            <w:r w:rsidR="001B3165" w:rsidRPr="006B6298">
              <w:rPr>
                <w:sz w:val="20"/>
                <w:szCs w:val="20"/>
              </w:rPr>
              <w:t xml:space="preserve"> Incentivo ao surgimento de novas soluções em relação ao vestuário para a pessoa com deficiência</w:t>
            </w:r>
            <w:r w:rsidRPr="006B6298">
              <w:rPr>
                <w:sz w:val="20"/>
                <w:szCs w:val="20"/>
              </w:rPr>
              <w:t>.</w:t>
            </w:r>
            <w:r w:rsidR="001B3165" w:rsidRPr="006B6298">
              <w:rPr>
                <w:sz w:val="20"/>
                <w:szCs w:val="20"/>
              </w:rPr>
              <w:t xml:space="preserve"> Inserção das pessoas com deficiência no contexto da responsabilidade social</w:t>
            </w:r>
            <w:r w:rsidRPr="006B6298">
              <w:rPr>
                <w:sz w:val="20"/>
                <w:szCs w:val="20"/>
              </w:rPr>
              <w:t>.</w:t>
            </w:r>
            <w:r w:rsidR="001B3165" w:rsidRPr="006B6298">
              <w:rPr>
                <w:sz w:val="20"/>
                <w:szCs w:val="20"/>
              </w:rPr>
              <w:t xml:space="preserve"> Realização do </w:t>
            </w:r>
            <w:r w:rsidRPr="006B6298">
              <w:rPr>
                <w:sz w:val="20"/>
                <w:szCs w:val="20"/>
              </w:rPr>
              <w:t>“</w:t>
            </w:r>
            <w:r w:rsidR="001B3165" w:rsidRPr="006B6298">
              <w:rPr>
                <w:sz w:val="20"/>
                <w:szCs w:val="20"/>
              </w:rPr>
              <w:t>3º Fórum Internacional de Moda Inclusiva e Sustentabilidade</w:t>
            </w:r>
            <w:r w:rsidRPr="006B6298">
              <w:rPr>
                <w:sz w:val="20"/>
                <w:szCs w:val="20"/>
              </w:rPr>
              <w:t>”</w:t>
            </w:r>
            <w:r w:rsidR="001B3165" w:rsidRPr="006B6298">
              <w:rPr>
                <w:sz w:val="20"/>
                <w:szCs w:val="20"/>
              </w:rPr>
              <w:t>.</w:t>
            </w:r>
          </w:p>
          <w:p w:rsidR="001B3165" w:rsidRPr="006B6298" w:rsidRDefault="001B3165" w:rsidP="00450249">
            <w:pPr>
              <w:jc w:val="both"/>
              <w:rPr>
                <w:sz w:val="20"/>
                <w:szCs w:val="20"/>
              </w:rPr>
            </w:pPr>
            <w:r w:rsidRPr="006B6298">
              <w:rPr>
                <w:sz w:val="20"/>
                <w:szCs w:val="20"/>
              </w:rPr>
              <w:t xml:space="preserve">Evento contou com a participação de profissionais e estudantes de moda de diferentes </w:t>
            </w:r>
            <w:r w:rsidR="00450249" w:rsidRPr="006B6298">
              <w:rPr>
                <w:sz w:val="20"/>
                <w:szCs w:val="20"/>
              </w:rPr>
              <w:t xml:space="preserve">Estados: </w:t>
            </w:r>
            <w:r w:rsidRPr="006B6298">
              <w:rPr>
                <w:sz w:val="20"/>
                <w:szCs w:val="20"/>
              </w:rPr>
              <w:t>Alagoas, Amazonas, Bahia, Ceará, Distrito Federal, Espírito Santo, Goiás, Mato Grosso, Minas Gerais, Paraná, Pernambuco, Piauí, Rio de Janeiro, Rio Grande do Sul, Santa Catarina e São Paulo</w:t>
            </w:r>
            <w:r w:rsidR="00450249" w:rsidRPr="006B6298">
              <w:rPr>
                <w:sz w:val="20"/>
                <w:szCs w:val="20"/>
              </w:rPr>
              <w:t>.</w:t>
            </w:r>
          </w:p>
        </w:tc>
      </w:tr>
      <w:tr w:rsidR="006B6298" w:rsidRPr="006B6298" w:rsidTr="00FD5D16">
        <w:trPr>
          <w:jc w:val="center"/>
        </w:trPr>
        <w:tc>
          <w:tcPr>
            <w:tcW w:w="9792" w:type="dxa"/>
            <w:shd w:val="clear" w:color="auto" w:fill="auto"/>
          </w:tcPr>
          <w:p w:rsidR="001B3165" w:rsidRPr="006B6298" w:rsidRDefault="001B3165" w:rsidP="001B3165">
            <w:pPr>
              <w:rPr>
                <w:b/>
                <w:sz w:val="20"/>
                <w:szCs w:val="20"/>
              </w:rPr>
            </w:pPr>
            <w:r w:rsidRPr="006B6298">
              <w:rPr>
                <w:b/>
                <w:sz w:val="20"/>
                <w:szCs w:val="20"/>
              </w:rPr>
              <w:t>TECNOLOGIA</w:t>
            </w:r>
          </w:p>
        </w:tc>
      </w:tr>
      <w:tr w:rsidR="006B6298" w:rsidRPr="006B6298" w:rsidTr="00FD5D16">
        <w:trPr>
          <w:jc w:val="center"/>
        </w:trPr>
        <w:tc>
          <w:tcPr>
            <w:tcW w:w="9792" w:type="dxa"/>
            <w:shd w:val="clear" w:color="auto" w:fill="auto"/>
          </w:tcPr>
          <w:p w:rsidR="001B3165" w:rsidRPr="006B6298" w:rsidRDefault="001B3165" w:rsidP="00450249">
            <w:pPr>
              <w:jc w:val="both"/>
              <w:rPr>
                <w:b/>
                <w:sz w:val="20"/>
                <w:szCs w:val="20"/>
              </w:rPr>
            </w:pPr>
            <w:r w:rsidRPr="006B6298">
              <w:rPr>
                <w:b/>
                <w:sz w:val="20"/>
                <w:szCs w:val="20"/>
              </w:rPr>
              <w:t>PROJETO</w:t>
            </w:r>
            <w:r w:rsidR="00450249" w:rsidRPr="006B6298">
              <w:rPr>
                <w:b/>
                <w:sz w:val="20"/>
                <w:szCs w:val="20"/>
              </w:rPr>
              <w:t xml:space="preserve"> -</w:t>
            </w:r>
            <w:r w:rsidRPr="006B6298">
              <w:rPr>
                <w:b/>
                <w:sz w:val="20"/>
                <w:szCs w:val="20"/>
              </w:rPr>
              <w:t xml:space="preserve"> 6° ENCONTRO INTERNACIONAL DE TECNOLOGIA E INOVAÇÃO PARA PESSOAS COM DEFICIÊNCIA - TECNOLOGIA NOS SERVIÇOS AO PÚBLICO</w:t>
            </w:r>
          </w:p>
        </w:tc>
      </w:tr>
      <w:tr w:rsidR="006B6298" w:rsidRPr="006B6298" w:rsidTr="00FD5D16">
        <w:trPr>
          <w:jc w:val="center"/>
        </w:trPr>
        <w:tc>
          <w:tcPr>
            <w:tcW w:w="9792" w:type="dxa"/>
            <w:shd w:val="clear" w:color="auto" w:fill="auto"/>
          </w:tcPr>
          <w:p w:rsidR="001B3165" w:rsidRPr="006B6298" w:rsidRDefault="00450249" w:rsidP="001B3165">
            <w:pPr>
              <w:jc w:val="both"/>
              <w:rPr>
                <w:sz w:val="20"/>
                <w:szCs w:val="20"/>
              </w:rPr>
            </w:pPr>
            <w:r w:rsidRPr="006B6298">
              <w:rPr>
                <w:b/>
                <w:sz w:val="20"/>
                <w:szCs w:val="20"/>
              </w:rPr>
              <w:t>Objetivo -</w:t>
            </w:r>
            <w:r w:rsidR="001B3165" w:rsidRPr="006B6298">
              <w:rPr>
                <w:b/>
                <w:sz w:val="20"/>
                <w:szCs w:val="20"/>
              </w:rPr>
              <w:t xml:space="preserve"> </w:t>
            </w:r>
            <w:r w:rsidR="001B3165" w:rsidRPr="006B6298">
              <w:rPr>
                <w:sz w:val="20"/>
                <w:szCs w:val="20"/>
              </w:rPr>
              <w:t xml:space="preserve">Exposição das principais questões referentes à mobilidade urbana, tema que se tornou prioritário no </w:t>
            </w:r>
            <w:r w:rsidR="00957E14" w:rsidRPr="006B6298">
              <w:rPr>
                <w:sz w:val="20"/>
                <w:szCs w:val="20"/>
              </w:rPr>
              <w:t>País</w:t>
            </w:r>
            <w:r w:rsidR="001B3165" w:rsidRPr="006B6298">
              <w:rPr>
                <w:sz w:val="20"/>
                <w:szCs w:val="20"/>
              </w:rPr>
              <w:t xml:space="preserve"> com a vigência da "Política Nacional de Mobilidade Urbana", que tem como uma das diretrizes a acessibilidade universal, para demonstrar a importância de se observar as normas e diretrizes de acessibilidade nos projetos e programas que visem ao aperfeiçoamento da infraestrutura urbana. Promoção de discussão sobre a importância das tecnologias assistivas e ajudas técnicas no processo de reabilitação das pessoas com deficiência, mobilidade reduzida (permanente ou temporária), idosos e seus fa</w:t>
            </w:r>
            <w:r w:rsidRPr="006B6298">
              <w:rPr>
                <w:sz w:val="20"/>
                <w:szCs w:val="20"/>
              </w:rPr>
              <w:t>miliares e outros interessados.</w:t>
            </w:r>
          </w:p>
          <w:p w:rsidR="001B3165" w:rsidRPr="006B6298" w:rsidRDefault="001B3165" w:rsidP="001B3165">
            <w:pPr>
              <w:jc w:val="both"/>
              <w:rPr>
                <w:sz w:val="20"/>
                <w:szCs w:val="20"/>
              </w:rPr>
            </w:pPr>
            <w:r w:rsidRPr="006B6298">
              <w:rPr>
                <w:sz w:val="20"/>
                <w:szCs w:val="20"/>
              </w:rPr>
              <w:t xml:space="preserve">Realizado no âmbito da Reabilitação </w:t>
            </w:r>
            <w:r w:rsidR="00450249" w:rsidRPr="006B6298">
              <w:rPr>
                <w:sz w:val="20"/>
                <w:szCs w:val="20"/>
              </w:rPr>
              <w:t>-</w:t>
            </w:r>
            <w:r w:rsidRPr="006B6298">
              <w:rPr>
                <w:sz w:val="20"/>
                <w:szCs w:val="20"/>
              </w:rPr>
              <w:t xml:space="preserve"> Feira + Fórum 2014, no Palácio de Convenções do Anhembi. "Acessibilidade e Mobilidade Urbana", foi o tema do </w:t>
            </w:r>
            <w:r w:rsidR="00450249" w:rsidRPr="006B6298">
              <w:rPr>
                <w:sz w:val="20"/>
                <w:szCs w:val="20"/>
              </w:rPr>
              <w:t>“</w:t>
            </w:r>
            <w:r w:rsidRPr="006B6298">
              <w:rPr>
                <w:sz w:val="20"/>
                <w:szCs w:val="20"/>
              </w:rPr>
              <w:t xml:space="preserve">6º Encontro Internacional de Tecnologia e Inovação para Pessoas com </w:t>
            </w:r>
            <w:r w:rsidRPr="006B6298">
              <w:rPr>
                <w:sz w:val="20"/>
                <w:szCs w:val="20"/>
              </w:rPr>
              <w:lastRenderedPageBreak/>
              <w:t>Deficiência</w:t>
            </w:r>
            <w:r w:rsidR="00450249" w:rsidRPr="006B6298">
              <w:rPr>
                <w:sz w:val="20"/>
                <w:szCs w:val="20"/>
              </w:rPr>
              <w:t>”</w:t>
            </w:r>
            <w:r w:rsidRPr="006B6298">
              <w:rPr>
                <w:sz w:val="20"/>
                <w:szCs w:val="20"/>
              </w:rPr>
              <w:t>.</w:t>
            </w:r>
          </w:p>
          <w:p w:rsidR="001B3165" w:rsidRPr="006B6298" w:rsidRDefault="00450249" w:rsidP="00450249">
            <w:pPr>
              <w:pStyle w:val="PargrafodaLista"/>
              <w:ind w:left="0"/>
              <w:rPr>
                <w:rFonts w:ascii="Times New Roman" w:hAnsi="Times New Roman"/>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FORTEC - Fórum Nacional de Gestores de Inovação e Transferência de Tecnologia</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450249" w:rsidP="005F30C6">
            <w:pPr>
              <w:jc w:val="both"/>
              <w:rPr>
                <w:b/>
                <w:sz w:val="20"/>
                <w:szCs w:val="20"/>
              </w:rPr>
            </w:pPr>
            <w:r w:rsidRPr="006B6298">
              <w:rPr>
                <w:b/>
                <w:sz w:val="20"/>
                <w:szCs w:val="20"/>
              </w:rPr>
              <w:lastRenderedPageBreak/>
              <w:t>PROJETO -</w:t>
            </w:r>
            <w:r w:rsidR="001B3165" w:rsidRPr="006B6298">
              <w:rPr>
                <w:b/>
                <w:sz w:val="20"/>
                <w:szCs w:val="20"/>
              </w:rPr>
              <w:t xml:space="preserve"> IMPLANTAÇÃO DE EQUIPAMENTOS "AMBULIFTS" EM AEROPORTOS</w:t>
            </w:r>
            <w:r w:rsidR="005F30C6">
              <w:rPr>
                <w:b/>
                <w:sz w:val="20"/>
                <w:szCs w:val="20"/>
              </w:rPr>
              <w:t xml:space="preserve"> - </w:t>
            </w:r>
            <w:r w:rsidR="001B3165" w:rsidRPr="006B6298">
              <w:rPr>
                <w:b/>
                <w:sz w:val="20"/>
                <w:szCs w:val="20"/>
              </w:rPr>
              <w:t>(DAESP)</w:t>
            </w:r>
          </w:p>
        </w:tc>
      </w:tr>
      <w:tr w:rsidR="006B6298" w:rsidRPr="006B6298" w:rsidTr="00FD5D16">
        <w:trPr>
          <w:jc w:val="center"/>
        </w:trPr>
        <w:tc>
          <w:tcPr>
            <w:tcW w:w="9792" w:type="dxa"/>
            <w:shd w:val="clear" w:color="auto" w:fill="auto"/>
          </w:tcPr>
          <w:p w:rsidR="001B3165" w:rsidRPr="006B6298" w:rsidRDefault="00450249" w:rsidP="001B3165">
            <w:pPr>
              <w:jc w:val="both"/>
              <w:rPr>
                <w:b/>
                <w:sz w:val="20"/>
                <w:szCs w:val="20"/>
              </w:rPr>
            </w:pPr>
            <w:r w:rsidRPr="006B6298">
              <w:rPr>
                <w:b/>
                <w:sz w:val="20"/>
                <w:szCs w:val="20"/>
              </w:rPr>
              <w:t>Objetivo -</w:t>
            </w:r>
            <w:r w:rsidR="001B3165" w:rsidRPr="006B6298">
              <w:rPr>
                <w:b/>
                <w:sz w:val="20"/>
                <w:szCs w:val="20"/>
              </w:rPr>
              <w:t xml:space="preserve"> </w:t>
            </w:r>
            <w:r w:rsidR="001B3165" w:rsidRPr="006B6298">
              <w:rPr>
                <w:sz w:val="20"/>
                <w:szCs w:val="20"/>
              </w:rPr>
              <w:t>Esforço mútuo entre os partícipes para a implantação de 7 equipamentos denominados "ambulifts" nos aeroportos do Estado, visando à acessibilidade das pessoas com deficiência do Estado.</w:t>
            </w:r>
          </w:p>
          <w:p w:rsidR="001B3165" w:rsidRPr="006B6298" w:rsidRDefault="001B3165" w:rsidP="001B3165">
            <w:pPr>
              <w:jc w:val="both"/>
              <w:rPr>
                <w:sz w:val="20"/>
                <w:szCs w:val="20"/>
              </w:rPr>
            </w:pPr>
            <w:r w:rsidRPr="006B6298">
              <w:rPr>
                <w:sz w:val="20"/>
                <w:szCs w:val="20"/>
              </w:rPr>
              <w:t xml:space="preserve">Ação conjunta para implantação nos seguintes </w:t>
            </w:r>
            <w:r w:rsidR="00450249" w:rsidRPr="006B6298">
              <w:rPr>
                <w:sz w:val="20"/>
                <w:szCs w:val="20"/>
              </w:rPr>
              <w:t>aeroportos:</w:t>
            </w:r>
          </w:p>
          <w:p w:rsidR="001B3165" w:rsidRPr="006B6298" w:rsidRDefault="00450249" w:rsidP="001B3165">
            <w:pPr>
              <w:jc w:val="both"/>
              <w:rPr>
                <w:sz w:val="20"/>
                <w:szCs w:val="20"/>
              </w:rPr>
            </w:pPr>
            <w:r w:rsidRPr="006B6298">
              <w:rPr>
                <w:b/>
                <w:sz w:val="20"/>
                <w:szCs w:val="20"/>
              </w:rPr>
              <w:t>-</w:t>
            </w:r>
            <w:r w:rsidR="001B3165" w:rsidRPr="006B6298">
              <w:rPr>
                <w:b/>
                <w:sz w:val="20"/>
                <w:szCs w:val="20"/>
              </w:rPr>
              <w:t xml:space="preserve"> </w:t>
            </w:r>
            <w:r w:rsidR="001B3165" w:rsidRPr="006B6298">
              <w:rPr>
                <w:sz w:val="20"/>
                <w:szCs w:val="20"/>
              </w:rPr>
              <w:t>Aeroporto de Ribeirão Preto.</w:t>
            </w:r>
          </w:p>
          <w:p w:rsidR="001B3165" w:rsidRPr="006B6298" w:rsidRDefault="001B3165" w:rsidP="001B3165">
            <w:pPr>
              <w:pStyle w:val="PargrafodaLista"/>
              <w:ind w:left="0"/>
              <w:rPr>
                <w:rFonts w:ascii="Times New Roman" w:hAnsi="Times New Roman"/>
                <w:sz w:val="20"/>
                <w:szCs w:val="20"/>
              </w:rPr>
            </w:pPr>
            <w:r w:rsidRPr="006B6298">
              <w:rPr>
                <w:rFonts w:ascii="Times New Roman" w:hAnsi="Times New Roman"/>
                <w:sz w:val="20"/>
                <w:szCs w:val="20"/>
              </w:rPr>
              <w:t>- Aeroporto de Marília.</w:t>
            </w:r>
          </w:p>
          <w:p w:rsidR="001B3165" w:rsidRPr="006B6298" w:rsidRDefault="00450249" w:rsidP="00450249">
            <w:pPr>
              <w:jc w:val="both"/>
              <w:rPr>
                <w:b/>
                <w:strike/>
                <w:sz w:val="20"/>
                <w:szCs w:val="20"/>
              </w:rPr>
            </w:pPr>
            <w:r w:rsidRPr="006B6298">
              <w:rPr>
                <w:b/>
                <w:sz w:val="20"/>
                <w:szCs w:val="20"/>
              </w:rPr>
              <w:t>Parceiros -</w:t>
            </w:r>
            <w:r w:rsidR="001B3165" w:rsidRPr="006B6298">
              <w:rPr>
                <w:b/>
                <w:sz w:val="20"/>
                <w:szCs w:val="20"/>
              </w:rPr>
              <w:t xml:space="preserve"> </w:t>
            </w:r>
            <w:r w:rsidR="001B3165" w:rsidRPr="006B6298">
              <w:rPr>
                <w:sz w:val="20"/>
                <w:szCs w:val="20"/>
              </w:rPr>
              <w:t xml:space="preserve">Secretaria de Logística e Transportes e Departamento Aeroviário do Estado de São Paulo </w:t>
            </w:r>
            <w:r w:rsidRPr="006B6298">
              <w:rPr>
                <w:sz w:val="20"/>
                <w:szCs w:val="20"/>
              </w:rPr>
              <w:t>-</w:t>
            </w:r>
            <w:r w:rsidR="001B3165" w:rsidRPr="006B6298">
              <w:rPr>
                <w:sz w:val="20"/>
                <w:szCs w:val="20"/>
              </w:rPr>
              <w:t xml:space="preserve"> DAESP.</w:t>
            </w:r>
          </w:p>
        </w:tc>
      </w:tr>
      <w:tr w:rsidR="006B6298" w:rsidRPr="006B6298" w:rsidTr="00FD5D16">
        <w:trPr>
          <w:jc w:val="center"/>
        </w:trPr>
        <w:tc>
          <w:tcPr>
            <w:tcW w:w="9792" w:type="dxa"/>
            <w:shd w:val="clear" w:color="auto" w:fill="auto"/>
          </w:tcPr>
          <w:p w:rsidR="001B3165" w:rsidRPr="006B6298" w:rsidRDefault="001B3165" w:rsidP="00450249">
            <w:pPr>
              <w:jc w:val="both"/>
              <w:rPr>
                <w:b/>
                <w:sz w:val="20"/>
                <w:szCs w:val="20"/>
              </w:rPr>
            </w:pPr>
            <w:r w:rsidRPr="006B6298">
              <w:rPr>
                <w:b/>
                <w:sz w:val="20"/>
                <w:szCs w:val="20"/>
              </w:rPr>
              <w:t>PROJETO</w:t>
            </w:r>
            <w:r w:rsidR="00450249" w:rsidRPr="006B6298">
              <w:rPr>
                <w:b/>
                <w:sz w:val="20"/>
                <w:szCs w:val="20"/>
              </w:rPr>
              <w:t xml:space="preserve"> -</w:t>
            </w:r>
            <w:r w:rsidRPr="006B6298">
              <w:rPr>
                <w:b/>
                <w:sz w:val="20"/>
                <w:szCs w:val="20"/>
              </w:rPr>
              <w:t xml:space="preserve"> CENTRO DE CONVIVÊNCIA DA PESSOA COM DEFICIÊNCIA (CATANDUVA)</w:t>
            </w:r>
          </w:p>
        </w:tc>
      </w:tr>
      <w:tr w:rsidR="00FD5D16" w:rsidRPr="006B6298" w:rsidTr="00FD5D16">
        <w:trPr>
          <w:jc w:val="center"/>
        </w:trPr>
        <w:tc>
          <w:tcPr>
            <w:tcW w:w="9792" w:type="dxa"/>
            <w:shd w:val="clear" w:color="auto" w:fill="auto"/>
          </w:tcPr>
          <w:p w:rsidR="001B3165" w:rsidRPr="006B6298" w:rsidRDefault="00450249" w:rsidP="001B3165">
            <w:pPr>
              <w:jc w:val="both"/>
              <w:rPr>
                <w:sz w:val="20"/>
                <w:szCs w:val="20"/>
              </w:rPr>
            </w:pPr>
            <w:r w:rsidRPr="006B6298">
              <w:rPr>
                <w:b/>
                <w:sz w:val="20"/>
                <w:szCs w:val="20"/>
              </w:rPr>
              <w:t>Objetivo -</w:t>
            </w:r>
            <w:r w:rsidR="001B3165" w:rsidRPr="006B6298">
              <w:rPr>
                <w:b/>
                <w:sz w:val="20"/>
                <w:szCs w:val="20"/>
              </w:rPr>
              <w:t xml:space="preserve"> </w:t>
            </w:r>
            <w:r w:rsidR="001B3165" w:rsidRPr="006B6298">
              <w:rPr>
                <w:sz w:val="20"/>
                <w:szCs w:val="20"/>
              </w:rPr>
              <w:t xml:space="preserve">Construção de </w:t>
            </w:r>
            <w:r w:rsidR="001A62DD" w:rsidRPr="006B6298">
              <w:rPr>
                <w:sz w:val="20"/>
                <w:szCs w:val="20"/>
              </w:rPr>
              <w:t>C</w:t>
            </w:r>
            <w:r w:rsidR="001B3165" w:rsidRPr="006B6298">
              <w:rPr>
                <w:sz w:val="20"/>
                <w:szCs w:val="20"/>
              </w:rPr>
              <w:t xml:space="preserve">entro de Convivência da Pessoa com Deficiência no </w:t>
            </w:r>
            <w:r w:rsidR="001A62DD" w:rsidRPr="006B6298">
              <w:rPr>
                <w:sz w:val="20"/>
                <w:szCs w:val="20"/>
              </w:rPr>
              <w:t xml:space="preserve">Município </w:t>
            </w:r>
            <w:r w:rsidR="001B3165" w:rsidRPr="006B6298">
              <w:rPr>
                <w:sz w:val="20"/>
                <w:szCs w:val="20"/>
              </w:rPr>
              <w:t xml:space="preserve">de Catanduva, objetivando inclusão social das pessoas com deficiência e seus </w:t>
            </w:r>
            <w:r w:rsidR="001A62DD" w:rsidRPr="006B6298">
              <w:rPr>
                <w:sz w:val="20"/>
                <w:szCs w:val="20"/>
              </w:rPr>
              <w:t>familiares.</w:t>
            </w:r>
          </w:p>
          <w:p w:rsidR="001B3165" w:rsidRPr="006B6298" w:rsidRDefault="001B3165" w:rsidP="001B3165">
            <w:pPr>
              <w:jc w:val="both"/>
              <w:rPr>
                <w:sz w:val="20"/>
                <w:szCs w:val="20"/>
              </w:rPr>
            </w:pPr>
            <w:r w:rsidRPr="006B6298">
              <w:rPr>
                <w:sz w:val="20"/>
                <w:szCs w:val="20"/>
              </w:rPr>
              <w:t>O Centro de Convivência da Pessoa com Deficiência, foi inaugurado, contendo quadra poliesportiva, piscina aquecida coberta, academia ao ar livre e</w:t>
            </w:r>
            <w:r w:rsidR="001A62DD" w:rsidRPr="006B6298">
              <w:rPr>
                <w:sz w:val="20"/>
                <w:szCs w:val="20"/>
              </w:rPr>
              <w:t xml:space="preserve"> sala de informática acessível.</w:t>
            </w:r>
          </w:p>
          <w:p w:rsidR="001A62DD" w:rsidRPr="006B6298" w:rsidRDefault="001A62DD" w:rsidP="006B6298">
            <w:pPr>
              <w:pStyle w:val="PargrafodaLista"/>
              <w:ind w:left="0"/>
              <w:rPr>
                <w:rFonts w:ascii="Times New Roman" w:hAnsi="Times New Roman"/>
                <w:b/>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Prefeitura Municipal de Catanduva</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1B3165">
            <w:pPr>
              <w:rPr>
                <w:b/>
                <w:sz w:val="20"/>
                <w:szCs w:val="20"/>
              </w:rPr>
            </w:pPr>
            <w:r w:rsidRPr="006B6298">
              <w:rPr>
                <w:b/>
                <w:sz w:val="20"/>
                <w:szCs w:val="20"/>
              </w:rPr>
              <w:t>TRABALHO</w:t>
            </w:r>
          </w:p>
        </w:tc>
      </w:tr>
      <w:tr w:rsidR="006B6298" w:rsidRPr="006B6298" w:rsidTr="00FD5D16">
        <w:trPr>
          <w:jc w:val="center"/>
        </w:trPr>
        <w:tc>
          <w:tcPr>
            <w:tcW w:w="9792" w:type="dxa"/>
            <w:shd w:val="clear" w:color="auto" w:fill="auto"/>
          </w:tcPr>
          <w:p w:rsidR="001B3165" w:rsidRPr="006B6298" w:rsidRDefault="001B3165" w:rsidP="001A62DD">
            <w:pPr>
              <w:jc w:val="both"/>
              <w:rPr>
                <w:b/>
                <w:sz w:val="20"/>
                <w:szCs w:val="20"/>
              </w:rPr>
            </w:pPr>
            <w:r w:rsidRPr="006B6298">
              <w:rPr>
                <w:b/>
                <w:sz w:val="20"/>
                <w:szCs w:val="20"/>
              </w:rPr>
              <w:t>PROJETO</w:t>
            </w:r>
            <w:r w:rsidR="001A62DD" w:rsidRPr="006B6298">
              <w:rPr>
                <w:b/>
                <w:sz w:val="20"/>
                <w:szCs w:val="20"/>
              </w:rPr>
              <w:t xml:space="preserve"> -</w:t>
            </w:r>
            <w:r w:rsidRPr="006B6298">
              <w:rPr>
                <w:b/>
                <w:sz w:val="20"/>
                <w:szCs w:val="20"/>
              </w:rPr>
              <w:t xml:space="preserve"> SURDOCEGOS EM AÇÃO PARA MELHORAR A QUALIDADE DE VIDA, RESGATE DE AUTOESTIMA, QUALIFICAÇÃO E REQUALIFICAÇÃO PROFISSIONAL 2014 (AHIMSA)</w:t>
            </w:r>
          </w:p>
        </w:tc>
      </w:tr>
      <w:tr w:rsidR="006B6298" w:rsidRPr="006B6298" w:rsidTr="00FD5D16">
        <w:trPr>
          <w:jc w:val="center"/>
        </w:trPr>
        <w:tc>
          <w:tcPr>
            <w:tcW w:w="9792" w:type="dxa"/>
            <w:shd w:val="clear" w:color="auto" w:fill="auto"/>
          </w:tcPr>
          <w:p w:rsidR="001B3165" w:rsidRPr="006B6298" w:rsidRDefault="00872C71"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Definição das necessidades de jovens e adultos com surdocegueira e pessoas com deficiências múltiplas, promovendo a capacitação de 150 pessoas com surdocegueira para organização de cooperativas e a padronização de programas educacionais, vocacionais e profissionalizantes, com realização de oficinas.</w:t>
            </w:r>
          </w:p>
          <w:p w:rsidR="001B3165" w:rsidRPr="006B6298" w:rsidRDefault="001B3165" w:rsidP="001B3165">
            <w:pPr>
              <w:jc w:val="both"/>
              <w:rPr>
                <w:sz w:val="20"/>
                <w:szCs w:val="20"/>
              </w:rPr>
            </w:pPr>
            <w:r w:rsidRPr="006B6298">
              <w:rPr>
                <w:sz w:val="20"/>
                <w:szCs w:val="20"/>
              </w:rPr>
              <w:t>Capacitação de 150 pessoas.</w:t>
            </w:r>
          </w:p>
          <w:p w:rsidR="001B3165" w:rsidRPr="006B6298" w:rsidRDefault="00872C71" w:rsidP="00BA4E9C">
            <w:pPr>
              <w:pStyle w:val="PargrafodaLista"/>
              <w:ind w:left="0"/>
              <w:rPr>
                <w:rFonts w:ascii="Times New Roman" w:hAnsi="Times New Roman"/>
                <w:strike/>
                <w:sz w:val="20"/>
                <w:szCs w:val="20"/>
              </w:rPr>
            </w:pPr>
            <w:r w:rsidRPr="006B6298">
              <w:rPr>
                <w:rFonts w:ascii="Times New Roman" w:hAnsi="Times New Roman"/>
                <w:b/>
                <w:sz w:val="20"/>
                <w:szCs w:val="20"/>
              </w:rPr>
              <w:t>Parceiro</w:t>
            </w:r>
            <w:r w:rsidR="00BA4E9C" w:rsidRPr="006B6298">
              <w:rPr>
                <w:rFonts w:ascii="Times New Roman" w:hAnsi="Times New Roman"/>
                <w:b/>
                <w:sz w:val="20"/>
                <w:szCs w:val="20"/>
              </w:rPr>
              <w:t xml:space="preserve">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Associação Educacional para Múltipla Deficiência </w:t>
            </w:r>
            <w:r w:rsidR="00BA4E9C" w:rsidRPr="006B6298">
              <w:rPr>
                <w:rFonts w:ascii="Times New Roman" w:hAnsi="Times New Roman"/>
                <w:sz w:val="20"/>
                <w:szCs w:val="20"/>
              </w:rPr>
              <w:t>-</w:t>
            </w:r>
            <w:r w:rsidR="001B3165" w:rsidRPr="006B6298">
              <w:rPr>
                <w:rFonts w:ascii="Times New Roman" w:hAnsi="Times New Roman"/>
                <w:sz w:val="20"/>
                <w:szCs w:val="20"/>
              </w:rPr>
              <w:t xml:space="preserve"> AHIMSA</w:t>
            </w:r>
            <w:r w:rsidR="00BA4E9C"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BA4E9C">
            <w:pPr>
              <w:jc w:val="both"/>
              <w:rPr>
                <w:b/>
                <w:sz w:val="20"/>
                <w:szCs w:val="20"/>
              </w:rPr>
            </w:pPr>
            <w:r w:rsidRPr="006B6298">
              <w:rPr>
                <w:b/>
                <w:sz w:val="20"/>
                <w:szCs w:val="20"/>
              </w:rPr>
              <w:t>PROJETO</w:t>
            </w:r>
            <w:r w:rsidR="00BA4E9C" w:rsidRPr="006B6298">
              <w:rPr>
                <w:b/>
                <w:sz w:val="20"/>
                <w:szCs w:val="20"/>
              </w:rPr>
              <w:t xml:space="preserve"> -</w:t>
            </w:r>
            <w:r w:rsidRPr="006B6298">
              <w:rPr>
                <w:b/>
                <w:sz w:val="20"/>
                <w:szCs w:val="20"/>
              </w:rPr>
              <w:t xml:space="preserve"> SEBRAE MAIS ACESSÍVEL</w:t>
            </w:r>
          </w:p>
        </w:tc>
      </w:tr>
      <w:tr w:rsidR="006B6298" w:rsidRPr="006B6298" w:rsidTr="00FD5D16">
        <w:trPr>
          <w:jc w:val="center"/>
        </w:trPr>
        <w:tc>
          <w:tcPr>
            <w:tcW w:w="9792" w:type="dxa"/>
            <w:shd w:val="clear" w:color="auto" w:fill="auto"/>
          </w:tcPr>
          <w:p w:rsidR="001B3165" w:rsidRPr="006B6298" w:rsidRDefault="00BA4E9C"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sz w:val="20"/>
                <w:szCs w:val="20"/>
              </w:rPr>
              <w:t xml:space="preserve"> Inclusão da pessoa com deficiência nos postos de trabalhos gerados por pequenas empresas, proporcionando orientações empresariais para abrir ou melhorar seus negócios. O programa prevê adaptação dos produtos e serviços do Sebrae para capacitação das pessoas com deficiência.</w:t>
            </w:r>
          </w:p>
          <w:p w:rsidR="001B3165" w:rsidRPr="006B6298" w:rsidRDefault="001B3165" w:rsidP="001B3165">
            <w:pPr>
              <w:jc w:val="both"/>
              <w:rPr>
                <w:sz w:val="20"/>
                <w:szCs w:val="20"/>
              </w:rPr>
            </w:pPr>
            <w:r w:rsidRPr="006B6298">
              <w:rPr>
                <w:sz w:val="20"/>
                <w:szCs w:val="20"/>
              </w:rPr>
              <w:t>Desenvolvimento de cursos de empreendedorismo para pessoas com deficiência, com atenção voltada à utilização de recursos e materiais acessíveis, bem como realização de palestras de sensibilização junto às micro e pequenas empresas sobre contratação de pessoas com deficiência. Adaptação de cursos já existentes, com aplicação de recursos de acessibilidade, e ações de orientação e capacitação dos colaboradores internos para aprimoramento do atendimento às demandas dos empreendedores com deficiência.</w:t>
            </w:r>
          </w:p>
          <w:p w:rsidR="001B3165" w:rsidRPr="006B6298" w:rsidRDefault="00BA4E9C" w:rsidP="00BA4E9C">
            <w:pPr>
              <w:jc w:val="both"/>
              <w:rPr>
                <w:strike/>
                <w:sz w:val="20"/>
                <w:szCs w:val="20"/>
              </w:rPr>
            </w:pPr>
            <w:r w:rsidRPr="006B6298">
              <w:rPr>
                <w:b/>
                <w:sz w:val="20"/>
                <w:szCs w:val="20"/>
              </w:rPr>
              <w:t>Parceiro -</w:t>
            </w:r>
            <w:r w:rsidR="001B3165" w:rsidRPr="006B6298">
              <w:rPr>
                <w:b/>
                <w:sz w:val="20"/>
                <w:szCs w:val="20"/>
              </w:rPr>
              <w:t xml:space="preserve"> </w:t>
            </w:r>
            <w:r w:rsidR="001B3165" w:rsidRPr="006B6298">
              <w:rPr>
                <w:sz w:val="20"/>
                <w:szCs w:val="20"/>
              </w:rPr>
              <w:t>Serviço Brasileiro de Apoio às Micro e Pequenas Empresas de São Paulo</w:t>
            </w:r>
            <w:r w:rsidRPr="006B6298">
              <w:rPr>
                <w:b/>
                <w:sz w:val="20"/>
                <w:szCs w:val="20"/>
              </w:rPr>
              <w:t xml:space="preserve"> - </w:t>
            </w:r>
            <w:r w:rsidR="001B3165" w:rsidRPr="006B6298">
              <w:rPr>
                <w:b/>
                <w:sz w:val="20"/>
                <w:szCs w:val="20"/>
              </w:rPr>
              <w:t>SEBRAE</w:t>
            </w:r>
            <w:r w:rsidRPr="006B6298">
              <w:rPr>
                <w:b/>
                <w:sz w:val="20"/>
                <w:szCs w:val="20"/>
              </w:rPr>
              <w:t>.</w:t>
            </w:r>
          </w:p>
        </w:tc>
      </w:tr>
      <w:tr w:rsidR="006B6298" w:rsidRPr="006B6298" w:rsidTr="00FD5D16">
        <w:trPr>
          <w:jc w:val="center"/>
        </w:trPr>
        <w:tc>
          <w:tcPr>
            <w:tcW w:w="9792" w:type="dxa"/>
            <w:shd w:val="clear" w:color="auto" w:fill="auto"/>
          </w:tcPr>
          <w:p w:rsidR="001B3165" w:rsidRPr="006B6298" w:rsidRDefault="001B3165" w:rsidP="00BA4E9C">
            <w:pPr>
              <w:jc w:val="both"/>
              <w:rPr>
                <w:b/>
                <w:sz w:val="20"/>
                <w:szCs w:val="20"/>
              </w:rPr>
            </w:pPr>
            <w:r w:rsidRPr="006B6298">
              <w:rPr>
                <w:b/>
                <w:sz w:val="20"/>
                <w:szCs w:val="20"/>
              </w:rPr>
              <w:t>PROJETO</w:t>
            </w:r>
            <w:r w:rsidR="00BA4E9C" w:rsidRPr="006B6298">
              <w:rPr>
                <w:b/>
                <w:sz w:val="20"/>
                <w:szCs w:val="20"/>
              </w:rPr>
              <w:t xml:space="preserve"> -</w:t>
            </w:r>
            <w:r w:rsidRPr="006B6298">
              <w:rPr>
                <w:b/>
                <w:sz w:val="20"/>
                <w:szCs w:val="20"/>
              </w:rPr>
              <w:t xml:space="preserve"> PRÊMIO MELHORES EMPRESAS PARA TRABALHADORES COM DEFICIÊNCIA</w:t>
            </w:r>
          </w:p>
        </w:tc>
      </w:tr>
      <w:tr w:rsidR="006B6298" w:rsidRPr="006B6298" w:rsidTr="00FD5D16">
        <w:trPr>
          <w:jc w:val="center"/>
        </w:trPr>
        <w:tc>
          <w:tcPr>
            <w:tcW w:w="9792" w:type="dxa"/>
            <w:shd w:val="clear" w:color="auto" w:fill="auto"/>
          </w:tcPr>
          <w:p w:rsidR="001B3165" w:rsidRPr="006B6298" w:rsidRDefault="00BA4E9C"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Premiação das práticas exitosas voltadas à empregabilidade das pessoas com deficiência em todo o Estado, que possam ser vistas como agentes incentivadores para outras empresas, indo ao encontro da missão e visão da Secretaria dos Dire</w:t>
            </w:r>
            <w:r w:rsidRPr="006B6298">
              <w:rPr>
                <w:rFonts w:ascii="Times New Roman" w:hAnsi="Times New Roman"/>
                <w:sz w:val="20"/>
                <w:szCs w:val="20"/>
              </w:rPr>
              <w:t>itos da Pessoa com Deficiência.</w:t>
            </w:r>
          </w:p>
          <w:p w:rsidR="001B3165" w:rsidRPr="008124C5" w:rsidRDefault="00BA4E9C" w:rsidP="00BA4E9C">
            <w:pPr>
              <w:pStyle w:val="TextosemFormatao"/>
              <w:jc w:val="both"/>
              <w:rPr>
                <w:rFonts w:ascii="Times New Roman" w:hAnsi="Times New Roman"/>
              </w:rPr>
            </w:pPr>
            <w:r w:rsidRPr="008124C5">
              <w:rPr>
                <w:rFonts w:ascii="Times New Roman" w:hAnsi="Times New Roman"/>
              </w:rPr>
              <w:t xml:space="preserve">Evento </w:t>
            </w:r>
            <w:r w:rsidR="001B3165" w:rsidRPr="008124C5">
              <w:rPr>
                <w:rFonts w:ascii="Times New Roman" w:hAnsi="Times New Roman"/>
              </w:rPr>
              <w:t xml:space="preserve">de premiação </w:t>
            </w:r>
            <w:r w:rsidR="00EC1A85" w:rsidRPr="008124C5">
              <w:rPr>
                <w:rFonts w:ascii="Times New Roman" w:hAnsi="Times New Roman"/>
              </w:rPr>
              <w:t>c</w:t>
            </w:r>
            <w:r w:rsidR="001B3165" w:rsidRPr="008124C5">
              <w:rPr>
                <w:rFonts w:ascii="Times New Roman" w:hAnsi="Times New Roman"/>
              </w:rPr>
              <w:t>om a participação de 56 empresas paulistas.</w:t>
            </w:r>
          </w:p>
          <w:p w:rsidR="001B3165" w:rsidRPr="006B6298" w:rsidRDefault="00EC1A85" w:rsidP="00EC1A85">
            <w:pPr>
              <w:pStyle w:val="PargrafodaLista"/>
              <w:ind w:left="0"/>
              <w:rPr>
                <w:rFonts w:ascii="Times New Roman" w:hAnsi="Times New Roman"/>
                <w:b/>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Fundação Instituto de Pesquisas Econômicas </w:t>
            </w:r>
            <w:r w:rsidRPr="006B6298">
              <w:rPr>
                <w:rFonts w:ascii="Times New Roman" w:hAnsi="Times New Roman"/>
                <w:sz w:val="20"/>
                <w:szCs w:val="20"/>
              </w:rPr>
              <w:t>-</w:t>
            </w:r>
            <w:r w:rsidR="001B3165" w:rsidRPr="006B6298">
              <w:rPr>
                <w:rFonts w:ascii="Times New Roman" w:hAnsi="Times New Roman"/>
                <w:sz w:val="20"/>
                <w:szCs w:val="20"/>
              </w:rPr>
              <w:t xml:space="preserve"> FIPE</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EC1A85">
            <w:pPr>
              <w:rPr>
                <w:b/>
                <w:sz w:val="20"/>
                <w:szCs w:val="20"/>
              </w:rPr>
            </w:pPr>
            <w:r w:rsidRPr="006B6298">
              <w:rPr>
                <w:b/>
                <w:sz w:val="20"/>
                <w:szCs w:val="20"/>
              </w:rPr>
              <w:t>PROGRAMA FIPE</w:t>
            </w:r>
          </w:p>
        </w:tc>
      </w:tr>
      <w:tr w:rsidR="006B6298" w:rsidRPr="006B6298" w:rsidTr="00FD5D16">
        <w:trPr>
          <w:jc w:val="center"/>
        </w:trPr>
        <w:tc>
          <w:tcPr>
            <w:tcW w:w="9792" w:type="dxa"/>
            <w:shd w:val="clear" w:color="auto" w:fill="auto"/>
          </w:tcPr>
          <w:p w:rsidR="001B3165" w:rsidRPr="006B6298" w:rsidRDefault="001B3165" w:rsidP="00EC1A85">
            <w:pPr>
              <w:jc w:val="both"/>
              <w:rPr>
                <w:b/>
                <w:sz w:val="20"/>
                <w:szCs w:val="20"/>
              </w:rPr>
            </w:pPr>
            <w:r w:rsidRPr="006B6298">
              <w:rPr>
                <w:b/>
                <w:sz w:val="20"/>
                <w:szCs w:val="20"/>
              </w:rPr>
              <w:t>PROJETO</w:t>
            </w:r>
            <w:r w:rsidR="00EC1A85" w:rsidRPr="006B6298">
              <w:rPr>
                <w:b/>
                <w:sz w:val="20"/>
                <w:szCs w:val="20"/>
              </w:rPr>
              <w:t xml:space="preserve"> -</w:t>
            </w:r>
            <w:r w:rsidRPr="006B6298">
              <w:rPr>
                <w:b/>
                <w:sz w:val="20"/>
                <w:szCs w:val="20"/>
              </w:rPr>
              <w:t xml:space="preserve"> ACOMPANHAMENTO DO MERCADO DE TRABALHO DE PESSOAS COM DEFICIÊNCIA - MODEM</w:t>
            </w:r>
          </w:p>
        </w:tc>
      </w:tr>
      <w:tr w:rsidR="00FD5D16" w:rsidRPr="006B6298" w:rsidTr="00FD5D16">
        <w:trPr>
          <w:jc w:val="center"/>
        </w:trPr>
        <w:tc>
          <w:tcPr>
            <w:tcW w:w="9792" w:type="dxa"/>
            <w:shd w:val="clear" w:color="auto" w:fill="auto"/>
          </w:tcPr>
          <w:p w:rsidR="001B3165" w:rsidRPr="006B6298" w:rsidRDefault="00EC1A85" w:rsidP="001B3165">
            <w:pPr>
              <w:jc w:val="both"/>
              <w:rPr>
                <w:sz w:val="20"/>
                <w:szCs w:val="20"/>
              </w:rPr>
            </w:pPr>
            <w:r w:rsidRPr="006B6298">
              <w:rPr>
                <w:b/>
                <w:sz w:val="20"/>
                <w:szCs w:val="20"/>
              </w:rPr>
              <w:t>Objetivo -</w:t>
            </w:r>
            <w:r w:rsidR="001B3165" w:rsidRPr="006B6298">
              <w:rPr>
                <w:b/>
                <w:sz w:val="20"/>
                <w:szCs w:val="20"/>
              </w:rPr>
              <w:t xml:space="preserve"> </w:t>
            </w:r>
            <w:r w:rsidR="001B3165" w:rsidRPr="006B6298">
              <w:rPr>
                <w:sz w:val="20"/>
                <w:szCs w:val="20"/>
              </w:rPr>
              <w:t>Atualização anual do banco de dados RAIS (Nível de emprego formal) e CAGED atualização mensal (Variação do emprego formal), com destaque para a variável “deficiência”. Com os dados coletados, serão produzidas tabelas desagregadas, segundo os ramos de atividades, em quatro níveis de agregação espacial:</w:t>
            </w:r>
          </w:p>
          <w:p w:rsidR="001B3165" w:rsidRPr="006B6298" w:rsidRDefault="00EC1A85" w:rsidP="001B3165">
            <w:pPr>
              <w:jc w:val="both"/>
              <w:rPr>
                <w:sz w:val="20"/>
                <w:szCs w:val="20"/>
              </w:rPr>
            </w:pPr>
            <w:r w:rsidRPr="006B6298">
              <w:rPr>
                <w:sz w:val="20"/>
                <w:szCs w:val="20"/>
              </w:rPr>
              <w:t xml:space="preserve">- </w:t>
            </w:r>
            <w:r w:rsidR="001B3165" w:rsidRPr="006B6298">
              <w:rPr>
                <w:sz w:val="20"/>
                <w:szCs w:val="20"/>
              </w:rPr>
              <w:t>Estado de São Paulo</w:t>
            </w:r>
            <w:r w:rsidRPr="006B6298">
              <w:rPr>
                <w:sz w:val="20"/>
                <w:szCs w:val="20"/>
              </w:rPr>
              <w:t>.</w:t>
            </w:r>
          </w:p>
          <w:p w:rsidR="001B3165" w:rsidRPr="006B6298" w:rsidRDefault="00EC1A85" w:rsidP="001B3165">
            <w:pPr>
              <w:jc w:val="both"/>
              <w:rPr>
                <w:sz w:val="20"/>
                <w:szCs w:val="20"/>
              </w:rPr>
            </w:pPr>
            <w:r w:rsidRPr="006B6298">
              <w:rPr>
                <w:sz w:val="20"/>
                <w:szCs w:val="20"/>
              </w:rPr>
              <w:t xml:space="preserve">- </w:t>
            </w:r>
            <w:r w:rsidR="001B3165" w:rsidRPr="006B6298">
              <w:rPr>
                <w:sz w:val="20"/>
                <w:szCs w:val="20"/>
              </w:rPr>
              <w:t>Regiões Administrativas do Estado de São Paulo</w:t>
            </w:r>
            <w:r w:rsidRPr="006B6298">
              <w:rPr>
                <w:sz w:val="20"/>
                <w:szCs w:val="20"/>
              </w:rPr>
              <w:t>.</w:t>
            </w:r>
          </w:p>
          <w:p w:rsidR="001B3165" w:rsidRPr="006B6298" w:rsidRDefault="00EC1A85" w:rsidP="001B3165">
            <w:pPr>
              <w:jc w:val="both"/>
              <w:rPr>
                <w:sz w:val="20"/>
                <w:szCs w:val="20"/>
              </w:rPr>
            </w:pPr>
            <w:r w:rsidRPr="006B6298">
              <w:rPr>
                <w:sz w:val="20"/>
                <w:szCs w:val="20"/>
              </w:rPr>
              <w:t xml:space="preserve">- </w:t>
            </w:r>
            <w:r w:rsidR="001B3165" w:rsidRPr="006B6298">
              <w:rPr>
                <w:sz w:val="20"/>
                <w:szCs w:val="20"/>
              </w:rPr>
              <w:t>Regiões de Governo de cada uma das Regiões Administrativas</w:t>
            </w:r>
            <w:r w:rsidRPr="006B6298">
              <w:rPr>
                <w:sz w:val="20"/>
                <w:szCs w:val="20"/>
              </w:rPr>
              <w:t>.</w:t>
            </w:r>
          </w:p>
          <w:p w:rsidR="001B3165" w:rsidRPr="006B6298" w:rsidRDefault="00EC1A85" w:rsidP="001B3165">
            <w:pPr>
              <w:pStyle w:val="PargrafodaLista"/>
              <w:ind w:left="0"/>
              <w:rPr>
                <w:rFonts w:ascii="Times New Roman" w:hAnsi="Times New Roman"/>
                <w:sz w:val="20"/>
                <w:szCs w:val="20"/>
              </w:rPr>
            </w:pPr>
            <w:r w:rsidRPr="006B6298">
              <w:rPr>
                <w:rFonts w:ascii="Times New Roman" w:hAnsi="Times New Roman"/>
                <w:sz w:val="20"/>
                <w:szCs w:val="20"/>
              </w:rPr>
              <w:t xml:space="preserve">- </w:t>
            </w:r>
            <w:r w:rsidR="001B3165" w:rsidRPr="006B6298">
              <w:rPr>
                <w:rFonts w:ascii="Times New Roman" w:hAnsi="Times New Roman"/>
                <w:sz w:val="20"/>
                <w:szCs w:val="20"/>
              </w:rPr>
              <w:t>Municípios do Estado de São Paulo</w:t>
            </w:r>
            <w:r w:rsidRPr="006B6298">
              <w:rPr>
                <w:rFonts w:ascii="Times New Roman" w:hAnsi="Times New Roman"/>
                <w:sz w:val="20"/>
                <w:szCs w:val="20"/>
              </w:rPr>
              <w:t>.</w:t>
            </w:r>
          </w:p>
          <w:p w:rsidR="00EC1A85" w:rsidRPr="006B6298" w:rsidRDefault="00EC1A85" w:rsidP="006B6298">
            <w:pPr>
              <w:pStyle w:val="PargrafodaLista"/>
              <w:ind w:left="0"/>
              <w:rPr>
                <w:rFonts w:ascii="Times New Roman" w:hAnsi="Times New Roman"/>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Fundação Instituto de Pesquisas Econômicas </w:t>
            </w:r>
            <w:r w:rsidR="006B6298" w:rsidRPr="006B6298">
              <w:rPr>
                <w:rFonts w:ascii="Times New Roman" w:hAnsi="Times New Roman"/>
                <w:sz w:val="20"/>
                <w:szCs w:val="20"/>
              </w:rPr>
              <w:t>-</w:t>
            </w:r>
            <w:r w:rsidR="001B3165" w:rsidRPr="006B6298">
              <w:rPr>
                <w:rFonts w:ascii="Times New Roman" w:hAnsi="Times New Roman"/>
                <w:sz w:val="20"/>
                <w:szCs w:val="20"/>
              </w:rPr>
              <w:t xml:space="preserve"> FIPE</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EC1A85">
            <w:pPr>
              <w:jc w:val="both"/>
              <w:rPr>
                <w:b/>
                <w:sz w:val="20"/>
                <w:szCs w:val="20"/>
              </w:rPr>
            </w:pPr>
            <w:r w:rsidRPr="006B6298">
              <w:rPr>
                <w:b/>
                <w:sz w:val="20"/>
                <w:szCs w:val="20"/>
              </w:rPr>
              <w:lastRenderedPageBreak/>
              <w:t>PROJETO</w:t>
            </w:r>
            <w:r w:rsidR="00EC1A85" w:rsidRPr="006B6298">
              <w:rPr>
                <w:b/>
                <w:sz w:val="20"/>
                <w:szCs w:val="20"/>
              </w:rPr>
              <w:t xml:space="preserve"> -</w:t>
            </w:r>
            <w:r w:rsidRPr="006B6298">
              <w:rPr>
                <w:b/>
                <w:sz w:val="20"/>
                <w:szCs w:val="20"/>
              </w:rPr>
              <w:t xml:space="preserve"> LEVANTAMENTO DAS NECESSIDADES E DEMANDAS DOS TRABALHADORES COM DEFICIÊNCIA, RESIDENTES NAS REGIÕES METROPOLITANAS DO ESTADO DE SÃO PAULO</w:t>
            </w:r>
          </w:p>
        </w:tc>
      </w:tr>
      <w:tr w:rsidR="006B6298" w:rsidRPr="006B6298" w:rsidTr="00FD5D16">
        <w:trPr>
          <w:jc w:val="center"/>
        </w:trPr>
        <w:tc>
          <w:tcPr>
            <w:tcW w:w="9792" w:type="dxa"/>
            <w:shd w:val="clear" w:color="auto" w:fill="auto"/>
          </w:tcPr>
          <w:p w:rsidR="001B3165" w:rsidRPr="006B6298" w:rsidRDefault="00EC1A85" w:rsidP="001B3165">
            <w:pPr>
              <w:jc w:val="both"/>
              <w:rPr>
                <w:strike/>
                <w:sz w:val="20"/>
                <w:szCs w:val="20"/>
              </w:rPr>
            </w:pPr>
            <w:r w:rsidRPr="006B6298">
              <w:rPr>
                <w:b/>
                <w:sz w:val="20"/>
                <w:szCs w:val="20"/>
              </w:rPr>
              <w:t>Objetivo -</w:t>
            </w:r>
            <w:r w:rsidR="001B3165" w:rsidRPr="006B6298">
              <w:rPr>
                <w:sz w:val="20"/>
                <w:szCs w:val="20"/>
              </w:rPr>
              <w:t xml:space="preserve"> Identificação de quem são, como vivem e quais os anseios das pessoas com deficiência que estão inseridas no mercado de trabalho, aferindo o conhecimento, avaliação e demandas que  possuem, pertinentes às ações de inclusão social da SDPD</w:t>
            </w:r>
            <w:r w:rsidRPr="006B6298">
              <w:rPr>
                <w:sz w:val="20"/>
                <w:szCs w:val="20"/>
              </w:rPr>
              <w:t xml:space="preserve">. </w:t>
            </w:r>
            <w:r w:rsidR="001B3165" w:rsidRPr="006B6298">
              <w:rPr>
                <w:sz w:val="20"/>
                <w:szCs w:val="20"/>
              </w:rPr>
              <w:t>O estudo visa estender a pesquisa para Regiões Metropolitanas do Estado</w:t>
            </w:r>
            <w:r w:rsidRPr="006B6298">
              <w:rPr>
                <w:sz w:val="20"/>
                <w:szCs w:val="20"/>
              </w:rPr>
              <w:t>.</w:t>
            </w:r>
          </w:p>
          <w:p w:rsidR="001B3165" w:rsidRPr="006B6298" w:rsidRDefault="001B3165" w:rsidP="00EC1A85">
            <w:pPr>
              <w:jc w:val="both"/>
              <w:rPr>
                <w:sz w:val="20"/>
                <w:szCs w:val="20"/>
              </w:rPr>
            </w:pPr>
            <w:r w:rsidRPr="006B6298">
              <w:rPr>
                <w:sz w:val="20"/>
                <w:szCs w:val="20"/>
              </w:rPr>
              <w:t>Com as observações empíricas obtidas nessa pesquisa, será possível derivar conclusões para os problemas demandados pelas pessoas com deficiência, permitindo que as ações da SDPD sejam executadas de forma a atingir as diretrizes definidas em seu planejamento estratégico.</w:t>
            </w:r>
          </w:p>
        </w:tc>
      </w:tr>
      <w:tr w:rsidR="006B6298" w:rsidRPr="006B6298" w:rsidTr="00FD5D16">
        <w:trPr>
          <w:jc w:val="center"/>
        </w:trPr>
        <w:tc>
          <w:tcPr>
            <w:tcW w:w="9792" w:type="dxa"/>
            <w:shd w:val="clear" w:color="auto" w:fill="auto"/>
          </w:tcPr>
          <w:p w:rsidR="001B3165" w:rsidRPr="006B6298" w:rsidRDefault="001B3165" w:rsidP="001B3165">
            <w:pPr>
              <w:rPr>
                <w:b/>
                <w:sz w:val="20"/>
                <w:szCs w:val="20"/>
              </w:rPr>
            </w:pPr>
            <w:r w:rsidRPr="006B6298">
              <w:rPr>
                <w:b/>
                <w:sz w:val="20"/>
                <w:szCs w:val="20"/>
              </w:rPr>
              <w:t>SAÚDE</w:t>
            </w:r>
          </w:p>
        </w:tc>
      </w:tr>
      <w:tr w:rsidR="006B6298" w:rsidRPr="001079FA" w:rsidTr="00FD5D16">
        <w:trPr>
          <w:jc w:val="center"/>
        </w:trPr>
        <w:tc>
          <w:tcPr>
            <w:tcW w:w="9792" w:type="dxa"/>
            <w:shd w:val="clear" w:color="auto" w:fill="auto"/>
          </w:tcPr>
          <w:p w:rsidR="001B3165" w:rsidRPr="006B6298" w:rsidRDefault="001B3165" w:rsidP="00C17D30">
            <w:pPr>
              <w:rPr>
                <w:b/>
                <w:sz w:val="20"/>
                <w:szCs w:val="20"/>
                <w:lang w:val="en-US"/>
              </w:rPr>
            </w:pPr>
            <w:r w:rsidRPr="006B6298">
              <w:rPr>
                <w:b/>
                <w:sz w:val="20"/>
                <w:szCs w:val="20"/>
                <w:lang w:val="en-US"/>
              </w:rPr>
              <w:t>PROJETO</w:t>
            </w:r>
            <w:r w:rsidR="00C17D30" w:rsidRPr="006B6298">
              <w:rPr>
                <w:b/>
                <w:sz w:val="20"/>
                <w:szCs w:val="20"/>
                <w:lang w:val="en-US"/>
              </w:rPr>
              <w:t xml:space="preserve"> -</w:t>
            </w:r>
            <w:r w:rsidRPr="006B6298">
              <w:rPr>
                <w:b/>
                <w:sz w:val="20"/>
                <w:szCs w:val="20"/>
                <w:lang w:val="en-US"/>
              </w:rPr>
              <w:t xml:space="preserve"> </w:t>
            </w:r>
            <w:r w:rsidRPr="006B6298">
              <w:rPr>
                <w:b/>
                <w:i/>
                <w:sz w:val="20"/>
                <w:szCs w:val="20"/>
                <w:lang w:val="en-US"/>
              </w:rPr>
              <w:t>WHEELCHAIR SERVICE TRAINING PACKAGE</w:t>
            </w:r>
            <w:r w:rsidRPr="006B6298">
              <w:rPr>
                <w:b/>
                <w:sz w:val="20"/>
                <w:szCs w:val="20"/>
                <w:lang w:val="en-US"/>
              </w:rPr>
              <w:t xml:space="preserve">: </w:t>
            </w:r>
            <w:r w:rsidRPr="006B6298">
              <w:rPr>
                <w:b/>
                <w:i/>
                <w:sz w:val="20"/>
                <w:szCs w:val="20"/>
                <w:lang w:val="en-US"/>
              </w:rPr>
              <w:t>BASIC LEVEL</w:t>
            </w:r>
          </w:p>
        </w:tc>
      </w:tr>
      <w:tr w:rsidR="006B6298" w:rsidRPr="006B6298" w:rsidTr="00FD5D16">
        <w:trPr>
          <w:jc w:val="center"/>
        </w:trPr>
        <w:tc>
          <w:tcPr>
            <w:tcW w:w="9792" w:type="dxa"/>
            <w:shd w:val="clear" w:color="auto" w:fill="auto"/>
          </w:tcPr>
          <w:p w:rsidR="001B3165" w:rsidRPr="006B6298" w:rsidRDefault="001B3165" w:rsidP="001B3165">
            <w:pPr>
              <w:jc w:val="both"/>
              <w:rPr>
                <w:sz w:val="20"/>
                <w:szCs w:val="20"/>
              </w:rPr>
            </w:pPr>
            <w:r w:rsidRPr="006B6298">
              <w:rPr>
                <w:sz w:val="20"/>
                <w:szCs w:val="20"/>
              </w:rPr>
              <w:t>Realização do treinamento “Pacote de Treinamento para Serviços de Provisão de Cadeira de Rodas: Nível Básico”, objetivando desenvolver um conjunto mínimo de habilidades e conhecimentos necessários para os profissionais da área.</w:t>
            </w:r>
          </w:p>
          <w:p w:rsidR="001B3165" w:rsidRPr="006B6298" w:rsidRDefault="00C17D30" w:rsidP="00C17D30">
            <w:pPr>
              <w:jc w:val="both"/>
              <w:rPr>
                <w:b/>
                <w:strike/>
                <w:sz w:val="20"/>
                <w:szCs w:val="20"/>
              </w:rPr>
            </w:pPr>
            <w:r w:rsidRPr="006B6298">
              <w:rPr>
                <w:b/>
                <w:sz w:val="20"/>
                <w:szCs w:val="20"/>
              </w:rPr>
              <w:t>Parceiro</w:t>
            </w:r>
            <w:r w:rsidRPr="006B6298">
              <w:rPr>
                <w:sz w:val="20"/>
                <w:szCs w:val="20"/>
              </w:rPr>
              <w:t>s -</w:t>
            </w:r>
            <w:r w:rsidR="001B3165" w:rsidRPr="006B6298">
              <w:rPr>
                <w:sz w:val="20"/>
                <w:szCs w:val="20"/>
              </w:rPr>
              <w:t xml:space="preserve"> Organização Mundial da Saúde </w:t>
            </w:r>
            <w:r w:rsidRPr="006B6298">
              <w:rPr>
                <w:sz w:val="20"/>
                <w:szCs w:val="20"/>
              </w:rPr>
              <w:t xml:space="preserve">- </w:t>
            </w:r>
            <w:r w:rsidR="001B3165" w:rsidRPr="006B6298">
              <w:rPr>
                <w:sz w:val="20"/>
                <w:szCs w:val="20"/>
              </w:rPr>
              <w:t xml:space="preserve">OMS; </w:t>
            </w:r>
            <w:r w:rsidR="001B3165" w:rsidRPr="006B6298">
              <w:rPr>
                <w:i/>
                <w:sz w:val="20"/>
                <w:szCs w:val="20"/>
              </w:rPr>
              <w:t xml:space="preserve">International Society for Prosthetics and Orthotics </w:t>
            </w:r>
            <w:r w:rsidRPr="006B6298">
              <w:rPr>
                <w:i/>
                <w:sz w:val="20"/>
                <w:szCs w:val="20"/>
              </w:rPr>
              <w:t xml:space="preserve">- </w:t>
            </w:r>
            <w:r w:rsidR="001B3165" w:rsidRPr="006B6298">
              <w:rPr>
                <w:i/>
                <w:sz w:val="20"/>
                <w:szCs w:val="20"/>
              </w:rPr>
              <w:t>ISPO</w:t>
            </w:r>
            <w:r w:rsidR="001B3165" w:rsidRPr="006B6298">
              <w:rPr>
                <w:sz w:val="20"/>
                <w:szCs w:val="20"/>
              </w:rPr>
              <w:t xml:space="preserve">; Federação das Associações de Deficientes de Língua Portuguesa </w:t>
            </w:r>
            <w:r w:rsidRPr="006B6298">
              <w:rPr>
                <w:sz w:val="20"/>
                <w:szCs w:val="20"/>
              </w:rPr>
              <w:t xml:space="preserve">- </w:t>
            </w:r>
            <w:r w:rsidR="001B3165" w:rsidRPr="006B6298">
              <w:rPr>
                <w:sz w:val="20"/>
                <w:szCs w:val="20"/>
              </w:rPr>
              <w:t xml:space="preserve">FDLP e Instituto de Medicina Física e Reabilitação </w:t>
            </w:r>
            <w:r w:rsidRPr="006B6298">
              <w:rPr>
                <w:sz w:val="20"/>
                <w:szCs w:val="20"/>
              </w:rPr>
              <w:t xml:space="preserve">- </w:t>
            </w:r>
            <w:r w:rsidR="001B3165" w:rsidRPr="006B6298">
              <w:rPr>
                <w:sz w:val="20"/>
                <w:szCs w:val="20"/>
              </w:rPr>
              <w:t>IMREA</w:t>
            </w:r>
            <w:r w:rsidRPr="006B6298">
              <w:rPr>
                <w:sz w:val="20"/>
                <w:szCs w:val="20"/>
              </w:rPr>
              <w:t>.</w:t>
            </w:r>
          </w:p>
        </w:tc>
      </w:tr>
      <w:tr w:rsidR="006B6298" w:rsidRPr="006B6298" w:rsidTr="00FD5D16">
        <w:trPr>
          <w:jc w:val="center"/>
        </w:trPr>
        <w:tc>
          <w:tcPr>
            <w:tcW w:w="9792" w:type="dxa"/>
            <w:shd w:val="clear" w:color="auto" w:fill="auto"/>
          </w:tcPr>
          <w:p w:rsidR="001B3165" w:rsidRPr="006B6298" w:rsidRDefault="001B3165" w:rsidP="001B3165">
            <w:pPr>
              <w:rPr>
                <w:b/>
                <w:sz w:val="20"/>
                <w:szCs w:val="20"/>
              </w:rPr>
            </w:pPr>
            <w:r w:rsidRPr="006B6298">
              <w:rPr>
                <w:b/>
                <w:sz w:val="20"/>
                <w:szCs w:val="20"/>
              </w:rPr>
              <w:t>EDUCAÇÃO</w:t>
            </w:r>
          </w:p>
        </w:tc>
      </w:tr>
      <w:tr w:rsidR="006B6298" w:rsidRPr="006B6298" w:rsidTr="00FD5D16">
        <w:trPr>
          <w:jc w:val="center"/>
        </w:trPr>
        <w:tc>
          <w:tcPr>
            <w:tcW w:w="9792" w:type="dxa"/>
            <w:shd w:val="clear" w:color="auto" w:fill="auto"/>
          </w:tcPr>
          <w:p w:rsidR="001B3165" w:rsidRPr="006B6298" w:rsidRDefault="001B3165" w:rsidP="00B917A4">
            <w:pPr>
              <w:jc w:val="left"/>
              <w:rPr>
                <w:b/>
                <w:sz w:val="20"/>
                <w:szCs w:val="20"/>
              </w:rPr>
            </w:pPr>
            <w:r w:rsidRPr="006B6298">
              <w:rPr>
                <w:b/>
                <w:sz w:val="20"/>
                <w:szCs w:val="20"/>
              </w:rPr>
              <w:t>PROJETO</w:t>
            </w:r>
            <w:r w:rsidR="00B917A4" w:rsidRPr="006B6298">
              <w:rPr>
                <w:b/>
                <w:sz w:val="20"/>
                <w:szCs w:val="20"/>
              </w:rPr>
              <w:t xml:space="preserve"> - </w:t>
            </w:r>
            <w:r w:rsidRPr="006B6298">
              <w:rPr>
                <w:b/>
                <w:sz w:val="20"/>
                <w:szCs w:val="20"/>
              </w:rPr>
              <w:t>REABILITAÇÃO E INCLUSÃO SOCIAL</w:t>
            </w:r>
          </w:p>
        </w:tc>
      </w:tr>
      <w:tr w:rsidR="006B6298" w:rsidRPr="006B6298" w:rsidTr="00FD5D16">
        <w:trPr>
          <w:jc w:val="center"/>
        </w:trPr>
        <w:tc>
          <w:tcPr>
            <w:tcW w:w="9792" w:type="dxa"/>
            <w:shd w:val="clear" w:color="auto" w:fill="auto"/>
          </w:tcPr>
          <w:p w:rsidR="001B3165" w:rsidRPr="006B6298" w:rsidRDefault="00B917A4"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Incentivo à autonomia e melhora da qualidade de vida das pessoas com deficiência visual </w:t>
            </w:r>
            <w:r w:rsidRPr="006B6298">
              <w:rPr>
                <w:rFonts w:ascii="Times New Roman" w:hAnsi="Times New Roman"/>
                <w:sz w:val="20"/>
                <w:szCs w:val="20"/>
              </w:rPr>
              <w:t>-</w:t>
            </w:r>
            <w:r w:rsidR="001B3165" w:rsidRPr="006B6298">
              <w:rPr>
                <w:rFonts w:ascii="Times New Roman" w:hAnsi="Times New Roman"/>
                <w:sz w:val="20"/>
                <w:szCs w:val="20"/>
              </w:rPr>
              <w:t xml:space="preserve"> PcDV</w:t>
            </w:r>
            <w:r w:rsidRPr="006B6298">
              <w:rPr>
                <w:rFonts w:ascii="Times New Roman" w:hAnsi="Times New Roman"/>
                <w:sz w:val="20"/>
                <w:szCs w:val="20"/>
              </w:rPr>
              <w:t>,</w:t>
            </w:r>
            <w:r w:rsidR="001B3165" w:rsidRPr="006B6298">
              <w:rPr>
                <w:rFonts w:ascii="Times New Roman" w:hAnsi="Times New Roman"/>
                <w:sz w:val="20"/>
                <w:szCs w:val="20"/>
              </w:rPr>
              <w:t xml:space="preserve"> por meio de cursos de informática, música, braille, orientação e mobil</w:t>
            </w:r>
            <w:r w:rsidRPr="006B6298">
              <w:rPr>
                <w:rFonts w:ascii="Times New Roman" w:hAnsi="Times New Roman"/>
                <w:sz w:val="20"/>
                <w:szCs w:val="20"/>
              </w:rPr>
              <w:t>idade e orientação pedagógica.</w:t>
            </w:r>
          </w:p>
          <w:p w:rsidR="001B3165" w:rsidRPr="006B6298" w:rsidRDefault="001B3165" w:rsidP="001B3165">
            <w:pPr>
              <w:jc w:val="both"/>
              <w:rPr>
                <w:sz w:val="20"/>
                <w:szCs w:val="20"/>
              </w:rPr>
            </w:pPr>
            <w:r w:rsidRPr="006B6298">
              <w:rPr>
                <w:sz w:val="20"/>
                <w:szCs w:val="20"/>
              </w:rPr>
              <w:t>Promoção da inclusão de 60 PcDVs.</w:t>
            </w:r>
          </w:p>
          <w:p w:rsidR="001B3165" w:rsidRPr="006B6298" w:rsidRDefault="00B917A4" w:rsidP="006B6298">
            <w:pPr>
              <w:pStyle w:val="PargrafodaLista"/>
              <w:ind w:left="0"/>
              <w:rPr>
                <w:rFonts w:ascii="Times New Roman" w:hAnsi="Times New Roman"/>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 xml:space="preserve">Associação dos Deficientes Visuais de Fernandópolis </w:t>
            </w:r>
            <w:r w:rsidR="006B6298" w:rsidRPr="006B6298">
              <w:rPr>
                <w:rFonts w:ascii="Times New Roman" w:hAnsi="Times New Roman"/>
                <w:sz w:val="20"/>
                <w:szCs w:val="20"/>
              </w:rPr>
              <w:t>-</w:t>
            </w:r>
            <w:r w:rsidR="001B3165" w:rsidRPr="006B6298">
              <w:rPr>
                <w:rFonts w:ascii="Times New Roman" w:hAnsi="Times New Roman"/>
                <w:sz w:val="20"/>
                <w:szCs w:val="20"/>
              </w:rPr>
              <w:t xml:space="preserve"> ADVF</w:t>
            </w:r>
            <w:r w:rsidRPr="006B6298">
              <w:rPr>
                <w:rFonts w:ascii="Times New Roman" w:hAnsi="Times New Roman"/>
                <w:sz w:val="20"/>
                <w:szCs w:val="20"/>
              </w:rPr>
              <w:t>.</w:t>
            </w:r>
          </w:p>
        </w:tc>
      </w:tr>
      <w:tr w:rsidR="006B6298" w:rsidRPr="006B6298" w:rsidTr="00FD5D16">
        <w:trPr>
          <w:jc w:val="center"/>
        </w:trPr>
        <w:tc>
          <w:tcPr>
            <w:tcW w:w="9792" w:type="dxa"/>
            <w:shd w:val="clear" w:color="auto" w:fill="auto"/>
          </w:tcPr>
          <w:p w:rsidR="001B3165" w:rsidRPr="006B6298" w:rsidRDefault="001B3165" w:rsidP="00B917A4">
            <w:pPr>
              <w:jc w:val="both"/>
              <w:rPr>
                <w:b/>
                <w:sz w:val="20"/>
                <w:szCs w:val="20"/>
              </w:rPr>
            </w:pPr>
            <w:r w:rsidRPr="006B6298">
              <w:rPr>
                <w:b/>
                <w:sz w:val="20"/>
                <w:szCs w:val="20"/>
              </w:rPr>
              <w:t>PROJETO</w:t>
            </w:r>
            <w:r w:rsidR="00B917A4" w:rsidRPr="006B6298">
              <w:rPr>
                <w:b/>
                <w:sz w:val="20"/>
                <w:szCs w:val="20"/>
              </w:rPr>
              <w:t xml:space="preserve"> -</w:t>
            </w:r>
            <w:r w:rsidRPr="006B6298">
              <w:rPr>
                <w:b/>
                <w:sz w:val="20"/>
                <w:szCs w:val="20"/>
              </w:rPr>
              <w:t xml:space="preserve"> CURSO EAD </w:t>
            </w:r>
            <w:r w:rsidR="00B917A4" w:rsidRPr="006B6298">
              <w:rPr>
                <w:b/>
                <w:sz w:val="20"/>
                <w:szCs w:val="20"/>
              </w:rPr>
              <w:t>-</w:t>
            </w:r>
            <w:r w:rsidRPr="006B6298">
              <w:rPr>
                <w:b/>
                <w:sz w:val="20"/>
                <w:szCs w:val="20"/>
              </w:rPr>
              <w:t xml:space="preserve"> Violência Contra Pessoa com Deficiência</w:t>
            </w:r>
          </w:p>
        </w:tc>
      </w:tr>
      <w:tr w:rsidR="00FD5D16" w:rsidRPr="006B6298" w:rsidTr="00FD5D16">
        <w:trPr>
          <w:jc w:val="center"/>
        </w:trPr>
        <w:tc>
          <w:tcPr>
            <w:tcW w:w="9792" w:type="dxa"/>
            <w:shd w:val="clear" w:color="auto" w:fill="auto"/>
          </w:tcPr>
          <w:p w:rsidR="001B3165" w:rsidRPr="006B6298" w:rsidRDefault="00B917A4" w:rsidP="001B3165">
            <w:pPr>
              <w:pStyle w:val="PargrafodaLista"/>
              <w:ind w:left="0"/>
              <w:rPr>
                <w:rFonts w:ascii="Times New Roman" w:hAnsi="Times New Roman"/>
                <w:sz w:val="20"/>
                <w:szCs w:val="20"/>
              </w:rPr>
            </w:pPr>
            <w:r w:rsidRPr="006B6298">
              <w:rPr>
                <w:rFonts w:ascii="Times New Roman" w:hAnsi="Times New Roman"/>
                <w:b/>
                <w:sz w:val="20"/>
                <w:szCs w:val="20"/>
              </w:rPr>
              <w:t>Objetivo -</w:t>
            </w:r>
            <w:r w:rsidR="001B3165" w:rsidRPr="006B6298">
              <w:rPr>
                <w:rFonts w:ascii="Times New Roman" w:hAnsi="Times New Roman"/>
                <w:b/>
                <w:sz w:val="20"/>
                <w:szCs w:val="20"/>
              </w:rPr>
              <w:t xml:space="preserve"> </w:t>
            </w:r>
            <w:r w:rsidR="001B3165" w:rsidRPr="006B6298">
              <w:rPr>
                <w:rFonts w:ascii="Times New Roman" w:hAnsi="Times New Roman"/>
                <w:sz w:val="20"/>
                <w:szCs w:val="20"/>
              </w:rPr>
              <w:t>Gravação e edição de videoaula sobre questões específicas relacionadas à Prevenção e Combate à Violência contra Pessoas com Deficiência</w:t>
            </w:r>
            <w:r w:rsidR="001B3165" w:rsidRPr="006B6298">
              <w:rPr>
                <w:rFonts w:ascii="Times New Roman" w:hAnsi="Times New Roman"/>
                <w:b/>
                <w:sz w:val="20"/>
                <w:szCs w:val="20"/>
              </w:rPr>
              <w:t>.</w:t>
            </w:r>
          </w:p>
          <w:p w:rsidR="001B3165" w:rsidRPr="006B6298" w:rsidRDefault="001B3165" w:rsidP="001B3165">
            <w:pPr>
              <w:jc w:val="both"/>
              <w:rPr>
                <w:sz w:val="20"/>
                <w:szCs w:val="20"/>
              </w:rPr>
            </w:pPr>
            <w:r w:rsidRPr="006B6298">
              <w:rPr>
                <w:sz w:val="20"/>
                <w:szCs w:val="20"/>
              </w:rPr>
              <w:t>Elaboração do conteúdo do curso em EAD Violência contra Pessoa, para desenvolvimento de futuro curso de capacitação a distância (EAD) a servidores do Estado indicados pela SDPD</w:t>
            </w:r>
            <w:r w:rsidR="008C06E0" w:rsidRPr="006B6298">
              <w:rPr>
                <w:sz w:val="20"/>
                <w:szCs w:val="20"/>
              </w:rPr>
              <w:t>.</w:t>
            </w:r>
          </w:p>
          <w:p w:rsidR="001B3165" w:rsidRPr="006B6298" w:rsidRDefault="008C06E0" w:rsidP="008C06E0">
            <w:pPr>
              <w:pStyle w:val="PargrafodaLista"/>
              <w:ind w:left="0"/>
              <w:rPr>
                <w:rFonts w:ascii="Times New Roman" w:hAnsi="Times New Roman"/>
                <w:strike/>
                <w:sz w:val="20"/>
                <w:szCs w:val="20"/>
              </w:rPr>
            </w:pPr>
            <w:r w:rsidRPr="006B6298">
              <w:rPr>
                <w:rFonts w:ascii="Times New Roman" w:hAnsi="Times New Roman"/>
                <w:b/>
                <w:sz w:val="20"/>
                <w:szCs w:val="20"/>
              </w:rPr>
              <w:t>Parceiro -</w:t>
            </w:r>
            <w:r w:rsidR="001B3165" w:rsidRPr="006B6298">
              <w:rPr>
                <w:rFonts w:ascii="Times New Roman" w:hAnsi="Times New Roman"/>
                <w:b/>
                <w:sz w:val="20"/>
                <w:szCs w:val="20"/>
              </w:rPr>
              <w:t xml:space="preserve"> Fundação de Desenvolvimento Administrativo </w:t>
            </w:r>
            <w:r w:rsidRPr="006B6298">
              <w:rPr>
                <w:rFonts w:ascii="Times New Roman" w:hAnsi="Times New Roman"/>
                <w:b/>
                <w:sz w:val="20"/>
                <w:szCs w:val="20"/>
              </w:rPr>
              <w:t>-</w:t>
            </w:r>
            <w:r w:rsidR="001B3165" w:rsidRPr="006B6298">
              <w:rPr>
                <w:rFonts w:ascii="Times New Roman" w:hAnsi="Times New Roman"/>
                <w:b/>
                <w:sz w:val="20"/>
                <w:szCs w:val="20"/>
              </w:rPr>
              <w:t xml:space="preserve"> FUNDAP</w:t>
            </w:r>
            <w:r w:rsidRPr="006B6298">
              <w:rPr>
                <w:rFonts w:ascii="Times New Roman" w:hAnsi="Times New Roman"/>
                <w:b/>
                <w:sz w:val="20"/>
                <w:szCs w:val="20"/>
              </w:rPr>
              <w:t>.</w:t>
            </w:r>
          </w:p>
        </w:tc>
      </w:tr>
    </w:tbl>
    <w:p w:rsidR="006B6298" w:rsidRDefault="006B6298" w:rsidP="001B3165"/>
    <w:p w:rsidR="001B3165" w:rsidRDefault="0033685F" w:rsidP="008C06E0">
      <w:pPr>
        <w:tabs>
          <w:tab w:val="left" w:pos="0"/>
        </w:tabs>
        <w:ind w:firstLine="1134"/>
        <w:jc w:val="left"/>
        <w:rPr>
          <w:b/>
        </w:rPr>
      </w:pPr>
      <w:r w:rsidRPr="0033685F">
        <w:rPr>
          <w:noProof/>
        </w:rPr>
        <w:pict>
          <v:shapetype id="_x0000_t202" coordsize="21600,21600" o:spt="202" path="m,l,21600r21600,l21600,xe">
            <v:stroke joinstyle="miter"/>
            <v:path gradientshapeok="t" o:connecttype="rect"/>
          </v:shapetype>
          <v:shape id="Caixa de texto 3" o:spid="_x0000_s1074" type="#_x0000_t202" style="position:absolute;left:0;text-align:left;margin-left:75.3pt;margin-top:218.15pt;width:58.2pt;height:16.7pt;z-index:2516597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" filled="f" stroked="f" strokeweight=".5pt">
            <v:textbox>
              <w:txbxContent>
                <w:p w:rsidR="00A66846" w:rsidRDefault="00A66846" w:rsidP="001B3165">
                  <w:pPr>
                    <w:rPr>
                      <w:sz w:val="18"/>
                      <w:szCs w:val="18"/>
                    </w:rPr>
                  </w:pPr>
                  <w:r>
                    <w:rPr>
                      <w:sz w:val="18"/>
                      <w:szCs w:val="18"/>
                    </w:rPr>
                    <w:t>TOTAL: 37</w:t>
                  </w:r>
                </w:p>
                <w:p w:rsidR="00A66846" w:rsidRDefault="00A66846" w:rsidP="001B3165">
                  <w:pPr>
                    <w:rPr>
                      <w:sz w:val="18"/>
                      <w:szCs w:val="18"/>
                    </w:rPr>
                  </w:pPr>
                </w:p>
              </w:txbxContent>
            </v:textbox>
          </v:shape>
        </w:pict>
      </w:r>
      <w:r w:rsidR="008C06E0">
        <w:rPr>
          <w:b/>
        </w:rPr>
        <w:t>Gráfico do</w:t>
      </w:r>
      <w:r w:rsidR="008C06E0">
        <w:t xml:space="preserve"> </w:t>
      </w:r>
      <w:r w:rsidR="008C06E0">
        <w:rPr>
          <w:b/>
        </w:rPr>
        <w:t>Portfólio</w:t>
      </w:r>
    </w:p>
    <w:p w:rsidR="006B6298" w:rsidRDefault="006B6298" w:rsidP="008C06E0">
      <w:pPr>
        <w:tabs>
          <w:tab w:val="left" w:pos="0"/>
        </w:tabs>
        <w:ind w:firstLine="1134"/>
        <w:jc w:val="left"/>
        <w:rPr>
          <w:color w:val="FF0000"/>
        </w:rPr>
      </w:pPr>
    </w:p>
    <w:p w:rsidR="001B3165" w:rsidRDefault="00AD3B0F" w:rsidP="006B6298">
      <w:pPr>
        <w:tabs>
          <w:tab w:val="left" w:pos="0"/>
        </w:tabs>
        <w:rPr>
          <w:color w:val="FF0000"/>
        </w:rPr>
      </w:pPr>
      <w:r>
        <w:rPr>
          <w:noProof/>
        </w:rPr>
        <w:drawing>
          <wp:inline distT="0" distB="0" distL="0" distR="0">
            <wp:extent cx="4572000" cy="2743200"/>
            <wp:effectExtent l="0" t="0" r="0" b="0"/>
            <wp:docPr id="10" name="Objeto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1B3165" w:rsidRDefault="008C06E0" w:rsidP="00574F2C">
      <w:pPr>
        <w:pStyle w:val="PargrafodaLista"/>
        <w:ind w:left="0" w:firstLine="1134"/>
        <w:rPr>
          <w:rFonts w:ascii="Times New Roman" w:hAnsi="Times New Roman"/>
          <w:sz w:val="24"/>
          <w:szCs w:val="24"/>
        </w:rPr>
      </w:pPr>
      <w:r>
        <w:rPr>
          <w:rFonts w:ascii="Times New Roman" w:hAnsi="Times New Roman"/>
          <w:b/>
          <w:sz w:val="24"/>
          <w:szCs w:val="24"/>
        </w:rPr>
        <w:lastRenderedPageBreak/>
        <w:t>Resultado das Ações da Assessoria Técnica do Gabinete da Secretaria</w:t>
      </w:r>
    </w:p>
    <w:p w:rsidR="001B3165" w:rsidRPr="005F30C6" w:rsidRDefault="001B3165" w:rsidP="00574F2C">
      <w:pPr>
        <w:pStyle w:val="PargrafodaLista"/>
        <w:rPr>
          <w:rFonts w:ascii="Times New Roman" w:hAnsi="Times New Roman"/>
          <w:sz w:val="24"/>
          <w:szCs w:val="24"/>
        </w:rPr>
      </w:pPr>
    </w:p>
    <w:p w:rsidR="001B3165" w:rsidRDefault="008C06E0" w:rsidP="00574F2C">
      <w:pPr>
        <w:ind w:firstLine="1134"/>
        <w:jc w:val="both"/>
      </w:pPr>
      <w:r>
        <w:t>Manifestações em Projetos de lei da Área da Pessoa com Deficiência -</w:t>
      </w:r>
      <w:r w:rsidR="001B3165">
        <w:t xml:space="preserve"> 31</w:t>
      </w:r>
      <w:r>
        <w:t>.</w:t>
      </w:r>
    </w:p>
    <w:p w:rsidR="008C06E0" w:rsidRDefault="008C06E0" w:rsidP="00574F2C">
      <w:pPr>
        <w:ind w:firstLine="1134"/>
        <w:jc w:val="both"/>
      </w:pPr>
    </w:p>
    <w:p w:rsidR="001B3165" w:rsidRDefault="008C06E0" w:rsidP="00574F2C">
      <w:pPr>
        <w:ind w:firstLine="1134"/>
        <w:jc w:val="both"/>
      </w:pPr>
      <w:r>
        <w:t>Manifestações em Demanda Cidadão - 45.</w:t>
      </w:r>
    </w:p>
    <w:p w:rsidR="008C06E0" w:rsidRDefault="008C06E0" w:rsidP="00574F2C">
      <w:pPr>
        <w:ind w:firstLine="1134"/>
        <w:jc w:val="both"/>
      </w:pPr>
    </w:p>
    <w:p w:rsidR="001B3165" w:rsidRDefault="008C06E0" w:rsidP="00574F2C">
      <w:pPr>
        <w:ind w:firstLine="1134"/>
        <w:jc w:val="both"/>
      </w:pPr>
      <w:r>
        <w:t>Manifestações em Indicações - 5.</w:t>
      </w:r>
    </w:p>
    <w:p w:rsidR="008C06E0" w:rsidRDefault="008C06E0" w:rsidP="00574F2C">
      <w:pPr>
        <w:ind w:firstLine="1134"/>
        <w:jc w:val="both"/>
      </w:pPr>
    </w:p>
    <w:p w:rsidR="001B3165" w:rsidRDefault="008C06E0" w:rsidP="00574F2C">
      <w:pPr>
        <w:ind w:firstLine="1134"/>
        <w:jc w:val="both"/>
      </w:pPr>
      <w:r>
        <w:t>Manifestações em Requerimentos de Informação -</w:t>
      </w:r>
      <w:r w:rsidR="001B3165">
        <w:t xml:space="preserve"> 3</w:t>
      </w:r>
      <w:r>
        <w:t>.</w:t>
      </w:r>
    </w:p>
    <w:p w:rsidR="001B3165" w:rsidRPr="00574F2C" w:rsidRDefault="001B3165" w:rsidP="00574F2C">
      <w:pPr>
        <w:tabs>
          <w:tab w:val="left" w:pos="0"/>
        </w:tabs>
        <w:rPr>
          <w:sz w:val="16"/>
          <w:szCs w:val="16"/>
        </w:rPr>
      </w:pPr>
    </w:p>
    <w:p w:rsidR="001B3165" w:rsidRPr="00574F2C" w:rsidRDefault="008C06E0" w:rsidP="008C06E0">
      <w:pPr>
        <w:pStyle w:val="NormalWeb"/>
        <w:suppressAutoHyphens/>
        <w:spacing w:before="0" w:beforeAutospacing="0" w:after="0" w:afterAutospacing="0"/>
        <w:ind w:firstLine="1134"/>
        <w:jc w:val="both"/>
      </w:pPr>
      <w:r w:rsidRPr="00574F2C">
        <w:rPr>
          <w:b/>
          <w:bCs/>
        </w:rPr>
        <w:t>M</w:t>
      </w:r>
      <w:r w:rsidR="001B3165" w:rsidRPr="00574F2C">
        <w:rPr>
          <w:b/>
          <w:bCs/>
        </w:rPr>
        <w:t>ÍDIA</w:t>
      </w:r>
      <w:r w:rsidRPr="00574F2C">
        <w:rPr>
          <w:b/>
          <w:bCs/>
        </w:rPr>
        <w:t xml:space="preserve"> - </w:t>
      </w:r>
      <w:r w:rsidR="001B3165" w:rsidRPr="00574F2C">
        <w:t xml:space="preserve">Houve intenso esforço e empenho em mobilizar e sensibilizar a sociedade sobre conceitos e direitos das pessoas com deficiência. Nesse sentido, foram realizados eventos, reunindo milhares de participantes que tiveram contato com questões relacionadas ao segmento. Este empenho gerou mobilização da mídia, resultando </w:t>
      </w:r>
      <w:r w:rsidR="00574F2C" w:rsidRPr="00574F2C">
        <w:t>e</w:t>
      </w:r>
      <w:r w:rsidR="001B3165" w:rsidRPr="00574F2C">
        <w:t>m 11.043 inserções, considerado o período de entre janeiro à novembro, sendo:</w:t>
      </w:r>
    </w:p>
    <w:p w:rsidR="001B3165" w:rsidRDefault="001B3165" w:rsidP="001B3165">
      <w:pPr>
        <w:jc w:val="both"/>
      </w:pPr>
    </w:p>
    <w:tbl>
      <w:tblPr>
        <w:tblW w:w="6207" w:type="dxa"/>
        <w:jc w:val="center"/>
        <w:tblCellMar>
          <w:left w:w="70" w:type="dxa"/>
          <w:right w:w="70" w:type="dxa"/>
        </w:tblCellMar>
        <w:tblLook w:val="04A0"/>
      </w:tblPr>
      <w:tblGrid>
        <w:gridCol w:w="1280"/>
        <w:gridCol w:w="960"/>
        <w:gridCol w:w="960"/>
        <w:gridCol w:w="1087"/>
        <w:gridCol w:w="960"/>
        <w:gridCol w:w="960"/>
      </w:tblGrid>
      <w:tr w:rsidR="001B3165" w:rsidRPr="00574F2C" w:rsidTr="008A7A96">
        <w:trPr>
          <w:trHeight w:val="104"/>
          <w:jc w:val="center"/>
        </w:trPr>
        <w:tc>
          <w:tcPr>
            <w:tcW w:w="1280" w:type="dxa"/>
            <w:tcBorders>
              <w:top w:val="nil"/>
              <w:left w:val="nil"/>
              <w:bottom w:val="nil"/>
              <w:right w:val="nil"/>
            </w:tcBorders>
            <w:shd w:val="clear" w:color="000000" w:fill="DBE5F1"/>
            <w:noWrap/>
            <w:vAlign w:val="center"/>
            <w:hideMark/>
          </w:tcPr>
          <w:p w:rsidR="001B3165" w:rsidRPr="00574F2C" w:rsidRDefault="001B3165" w:rsidP="001B3165">
            <w:pPr>
              <w:rPr>
                <w:b/>
                <w:bCs/>
                <w:sz w:val="20"/>
                <w:szCs w:val="20"/>
              </w:rPr>
            </w:pPr>
            <w:r w:rsidRPr="00574F2C">
              <w:rPr>
                <w:b/>
                <w:bCs/>
                <w:sz w:val="20"/>
                <w:szCs w:val="20"/>
              </w:rPr>
              <w:t>Mês</w:t>
            </w:r>
          </w:p>
        </w:tc>
        <w:tc>
          <w:tcPr>
            <w:tcW w:w="960" w:type="dxa"/>
            <w:tcBorders>
              <w:top w:val="nil"/>
              <w:left w:val="nil"/>
              <w:bottom w:val="nil"/>
              <w:right w:val="nil"/>
            </w:tcBorders>
            <w:shd w:val="clear" w:color="000000" w:fill="DBE5F1"/>
            <w:noWrap/>
            <w:vAlign w:val="center"/>
            <w:hideMark/>
          </w:tcPr>
          <w:p w:rsidR="001B3165" w:rsidRPr="00574F2C" w:rsidRDefault="001B3165" w:rsidP="001B3165">
            <w:pPr>
              <w:rPr>
                <w:b/>
                <w:bCs/>
                <w:sz w:val="20"/>
                <w:szCs w:val="20"/>
              </w:rPr>
            </w:pPr>
            <w:r w:rsidRPr="00574F2C">
              <w:rPr>
                <w:b/>
                <w:bCs/>
                <w:sz w:val="20"/>
                <w:szCs w:val="20"/>
              </w:rPr>
              <w:t>TV</w:t>
            </w:r>
          </w:p>
        </w:tc>
        <w:tc>
          <w:tcPr>
            <w:tcW w:w="960" w:type="dxa"/>
            <w:tcBorders>
              <w:top w:val="nil"/>
              <w:left w:val="nil"/>
              <w:bottom w:val="nil"/>
              <w:right w:val="nil"/>
            </w:tcBorders>
            <w:shd w:val="clear" w:color="000000" w:fill="DBE5F1"/>
            <w:noWrap/>
            <w:vAlign w:val="center"/>
            <w:hideMark/>
          </w:tcPr>
          <w:p w:rsidR="001B3165" w:rsidRPr="00574F2C" w:rsidRDefault="001B3165" w:rsidP="001B3165">
            <w:pPr>
              <w:rPr>
                <w:b/>
                <w:bCs/>
                <w:sz w:val="20"/>
                <w:szCs w:val="20"/>
              </w:rPr>
            </w:pPr>
            <w:r w:rsidRPr="00574F2C">
              <w:rPr>
                <w:b/>
                <w:bCs/>
                <w:sz w:val="20"/>
                <w:szCs w:val="20"/>
              </w:rPr>
              <w:t>Rádio</w:t>
            </w:r>
          </w:p>
        </w:tc>
        <w:tc>
          <w:tcPr>
            <w:tcW w:w="1087" w:type="dxa"/>
            <w:tcBorders>
              <w:top w:val="nil"/>
              <w:left w:val="nil"/>
              <w:bottom w:val="nil"/>
              <w:right w:val="nil"/>
            </w:tcBorders>
            <w:shd w:val="clear" w:color="000000" w:fill="DBE5F1"/>
            <w:noWrap/>
            <w:vAlign w:val="center"/>
            <w:hideMark/>
          </w:tcPr>
          <w:p w:rsidR="001B3165" w:rsidRPr="00574F2C" w:rsidRDefault="001B3165" w:rsidP="001B3165">
            <w:pPr>
              <w:rPr>
                <w:b/>
                <w:bCs/>
                <w:sz w:val="20"/>
                <w:szCs w:val="20"/>
              </w:rPr>
            </w:pPr>
            <w:r w:rsidRPr="00574F2C">
              <w:rPr>
                <w:b/>
                <w:bCs/>
                <w:sz w:val="20"/>
                <w:szCs w:val="20"/>
              </w:rPr>
              <w:t>Impresso</w:t>
            </w:r>
          </w:p>
        </w:tc>
        <w:tc>
          <w:tcPr>
            <w:tcW w:w="960" w:type="dxa"/>
            <w:tcBorders>
              <w:top w:val="nil"/>
              <w:left w:val="nil"/>
              <w:bottom w:val="nil"/>
              <w:right w:val="nil"/>
            </w:tcBorders>
            <w:shd w:val="clear" w:color="000000" w:fill="DBE5F1"/>
            <w:noWrap/>
            <w:vAlign w:val="center"/>
            <w:hideMark/>
          </w:tcPr>
          <w:p w:rsidR="001B3165" w:rsidRPr="00574F2C" w:rsidRDefault="001B3165" w:rsidP="001B3165">
            <w:pPr>
              <w:rPr>
                <w:b/>
                <w:bCs/>
                <w:i/>
                <w:sz w:val="20"/>
                <w:szCs w:val="20"/>
              </w:rPr>
            </w:pPr>
            <w:r w:rsidRPr="00574F2C">
              <w:rPr>
                <w:b/>
                <w:bCs/>
                <w:i/>
                <w:sz w:val="20"/>
                <w:szCs w:val="20"/>
              </w:rPr>
              <w:t>Web</w:t>
            </w:r>
          </w:p>
        </w:tc>
        <w:tc>
          <w:tcPr>
            <w:tcW w:w="960" w:type="dxa"/>
            <w:tcBorders>
              <w:top w:val="nil"/>
              <w:left w:val="nil"/>
              <w:bottom w:val="nil"/>
              <w:right w:val="nil"/>
            </w:tcBorders>
            <w:shd w:val="clear" w:color="000000" w:fill="DBE5F1"/>
            <w:noWrap/>
            <w:vAlign w:val="center"/>
            <w:hideMark/>
          </w:tcPr>
          <w:p w:rsidR="001B3165" w:rsidRPr="00574F2C" w:rsidRDefault="001B3165" w:rsidP="001B3165">
            <w:pPr>
              <w:rPr>
                <w:b/>
                <w:bCs/>
                <w:sz w:val="20"/>
                <w:szCs w:val="20"/>
              </w:rPr>
            </w:pPr>
            <w:r w:rsidRPr="00574F2C">
              <w:rPr>
                <w:b/>
                <w:bCs/>
                <w:sz w:val="20"/>
                <w:szCs w:val="20"/>
              </w:rPr>
              <w:t>Total</w:t>
            </w:r>
          </w:p>
        </w:tc>
      </w:tr>
      <w:tr w:rsidR="001B3165" w:rsidRPr="00574F2C" w:rsidTr="008A7A96">
        <w:trPr>
          <w:trHeight w:val="163"/>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Janeiro</w:t>
            </w:r>
          </w:p>
        </w:tc>
        <w:tc>
          <w:tcPr>
            <w:tcW w:w="960" w:type="dxa"/>
            <w:tcBorders>
              <w:top w:val="nil"/>
              <w:left w:val="nil"/>
              <w:bottom w:val="nil"/>
              <w:right w:val="nil"/>
            </w:tcBorders>
            <w:shd w:val="clear" w:color="auto" w:fill="auto"/>
            <w:noWrap/>
            <w:vAlign w:val="center"/>
            <w:hideMark/>
          </w:tcPr>
          <w:p w:rsidR="001B3165" w:rsidRPr="00574F2C" w:rsidRDefault="001B3165" w:rsidP="001B3165">
            <w:pPr>
              <w:rPr>
                <w:sz w:val="20"/>
                <w:szCs w:val="20"/>
              </w:rPr>
            </w:pPr>
            <w:r w:rsidRPr="00574F2C">
              <w:rPr>
                <w:sz w:val="20"/>
                <w:szCs w:val="20"/>
              </w:rPr>
              <w:t>82</w:t>
            </w:r>
          </w:p>
        </w:tc>
        <w:tc>
          <w:tcPr>
            <w:tcW w:w="960" w:type="dxa"/>
            <w:tcBorders>
              <w:top w:val="nil"/>
              <w:left w:val="nil"/>
              <w:bottom w:val="nil"/>
              <w:right w:val="nil"/>
            </w:tcBorders>
            <w:shd w:val="clear" w:color="auto" w:fill="auto"/>
            <w:noWrap/>
            <w:vAlign w:val="center"/>
            <w:hideMark/>
          </w:tcPr>
          <w:p w:rsidR="001B3165" w:rsidRPr="00574F2C" w:rsidRDefault="001B3165" w:rsidP="001B3165">
            <w:pPr>
              <w:rPr>
                <w:sz w:val="20"/>
                <w:szCs w:val="20"/>
              </w:rPr>
            </w:pPr>
            <w:r w:rsidRPr="00574F2C">
              <w:rPr>
                <w:sz w:val="20"/>
                <w:szCs w:val="20"/>
              </w:rPr>
              <w:t>83</w:t>
            </w:r>
          </w:p>
        </w:tc>
        <w:tc>
          <w:tcPr>
            <w:tcW w:w="1087" w:type="dxa"/>
            <w:tcBorders>
              <w:top w:val="nil"/>
              <w:left w:val="nil"/>
              <w:bottom w:val="nil"/>
              <w:right w:val="nil"/>
            </w:tcBorders>
            <w:shd w:val="clear" w:color="auto" w:fill="auto"/>
            <w:noWrap/>
            <w:vAlign w:val="center"/>
            <w:hideMark/>
          </w:tcPr>
          <w:p w:rsidR="001B3165" w:rsidRPr="00574F2C" w:rsidRDefault="001B3165" w:rsidP="001B3165">
            <w:pPr>
              <w:rPr>
                <w:sz w:val="20"/>
                <w:szCs w:val="20"/>
              </w:rPr>
            </w:pPr>
            <w:r w:rsidRPr="00574F2C">
              <w:rPr>
                <w:sz w:val="20"/>
                <w:szCs w:val="20"/>
              </w:rPr>
              <w:t>318</w:t>
            </w:r>
          </w:p>
        </w:tc>
        <w:tc>
          <w:tcPr>
            <w:tcW w:w="960" w:type="dxa"/>
            <w:tcBorders>
              <w:top w:val="nil"/>
              <w:left w:val="nil"/>
              <w:bottom w:val="nil"/>
              <w:right w:val="nil"/>
            </w:tcBorders>
            <w:shd w:val="clear" w:color="auto" w:fill="auto"/>
            <w:noWrap/>
            <w:vAlign w:val="center"/>
            <w:hideMark/>
          </w:tcPr>
          <w:p w:rsidR="001B3165" w:rsidRPr="00574F2C" w:rsidRDefault="001B3165" w:rsidP="001B3165">
            <w:pPr>
              <w:rPr>
                <w:sz w:val="20"/>
                <w:szCs w:val="20"/>
              </w:rPr>
            </w:pPr>
            <w:r w:rsidRPr="00574F2C">
              <w:rPr>
                <w:sz w:val="20"/>
                <w:szCs w:val="20"/>
              </w:rPr>
              <w:t>696</w:t>
            </w:r>
          </w:p>
        </w:tc>
        <w:tc>
          <w:tcPr>
            <w:tcW w:w="960" w:type="dxa"/>
            <w:tcBorders>
              <w:top w:val="nil"/>
              <w:left w:val="nil"/>
              <w:bottom w:val="nil"/>
              <w:right w:val="nil"/>
            </w:tcBorders>
            <w:shd w:val="clear" w:color="auto" w:fill="auto"/>
            <w:noWrap/>
            <w:vAlign w:val="center"/>
            <w:hideMark/>
          </w:tcPr>
          <w:p w:rsidR="001B3165" w:rsidRPr="00574F2C" w:rsidRDefault="001B3165" w:rsidP="001B3165">
            <w:pPr>
              <w:rPr>
                <w:sz w:val="20"/>
                <w:szCs w:val="20"/>
              </w:rPr>
            </w:pPr>
            <w:r w:rsidRPr="00574F2C">
              <w:rPr>
                <w:sz w:val="20"/>
                <w:szCs w:val="20"/>
              </w:rPr>
              <w:t>1</w:t>
            </w:r>
            <w:r w:rsidR="00574F2C">
              <w:rPr>
                <w:sz w:val="20"/>
                <w:szCs w:val="20"/>
              </w:rPr>
              <w:t>.</w:t>
            </w:r>
            <w:r w:rsidRPr="00574F2C">
              <w:rPr>
                <w:sz w:val="20"/>
                <w:szCs w:val="20"/>
              </w:rPr>
              <w:t>179</w:t>
            </w:r>
          </w:p>
        </w:tc>
      </w:tr>
      <w:tr w:rsidR="001B3165" w:rsidRPr="00574F2C" w:rsidTr="008A7A96">
        <w:trPr>
          <w:trHeight w:val="82"/>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Fevereiro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96</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43</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198</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578</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915</w:t>
            </w:r>
          </w:p>
        </w:tc>
      </w:tr>
      <w:tr w:rsidR="001B3165" w:rsidRPr="00574F2C" w:rsidTr="008A7A96">
        <w:trPr>
          <w:trHeight w:val="127"/>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Março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85</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35</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355</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702</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w:t>
            </w:r>
            <w:r w:rsidR="00574F2C">
              <w:rPr>
                <w:sz w:val="20"/>
                <w:szCs w:val="20"/>
              </w:rPr>
              <w:t>.</w:t>
            </w:r>
            <w:r w:rsidRPr="00574F2C">
              <w:rPr>
                <w:sz w:val="20"/>
                <w:szCs w:val="20"/>
              </w:rPr>
              <w:t>177</w:t>
            </w:r>
          </w:p>
        </w:tc>
      </w:tr>
      <w:tr w:rsidR="001B3165" w:rsidRPr="00574F2C" w:rsidTr="008A7A96">
        <w:trPr>
          <w:trHeight w:val="52"/>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Abril</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94</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53</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320</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710</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w:t>
            </w:r>
            <w:r w:rsidR="00574F2C">
              <w:rPr>
                <w:sz w:val="20"/>
                <w:szCs w:val="20"/>
              </w:rPr>
              <w:t>.</w:t>
            </w:r>
            <w:r w:rsidRPr="00574F2C">
              <w:rPr>
                <w:sz w:val="20"/>
                <w:szCs w:val="20"/>
              </w:rPr>
              <w:t>177</w:t>
            </w:r>
          </w:p>
        </w:tc>
      </w:tr>
      <w:tr w:rsidR="001B3165" w:rsidRPr="00574F2C" w:rsidTr="008A7A96">
        <w:trPr>
          <w:trHeight w:val="106"/>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Maio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89</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40</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247</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692</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w:t>
            </w:r>
            <w:r w:rsidR="00574F2C">
              <w:rPr>
                <w:sz w:val="20"/>
                <w:szCs w:val="20"/>
              </w:rPr>
              <w:t>.</w:t>
            </w:r>
            <w:r w:rsidRPr="00574F2C">
              <w:rPr>
                <w:sz w:val="20"/>
                <w:szCs w:val="20"/>
              </w:rPr>
              <w:t>068</w:t>
            </w:r>
          </w:p>
        </w:tc>
      </w:tr>
      <w:tr w:rsidR="001B3165" w:rsidRPr="00574F2C" w:rsidTr="008A7A96">
        <w:trPr>
          <w:trHeight w:val="52"/>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Junho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50</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64</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232</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450</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796</w:t>
            </w:r>
          </w:p>
        </w:tc>
      </w:tr>
      <w:tr w:rsidR="001B3165" w:rsidRPr="00574F2C" w:rsidTr="008A7A96">
        <w:trPr>
          <w:trHeight w:val="56"/>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Julho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72</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46</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236</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314</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668</w:t>
            </w:r>
          </w:p>
        </w:tc>
      </w:tr>
      <w:tr w:rsidR="001B3165" w:rsidRPr="00574F2C" w:rsidTr="008A7A96">
        <w:trPr>
          <w:trHeight w:val="52"/>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Agosto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95</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61</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327</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560</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w:t>
            </w:r>
            <w:r w:rsidR="00574F2C">
              <w:rPr>
                <w:sz w:val="20"/>
                <w:szCs w:val="20"/>
              </w:rPr>
              <w:t>.</w:t>
            </w:r>
            <w:r w:rsidRPr="00574F2C">
              <w:rPr>
                <w:sz w:val="20"/>
                <w:szCs w:val="20"/>
              </w:rPr>
              <w:t>043</w:t>
            </w:r>
          </w:p>
        </w:tc>
      </w:tr>
      <w:tr w:rsidR="001B3165" w:rsidRPr="00574F2C" w:rsidTr="008A7A96">
        <w:trPr>
          <w:trHeight w:val="52"/>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Setembro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199</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81</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413</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736</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w:t>
            </w:r>
            <w:r w:rsidR="00574F2C">
              <w:rPr>
                <w:sz w:val="20"/>
                <w:szCs w:val="20"/>
              </w:rPr>
              <w:t>.</w:t>
            </w:r>
            <w:r w:rsidRPr="00574F2C">
              <w:rPr>
                <w:sz w:val="20"/>
                <w:szCs w:val="20"/>
              </w:rPr>
              <w:t>429</w:t>
            </w:r>
          </w:p>
        </w:tc>
      </w:tr>
      <w:tr w:rsidR="001B3165" w:rsidRPr="00574F2C" w:rsidTr="008A7A96">
        <w:trPr>
          <w:trHeight w:val="80"/>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Outubro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100</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91</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276</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420</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887</w:t>
            </w:r>
          </w:p>
        </w:tc>
      </w:tr>
      <w:tr w:rsidR="001B3165" w:rsidRPr="00574F2C" w:rsidTr="008A7A96">
        <w:trPr>
          <w:trHeight w:val="52"/>
          <w:jc w:val="center"/>
        </w:trPr>
        <w:tc>
          <w:tcPr>
            <w:tcW w:w="1280" w:type="dxa"/>
            <w:tcBorders>
              <w:top w:val="nil"/>
              <w:left w:val="nil"/>
              <w:bottom w:val="nil"/>
              <w:right w:val="nil"/>
            </w:tcBorders>
            <w:shd w:val="clear" w:color="auto" w:fill="auto"/>
            <w:noWrap/>
            <w:vAlign w:val="center"/>
            <w:hideMark/>
          </w:tcPr>
          <w:p w:rsidR="001B3165" w:rsidRPr="00574F2C" w:rsidRDefault="001B3165" w:rsidP="00574F2C">
            <w:pPr>
              <w:jc w:val="left"/>
              <w:rPr>
                <w:sz w:val="20"/>
                <w:szCs w:val="20"/>
              </w:rPr>
            </w:pPr>
            <w:r w:rsidRPr="00574F2C">
              <w:rPr>
                <w:sz w:val="20"/>
                <w:szCs w:val="20"/>
              </w:rPr>
              <w:t>Novembro</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69</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33</w:t>
            </w:r>
          </w:p>
        </w:tc>
        <w:tc>
          <w:tcPr>
            <w:tcW w:w="1087"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199</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402</w:t>
            </w:r>
          </w:p>
        </w:tc>
        <w:tc>
          <w:tcPr>
            <w:tcW w:w="960" w:type="dxa"/>
            <w:tcBorders>
              <w:top w:val="nil"/>
              <w:left w:val="nil"/>
              <w:bottom w:val="nil"/>
              <w:right w:val="nil"/>
            </w:tcBorders>
            <w:shd w:val="clear" w:color="auto" w:fill="auto"/>
            <w:noWrap/>
            <w:vAlign w:val="center"/>
          </w:tcPr>
          <w:p w:rsidR="001B3165" w:rsidRPr="00574F2C" w:rsidRDefault="001B3165" w:rsidP="001B3165">
            <w:pPr>
              <w:rPr>
                <w:sz w:val="20"/>
                <w:szCs w:val="20"/>
              </w:rPr>
            </w:pPr>
            <w:r w:rsidRPr="00574F2C">
              <w:rPr>
                <w:sz w:val="20"/>
                <w:szCs w:val="20"/>
              </w:rPr>
              <w:t>703</w:t>
            </w:r>
          </w:p>
        </w:tc>
      </w:tr>
      <w:tr w:rsidR="001B3165" w:rsidRPr="00574F2C" w:rsidTr="008A7A96">
        <w:trPr>
          <w:trHeight w:val="151"/>
          <w:jc w:val="center"/>
        </w:trPr>
        <w:tc>
          <w:tcPr>
            <w:tcW w:w="1280" w:type="dxa"/>
            <w:tcBorders>
              <w:top w:val="nil"/>
              <w:left w:val="nil"/>
              <w:bottom w:val="nil"/>
              <w:right w:val="nil"/>
            </w:tcBorders>
            <w:shd w:val="clear" w:color="000000" w:fill="DBE5F1"/>
            <w:noWrap/>
            <w:vAlign w:val="center"/>
            <w:hideMark/>
          </w:tcPr>
          <w:p w:rsidR="001B3165" w:rsidRPr="00574F2C" w:rsidRDefault="001B3165" w:rsidP="00574F2C">
            <w:pPr>
              <w:jc w:val="left"/>
              <w:rPr>
                <w:b/>
                <w:bCs/>
                <w:sz w:val="20"/>
                <w:szCs w:val="20"/>
              </w:rPr>
            </w:pPr>
            <w:r w:rsidRPr="00574F2C">
              <w:rPr>
                <w:b/>
                <w:bCs/>
                <w:sz w:val="20"/>
                <w:szCs w:val="20"/>
              </w:rPr>
              <w:t>TOTAL</w:t>
            </w:r>
          </w:p>
        </w:tc>
        <w:tc>
          <w:tcPr>
            <w:tcW w:w="960" w:type="dxa"/>
            <w:tcBorders>
              <w:top w:val="nil"/>
              <w:left w:val="nil"/>
              <w:bottom w:val="nil"/>
              <w:right w:val="nil"/>
            </w:tcBorders>
            <w:shd w:val="clear" w:color="000000" w:fill="DBE5F1"/>
            <w:noWrap/>
            <w:vAlign w:val="center"/>
          </w:tcPr>
          <w:p w:rsidR="001B3165" w:rsidRPr="00574F2C" w:rsidRDefault="001B3165" w:rsidP="001B3165">
            <w:pPr>
              <w:rPr>
                <w:b/>
                <w:bCs/>
                <w:sz w:val="20"/>
                <w:szCs w:val="20"/>
              </w:rPr>
            </w:pPr>
            <w:r w:rsidRPr="00574F2C">
              <w:rPr>
                <w:b/>
                <w:bCs/>
                <w:sz w:val="20"/>
                <w:szCs w:val="20"/>
              </w:rPr>
              <w:t>1</w:t>
            </w:r>
            <w:r w:rsidR="00574F2C">
              <w:rPr>
                <w:b/>
                <w:bCs/>
                <w:sz w:val="20"/>
                <w:szCs w:val="20"/>
              </w:rPr>
              <w:t>.</w:t>
            </w:r>
            <w:r w:rsidRPr="00574F2C">
              <w:rPr>
                <w:b/>
                <w:bCs/>
                <w:sz w:val="20"/>
                <w:szCs w:val="20"/>
              </w:rPr>
              <w:t>031</w:t>
            </w:r>
          </w:p>
        </w:tc>
        <w:tc>
          <w:tcPr>
            <w:tcW w:w="960" w:type="dxa"/>
            <w:tcBorders>
              <w:top w:val="nil"/>
              <w:left w:val="nil"/>
              <w:bottom w:val="nil"/>
              <w:right w:val="nil"/>
            </w:tcBorders>
            <w:shd w:val="clear" w:color="000000" w:fill="DBE5F1"/>
            <w:noWrap/>
            <w:vAlign w:val="center"/>
          </w:tcPr>
          <w:p w:rsidR="001B3165" w:rsidRPr="00574F2C" w:rsidRDefault="001B3165" w:rsidP="001B3165">
            <w:pPr>
              <w:rPr>
                <w:b/>
                <w:bCs/>
                <w:sz w:val="20"/>
                <w:szCs w:val="20"/>
              </w:rPr>
            </w:pPr>
            <w:r w:rsidRPr="00574F2C">
              <w:rPr>
                <w:b/>
                <w:bCs/>
                <w:sz w:val="20"/>
                <w:szCs w:val="20"/>
              </w:rPr>
              <w:t>630</w:t>
            </w:r>
          </w:p>
        </w:tc>
        <w:tc>
          <w:tcPr>
            <w:tcW w:w="1087" w:type="dxa"/>
            <w:tcBorders>
              <w:top w:val="nil"/>
              <w:left w:val="nil"/>
              <w:bottom w:val="nil"/>
              <w:right w:val="nil"/>
            </w:tcBorders>
            <w:shd w:val="clear" w:color="000000" w:fill="DBE5F1"/>
            <w:noWrap/>
            <w:vAlign w:val="center"/>
          </w:tcPr>
          <w:p w:rsidR="001B3165" w:rsidRPr="00574F2C" w:rsidRDefault="001B3165" w:rsidP="001B3165">
            <w:pPr>
              <w:rPr>
                <w:b/>
                <w:bCs/>
                <w:sz w:val="20"/>
                <w:szCs w:val="20"/>
              </w:rPr>
            </w:pPr>
            <w:r w:rsidRPr="00574F2C">
              <w:rPr>
                <w:b/>
                <w:bCs/>
                <w:sz w:val="20"/>
                <w:szCs w:val="20"/>
              </w:rPr>
              <w:t>3</w:t>
            </w:r>
            <w:r w:rsidR="00574F2C">
              <w:rPr>
                <w:b/>
                <w:bCs/>
                <w:sz w:val="20"/>
                <w:szCs w:val="20"/>
              </w:rPr>
              <w:t>.</w:t>
            </w:r>
            <w:r w:rsidRPr="00574F2C">
              <w:rPr>
                <w:b/>
                <w:bCs/>
                <w:sz w:val="20"/>
                <w:szCs w:val="20"/>
              </w:rPr>
              <w:t>121</w:t>
            </w:r>
          </w:p>
        </w:tc>
        <w:tc>
          <w:tcPr>
            <w:tcW w:w="960" w:type="dxa"/>
            <w:tcBorders>
              <w:top w:val="nil"/>
              <w:left w:val="nil"/>
              <w:bottom w:val="nil"/>
              <w:right w:val="nil"/>
            </w:tcBorders>
            <w:shd w:val="clear" w:color="000000" w:fill="DBE5F1"/>
            <w:noWrap/>
            <w:vAlign w:val="center"/>
          </w:tcPr>
          <w:p w:rsidR="001B3165" w:rsidRPr="00574F2C" w:rsidRDefault="001B3165" w:rsidP="001B3165">
            <w:pPr>
              <w:rPr>
                <w:b/>
                <w:bCs/>
                <w:sz w:val="20"/>
                <w:szCs w:val="20"/>
              </w:rPr>
            </w:pPr>
            <w:r w:rsidRPr="00574F2C">
              <w:rPr>
                <w:b/>
                <w:bCs/>
                <w:sz w:val="20"/>
                <w:szCs w:val="20"/>
              </w:rPr>
              <w:t>6</w:t>
            </w:r>
            <w:r w:rsidR="00574F2C">
              <w:rPr>
                <w:b/>
                <w:bCs/>
                <w:sz w:val="20"/>
                <w:szCs w:val="20"/>
              </w:rPr>
              <w:t>.</w:t>
            </w:r>
            <w:r w:rsidRPr="00574F2C">
              <w:rPr>
                <w:b/>
                <w:bCs/>
                <w:sz w:val="20"/>
                <w:szCs w:val="20"/>
              </w:rPr>
              <w:t>260</w:t>
            </w:r>
          </w:p>
        </w:tc>
        <w:tc>
          <w:tcPr>
            <w:tcW w:w="960" w:type="dxa"/>
            <w:tcBorders>
              <w:top w:val="nil"/>
              <w:left w:val="nil"/>
              <w:bottom w:val="nil"/>
              <w:right w:val="nil"/>
            </w:tcBorders>
            <w:shd w:val="clear" w:color="000000" w:fill="DBE5F1"/>
            <w:noWrap/>
            <w:vAlign w:val="center"/>
          </w:tcPr>
          <w:p w:rsidR="001B3165" w:rsidRPr="00574F2C" w:rsidRDefault="001B3165" w:rsidP="001B3165">
            <w:pPr>
              <w:rPr>
                <w:b/>
                <w:bCs/>
                <w:sz w:val="20"/>
                <w:szCs w:val="20"/>
              </w:rPr>
            </w:pPr>
            <w:r w:rsidRPr="00574F2C">
              <w:rPr>
                <w:b/>
                <w:bCs/>
                <w:sz w:val="20"/>
                <w:szCs w:val="20"/>
              </w:rPr>
              <w:t>11</w:t>
            </w:r>
            <w:r w:rsidR="00574F2C">
              <w:rPr>
                <w:b/>
                <w:bCs/>
                <w:sz w:val="20"/>
                <w:szCs w:val="20"/>
              </w:rPr>
              <w:t>.</w:t>
            </w:r>
            <w:r w:rsidRPr="00574F2C">
              <w:rPr>
                <w:b/>
                <w:bCs/>
                <w:sz w:val="20"/>
                <w:szCs w:val="20"/>
              </w:rPr>
              <w:t>042</w:t>
            </w:r>
          </w:p>
        </w:tc>
      </w:tr>
    </w:tbl>
    <w:p w:rsidR="00651691" w:rsidRDefault="00651691" w:rsidP="008A7A96">
      <w:pPr>
        <w:pStyle w:val="NormalWeb"/>
        <w:tabs>
          <w:tab w:val="left" w:pos="0"/>
        </w:tabs>
        <w:suppressAutoHyphens/>
        <w:spacing w:before="0" w:beforeAutospacing="0" w:after="0" w:afterAutospacing="0"/>
        <w:ind w:firstLine="1134"/>
        <w:jc w:val="both"/>
        <w:rPr>
          <w:b/>
          <w:bCs/>
        </w:rPr>
      </w:pPr>
    </w:p>
    <w:p w:rsidR="001B3165" w:rsidRDefault="008A7A96" w:rsidP="008A7A96">
      <w:pPr>
        <w:pStyle w:val="NormalWeb"/>
        <w:tabs>
          <w:tab w:val="left" w:pos="0"/>
        </w:tabs>
        <w:suppressAutoHyphens/>
        <w:spacing w:before="0" w:beforeAutospacing="0" w:after="0" w:afterAutospacing="0"/>
        <w:ind w:firstLine="1134"/>
        <w:jc w:val="both"/>
        <w:rPr>
          <w:b/>
          <w:bCs/>
        </w:rPr>
      </w:pPr>
      <w:r>
        <w:rPr>
          <w:b/>
          <w:bCs/>
        </w:rPr>
        <w:t>Atendimento aos Usuários</w:t>
      </w:r>
    </w:p>
    <w:p w:rsidR="00651691" w:rsidRDefault="00651691" w:rsidP="008A7A96">
      <w:pPr>
        <w:pStyle w:val="NormalWeb"/>
        <w:tabs>
          <w:tab w:val="left" w:pos="0"/>
        </w:tabs>
        <w:suppressAutoHyphens/>
        <w:spacing w:before="0" w:beforeAutospacing="0" w:after="0" w:afterAutospacing="0"/>
        <w:ind w:firstLine="1134"/>
        <w:jc w:val="both"/>
        <w:rPr>
          <w:b/>
          <w:bCs/>
          <w:color w:val="FF0000"/>
        </w:rPr>
      </w:pPr>
    </w:p>
    <w:p w:rsidR="001B3165" w:rsidRDefault="00AD3B0F" w:rsidP="001B3165">
      <w:pPr>
        <w:pStyle w:val="NormalWeb"/>
        <w:spacing w:before="0" w:after="0"/>
        <w:rPr>
          <w:rStyle w:val="Forte"/>
          <w:b w:val="0"/>
          <w:bCs w:val="0"/>
          <w:noProof/>
          <w:color w:val="FF0000"/>
        </w:rPr>
      </w:pPr>
      <w:r>
        <w:rPr>
          <w:noProof/>
        </w:rPr>
        <w:drawing>
          <wp:inline distT="0" distB="0" distL="0" distR="0">
            <wp:extent cx="4578840" cy="2105194"/>
            <wp:effectExtent l="6105" t="4678" r="6105" b="4678"/>
            <wp:docPr id="1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1B3165" w:rsidRPr="00D33706" w:rsidRDefault="00AD3B0F" w:rsidP="001B3165">
      <w:pPr>
        <w:pStyle w:val="NormalWeb"/>
        <w:spacing w:before="0" w:after="0"/>
        <w:rPr>
          <w:b/>
        </w:rPr>
      </w:pPr>
      <w:r>
        <w:rPr>
          <w:noProof/>
        </w:rPr>
        <w:lastRenderedPageBreak/>
        <w:drawing>
          <wp:inline distT="0" distB="0" distL="0" distR="0">
            <wp:extent cx="4571395" cy="2170684"/>
            <wp:effectExtent l="5013" t="4773" r="5117" b="5768"/>
            <wp:docPr id="12"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1B3165" w:rsidRPr="008A7A96" w:rsidRDefault="008A7A96" w:rsidP="008A7A96">
      <w:pPr>
        <w:pStyle w:val="NormalWeb"/>
        <w:suppressAutoHyphens/>
        <w:spacing w:before="0" w:beforeAutospacing="0" w:after="0" w:afterAutospacing="0"/>
        <w:ind w:firstLine="1134"/>
        <w:jc w:val="both"/>
      </w:pPr>
      <w:r w:rsidRPr="008A7A96">
        <w:rPr>
          <w:b/>
        </w:rPr>
        <w:t xml:space="preserve">Recursos Humanos - </w:t>
      </w:r>
      <w:r w:rsidRPr="008A7A96">
        <w:t>O</w:t>
      </w:r>
      <w:r w:rsidRPr="008A7A96">
        <w:rPr>
          <w:b/>
        </w:rPr>
        <w:t xml:space="preserve"> </w:t>
      </w:r>
      <w:r w:rsidR="001B3165" w:rsidRPr="008A7A96">
        <w:t>Centro de Recursos Humanos é órgão setorial do Sistema de Administração de Pessoal da Secretaria dos Direitos da Pessoa com Deficiência.</w:t>
      </w:r>
    </w:p>
    <w:p w:rsidR="008A7A96" w:rsidRPr="008A7A96" w:rsidRDefault="008A7A96" w:rsidP="008A7A96">
      <w:pPr>
        <w:pStyle w:val="PargrafodaLista"/>
        <w:ind w:left="0" w:firstLine="1134"/>
        <w:rPr>
          <w:rFonts w:ascii="Times New Roman" w:hAnsi="Times New Roman"/>
          <w:sz w:val="24"/>
          <w:szCs w:val="24"/>
        </w:rPr>
      </w:pPr>
    </w:p>
    <w:p w:rsidR="001B3165" w:rsidRPr="008A7A96" w:rsidRDefault="001B3165" w:rsidP="008A7A96">
      <w:pPr>
        <w:pStyle w:val="PargrafodaLista"/>
        <w:ind w:left="0" w:firstLine="1134"/>
        <w:rPr>
          <w:rFonts w:ascii="Times New Roman" w:hAnsi="Times New Roman"/>
          <w:sz w:val="24"/>
          <w:szCs w:val="24"/>
        </w:rPr>
      </w:pPr>
      <w:r w:rsidRPr="008A7A96">
        <w:rPr>
          <w:rFonts w:ascii="Times New Roman" w:hAnsi="Times New Roman"/>
          <w:sz w:val="24"/>
          <w:szCs w:val="24"/>
        </w:rPr>
        <w:t xml:space="preserve">Suas </w:t>
      </w:r>
      <w:r w:rsidR="008A7A96" w:rsidRPr="008A7A96">
        <w:rPr>
          <w:rFonts w:ascii="Times New Roman" w:hAnsi="Times New Roman"/>
          <w:sz w:val="24"/>
          <w:szCs w:val="24"/>
        </w:rPr>
        <w:t xml:space="preserve">Atividades Estão Relacionadas Ao Sistema de Administração de Pessoal Conforme Preconiza o </w:t>
      </w:r>
      <w:r w:rsidRPr="008A7A96">
        <w:rPr>
          <w:rFonts w:ascii="Times New Roman" w:hAnsi="Times New Roman"/>
          <w:sz w:val="24"/>
          <w:szCs w:val="24"/>
        </w:rPr>
        <w:t xml:space="preserve">Decreto </w:t>
      </w:r>
      <w:r w:rsidR="008A7A96" w:rsidRPr="008A7A96">
        <w:rPr>
          <w:rFonts w:ascii="Times New Roman" w:hAnsi="Times New Roman"/>
          <w:sz w:val="24"/>
          <w:szCs w:val="24"/>
        </w:rPr>
        <w:t>nº 52.833/2008, e ainda são constituídas de tarefas cotidianas de relativas ao gerenciamento do fluxo documental e burocrático inerente aos processos de controle e avaliação dos recursos humanos da Pasta.</w:t>
      </w:r>
    </w:p>
    <w:p w:rsidR="008A7A96" w:rsidRPr="00D33706" w:rsidRDefault="008A7A96" w:rsidP="008A7A96">
      <w:pPr>
        <w:ind w:firstLine="1134"/>
        <w:jc w:val="both"/>
      </w:pPr>
    </w:p>
    <w:p w:rsidR="001B3165" w:rsidRPr="00D33706" w:rsidRDefault="008A7A96" w:rsidP="008A7A96">
      <w:pPr>
        <w:ind w:firstLine="1134"/>
        <w:jc w:val="both"/>
      </w:pPr>
      <w:r w:rsidRPr="00D33706">
        <w:t xml:space="preserve">Destaca-se investimento feito na capacitação dos recursos humanos, entre cursos, treinamentos, palestras, congressos, seminários realizados, dos quais servidores participaram com índice de 100% de aprovação pelos gestores. </w:t>
      </w:r>
      <w:r w:rsidR="00C17D30" w:rsidRPr="00D33706">
        <w:t>S</w:t>
      </w:r>
      <w:r w:rsidRPr="00D33706">
        <w:t xml:space="preserve">ervidores capacitados e comprometidos </w:t>
      </w:r>
      <w:r w:rsidR="00C17D30" w:rsidRPr="00D33706">
        <w:t>com melhoria contínua, asseguram transparência dos atos dos gestores.</w:t>
      </w:r>
    </w:p>
    <w:p w:rsidR="00C17D30" w:rsidRPr="00D33706" w:rsidRDefault="00C17D30" w:rsidP="008A7A96">
      <w:pPr>
        <w:pStyle w:val="PargrafodaLista"/>
        <w:ind w:left="0" w:firstLine="1134"/>
        <w:rPr>
          <w:rFonts w:ascii="Times New Roman" w:hAnsi="Times New Roman"/>
          <w:sz w:val="24"/>
          <w:szCs w:val="24"/>
        </w:rPr>
      </w:pPr>
    </w:p>
    <w:p w:rsidR="001B3165" w:rsidRPr="00C17D30" w:rsidRDefault="001B3165" w:rsidP="008A7A96">
      <w:pPr>
        <w:pStyle w:val="PargrafodaLista"/>
        <w:ind w:left="0" w:firstLine="1134"/>
        <w:rPr>
          <w:rFonts w:ascii="Times New Roman" w:hAnsi="Times New Roman"/>
          <w:sz w:val="24"/>
          <w:szCs w:val="24"/>
        </w:rPr>
      </w:pPr>
      <w:r>
        <w:rPr>
          <w:rFonts w:ascii="Times New Roman" w:hAnsi="Times New Roman"/>
          <w:sz w:val="24"/>
          <w:szCs w:val="24"/>
        </w:rPr>
        <w:t>Cursos oferecidos</w:t>
      </w:r>
      <w:r w:rsidR="00C17D30">
        <w:rPr>
          <w:rFonts w:ascii="Times New Roman" w:hAnsi="Times New Roman"/>
          <w:sz w:val="24"/>
          <w:szCs w:val="24"/>
        </w:rPr>
        <w:t xml:space="preserve"> -</w:t>
      </w:r>
      <w:r>
        <w:rPr>
          <w:rFonts w:ascii="Times New Roman" w:hAnsi="Times New Roman"/>
          <w:sz w:val="24"/>
          <w:szCs w:val="24"/>
        </w:rPr>
        <w:t xml:space="preserve"> 17</w:t>
      </w:r>
      <w:r w:rsidR="00C17D30">
        <w:rPr>
          <w:rFonts w:ascii="Times New Roman" w:hAnsi="Times New Roman"/>
          <w:sz w:val="24"/>
          <w:szCs w:val="24"/>
        </w:rPr>
        <w:t>.</w:t>
      </w:r>
    </w:p>
    <w:p w:rsidR="00C17D30" w:rsidRDefault="00C17D30" w:rsidP="00C17D30">
      <w:pPr>
        <w:pStyle w:val="PargrafodaLista"/>
        <w:ind w:left="0" w:firstLine="1134"/>
        <w:rPr>
          <w:rFonts w:ascii="Times New Roman" w:hAnsi="Times New Roman"/>
          <w:sz w:val="24"/>
          <w:szCs w:val="24"/>
        </w:rPr>
      </w:pPr>
    </w:p>
    <w:p w:rsidR="001B3165" w:rsidRPr="00C17D30" w:rsidRDefault="00C17D30" w:rsidP="00C17D30">
      <w:pPr>
        <w:pStyle w:val="PargrafodaLista"/>
        <w:ind w:left="0" w:firstLine="1134"/>
        <w:rPr>
          <w:rFonts w:ascii="Times New Roman" w:hAnsi="Times New Roman"/>
          <w:sz w:val="24"/>
          <w:szCs w:val="24"/>
        </w:rPr>
      </w:pPr>
      <w:r>
        <w:rPr>
          <w:rFonts w:ascii="Times New Roman" w:hAnsi="Times New Roman"/>
          <w:sz w:val="24"/>
          <w:szCs w:val="24"/>
        </w:rPr>
        <w:t xml:space="preserve">Quantidade de participantes </w:t>
      </w:r>
      <w:r w:rsidR="00DA12B4">
        <w:rPr>
          <w:rFonts w:ascii="Times New Roman" w:hAnsi="Times New Roman"/>
          <w:sz w:val="24"/>
          <w:szCs w:val="24"/>
        </w:rPr>
        <w:t>-</w:t>
      </w:r>
      <w:r w:rsidR="001B3165">
        <w:rPr>
          <w:rFonts w:ascii="Times New Roman" w:hAnsi="Times New Roman"/>
          <w:sz w:val="24"/>
          <w:szCs w:val="24"/>
        </w:rPr>
        <w:t xml:space="preserve"> 28</w:t>
      </w:r>
      <w:r>
        <w:rPr>
          <w:rFonts w:ascii="Times New Roman" w:hAnsi="Times New Roman"/>
          <w:sz w:val="24"/>
          <w:szCs w:val="24"/>
        </w:rPr>
        <w:t>.</w:t>
      </w:r>
    </w:p>
    <w:p w:rsidR="00C17D30" w:rsidRPr="00D33706" w:rsidRDefault="00C17D30" w:rsidP="00C17D30">
      <w:pPr>
        <w:pStyle w:val="PargrafodaLista"/>
        <w:ind w:left="0" w:firstLine="1134"/>
        <w:rPr>
          <w:rFonts w:ascii="Times New Roman" w:hAnsi="Times New Roman"/>
          <w:sz w:val="24"/>
          <w:szCs w:val="24"/>
        </w:rPr>
      </w:pPr>
    </w:p>
    <w:p w:rsidR="001B3165" w:rsidRPr="00D33706" w:rsidRDefault="001B3165" w:rsidP="00C17D30">
      <w:pPr>
        <w:pStyle w:val="PargrafodaLista"/>
        <w:ind w:left="0" w:firstLine="1134"/>
        <w:rPr>
          <w:rFonts w:ascii="Times New Roman" w:hAnsi="Times New Roman"/>
          <w:sz w:val="24"/>
          <w:szCs w:val="24"/>
        </w:rPr>
      </w:pPr>
      <w:r w:rsidRPr="00D33706">
        <w:rPr>
          <w:rFonts w:ascii="Times New Roman" w:hAnsi="Times New Roman"/>
          <w:sz w:val="24"/>
          <w:szCs w:val="24"/>
        </w:rPr>
        <w:t>A ginástica laboral e os restaurantes credenciados</w:t>
      </w:r>
      <w:r w:rsidR="00D33706" w:rsidRPr="00D33706">
        <w:rPr>
          <w:rFonts w:ascii="Times New Roman" w:hAnsi="Times New Roman"/>
          <w:sz w:val="24"/>
          <w:szCs w:val="24"/>
        </w:rPr>
        <w:t xml:space="preserve"> </w:t>
      </w:r>
      <w:r w:rsidRPr="00D33706">
        <w:rPr>
          <w:rFonts w:ascii="Times New Roman" w:hAnsi="Times New Roman"/>
          <w:sz w:val="24"/>
          <w:szCs w:val="24"/>
        </w:rPr>
        <w:t xml:space="preserve">fazem parte do Programa de Qualidade de Vida, que vem trazendo benefícios e melhor desempenho ao cotidiano dos colaboradores. </w:t>
      </w:r>
    </w:p>
    <w:p w:rsidR="00D33706" w:rsidRPr="00D33706" w:rsidRDefault="00D33706" w:rsidP="00C17D30">
      <w:pPr>
        <w:pStyle w:val="PargrafodaLista"/>
        <w:ind w:left="0" w:firstLine="1134"/>
        <w:rPr>
          <w:rFonts w:ascii="Times New Roman" w:hAnsi="Times New Roman"/>
          <w:sz w:val="24"/>
          <w:szCs w:val="24"/>
        </w:rPr>
      </w:pPr>
    </w:p>
    <w:p w:rsidR="001B3165" w:rsidRDefault="00D33706" w:rsidP="00C17D30">
      <w:pPr>
        <w:pStyle w:val="PargrafodaLista"/>
        <w:ind w:left="0" w:firstLine="1134"/>
        <w:rPr>
          <w:rFonts w:ascii="Times New Roman" w:hAnsi="Times New Roman"/>
          <w:sz w:val="24"/>
          <w:szCs w:val="24"/>
        </w:rPr>
      </w:pPr>
      <w:r w:rsidRPr="00D33706">
        <w:rPr>
          <w:rFonts w:ascii="Times New Roman" w:hAnsi="Times New Roman"/>
          <w:sz w:val="24"/>
          <w:szCs w:val="24"/>
        </w:rPr>
        <w:t xml:space="preserve">Foram </w:t>
      </w:r>
      <w:r w:rsidR="001B3165" w:rsidRPr="00D33706">
        <w:rPr>
          <w:rFonts w:ascii="Times New Roman" w:hAnsi="Times New Roman"/>
          <w:sz w:val="24"/>
          <w:szCs w:val="24"/>
        </w:rPr>
        <w:t>contratados estagiários para diversas áreas</w:t>
      </w:r>
      <w:r>
        <w:rPr>
          <w:rFonts w:ascii="Times New Roman" w:hAnsi="Times New Roman"/>
          <w:sz w:val="24"/>
          <w:szCs w:val="24"/>
        </w:rPr>
        <w:t>,</w:t>
      </w:r>
      <w:r w:rsidR="001B3165" w:rsidRPr="00D33706">
        <w:rPr>
          <w:rFonts w:ascii="Times New Roman" w:hAnsi="Times New Roman"/>
          <w:sz w:val="24"/>
          <w:szCs w:val="24"/>
        </w:rPr>
        <w:t xml:space="preserve"> por meio do agente de integração Fundap, e a Secretaria tem sido porta de entrada para inserção do jovem estagiário no mercado de trabalho</w:t>
      </w:r>
      <w:r w:rsidR="001B3165">
        <w:rPr>
          <w:rFonts w:ascii="Times New Roman" w:hAnsi="Times New Roman"/>
          <w:sz w:val="24"/>
          <w:szCs w:val="24"/>
        </w:rPr>
        <w:t>.</w:t>
      </w:r>
    </w:p>
    <w:p w:rsidR="00D33706" w:rsidRDefault="00D33706" w:rsidP="00C17D30">
      <w:pPr>
        <w:pStyle w:val="PargrafodaLista"/>
        <w:ind w:left="0" w:firstLine="1134"/>
        <w:rPr>
          <w:rFonts w:ascii="Times New Roman" w:hAnsi="Times New Roman"/>
          <w:sz w:val="24"/>
          <w:szCs w:val="24"/>
        </w:rPr>
      </w:pPr>
    </w:p>
    <w:p w:rsidR="001B3165" w:rsidRDefault="00D33706" w:rsidP="00D33706">
      <w:pPr>
        <w:pStyle w:val="NormalWeb"/>
        <w:suppressAutoHyphens/>
        <w:spacing w:before="0" w:beforeAutospacing="0" w:after="0" w:afterAutospacing="0"/>
        <w:ind w:firstLine="1134"/>
        <w:jc w:val="both"/>
      </w:pPr>
      <w:r>
        <w:rPr>
          <w:b/>
          <w:bCs/>
        </w:rPr>
        <w:t xml:space="preserve">Considerações Gerais - </w:t>
      </w:r>
      <w:r>
        <w:t xml:space="preserve">A </w:t>
      </w:r>
      <w:r w:rsidR="001B3165">
        <w:t xml:space="preserve">Secretaria dos Direitos da Pessoa com Deficiência tem se esforçado na formulação e implementação de políticas públicas voltadas </w:t>
      </w:r>
      <w:r>
        <w:t>à</w:t>
      </w:r>
      <w:r w:rsidR="001B3165">
        <w:t xml:space="preserve"> inclusão das pessoa</w:t>
      </w:r>
      <w:r>
        <w:t>s com deficiência.</w:t>
      </w:r>
    </w:p>
    <w:p w:rsidR="00D33706" w:rsidRDefault="00D33706" w:rsidP="00D33706">
      <w:pPr>
        <w:pStyle w:val="NormalWeb"/>
        <w:spacing w:before="0" w:beforeAutospacing="0" w:after="0" w:afterAutospacing="0"/>
        <w:ind w:firstLine="360"/>
        <w:jc w:val="both"/>
      </w:pPr>
    </w:p>
    <w:p w:rsidR="001B3165" w:rsidRDefault="001B3165" w:rsidP="00D33706">
      <w:pPr>
        <w:pStyle w:val="NormalWeb"/>
        <w:spacing w:before="0" w:beforeAutospacing="0" w:after="0" w:afterAutospacing="0"/>
        <w:ind w:firstLine="1134"/>
        <w:jc w:val="both"/>
      </w:pPr>
      <w:r>
        <w:lastRenderedPageBreak/>
        <w:t xml:space="preserve">As atividades desenvolvidas estimularam sociedade em que o Bem-Estar e a Qualidade de Vida de todos orientaram a oferta dos serviços públicos, valorizando as lógicas preventivas e reabilitadoras e os princípios da subsidiariedade </w:t>
      </w:r>
      <w:r w:rsidRPr="00D33706">
        <w:t>e do constrangimento positivo. Esse papel foi o principal agente impulsionador à mudança de paradigma e adoção de novo modelo mental, no contexto de vida das pessoas com deficiência, percebendo a importância e o alcance que a supressão de barreiras pode significar para concretização de direitos e no favorecimento de inclusão ativa. A promoção da acessibilidade é questão chave para atingir objetivos estratégicos da SDPD</w:t>
      </w:r>
      <w:r w:rsidR="00D33706" w:rsidRPr="00D33706">
        <w:t>:</w:t>
      </w:r>
    </w:p>
    <w:p w:rsidR="00D33706" w:rsidRPr="00D33706" w:rsidRDefault="00D33706" w:rsidP="00D33706">
      <w:pPr>
        <w:pStyle w:val="NormalWeb"/>
        <w:spacing w:before="0" w:beforeAutospacing="0" w:after="0" w:afterAutospacing="0"/>
        <w:ind w:firstLine="1134"/>
        <w:jc w:val="both"/>
      </w:pPr>
    </w:p>
    <w:p w:rsidR="001B3165" w:rsidRPr="00D33706" w:rsidRDefault="00D33706" w:rsidP="00D33706">
      <w:pPr>
        <w:pStyle w:val="NormalWeb"/>
        <w:suppressAutoHyphens/>
        <w:spacing w:before="0" w:beforeAutospacing="0" w:after="0" w:afterAutospacing="0"/>
        <w:ind w:firstLine="1134"/>
        <w:jc w:val="both"/>
      </w:pPr>
      <w:r>
        <w:t xml:space="preserve">- </w:t>
      </w:r>
      <w:r w:rsidR="001B3165" w:rsidRPr="00D33706">
        <w:t>Aumentar a competitividade;</w:t>
      </w:r>
    </w:p>
    <w:p w:rsidR="00D33706" w:rsidRDefault="00D33706" w:rsidP="00D33706">
      <w:pPr>
        <w:pStyle w:val="NormalWeb"/>
        <w:suppressAutoHyphens/>
        <w:spacing w:before="0" w:beforeAutospacing="0" w:after="0" w:afterAutospacing="0"/>
        <w:ind w:firstLine="1134"/>
        <w:jc w:val="both"/>
      </w:pPr>
    </w:p>
    <w:p w:rsidR="001B3165" w:rsidRDefault="00D33706" w:rsidP="00D33706">
      <w:pPr>
        <w:pStyle w:val="NormalWeb"/>
        <w:suppressAutoHyphens/>
        <w:spacing w:before="0" w:beforeAutospacing="0" w:after="0" w:afterAutospacing="0"/>
        <w:ind w:firstLine="1134"/>
        <w:jc w:val="both"/>
      </w:pPr>
      <w:r>
        <w:t xml:space="preserve">- </w:t>
      </w:r>
      <w:r w:rsidR="001B3165">
        <w:t xml:space="preserve">Alcançar o pleno emprego; </w:t>
      </w:r>
    </w:p>
    <w:p w:rsidR="00D33706" w:rsidRDefault="00D33706" w:rsidP="00D33706">
      <w:pPr>
        <w:pStyle w:val="NormalWeb"/>
        <w:suppressAutoHyphens/>
        <w:spacing w:before="0" w:beforeAutospacing="0" w:after="0" w:afterAutospacing="0"/>
        <w:ind w:firstLine="1134"/>
        <w:jc w:val="both"/>
      </w:pPr>
    </w:p>
    <w:p w:rsidR="001B3165" w:rsidRDefault="00D33706" w:rsidP="00D33706">
      <w:pPr>
        <w:pStyle w:val="NormalWeb"/>
        <w:suppressAutoHyphens/>
        <w:spacing w:before="0" w:beforeAutospacing="0" w:after="0" w:afterAutospacing="0"/>
        <w:ind w:firstLine="1134"/>
        <w:jc w:val="both"/>
      </w:pPr>
      <w:r>
        <w:t xml:space="preserve">- </w:t>
      </w:r>
      <w:r w:rsidR="001B3165">
        <w:t>Reforçar a coesão social e;</w:t>
      </w:r>
    </w:p>
    <w:p w:rsidR="00D33706" w:rsidRDefault="00D33706" w:rsidP="00D33706">
      <w:pPr>
        <w:pStyle w:val="NormalWeb"/>
        <w:suppressAutoHyphens/>
        <w:spacing w:before="0" w:beforeAutospacing="0" w:after="0" w:afterAutospacing="0"/>
        <w:ind w:firstLine="1134"/>
        <w:jc w:val="both"/>
      </w:pPr>
    </w:p>
    <w:p w:rsidR="001B3165" w:rsidRDefault="00D33706" w:rsidP="00D33706">
      <w:pPr>
        <w:pStyle w:val="NormalWeb"/>
        <w:suppressAutoHyphens/>
        <w:spacing w:before="0" w:beforeAutospacing="0" w:after="0" w:afterAutospacing="0"/>
        <w:ind w:firstLine="1134"/>
        <w:jc w:val="both"/>
      </w:pPr>
      <w:r>
        <w:t xml:space="preserve">- </w:t>
      </w:r>
      <w:r w:rsidR="001B3165">
        <w:t>Promove</w:t>
      </w:r>
      <w:r>
        <w:t>r o desenvolvimento sustentado.</w:t>
      </w:r>
    </w:p>
    <w:p w:rsidR="00D33706" w:rsidRDefault="00D33706" w:rsidP="00D33706">
      <w:pPr>
        <w:pStyle w:val="NormalWeb"/>
        <w:suppressAutoHyphens/>
        <w:spacing w:before="0" w:beforeAutospacing="0" w:after="0" w:afterAutospacing="0"/>
        <w:ind w:firstLine="1134"/>
        <w:jc w:val="both"/>
      </w:pPr>
    </w:p>
    <w:p w:rsidR="001B3165" w:rsidRPr="00D33706" w:rsidRDefault="001B3165" w:rsidP="00D33706">
      <w:pPr>
        <w:autoSpaceDE w:val="0"/>
        <w:autoSpaceDN w:val="0"/>
        <w:adjustRightInd w:val="0"/>
        <w:ind w:firstLine="1134"/>
        <w:jc w:val="both"/>
      </w:pPr>
      <w:r w:rsidRPr="00D33706">
        <w:t>Os programas, projetos e ações implementados e gerenciados, mantém em seu escopo alguns desafios fundamentais</w:t>
      </w:r>
      <w:r w:rsidR="00D33706" w:rsidRPr="00D33706">
        <w:t>,</w:t>
      </w:r>
      <w:r w:rsidRPr="00D33706">
        <w:t xml:space="preserve"> em consonância com a Convenção da ONU, objetivando eficácia de medidas específicas a favor da inclusão, garantindo o exercício de cada um dos direito</w:t>
      </w:r>
      <w:r w:rsidR="00D33706">
        <w:t>s reconhecidos nesta Convenção.</w:t>
      </w:r>
    </w:p>
    <w:p w:rsidR="001B3165" w:rsidRDefault="001B3165" w:rsidP="00D33706">
      <w:pPr>
        <w:autoSpaceDE w:val="0"/>
        <w:autoSpaceDN w:val="0"/>
        <w:adjustRightInd w:val="0"/>
        <w:ind w:firstLine="708"/>
        <w:jc w:val="both"/>
      </w:pPr>
    </w:p>
    <w:p w:rsidR="003E6588" w:rsidRPr="003E6588" w:rsidRDefault="003E6588" w:rsidP="003E6588"/>
    <w:p w:rsidR="003E6588" w:rsidRDefault="003E6588">
      <w:pPr>
        <w:rPr>
          <w:b/>
          <w:bCs/>
        </w:rPr>
      </w:pPr>
      <w:r>
        <w:rPr>
          <w:color w:val="000000"/>
        </w:rPr>
        <w:br w:type="page"/>
      </w:r>
      <w:r>
        <w:rPr>
          <w:b/>
          <w:bCs/>
        </w:rPr>
        <w:lastRenderedPageBreak/>
        <w:t>SECRETARIA DA EDUCAÇÃO</w:t>
      </w:r>
    </w:p>
    <w:p w:rsidR="003E6588" w:rsidRDefault="003E6588"/>
    <w:p w:rsidR="003E6588" w:rsidRDefault="003E6588"/>
    <w:p w:rsidR="003E6588" w:rsidRDefault="003E6588">
      <w:pPr>
        <w:ind w:firstLine="1134"/>
        <w:jc w:val="both"/>
      </w:pPr>
      <w:r>
        <w:rPr>
          <w:b/>
        </w:rPr>
        <w:t xml:space="preserve">Introdução </w:t>
      </w:r>
      <w:r>
        <w:t>- O relatório a seguir sintetiza as principais atividades realizadas pela Secretaria da Educação. Sua estrutura reflete o programa “Educação: Compromisso de São Paulo”, cuja elaboração envolveu segmentos da sociedade civil organizada e resultou na definição de um conjunto de ações e iniciativas que permitam ao sistema educacional paulista ser, até 2030, um dos 25 melhores do mundo. Os segmentos em que se divide o material refletem os cinco grandes pilares que agrupam objetivos e metas de curto, médio e longo prazo e que são assim intitulados:</w:t>
      </w:r>
    </w:p>
    <w:p w:rsidR="003E6588" w:rsidRDefault="003E6588">
      <w:pPr>
        <w:tabs>
          <w:tab w:val="left" w:pos="709"/>
        </w:tabs>
        <w:ind w:firstLine="1134"/>
        <w:jc w:val="both"/>
        <w:rPr>
          <w:color w:val="000000"/>
        </w:rPr>
      </w:pPr>
    </w:p>
    <w:p w:rsidR="003E6588" w:rsidRDefault="003E6588">
      <w:pPr>
        <w:pStyle w:val="PargrafodaLista"/>
        <w:tabs>
          <w:tab w:val="left" w:pos="0"/>
        </w:tabs>
        <w:ind w:left="0" w:firstLine="1134"/>
        <w:contextualSpacing w:val="0"/>
        <w:rPr>
          <w:rFonts w:ascii="Times New Roman" w:hAnsi="Times New Roman"/>
          <w:color w:val="000000"/>
          <w:sz w:val="24"/>
          <w:szCs w:val="24"/>
        </w:rPr>
      </w:pPr>
      <w:r>
        <w:rPr>
          <w:rFonts w:ascii="Times New Roman" w:hAnsi="Times New Roman"/>
          <w:color w:val="000000"/>
          <w:sz w:val="24"/>
          <w:szCs w:val="24"/>
        </w:rPr>
        <w:t>- Valorizar e investir no desenvolvimento do capital humano da Secretaria;</w:t>
      </w:r>
    </w:p>
    <w:p w:rsidR="003E6588" w:rsidRDefault="003E6588">
      <w:pPr>
        <w:pStyle w:val="PargrafodaLista"/>
        <w:tabs>
          <w:tab w:val="left" w:pos="0"/>
        </w:tabs>
        <w:ind w:left="0" w:firstLine="1134"/>
        <w:contextualSpacing w:val="0"/>
        <w:rPr>
          <w:rFonts w:ascii="Times New Roman" w:hAnsi="Times New Roman"/>
          <w:color w:val="000000"/>
          <w:sz w:val="24"/>
          <w:szCs w:val="24"/>
        </w:rPr>
      </w:pPr>
    </w:p>
    <w:p w:rsidR="003E6588" w:rsidRDefault="003E6588">
      <w:pPr>
        <w:pStyle w:val="PargrafodaLista"/>
        <w:tabs>
          <w:tab w:val="left" w:pos="0"/>
        </w:tabs>
        <w:ind w:left="0" w:firstLine="1134"/>
        <w:contextualSpacing w:val="0"/>
        <w:rPr>
          <w:rFonts w:ascii="Times New Roman" w:hAnsi="Times New Roman"/>
          <w:color w:val="000000"/>
          <w:sz w:val="24"/>
          <w:szCs w:val="24"/>
        </w:rPr>
      </w:pPr>
      <w:r>
        <w:rPr>
          <w:rFonts w:ascii="Times New Roman" w:hAnsi="Times New Roman"/>
          <w:color w:val="000000"/>
          <w:sz w:val="24"/>
          <w:szCs w:val="24"/>
        </w:rPr>
        <w:t>- Aprimorar as ações e a gestão pedagógica da Rede com foco nos resultados dos alunos;</w:t>
      </w:r>
    </w:p>
    <w:p w:rsidR="003E6588" w:rsidRDefault="003E6588">
      <w:pPr>
        <w:pStyle w:val="PargrafodaLista"/>
        <w:tabs>
          <w:tab w:val="left" w:pos="0"/>
        </w:tabs>
        <w:ind w:left="0" w:firstLine="1134"/>
        <w:contextualSpacing w:val="0"/>
        <w:rPr>
          <w:rFonts w:ascii="Times New Roman" w:hAnsi="Times New Roman"/>
          <w:color w:val="000000"/>
          <w:sz w:val="24"/>
          <w:szCs w:val="24"/>
        </w:rPr>
      </w:pPr>
    </w:p>
    <w:p w:rsidR="003E6588" w:rsidRDefault="003E6588">
      <w:pPr>
        <w:pStyle w:val="PargrafodaLista"/>
        <w:tabs>
          <w:tab w:val="left" w:pos="0"/>
        </w:tabs>
        <w:ind w:left="0" w:firstLine="1134"/>
        <w:contextualSpacing w:val="0"/>
        <w:rPr>
          <w:rFonts w:ascii="Times New Roman" w:hAnsi="Times New Roman"/>
          <w:color w:val="000000"/>
          <w:sz w:val="24"/>
          <w:szCs w:val="24"/>
        </w:rPr>
      </w:pPr>
      <w:r>
        <w:rPr>
          <w:rFonts w:ascii="Times New Roman" w:hAnsi="Times New Roman"/>
          <w:color w:val="000000"/>
          <w:sz w:val="24"/>
          <w:szCs w:val="24"/>
        </w:rPr>
        <w:t>- Lançar as bases de um novo modelo de escola e um novo regime de carreira do magistério;</w:t>
      </w:r>
    </w:p>
    <w:p w:rsidR="003E6588" w:rsidRDefault="003E6588">
      <w:pPr>
        <w:pStyle w:val="PargrafodaLista"/>
        <w:tabs>
          <w:tab w:val="left" w:pos="0"/>
        </w:tabs>
        <w:ind w:left="0" w:firstLine="1134"/>
        <w:contextualSpacing w:val="0"/>
        <w:rPr>
          <w:rFonts w:ascii="Times New Roman" w:hAnsi="Times New Roman"/>
          <w:color w:val="000000"/>
          <w:sz w:val="24"/>
          <w:szCs w:val="24"/>
        </w:rPr>
      </w:pPr>
    </w:p>
    <w:p w:rsidR="003E6588" w:rsidRDefault="003E6588">
      <w:pPr>
        <w:pStyle w:val="PargrafodaLista"/>
        <w:tabs>
          <w:tab w:val="left" w:pos="0"/>
        </w:tabs>
        <w:ind w:left="0" w:firstLine="1134"/>
        <w:contextualSpacing w:val="0"/>
        <w:rPr>
          <w:rFonts w:ascii="Times New Roman" w:hAnsi="Times New Roman"/>
          <w:color w:val="000000"/>
          <w:sz w:val="24"/>
          <w:szCs w:val="24"/>
        </w:rPr>
      </w:pPr>
      <w:r>
        <w:rPr>
          <w:rFonts w:ascii="Times New Roman" w:hAnsi="Times New Roman"/>
          <w:color w:val="000000"/>
          <w:sz w:val="24"/>
          <w:szCs w:val="24"/>
        </w:rPr>
        <w:t>- Viabilizar mecanismos organizacionais e financeiros para operacionalizar o programa; e</w:t>
      </w:r>
    </w:p>
    <w:p w:rsidR="003E6588" w:rsidRDefault="003E6588">
      <w:pPr>
        <w:pStyle w:val="PargrafodaLista"/>
        <w:tabs>
          <w:tab w:val="left" w:pos="0"/>
        </w:tabs>
        <w:ind w:left="0" w:firstLine="1134"/>
        <w:contextualSpacing w:val="0"/>
        <w:rPr>
          <w:rFonts w:ascii="Times New Roman" w:hAnsi="Times New Roman"/>
          <w:color w:val="000000"/>
          <w:sz w:val="24"/>
          <w:szCs w:val="24"/>
        </w:rPr>
      </w:pPr>
    </w:p>
    <w:p w:rsidR="003E6588" w:rsidRDefault="003E6588">
      <w:pPr>
        <w:pStyle w:val="PargrafodaLista"/>
        <w:tabs>
          <w:tab w:val="left" w:pos="0"/>
        </w:tabs>
        <w:ind w:left="0" w:firstLine="1134"/>
        <w:contextualSpacing w:val="0"/>
        <w:rPr>
          <w:rFonts w:ascii="Times New Roman" w:hAnsi="Times New Roman"/>
          <w:color w:val="000000"/>
          <w:sz w:val="24"/>
          <w:szCs w:val="24"/>
        </w:rPr>
      </w:pPr>
      <w:r>
        <w:rPr>
          <w:rFonts w:ascii="Times New Roman" w:hAnsi="Times New Roman"/>
          <w:color w:val="000000"/>
          <w:sz w:val="24"/>
          <w:szCs w:val="24"/>
        </w:rPr>
        <w:t>- Mobilizar, engajar e responsabilizar a Rede, os alunos e a sociedade em torno do processo de ensino-aprendizagem.</w:t>
      </w:r>
    </w:p>
    <w:p w:rsidR="003E6588" w:rsidRDefault="003E6588">
      <w:pPr>
        <w:pStyle w:val="PargrafodaLista"/>
        <w:tabs>
          <w:tab w:val="left" w:pos="0"/>
        </w:tabs>
        <w:ind w:left="0" w:firstLine="1134"/>
        <w:contextualSpacing w:val="0"/>
        <w:rPr>
          <w:rFonts w:ascii="Times New Roman" w:hAnsi="Times New Roman"/>
          <w:color w:val="000000"/>
          <w:sz w:val="24"/>
          <w:szCs w:val="24"/>
        </w:rPr>
      </w:pPr>
    </w:p>
    <w:p w:rsidR="003E6588" w:rsidRDefault="003E6588">
      <w:pPr>
        <w:ind w:firstLine="1134"/>
        <w:jc w:val="both"/>
        <w:rPr>
          <w:bCs/>
          <w:color w:val="000000"/>
        </w:rPr>
      </w:pPr>
      <w:r>
        <w:rPr>
          <w:b/>
          <w:color w:val="000000"/>
        </w:rPr>
        <w:t xml:space="preserve">Pilar 1 - </w:t>
      </w:r>
      <w:r>
        <w:rPr>
          <w:b/>
          <w:bCs/>
          <w:color w:val="000000"/>
        </w:rPr>
        <w:t xml:space="preserve">Valorizar e investir no desenvolvimento do Capital Humano - </w:t>
      </w:r>
      <w:r>
        <w:rPr>
          <w:bCs/>
          <w:color w:val="000000"/>
        </w:rPr>
        <w:t>O conjunto de intervenções previstas pelo “Educação: Compromisso de São Paulo” tem como um de seus principais objetivos posicionar a carreira de professor entre as dez mais desejadas do Estado; para além da questão da atratividade, a valorização dos educadores tem importante impacto no processo de ensino-aprendizagem. O período foi marcado pelo aprofundamento das ações na área de gestão de pessoas, aqui sintetizadas nos cinco eixos do Pilar 1: Política Salarial e de Carreira; Adequação de Quadros; Condições de Trabalho; Administração de Pessoal; e Desenvolvimento e Formação Continuada.</w:t>
      </w:r>
    </w:p>
    <w:p w:rsidR="003E6588" w:rsidRDefault="003E6588">
      <w:pPr>
        <w:ind w:firstLine="1134"/>
        <w:jc w:val="both"/>
        <w:rPr>
          <w:bCs/>
          <w:color w:val="000000"/>
        </w:rPr>
      </w:pPr>
    </w:p>
    <w:p w:rsidR="003E6588" w:rsidRDefault="003E6588">
      <w:pPr>
        <w:ind w:firstLine="1134"/>
        <w:jc w:val="both"/>
        <w:rPr>
          <w:color w:val="000000"/>
        </w:rPr>
      </w:pPr>
      <w:r>
        <w:rPr>
          <w:b/>
          <w:bCs/>
          <w:color w:val="000000"/>
        </w:rPr>
        <w:t xml:space="preserve">Política Salarial e de Carreira - </w:t>
      </w:r>
      <w:r>
        <w:rPr>
          <w:bCs/>
          <w:color w:val="000000"/>
        </w:rPr>
        <w:t>A Secretaria continuou implantando política de aumento salarial progressivo, com reclassificação dos vencimentos dos integrantes do Quadro do Magistério e do Quadro de Apoio Escolar; o acréscimo de 7%, completou o ciclo de aumento salarial escalonado, chegando a 45,1% acima dos 42,25% originalmente previstos.</w:t>
      </w:r>
    </w:p>
    <w:p w:rsidR="003E6588" w:rsidRDefault="003E6588">
      <w:pPr>
        <w:ind w:firstLine="1134"/>
        <w:jc w:val="both"/>
        <w:rPr>
          <w:bCs/>
          <w:color w:val="000000"/>
        </w:rPr>
      </w:pPr>
    </w:p>
    <w:p w:rsidR="003E6588" w:rsidRDefault="003E6588">
      <w:pPr>
        <w:ind w:firstLine="1134"/>
        <w:jc w:val="both"/>
        <w:rPr>
          <w:bCs/>
          <w:color w:val="000000"/>
        </w:rPr>
      </w:pPr>
      <w:r>
        <w:rPr>
          <w:bCs/>
          <w:color w:val="000000"/>
        </w:rPr>
        <w:t xml:space="preserve">Já no que diz respeito ao desenho da carreira do Magistério, a Comissão Paritária foi importante foro de debate e de proposições. </w:t>
      </w:r>
      <w:r>
        <w:rPr>
          <w:color w:val="000000"/>
        </w:rPr>
        <w:t xml:space="preserve">A publicação de dois importantes textos legais embasou avanços: o </w:t>
      </w:r>
      <w:r>
        <w:rPr>
          <w:bCs/>
          <w:color w:val="000000"/>
        </w:rPr>
        <w:t>Decreto nº 60.285</w:t>
      </w:r>
      <w:r w:rsidR="00FD5D16">
        <w:rPr>
          <w:bCs/>
          <w:color w:val="000000"/>
        </w:rPr>
        <w:t>/2014</w:t>
      </w:r>
      <w:r>
        <w:rPr>
          <w:bCs/>
          <w:color w:val="000000"/>
        </w:rPr>
        <w:t>, que tratou da Evolução Funcional Acadêmica; e o Decreto nº 60.650</w:t>
      </w:r>
      <w:r w:rsidR="00FD5D16">
        <w:rPr>
          <w:bCs/>
          <w:color w:val="000000"/>
        </w:rPr>
        <w:t>/2014</w:t>
      </w:r>
      <w:r>
        <w:rPr>
          <w:bCs/>
          <w:color w:val="000000"/>
        </w:rPr>
        <w:t>, que alterou o sistema de promoção do QM (Prova ou Memorial).</w:t>
      </w:r>
    </w:p>
    <w:p w:rsidR="003E6588" w:rsidRDefault="003E6588">
      <w:pPr>
        <w:ind w:firstLine="1134"/>
        <w:jc w:val="both"/>
        <w:rPr>
          <w:bCs/>
          <w:color w:val="000000"/>
        </w:rPr>
      </w:pPr>
    </w:p>
    <w:p w:rsidR="003E6588" w:rsidRDefault="003E6588">
      <w:pPr>
        <w:ind w:firstLine="1134"/>
        <w:jc w:val="both"/>
        <w:rPr>
          <w:bCs/>
          <w:color w:val="000000"/>
        </w:rPr>
      </w:pPr>
      <w:r>
        <w:rPr>
          <w:b/>
          <w:bCs/>
          <w:color w:val="000000"/>
        </w:rPr>
        <w:t xml:space="preserve">Adequação dos Quadros - </w:t>
      </w:r>
      <w:r>
        <w:rPr>
          <w:bCs/>
          <w:color w:val="000000"/>
        </w:rPr>
        <w:t>As ações relativas à adequação de quadros englobam tanto a área pedagógica (Quadro do Magistério), quanto à de gestão e apoio à escola (QSE - Quadro de Servidores da Educação e QAE - Quadro de Apoio Escolar).</w:t>
      </w:r>
    </w:p>
    <w:p w:rsidR="003E6588" w:rsidRDefault="003E6588">
      <w:pPr>
        <w:ind w:firstLine="1134"/>
        <w:jc w:val="both"/>
        <w:rPr>
          <w:bCs/>
          <w:color w:val="000000"/>
        </w:rPr>
      </w:pPr>
      <w:r>
        <w:rPr>
          <w:bCs/>
          <w:color w:val="000000"/>
        </w:rPr>
        <w:lastRenderedPageBreak/>
        <w:t>Na área pedagógica, os esforços têm sido o de garantir a presença do professor em sala de aula e incluíramas seguintes medidas:</w:t>
      </w:r>
    </w:p>
    <w:p w:rsidR="003E6588" w:rsidRDefault="003E6588">
      <w:pPr>
        <w:ind w:firstLine="1134"/>
        <w:jc w:val="both"/>
        <w:rPr>
          <w:bCs/>
          <w:color w:val="000000"/>
        </w:rPr>
      </w:pPr>
    </w:p>
    <w:p w:rsidR="003E6588" w:rsidRDefault="00FD5D16" w:rsidP="00FD5D16">
      <w:pPr>
        <w:ind w:firstLine="1134"/>
        <w:jc w:val="both"/>
      </w:pPr>
      <w:r>
        <w:rPr>
          <w:b/>
          <w:bCs/>
        </w:rPr>
        <w:t xml:space="preserve">- </w:t>
      </w:r>
      <w:r w:rsidR="003E6588">
        <w:rPr>
          <w:b/>
          <w:bCs/>
        </w:rPr>
        <w:t xml:space="preserve">Concurso PEB II - </w:t>
      </w:r>
      <w:r w:rsidR="003E6588">
        <w:rPr>
          <w:bCs/>
        </w:rPr>
        <w:t>Com previsão original de 59 mil vagas, e</w:t>
      </w:r>
      <w:r w:rsidR="003E6588">
        <w:t>ntraram em efetivo exercício 28.933 professores.</w:t>
      </w:r>
    </w:p>
    <w:p w:rsidR="003E6588" w:rsidRDefault="003E6588" w:rsidP="00FD5D16">
      <w:pPr>
        <w:ind w:firstLine="1134"/>
        <w:jc w:val="both"/>
      </w:pPr>
    </w:p>
    <w:p w:rsidR="003E6588" w:rsidRDefault="00FD5D16" w:rsidP="00FD5D16">
      <w:pPr>
        <w:ind w:firstLine="1134"/>
        <w:jc w:val="both"/>
      </w:pPr>
      <w:r>
        <w:rPr>
          <w:b/>
          <w:bCs/>
        </w:rPr>
        <w:t xml:space="preserve">- </w:t>
      </w:r>
      <w:r w:rsidR="003E6588">
        <w:rPr>
          <w:b/>
          <w:bCs/>
        </w:rPr>
        <w:t xml:space="preserve">Concurso PEB I - </w:t>
      </w:r>
      <w:r w:rsidR="003E6588">
        <w:t>De 77.759 mil inscritos, 62.224 realizaram a prova; há 5.734 vagas e a previsão de ingresso é para o primeiro semestre de 2015.</w:t>
      </w:r>
    </w:p>
    <w:p w:rsidR="003E6588" w:rsidRDefault="003E6588" w:rsidP="00FD5D16">
      <w:pPr>
        <w:ind w:firstLine="1134"/>
        <w:jc w:val="both"/>
      </w:pPr>
    </w:p>
    <w:p w:rsidR="003E6588" w:rsidRDefault="00FD5D16" w:rsidP="00FD5D16">
      <w:pPr>
        <w:ind w:firstLine="1134"/>
        <w:jc w:val="both"/>
      </w:pPr>
      <w:r>
        <w:rPr>
          <w:b/>
          <w:bCs/>
        </w:rPr>
        <w:t xml:space="preserve">- </w:t>
      </w:r>
      <w:r w:rsidR="003E6588">
        <w:rPr>
          <w:b/>
          <w:bCs/>
        </w:rPr>
        <w:t xml:space="preserve">Concurso Supervisor - </w:t>
      </w:r>
      <w:r w:rsidR="003E6588">
        <w:rPr>
          <w:bCs/>
        </w:rPr>
        <w:t>A</w:t>
      </w:r>
      <w:r w:rsidR="003E6588">
        <w:t>utorização para 146 vagas, com previsão de realização do concurso para o 1º semestre de 2015.</w:t>
      </w:r>
    </w:p>
    <w:p w:rsidR="003E6588" w:rsidRDefault="003E6588">
      <w:pPr>
        <w:pStyle w:val="Textodecomentrio"/>
        <w:spacing w:after="0"/>
        <w:ind w:firstLine="1134"/>
        <w:jc w:val="both"/>
        <w:rPr>
          <w:rFonts w:ascii="Times New Roman" w:hAnsi="Times New Roman"/>
          <w:bCs/>
          <w:color w:val="000000"/>
          <w:sz w:val="24"/>
          <w:szCs w:val="24"/>
        </w:rPr>
      </w:pPr>
    </w:p>
    <w:p w:rsidR="003E6588" w:rsidRDefault="003E6588">
      <w:pPr>
        <w:pStyle w:val="Textodecomentrio"/>
        <w:spacing w:after="0"/>
        <w:ind w:firstLine="1134"/>
        <w:jc w:val="both"/>
        <w:rPr>
          <w:rFonts w:ascii="Times New Roman" w:hAnsi="Times New Roman"/>
          <w:bCs/>
          <w:color w:val="000000"/>
          <w:sz w:val="24"/>
          <w:szCs w:val="24"/>
        </w:rPr>
      </w:pPr>
      <w:r>
        <w:rPr>
          <w:rFonts w:ascii="Times New Roman" w:hAnsi="Times New Roman"/>
          <w:bCs/>
          <w:color w:val="000000"/>
          <w:sz w:val="24"/>
          <w:szCs w:val="24"/>
        </w:rPr>
        <w:t>As ações relativas ao quadro administrativo tiveram como objetivo aprofundar o fortalecimento das Diretorias de Ensino, premissa importante para a consolidação da reestruturação organizacional da SE. Realizaram-se concursos com ingressos nos seguintes cargos e quantidades:</w:t>
      </w:r>
    </w:p>
    <w:p w:rsidR="003E6588" w:rsidRDefault="003E6588">
      <w:pPr>
        <w:pStyle w:val="Textodecomentrio"/>
        <w:spacing w:after="0"/>
        <w:ind w:firstLine="1134"/>
        <w:jc w:val="both"/>
        <w:rPr>
          <w:rFonts w:ascii="Times New Roman" w:hAnsi="Times New Roman"/>
          <w:bCs/>
          <w:color w:val="000000"/>
          <w:sz w:val="24"/>
          <w:szCs w:val="24"/>
        </w:rPr>
      </w:pPr>
    </w:p>
    <w:p w:rsidR="003E6588" w:rsidRDefault="003E6588">
      <w:pPr>
        <w:pStyle w:val="PargrafodaLista"/>
        <w:autoSpaceDE w:val="0"/>
        <w:autoSpaceDN w:val="0"/>
        <w:adjustRightInd w:val="0"/>
        <w:ind w:left="0" w:firstLine="1134"/>
        <w:rPr>
          <w:rFonts w:ascii="Times New Roman" w:hAnsi="Times New Roman"/>
          <w:color w:val="000000"/>
          <w:sz w:val="24"/>
          <w:szCs w:val="24"/>
        </w:rPr>
      </w:pPr>
      <w:r>
        <w:rPr>
          <w:rFonts w:ascii="Times New Roman" w:hAnsi="Times New Roman"/>
          <w:b/>
          <w:color w:val="000000"/>
          <w:sz w:val="24"/>
          <w:szCs w:val="24"/>
        </w:rPr>
        <w:t>- Analista Administrativo -</w:t>
      </w:r>
      <w:r>
        <w:rPr>
          <w:rFonts w:ascii="Times New Roman" w:hAnsi="Times New Roman"/>
          <w:color w:val="000000"/>
          <w:sz w:val="24"/>
          <w:szCs w:val="24"/>
        </w:rPr>
        <w:t xml:space="preserve"> 682 servidores atuando nas diversas áreas da Secretaria da Educação, planejando, organizando, controlando e executando os serviços de natureza administrativa-operacional.</w:t>
      </w:r>
    </w:p>
    <w:p w:rsidR="003E6588" w:rsidRDefault="003E6588">
      <w:pPr>
        <w:pStyle w:val="PargrafodaLista"/>
        <w:autoSpaceDE w:val="0"/>
        <w:autoSpaceDN w:val="0"/>
        <w:adjustRightInd w:val="0"/>
        <w:ind w:left="0" w:firstLine="1134"/>
        <w:rPr>
          <w:rFonts w:ascii="Times New Roman" w:hAnsi="Times New Roman"/>
          <w:color w:val="000000"/>
          <w:sz w:val="24"/>
          <w:szCs w:val="24"/>
        </w:rPr>
      </w:pPr>
    </w:p>
    <w:p w:rsidR="003E6588" w:rsidRDefault="003E6588">
      <w:pPr>
        <w:pStyle w:val="PargrafodaLista"/>
        <w:shd w:val="clear" w:color="auto" w:fill="FFFFFF"/>
        <w:ind w:left="0" w:firstLine="1134"/>
        <w:textAlignment w:val="baseline"/>
        <w:rPr>
          <w:rFonts w:ascii="Times New Roman" w:hAnsi="Times New Roman"/>
          <w:color w:val="000000"/>
          <w:sz w:val="24"/>
          <w:szCs w:val="24"/>
        </w:rPr>
      </w:pPr>
      <w:r>
        <w:rPr>
          <w:rFonts w:ascii="Times New Roman" w:hAnsi="Times New Roman"/>
          <w:b/>
          <w:color w:val="000000"/>
          <w:sz w:val="24"/>
          <w:szCs w:val="24"/>
        </w:rPr>
        <w:t xml:space="preserve">- Realização de concursos para Analista Sociocultural - </w:t>
      </w:r>
      <w:r>
        <w:rPr>
          <w:rFonts w:ascii="Times New Roman" w:hAnsi="Times New Roman"/>
          <w:color w:val="000000"/>
          <w:sz w:val="24"/>
          <w:szCs w:val="24"/>
        </w:rPr>
        <w:t>101 ingressantes</w:t>
      </w:r>
      <w:r>
        <w:rPr>
          <w:rFonts w:ascii="Times New Roman" w:hAnsi="Times New Roman"/>
          <w:b/>
          <w:color w:val="000000"/>
          <w:sz w:val="24"/>
          <w:szCs w:val="24"/>
        </w:rPr>
        <w:t xml:space="preserve">, </w:t>
      </w:r>
      <w:r>
        <w:rPr>
          <w:rFonts w:ascii="Times New Roman" w:hAnsi="Times New Roman"/>
          <w:color w:val="000000"/>
          <w:sz w:val="24"/>
          <w:szCs w:val="24"/>
        </w:rPr>
        <w:t>com atuação</w:t>
      </w:r>
      <w:r>
        <w:rPr>
          <w:rFonts w:ascii="Times New Roman" w:hAnsi="Times New Roman"/>
          <w:b/>
          <w:color w:val="000000"/>
          <w:sz w:val="24"/>
          <w:szCs w:val="24"/>
        </w:rPr>
        <w:t xml:space="preserve"> </w:t>
      </w:r>
      <w:r>
        <w:rPr>
          <w:rFonts w:ascii="Times New Roman" w:hAnsi="Times New Roman"/>
          <w:color w:val="000000"/>
          <w:sz w:val="24"/>
          <w:szCs w:val="24"/>
        </w:rPr>
        <w:t>na área de biblioteconomia, nas escolas da Rede estadual e no Centro de Referência em Educação “Mario Covas”. São responsáveis pela organização de espaços e acervos do programa “Sala de Leitura” e de centros de documentação, tendo importante papel na mediação cultural e na promoção da prática de leitura.</w:t>
      </w:r>
    </w:p>
    <w:p w:rsidR="003E6588" w:rsidRDefault="003E6588">
      <w:pPr>
        <w:pStyle w:val="PargrafodaLista"/>
        <w:shd w:val="clear" w:color="auto" w:fill="FFFFFF"/>
        <w:ind w:left="0" w:firstLine="1134"/>
        <w:textAlignment w:val="baseline"/>
        <w:rPr>
          <w:rFonts w:ascii="Times New Roman" w:hAnsi="Times New Roman"/>
          <w:color w:val="000000"/>
          <w:sz w:val="24"/>
          <w:szCs w:val="24"/>
        </w:rPr>
      </w:pPr>
    </w:p>
    <w:p w:rsidR="003E6588" w:rsidRDefault="003E6588">
      <w:pPr>
        <w:pStyle w:val="PargrafodaLista"/>
        <w:shd w:val="clear" w:color="auto" w:fill="FFFFFF"/>
        <w:ind w:left="0" w:firstLine="1134"/>
        <w:textAlignment w:val="baseline"/>
        <w:rPr>
          <w:rFonts w:ascii="Times New Roman" w:hAnsi="Times New Roman"/>
          <w:b/>
          <w:color w:val="000000"/>
          <w:sz w:val="24"/>
          <w:szCs w:val="24"/>
        </w:rPr>
      </w:pPr>
      <w:r>
        <w:rPr>
          <w:rFonts w:ascii="Times New Roman" w:hAnsi="Times New Roman"/>
          <w:b/>
          <w:color w:val="000000"/>
          <w:sz w:val="24"/>
          <w:szCs w:val="24"/>
        </w:rPr>
        <w:t>- Autorização de concurso para o cargo de Analista de Tecnologia</w:t>
      </w:r>
      <w:r>
        <w:rPr>
          <w:rFonts w:ascii="Times New Roman" w:hAnsi="Times New Roman"/>
          <w:color w:val="000000"/>
          <w:sz w:val="24"/>
          <w:szCs w:val="24"/>
        </w:rPr>
        <w:t xml:space="preserve"> (TI e Obras) - 249 ingressantes com dois diferentes perfis de profissionais, atuando em áreas da Diretoria de Ensino; um primeiro formado por engenheiros e arquitetos trabalhando no Núcleo de Obras e Manutenção - NOM, com o papel de acompanhar a execução de obras de construção, reforma e manutenção de escolas. O segundo é composto por profissionais com foco de atuação na área de informática, responsáveis pelo gerenciamento de recursos de tecnologia de informação e comunicação, no núcleo dedicado a essa temática, o NIT.</w:t>
      </w:r>
    </w:p>
    <w:p w:rsidR="003E6588" w:rsidRDefault="003E6588">
      <w:pPr>
        <w:pStyle w:val="PargrafodaLista"/>
        <w:shd w:val="clear" w:color="auto" w:fill="FFFFFF"/>
        <w:ind w:left="0"/>
        <w:textAlignment w:val="baseline"/>
        <w:rPr>
          <w:rFonts w:ascii="Times New Roman" w:hAnsi="Times New Roman"/>
          <w:b/>
          <w:color w:val="000000"/>
          <w:sz w:val="24"/>
          <w:szCs w:val="24"/>
        </w:rPr>
      </w:pPr>
    </w:p>
    <w:p w:rsidR="003E6588" w:rsidRDefault="003E6588">
      <w:pPr>
        <w:pStyle w:val="PargrafodaLista"/>
        <w:shd w:val="clear" w:color="auto" w:fill="FFFFFF"/>
        <w:ind w:left="0" w:firstLine="1134"/>
        <w:textAlignment w:val="baseline"/>
        <w:rPr>
          <w:rFonts w:ascii="Times New Roman" w:hAnsi="Times New Roman"/>
          <w:bCs/>
          <w:color w:val="000000"/>
          <w:sz w:val="24"/>
          <w:szCs w:val="24"/>
        </w:rPr>
      </w:pPr>
      <w:r>
        <w:rPr>
          <w:rFonts w:ascii="Times New Roman" w:hAnsi="Times New Roman"/>
          <w:b/>
          <w:color w:val="000000"/>
          <w:sz w:val="24"/>
          <w:szCs w:val="24"/>
        </w:rPr>
        <w:t>- Autorização de novos cargos Oficial Administrativo e Executivo Público</w:t>
      </w:r>
      <w:r>
        <w:rPr>
          <w:rFonts w:ascii="Times New Roman" w:hAnsi="Times New Roman"/>
          <w:color w:val="000000"/>
          <w:sz w:val="24"/>
          <w:szCs w:val="24"/>
        </w:rPr>
        <w:t>, ingresso de, 586 servidores.</w:t>
      </w:r>
    </w:p>
    <w:p w:rsidR="003E6588" w:rsidRDefault="003E6588">
      <w:pPr>
        <w:pStyle w:val="PargrafodaLista"/>
        <w:shd w:val="clear" w:color="auto" w:fill="FFFFFF"/>
        <w:ind w:left="714" w:firstLine="1134"/>
        <w:textAlignment w:val="baseline"/>
        <w:rPr>
          <w:rFonts w:ascii="Times New Roman" w:hAnsi="Times New Roman"/>
          <w:b/>
          <w:bCs/>
          <w:color w:val="000000"/>
          <w:sz w:val="24"/>
          <w:szCs w:val="24"/>
        </w:rPr>
      </w:pPr>
    </w:p>
    <w:p w:rsidR="003E6588" w:rsidRDefault="003E6588">
      <w:pPr>
        <w:ind w:firstLine="1134"/>
        <w:jc w:val="both"/>
        <w:rPr>
          <w:bCs/>
          <w:color w:val="000000"/>
        </w:rPr>
      </w:pPr>
      <w:r>
        <w:rPr>
          <w:b/>
          <w:bCs/>
          <w:color w:val="000000"/>
        </w:rPr>
        <w:t xml:space="preserve">Condições de Trabalho - </w:t>
      </w:r>
      <w:r>
        <w:rPr>
          <w:bCs/>
          <w:color w:val="000000"/>
        </w:rPr>
        <w:t xml:space="preserve">A busca constante por um ambiente humanizado é uma das várias preocupações da Qualidade de Vida no Trabalho e ação específica da Secretaria da Educação nesse campo teve impacto positivo na sala de aula; trata-se do “Projeto Perícias Médicas” que permitiu à Secretaria atender de forma direta seus servidores nos serviços de perícias para licença saúde, juntas médicas e reavaliações de readaptação. Os atendimentos acontecem em 48 unidades periciais, nas quais </w:t>
      </w:r>
      <w:r>
        <w:rPr>
          <w:bCs/>
          <w:color w:val="000000"/>
        </w:rPr>
        <w:lastRenderedPageBreak/>
        <w:t>atuam 3.612 médicos credenciados. Os 7.544 atendimentos mensais permitiram a redução nas licenças por motivo de saúde e ajudaram a garantir maior presença do professor na sala de aula.</w:t>
      </w:r>
    </w:p>
    <w:p w:rsidR="003E6588" w:rsidRDefault="003E6588">
      <w:pPr>
        <w:ind w:firstLine="1134"/>
        <w:jc w:val="both"/>
        <w:rPr>
          <w:bCs/>
          <w:color w:val="000000"/>
        </w:rPr>
      </w:pPr>
    </w:p>
    <w:p w:rsidR="003E6588" w:rsidRDefault="003E6588">
      <w:pPr>
        <w:ind w:firstLine="1134"/>
        <w:jc w:val="both"/>
        <w:rPr>
          <w:bCs/>
          <w:color w:val="000000"/>
        </w:rPr>
      </w:pPr>
      <w:r>
        <w:rPr>
          <w:b/>
          <w:bCs/>
          <w:color w:val="000000"/>
        </w:rPr>
        <w:t xml:space="preserve">Administração de Pessoal - </w:t>
      </w:r>
      <w:r>
        <w:rPr>
          <w:bCs/>
          <w:color w:val="000000"/>
        </w:rPr>
        <w:t xml:space="preserve">A valorização do servidor deve acontecer não apenas ao longo de sua vida laboral, mas também no momento de sua aposentadoria; tendo isso em vista, a Secretaria da Educação vem aprimorando o Sistema de Contagem de Tempo, ferramenta informatizada que visa interligar os dados do GDAE com os do </w:t>
      </w:r>
      <w:r>
        <w:rPr>
          <w:bCs/>
          <w:caps/>
          <w:color w:val="000000"/>
        </w:rPr>
        <w:t>Sigeprev</w:t>
      </w:r>
      <w:r>
        <w:rPr>
          <w:bCs/>
          <w:color w:val="000000"/>
        </w:rPr>
        <w:t>, agilizando o processo de contagem de tempo e diminuindo a espera após o pedido de aposentadoria. A alimentação de dados do sistema vem acontecendo diretamente nas Diretorias de Ensino, diminuindo a possibilidade de erros; com a Certificação Digital das DEs é possível trabalhar com envio eletrônico dos documentos, o que agiliza o processo.</w:t>
      </w:r>
    </w:p>
    <w:p w:rsidR="003E6588" w:rsidRDefault="003E6588">
      <w:pPr>
        <w:ind w:left="360" w:firstLine="1134"/>
        <w:jc w:val="both"/>
        <w:rPr>
          <w:bCs/>
          <w:color w:val="000000"/>
        </w:rPr>
      </w:pPr>
    </w:p>
    <w:p w:rsidR="003E6588" w:rsidRDefault="003E6588">
      <w:pPr>
        <w:ind w:firstLine="1134"/>
        <w:jc w:val="both"/>
        <w:rPr>
          <w:color w:val="000000"/>
          <w:lang w:eastAsia="en-US"/>
        </w:rPr>
      </w:pPr>
      <w:r>
        <w:rPr>
          <w:b/>
          <w:bCs/>
          <w:color w:val="000000"/>
        </w:rPr>
        <w:t xml:space="preserve">Desenvolvimento e Formação Continuada - </w:t>
      </w:r>
      <w:r>
        <w:rPr>
          <w:bCs/>
          <w:color w:val="000000"/>
        </w:rPr>
        <w:t>Destaque-se, por fim, no contexto do Pilar 1, o reconhecimento da importância d</w:t>
      </w:r>
      <w:r>
        <w:rPr>
          <w:color w:val="000000"/>
          <w:lang w:eastAsia="en-US"/>
        </w:rPr>
        <w:t xml:space="preserve">a formação continuada de professores, técnicos e gestores da SE. </w:t>
      </w:r>
      <w:r>
        <w:rPr>
          <w:color w:val="000000"/>
        </w:rPr>
        <w:t xml:space="preserve">Essa tarefa cabe à EFAP - </w:t>
      </w:r>
      <w:r>
        <w:rPr>
          <w:iCs/>
          <w:color w:val="000000"/>
        </w:rPr>
        <w:t>Escola de Formação e Aperfeiçoamento dos Professores do Estado de São Paulo</w:t>
      </w:r>
      <w:r>
        <w:rPr>
          <w:color w:val="000000"/>
        </w:rPr>
        <w:t xml:space="preserve"> “Paulo Renato Costa Souza”</w:t>
      </w:r>
      <w:r>
        <w:rPr>
          <w:color w:val="000000"/>
          <w:lang w:eastAsia="en-US"/>
        </w:rPr>
        <w:t xml:space="preserve"> - que oferece, permanentemente, cursos, programas e orientações técnicas voltados às diferentes áreas do Currículo e, à gestão e ao aperfeiçoamento profissional.</w:t>
      </w:r>
    </w:p>
    <w:p w:rsidR="003E6588" w:rsidRDefault="003E6588">
      <w:pPr>
        <w:ind w:firstLine="1134"/>
        <w:jc w:val="both"/>
        <w:rPr>
          <w:color w:val="000000"/>
          <w:lang w:eastAsia="en-US"/>
        </w:rPr>
      </w:pPr>
    </w:p>
    <w:p w:rsidR="003E6588" w:rsidRDefault="003E6588">
      <w:pPr>
        <w:pStyle w:val="NormalWeb"/>
        <w:spacing w:before="0" w:beforeAutospacing="0" w:after="0" w:afterAutospacing="0"/>
        <w:ind w:firstLine="1134"/>
        <w:jc w:val="both"/>
        <w:rPr>
          <w:color w:val="000000"/>
          <w:lang w:eastAsia="en-US"/>
        </w:rPr>
      </w:pPr>
      <w:r>
        <w:rPr>
          <w:color w:val="000000"/>
          <w:lang w:eastAsia="en-US"/>
        </w:rPr>
        <w:t>Foram 142.287 matrículas, das quais 92.578 de servidores do Quadro do Magistério, principal foco das ações de formação. Foram ofertados 58 cursos, distribuídos nos seguintes temas:</w:t>
      </w:r>
    </w:p>
    <w:p w:rsidR="003E6588" w:rsidRDefault="003E6588">
      <w:pPr>
        <w:pStyle w:val="NormalWeb"/>
        <w:spacing w:before="0" w:beforeAutospacing="0" w:after="0" w:afterAutospacing="0"/>
        <w:ind w:firstLine="1134"/>
        <w:jc w:val="both"/>
        <w:rPr>
          <w:color w:val="000000"/>
          <w:lang w:eastAsia="en-US"/>
        </w:rPr>
      </w:pPr>
    </w:p>
    <w:tbl>
      <w:tblPr>
        <w:tblW w:w="0" w:type="auto"/>
        <w:jc w:val="center"/>
        <w:tblInd w:w="67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4382"/>
        <w:gridCol w:w="2321"/>
      </w:tblGrid>
      <w:tr w:rsidR="003E6588" w:rsidTr="00FD5D16">
        <w:trPr>
          <w:jc w:val="center"/>
        </w:trPr>
        <w:tc>
          <w:tcPr>
            <w:tcW w:w="4382" w:type="dxa"/>
            <w:shd w:val="clear" w:color="auto" w:fill="auto"/>
          </w:tcPr>
          <w:p w:rsidR="003E6588" w:rsidRDefault="003E6588">
            <w:pPr>
              <w:pStyle w:val="NormalWeb"/>
              <w:rPr>
                <w:b/>
                <w:bCs/>
                <w:color w:val="000000"/>
                <w:sz w:val="20"/>
                <w:szCs w:val="20"/>
                <w:lang w:eastAsia="en-US"/>
              </w:rPr>
            </w:pPr>
            <w:r>
              <w:rPr>
                <w:b/>
                <w:bCs/>
                <w:color w:val="000000"/>
                <w:sz w:val="20"/>
                <w:szCs w:val="20"/>
                <w:lang w:eastAsia="en-US"/>
              </w:rPr>
              <w:t>Tema</w:t>
            </w:r>
          </w:p>
        </w:tc>
        <w:tc>
          <w:tcPr>
            <w:tcW w:w="2321" w:type="dxa"/>
            <w:shd w:val="clear" w:color="auto" w:fill="auto"/>
          </w:tcPr>
          <w:p w:rsidR="003E6588" w:rsidRDefault="003E6588">
            <w:pPr>
              <w:pStyle w:val="NormalWeb"/>
              <w:rPr>
                <w:b/>
                <w:bCs/>
                <w:color w:val="000000"/>
                <w:sz w:val="20"/>
                <w:szCs w:val="20"/>
                <w:lang w:eastAsia="en-US"/>
              </w:rPr>
            </w:pPr>
            <w:r>
              <w:rPr>
                <w:b/>
                <w:bCs/>
                <w:color w:val="000000"/>
                <w:sz w:val="20"/>
                <w:szCs w:val="20"/>
                <w:lang w:eastAsia="en-US"/>
              </w:rPr>
              <w:t>Número de Cursos</w:t>
            </w:r>
          </w:p>
        </w:tc>
      </w:tr>
      <w:tr w:rsidR="003E6588" w:rsidTr="00FD5D16">
        <w:trPr>
          <w:jc w:val="center"/>
        </w:trPr>
        <w:tc>
          <w:tcPr>
            <w:tcW w:w="4382" w:type="dxa"/>
            <w:shd w:val="clear" w:color="auto" w:fill="auto"/>
          </w:tcPr>
          <w:p w:rsidR="003E6588" w:rsidRDefault="003E6588">
            <w:pPr>
              <w:pStyle w:val="NormalWeb"/>
              <w:jc w:val="both"/>
              <w:rPr>
                <w:bCs/>
                <w:color w:val="000000"/>
                <w:sz w:val="20"/>
                <w:szCs w:val="20"/>
                <w:lang w:eastAsia="en-US"/>
              </w:rPr>
            </w:pPr>
            <w:r>
              <w:rPr>
                <w:bCs/>
                <w:color w:val="000000"/>
                <w:sz w:val="20"/>
                <w:szCs w:val="20"/>
                <w:lang w:eastAsia="en-US"/>
              </w:rPr>
              <w:t>Educação e Currículo</w:t>
            </w:r>
          </w:p>
        </w:tc>
        <w:tc>
          <w:tcPr>
            <w:tcW w:w="2321" w:type="dxa"/>
            <w:shd w:val="clear" w:color="auto" w:fill="auto"/>
          </w:tcPr>
          <w:p w:rsidR="003E6588" w:rsidRDefault="003E6588">
            <w:pPr>
              <w:pStyle w:val="NormalWeb"/>
              <w:rPr>
                <w:color w:val="000000"/>
                <w:sz w:val="20"/>
                <w:szCs w:val="20"/>
                <w:lang w:eastAsia="en-US"/>
              </w:rPr>
            </w:pPr>
            <w:r>
              <w:rPr>
                <w:color w:val="000000"/>
                <w:sz w:val="20"/>
                <w:szCs w:val="20"/>
                <w:lang w:eastAsia="en-US"/>
              </w:rPr>
              <w:t>21</w:t>
            </w:r>
          </w:p>
        </w:tc>
      </w:tr>
      <w:tr w:rsidR="003E6588" w:rsidTr="00FD5D16">
        <w:trPr>
          <w:jc w:val="center"/>
        </w:trPr>
        <w:tc>
          <w:tcPr>
            <w:tcW w:w="4382" w:type="dxa"/>
            <w:shd w:val="clear" w:color="auto" w:fill="auto"/>
          </w:tcPr>
          <w:p w:rsidR="003E6588" w:rsidRDefault="003E6588">
            <w:pPr>
              <w:pStyle w:val="NormalWeb"/>
              <w:jc w:val="both"/>
              <w:rPr>
                <w:bCs/>
                <w:color w:val="000000"/>
                <w:sz w:val="20"/>
                <w:szCs w:val="20"/>
                <w:lang w:eastAsia="en-US"/>
              </w:rPr>
            </w:pPr>
            <w:r>
              <w:rPr>
                <w:bCs/>
                <w:color w:val="000000"/>
                <w:sz w:val="20"/>
                <w:szCs w:val="20"/>
                <w:lang w:eastAsia="en-US"/>
              </w:rPr>
              <w:t>Educação e Tecnologias Digitais</w:t>
            </w:r>
          </w:p>
        </w:tc>
        <w:tc>
          <w:tcPr>
            <w:tcW w:w="2321" w:type="dxa"/>
            <w:shd w:val="clear" w:color="auto" w:fill="auto"/>
          </w:tcPr>
          <w:p w:rsidR="003E6588" w:rsidRDefault="003E6588">
            <w:pPr>
              <w:pStyle w:val="NormalWeb"/>
              <w:rPr>
                <w:color w:val="000000"/>
                <w:sz w:val="20"/>
                <w:szCs w:val="20"/>
                <w:lang w:eastAsia="en-US"/>
              </w:rPr>
            </w:pPr>
            <w:r>
              <w:rPr>
                <w:color w:val="000000"/>
                <w:sz w:val="20"/>
                <w:szCs w:val="20"/>
                <w:lang w:eastAsia="en-US"/>
              </w:rPr>
              <w:t>9</w:t>
            </w:r>
          </w:p>
        </w:tc>
      </w:tr>
      <w:tr w:rsidR="003E6588" w:rsidTr="00FD5D16">
        <w:trPr>
          <w:jc w:val="center"/>
        </w:trPr>
        <w:tc>
          <w:tcPr>
            <w:tcW w:w="4382" w:type="dxa"/>
            <w:shd w:val="clear" w:color="auto" w:fill="auto"/>
          </w:tcPr>
          <w:p w:rsidR="003E6588" w:rsidRDefault="003E6588">
            <w:pPr>
              <w:pStyle w:val="NormalWeb"/>
              <w:jc w:val="both"/>
              <w:rPr>
                <w:bCs/>
                <w:color w:val="000000"/>
                <w:sz w:val="20"/>
                <w:szCs w:val="20"/>
                <w:lang w:eastAsia="en-US"/>
              </w:rPr>
            </w:pPr>
            <w:r>
              <w:rPr>
                <w:bCs/>
                <w:color w:val="000000"/>
                <w:sz w:val="20"/>
                <w:szCs w:val="20"/>
                <w:lang w:eastAsia="en-US"/>
              </w:rPr>
              <w:t>Educação, Currículo e Tecnologias Digitais</w:t>
            </w:r>
          </w:p>
        </w:tc>
        <w:tc>
          <w:tcPr>
            <w:tcW w:w="2321" w:type="dxa"/>
            <w:shd w:val="clear" w:color="auto" w:fill="auto"/>
          </w:tcPr>
          <w:p w:rsidR="003E6588" w:rsidRDefault="003E6588">
            <w:pPr>
              <w:pStyle w:val="NormalWeb"/>
              <w:rPr>
                <w:color w:val="000000"/>
                <w:sz w:val="20"/>
                <w:szCs w:val="20"/>
                <w:lang w:eastAsia="en-US"/>
              </w:rPr>
            </w:pPr>
            <w:r>
              <w:rPr>
                <w:color w:val="000000"/>
                <w:sz w:val="20"/>
                <w:szCs w:val="20"/>
                <w:lang w:eastAsia="en-US"/>
              </w:rPr>
              <w:t>3</w:t>
            </w:r>
          </w:p>
        </w:tc>
      </w:tr>
      <w:tr w:rsidR="003E6588" w:rsidTr="00FD5D16">
        <w:trPr>
          <w:jc w:val="center"/>
        </w:trPr>
        <w:tc>
          <w:tcPr>
            <w:tcW w:w="4382" w:type="dxa"/>
            <w:shd w:val="clear" w:color="auto" w:fill="auto"/>
          </w:tcPr>
          <w:p w:rsidR="003E6588" w:rsidRDefault="003E6588">
            <w:pPr>
              <w:pStyle w:val="NormalWeb"/>
              <w:jc w:val="both"/>
              <w:rPr>
                <w:bCs/>
                <w:color w:val="000000"/>
                <w:sz w:val="20"/>
                <w:szCs w:val="20"/>
                <w:lang w:eastAsia="en-US"/>
              </w:rPr>
            </w:pPr>
            <w:r>
              <w:rPr>
                <w:bCs/>
                <w:color w:val="000000"/>
                <w:sz w:val="20"/>
                <w:szCs w:val="20"/>
                <w:lang w:eastAsia="en-US"/>
              </w:rPr>
              <w:t>Educação Especial</w:t>
            </w:r>
          </w:p>
        </w:tc>
        <w:tc>
          <w:tcPr>
            <w:tcW w:w="2321" w:type="dxa"/>
            <w:shd w:val="clear" w:color="auto" w:fill="auto"/>
          </w:tcPr>
          <w:p w:rsidR="003E6588" w:rsidRDefault="003E6588">
            <w:pPr>
              <w:pStyle w:val="NormalWeb"/>
              <w:rPr>
                <w:color w:val="000000"/>
                <w:sz w:val="20"/>
                <w:szCs w:val="20"/>
                <w:lang w:eastAsia="en-US"/>
              </w:rPr>
            </w:pPr>
            <w:r>
              <w:rPr>
                <w:color w:val="000000"/>
                <w:sz w:val="20"/>
                <w:szCs w:val="20"/>
                <w:lang w:eastAsia="en-US"/>
              </w:rPr>
              <w:t>10</w:t>
            </w:r>
          </w:p>
        </w:tc>
      </w:tr>
      <w:tr w:rsidR="003E6588" w:rsidTr="00FD5D16">
        <w:trPr>
          <w:jc w:val="center"/>
        </w:trPr>
        <w:tc>
          <w:tcPr>
            <w:tcW w:w="4382" w:type="dxa"/>
            <w:shd w:val="clear" w:color="auto" w:fill="auto"/>
          </w:tcPr>
          <w:p w:rsidR="003E6588" w:rsidRDefault="003E6588">
            <w:pPr>
              <w:pStyle w:val="NormalWeb"/>
              <w:jc w:val="both"/>
              <w:rPr>
                <w:bCs/>
                <w:color w:val="000000"/>
                <w:sz w:val="20"/>
                <w:szCs w:val="20"/>
                <w:lang w:eastAsia="en-US"/>
              </w:rPr>
            </w:pPr>
            <w:r>
              <w:rPr>
                <w:bCs/>
                <w:color w:val="000000"/>
                <w:sz w:val="20"/>
                <w:szCs w:val="20"/>
                <w:lang w:eastAsia="en-US"/>
              </w:rPr>
              <w:t>Gestão</w:t>
            </w:r>
          </w:p>
        </w:tc>
        <w:tc>
          <w:tcPr>
            <w:tcW w:w="2321" w:type="dxa"/>
            <w:shd w:val="clear" w:color="auto" w:fill="auto"/>
          </w:tcPr>
          <w:p w:rsidR="003E6588" w:rsidRDefault="003E6588">
            <w:pPr>
              <w:pStyle w:val="NormalWeb"/>
              <w:rPr>
                <w:color w:val="000000"/>
                <w:sz w:val="20"/>
                <w:szCs w:val="20"/>
                <w:lang w:eastAsia="en-US"/>
              </w:rPr>
            </w:pPr>
            <w:r>
              <w:rPr>
                <w:color w:val="000000"/>
                <w:sz w:val="20"/>
                <w:szCs w:val="20"/>
                <w:lang w:eastAsia="en-US"/>
              </w:rPr>
              <w:t>15</w:t>
            </w:r>
          </w:p>
        </w:tc>
      </w:tr>
    </w:tbl>
    <w:p w:rsidR="003E6588" w:rsidRDefault="00FD5D16">
      <w:pPr>
        <w:pStyle w:val="NormalWeb"/>
        <w:spacing w:before="0" w:beforeAutospacing="0" w:after="0" w:afterAutospacing="0"/>
        <w:ind w:firstLine="1134"/>
        <w:jc w:val="both"/>
        <w:rPr>
          <w:color w:val="000000"/>
          <w:sz w:val="16"/>
          <w:szCs w:val="16"/>
          <w:lang w:eastAsia="en-US"/>
        </w:rPr>
      </w:pPr>
      <w:r>
        <w:rPr>
          <w:color w:val="000000"/>
          <w:sz w:val="16"/>
          <w:szCs w:val="16"/>
          <w:lang w:eastAsia="en-US"/>
        </w:rPr>
        <w:t xml:space="preserve">         </w:t>
      </w:r>
      <w:r w:rsidR="003E6588">
        <w:rPr>
          <w:color w:val="000000"/>
          <w:sz w:val="16"/>
          <w:szCs w:val="16"/>
          <w:lang w:eastAsia="en-US"/>
        </w:rPr>
        <w:t xml:space="preserve">    Tabela - Cursos ofertados pela EFAP</w:t>
      </w:r>
    </w:p>
    <w:p w:rsidR="003E6588" w:rsidRDefault="003E6588">
      <w:pPr>
        <w:jc w:val="both"/>
        <w:rPr>
          <w:color w:val="000000"/>
        </w:rPr>
      </w:pPr>
    </w:p>
    <w:p w:rsidR="003E6588" w:rsidRDefault="003E6588" w:rsidP="00FD5D16">
      <w:pPr>
        <w:ind w:firstLine="1134"/>
        <w:jc w:val="both"/>
        <w:rPr>
          <w:color w:val="000000"/>
        </w:rPr>
      </w:pPr>
      <w:r>
        <w:rPr>
          <w:b/>
          <w:color w:val="000000"/>
        </w:rPr>
        <w:t xml:space="preserve">Programa Mestrado &amp; Doutorado - </w:t>
      </w:r>
      <w:r>
        <w:rPr>
          <w:color w:val="000000"/>
        </w:rPr>
        <w:t xml:space="preserve">É programa contínuo da SE, que tem por finalidade a qualificação, a atualização e o aperfeiçoamento dos profissionais da Rede. O bolsista recebe um auxílio financeiro para frequentar cursos de pós-graduação </w:t>
      </w:r>
      <w:r>
        <w:rPr>
          <w:i/>
          <w:color w:val="000000"/>
        </w:rPr>
        <w:t>stricto sensu,</w:t>
      </w:r>
      <w:r>
        <w:rPr>
          <w:color w:val="000000"/>
        </w:rPr>
        <w:t xml:space="preserve"> voltados à disciplina que ensina, ao desenvolvimento de metodologias de ensino e aprendizagem, à gestão e à supervisão escolar.</w:t>
      </w:r>
    </w:p>
    <w:p w:rsidR="003E6588" w:rsidRDefault="003E6588" w:rsidP="00FD5D16">
      <w:pPr>
        <w:ind w:firstLine="1134"/>
        <w:jc w:val="both"/>
        <w:rPr>
          <w:color w:val="000000"/>
        </w:rPr>
      </w:pPr>
    </w:p>
    <w:p w:rsidR="003E6588" w:rsidRDefault="003E6588" w:rsidP="00FD5D16">
      <w:pPr>
        <w:ind w:firstLine="1134"/>
        <w:jc w:val="both"/>
        <w:rPr>
          <w:color w:val="000000"/>
        </w:rPr>
      </w:pPr>
      <w:r>
        <w:rPr>
          <w:b/>
          <w:bCs/>
          <w:color w:val="000000"/>
        </w:rPr>
        <w:t xml:space="preserve">MBA - Gestão Empreendedora - </w:t>
      </w:r>
      <w:r>
        <w:rPr>
          <w:color w:val="000000"/>
        </w:rPr>
        <w:t xml:space="preserve">Pós-graduação </w:t>
      </w:r>
      <w:r>
        <w:rPr>
          <w:i/>
          <w:color w:val="000000"/>
        </w:rPr>
        <w:t>latu sensu</w:t>
      </w:r>
      <w:r>
        <w:rPr>
          <w:color w:val="000000"/>
        </w:rPr>
        <w:t>, com 20 meses de duração, já na sua 5ª edição. Trata-se de iniciativa de formação voltada ao desenvolvimento de uma visão estratégica e de competências gerenciais e de liderança e que teve 100 matriculados.</w:t>
      </w:r>
    </w:p>
    <w:p w:rsidR="003E6588" w:rsidRDefault="003E6588">
      <w:pPr>
        <w:pStyle w:val="Pargrafobsico"/>
        <w:spacing w:line="240" w:lineRule="auto"/>
        <w:ind w:firstLine="1134"/>
        <w:jc w:val="both"/>
        <w:rPr>
          <w:color w:val="auto"/>
        </w:rPr>
      </w:pPr>
    </w:p>
    <w:p w:rsidR="003E6588" w:rsidRDefault="003E6588">
      <w:pPr>
        <w:tabs>
          <w:tab w:val="left" w:pos="709"/>
        </w:tabs>
        <w:ind w:firstLine="1134"/>
        <w:jc w:val="both"/>
        <w:rPr>
          <w:strike/>
        </w:rPr>
      </w:pPr>
      <w:r>
        <w:rPr>
          <w:b/>
          <w:color w:val="000000"/>
        </w:rPr>
        <w:t xml:space="preserve">Pilar 2 - Aprimorar as ações e a gestão pedagógica da Rede com foco nos resultados dos alunos - </w:t>
      </w:r>
      <w:r>
        <w:rPr>
          <w:color w:val="000000"/>
        </w:rPr>
        <w:t>As atividades concentradas sob o Pilar 2 representam algumas das mais importantes da Secretaria, já que se referem à Gestão Pedagógica com foco nos resultados dos alunos.</w:t>
      </w:r>
    </w:p>
    <w:p w:rsidR="003E6588" w:rsidRDefault="003E6588">
      <w:pPr>
        <w:ind w:firstLine="1134"/>
        <w:jc w:val="both"/>
        <w:rPr>
          <w:strike/>
        </w:rPr>
      </w:pPr>
    </w:p>
    <w:p w:rsidR="003E6588" w:rsidRDefault="003E6588">
      <w:pPr>
        <w:ind w:firstLine="1134"/>
        <w:jc w:val="both"/>
      </w:pPr>
      <w:r>
        <w:rPr>
          <w:b/>
          <w:color w:val="000000"/>
        </w:rPr>
        <w:t xml:space="preserve">Ciclos - </w:t>
      </w:r>
      <w:r w:rsidRPr="00FD5D16">
        <w:rPr>
          <w:color w:val="000000"/>
        </w:rPr>
        <w:t>N</w:t>
      </w:r>
      <w:r>
        <w:rPr>
          <w:color w:val="000000"/>
        </w:rPr>
        <w:t xml:space="preserve">o que diz respeito aos Anos Iniciais do Ensino Fundamental, aprofundaram-se as ações do programa “Ler e Escrever”, cuja abrangência, hoje, é de 1,5 milhões de alunos. O </w:t>
      </w:r>
      <w:r>
        <w:rPr>
          <w:color w:val="000000"/>
          <w:lang w:eastAsia="en-US"/>
        </w:rPr>
        <w:t xml:space="preserve">programa é </w:t>
      </w:r>
      <w:r>
        <w:rPr>
          <w:color w:val="000000"/>
          <w:lang w:eastAsia="en-US"/>
        </w:rPr>
        <w:lastRenderedPageBreak/>
        <w:t>um conjunto de ações articuladas que inclui formação de docentes, acompanhamento das práticas de ensino/aprendizagem e elaboração de materiais pedagógicos. Sua meta é alfabetizar todas as crianças com até sete anos de idade, entendendo que o domínio da escrita alfabética é fundamental para o processo de aprendizagem futuro. Isso não significa, no entanto, que suas ações restrinjam-se à “Leitura e Escrita”; o programa contempla a aquisição dos conceitos matemáticos (“EMAI - Educação Matemáticas para os Anos Iniciais”) e das demais disciplinas que integram o Currículo do Ciclo I (</w:t>
      </w:r>
      <w:r>
        <w:rPr>
          <w:color w:val="000000"/>
        </w:rPr>
        <w:t>História, Geografia e Ciências</w:t>
      </w:r>
      <w:r>
        <w:rPr>
          <w:color w:val="000000"/>
          <w:lang w:eastAsia="en-US"/>
        </w:rPr>
        <w:t xml:space="preserve">). </w:t>
      </w:r>
      <w:r>
        <w:t>Registre-se as seguintes ações:</w:t>
      </w:r>
    </w:p>
    <w:p w:rsidR="003E6588" w:rsidRDefault="003E6588">
      <w:pPr>
        <w:pStyle w:val="Pargrafobsico"/>
        <w:spacing w:line="240" w:lineRule="auto"/>
        <w:ind w:firstLine="1134"/>
        <w:jc w:val="both"/>
      </w:pPr>
    </w:p>
    <w:p w:rsidR="003E6588" w:rsidRDefault="003E6588">
      <w:pPr>
        <w:pStyle w:val="Pargrafobsico"/>
        <w:spacing w:line="240" w:lineRule="auto"/>
        <w:ind w:left="1134"/>
        <w:jc w:val="both"/>
      </w:pPr>
      <w:r>
        <w:t>- Implantação da avaliação diagnóstica, cobrindo do 2º ao 5º anos.</w:t>
      </w:r>
    </w:p>
    <w:p w:rsidR="003E6588" w:rsidRDefault="003E6588">
      <w:pPr>
        <w:pStyle w:val="Pargrafobsico"/>
        <w:spacing w:line="240" w:lineRule="auto"/>
        <w:ind w:firstLine="1134"/>
        <w:jc w:val="both"/>
      </w:pPr>
    </w:p>
    <w:p w:rsidR="003E6588" w:rsidRDefault="003E6588">
      <w:pPr>
        <w:pStyle w:val="Pargrafobsico"/>
        <w:spacing w:line="240" w:lineRule="auto"/>
        <w:ind w:left="1134"/>
        <w:jc w:val="both"/>
      </w:pPr>
      <w:r>
        <w:t>- Disponibilização de plataforma para registro dos resultados da avaliação diagnóstica.</w:t>
      </w:r>
    </w:p>
    <w:p w:rsidR="003E6588" w:rsidRDefault="003E6588">
      <w:pPr>
        <w:pStyle w:val="Pargrafobsico"/>
        <w:spacing w:line="240" w:lineRule="auto"/>
        <w:ind w:firstLine="1134"/>
        <w:jc w:val="both"/>
      </w:pPr>
    </w:p>
    <w:p w:rsidR="003E6588" w:rsidRDefault="003E6588">
      <w:pPr>
        <w:pStyle w:val="Pargrafobsico"/>
        <w:spacing w:line="240" w:lineRule="auto"/>
        <w:ind w:left="1134"/>
        <w:jc w:val="both"/>
      </w:pPr>
      <w:r>
        <w:t>- Ampliação da equipe de formadores.</w:t>
      </w:r>
    </w:p>
    <w:p w:rsidR="003E6588" w:rsidRDefault="003E6588">
      <w:pPr>
        <w:pStyle w:val="Pargrafobsico"/>
        <w:spacing w:line="240" w:lineRule="auto"/>
        <w:ind w:firstLine="1134"/>
        <w:jc w:val="both"/>
      </w:pPr>
    </w:p>
    <w:p w:rsidR="003E6588" w:rsidRDefault="003E6588">
      <w:pPr>
        <w:pStyle w:val="Pargrafobsico"/>
        <w:spacing w:line="240" w:lineRule="auto"/>
        <w:ind w:left="1134"/>
        <w:jc w:val="both"/>
      </w:pPr>
      <w:r>
        <w:t>- Atualização do material do 4º e 5º anos de Língua Portuguesa.</w:t>
      </w:r>
    </w:p>
    <w:p w:rsidR="003E6588" w:rsidRDefault="003E6588">
      <w:pPr>
        <w:pStyle w:val="Pargrafobsico"/>
        <w:spacing w:line="240" w:lineRule="auto"/>
        <w:ind w:firstLine="1134"/>
        <w:jc w:val="both"/>
      </w:pPr>
    </w:p>
    <w:p w:rsidR="003E6588" w:rsidRDefault="003E6588">
      <w:pPr>
        <w:pStyle w:val="Pargrafobsico"/>
        <w:spacing w:line="240" w:lineRule="auto"/>
        <w:ind w:left="1134"/>
        <w:jc w:val="both"/>
      </w:pPr>
      <w:r>
        <w:t>- Atualização dos materiais de Recuperação Intensiva.</w:t>
      </w:r>
    </w:p>
    <w:p w:rsidR="003E6588" w:rsidRDefault="003E6588">
      <w:pPr>
        <w:pStyle w:val="Pargrafobsico"/>
        <w:spacing w:line="240" w:lineRule="auto"/>
        <w:ind w:firstLine="1134"/>
        <w:jc w:val="both"/>
      </w:pPr>
    </w:p>
    <w:p w:rsidR="003E6588" w:rsidRDefault="003E6588">
      <w:pPr>
        <w:pStyle w:val="Pargrafobsico"/>
        <w:spacing w:line="240" w:lineRule="auto"/>
        <w:ind w:firstLine="1134"/>
        <w:jc w:val="both"/>
      </w:pPr>
      <w:r>
        <w:t>- Disponibilização do Guia de Orientações Curriculares e Didáticas (História, Geografia e Ciências da Natureza, Arte e Educação Física).</w:t>
      </w:r>
    </w:p>
    <w:p w:rsidR="003E6588" w:rsidRDefault="003E6588">
      <w:pPr>
        <w:pStyle w:val="Pargrafobsico"/>
        <w:spacing w:line="240" w:lineRule="auto"/>
        <w:ind w:firstLine="1134"/>
        <w:jc w:val="both"/>
      </w:pPr>
    </w:p>
    <w:p w:rsidR="003E6588" w:rsidRDefault="003E6588">
      <w:pPr>
        <w:pStyle w:val="Pargrafobsico"/>
        <w:spacing w:line="240" w:lineRule="auto"/>
        <w:ind w:left="1134"/>
        <w:jc w:val="both"/>
      </w:pPr>
      <w:r>
        <w:t>- Distribuição de Acervo Literário composto de 45.540 livros.</w:t>
      </w:r>
    </w:p>
    <w:p w:rsidR="003E6588" w:rsidRDefault="003E6588">
      <w:pPr>
        <w:pStyle w:val="Pargrafobsico"/>
        <w:spacing w:line="240" w:lineRule="auto"/>
        <w:ind w:firstLine="1134"/>
        <w:jc w:val="both"/>
      </w:pPr>
    </w:p>
    <w:p w:rsidR="003E6588" w:rsidRDefault="003E6588">
      <w:pPr>
        <w:pStyle w:val="Pargrafobsico"/>
        <w:spacing w:line="240" w:lineRule="auto"/>
        <w:ind w:left="1134"/>
        <w:jc w:val="both"/>
      </w:pPr>
      <w:r>
        <w:t>- Formação e apropriação de Metodologia de Inglês com implantação em 56 escolas.</w:t>
      </w:r>
    </w:p>
    <w:p w:rsidR="003E6588" w:rsidRDefault="003E6588">
      <w:pPr>
        <w:pStyle w:val="Pargrafobsico"/>
        <w:spacing w:line="240" w:lineRule="auto"/>
        <w:ind w:left="1440" w:firstLine="1134"/>
        <w:jc w:val="both"/>
      </w:pPr>
    </w:p>
    <w:p w:rsidR="003E6588" w:rsidRDefault="003E6588">
      <w:pPr>
        <w:pStyle w:val="NormalWeb"/>
        <w:shd w:val="clear" w:color="auto" w:fill="FFFFFF"/>
        <w:spacing w:before="0" w:beforeAutospacing="0" w:after="0" w:afterAutospacing="0"/>
        <w:ind w:firstLine="1134"/>
        <w:jc w:val="both"/>
        <w:textAlignment w:val="baseline"/>
        <w:rPr>
          <w:color w:val="000000"/>
          <w:lang w:eastAsia="en-US"/>
        </w:rPr>
      </w:pPr>
      <w:r>
        <w:rPr>
          <w:color w:val="000000"/>
        </w:rPr>
        <w:t xml:space="preserve">Os Anos Finais do Ensino Fundamental e o Ensino Médio representam um dos principais desafios da Educação Fundamental atualmente; a escola precisa dialogar crescentemente com um jovem, que, inserido no mundo das novas tecnologias, tem outro ritmo e, certamente, outras formas de aprender. </w:t>
      </w:r>
      <w:r>
        <w:rPr>
          <w:color w:val="000000"/>
          <w:lang w:eastAsia="en-US"/>
        </w:rPr>
        <w:t>Destacaram-se as seguintes ações:</w:t>
      </w:r>
    </w:p>
    <w:p w:rsidR="003E6588" w:rsidRDefault="003E6588">
      <w:pPr>
        <w:pStyle w:val="NormalWeb"/>
        <w:shd w:val="clear" w:color="auto" w:fill="FFFFFF"/>
        <w:spacing w:before="0" w:beforeAutospacing="0" w:after="0" w:afterAutospacing="0"/>
        <w:ind w:firstLine="1134"/>
        <w:jc w:val="both"/>
        <w:textAlignment w:val="baseline"/>
        <w:rPr>
          <w:color w:val="000000"/>
          <w:lang w:eastAsia="en-US"/>
        </w:rPr>
      </w:pPr>
    </w:p>
    <w:p w:rsidR="003E6588" w:rsidRDefault="003E6588">
      <w:pPr>
        <w:ind w:firstLine="1134"/>
        <w:jc w:val="both"/>
        <w:rPr>
          <w:bCs/>
          <w:color w:val="000000"/>
        </w:rPr>
      </w:pPr>
      <w:r>
        <w:rPr>
          <w:bCs/>
          <w:color w:val="000000"/>
        </w:rPr>
        <w:t>- Implantação da Avaliação de Aprendizagem em Processo - AAP, em todos os anos e séries, em língua portuguesa e matemática.</w:t>
      </w:r>
    </w:p>
    <w:p w:rsidR="003E6588" w:rsidRDefault="003E6588">
      <w:pPr>
        <w:ind w:firstLine="1134"/>
        <w:jc w:val="both"/>
        <w:rPr>
          <w:bCs/>
          <w:color w:val="000000"/>
        </w:rPr>
      </w:pPr>
    </w:p>
    <w:p w:rsidR="003E6588" w:rsidRDefault="003E6588">
      <w:pPr>
        <w:ind w:firstLine="1134"/>
        <w:jc w:val="both"/>
        <w:rPr>
          <w:bCs/>
          <w:color w:val="000000"/>
        </w:rPr>
      </w:pPr>
      <w:r>
        <w:rPr>
          <w:bCs/>
          <w:color w:val="000000"/>
        </w:rPr>
        <w:t>- Implantação do Sistema de Acompanhamento e Registro das Avaliações - SARA, com captação das notas dos alunos que realizaram a AAP e emissão de relatórios.</w:t>
      </w:r>
    </w:p>
    <w:p w:rsidR="003E6588" w:rsidRDefault="003E6588">
      <w:pPr>
        <w:ind w:firstLine="1134"/>
        <w:jc w:val="both"/>
        <w:rPr>
          <w:bCs/>
          <w:color w:val="000000"/>
        </w:rPr>
      </w:pPr>
    </w:p>
    <w:p w:rsidR="003E6588" w:rsidRDefault="003E6588">
      <w:pPr>
        <w:ind w:firstLine="1134"/>
        <w:jc w:val="both"/>
        <w:rPr>
          <w:bCs/>
          <w:color w:val="000000"/>
        </w:rPr>
      </w:pPr>
      <w:r>
        <w:rPr>
          <w:bCs/>
          <w:color w:val="000000"/>
        </w:rPr>
        <w:t>- Atualização dos materiais do “Programa São Paulo faz escola” de todas as disciplinas e anos/séries do Ensino Fundamental Anos Finais e Ensino médio.</w:t>
      </w:r>
    </w:p>
    <w:p w:rsidR="003E6588" w:rsidRDefault="003E6588">
      <w:pPr>
        <w:ind w:firstLine="1134"/>
        <w:jc w:val="both"/>
        <w:rPr>
          <w:bCs/>
          <w:color w:val="000000"/>
        </w:rPr>
      </w:pPr>
    </w:p>
    <w:p w:rsidR="003E6588" w:rsidRDefault="003E6588">
      <w:pPr>
        <w:ind w:firstLine="1134"/>
        <w:jc w:val="both"/>
      </w:pPr>
      <w:r>
        <w:rPr>
          <w:bCs/>
        </w:rPr>
        <w:t>Os C</w:t>
      </w:r>
      <w:r>
        <w:rPr>
          <w:bCs/>
          <w:color w:val="000000"/>
        </w:rPr>
        <w:t xml:space="preserve">ELs - </w:t>
      </w:r>
      <w:r>
        <w:rPr>
          <w:rStyle w:val="example1"/>
          <w:color w:val="000000"/>
          <w:bdr w:val="none" w:sz="0" w:space="0" w:color="auto" w:frame="1"/>
        </w:rPr>
        <w:t xml:space="preserve">Centros de Estudo de Línguas proporcionam aos alunos da Rede a oportunidade de aprender gratuitamente um novo idioma, aumentando suas chances de inserção no mercado de trabalho e ampliando seu acesso a outras culturas. Há, hoje, em todo o Estado, 227 centros em funcionamento, oferecendo cursos gratuitos de inglês, espanhol, italiano, francês, alemão e japonês; ao </w:t>
      </w:r>
      <w:r>
        <w:rPr>
          <w:rStyle w:val="example1"/>
          <w:color w:val="000000"/>
          <w:bdr w:val="none" w:sz="0" w:space="0" w:color="auto" w:frame="1"/>
        </w:rPr>
        <w:lastRenderedPageBreak/>
        <w:t xml:space="preserve">término de cada curso, o aluno recebe o certificado de conclusão. Foram beneficiados 64.029 alunos. O programa foi fortalecido pela oferta de um curso de formação para gestores, do qual participaram 352 professores, com o objetivo de propiciar a reflexão sobre as diferentes abordagens metodológicas para o ensino de línguas estrangeiras, instrumentos de avaliação, materiais didáticos e o uso das TIC - Tecnologias de Informação e Comunicação e lidar com questões específicas de gestão. Destaque-se, ainda, na área de ensino de línguas, o Intercâmbio Internacional, iniciativa que deu aos alunos da Rede </w:t>
      </w:r>
      <w:r>
        <w:t>a oportunidade de vivenciar a heterogeneidade de costumes e hábitos culturais de outros povos, ampliando seus conhecimentos e saberes. A</w:t>
      </w:r>
      <w:r>
        <w:rPr>
          <w:rStyle w:val="example1"/>
          <w:color w:val="000000"/>
          <w:bdr w:val="none" w:sz="0" w:space="0" w:color="auto" w:frame="1"/>
        </w:rPr>
        <w:t>o todo, foram contemplados, 2</w:t>
      </w:r>
      <w:r>
        <w:t>19 alunos, que viajaram para a Inglaterra (60), França (20) e Espanha (139).</w:t>
      </w:r>
    </w:p>
    <w:p w:rsidR="003E6588" w:rsidRDefault="003E6588">
      <w:pPr>
        <w:ind w:firstLine="1134"/>
        <w:jc w:val="both"/>
      </w:pPr>
    </w:p>
    <w:p w:rsidR="003E6588" w:rsidRDefault="003E6588">
      <w:pPr>
        <w:ind w:firstLine="1134"/>
        <w:jc w:val="both"/>
      </w:pPr>
      <w:r>
        <w:rPr>
          <w:rStyle w:val="example1"/>
          <w:color w:val="000000"/>
          <w:bdr w:val="none" w:sz="0" w:space="0" w:color="auto" w:frame="1"/>
        </w:rPr>
        <w:t xml:space="preserve">Quanto à EJA </w:t>
      </w:r>
      <w:r>
        <w:rPr>
          <w:rStyle w:val="example1"/>
          <w:bdr w:val="none" w:sz="0" w:space="0" w:color="auto" w:frame="1"/>
        </w:rPr>
        <w:t>- Educação de Jovens e Adultos</w:t>
      </w:r>
      <w:r>
        <w:rPr>
          <w:rStyle w:val="example1"/>
          <w:color w:val="000000"/>
          <w:bdr w:val="none" w:sz="0" w:space="0" w:color="auto" w:frame="1"/>
        </w:rPr>
        <w:t xml:space="preserve">, </w:t>
      </w:r>
      <w:r>
        <w:rPr>
          <w:iCs/>
          <w:color w:val="000000"/>
        </w:rPr>
        <w:t xml:space="preserve">foram atendidos 364.090 alunos, distribuídos em 1.183 escolas da Rede estadual, 31 CEEJAs e 1.104 Núcleos de Alfabetização. </w:t>
      </w:r>
      <w:r>
        <w:t>Ao longo do tempo vem-se observando uma diminuição no atendimento em salas regulares e um aumento nos CEJAS; é importante registrar que esses Centros atendem ao Ensino Fundamental e Médio e que a idade inicial é de 18 anos. Por permitir matrículas por disciplina; presença flexível e aproveitamento dos estudos em exames de certificação, considera-se que o curso atende a disponibilidade de tempo e ritmo de aprendizagem do aluno.</w:t>
      </w:r>
    </w:p>
    <w:p w:rsidR="003E6588" w:rsidRDefault="003E6588">
      <w:pPr>
        <w:ind w:firstLine="1134"/>
        <w:jc w:val="both"/>
        <w:rPr>
          <w:color w:val="000000"/>
          <w:bdr w:val="none" w:sz="0" w:space="0" w:color="auto" w:frame="1"/>
        </w:rPr>
      </w:pPr>
    </w:p>
    <w:p w:rsidR="003E6588" w:rsidRDefault="003E6588">
      <w:pPr>
        <w:tabs>
          <w:tab w:val="num" w:pos="720"/>
          <w:tab w:val="num" w:pos="1440"/>
        </w:tabs>
        <w:ind w:firstLine="1134"/>
        <w:jc w:val="both"/>
        <w:rPr>
          <w:bCs/>
          <w:color w:val="000000"/>
        </w:rPr>
      </w:pPr>
      <w:r>
        <w:rPr>
          <w:b/>
          <w:color w:val="000000"/>
        </w:rPr>
        <w:t xml:space="preserve">A tecnologia no contexto educacional - </w:t>
      </w:r>
      <w:r>
        <w:rPr>
          <w:color w:val="000000"/>
        </w:rPr>
        <w:t xml:space="preserve">Em ambos os Ciclos, as ações da Secretaria tem se pautado por uma preocupação crescente com a </w:t>
      </w:r>
      <w:r>
        <w:rPr>
          <w:bCs/>
          <w:color w:val="000000"/>
        </w:rPr>
        <w:t xml:space="preserve">incorporação das novas tecnologias de comunicação e informação na prática didático-pedagógica; deu-se um importante passo nesse sentido com a consolidação do Currículo+ e da Evesp. O primeiro é uma iniciativa que, por meio de uma plataforma </w:t>
      </w:r>
      <w:r>
        <w:rPr>
          <w:bCs/>
          <w:i/>
          <w:color w:val="000000"/>
        </w:rPr>
        <w:t>on line</w:t>
      </w:r>
      <w:r>
        <w:rPr>
          <w:bCs/>
          <w:color w:val="000000"/>
        </w:rPr>
        <w:t xml:space="preserve"> de sugestões de objetos digitais de aprendizagem, visa a estimular e incentivar o uso de novas tecnologias como recurso pedagógico complementar. O professor tem a possibilidade de aprimorar sua prática e tornar o processo de ensino e de aprendizagem em sala de aula mais diversificado, dinâmico e personalizado; já o aluno pode reforçar, recuperar ou complementar seus estudos. O Programa se organiza nos seguintes campos:</w:t>
      </w:r>
    </w:p>
    <w:p w:rsidR="003E6588" w:rsidRDefault="003E6588">
      <w:pPr>
        <w:tabs>
          <w:tab w:val="num" w:pos="720"/>
          <w:tab w:val="num" w:pos="1440"/>
        </w:tabs>
        <w:jc w:val="both"/>
        <w:rPr>
          <w:bCs/>
          <w:color w:val="000000"/>
        </w:rPr>
      </w:pPr>
    </w:p>
    <w:p w:rsidR="003E6588" w:rsidRDefault="00AD3B0F">
      <w:pPr>
        <w:tabs>
          <w:tab w:val="num" w:pos="720"/>
          <w:tab w:val="num" w:pos="1440"/>
        </w:tabs>
      </w:pPr>
      <w:r>
        <w:rPr>
          <w:noProof/>
        </w:rPr>
        <w:drawing>
          <wp:inline distT="0" distB="0" distL="0" distR="0">
            <wp:extent cx="3800475" cy="1085850"/>
            <wp:effectExtent l="19050" t="0" r="9525"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cstate="print"/>
                    <a:srcRect/>
                    <a:stretch>
                      <a:fillRect/>
                    </a:stretch>
                  </pic:blipFill>
                  <pic:spPr bwMode="auto">
                    <a:xfrm>
                      <a:off x="0" y="0"/>
                      <a:ext cx="3800475" cy="1085850"/>
                    </a:xfrm>
                    <a:prstGeom prst="rect">
                      <a:avLst/>
                    </a:prstGeom>
                    <a:noFill/>
                    <a:ln w="9525">
                      <a:noFill/>
                      <a:miter lim="800000"/>
                      <a:headEnd/>
                      <a:tailEnd/>
                    </a:ln>
                  </pic:spPr>
                </pic:pic>
              </a:graphicData>
            </a:graphic>
          </wp:inline>
        </w:drawing>
      </w:r>
    </w:p>
    <w:p w:rsidR="003E6588" w:rsidRDefault="003E6588">
      <w:pPr>
        <w:tabs>
          <w:tab w:val="num" w:pos="720"/>
          <w:tab w:val="num" w:pos="1440"/>
        </w:tabs>
      </w:pPr>
    </w:p>
    <w:p w:rsidR="00FD5D16" w:rsidRDefault="00FD5D16">
      <w:pPr>
        <w:tabs>
          <w:tab w:val="num" w:pos="720"/>
          <w:tab w:val="num" w:pos="1440"/>
        </w:tabs>
        <w:ind w:firstLine="1134"/>
        <w:jc w:val="both"/>
        <w:rPr>
          <w:bCs/>
        </w:rPr>
      </w:pPr>
    </w:p>
    <w:p w:rsidR="003E6588" w:rsidRDefault="003E6588">
      <w:pPr>
        <w:tabs>
          <w:tab w:val="num" w:pos="720"/>
          <w:tab w:val="num" w:pos="1440"/>
        </w:tabs>
        <w:ind w:firstLine="1134"/>
        <w:jc w:val="both"/>
        <w:rPr>
          <w:bCs/>
        </w:rPr>
      </w:pPr>
      <w:r>
        <w:rPr>
          <w:bCs/>
        </w:rPr>
        <w:t>O conteúdo digital está sendo construído pela atuação de uma equipe de PCNPs, que atua como curadores, avaliando os conteúdos de disciplinas de todos os Ciclos, incluindo a Educação Especial; 1.300 objetos digitais de aprendizagem já foram selecionados até o momento; os 415 mil acessos em 3.200 escolas mostra que se está atingindo uma ampla gama de professores. O apoio aos docentes vem, entre outras, sob a forma de oferta de curso de formação para uso da plataforma, que já atendeu 22 mil docentes. Também foram realizadas campanhas e ações de mobilização da Rede e dos alunos.</w:t>
      </w:r>
    </w:p>
    <w:p w:rsidR="003E6588" w:rsidRDefault="003E6588">
      <w:pPr>
        <w:ind w:firstLine="1134"/>
        <w:jc w:val="both"/>
        <w:rPr>
          <w:bCs/>
        </w:rPr>
      </w:pPr>
      <w:r>
        <w:rPr>
          <w:bCs/>
        </w:rPr>
        <w:lastRenderedPageBreak/>
        <w:t xml:space="preserve">Já a </w:t>
      </w:r>
      <w:r>
        <w:rPr>
          <w:bCs/>
          <w:snapToGrid w:val="0"/>
        </w:rPr>
        <w:t xml:space="preserve">Evesp - Escola Virtual de Programas Educacionais do Estado de São Paulo, foi criada com a finalidade de diversificar e ampliar o acesso à formação na modalidade virtual. Para tanto, oferece aos alunos da Rede programas educacionais regulares, especiais e de capacitação em situações que requerem atendimentos a necessidades de grupos específicos da população. A Escola já era conhecida por suas iniciativas na área de Línguas Estrangeiras Modernas, em função de seus cursos de Inglês e Espanhol </w:t>
      </w:r>
      <w:r>
        <w:rPr>
          <w:bCs/>
          <w:i/>
          <w:snapToGrid w:val="0"/>
        </w:rPr>
        <w:t>on line</w:t>
      </w:r>
      <w:r>
        <w:rPr>
          <w:bCs/>
          <w:snapToGrid w:val="0"/>
        </w:rPr>
        <w:t xml:space="preserve">, que disponibilizaram, respectivamente, 100.000 e 5.000 vagas; assim como na área de Inclusão, com um curso de Libras que ofertou 10.000 vagas. A importante iniciativa do Cursinho pré-universitário </w:t>
      </w:r>
      <w:r>
        <w:rPr>
          <w:bCs/>
          <w:i/>
          <w:snapToGrid w:val="0"/>
        </w:rPr>
        <w:t>on line</w:t>
      </w:r>
      <w:r>
        <w:rPr>
          <w:bCs/>
          <w:snapToGrid w:val="0"/>
        </w:rPr>
        <w:t xml:space="preserve">, que pretende aumentar a competitividade dos estudantes da Rede que se candidatam a vestibulares, termina o ano com 540.000 alunos inscritos. </w:t>
      </w:r>
      <w:r>
        <w:rPr>
          <w:bCs/>
        </w:rPr>
        <w:t>Há, ainda, o curso de Defesa Civil, que disponibilizou 100.000 vagas.</w:t>
      </w:r>
    </w:p>
    <w:p w:rsidR="003E6588" w:rsidRDefault="003E6588">
      <w:pPr>
        <w:ind w:firstLine="1134"/>
        <w:jc w:val="both"/>
        <w:rPr>
          <w:bCs/>
        </w:rPr>
      </w:pPr>
    </w:p>
    <w:p w:rsidR="003E6588" w:rsidRDefault="003E6588">
      <w:pPr>
        <w:ind w:firstLine="1134"/>
        <w:jc w:val="both"/>
      </w:pPr>
      <w:r>
        <w:rPr>
          <w:bCs/>
        </w:rPr>
        <w:t>Registre-se, ainda, a importante iniciativa do Canal Digital Aberto, em parceria com a Fundação Padre Anchieta; o canal di</w:t>
      </w:r>
      <w:r>
        <w:t>sponibilizará programas educacionais regulares, especiais e de formação, tendo como referencial básico o currículo oficial do Estado para a Educação Básica, conectando a vida social e cultural às novas descobertas científicas e a fatos e tendências da realidade contemporânea. A iniciativa visa ajudar os alunos a aprender, os professores a ensinar e a comunidade a acompanhar o desenvolvimento escolar das crianças, jovens e adultos.</w:t>
      </w:r>
    </w:p>
    <w:p w:rsidR="003E6588" w:rsidRDefault="003E6588">
      <w:pPr>
        <w:pStyle w:val="PargrafodaLista"/>
        <w:ind w:left="0" w:firstLine="1134"/>
        <w:rPr>
          <w:rFonts w:ascii="Times New Roman" w:eastAsia="Times New Roman" w:hAnsi="Times New Roman"/>
          <w:color w:val="000000"/>
          <w:sz w:val="24"/>
          <w:szCs w:val="24"/>
          <w:lang w:eastAsia="pt-BR"/>
        </w:rPr>
      </w:pPr>
    </w:p>
    <w:p w:rsidR="003E6588" w:rsidRDefault="003E6588">
      <w:pPr>
        <w:pStyle w:val="PargrafodaLista"/>
        <w:ind w:left="0" w:firstLine="1134"/>
        <w:rPr>
          <w:rFonts w:ascii="Times New Roman" w:hAnsi="Times New Roman"/>
          <w:color w:val="000000"/>
          <w:sz w:val="24"/>
          <w:szCs w:val="24"/>
        </w:rPr>
      </w:pPr>
      <w:r>
        <w:rPr>
          <w:rFonts w:ascii="Times New Roman" w:eastAsia="Times New Roman" w:hAnsi="Times New Roman"/>
          <w:color w:val="000000"/>
          <w:sz w:val="24"/>
          <w:szCs w:val="24"/>
          <w:lang w:eastAsia="pt-BR"/>
        </w:rPr>
        <w:t>Ainda na área de tecnologia, uma das principais iniciativas da Secretaria é o Ace</w:t>
      </w:r>
      <w:r>
        <w:rPr>
          <w:rFonts w:ascii="Times New Roman" w:hAnsi="Times New Roman"/>
          <w:color w:val="000000"/>
          <w:sz w:val="24"/>
          <w:szCs w:val="24"/>
        </w:rPr>
        <w:t>ssa Escola. O programa tem como objetivo promover a inclusão digital dos alunos, professores e funcionários das escolas da Rede pública estadual. Trata-se da disponibilização de uma sala ambiente na qual a comunidade escolar pode utilizar os computadores a qualquer momento, contando com o suporte de estagiários que atuam como agentes de inclusão digital. Além dos estagiários do Ensino Médio que atuam nas salas e que contabilizaram 10.018 estudantes, o programa conta com contingente vindo do Ensino Superior, que fica na Diretoria de Ensino, com o papel de apoiar os Núcleos de Tecnologia dos órgãos regionais; eles somam 420 alunos.</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0"/>
          <w:szCs w:val="20"/>
        </w:rPr>
      </w:pPr>
      <w:r>
        <w:rPr>
          <w:rFonts w:ascii="Times New Roman" w:hAnsi="Times New Roman"/>
          <w:color w:val="000000"/>
          <w:sz w:val="24"/>
          <w:szCs w:val="24"/>
        </w:rPr>
        <w:t>O programa permite potencializar o uso da infraestrutura física e de equipamentos existente na escola, e contabilizou 2.700.000 usuários e com cobertura de 82% da Rede paulista. Vale destacar, no contexto do Acessa, a “Rede de Projetos” do programa, um espaço de visibilidade, compartilhamento, apoio e suporte a ideias, ações, iniciativas e projetos nas escolas da Rede. Toda a comunidade escolar - e do entrono - pode apresentar projetos em temáticas específicas, como Educação, Tecnologia e Saúde. Dos 1.405 projetos cadastrados, foram aprovados 584.</w:t>
      </w:r>
    </w:p>
    <w:p w:rsidR="003E6588" w:rsidRDefault="003E6588">
      <w:pPr>
        <w:tabs>
          <w:tab w:val="num" w:pos="1440"/>
        </w:tabs>
        <w:ind w:firstLine="1134"/>
        <w:jc w:val="both"/>
        <w:rPr>
          <w:b/>
          <w:bCs/>
          <w:color w:val="000000"/>
        </w:rPr>
      </w:pPr>
    </w:p>
    <w:p w:rsidR="003E6588" w:rsidRDefault="003E6588">
      <w:pPr>
        <w:tabs>
          <w:tab w:val="num" w:pos="1440"/>
        </w:tabs>
        <w:ind w:firstLine="1134"/>
        <w:jc w:val="both"/>
        <w:rPr>
          <w:color w:val="000000"/>
        </w:rPr>
      </w:pPr>
      <w:r>
        <w:rPr>
          <w:b/>
          <w:bCs/>
          <w:color w:val="000000"/>
        </w:rPr>
        <w:t xml:space="preserve">A avaliação no apoio à melhoria das práticas pedagógicas - </w:t>
      </w:r>
      <w:r>
        <w:rPr>
          <w:bCs/>
          <w:color w:val="000000"/>
        </w:rPr>
        <w:t xml:space="preserve">A cultura da avaliação como forma de promover maior conhecimento da realidade da sala de aula e, dessa forma, subsidiar o trabalho do professor e do gestor, vem sendo gradualmente ampliada desde 1996, ano de criação do </w:t>
      </w:r>
      <w:r>
        <w:rPr>
          <w:rStyle w:val="example1"/>
          <w:color w:val="000000"/>
          <w:bdr w:val="none" w:sz="0" w:space="0" w:color="auto" w:frame="1"/>
        </w:rPr>
        <w:t xml:space="preserve">Saresp. Trata-se de uma avaliação externa em larga escala da Educação Básica, aplicada anualmente, e que tem como principal finalidade produzir um diagnóstico da situação da escolaridade básica na Rede pública de ensino paulista, visando orientar os gestores do ensino no monitoramento das políticas de melhoria na qualidade educacional e cobre os </w:t>
      </w:r>
      <w:r>
        <w:rPr>
          <w:bCs/>
        </w:rPr>
        <w:t xml:space="preserve">2º, 3º, 5º, 7º e 9º anos do EF; e a 3ª série do EM. </w:t>
      </w:r>
      <w:r>
        <w:rPr>
          <w:color w:val="000000"/>
        </w:rPr>
        <w:t xml:space="preserve">As provas envolveram </w:t>
      </w:r>
      <w:r>
        <w:rPr>
          <w:bCs/>
          <w:color w:val="000000"/>
        </w:rPr>
        <w:t>2.149.276 alunos</w:t>
      </w:r>
      <w:r>
        <w:rPr>
          <w:color w:val="000000"/>
        </w:rPr>
        <w:t>, em 8.821 escolas das Redes estadual, municipal e particular, assim como se registra a seguir.</w:t>
      </w:r>
    </w:p>
    <w:tbl>
      <w:tblPr>
        <w:tblW w:w="0" w:type="auto"/>
        <w:jc w:val="center"/>
        <w:tblInd w:w="9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276"/>
        <w:gridCol w:w="1417"/>
        <w:gridCol w:w="1559"/>
        <w:gridCol w:w="1843"/>
        <w:gridCol w:w="1843"/>
        <w:gridCol w:w="1131"/>
      </w:tblGrid>
      <w:tr w:rsidR="003E6588" w:rsidTr="00BA1847">
        <w:trPr>
          <w:jc w:val="center"/>
        </w:trPr>
        <w:tc>
          <w:tcPr>
            <w:tcW w:w="1276" w:type="dxa"/>
            <w:shd w:val="clear" w:color="auto" w:fill="auto"/>
          </w:tcPr>
          <w:p w:rsidR="003E6588" w:rsidRDefault="003E6588">
            <w:pPr>
              <w:rPr>
                <w:b/>
                <w:bCs/>
                <w:color w:val="000000"/>
                <w:sz w:val="20"/>
                <w:szCs w:val="20"/>
              </w:rPr>
            </w:pPr>
            <w:r>
              <w:rPr>
                <w:b/>
                <w:bCs/>
                <w:color w:val="000000"/>
                <w:sz w:val="20"/>
                <w:szCs w:val="20"/>
              </w:rPr>
              <w:lastRenderedPageBreak/>
              <w:t>REDE</w:t>
            </w:r>
          </w:p>
        </w:tc>
        <w:tc>
          <w:tcPr>
            <w:tcW w:w="1417" w:type="dxa"/>
            <w:shd w:val="clear" w:color="auto" w:fill="auto"/>
          </w:tcPr>
          <w:p w:rsidR="003E6588" w:rsidRDefault="003E6588">
            <w:pPr>
              <w:rPr>
                <w:b/>
                <w:bCs/>
                <w:color w:val="000000"/>
                <w:sz w:val="20"/>
                <w:szCs w:val="20"/>
              </w:rPr>
            </w:pPr>
            <w:r>
              <w:rPr>
                <w:b/>
                <w:bCs/>
                <w:color w:val="000000"/>
                <w:sz w:val="20"/>
                <w:szCs w:val="20"/>
              </w:rPr>
              <w:t>ESTADUAL</w:t>
            </w:r>
          </w:p>
        </w:tc>
        <w:tc>
          <w:tcPr>
            <w:tcW w:w="1559" w:type="dxa"/>
            <w:shd w:val="clear" w:color="auto" w:fill="auto"/>
          </w:tcPr>
          <w:p w:rsidR="003E6588" w:rsidRDefault="003E6588">
            <w:pPr>
              <w:rPr>
                <w:b/>
                <w:bCs/>
                <w:color w:val="000000"/>
                <w:sz w:val="20"/>
                <w:szCs w:val="20"/>
              </w:rPr>
            </w:pPr>
            <w:r>
              <w:rPr>
                <w:b/>
                <w:bCs/>
                <w:color w:val="000000"/>
                <w:sz w:val="20"/>
                <w:szCs w:val="20"/>
              </w:rPr>
              <w:t>MUNICIPAIS (ADESÃO)</w:t>
            </w:r>
          </w:p>
        </w:tc>
        <w:tc>
          <w:tcPr>
            <w:tcW w:w="1843" w:type="dxa"/>
            <w:shd w:val="clear" w:color="auto" w:fill="auto"/>
          </w:tcPr>
          <w:p w:rsidR="003E6588" w:rsidRDefault="003E6588">
            <w:pPr>
              <w:rPr>
                <w:b/>
                <w:bCs/>
                <w:color w:val="000000"/>
                <w:sz w:val="20"/>
                <w:szCs w:val="20"/>
              </w:rPr>
            </w:pPr>
            <w:r>
              <w:rPr>
                <w:b/>
                <w:bCs/>
                <w:color w:val="000000"/>
                <w:sz w:val="20"/>
                <w:szCs w:val="20"/>
              </w:rPr>
              <w:t>PARTICULARES (INCLUI SESI)</w:t>
            </w:r>
          </w:p>
        </w:tc>
        <w:tc>
          <w:tcPr>
            <w:tcW w:w="1843" w:type="dxa"/>
            <w:shd w:val="clear" w:color="auto" w:fill="auto"/>
          </w:tcPr>
          <w:p w:rsidR="003E6588" w:rsidRDefault="003E6588">
            <w:pPr>
              <w:rPr>
                <w:b/>
                <w:bCs/>
                <w:color w:val="000000"/>
                <w:sz w:val="20"/>
                <w:szCs w:val="20"/>
              </w:rPr>
            </w:pPr>
            <w:r>
              <w:rPr>
                <w:b/>
                <w:bCs/>
                <w:color w:val="000000"/>
                <w:sz w:val="20"/>
                <w:szCs w:val="20"/>
              </w:rPr>
              <w:t>CENTRO PAULA SOUZA</w:t>
            </w:r>
          </w:p>
        </w:tc>
        <w:tc>
          <w:tcPr>
            <w:tcW w:w="1131" w:type="dxa"/>
            <w:shd w:val="clear" w:color="auto" w:fill="auto"/>
          </w:tcPr>
          <w:p w:rsidR="003E6588" w:rsidRDefault="003E6588">
            <w:pPr>
              <w:rPr>
                <w:b/>
                <w:bCs/>
                <w:color w:val="000000"/>
                <w:sz w:val="20"/>
                <w:szCs w:val="20"/>
              </w:rPr>
            </w:pPr>
            <w:r>
              <w:rPr>
                <w:b/>
                <w:bCs/>
                <w:color w:val="000000"/>
                <w:sz w:val="20"/>
                <w:szCs w:val="20"/>
              </w:rPr>
              <w:t>TOTAL</w:t>
            </w:r>
          </w:p>
        </w:tc>
      </w:tr>
      <w:tr w:rsidR="003E6588" w:rsidTr="00BA1847">
        <w:trPr>
          <w:jc w:val="center"/>
        </w:trPr>
        <w:tc>
          <w:tcPr>
            <w:tcW w:w="1276" w:type="dxa"/>
            <w:shd w:val="clear" w:color="auto" w:fill="auto"/>
          </w:tcPr>
          <w:p w:rsidR="003E6588" w:rsidRDefault="003E6588">
            <w:pPr>
              <w:rPr>
                <w:b/>
                <w:bCs/>
                <w:color w:val="000000"/>
                <w:sz w:val="20"/>
                <w:szCs w:val="20"/>
              </w:rPr>
            </w:pPr>
            <w:r>
              <w:rPr>
                <w:b/>
                <w:bCs/>
                <w:color w:val="000000"/>
                <w:sz w:val="20"/>
                <w:szCs w:val="20"/>
              </w:rPr>
              <w:t>Alunos</w:t>
            </w:r>
          </w:p>
        </w:tc>
        <w:tc>
          <w:tcPr>
            <w:tcW w:w="1417" w:type="dxa"/>
            <w:shd w:val="clear" w:color="auto" w:fill="auto"/>
          </w:tcPr>
          <w:p w:rsidR="003E6588" w:rsidRDefault="003E6588">
            <w:pPr>
              <w:rPr>
                <w:bCs/>
                <w:color w:val="000000"/>
                <w:sz w:val="20"/>
                <w:szCs w:val="20"/>
              </w:rPr>
            </w:pPr>
            <w:r>
              <w:rPr>
                <w:bCs/>
                <w:color w:val="000000"/>
                <w:sz w:val="20"/>
                <w:szCs w:val="20"/>
              </w:rPr>
              <w:t>1.304.288</w:t>
            </w:r>
          </w:p>
        </w:tc>
        <w:tc>
          <w:tcPr>
            <w:tcW w:w="1559" w:type="dxa"/>
            <w:shd w:val="clear" w:color="auto" w:fill="auto"/>
          </w:tcPr>
          <w:p w:rsidR="003E6588" w:rsidRDefault="003E6588">
            <w:pPr>
              <w:rPr>
                <w:bCs/>
                <w:color w:val="000000"/>
                <w:sz w:val="20"/>
                <w:szCs w:val="20"/>
              </w:rPr>
            </w:pPr>
            <w:r>
              <w:rPr>
                <w:bCs/>
                <w:color w:val="000000"/>
                <w:sz w:val="20"/>
                <w:szCs w:val="20"/>
              </w:rPr>
              <w:t>770.654</w:t>
            </w:r>
          </w:p>
        </w:tc>
        <w:tc>
          <w:tcPr>
            <w:tcW w:w="1843" w:type="dxa"/>
            <w:shd w:val="clear" w:color="auto" w:fill="auto"/>
          </w:tcPr>
          <w:p w:rsidR="003E6588" w:rsidRDefault="003E6588">
            <w:pPr>
              <w:rPr>
                <w:bCs/>
                <w:color w:val="000000"/>
                <w:sz w:val="20"/>
                <w:szCs w:val="20"/>
              </w:rPr>
            </w:pPr>
            <w:r>
              <w:rPr>
                <w:bCs/>
                <w:color w:val="000000"/>
                <w:sz w:val="20"/>
                <w:szCs w:val="20"/>
              </w:rPr>
              <w:t>53.357</w:t>
            </w:r>
          </w:p>
        </w:tc>
        <w:tc>
          <w:tcPr>
            <w:tcW w:w="1843" w:type="dxa"/>
            <w:shd w:val="clear" w:color="auto" w:fill="auto"/>
          </w:tcPr>
          <w:p w:rsidR="003E6588" w:rsidRDefault="003E6588">
            <w:pPr>
              <w:rPr>
                <w:bCs/>
                <w:color w:val="000000"/>
                <w:sz w:val="20"/>
                <w:szCs w:val="20"/>
              </w:rPr>
            </w:pPr>
            <w:r>
              <w:rPr>
                <w:bCs/>
                <w:color w:val="000000"/>
                <w:sz w:val="20"/>
                <w:szCs w:val="20"/>
              </w:rPr>
              <w:t>20.977</w:t>
            </w:r>
          </w:p>
        </w:tc>
        <w:tc>
          <w:tcPr>
            <w:tcW w:w="1131" w:type="dxa"/>
            <w:shd w:val="clear" w:color="auto" w:fill="auto"/>
          </w:tcPr>
          <w:p w:rsidR="003E6588" w:rsidRDefault="003E6588">
            <w:pPr>
              <w:rPr>
                <w:bCs/>
                <w:color w:val="000000"/>
                <w:sz w:val="20"/>
                <w:szCs w:val="20"/>
              </w:rPr>
            </w:pPr>
            <w:r>
              <w:rPr>
                <w:bCs/>
                <w:color w:val="000000"/>
                <w:sz w:val="20"/>
                <w:szCs w:val="20"/>
              </w:rPr>
              <w:t>2.149.276</w:t>
            </w:r>
          </w:p>
        </w:tc>
      </w:tr>
      <w:tr w:rsidR="003E6588" w:rsidTr="00BA1847">
        <w:trPr>
          <w:jc w:val="center"/>
        </w:trPr>
        <w:tc>
          <w:tcPr>
            <w:tcW w:w="1276" w:type="dxa"/>
            <w:shd w:val="clear" w:color="auto" w:fill="auto"/>
          </w:tcPr>
          <w:p w:rsidR="003E6588" w:rsidRDefault="003E6588">
            <w:pPr>
              <w:rPr>
                <w:b/>
                <w:bCs/>
                <w:color w:val="000000"/>
                <w:sz w:val="20"/>
                <w:szCs w:val="20"/>
              </w:rPr>
            </w:pPr>
            <w:r>
              <w:rPr>
                <w:b/>
                <w:bCs/>
                <w:color w:val="000000"/>
                <w:sz w:val="20"/>
                <w:szCs w:val="20"/>
              </w:rPr>
              <w:t>Unidades</w:t>
            </w:r>
          </w:p>
        </w:tc>
        <w:tc>
          <w:tcPr>
            <w:tcW w:w="1417" w:type="dxa"/>
            <w:shd w:val="clear" w:color="auto" w:fill="auto"/>
          </w:tcPr>
          <w:p w:rsidR="003E6588" w:rsidRDefault="003E6588">
            <w:pPr>
              <w:rPr>
                <w:bCs/>
                <w:color w:val="000000"/>
                <w:sz w:val="20"/>
                <w:szCs w:val="20"/>
              </w:rPr>
            </w:pPr>
            <w:r>
              <w:rPr>
                <w:bCs/>
                <w:color w:val="000000"/>
                <w:sz w:val="20"/>
                <w:szCs w:val="20"/>
              </w:rPr>
              <w:t>5.001</w:t>
            </w:r>
          </w:p>
        </w:tc>
        <w:tc>
          <w:tcPr>
            <w:tcW w:w="1559" w:type="dxa"/>
            <w:shd w:val="clear" w:color="auto" w:fill="auto"/>
          </w:tcPr>
          <w:p w:rsidR="003E6588" w:rsidRDefault="003E6588">
            <w:pPr>
              <w:rPr>
                <w:bCs/>
                <w:color w:val="000000"/>
                <w:sz w:val="20"/>
                <w:szCs w:val="20"/>
              </w:rPr>
            </w:pPr>
            <w:r>
              <w:rPr>
                <w:bCs/>
                <w:color w:val="000000"/>
                <w:sz w:val="20"/>
                <w:szCs w:val="20"/>
              </w:rPr>
              <w:t>3.419</w:t>
            </w:r>
          </w:p>
        </w:tc>
        <w:tc>
          <w:tcPr>
            <w:tcW w:w="1843" w:type="dxa"/>
            <w:shd w:val="clear" w:color="auto" w:fill="auto"/>
          </w:tcPr>
          <w:p w:rsidR="003E6588" w:rsidRDefault="003E6588">
            <w:pPr>
              <w:rPr>
                <w:bCs/>
                <w:color w:val="000000"/>
                <w:sz w:val="20"/>
                <w:szCs w:val="20"/>
              </w:rPr>
            </w:pPr>
            <w:r>
              <w:rPr>
                <w:bCs/>
                <w:color w:val="000000"/>
                <w:sz w:val="20"/>
                <w:szCs w:val="20"/>
              </w:rPr>
              <w:t>211</w:t>
            </w:r>
          </w:p>
        </w:tc>
        <w:tc>
          <w:tcPr>
            <w:tcW w:w="1843" w:type="dxa"/>
            <w:shd w:val="clear" w:color="auto" w:fill="auto"/>
          </w:tcPr>
          <w:p w:rsidR="003E6588" w:rsidRDefault="003E6588">
            <w:pPr>
              <w:rPr>
                <w:bCs/>
                <w:color w:val="000000"/>
                <w:sz w:val="20"/>
                <w:szCs w:val="20"/>
              </w:rPr>
            </w:pPr>
            <w:r>
              <w:rPr>
                <w:bCs/>
                <w:color w:val="000000"/>
                <w:sz w:val="20"/>
                <w:szCs w:val="20"/>
              </w:rPr>
              <w:t>190</w:t>
            </w:r>
          </w:p>
        </w:tc>
        <w:tc>
          <w:tcPr>
            <w:tcW w:w="1131" w:type="dxa"/>
            <w:shd w:val="clear" w:color="auto" w:fill="auto"/>
          </w:tcPr>
          <w:p w:rsidR="003E6588" w:rsidRDefault="003E6588">
            <w:pPr>
              <w:rPr>
                <w:bCs/>
                <w:color w:val="000000"/>
                <w:sz w:val="20"/>
                <w:szCs w:val="20"/>
              </w:rPr>
            </w:pPr>
            <w:r>
              <w:rPr>
                <w:bCs/>
                <w:color w:val="000000"/>
                <w:sz w:val="20"/>
                <w:szCs w:val="20"/>
              </w:rPr>
              <w:t>8.821</w:t>
            </w:r>
          </w:p>
        </w:tc>
      </w:tr>
      <w:tr w:rsidR="003E6588" w:rsidTr="00BA1847">
        <w:trPr>
          <w:jc w:val="center"/>
        </w:trPr>
        <w:tc>
          <w:tcPr>
            <w:tcW w:w="1276" w:type="dxa"/>
            <w:shd w:val="clear" w:color="auto" w:fill="auto"/>
          </w:tcPr>
          <w:p w:rsidR="003E6588" w:rsidRDefault="003E6588">
            <w:pPr>
              <w:rPr>
                <w:b/>
                <w:bCs/>
                <w:color w:val="000000"/>
                <w:sz w:val="20"/>
                <w:szCs w:val="20"/>
              </w:rPr>
            </w:pPr>
            <w:r>
              <w:rPr>
                <w:b/>
                <w:bCs/>
                <w:color w:val="000000"/>
                <w:sz w:val="20"/>
                <w:szCs w:val="20"/>
              </w:rPr>
              <w:t>Municípios</w:t>
            </w:r>
          </w:p>
        </w:tc>
        <w:tc>
          <w:tcPr>
            <w:tcW w:w="1417" w:type="dxa"/>
            <w:shd w:val="clear" w:color="auto" w:fill="auto"/>
          </w:tcPr>
          <w:p w:rsidR="003E6588" w:rsidRDefault="003E6588">
            <w:pPr>
              <w:rPr>
                <w:bCs/>
                <w:color w:val="000000"/>
                <w:sz w:val="20"/>
                <w:szCs w:val="20"/>
              </w:rPr>
            </w:pPr>
            <w:r>
              <w:rPr>
                <w:bCs/>
                <w:color w:val="000000"/>
                <w:sz w:val="20"/>
                <w:szCs w:val="20"/>
              </w:rPr>
              <w:t>645</w:t>
            </w:r>
          </w:p>
        </w:tc>
        <w:tc>
          <w:tcPr>
            <w:tcW w:w="1559" w:type="dxa"/>
            <w:shd w:val="clear" w:color="auto" w:fill="auto"/>
          </w:tcPr>
          <w:p w:rsidR="003E6588" w:rsidRDefault="003E6588">
            <w:pPr>
              <w:rPr>
                <w:bCs/>
                <w:color w:val="000000"/>
                <w:sz w:val="20"/>
                <w:szCs w:val="20"/>
              </w:rPr>
            </w:pPr>
            <w:r>
              <w:rPr>
                <w:bCs/>
                <w:color w:val="000000"/>
                <w:sz w:val="20"/>
                <w:szCs w:val="20"/>
              </w:rPr>
              <w:t>545</w:t>
            </w:r>
          </w:p>
        </w:tc>
        <w:tc>
          <w:tcPr>
            <w:tcW w:w="1843" w:type="dxa"/>
            <w:shd w:val="clear" w:color="auto" w:fill="auto"/>
          </w:tcPr>
          <w:p w:rsidR="003E6588" w:rsidRDefault="003E6588">
            <w:pPr>
              <w:rPr>
                <w:bCs/>
                <w:color w:val="000000"/>
                <w:sz w:val="20"/>
                <w:szCs w:val="20"/>
              </w:rPr>
            </w:pPr>
            <w:r>
              <w:rPr>
                <w:bCs/>
                <w:color w:val="000000"/>
                <w:sz w:val="20"/>
                <w:szCs w:val="20"/>
              </w:rPr>
              <w:t>130</w:t>
            </w:r>
          </w:p>
        </w:tc>
        <w:tc>
          <w:tcPr>
            <w:tcW w:w="1843" w:type="dxa"/>
            <w:shd w:val="clear" w:color="auto" w:fill="auto"/>
          </w:tcPr>
          <w:p w:rsidR="003E6588" w:rsidRDefault="003E6588">
            <w:pPr>
              <w:rPr>
                <w:bCs/>
                <w:color w:val="000000"/>
                <w:sz w:val="20"/>
                <w:szCs w:val="20"/>
              </w:rPr>
            </w:pPr>
            <w:r>
              <w:rPr>
                <w:bCs/>
                <w:color w:val="000000"/>
                <w:sz w:val="20"/>
                <w:szCs w:val="20"/>
              </w:rPr>
              <w:t>144</w:t>
            </w:r>
          </w:p>
        </w:tc>
        <w:tc>
          <w:tcPr>
            <w:tcW w:w="1131" w:type="dxa"/>
            <w:shd w:val="clear" w:color="auto" w:fill="auto"/>
          </w:tcPr>
          <w:p w:rsidR="003E6588" w:rsidRDefault="003E6588">
            <w:pPr>
              <w:rPr>
                <w:bCs/>
                <w:color w:val="000000"/>
                <w:sz w:val="20"/>
                <w:szCs w:val="20"/>
              </w:rPr>
            </w:pPr>
            <w:r>
              <w:rPr>
                <w:bCs/>
                <w:color w:val="000000"/>
                <w:sz w:val="20"/>
                <w:szCs w:val="20"/>
              </w:rPr>
              <w:t>-</w:t>
            </w:r>
          </w:p>
        </w:tc>
      </w:tr>
    </w:tbl>
    <w:p w:rsidR="003E6588" w:rsidRDefault="003E6588" w:rsidP="00BA1847">
      <w:pPr>
        <w:jc w:val="both"/>
        <w:rPr>
          <w:color w:val="000000"/>
          <w:sz w:val="16"/>
          <w:szCs w:val="16"/>
        </w:rPr>
      </w:pPr>
      <w:r>
        <w:rPr>
          <w:bCs/>
          <w:color w:val="000000"/>
          <w:sz w:val="16"/>
          <w:szCs w:val="16"/>
        </w:rPr>
        <w:t xml:space="preserve">            Tabela: </w:t>
      </w:r>
      <w:r>
        <w:rPr>
          <w:color w:val="000000"/>
          <w:sz w:val="16"/>
          <w:szCs w:val="16"/>
        </w:rPr>
        <w:t>Adesão ao Saresp 2014</w:t>
      </w:r>
    </w:p>
    <w:p w:rsidR="003E6588" w:rsidRDefault="003E6588">
      <w:pPr>
        <w:pStyle w:val="Rodap"/>
        <w:ind w:firstLine="1134"/>
        <w:contextualSpacing/>
        <w:jc w:val="both"/>
        <w:rPr>
          <w:color w:val="000000"/>
        </w:rPr>
      </w:pPr>
    </w:p>
    <w:p w:rsidR="003E6588" w:rsidRDefault="003E6588">
      <w:pPr>
        <w:pStyle w:val="Rodap"/>
        <w:ind w:firstLine="1134"/>
        <w:contextualSpacing/>
        <w:jc w:val="both"/>
        <w:rPr>
          <w:color w:val="000000"/>
        </w:rPr>
      </w:pPr>
      <w:r>
        <w:rPr>
          <w:color w:val="000000"/>
        </w:rPr>
        <w:t>Além do Saresp, a Secretaria vem investindo na AAP - Avaliação da Aprendizagem em Processo - ação semestral, desenvolvida de modo colaborativo entre as Coordenadorias de Gestão Pedagógica - (CGEB e de Informação, Monitoramento e Avaliação - CIMA. De caráter diagnóstico, se localiza no bojo das ações voltadas para os processos de atendimento diferenciados, subsidiando as atividades de recuperação junto aos professores de Língua Portuguesa e de Matemática que atuam do 6º ao 9º anos do Ensino Fundamental e nas três séries do Ensino Médio da Rede, atingindo cerca de 3,5 milhões de alunos das escolas estaduais no início de cada semestre. Fundamentado no Currículo Oficial do Estado de São Paulo, a AAP propõe o acompanhamento coletivo, nos casos em que se mostrem necessárias algumas formas de agrupamento, bem como o individualizado. Além das provas de Língua Portuguesa, Produção Textual e Matemática, a AAP também, no intuito de apoiar o trabalho dos professores em sala de aula, conta com materiais de orientações para leitura e análise dos resultados e subsídios para as atividades de recuperação da aprendizagem</w:t>
      </w:r>
      <w:r w:rsidRPr="00BA1847">
        <w:rPr>
          <w:color w:val="000000"/>
        </w:rPr>
        <w:t>.</w:t>
      </w:r>
      <w:r w:rsidRPr="00BA1847">
        <w:rPr>
          <w:bCs/>
        </w:rPr>
        <w:t xml:space="preserve"> </w:t>
      </w:r>
      <w:r w:rsidRPr="00BA1847">
        <w:rPr>
          <w:color w:val="000000"/>
        </w:rPr>
        <w:t>3</w:t>
      </w:r>
      <w:r>
        <w:rPr>
          <w:color w:val="000000"/>
        </w:rPr>
        <w:t>.979.600 alunos foram avaliados.</w:t>
      </w:r>
    </w:p>
    <w:p w:rsidR="003E6588" w:rsidRDefault="003E6588">
      <w:pPr>
        <w:pStyle w:val="Rodap"/>
        <w:ind w:firstLine="1134"/>
        <w:contextualSpacing/>
        <w:jc w:val="both"/>
        <w:rPr>
          <w:color w:val="000000"/>
        </w:rPr>
      </w:pPr>
    </w:p>
    <w:p w:rsidR="003E6588" w:rsidRDefault="003E6588">
      <w:pPr>
        <w:ind w:firstLine="1134"/>
        <w:jc w:val="both"/>
      </w:pPr>
      <w:r>
        <w:t>Um avanço importante foi a implantação de sistema informatizado para o acompanhamento dos resultados das avaliações. O SARA tem como</w:t>
      </w:r>
      <w:r>
        <w:rPr>
          <w:i/>
        </w:rPr>
        <w:t xml:space="preserve"> </w:t>
      </w:r>
      <w:r>
        <w:t>objetivos: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Permitir ao professor o uso de tecnologias na visualização de resultados e análises comparativas e evolutivas da aprendizagem de seus alunos, otimizando o tempo para sua atuação didático pedagógica;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Auxiliar as diretorias de ensino e suas unidades escolares no acompanhamento das avaliações realizadas por suas turmas e inseridas no sistema, apoiando as ações docentes necessárias para melhorar a aprendizagem; 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Desenvolver banco de itens para auxiliar os professores no desenvolvimento de avaliações de aprendizagem de seus alunos.</w:t>
      </w:r>
    </w:p>
    <w:p w:rsidR="003E6588" w:rsidRDefault="003E6588">
      <w:pPr>
        <w:pStyle w:val="PargrafodaLista"/>
        <w:ind w:left="1068"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eastAsia="Times New Roman" w:hAnsi="Times New Roman"/>
          <w:color w:val="000000"/>
          <w:sz w:val="24"/>
          <w:szCs w:val="24"/>
          <w:lang w:eastAsia="pt-BR"/>
        </w:rPr>
        <w:t>A adesão ao sistema foi voluntária, e os números atingidos são expressivos, já que os resultados de 2.683.746 provas foram inseridos.</w:t>
      </w:r>
    </w:p>
    <w:p w:rsidR="003E6588" w:rsidRDefault="003E6588">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bCs/>
          <w:color w:val="000000"/>
        </w:rPr>
      </w:pPr>
      <w:r>
        <w:rPr>
          <w:b/>
          <w:color w:val="000000"/>
        </w:rPr>
        <w:t xml:space="preserve">Escolas prioritárias - </w:t>
      </w:r>
      <w:r>
        <w:rPr>
          <w:color w:val="000000"/>
        </w:rPr>
        <w:t xml:space="preserve">Foi a prática sistemática da avaliação que revelou haver, na Rede pública do Estado, um conjunto de escolas em situação de maior vulnerabilidade, as quais foram agrupadas sob a denominação de </w:t>
      </w:r>
      <w:r>
        <w:rPr>
          <w:bCs/>
          <w:color w:val="000000"/>
        </w:rPr>
        <w:t>Escolas Prioritárias</w:t>
      </w:r>
      <w:r>
        <w:rPr>
          <w:b/>
          <w:bCs/>
          <w:color w:val="000000"/>
        </w:rPr>
        <w:t xml:space="preserve"> </w:t>
      </w:r>
      <w:r>
        <w:rPr>
          <w:bCs/>
          <w:color w:val="000000"/>
        </w:rPr>
        <w:t>e que somaram 1.364 unidades.</w:t>
      </w:r>
    </w:p>
    <w:p w:rsidR="00BA1847" w:rsidRDefault="00BA1847">
      <w:pPr>
        <w:autoSpaceDE w:val="0"/>
        <w:autoSpaceDN w:val="0"/>
        <w:adjustRightInd w:val="0"/>
        <w:ind w:firstLine="1134"/>
        <w:jc w:val="both"/>
        <w:rPr>
          <w:bCs/>
          <w:color w:val="000000"/>
        </w:rPr>
      </w:pPr>
    </w:p>
    <w:p w:rsidR="003E6588" w:rsidRDefault="003E6588">
      <w:pPr>
        <w:autoSpaceDE w:val="0"/>
        <w:autoSpaceDN w:val="0"/>
        <w:adjustRightInd w:val="0"/>
        <w:ind w:firstLine="1134"/>
        <w:jc w:val="both"/>
        <w:rPr>
          <w:color w:val="000000"/>
        </w:rPr>
      </w:pPr>
      <w:r>
        <w:rPr>
          <w:bCs/>
          <w:color w:val="000000"/>
        </w:rPr>
        <w:t>Esse conjunto de escolas é objeto de ações específicas, entre as quais se destacam o programa “Residência Educacional” e a criação do PCAGP - Professor Coordenador de Gestão Pedagógica. Quanto ao “</w:t>
      </w:r>
      <w:r>
        <w:rPr>
          <w:color w:val="000000"/>
        </w:rPr>
        <w:t>Residência Educacional”, registrou-se um contingente de 2.224 residentes.</w:t>
      </w:r>
    </w:p>
    <w:p w:rsidR="003E6588" w:rsidRDefault="003E6588">
      <w:pPr>
        <w:autoSpaceDE w:val="0"/>
        <w:autoSpaceDN w:val="0"/>
        <w:adjustRightInd w:val="0"/>
        <w:ind w:firstLine="1134"/>
        <w:jc w:val="both"/>
      </w:pPr>
      <w:r>
        <w:rPr>
          <w:color w:val="000000"/>
        </w:rPr>
        <w:lastRenderedPageBreak/>
        <w:t xml:space="preserve">Quanto ao PCAGP, </w:t>
      </w:r>
      <w:r>
        <w:rPr>
          <w:bCs/>
          <w:snapToGrid w:val="0"/>
          <w:color w:val="000000"/>
        </w:rPr>
        <w:t>totalizou 1.741 servidores.</w:t>
      </w:r>
      <w:r>
        <w:rPr>
          <w:snapToGrid w:val="0"/>
          <w:color w:val="000000"/>
        </w:rPr>
        <w:t xml:space="preserve"> </w:t>
      </w:r>
      <w:r>
        <w:t>As principais ações foram:</w:t>
      </w:r>
    </w:p>
    <w:p w:rsidR="003E6588" w:rsidRDefault="003E6588">
      <w:pPr>
        <w:ind w:firstLine="1134"/>
      </w:pPr>
    </w:p>
    <w:p w:rsidR="003E6588" w:rsidRDefault="003E6588">
      <w:pPr>
        <w:ind w:firstLine="1134"/>
        <w:jc w:val="both"/>
      </w:pPr>
      <w:r>
        <w:t>- Retomada do instrumento Plano de Ação Participativa - PAP, com a participação das Diretorias de Ensino e da comunidade escolar na reflexão sobre a realidade da escola, no planejamento de ações para resolução de problemas e necessidades;</w:t>
      </w:r>
    </w:p>
    <w:p w:rsidR="003E6588" w:rsidRDefault="003E6588">
      <w:pPr>
        <w:ind w:firstLine="1134"/>
      </w:pPr>
    </w:p>
    <w:p w:rsidR="003E6588" w:rsidRDefault="003E6588">
      <w:pPr>
        <w:ind w:firstLine="1134"/>
        <w:jc w:val="both"/>
      </w:pPr>
      <w:r>
        <w:t>- Acompanhamento dos mecanismos de apoio que subsidiam a atuação do professor;</w:t>
      </w:r>
    </w:p>
    <w:p w:rsidR="003E6588" w:rsidRDefault="003E6588">
      <w:pPr>
        <w:ind w:firstLine="1134"/>
        <w:jc w:val="both"/>
      </w:pPr>
    </w:p>
    <w:p w:rsidR="003E6588" w:rsidRDefault="003E6588">
      <w:pPr>
        <w:ind w:firstLine="1134"/>
        <w:jc w:val="both"/>
      </w:pPr>
      <w:r>
        <w:t>- Análise comparativa (série histórica) entre os dados SARESP/IDESP/Taxas de Aprovação/Abandono/Reprovação;</w:t>
      </w:r>
    </w:p>
    <w:p w:rsidR="003E6588" w:rsidRDefault="003E6588">
      <w:pPr>
        <w:ind w:firstLine="1134"/>
        <w:jc w:val="both"/>
      </w:pPr>
    </w:p>
    <w:p w:rsidR="003E6588" w:rsidRDefault="003E6588">
      <w:pPr>
        <w:ind w:firstLine="1134"/>
        <w:jc w:val="both"/>
      </w:pPr>
      <w:r>
        <w:t>- Reuniões de Trabalho em 9 Polos, com 24 DER com mais de 20 escolas prioritárias; e</w:t>
      </w:r>
    </w:p>
    <w:p w:rsidR="003E6588" w:rsidRDefault="003E6588">
      <w:pPr>
        <w:ind w:firstLine="1134"/>
        <w:jc w:val="both"/>
      </w:pPr>
    </w:p>
    <w:p w:rsidR="003E6588" w:rsidRDefault="003E6588">
      <w:pPr>
        <w:ind w:firstLine="1134"/>
        <w:jc w:val="both"/>
      </w:pPr>
      <w:r>
        <w:t>- Elaboração e Publicação de Documentos Orientadores.</w:t>
      </w:r>
    </w:p>
    <w:p w:rsidR="003E6588" w:rsidRDefault="003E6588">
      <w:pPr>
        <w:autoSpaceDE w:val="0"/>
        <w:autoSpaceDN w:val="0"/>
        <w:adjustRightInd w:val="0"/>
        <w:ind w:firstLine="1134"/>
        <w:jc w:val="both"/>
        <w:rPr>
          <w:snapToGrid w:val="0"/>
          <w:color w:val="000000"/>
        </w:rPr>
      </w:pPr>
    </w:p>
    <w:p w:rsidR="003E6588" w:rsidRDefault="003E6588">
      <w:pPr>
        <w:ind w:firstLine="1134"/>
        <w:jc w:val="both"/>
        <w:rPr>
          <w:color w:val="000000"/>
        </w:rPr>
      </w:pPr>
      <w:r>
        <w:rPr>
          <w:b/>
          <w:color w:val="000000"/>
        </w:rPr>
        <w:t xml:space="preserve">Educação Especial e Inclusão - </w:t>
      </w:r>
      <w:r>
        <w:rPr>
          <w:color w:val="000000"/>
        </w:rPr>
        <w:t>As ações de Educação Especial na Secretaria são gerenciadas pelo CAPE/CGEB - Núcleo de Apoio Pedagógico Especializado com o objetivo de oferecer suporte ao processo de inclusão escolar de alunos com deficiência (auditiva, física, visual, intelectual, deficiência múltipla), transtornos globais do desenvolvimento e altas habilidades/ superdotação na Rede estadual de ensino. Houve expansão no número de CAPES Regionais, equipes compostas por psicólogo, fonoaudiólogo, terapeuta ocupacional, psicopedagogo e auxiliar administrativo, que conseguem atuar mais proximamente às escolas na adoção das medidas educativas. Há, atualmente, quinze unidades descentralizadas; destaca-se a publicação da Resolução SE nº 61/2014, que dispõe sobre o atendimento aos alunos público alvo da Educação Especial matriculados na Rede Estadual Paulista.</w:t>
      </w:r>
    </w:p>
    <w:p w:rsidR="003E6588" w:rsidRDefault="003E6588">
      <w:pPr>
        <w:ind w:firstLine="1134"/>
        <w:jc w:val="both"/>
        <w:rPr>
          <w:color w:val="000000"/>
          <w:sz w:val="16"/>
          <w:szCs w:val="16"/>
        </w:rPr>
      </w:pPr>
    </w:p>
    <w:p w:rsidR="003E6588" w:rsidRDefault="003E6588">
      <w:pPr>
        <w:ind w:firstLine="1134"/>
        <w:jc w:val="both"/>
        <w:rPr>
          <w:color w:val="000000"/>
        </w:rPr>
      </w:pPr>
      <w:r>
        <w:rPr>
          <w:color w:val="000000"/>
        </w:rPr>
        <w:t>A Educação Especial se faz pelas seguintes intervenções:</w:t>
      </w:r>
    </w:p>
    <w:p w:rsidR="003E6588" w:rsidRDefault="003E6588">
      <w:pPr>
        <w:ind w:firstLine="1134"/>
        <w:jc w:val="both"/>
        <w:rPr>
          <w:color w:val="000000"/>
          <w:sz w:val="16"/>
          <w:szCs w:val="16"/>
        </w:rPr>
      </w:pPr>
    </w:p>
    <w:p w:rsidR="003E6588" w:rsidRDefault="00AD3B0F">
      <w:pPr>
        <w:pStyle w:val="PargrafodaLista"/>
        <w:ind w:left="0"/>
        <w:jc w:val="center"/>
        <w:rPr>
          <w:szCs w:val="20"/>
        </w:rPr>
      </w:pPr>
      <w:r>
        <w:rPr>
          <w:noProof/>
          <w:szCs w:val="20"/>
          <w:lang w:eastAsia="pt-BR"/>
        </w:rPr>
        <w:drawing>
          <wp:inline distT="0" distB="0" distL="0" distR="0">
            <wp:extent cx="6181725" cy="2047875"/>
            <wp:effectExtent l="19050" t="0" r="9525"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cstate="print"/>
                    <a:srcRect/>
                    <a:stretch>
                      <a:fillRect/>
                    </a:stretch>
                  </pic:blipFill>
                  <pic:spPr bwMode="auto">
                    <a:xfrm>
                      <a:off x="0" y="0"/>
                      <a:ext cx="6181725" cy="2047875"/>
                    </a:xfrm>
                    <a:prstGeom prst="rect">
                      <a:avLst/>
                    </a:prstGeom>
                    <a:noFill/>
                    <a:ln w="9525">
                      <a:noFill/>
                      <a:miter lim="800000"/>
                      <a:headEnd/>
                      <a:tailEnd/>
                    </a:ln>
                  </pic:spPr>
                </pic:pic>
              </a:graphicData>
            </a:graphic>
          </wp:inline>
        </w:drawing>
      </w:r>
    </w:p>
    <w:p w:rsidR="003E6588" w:rsidRDefault="003E6588">
      <w:pPr>
        <w:pStyle w:val="PargrafodaLista"/>
        <w:ind w:left="0"/>
        <w:jc w:val="left"/>
        <w:rPr>
          <w:rFonts w:ascii="Times New Roman" w:hAnsi="Times New Roman"/>
          <w:color w:val="000000"/>
          <w:sz w:val="16"/>
          <w:szCs w:val="16"/>
        </w:rPr>
      </w:pPr>
      <w:r>
        <w:rPr>
          <w:rFonts w:ascii="Times New Roman" w:hAnsi="Times New Roman"/>
          <w:color w:val="000000"/>
          <w:sz w:val="16"/>
          <w:szCs w:val="16"/>
        </w:rPr>
        <w:t xml:space="preserve">     Quadro</w:t>
      </w:r>
      <w:r>
        <w:rPr>
          <w:rFonts w:ascii="Times New Roman" w:hAnsi="Times New Roman"/>
          <w:b/>
          <w:color w:val="000000"/>
          <w:sz w:val="16"/>
          <w:szCs w:val="16"/>
        </w:rPr>
        <w:t>:</w:t>
      </w:r>
      <w:r>
        <w:rPr>
          <w:rFonts w:ascii="Times New Roman" w:hAnsi="Times New Roman"/>
          <w:color w:val="000000"/>
          <w:sz w:val="16"/>
          <w:szCs w:val="16"/>
        </w:rPr>
        <w:t xml:space="preserve"> intervenções, instalações e alunos – Educação Especial</w:t>
      </w:r>
    </w:p>
    <w:p w:rsidR="00BA1847" w:rsidRDefault="00BA1847">
      <w:pPr>
        <w:ind w:firstLine="1134"/>
        <w:jc w:val="both"/>
      </w:pPr>
    </w:p>
    <w:p w:rsidR="003E6588" w:rsidRDefault="003E6588">
      <w:pPr>
        <w:ind w:firstLine="1134"/>
        <w:jc w:val="both"/>
      </w:pPr>
      <w:r>
        <w:t xml:space="preserve">A formação do docente e a produção de materiais e recursos assumem papel fundamental na área de Educação Especial; no que diz respeito à formação, aconteceram 5 orientações técnicas </w:t>
      </w:r>
      <w:r>
        <w:lastRenderedPageBreak/>
        <w:t>descentralizadas, gravação de videoaulas para distribuição às Diretorias de Ensinos nas áreas de Deficiência Visual e Intelectual e cursos presenciais no CAPE nas áreas de Deficiência Física e Autismo. Uma das principais conquistas foi a aprovação, no Conselho Estadual da Educação, d</w:t>
      </w:r>
      <w:r>
        <w:rPr>
          <w:shd w:val="clear" w:color="auto" w:fill="FFFFFF"/>
        </w:rPr>
        <w:t>o atendimento de alunos com deficiência intelectual, com idade entre 15 e 30 anos, das escolas conveniadas e da Rede estadual, na modalidade educação especial para o trabalho.</w:t>
      </w:r>
    </w:p>
    <w:p w:rsidR="003E6588" w:rsidRDefault="003E6588">
      <w:pPr>
        <w:ind w:firstLine="1134"/>
        <w:jc w:val="both"/>
        <w:rPr>
          <w:color w:val="000000"/>
        </w:rPr>
      </w:pPr>
    </w:p>
    <w:p w:rsidR="003E6588" w:rsidRDefault="003E6588">
      <w:pPr>
        <w:ind w:firstLine="1134"/>
        <w:jc w:val="both"/>
        <w:rPr>
          <w:color w:val="000000"/>
        </w:rPr>
      </w:pPr>
      <w:r>
        <w:rPr>
          <w:color w:val="000000"/>
        </w:rPr>
        <w:t>Entre outras iniciativas relevantes cabe destacar:</w:t>
      </w:r>
    </w:p>
    <w:p w:rsidR="003E6588" w:rsidRDefault="003E6588">
      <w:pPr>
        <w:ind w:firstLine="1134"/>
        <w:jc w:val="both"/>
        <w:rPr>
          <w:color w:val="000000"/>
        </w:rPr>
      </w:pPr>
    </w:p>
    <w:p w:rsidR="003E6588" w:rsidRDefault="003E6588">
      <w:pPr>
        <w:ind w:firstLine="1134"/>
        <w:jc w:val="both"/>
      </w:pPr>
      <w:r>
        <w:t xml:space="preserve">- Curso de Libras </w:t>
      </w:r>
      <w:r>
        <w:rPr>
          <w:i/>
        </w:rPr>
        <w:t xml:space="preserve">on line </w:t>
      </w:r>
      <w:r>
        <w:t>para servidores e alunos, iniciativa pioneira que ajuda a disseminação da linguagem tanto para surdos quanto para ouvintes, proporcionando aos alunos uma grande ferramenta de educação;</w:t>
      </w:r>
    </w:p>
    <w:p w:rsidR="003E6588" w:rsidRDefault="003E6588">
      <w:pPr>
        <w:ind w:firstLine="1134"/>
        <w:jc w:val="both"/>
      </w:pPr>
    </w:p>
    <w:p w:rsidR="003E6588" w:rsidRDefault="003E6588">
      <w:pPr>
        <w:ind w:firstLine="1134"/>
        <w:jc w:val="both"/>
      </w:pPr>
      <w:r>
        <w:t>- Projeto de Realinhamento das CRPEs - Classes Regidas por Professor Especializado, que consistiu na avaliação multidisciplinar de todos os alunos e que resultou em encaminhamentos adequados a cada caso (desde a manutenção dos alunos com orientações aos professores até o encaminhamento do aluno a atividades compatíveis com seus interesses e possibilidades); e</w:t>
      </w:r>
    </w:p>
    <w:p w:rsidR="003E6588" w:rsidRDefault="003E6588">
      <w:pPr>
        <w:ind w:firstLine="1134"/>
        <w:jc w:val="both"/>
      </w:pPr>
    </w:p>
    <w:p w:rsidR="003E6588" w:rsidRDefault="003E6588">
      <w:pPr>
        <w:ind w:firstLine="1134"/>
        <w:jc w:val="both"/>
      </w:pPr>
      <w:r>
        <w:t>- Contratação de 1.201 Professores Interlocutores (Libras) para mediar a comunicação entre o aluno surdo/deficiente auditivo durante as atividades escolares.</w:t>
      </w:r>
    </w:p>
    <w:p w:rsidR="003E6588" w:rsidRDefault="003E6588">
      <w:pPr>
        <w:ind w:firstLine="1134"/>
        <w:jc w:val="both"/>
        <w:rPr>
          <w:color w:val="000000"/>
        </w:rPr>
      </w:pPr>
    </w:p>
    <w:p w:rsidR="003E6588" w:rsidRDefault="003E6588">
      <w:pPr>
        <w:ind w:firstLine="1134"/>
        <w:jc w:val="both"/>
        <w:rPr>
          <w:color w:val="000000"/>
        </w:rPr>
      </w:pPr>
      <w:r>
        <w:rPr>
          <w:color w:val="000000"/>
        </w:rPr>
        <w:t>Por fim, mencione-se que, para garantir o acesso e a permanência dos alunos na escola, a contratação de cuidadores é ação relevante; esses profissionais têm a função de atender os alunos com deficiência, cujas limitações acarretem dificuldades no cotidiano escolar. Estão contratados 2.325 profissionais que apoiam 3.240 alunos em atividades relacionadas à alimentação, higiene, utilização de banheiro, locomoção e em alguns casos de administração de medicamentos.</w:t>
      </w:r>
    </w:p>
    <w:p w:rsidR="003E6588" w:rsidRDefault="003E6588">
      <w:pPr>
        <w:ind w:firstLine="1134"/>
        <w:jc w:val="both"/>
        <w:rPr>
          <w:color w:val="000000"/>
        </w:rPr>
      </w:pPr>
    </w:p>
    <w:p w:rsidR="003E6588" w:rsidRDefault="003E6588">
      <w:pPr>
        <w:ind w:firstLine="1134"/>
        <w:jc w:val="both"/>
        <w:rPr>
          <w:color w:val="000000"/>
        </w:rPr>
      </w:pPr>
      <w:r>
        <w:rPr>
          <w:color w:val="000000"/>
        </w:rPr>
        <w:t>Quanto às outras ações que requerem um atendimento pedagógico especializado, elas são de responsabilidade do Núcleo de Inclusão Educacional - NINC</w:t>
      </w:r>
      <w:r>
        <w:rPr>
          <w:b/>
          <w:color w:val="000000"/>
        </w:rPr>
        <w:t xml:space="preserve"> </w:t>
      </w:r>
      <w:r>
        <w:rPr>
          <w:color w:val="000000"/>
        </w:rPr>
        <w:t>que registrou os avanços abaixo comentados.</w:t>
      </w:r>
    </w:p>
    <w:p w:rsidR="003E6588" w:rsidRDefault="003E6588">
      <w:pPr>
        <w:ind w:firstLine="1134"/>
        <w:jc w:val="both"/>
        <w:rPr>
          <w:color w:val="000000"/>
          <w:shd w:val="clear" w:color="auto" w:fill="FFFFFF"/>
        </w:rPr>
      </w:pPr>
    </w:p>
    <w:p w:rsidR="003E6588" w:rsidRDefault="003E6588">
      <w:pPr>
        <w:ind w:firstLine="1134"/>
        <w:jc w:val="both"/>
        <w:rPr>
          <w:color w:val="000000"/>
        </w:rPr>
      </w:pPr>
      <w:r>
        <w:rPr>
          <w:color w:val="000000"/>
        </w:rPr>
        <w:t>Interculturalidade, multilinguismo e fortalecimento das culturas tradicionais são as premissas da Educação Escolar Indígena, que conta atualmente com 40 escolas estaduais indígenas, 260 professores e 1.431 alunos, atendidos nas próprias comunidades. Merece destaque a realização da ação "Saberes Indígenas na Escola", em parceria com o MEC e a Universidade de São Paulo, que promoveu formação continuada aos professores sobre pedagogias próprias acerca dos conhecimentos tradicionais e a produção de material didático.</w:t>
      </w:r>
    </w:p>
    <w:p w:rsidR="003E6588" w:rsidRDefault="003E6588">
      <w:pPr>
        <w:ind w:firstLine="1134"/>
        <w:jc w:val="both"/>
        <w:rPr>
          <w:color w:val="000000"/>
        </w:rPr>
      </w:pPr>
    </w:p>
    <w:p w:rsidR="003E6588" w:rsidRDefault="003E6588">
      <w:pPr>
        <w:ind w:firstLine="1134"/>
        <w:jc w:val="both"/>
        <w:rPr>
          <w:color w:val="000000"/>
          <w:shd w:val="clear" w:color="auto" w:fill="FFFFFF"/>
        </w:rPr>
      </w:pPr>
      <w:r>
        <w:t xml:space="preserve">A Educação Escolar Quilombola encontra-se em fase de implementação, com ações que visam assegurar as necessidades educacionais de alunos e alunas quilombolas, dentre as quais destaca-se a formação de gestores e professores e a produção de material pedagógico específico. O Estado possui 26 escolas quilombolas, sendo 24 municipais e 2 estaduais. Além dessas 26 escolas que ficam em território quilombola, as escolas estaduais recebem alunos oriundos dessas comunidades, principalmente no Ensino Médio. </w:t>
      </w:r>
      <w:r>
        <w:rPr>
          <w:color w:val="000000"/>
          <w:shd w:val="clear" w:color="auto" w:fill="FFFFFF"/>
        </w:rPr>
        <w:t xml:space="preserve">Com a criação do campo "Aluno Quilombola" no Sistema de </w:t>
      </w:r>
      <w:r>
        <w:rPr>
          <w:color w:val="000000"/>
          <w:shd w:val="clear" w:color="auto" w:fill="FFFFFF"/>
        </w:rPr>
        <w:lastRenderedPageBreak/>
        <w:t xml:space="preserve">Cadastro de Aluno, </w:t>
      </w:r>
      <w:r>
        <w:t>passou a ser possível identificar esses estudantes para melhor planejar a ampliação e aprimoramento das políticas educacionais voltadas a esta população.</w:t>
      </w:r>
    </w:p>
    <w:p w:rsidR="003E6588" w:rsidRDefault="003E6588">
      <w:pPr>
        <w:ind w:firstLine="1134"/>
        <w:jc w:val="both"/>
        <w:rPr>
          <w:strike/>
          <w:shd w:val="clear" w:color="auto" w:fill="FFFFFF"/>
        </w:rPr>
      </w:pPr>
    </w:p>
    <w:p w:rsidR="003E6588" w:rsidRDefault="003E6588">
      <w:pPr>
        <w:ind w:firstLine="1134"/>
        <w:jc w:val="both"/>
      </w:pPr>
      <w:r>
        <w:rPr>
          <w:color w:val="000000"/>
          <w:shd w:val="clear" w:color="auto" w:fill="FFFFFF"/>
        </w:rPr>
        <w:t>O Programa “Educação nas Prisões” teve aumento no número de alunos atendidos, para 12.821. Nas 130 unidades penitenciárias, o Programa conta com 1.047 professores da Rede, que vem aperfeiçoando a utilização do material “EJA no Mundo do Trabalho”, específico para a Educação de Jovens e Adultos, modalidade adotada no programa, produzido pela Secretaria de Desenvolvimento</w:t>
      </w:r>
      <w:r>
        <w:rPr>
          <w:rFonts w:ascii="Tahoma" w:hAnsi="Tahoma" w:cs="Tahoma"/>
          <w:color w:val="000000"/>
          <w:sz w:val="14"/>
          <w:szCs w:val="14"/>
        </w:rPr>
        <w:t xml:space="preserve"> </w:t>
      </w:r>
      <w:r>
        <w:rPr>
          <w:color w:val="000000"/>
          <w:shd w:val="clear" w:color="auto" w:fill="FFFFFF"/>
        </w:rPr>
        <w:t xml:space="preserve">Econômico, Ciência, Tecnologia e Inovação. A gestão, em parceria com Secretaria da Administração Penitenciária, fortaleceu o acompanhamento pedagógico e o suporte aos educadores como proposto no Plano Estadual de Educação nas Prisões. </w:t>
      </w:r>
      <w:r>
        <w:t>Cabe lembrar, também, a atuação já consolidada junto à Socioeducação, na escolarização de adolescentes e jovens em cumprimento de medidas socioeducativas; estes são hoje 7.331 alunos em 122 unidades da Fundação CASA. A SE propôs novas metas no Plano Decenal de Atendimento Socioeducativo do Estado de São Paulo visando qualificar ainda mais o atendimento aos adolescentes em internação, como também em meio aberto.</w:t>
      </w:r>
    </w:p>
    <w:p w:rsidR="003E6588" w:rsidRDefault="003E6588">
      <w:pPr>
        <w:ind w:firstLine="1134"/>
        <w:jc w:val="both"/>
        <w:rPr>
          <w:color w:val="000000"/>
          <w:shd w:val="clear" w:color="auto" w:fill="FFFFFF"/>
        </w:rPr>
      </w:pPr>
    </w:p>
    <w:p w:rsidR="003E6588" w:rsidRDefault="003E6588">
      <w:pPr>
        <w:ind w:firstLine="1134"/>
        <w:jc w:val="both"/>
        <w:rPr>
          <w:color w:val="000000"/>
          <w:shd w:val="clear" w:color="auto" w:fill="FFFFFF"/>
        </w:rPr>
      </w:pPr>
      <w:r>
        <w:rPr>
          <w:color w:val="000000"/>
          <w:shd w:val="clear" w:color="auto" w:fill="FFFFFF"/>
        </w:rPr>
        <w:t>Destaque-se, também, a formulação do projeto de atendimento aos estudantes estrangeiros na Rede paulista a partir de uma experiência piloto de ensino de Língua Portuguesa para estrangeiros e acolhimento dos seus familiares pelo Programa Escola da Família. Foram identificados 7.810 mil alunos de 90 nacionalidades diferentes matriculados na Rede estadual de ensino.</w:t>
      </w:r>
    </w:p>
    <w:p w:rsidR="003E6588" w:rsidRDefault="003E6588">
      <w:pPr>
        <w:ind w:firstLine="1134"/>
        <w:jc w:val="both"/>
        <w:rPr>
          <w:color w:val="000000"/>
          <w:shd w:val="clear" w:color="auto" w:fill="FFFFFF"/>
        </w:rPr>
      </w:pPr>
    </w:p>
    <w:p w:rsidR="003E6588" w:rsidRDefault="003E6588">
      <w:pPr>
        <w:ind w:firstLine="1134"/>
        <w:jc w:val="both"/>
        <w:rPr>
          <w:color w:val="000000"/>
          <w:shd w:val="clear" w:color="auto" w:fill="FFFFFF"/>
        </w:rPr>
      </w:pPr>
      <w:r>
        <w:rPr>
          <w:color w:val="000000"/>
          <w:shd w:val="clear" w:color="auto" w:fill="FFFFFF"/>
        </w:rPr>
        <w:t>No que diz respeito ao enfrentamento à homofobia e valorização da diversidade sexual e de gênero, o Decreto nº 55.588/2010 foi regulamentado assegurando o direito ao tratamento nominal de alunos e alunas travestis e transexuais nas escolas, tendo sido registradas aproximadamente 30 solicitações.</w:t>
      </w:r>
    </w:p>
    <w:p w:rsidR="003E6588" w:rsidRDefault="003E6588">
      <w:pPr>
        <w:ind w:firstLine="1134"/>
        <w:jc w:val="both"/>
        <w:rPr>
          <w:color w:val="000000"/>
          <w:shd w:val="clear" w:color="auto" w:fill="FFFFFF"/>
        </w:rPr>
      </w:pPr>
    </w:p>
    <w:p w:rsidR="003E6588" w:rsidRDefault="003E6588">
      <w:pPr>
        <w:ind w:firstLine="1134"/>
        <w:jc w:val="both"/>
        <w:rPr>
          <w:color w:val="000000"/>
          <w:shd w:val="clear" w:color="auto" w:fill="FFFFFF"/>
        </w:rPr>
      </w:pPr>
      <w:r>
        <w:rPr>
          <w:color w:val="000000"/>
          <w:shd w:val="clear" w:color="auto" w:fill="FFFFFF"/>
        </w:rPr>
        <w:t>No campo da educação para as relações étnico-raciais, fortaleceu-se a formação continuada para o cumprimento da Lei nº 10.639/2003, promovendo o curso de Africanidades e Afrodescendência, envolvendo Supervisores de Ensino, Professores Coordenadores de Núcleo Pedagógico das Diretorias de Ensino e servidores do órgão central da SE.</w:t>
      </w:r>
    </w:p>
    <w:p w:rsidR="003E6588" w:rsidRDefault="003E6588">
      <w:pPr>
        <w:ind w:firstLine="1134"/>
        <w:jc w:val="both"/>
        <w:rPr>
          <w:color w:val="000000"/>
          <w:shd w:val="clear" w:color="auto" w:fill="FFFFFF"/>
        </w:rPr>
      </w:pPr>
    </w:p>
    <w:p w:rsidR="003E6588" w:rsidRDefault="003E6588">
      <w:pPr>
        <w:ind w:firstLine="1134"/>
        <w:jc w:val="both"/>
        <w:rPr>
          <w:color w:val="000000"/>
          <w:shd w:val="clear" w:color="auto" w:fill="FFFFFF"/>
        </w:rPr>
      </w:pPr>
      <w:r>
        <w:rPr>
          <w:color w:val="000000"/>
          <w:shd w:val="clear" w:color="auto" w:fill="FFFFFF"/>
        </w:rPr>
        <w:t>Vale mencionar que esses temas transversais, bem como as modalidades de ensino em questão, passaram a compor o “Projeto Currículo +”, plataforma de sugestão de conteúdos digitais da Secretaria da Educação, possibilitando ainda mais o enriquecimento curricular numa perspectiva inclusiva.</w:t>
      </w:r>
    </w:p>
    <w:p w:rsidR="003E6588" w:rsidRDefault="003E6588">
      <w:pPr>
        <w:ind w:firstLine="1134"/>
        <w:jc w:val="both"/>
        <w:rPr>
          <w:color w:val="000000"/>
          <w:shd w:val="clear" w:color="auto" w:fill="FFFFFF"/>
        </w:rPr>
      </w:pPr>
    </w:p>
    <w:p w:rsidR="003E6588" w:rsidRDefault="003E6588">
      <w:pPr>
        <w:ind w:firstLine="1134"/>
        <w:jc w:val="both"/>
      </w:pPr>
      <w:r>
        <w:rPr>
          <w:color w:val="000000"/>
          <w:shd w:val="clear" w:color="auto" w:fill="FFFFFF"/>
        </w:rPr>
        <w:t>Por fim, a Secretaria da Educação, em conjunto com a Secretaria da Justiça e da Defesa da Cidadania, instituiu Grupo de Trabalho para propor diretrizes estaduais para a Educação do Campo, com intuito de assegurar que a oferta da Educação Básica atenda as necessidades específicas dessas populações.</w:t>
      </w:r>
    </w:p>
    <w:p w:rsidR="003E6588" w:rsidRDefault="003E6588">
      <w:pPr>
        <w:tabs>
          <w:tab w:val="num" w:pos="1440"/>
        </w:tabs>
        <w:ind w:firstLine="1134"/>
        <w:jc w:val="both"/>
        <w:rPr>
          <w:color w:val="000000"/>
        </w:rPr>
      </w:pPr>
    </w:p>
    <w:p w:rsidR="003E6588" w:rsidRDefault="003E6588">
      <w:pPr>
        <w:pStyle w:val="ListaColorida-nfase11"/>
        <w:autoSpaceDE w:val="0"/>
        <w:autoSpaceDN w:val="0"/>
        <w:adjustRightInd w:val="0"/>
        <w:ind w:left="0" w:firstLine="1134"/>
        <w:jc w:val="both"/>
      </w:pPr>
      <w:r>
        <w:rPr>
          <w:b/>
          <w:color w:val="000000"/>
        </w:rPr>
        <w:t xml:space="preserve">Avanços em Gestão - </w:t>
      </w:r>
      <w:r>
        <w:rPr>
          <w:color w:val="000000"/>
        </w:rPr>
        <w:t xml:space="preserve">Destaca-se a </w:t>
      </w:r>
      <w:r>
        <w:rPr>
          <w:bCs/>
          <w:color w:val="000000"/>
        </w:rPr>
        <w:t xml:space="preserve">Secretaria Escolar Digital - SED, </w:t>
      </w:r>
      <w:r>
        <w:t>com a</w:t>
      </w:r>
      <w:r>
        <w:rPr>
          <w:b/>
        </w:rPr>
        <w:t xml:space="preserve"> </w:t>
      </w:r>
      <w:r>
        <w:t xml:space="preserve">padronização de procedimentos e rotinas da secretaria escolar e desenvolvimento de plataforma informatizada. A iniciativa tem como objetivo aprimorar, padronizar e automatizar os procedimentos e documentos </w:t>
      </w:r>
      <w:r>
        <w:lastRenderedPageBreak/>
        <w:t xml:space="preserve">escolares, permitindo o aumento da eficiência na gestão da vida escolar dos alunos e possibilitando a disponibilização de informações e emissão de documentos </w:t>
      </w:r>
      <w:r>
        <w:rPr>
          <w:i/>
        </w:rPr>
        <w:t>on line</w:t>
      </w:r>
      <w:r>
        <w:t>.</w:t>
      </w:r>
    </w:p>
    <w:p w:rsidR="003E6588" w:rsidRDefault="003E6588">
      <w:pPr>
        <w:pStyle w:val="NormalWeb"/>
        <w:spacing w:before="0" w:beforeAutospacing="0" w:after="0" w:afterAutospacing="0"/>
        <w:ind w:firstLine="1134"/>
        <w:jc w:val="both"/>
        <w:rPr>
          <w:lang w:eastAsia="en-US"/>
        </w:rPr>
      </w:pPr>
    </w:p>
    <w:p w:rsidR="003E6588" w:rsidRDefault="003E6588">
      <w:pPr>
        <w:pStyle w:val="NormalWeb"/>
        <w:spacing w:before="0" w:beforeAutospacing="0" w:after="0" w:afterAutospacing="0"/>
        <w:ind w:firstLine="1134"/>
        <w:jc w:val="both"/>
        <w:rPr>
          <w:lang w:eastAsia="en-US"/>
        </w:rPr>
      </w:pPr>
      <w:r>
        <w:rPr>
          <w:lang w:eastAsia="en-US"/>
        </w:rPr>
        <w:t>As principais funcionalidades da plataforma são: registro de avaliação e frequência dos alunos com possibilidade de acompanhamento diário pelos pais ou responsáveis; planejamento e quadro de aulas; disponibilização de caderno do professor e do aluno; calendário; sistema de acompanhamento de resultados das avaliações (SARA); avaliação 360º e credenciamento (Programa Ensino Integral); e emissão de boletim e carteirinha do aluno.</w:t>
      </w:r>
    </w:p>
    <w:p w:rsidR="003E6588" w:rsidRDefault="003E6588">
      <w:pPr>
        <w:ind w:firstLine="1134"/>
        <w:jc w:val="both"/>
      </w:pPr>
    </w:p>
    <w:p w:rsidR="003E6588" w:rsidRDefault="003E6588">
      <w:pPr>
        <w:ind w:firstLine="1134"/>
        <w:jc w:val="both"/>
        <w:rPr>
          <w:color w:val="000000"/>
        </w:rPr>
      </w:pPr>
      <w:r>
        <w:t>O número de acessos vem aumentando gradativamente, totalizando 5 milhões de visitas e 405 milhões de páginas visualizadas, o que mostra a adesão à solução informatizada trazida pela SED.</w:t>
      </w:r>
    </w:p>
    <w:p w:rsidR="003E6588" w:rsidRDefault="003E6588">
      <w:pPr>
        <w:tabs>
          <w:tab w:val="left" w:pos="709"/>
        </w:tabs>
        <w:ind w:firstLine="1134"/>
        <w:jc w:val="both"/>
        <w:rPr>
          <w:b/>
          <w:color w:val="000000"/>
        </w:rPr>
      </w:pPr>
    </w:p>
    <w:p w:rsidR="003E6588" w:rsidRDefault="003E6588">
      <w:pPr>
        <w:tabs>
          <w:tab w:val="left" w:pos="709"/>
        </w:tabs>
        <w:ind w:firstLine="1134"/>
        <w:jc w:val="both"/>
        <w:rPr>
          <w:color w:val="000000"/>
        </w:rPr>
      </w:pPr>
      <w:r>
        <w:rPr>
          <w:b/>
          <w:color w:val="000000"/>
        </w:rPr>
        <w:t xml:space="preserve">Pilar 3 - Lançar as bases de um novo modelo de escola e um novo regime de carreira do magistério - </w:t>
      </w:r>
      <w:r>
        <w:rPr>
          <w:color w:val="000000"/>
        </w:rPr>
        <w:t xml:space="preserve">O Pilar 3 foi aquele que ao longo de toda a gestão melhor representou o dinamismo da área educacional, em sua constante necessidade de revisão e adequação de diretrizes e práticas a novas exigências sociais, econômicas e culturais. Inicialmente voltado para a implantação de um novo modelo de escola em tempo integral, o Pilar passou a incorporar iniciativas da SE que reorganizam tempos, espaços e conteúdos, com o objetivo de trabalhar o desenvolvimento dos alunos em sua integralidade. </w:t>
      </w:r>
      <w:r>
        <w:t>Foi marcado pela mobilização de atores internos e externos à SE (</w:t>
      </w:r>
      <w:r>
        <w:rPr>
          <w:color w:val="000000"/>
        </w:rPr>
        <w:t>Grupo de Trabalho de Educação Integral)</w:t>
      </w:r>
      <w:r>
        <w:t xml:space="preserve"> na formulação de um documento, a ser encaminhado ao Conselho Estadual de Educação, com a concepção </w:t>
      </w:r>
      <w:r>
        <w:rPr>
          <w:color w:val="000000"/>
        </w:rPr>
        <w:t>de educação integral que, entende-se, é a mais adequada para o Estado.</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Reconhece-se a importância de oferecer </w:t>
      </w:r>
      <w:r>
        <w:rPr>
          <w:color w:val="000000"/>
          <w:shd w:val="clear" w:color="auto" w:fill="FFFFFF"/>
        </w:rPr>
        <w:t xml:space="preserve">oportunidades educativas que vão além dos conteúdos compartimentados do currículo tradicional, </w:t>
      </w:r>
      <w:r>
        <w:rPr>
          <w:color w:val="000000"/>
        </w:rPr>
        <w:t>abraçando as diferentes realidades, necessidades e vocações dos estudantes da Rede paulista. Tendo em vista tais mudanças, as ações desse pilar agora incorporam as seguinte iniciativas:</w:t>
      </w:r>
    </w:p>
    <w:p w:rsidR="003E6588" w:rsidRDefault="003E6588">
      <w:pPr>
        <w:ind w:firstLine="1134"/>
        <w:jc w:val="both"/>
        <w:rPr>
          <w:color w:val="000000"/>
        </w:rPr>
      </w:pPr>
    </w:p>
    <w:p w:rsidR="003E6588" w:rsidRDefault="003E6588">
      <w:pPr>
        <w:ind w:left="1134"/>
        <w:jc w:val="both"/>
        <w:rPr>
          <w:color w:val="000000"/>
        </w:rPr>
      </w:pPr>
      <w:r>
        <w:rPr>
          <w:color w:val="000000"/>
        </w:rPr>
        <w:t>- ETIs - Escolas em Tempo Integral.</w:t>
      </w:r>
    </w:p>
    <w:p w:rsidR="003E6588" w:rsidRDefault="003E6588">
      <w:pPr>
        <w:ind w:firstLine="1134"/>
        <w:jc w:val="both"/>
        <w:rPr>
          <w:color w:val="000000"/>
        </w:rPr>
      </w:pPr>
    </w:p>
    <w:p w:rsidR="003E6588" w:rsidRDefault="003E6588">
      <w:pPr>
        <w:ind w:left="1134"/>
        <w:jc w:val="both"/>
        <w:rPr>
          <w:color w:val="000000"/>
        </w:rPr>
      </w:pPr>
      <w:r>
        <w:rPr>
          <w:color w:val="000000"/>
        </w:rPr>
        <w:t>- Novo modelo de Educação Integral.</w:t>
      </w:r>
    </w:p>
    <w:p w:rsidR="003E6588" w:rsidRDefault="003E6588">
      <w:pPr>
        <w:ind w:firstLine="1134"/>
        <w:jc w:val="both"/>
        <w:rPr>
          <w:color w:val="000000"/>
        </w:rPr>
      </w:pPr>
    </w:p>
    <w:p w:rsidR="003E6588" w:rsidRDefault="003E6588">
      <w:pPr>
        <w:ind w:left="1134"/>
        <w:jc w:val="both"/>
        <w:rPr>
          <w:color w:val="000000"/>
        </w:rPr>
      </w:pPr>
      <w:r>
        <w:rPr>
          <w:color w:val="000000"/>
        </w:rPr>
        <w:t>- Centro Educacional Paulista - CEP.</w:t>
      </w:r>
    </w:p>
    <w:p w:rsidR="003E6588" w:rsidRDefault="003E6588">
      <w:pPr>
        <w:ind w:firstLine="1134"/>
        <w:jc w:val="both"/>
        <w:rPr>
          <w:color w:val="000000"/>
        </w:rPr>
      </w:pPr>
    </w:p>
    <w:p w:rsidR="003E6588" w:rsidRDefault="003E6588">
      <w:pPr>
        <w:ind w:left="1134"/>
        <w:jc w:val="both"/>
        <w:rPr>
          <w:color w:val="000000"/>
        </w:rPr>
      </w:pPr>
      <w:r>
        <w:rPr>
          <w:color w:val="000000"/>
        </w:rPr>
        <w:t>- VENCE.</w:t>
      </w:r>
    </w:p>
    <w:p w:rsidR="003E6588" w:rsidRDefault="003E6588">
      <w:pPr>
        <w:ind w:firstLine="1134"/>
        <w:jc w:val="both"/>
        <w:rPr>
          <w:color w:val="000000"/>
        </w:rPr>
      </w:pPr>
    </w:p>
    <w:p w:rsidR="003E6588" w:rsidRDefault="003E6588">
      <w:pPr>
        <w:ind w:left="1134"/>
        <w:jc w:val="both"/>
        <w:rPr>
          <w:color w:val="000000"/>
        </w:rPr>
      </w:pPr>
      <w:r>
        <w:rPr>
          <w:color w:val="000000"/>
        </w:rPr>
        <w:t>- PROEMI - Programa Ensino Médio Inovador e Mais Educação.</w:t>
      </w:r>
    </w:p>
    <w:p w:rsidR="003E6588" w:rsidRDefault="003E6588">
      <w:pPr>
        <w:ind w:firstLine="1134"/>
        <w:jc w:val="both"/>
        <w:rPr>
          <w:color w:val="000000"/>
        </w:rPr>
      </w:pPr>
    </w:p>
    <w:p w:rsidR="003E6588" w:rsidRDefault="003E6588">
      <w:pPr>
        <w:ind w:firstLine="1134"/>
        <w:jc w:val="both"/>
        <w:rPr>
          <w:color w:val="000000"/>
          <w:shd w:val="clear" w:color="auto" w:fill="FFFFFF"/>
        </w:rPr>
      </w:pPr>
      <w:r>
        <w:rPr>
          <w:b/>
          <w:color w:val="000000"/>
        </w:rPr>
        <w:t xml:space="preserve">Duas propostas de Educação Integral - </w:t>
      </w:r>
      <w:r>
        <w:rPr>
          <w:color w:val="000000"/>
          <w:shd w:val="clear" w:color="auto" w:fill="FFFFFF"/>
        </w:rPr>
        <w:t>A Secretaria da Educação definiu, como uma de suas prioridades, a adoção de uma proposta de ensino integral, implantando o projeto “Escola de Tempo Integral”, para os Anos Iniciais e Finais do Ensino Fundamental, em parte das escolas da Rede (hoje conhecidas como ETIs). O projeto previa a ampliação das possibilidades de aprendizagem dos alunos pelo prolongamento de sua permanência na escola (de 5 para 7 ou 9 horas diárias), com a oferta, no contraturno, de Oficinas Curriculares e Atividades Complementares.</w:t>
      </w:r>
    </w:p>
    <w:p w:rsidR="003E6588" w:rsidRDefault="003E6588">
      <w:pPr>
        <w:ind w:firstLine="1134"/>
        <w:jc w:val="both"/>
        <w:rPr>
          <w:color w:val="000000"/>
        </w:rPr>
      </w:pPr>
      <w:r>
        <w:rPr>
          <w:color w:val="000000"/>
          <w:shd w:val="clear" w:color="auto" w:fill="FFFFFF"/>
        </w:rPr>
        <w:lastRenderedPageBreak/>
        <w:t xml:space="preserve">São 256 ETIs, que atendem </w:t>
      </w:r>
      <w:r>
        <w:t>55.533 alunos</w:t>
      </w:r>
      <w:r>
        <w:rPr>
          <w:color w:val="000000"/>
          <w:shd w:val="clear" w:color="auto" w:fill="FFFFFF"/>
        </w:rPr>
        <w:t>.</w:t>
      </w:r>
      <w:r>
        <w:rPr>
          <w:color w:val="000000"/>
        </w:rPr>
        <w:t xml:space="preserve"> A escola tem autonomia para a definição da matriz curricular, que deve estar em sintonia com sua proposta pedagógica e atender a expectativa e interesses educacionais locais. As Atividades Complementares têm, como temáticas, para os Anos Iniciais, Hora da Leitura, Produção de Texto e Experiências Matemáticas; já nos anos finais, engloba Língua Estrangeira Moderna, Leitura e Produção de Texto e Experiências Matemáticas. As Oficinas Curriculares se dão nas áreas de Língua Estrangeira Moderna; Atividades Artísticas; Atividades Esportivas e Motoras; Educação Financeira/Educação Fiscal; Tecnologia e Sociedade; Qualidade de Vida; Sexualidade; Espaços Educadores; Educação para o Trânsito; Educação das Atividades Étnico-raciais; Educação em Direitos Humanos.</w:t>
      </w:r>
    </w:p>
    <w:p w:rsidR="003E6588" w:rsidRDefault="003E6588">
      <w:pPr>
        <w:ind w:firstLine="1134"/>
        <w:jc w:val="both"/>
        <w:rPr>
          <w:color w:val="000000"/>
        </w:rPr>
      </w:pPr>
    </w:p>
    <w:p w:rsidR="003E6588" w:rsidRDefault="003E6588">
      <w:pPr>
        <w:ind w:firstLine="1134"/>
        <w:jc w:val="both"/>
      </w:pPr>
      <w:r>
        <w:rPr>
          <w:color w:val="000000"/>
        </w:rPr>
        <w:t xml:space="preserve">Houve ampliação do modelo, que agora soma 182 escolas e atende </w:t>
      </w:r>
      <w:r>
        <w:t xml:space="preserve">49.365 </w:t>
      </w:r>
      <w:r>
        <w:rPr>
          <w:color w:val="000000"/>
        </w:rPr>
        <w:t xml:space="preserve">alunos. </w:t>
      </w:r>
      <w:r>
        <w:t xml:space="preserve">O programa, na etapa do Ensino Fundamental (Anos Finais e Médio), conta com equipes de formadores dos profissionais atuantes nas escolas, em polos regionalizados; para apoiar a apropriação do modelo pelas escolas foram desenvolvidos documentos que estão em fase de publicação. Foi elaborada pela equipe do Programa e desenvolvido pela EFAP formação à distância para os profissionais das escolas do PEI. A melhoria contínua da gestão das escolas e do Programa foi o foco de trabalho da equipe central e, para tanto, foram desenvolvidas ferramentas informatizadas de gestão para acompanhar o andamento do plano de ação das escolas e procedimentos que permitem classificar as unidades quanto ao grau de apropriação da implementação das ações. Teve início o desenho de modelo de avaliação de impacto e de implementação das ações. A gestão de desempenho dos profissionais que compõem a equipe escolar foi ação aprimorada. Outro destaque foi a possibilidade de aplicação de provas com resposta </w:t>
      </w:r>
      <w:r>
        <w:rPr>
          <w:i/>
        </w:rPr>
        <w:t>on line</w:t>
      </w:r>
      <w:r>
        <w:t xml:space="preserve"> em 70% dos alunos cujas escolas tinham condições tecnológicas para a ação. Os resultados mostraram que os alunos avançaram no nível de proficiência.</w:t>
      </w:r>
    </w:p>
    <w:p w:rsidR="003E6588" w:rsidRDefault="003E6588">
      <w:pPr>
        <w:ind w:firstLine="1134"/>
        <w:jc w:val="both"/>
      </w:pPr>
    </w:p>
    <w:p w:rsidR="003E6588" w:rsidRDefault="003E6588">
      <w:pPr>
        <w:ind w:firstLine="1134"/>
        <w:jc w:val="both"/>
        <w:rPr>
          <w:color w:val="000000"/>
        </w:rPr>
      </w:pPr>
      <w:r>
        <w:t xml:space="preserve">Já para as </w:t>
      </w:r>
      <w:r>
        <w:rPr>
          <w:color w:val="000000"/>
        </w:rPr>
        <w:t>18 escolas (distribuídas em sete municípios) que compõem a expansão do modelo para os Anos Iniciais houve o desenvolvimento do Modelo Pedagógico e de Gestão e a seleção das escolas. A proposta pedagógica, elaborada pela Coordenadoria da Gestão da Educação Básica - CGEB, tem como principal meta o aprendizado focado no estímulo e controle emocional.</w:t>
      </w:r>
    </w:p>
    <w:p w:rsidR="003E6588" w:rsidRDefault="003E6588">
      <w:pPr>
        <w:ind w:firstLine="1134"/>
        <w:jc w:val="both"/>
        <w:rPr>
          <w:color w:val="000000"/>
        </w:rPr>
      </w:pPr>
    </w:p>
    <w:p w:rsidR="003E6588" w:rsidRDefault="003E6588">
      <w:pPr>
        <w:ind w:firstLine="1134"/>
        <w:jc w:val="both"/>
      </w:pPr>
      <w:r>
        <w:rPr>
          <w:b/>
          <w:color w:val="000000"/>
        </w:rPr>
        <w:t xml:space="preserve">Um olhar especial para a vulnerabilidade - </w:t>
      </w:r>
      <w:r>
        <w:rPr>
          <w:color w:val="000000"/>
        </w:rPr>
        <w:t>Estabelecida a importância de priorizar a ampliação da jornada e de fixar o aluno no ambiente escolar, emerge, na Secretaria, relevante discussão sobre a necessidade de atender aos jovens que, com baixo acesso às oportunidades sociais, econômicas e culturais que provêm do Estado, do mercado e da sociedade, adentram o mundo adulto e a vida profissional em desvantagem e com poucas perspectivas de mobilidade</w:t>
      </w:r>
      <w:r>
        <w:rPr>
          <w:color w:val="000000"/>
          <w:shd w:val="clear" w:color="auto" w:fill="FFFFFF"/>
        </w:rPr>
        <w:t xml:space="preserve">. </w:t>
      </w:r>
      <w:r>
        <w:rPr>
          <w:rStyle w:val="apple-converted-space"/>
          <w:color w:val="000000"/>
          <w:shd w:val="clear" w:color="auto" w:fill="FFFFFF"/>
        </w:rPr>
        <w:t xml:space="preserve">No contexto desse debate desenha-se a proposta do </w:t>
      </w:r>
      <w:r>
        <w:rPr>
          <w:color w:val="000000"/>
        </w:rPr>
        <w:t>Centro Educacional Paulista - CEP</w:t>
      </w:r>
      <w:r>
        <w:rPr>
          <w:b/>
          <w:color w:val="000000"/>
        </w:rPr>
        <w:t xml:space="preserve"> </w:t>
      </w:r>
      <w:r>
        <w:rPr>
          <w:bCs/>
          <w:color w:val="000000"/>
        </w:rPr>
        <w:t xml:space="preserve">equipamento educacional a ser construído em regiões vulneráveis do Estado (alta densidade demográfica e baixo IDH), para atender alunos do Ensino Fundamental II, em especial aqueles matriculados em escolas consideradas prioritárias. </w:t>
      </w:r>
      <w:r>
        <w:t>O foco das ações foi a conclusão e validação do modelo pedagógico e a realização de estudos e prospecção de terrenos para instalação dos Centros Educacionais Paulista - CEP e de organizações não governamentais para execução das oficinas de atividades complementares. Por ser uma proposta inovadora foram realizadas reuniões de alinhamento com os envolvidos na construção da legislação que instituirá o Programa.</w:t>
      </w:r>
    </w:p>
    <w:p w:rsidR="003E6588" w:rsidRDefault="003E6588">
      <w:pPr>
        <w:ind w:firstLine="1134"/>
        <w:jc w:val="both"/>
        <w:rPr>
          <w:color w:val="000000"/>
        </w:rPr>
      </w:pPr>
    </w:p>
    <w:p w:rsidR="003E6588" w:rsidRDefault="003E6588">
      <w:pPr>
        <w:tabs>
          <w:tab w:val="num" w:pos="720"/>
          <w:tab w:val="num" w:pos="1440"/>
        </w:tabs>
        <w:ind w:firstLine="1134"/>
        <w:jc w:val="both"/>
        <w:rPr>
          <w:color w:val="000000"/>
        </w:rPr>
      </w:pPr>
      <w:r>
        <w:rPr>
          <w:b/>
          <w:color w:val="000000"/>
        </w:rPr>
        <w:lastRenderedPageBreak/>
        <w:t xml:space="preserve">O desafio da empregabilidade - formação profissional - </w:t>
      </w:r>
      <w:r>
        <w:rPr>
          <w:color w:val="000000"/>
        </w:rPr>
        <w:t xml:space="preserve">O reconhecimento da existência de diferentes necessidades por parte dos estudantes abarca a questão vocacional e, como resultado, inclui-se, no Pilar 3 iniciativa que busca articular o Ensino Médio à educação profissional, assegurando ao jovem formação humanística, científica, cultural e tecnológica e preparando-o para a inserção no mundo do trabalho. </w:t>
      </w:r>
      <w:r>
        <w:rPr>
          <w:bCs/>
          <w:color w:val="000000"/>
        </w:rPr>
        <w:t xml:space="preserve">Trata-se do Programa VENCE que, para atender às diferentes necessidades dos alunos, organiza-se em duas modalidades. O VENCE Integrado é voltado aos </w:t>
      </w:r>
      <w:r>
        <w:rPr>
          <w:color w:val="000000"/>
        </w:rPr>
        <w:t xml:space="preserve">concluintes do Ensino Fundamental que cursarão a 1ª série do Ensino Médio na Rede estadual; assim, o aluno tem sua formação básica e sua formação técnica sob uma única matriz curricular. Essa modalidade é oferecida em parceria com o Centro Paula Souza e o Instituto Federal de Educação, Ciência e Tecnologia de São Paulo. O </w:t>
      </w:r>
      <w:r>
        <w:rPr>
          <w:bCs/>
          <w:color w:val="000000"/>
        </w:rPr>
        <w:t>VENCE Concomitante</w:t>
      </w:r>
      <w:r>
        <w:rPr>
          <w:b/>
          <w:bCs/>
          <w:color w:val="000000"/>
        </w:rPr>
        <w:t xml:space="preserve"> </w:t>
      </w:r>
      <w:r>
        <w:rPr>
          <w:bCs/>
          <w:color w:val="000000"/>
        </w:rPr>
        <w:t xml:space="preserve">tem como público-alvo os </w:t>
      </w:r>
      <w:r>
        <w:rPr>
          <w:color w:val="000000"/>
        </w:rPr>
        <w:t>alunos da 2ª e 3ª séries do Ensino Médio e da EJA (Educação de Jovens e Adultos); nessa modalidade, o estudante frequenta o Ensino Médio na Rede estadual em um período e faz o curso técnico em uma instituição credenciada em outro.</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A modalidade Concomitante conta com </w:t>
      </w:r>
      <w:r>
        <w:t xml:space="preserve">84.853 </w:t>
      </w:r>
      <w:r>
        <w:rPr>
          <w:color w:val="000000"/>
        </w:rPr>
        <w:t xml:space="preserve">alunos, de 116 municípios, distribuídos em 69 diferentes cursos técnicos. A modalidade Integrado tem matriculados, no Centro Paula Souza, </w:t>
      </w:r>
      <w:r>
        <w:t xml:space="preserve">6.147 </w:t>
      </w:r>
      <w:r>
        <w:rPr>
          <w:color w:val="000000"/>
        </w:rPr>
        <w:t>alunos, distribuídos em 38 cursos técnicos de diferentes municípios (56).</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Adesão a iniciativas federais - </w:t>
      </w:r>
      <w:r>
        <w:rPr>
          <w:color w:val="000000"/>
        </w:rPr>
        <w:t xml:space="preserve">O Programa Ensino Médio Inovador - ProEMI foi criado como estratégia para induzir o </w:t>
      </w:r>
      <w:r>
        <w:rPr>
          <w:bCs/>
          <w:color w:val="000000"/>
        </w:rPr>
        <w:t xml:space="preserve">Redesenho do currículo desse nível de ensino. </w:t>
      </w:r>
      <w:r>
        <w:rPr>
          <w:color w:val="000000"/>
          <w:shd w:val="clear" w:color="auto" w:fill="FFFFFF"/>
        </w:rPr>
        <w:t>Foram ofertadas 1.500 vagas para novas escolas e 1.260 delas foram preenchidas após o processo de adesão.</w:t>
      </w:r>
      <w:r>
        <w:t xml:space="preserve"> Cabe ressaltar que 106 destas escolas participam do Programa Ensino Integral e as atividades do ProEMI são realizadas durante as disciplinas eletivas. </w:t>
      </w:r>
      <w:r>
        <w:rPr>
          <w:color w:val="000000"/>
        </w:rPr>
        <w:t>Em consonância com os objetivos do programa, as escolas da Rede vêm atuando dentro dos oito macrocampos determinados, naquela que é a principal iniciativa do Programa: o Projeto de Redesenho Curricular - PRC.</w:t>
      </w:r>
    </w:p>
    <w:p w:rsidR="003E6588" w:rsidRDefault="003E6588">
      <w:pPr>
        <w:ind w:firstLine="1134"/>
        <w:jc w:val="both"/>
        <w:rPr>
          <w:color w:val="000000"/>
        </w:rPr>
      </w:pPr>
    </w:p>
    <w:p w:rsidR="003E6588" w:rsidRDefault="003E6588">
      <w:pPr>
        <w:shd w:val="clear" w:color="auto" w:fill="FFFFFF"/>
        <w:ind w:firstLine="1134"/>
        <w:jc w:val="both"/>
        <w:rPr>
          <w:color w:val="000000"/>
        </w:rPr>
      </w:pPr>
      <w:r>
        <w:rPr>
          <w:color w:val="000000"/>
        </w:rPr>
        <w:t xml:space="preserve">No caso do Programa Mais Educação, as escolas apresentam projetos e planos de ação que ampliam os espaços educacionais complementando o horário escolar com outras atividades educativas que ampliam as áreas de conhecimento previstas na Lei de Diretrizes e Bases da Educação Nacional - LDB. </w:t>
      </w:r>
      <w:r>
        <w:t>1.671 escolas executaram o Programa Mais Educação.</w:t>
      </w:r>
    </w:p>
    <w:p w:rsidR="003E6588" w:rsidRDefault="003E6588">
      <w:pPr>
        <w:ind w:firstLine="1134"/>
        <w:jc w:val="both"/>
        <w:rPr>
          <w:color w:val="000000"/>
        </w:rPr>
      </w:pPr>
    </w:p>
    <w:p w:rsidR="003E6588" w:rsidRDefault="003E6588">
      <w:pPr>
        <w:tabs>
          <w:tab w:val="left" w:pos="709"/>
        </w:tabs>
        <w:ind w:firstLine="1134"/>
        <w:jc w:val="both"/>
        <w:rPr>
          <w:color w:val="000000"/>
        </w:rPr>
      </w:pPr>
      <w:r>
        <w:rPr>
          <w:b/>
          <w:color w:val="000000"/>
        </w:rPr>
        <w:t xml:space="preserve">Pilar 4 - Viabilizar mecanismos organizacionais e financeiros para operacionalizar o programa - </w:t>
      </w:r>
      <w:r>
        <w:rPr>
          <w:color w:val="000000"/>
        </w:rPr>
        <w:t>A viabilização das atividades em sala de aula depende da distribuição do material didático; da provisão de alimentação e de transporte; da construção de novas escolas e da manutenção das já existentes; e da disponibilização de infraestrutura tecnológica. No caso da Secretaria da Educação, há a atuação da FDE - Fundação para o Desenvolvimento de Ensino - como braço operacional, fazendo com que a gestão desse complexo sistema seja um dos maiores desafios do órgão.</w:t>
      </w:r>
    </w:p>
    <w:p w:rsidR="003E6588" w:rsidRDefault="003E6588">
      <w:pPr>
        <w:tabs>
          <w:tab w:val="left" w:pos="709"/>
        </w:tabs>
        <w:ind w:firstLine="1134"/>
        <w:jc w:val="both"/>
        <w:rPr>
          <w:color w:val="000000"/>
        </w:rPr>
      </w:pPr>
    </w:p>
    <w:p w:rsidR="003E6588" w:rsidRDefault="003E6588">
      <w:pPr>
        <w:pStyle w:val="SemEspaamento"/>
        <w:ind w:firstLine="1134"/>
        <w:jc w:val="both"/>
        <w:rPr>
          <w:rFonts w:ascii="Times New Roman" w:hAnsi="Times New Roman"/>
          <w:color w:val="000000"/>
          <w:sz w:val="24"/>
          <w:szCs w:val="24"/>
        </w:rPr>
      </w:pPr>
      <w:r>
        <w:rPr>
          <w:rFonts w:ascii="Times New Roman" w:hAnsi="Times New Roman"/>
          <w:b/>
          <w:color w:val="000000"/>
          <w:sz w:val="24"/>
          <w:szCs w:val="24"/>
        </w:rPr>
        <w:t xml:space="preserve">Alimentação - </w:t>
      </w:r>
      <w:r>
        <w:rPr>
          <w:rFonts w:ascii="Times New Roman" w:hAnsi="Times New Roman"/>
          <w:color w:val="000000"/>
          <w:sz w:val="24"/>
          <w:szCs w:val="24"/>
        </w:rPr>
        <w:t>A SE, por meio do Departamento de Alimentação e Assistência ao Aluno - DAAA, é responsável pelo gerenciamento direto ou indireto do fornecimento de refeições para os alunos de educação básica da Rede pública estadual, com uma cobertura de 645 municípios. Conforme diretrizes gerais do Governo Federal e diretrizes específicas da Secretaria da Educação é executado o Programa Estadual de Alimentação Escolar por dois sistemas: Centralizado e Descentralizado.</w:t>
      </w:r>
    </w:p>
    <w:p w:rsidR="003E6588" w:rsidRDefault="003E6588">
      <w:pPr>
        <w:ind w:firstLine="1134"/>
        <w:jc w:val="both"/>
        <w:rPr>
          <w:color w:val="000000"/>
        </w:rPr>
      </w:pPr>
    </w:p>
    <w:p w:rsidR="003E6588" w:rsidRDefault="003E6588">
      <w:pPr>
        <w:ind w:firstLine="1134"/>
        <w:jc w:val="both"/>
        <w:rPr>
          <w:color w:val="000000"/>
        </w:rPr>
      </w:pPr>
      <w:r>
        <w:rPr>
          <w:color w:val="000000"/>
        </w:rPr>
        <w:lastRenderedPageBreak/>
        <w:t>No Sistema Descentralizado abrangeu</w:t>
      </w:r>
      <w:r>
        <w:rPr>
          <w:b/>
          <w:color w:val="000000"/>
        </w:rPr>
        <w:t xml:space="preserve"> </w:t>
      </w:r>
      <w:r>
        <w:rPr>
          <w:color w:val="000000"/>
        </w:rPr>
        <w:t>2,36 milhões de alunos, o atendimento se deu pelo repasse de recursos financeiros, tanto do Governo Federal (através do Fundo Nacional para o Desenvolvimento da Educação - FNDE), quanto do Governo Estadual, sendo a Prefeitura Municipal responsável pelo gerenciamento direto do Programa (inclusive para as escolas da Rede estadual).</w:t>
      </w:r>
    </w:p>
    <w:p w:rsidR="003E6588" w:rsidRDefault="003E6588">
      <w:pPr>
        <w:ind w:firstLine="1134"/>
        <w:jc w:val="both"/>
        <w:rPr>
          <w:color w:val="000000"/>
        </w:rPr>
      </w:pPr>
    </w:p>
    <w:p w:rsidR="003E6588" w:rsidRDefault="003E6588">
      <w:pPr>
        <w:ind w:firstLine="1134"/>
        <w:jc w:val="both"/>
        <w:rPr>
          <w:color w:val="000000"/>
        </w:rPr>
      </w:pPr>
      <w:r>
        <w:rPr>
          <w:color w:val="000000"/>
        </w:rPr>
        <w:t>Os repasses de recursos se dão nos seguintes montantes:</w:t>
      </w:r>
    </w:p>
    <w:p w:rsidR="003E6588" w:rsidRDefault="003E6588">
      <w:pPr>
        <w:ind w:firstLine="1134"/>
        <w:jc w:val="both"/>
        <w:rPr>
          <w:color w:val="000000"/>
        </w:rPr>
      </w:pPr>
    </w:p>
    <w:tbl>
      <w:tblPr>
        <w:tblW w:w="0" w:type="auto"/>
        <w:jc w:val="center"/>
        <w:tblInd w:w="6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792"/>
        <w:gridCol w:w="2463"/>
        <w:gridCol w:w="2551"/>
      </w:tblGrid>
      <w:tr w:rsidR="003E6588" w:rsidTr="00780F1D">
        <w:trPr>
          <w:jc w:val="center"/>
        </w:trPr>
        <w:tc>
          <w:tcPr>
            <w:tcW w:w="1792" w:type="dxa"/>
            <w:shd w:val="clear" w:color="auto" w:fill="auto"/>
          </w:tcPr>
          <w:p w:rsidR="003E6588" w:rsidRDefault="003E6588">
            <w:pPr>
              <w:rPr>
                <w:b/>
                <w:bCs/>
                <w:color w:val="000000"/>
                <w:sz w:val="20"/>
                <w:szCs w:val="20"/>
              </w:rPr>
            </w:pPr>
            <w:r>
              <w:rPr>
                <w:b/>
                <w:bCs/>
                <w:color w:val="000000"/>
                <w:sz w:val="20"/>
                <w:szCs w:val="20"/>
              </w:rPr>
              <w:t>Ensino</w:t>
            </w:r>
          </w:p>
        </w:tc>
        <w:tc>
          <w:tcPr>
            <w:tcW w:w="2463" w:type="dxa"/>
            <w:shd w:val="clear" w:color="auto" w:fill="auto"/>
          </w:tcPr>
          <w:p w:rsidR="003E6588" w:rsidRDefault="003E6588">
            <w:pPr>
              <w:rPr>
                <w:b/>
                <w:bCs/>
                <w:color w:val="000000"/>
                <w:sz w:val="20"/>
                <w:szCs w:val="20"/>
              </w:rPr>
            </w:pPr>
            <w:r>
              <w:rPr>
                <w:b/>
                <w:bCs/>
                <w:color w:val="000000"/>
                <w:sz w:val="20"/>
                <w:szCs w:val="20"/>
              </w:rPr>
              <w:t>Repasse estadual</w:t>
            </w:r>
          </w:p>
        </w:tc>
        <w:tc>
          <w:tcPr>
            <w:tcW w:w="2551" w:type="dxa"/>
            <w:shd w:val="clear" w:color="auto" w:fill="auto"/>
          </w:tcPr>
          <w:p w:rsidR="003E6588" w:rsidRDefault="003E6588">
            <w:pPr>
              <w:rPr>
                <w:b/>
                <w:bCs/>
                <w:color w:val="000000"/>
                <w:sz w:val="20"/>
                <w:szCs w:val="20"/>
              </w:rPr>
            </w:pPr>
            <w:r>
              <w:rPr>
                <w:b/>
                <w:bCs/>
                <w:color w:val="000000"/>
                <w:sz w:val="20"/>
                <w:szCs w:val="20"/>
              </w:rPr>
              <w:t>Repasse federal</w:t>
            </w:r>
          </w:p>
        </w:tc>
      </w:tr>
      <w:tr w:rsidR="003E6588" w:rsidTr="00780F1D">
        <w:trPr>
          <w:jc w:val="center"/>
        </w:trPr>
        <w:tc>
          <w:tcPr>
            <w:tcW w:w="1792" w:type="dxa"/>
            <w:shd w:val="clear" w:color="auto" w:fill="auto"/>
          </w:tcPr>
          <w:p w:rsidR="003E6588" w:rsidRDefault="003E6588">
            <w:pPr>
              <w:jc w:val="both"/>
              <w:rPr>
                <w:sz w:val="20"/>
                <w:szCs w:val="20"/>
              </w:rPr>
            </w:pPr>
            <w:r>
              <w:rPr>
                <w:sz w:val="20"/>
                <w:szCs w:val="20"/>
              </w:rPr>
              <w:t>Regular</w:t>
            </w:r>
          </w:p>
        </w:tc>
        <w:tc>
          <w:tcPr>
            <w:tcW w:w="2463" w:type="dxa"/>
            <w:shd w:val="clear" w:color="auto" w:fill="auto"/>
          </w:tcPr>
          <w:p w:rsidR="003E6588" w:rsidRDefault="003E6588">
            <w:pPr>
              <w:rPr>
                <w:color w:val="000000"/>
                <w:sz w:val="20"/>
                <w:szCs w:val="20"/>
              </w:rPr>
            </w:pPr>
            <w:r>
              <w:rPr>
                <w:color w:val="000000"/>
                <w:sz w:val="20"/>
                <w:szCs w:val="20"/>
              </w:rPr>
              <w:t>R$ 0,50 por aluno/dia</w:t>
            </w:r>
          </w:p>
        </w:tc>
        <w:tc>
          <w:tcPr>
            <w:tcW w:w="2551" w:type="dxa"/>
            <w:shd w:val="clear" w:color="auto" w:fill="auto"/>
          </w:tcPr>
          <w:p w:rsidR="003E6588" w:rsidRDefault="003E6588">
            <w:pPr>
              <w:rPr>
                <w:color w:val="000000"/>
                <w:sz w:val="20"/>
                <w:szCs w:val="20"/>
              </w:rPr>
            </w:pPr>
            <w:r>
              <w:rPr>
                <w:color w:val="000000"/>
                <w:sz w:val="20"/>
                <w:szCs w:val="20"/>
              </w:rPr>
              <w:t>R$ 0,30 por aluno/dia</w:t>
            </w:r>
          </w:p>
        </w:tc>
      </w:tr>
      <w:tr w:rsidR="003E6588" w:rsidTr="00780F1D">
        <w:trPr>
          <w:jc w:val="center"/>
        </w:trPr>
        <w:tc>
          <w:tcPr>
            <w:tcW w:w="1792" w:type="dxa"/>
            <w:shd w:val="clear" w:color="auto" w:fill="auto"/>
          </w:tcPr>
          <w:p w:rsidR="003E6588" w:rsidRDefault="003E6588">
            <w:pPr>
              <w:jc w:val="both"/>
              <w:rPr>
                <w:sz w:val="20"/>
                <w:szCs w:val="20"/>
              </w:rPr>
            </w:pPr>
            <w:r>
              <w:rPr>
                <w:sz w:val="20"/>
                <w:szCs w:val="20"/>
              </w:rPr>
              <w:t>Integral</w:t>
            </w:r>
          </w:p>
        </w:tc>
        <w:tc>
          <w:tcPr>
            <w:tcW w:w="2463" w:type="dxa"/>
            <w:shd w:val="clear" w:color="auto" w:fill="auto"/>
          </w:tcPr>
          <w:p w:rsidR="003E6588" w:rsidRDefault="003E6588">
            <w:pPr>
              <w:rPr>
                <w:color w:val="000000"/>
                <w:sz w:val="20"/>
                <w:szCs w:val="20"/>
              </w:rPr>
            </w:pPr>
            <w:r>
              <w:rPr>
                <w:color w:val="000000"/>
                <w:sz w:val="20"/>
                <w:szCs w:val="20"/>
              </w:rPr>
              <w:t>R$ 2,00 por aluno/dia</w:t>
            </w:r>
          </w:p>
        </w:tc>
        <w:tc>
          <w:tcPr>
            <w:tcW w:w="2551" w:type="dxa"/>
            <w:shd w:val="clear" w:color="auto" w:fill="auto"/>
          </w:tcPr>
          <w:p w:rsidR="003E6588" w:rsidRDefault="003E6588">
            <w:pPr>
              <w:rPr>
                <w:color w:val="000000"/>
                <w:sz w:val="20"/>
                <w:szCs w:val="20"/>
              </w:rPr>
            </w:pPr>
            <w:r>
              <w:rPr>
                <w:color w:val="000000"/>
                <w:sz w:val="20"/>
                <w:szCs w:val="20"/>
              </w:rPr>
              <w:t>R$ 0,50 por aluno/dia</w:t>
            </w:r>
          </w:p>
        </w:tc>
      </w:tr>
    </w:tbl>
    <w:p w:rsidR="003E6588" w:rsidRDefault="00780F1D" w:rsidP="00780F1D">
      <w:pPr>
        <w:ind w:left="708" w:firstLine="708"/>
        <w:jc w:val="both"/>
        <w:rPr>
          <w:color w:val="000000"/>
          <w:sz w:val="16"/>
          <w:szCs w:val="16"/>
        </w:rPr>
      </w:pPr>
      <w:r>
        <w:rPr>
          <w:color w:val="000000"/>
          <w:sz w:val="16"/>
          <w:szCs w:val="16"/>
        </w:rPr>
        <w:t xml:space="preserve">      </w:t>
      </w:r>
      <w:r w:rsidR="003E6588">
        <w:rPr>
          <w:color w:val="000000"/>
          <w:sz w:val="16"/>
          <w:szCs w:val="16"/>
        </w:rPr>
        <w:t>Tabela: repasse de recursos na alimentação escolar</w:t>
      </w:r>
    </w:p>
    <w:p w:rsidR="003E6588" w:rsidRDefault="003E6588">
      <w:pPr>
        <w:ind w:firstLine="1134"/>
        <w:jc w:val="both"/>
        <w:rPr>
          <w:color w:val="000000"/>
        </w:rPr>
      </w:pPr>
    </w:p>
    <w:p w:rsidR="003E6588" w:rsidRDefault="003E6588">
      <w:pPr>
        <w:pStyle w:val="SemEspaamento"/>
        <w:ind w:firstLine="1134"/>
        <w:jc w:val="both"/>
        <w:rPr>
          <w:rFonts w:ascii="Times New Roman" w:hAnsi="Times New Roman"/>
          <w:color w:val="000000"/>
          <w:sz w:val="24"/>
          <w:szCs w:val="24"/>
        </w:rPr>
      </w:pPr>
      <w:r>
        <w:rPr>
          <w:rFonts w:ascii="Times New Roman" w:hAnsi="Times New Roman"/>
          <w:color w:val="000000"/>
          <w:sz w:val="24"/>
          <w:szCs w:val="24"/>
        </w:rPr>
        <w:t>Já no Sistema Centralizado</w:t>
      </w:r>
      <w:r>
        <w:rPr>
          <w:rFonts w:ascii="Times New Roman" w:hAnsi="Times New Roman"/>
          <w:b/>
          <w:color w:val="000000"/>
          <w:sz w:val="24"/>
          <w:szCs w:val="24"/>
        </w:rPr>
        <w:t xml:space="preserve">, </w:t>
      </w:r>
      <w:r>
        <w:rPr>
          <w:rFonts w:ascii="Times New Roman" w:hAnsi="Times New Roman"/>
          <w:color w:val="000000"/>
          <w:sz w:val="24"/>
          <w:szCs w:val="24"/>
        </w:rPr>
        <w:t xml:space="preserve">que atendeu </w:t>
      </w:r>
      <w:r>
        <w:rPr>
          <w:rFonts w:ascii="Times New Roman" w:eastAsia="Times New Roman" w:hAnsi="Times New Roman"/>
          <w:color w:val="000000"/>
          <w:sz w:val="24"/>
          <w:szCs w:val="24"/>
          <w:lang w:eastAsia="pt-BR"/>
        </w:rPr>
        <w:t xml:space="preserve">1,1 milhões de alunos, </w:t>
      </w:r>
      <w:r>
        <w:rPr>
          <w:rFonts w:ascii="Times New Roman" w:hAnsi="Times New Roman"/>
          <w:color w:val="000000"/>
          <w:sz w:val="24"/>
          <w:szCs w:val="24"/>
        </w:rPr>
        <w:t>o DAAA planeja e define o cardápio e realiza as atividades para a operacionalização do Programa das 2.213 escolas estaduais de 43 municípios; as atividades realizadas são o planejamento, aquisição dos alimentos, estocagem, distribuição, controle, supervisão e avaliação.</w:t>
      </w:r>
    </w:p>
    <w:p w:rsidR="003E6588" w:rsidRDefault="003E6588">
      <w:pPr>
        <w:pStyle w:val="SemEspaamento"/>
        <w:ind w:firstLine="1134"/>
        <w:jc w:val="both"/>
        <w:rPr>
          <w:rFonts w:ascii="Times New Roman" w:hAnsi="Times New Roman"/>
          <w:color w:val="000000"/>
          <w:sz w:val="24"/>
          <w:szCs w:val="24"/>
        </w:rPr>
      </w:pPr>
    </w:p>
    <w:p w:rsidR="003E6588" w:rsidRDefault="003E6588">
      <w:pPr>
        <w:pStyle w:val="SemEspaamento"/>
        <w:ind w:firstLine="1134"/>
        <w:jc w:val="both"/>
        <w:rPr>
          <w:rFonts w:ascii="Times New Roman" w:hAnsi="Times New Roman"/>
          <w:color w:val="000000"/>
          <w:sz w:val="24"/>
          <w:szCs w:val="24"/>
        </w:rPr>
      </w:pPr>
      <w:r>
        <w:rPr>
          <w:rFonts w:ascii="Times New Roman" w:hAnsi="Times New Roman"/>
          <w:color w:val="000000"/>
          <w:sz w:val="24"/>
          <w:szCs w:val="24"/>
        </w:rPr>
        <w:t xml:space="preserve">Para permitir maior participação das comunidades locais, descentralizar decisões, respeitar a vocação agrícola regional, estimular a aquisição de produtos da safra, incentivar o comércio regional e melhorar os hábitos alimentares, existe o PEME - Programa de Enriquecimento da Merenda Escolar, que consiste no repasse de verba diretamente para as escolas, destinada à aquisição de alimentos </w:t>
      </w:r>
      <w:r>
        <w:rPr>
          <w:rFonts w:ascii="Times New Roman" w:hAnsi="Times New Roman"/>
          <w:i/>
          <w:color w:val="000000"/>
          <w:sz w:val="24"/>
          <w:szCs w:val="24"/>
        </w:rPr>
        <w:t>in natura</w:t>
      </w:r>
      <w:r>
        <w:rPr>
          <w:rFonts w:ascii="Times New Roman" w:hAnsi="Times New Roman"/>
          <w:color w:val="000000"/>
          <w:sz w:val="24"/>
          <w:szCs w:val="24"/>
        </w:rPr>
        <w:t>, os quais complementam o cardápio padrão. O valor repassado aos municípios foi R$ 0,20 por aluno/dia.</w:t>
      </w:r>
    </w:p>
    <w:p w:rsidR="003E6588" w:rsidRDefault="003E6588">
      <w:pPr>
        <w:pStyle w:val="SemEspaamento"/>
        <w:ind w:firstLine="1134"/>
        <w:jc w:val="both"/>
        <w:rPr>
          <w:rFonts w:ascii="Times New Roman" w:hAnsi="Times New Roman"/>
          <w:color w:val="000000"/>
          <w:sz w:val="24"/>
          <w:szCs w:val="24"/>
        </w:rPr>
      </w:pPr>
    </w:p>
    <w:p w:rsidR="003E6588" w:rsidRDefault="003E6588">
      <w:pPr>
        <w:pStyle w:val="SemEspaamento"/>
        <w:ind w:firstLine="1134"/>
        <w:jc w:val="both"/>
        <w:rPr>
          <w:rFonts w:ascii="Times New Roman" w:hAnsi="Times New Roman"/>
          <w:color w:val="000000"/>
          <w:sz w:val="24"/>
          <w:szCs w:val="24"/>
        </w:rPr>
      </w:pPr>
      <w:r>
        <w:rPr>
          <w:rFonts w:ascii="Times New Roman" w:hAnsi="Times New Roman"/>
          <w:color w:val="000000"/>
          <w:sz w:val="24"/>
          <w:szCs w:val="24"/>
        </w:rPr>
        <w:t>Destacaram-se as seguintes ações:</w:t>
      </w:r>
    </w:p>
    <w:p w:rsidR="003E6588" w:rsidRDefault="003E6588">
      <w:pPr>
        <w:pStyle w:val="SemEspaamento"/>
        <w:ind w:firstLine="1134"/>
        <w:jc w:val="both"/>
        <w:rPr>
          <w:rFonts w:ascii="Times New Roman" w:hAnsi="Times New Roman"/>
          <w:color w:val="000000"/>
          <w:sz w:val="24"/>
          <w:szCs w:val="24"/>
        </w:rPr>
      </w:pPr>
    </w:p>
    <w:p w:rsidR="003E6588" w:rsidRDefault="003E6588">
      <w:pPr>
        <w:ind w:firstLine="1134"/>
        <w:jc w:val="both"/>
        <w:rPr>
          <w:color w:val="000000"/>
        </w:rPr>
      </w:pPr>
      <w:r>
        <w:rPr>
          <w:bCs/>
          <w:color w:val="000000"/>
        </w:rPr>
        <w:t xml:space="preserve">- Programa SBC - Sociedade Brasileira de Cardiologia - </w:t>
      </w:r>
      <w:r>
        <w:rPr>
          <w:color w:val="000000"/>
        </w:rPr>
        <w:t>128 escolas; 37 Diretorias de Ensino - Sistema Centralizado; - dados de 11.805 alunos.</w:t>
      </w:r>
    </w:p>
    <w:p w:rsidR="003E6588" w:rsidRDefault="003E6588">
      <w:pPr>
        <w:ind w:firstLine="1134"/>
        <w:jc w:val="both"/>
        <w:rPr>
          <w:color w:val="000000"/>
        </w:rPr>
      </w:pPr>
    </w:p>
    <w:p w:rsidR="003E6588" w:rsidRDefault="003E6588">
      <w:pPr>
        <w:ind w:firstLine="1134"/>
        <w:jc w:val="both"/>
        <w:rPr>
          <w:color w:val="000000"/>
        </w:rPr>
      </w:pPr>
      <w:r>
        <w:rPr>
          <w:bCs/>
          <w:color w:val="000000"/>
        </w:rPr>
        <w:t xml:space="preserve">- Atendimento dos alunos com patologias relacionadas à alimentação - </w:t>
      </w:r>
      <w:r>
        <w:rPr>
          <w:color w:val="000000"/>
        </w:rPr>
        <w:t>Acompanhamento de 305 alunos.</w:t>
      </w:r>
    </w:p>
    <w:p w:rsidR="003E6588" w:rsidRDefault="003E6588">
      <w:pPr>
        <w:ind w:firstLine="1134"/>
        <w:jc w:val="both"/>
        <w:rPr>
          <w:color w:val="000000"/>
        </w:rPr>
      </w:pPr>
    </w:p>
    <w:p w:rsidR="003E6588" w:rsidRDefault="003E6588">
      <w:pPr>
        <w:ind w:firstLine="1134"/>
        <w:jc w:val="both"/>
        <w:rPr>
          <w:bCs/>
          <w:color w:val="000000"/>
        </w:rPr>
      </w:pPr>
      <w:r>
        <w:rPr>
          <w:bCs/>
          <w:color w:val="000000"/>
        </w:rPr>
        <w:t>- Inclusão de nove novos produtos no Sistema Centralizado de Merenda.</w:t>
      </w:r>
    </w:p>
    <w:p w:rsidR="003E6588" w:rsidRDefault="003E6588">
      <w:pPr>
        <w:ind w:firstLine="1134"/>
        <w:jc w:val="both"/>
        <w:rPr>
          <w:bCs/>
          <w:color w:val="000000"/>
        </w:rPr>
      </w:pPr>
    </w:p>
    <w:p w:rsidR="003E6588" w:rsidRDefault="003E6588">
      <w:pPr>
        <w:ind w:firstLine="1134"/>
        <w:jc w:val="both"/>
        <w:rPr>
          <w:bCs/>
          <w:color w:val="000000"/>
        </w:rPr>
      </w:pPr>
      <w:r>
        <w:rPr>
          <w:bCs/>
          <w:color w:val="000000"/>
        </w:rPr>
        <w:t>- Conclusão do sistema SAESP, que visa melhorar a comunicação e transmissão de dados entre a SE, as Diretorias de Ensino e as escolas.</w:t>
      </w:r>
    </w:p>
    <w:p w:rsidR="003E6588" w:rsidRDefault="003E6588">
      <w:pPr>
        <w:ind w:firstLine="1134"/>
        <w:jc w:val="both"/>
        <w:rPr>
          <w:bCs/>
          <w:color w:val="000000"/>
        </w:rPr>
      </w:pPr>
    </w:p>
    <w:p w:rsidR="003E6588" w:rsidRDefault="003E6588">
      <w:pPr>
        <w:ind w:firstLine="1134"/>
        <w:jc w:val="both"/>
        <w:rPr>
          <w:bCs/>
          <w:color w:val="000000"/>
        </w:rPr>
      </w:pPr>
      <w:r>
        <w:rPr>
          <w:bCs/>
          <w:color w:val="000000"/>
        </w:rPr>
        <w:t>- Atuação de nutricionistas nas Diretorias de Ensino, permitindo melhor acompanhamento das escolas com visitas, supervisão e capacitação.</w:t>
      </w:r>
    </w:p>
    <w:p w:rsidR="003E6588" w:rsidRDefault="003E6588" w:rsidP="00401F75">
      <w:pPr>
        <w:ind w:firstLine="1134"/>
        <w:jc w:val="both"/>
        <w:rPr>
          <w:b/>
          <w:bCs/>
          <w:color w:val="000000"/>
        </w:rPr>
      </w:pPr>
    </w:p>
    <w:p w:rsidR="003E6588" w:rsidRDefault="003E6588">
      <w:pPr>
        <w:ind w:firstLine="1134"/>
        <w:jc w:val="both"/>
        <w:rPr>
          <w:color w:val="000000"/>
        </w:rPr>
      </w:pPr>
      <w:r>
        <w:rPr>
          <w:b/>
          <w:bCs/>
          <w:color w:val="000000"/>
        </w:rPr>
        <w:t>Tr</w:t>
      </w:r>
      <w:r>
        <w:rPr>
          <w:b/>
          <w:color w:val="000000"/>
        </w:rPr>
        <w:t xml:space="preserve">ansporte - </w:t>
      </w:r>
      <w:r>
        <w:rPr>
          <w:color w:val="000000"/>
        </w:rPr>
        <w:t>O transporte de alunos nas cidades que compõem a Região Metropolitana da Grande São Paulo - e que não possuem convênio celebrado com a SE - é executado por contratação direta/centralizada, por meio da FDE:</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976"/>
        <w:gridCol w:w="2043"/>
        <w:gridCol w:w="1976"/>
        <w:gridCol w:w="1976"/>
      </w:tblGrid>
      <w:tr w:rsidR="003E6588" w:rsidTr="00780F1D">
        <w:trPr>
          <w:jc w:val="center"/>
        </w:trPr>
        <w:tc>
          <w:tcPr>
            <w:tcW w:w="1976" w:type="dxa"/>
            <w:shd w:val="clear" w:color="auto" w:fill="auto"/>
          </w:tcPr>
          <w:p w:rsidR="003E6588" w:rsidRDefault="003E6588">
            <w:pPr>
              <w:pStyle w:val="PargrafodaLista"/>
              <w:ind w:left="0"/>
              <w:rPr>
                <w:rFonts w:ascii="Times New Roman" w:eastAsia="Times New Roman" w:hAnsi="Times New Roman"/>
                <w:b/>
                <w:bCs/>
                <w:color w:val="000000"/>
                <w:sz w:val="20"/>
                <w:szCs w:val="20"/>
                <w:lang w:eastAsia="pt-BR"/>
              </w:rPr>
            </w:pPr>
          </w:p>
        </w:tc>
        <w:tc>
          <w:tcPr>
            <w:tcW w:w="2043" w:type="dxa"/>
            <w:shd w:val="clear" w:color="auto" w:fill="auto"/>
          </w:tcPr>
          <w:p w:rsidR="003E6588" w:rsidRDefault="003E6588">
            <w:pPr>
              <w:pStyle w:val="PargrafodaLista"/>
              <w:ind w:left="0"/>
              <w:jc w:val="center"/>
              <w:rPr>
                <w:rFonts w:ascii="Times New Roman" w:eastAsia="Times New Roman" w:hAnsi="Times New Roman"/>
                <w:b/>
                <w:bCs/>
                <w:color w:val="000000"/>
                <w:sz w:val="20"/>
                <w:szCs w:val="20"/>
                <w:lang w:eastAsia="pt-BR"/>
              </w:rPr>
            </w:pPr>
            <w:r>
              <w:rPr>
                <w:rFonts w:ascii="Times New Roman" w:eastAsia="Times New Roman" w:hAnsi="Times New Roman"/>
                <w:b/>
                <w:bCs/>
                <w:color w:val="000000"/>
                <w:sz w:val="20"/>
                <w:szCs w:val="20"/>
                <w:lang w:eastAsia="pt-BR"/>
              </w:rPr>
              <w:t>FUNDAMENTAL</w:t>
            </w:r>
          </w:p>
        </w:tc>
        <w:tc>
          <w:tcPr>
            <w:tcW w:w="1976" w:type="dxa"/>
            <w:shd w:val="clear" w:color="auto" w:fill="auto"/>
          </w:tcPr>
          <w:p w:rsidR="003E6588" w:rsidRDefault="003E6588">
            <w:pPr>
              <w:pStyle w:val="PargrafodaLista"/>
              <w:ind w:left="0"/>
              <w:jc w:val="center"/>
              <w:rPr>
                <w:rFonts w:ascii="Times New Roman" w:eastAsia="Times New Roman" w:hAnsi="Times New Roman"/>
                <w:b/>
                <w:bCs/>
                <w:color w:val="000000"/>
                <w:sz w:val="20"/>
                <w:szCs w:val="20"/>
                <w:lang w:eastAsia="pt-BR"/>
              </w:rPr>
            </w:pPr>
            <w:r>
              <w:rPr>
                <w:rFonts w:ascii="Times New Roman" w:eastAsia="Times New Roman" w:hAnsi="Times New Roman"/>
                <w:b/>
                <w:bCs/>
                <w:color w:val="000000"/>
                <w:sz w:val="20"/>
                <w:szCs w:val="20"/>
                <w:lang w:eastAsia="pt-BR"/>
              </w:rPr>
              <w:t>MÉDIO</w:t>
            </w:r>
          </w:p>
        </w:tc>
        <w:tc>
          <w:tcPr>
            <w:tcW w:w="1976" w:type="dxa"/>
            <w:shd w:val="clear" w:color="auto" w:fill="auto"/>
          </w:tcPr>
          <w:p w:rsidR="003E6588" w:rsidRDefault="003E6588">
            <w:pPr>
              <w:pStyle w:val="PargrafodaLista"/>
              <w:ind w:left="0"/>
              <w:jc w:val="center"/>
              <w:rPr>
                <w:rFonts w:ascii="Times New Roman" w:eastAsia="Times New Roman" w:hAnsi="Times New Roman"/>
                <w:b/>
                <w:bCs/>
                <w:color w:val="000000"/>
                <w:sz w:val="20"/>
                <w:szCs w:val="20"/>
                <w:lang w:eastAsia="pt-BR"/>
              </w:rPr>
            </w:pPr>
            <w:r>
              <w:rPr>
                <w:rFonts w:ascii="Times New Roman" w:eastAsia="Times New Roman" w:hAnsi="Times New Roman"/>
                <w:b/>
                <w:bCs/>
                <w:color w:val="000000"/>
                <w:sz w:val="20"/>
                <w:szCs w:val="20"/>
                <w:lang w:eastAsia="pt-BR"/>
              </w:rPr>
              <w:t>TOTAL</w:t>
            </w:r>
          </w:p>
        </w:tc>
      </w:tr>
      <w:tr w:rsidR="003E6588" w:rsidTr="00780F1D">
        <w:trPr>
          <w:jc w:val="center"/>
        </w:trPr>
        <w:tc>
          <w:tcPr>
            <w:tcW w:w="1976" w:type="dxa"/>
            <w:shd w:val="clear" w:color="auto" w:fill="auto"/>
          </w:tcPr>
          <w:p w:rsidR="003E6588" w:rsidRDefault="003E6588">
            <w:pPr>
              <w:pStyle w:val="PargrafodaLista"/>
              <w:ind w:left="0"/>
              <w:rPr>
                <w:rFonts w:ascii="Times New Roman" w:eastAsia="Times New Roman" w:hAnsi="Times New Roman"/>
                <w:b/>
                <w:bCs/>
                <w:color w:val="000000"/>
                <w:sz w:val="20"/>
                <w:szCs w:val="20"/>
                <w:lang w:eastAsia="pt-BR"/>
              </w:rPr>
            </w:pPr>
            <w:r>
              <w:rPr>
                <w:rFonts w:ascii="Times New Roman" w:eastAsia="Times New Roman" w:hAnsi="Times New Roman"/>
                <w:b/>
                <w:bCs/>
                <w:color w:val="000000"/>
                <w:sz w:val="20"/>
                <w:szCs w:val="20"/>
                <w:lang w:eastAsia="pt-BR"/>
              </w:rPr>
              <w:t>ALUNOS/DIA</w:t>
            </w:r>
          </w:p>
        </w:tc>
        <w:tc>
          <w:tcPr>
            <w:tcW w:w="2043" w:type="dxa"/>
            <w:shd w:val="clear" w:color="auto" w:fill="auto"/>
          </w:tcPr>
          <w:p w:rsidR="003E6588" w:rsidRDefault="003E6588">
            <w:pPr>
              <w:pStyle w:val="PargrafodaLista"/>
              <w:ind w:left="0"/>
              <w:jc w:val="center"/>
              <w:rPr>
                <w:rFonts w:ascii="Times New Roman" w:eastAsia="Times New Roman" w:hAnsi="Times New Roman"/>
                <w:color w:val="000000"/>
                <w:sz w:val="20"/>
                <w:szCs w:val="20"/>
                <w:lang w:eastAsia="pt-BR"/>
              </w:rPr>
            </w:pPr>
            <w:r>
              <w:rPr>
                <w:rFonts w:ascii="Times New Roman" w:eastAsia="Times New Roman" w:hAnsi="Times New Roman"/>
                <w:color w:val="000000"/>
                <w:sz w:val="20"/>
                <w:szCs w:val="20"/>
                <w:lang w:eastAsia="pt-BR"/>
              </w:rPr>
              <w:t>82.558</w:t>
            </w:r>
          </w:p>
        </w:tc>
        <w:tc>
          <w:tcPr>
            <w:tcW w:w="1976" w:type="dxa"/>
            <w:shd w:val="clear" w:color="auto" w:fill="auto"/>
          </w:tcPr>
          <w:p w:rsidR="003E6588" w:rsidRDefault="003E6588">
            <w:pPr>
              <w:pStyle w:val="PargrafodaLista"/>
              <w:ind w:left="0"/>
              <w:jc w:val="center"/>
              <w:rPr>
                <w:rFonts w:ascii="Times New Roman" w:eastAsia="Times New Roman" w:hAnsi="Times New Roman"/>
                <w:color w:val="000000"/>
                <w:sz w:val="20"/>
                <w:szCs w:val="20"/>
                <w:lang w:eastAsia="pt-BR"/>
              </w:rPr>
            </w:pPr>
            <w:r>
              <w:rPr>
                <w:rFonts w:ascii="Times New Roman" w:eastAsia="Times New Roman" w:hAnsi="Times New Roman"/>
                <w:color w:val="000000"/>
                <w:sz w:val="20"/>
                <w:szCs w:val="20"/>
                <w:lang w:eastAsia="pt-BR"/>
              </w:rPr>
              <w:t>20.640</w:t>
            </w:r>
          </w:p>
        </w:tc>
        <w:tc>
          <w:tcPr>
            <w:tcW w:w="1976" w:type="dxa"/>
            <w:shd w:val="clear" w:color="auto" w:fill="auto"/>
          </w:tcPr>
          <w:p w:rsidR="003E6588" w:rsidRDefault="003E6588">
            <w:pPr>
              <w:pStyle w:val="PargrafodaLista"/>
              <w:ind w:left="0"/>
              <w:jc w:val="center"/>
              <w:rPr>
                <w:rFonts w:ascii="Times New Roman" w:eastAsia="Times New Roman" w:hAnsi="Times New Roman"/>
                <w:color w:val="000000"/>
                <w:sz w:val="20"/>
                <w:szCs w:val="20"/>
                <w:lang w:eastAsia="pt-BR"/>
              </w:rPr>
            </w:pPr>
            <w:r>
              <w:rPr>
                <w:rFonts w:ascii="Times New Roman" w:eastAsia="Times New Roman" w:hAnsi="Times New Roman"/>
                <w:color w:val="000000"/>
                <w:sz w:val="20"/>
                <w:szCs w:val="20"/>
                <w:lang w:eastAsia="pt-BR"/>
              </w:rPr>
              <w:t>103.198</w:t>
            </w:r>
          </w:p>
        </w:tc>
      </w:tr>
      <w:tr w:rsidR="003E6588" w:rsidTr="00780F1D">
        <w:trPr>
          <w:jc w:val="center"/>
        </w:trPr>
        <w:tc>
          <w:tcPr>
            <w:tcW w:w="1976" w:type="dxa"/>
            <w:shd w:val="clear" w:color="auto" w:fill="auto"/>
          </w:tcPr>
          <w:p w:rsidR="003E6588" w:rsidRDefault="003E6588">
            <w:pPr>
              <w:pStyle w:val="PargrafodaLista"/>
              <w:ind w:left="0"/>
              <w:rPr>
                <w:rFonts w:ascii="Times New Roman" w:eastAsia="Times New Roman" w:hAnsi="Times New Roman"/>
                <w:b/>
                <w:bCs/>
                <w:color w:val="000000"/>
                <w:sz w:val="20"/>
                <w:szCs w:val="20"/>
                <w:lang w:eastAsia="pt-BR"/>
              </w:rPr>
            </w:pPr>
            <w:r>
              <w:rPr>
                <w:rFonts w:ascii="Times New Roman" w:eastAsia="Times New Roman" w:hAnsi="Times New Roman"/>
                <w:b/>
                <w:bCs/>
                <w:color w:val="000000"/>
                <w:sz w:val="20"/>
                <w:szCs w:val="20"/>
                <w:lang w:eastAsia="pt-BR"/>
              </w:rPr>
              <w:t>VALORES/MÊS</w:t>
            </w:r>
          </w:p>
        </w:tc>
        <w:tc>
          <w:tcPr>
            <w:tcW w:w="2043" w:type="dxa"/>
            <w:shd w:val="clear" w:color="auto" w:fill="auto"/>
          </w:tcPr>
          <w:p w:rsidR="003E6588" w:rsidRDefault="003E6588">
            <w:pPr>
              <w:pStyle w:val="PargrafodaLista"/>
              <w:ind w:left="0"/>
              <w:jc w:val="center"/>
              <w:rPr>
                <w:rFonts w:ascii="Times New Roman" w:eastAsia="Times New Roman" w:hAnsi="Times New Roman"/>
                <w:color w:val="000000"/>
                <w:sz w:val="20"/>
                <w:szCs w:val="20"/>
                <w:lang w:eastAsia="pt-BR"/>
              </w:rPr>
            </w:pPr>
            <w:r>
              <w:rPr>
                <w:rFonts w:ascii="Times New Roman" w:eastAsia="Times New Roman" w:hAnsi="Times New Roman"/>
                <w:color w:val="000000"/>
                <w:sz w:val="20"/>
                <w:szCs w:val="20"/>
                <w:lang w:eastAsia="pt-BR"/>
              </w:rPr>
              <w:t>18.581.683,59</w:t>
            </w:r>
          </w:p>
        </w:tc>
        <w:tc>
          <w:tcPr>
            <w:tcW w:w="1976" w:type="dxa"/>
            <w:shd w:val="clear" w:color="auto" w:fill="auto"/>
          </w:tcPr>
          <w:p w:rsidR="003E6588" w:rsidRDefault="003E6588">
            <w:pPr>
              <w:pStyle w:val="PargrafodaLista"/>
              <w:ind w:left="0"/>
              <w:jc w:val="center"/>
              <w:rPr>
                <w:rFonts w:ascii="Times New Roman" w:eastAsia="Times New Roman" w:hAnsi="Times New Roman"/>
                <w:color w:val="000000"/>
                <w:sz w:val="20"/>
                <w:szCs w:val="20"/>
                <w:lang w:eastAsia="pt-BR"/>
              </w:rPr>
            </w:pPr>
            <w:r>
              <w:rPr>
                <w:rFonts w:ascii="Times New Roman" w:eastAsia="Times New Roman" w:hAnsi="Times New Roman"/>
                <w:color w:val="000000"/>
                <w:sz w:val="20"/>
                <w:szCs w:val="20"/>
                <w:lang w:eastAsia="pt-BR"/>
              </w:rPr>
              <w:t>4.645.420,90</w:t>
            </w:r>
          </w:p>
        </w:tc>
        <w:tc>
          <w:tcPr>
            <w:tcW w:w="1976" w:type="dxa"/>
            <w:shd w:val="clear" w:color="auto" w:fill="auto"/>
          </w:tcPr>
          <w:p w:rsidR="003E6588" w:rsidRDefault="003E6588">
            <w:pPr>
              <w:pStyle w:val="PargrafodaLista"/>
              <w:ind w:left="0"/>
              <w:jc w:val="center"/>
              <w:rPr>
                <w:rFonts w:ascii="Times New Roman" w:eastAsia="Times New Roman" w:hAnsi="Times New Roman"/>
                <w:color w:val="000000"/>
                <w:sz w:val="20"/>
                <w:szCs w:val="20"/>
                <w:lang w:eastAsia="pt-BR"/>
              </w:rPr>
            </w:pPr>
            <w:r>
              <w:rPr>
                <w:rFonts w:ascii="Times New Roman" w:eastAsia="Times New Roman" w:hAnsi="Times New Roman"/>
                <w:color w:val="000000"/>
                <w:sz w:val="20"/>
                <w:szCs w:val="20"/>
                <w:lang w:eastAsia="pt-BR"/>
              </w:rPr>
              <w:t>23.227.104,49</w:t>
            </w:r>
          </w:p>
        </w:tc>
      </w:tr>
    </w:tbl>
    <w:p w:rsidR="003E6588" w:rsidRDefault="003E6588">
      <w:pPr>
        <w:pStyle w:val="PargrafodaLista"/>
        <w:ind w:left="0" w:firstLine="1134"/>
        <w:jc w:val="left"/>
        <w:rPr>
          <w:rFonts w:ascii="Times New Roman" w:eastAsia="Times New Roman" w:hAnsi="Times New Roman"/>
          <w:color w:val="000000"/>
          <w:sz w:val="16"/>
          <w:szCs w:val="16"/>
          <w:lang w:eastAsia="pt-BR"/>
        </w:rPr>
      </w:pPr>
      <w:r>
        <w:rPr>
          <w:rFonts w:ascii="Times New Roman" w:eastAsia="Times New Roman" w:hAnsi="Times New Roman"/>
          <w:color w:val="000000"/>
          <w:sz w:val="16"/>
          <w:szCs w:val="16"/>
          <w:lang w:eastAsia="pt-BR"/>
        </w:rPr>
        <w:t>Tabela: convênio SE/FDE - Transporte Escolar Região Metropolitana</w:t>
      </w:r>
    </w:p>
    <w:p w:rsidR="003E6588" w:rsidRDefault="003E6588">
      <w:pPr>
        <w:pStyle w:val="PargrafodaLista"/>
        <w:ind w:left="1134"/>
        <w:rPr>
          <w:rFonts w:ascii="Times New Roman" w:eastAsia="Times New Roman" w:hAnsi="Times New Roman"/>
          <w:color w:val="000000"/>
          <w:sz w:val="24"/>
          <w:szCs w:val="24"/>
          <w:lang w:eastAsia="pt-BR"/>
        </w:rPr>
      </w:pPr>
    </w:p>
    <w:p w:rsidR="003E6588" w:rsidRDefault="003E6588">
      <w:pPr>
        <w:pStyle w:val="PargrafodaLista"/>
        <w:ind w:left="0" w:firstLine="1134"/>
        <w:rPr>
          <w:rFonts w:ascii="Times New Roman" w:eastAsia="Times New Roman" w:hAnsi="Times New Roman"/>
          <w:color w:val="000000"/>
          <w:sz w:val="24"/>
          <w:szCs w:val="24"/>
          <w:lang w:eastAsia="pt-BR"/>
        </w:rPr>
      </w:pPr>
      <w:r>
        <w:rPr>
          <w:rFonts w:ascii="Times New Roman" w:eastAsia="Times New Roman" w:hAnsi="Times New Roman"/>
          <w:color w:val="000000"/>
          <w:sz w:val="24"/>
          <w:szCs w:val="24"/>
          <w:lang w:eastAsia="pt-BR"/>
        </w:rPr>
        <w:t>O transporte de alunos nas demais regiões do Estado é realizado por convênios celebrados entre a SE e as Prefeituras Municipais, garantindo, sobretudo, o transporte dos alunos residentes na zona rural:</w:t>
      </w:r>
    </w:p>
    <w:p w:rsidR="003E6588" w:rsidRDefault="003E6588">
      <w:pPr>
        <w:pStyle w:val="PargrafodaLista"/>
        <w:rPr>
          <w:rFonts w:ascii="Times New Roman" w:eastAsia="Times New Roman" w:hAnsi="Times New Roman"/>
          <w:color w:val="000000"/>
          <w:sz w:val="24"/>
          <w:szCs w:val="24"/>
          <w:lang w:eastAsia="pt-BR"/>
        </w:rPr>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4361"/>
        <w:gridCol w:w="2225"/>
      </w:tblGrid>
      <w:tr w:rsidR="003E6588" w:rsidTr="00780F1D">
        <w:trPr>
          <w:jc w:val="center"/>
        </w:trPr>
        <w:tc>
          <w:tcPr>
            <w:tcW w:w="4361" w:type="dxa"/>
            <w:shd w:val="clear" w:color="auto" w:fill="auto"/>
          </w:tcPr>
          <w:p w:rsidR="003E6588" w:rsidRDefault="003E6588">
            <w:pPr>
              <w:pStyle w:val="PargrafodaLista"/>
              <w:ind w:left="0"/>
              <w:jc w:val="center"/>
              <w:rPr>
                <w:rFonts w:ascii="Times New Roman" w:hAnsi="Times New Roman"/>
                <w:b/>
                <w:bCs/>
                <w:sz w:val="20"/>
                <w:szCs w:val="20"/>
              </w:rPr>
            </w:pPr>
            <w:r>
              <w:rPr>
                <w:rFonts w:ascii="Times New Roman" w:hAnsi="Times New Roman"/>
                <w:b/>
                <w:bCs/>
                <w:sz w:val="20"/>
                <w:szCs w:val="20"/>
              </w:rPr>
              <w:t>VALOR TOTAL DO CONVÊNIO</w:t>
            </w:r>
          </w:p>
        </w:tc>
        <w:tc>
          <w:tcPr>
            <w:tcW w:w="2225" w:type="dxa"/>
            <w:shd w:val="clear" w:color="auto" w:fill="auto"/>
          </w:tcPr>
          <w:p w:rsidR="003E6588" w:rsidRDefault="003E6588">
            <w:pPr>
              <w:pStyle w:val="PargrafodaLista"/>
              <w:ind w:left="0"/>
              <w:jc w:val="center"/>
              <w:rPr>
                <w:rFonts w:ascii="Times New Roman" w:hAnsi="Times New Roman"/>
                <w:b/>
                <w:bCs/>
                <w:sz w:val="20"/>
                <w:szCs w:val="20"/>
              </w:rPr>
            </w:pPr>
            <w:r>
              <w:rPr>
                <w:rFonts w:ascii="Times New Roman" w:hAnsi="Times New Roman"/>
                <w:b/>
                <w:bCs/>
                <w:sz w:val="20"/>
                <w:szCs w:val="20"/>
              </w:rPr>
              <w:t>R$ 745.666.645,66</w:t>
            </w:r>
          </w:p>
        </w:tc>
      </w:tr>
      <w:tr w:rsidR="003E6588" w:rsidTr="00780F1D">
        <w:trPr>
          <w:jc w:val="center"/>
        </w:trPr>
        <w:tc>
          <w:tcPr>
            <w:tcW w:w="4361" w:type="dxa"/>
            <w:shd w:val="clear" w:color="auto" w:fill="auto"/>
          </w:tcPr>
          <w:p w:rsidR="003E6588" w:rsidRDefault="003E6588" w:rsidP="00780F1D">
            <w:pPr>
              <w:pStyle w:val="PargrafodaLista"/>
              <w:ind w:left="0"/>
              <w:rPr>
                <w:rFonts w:ascii="Times New Roman" w:hAnsi="Times New Roman"/>
                <w:bCs/>
                <w:color w:val="000000"/>
                <w:sz w:val="20"/>
                <w:szCs w:val="20"/>
              </w:rPr>
            </w:pPr>
            <w:r>
              <w:rPr>
                <w:rFonts w:ascii="Times New Roman" w:hAnsi="Times New Roman"/>
                <w:bCs/>
                <w:color w:val="000000"/>
                <w:sz w:val="20"/>
                <w:szCs w:val="20"/>
              </w:rPr>
              <w:t>PARTE SEE (66,65%)</w:t>
            </w:r>
          </w:p>
        </w:tc>
        <w:tc>
          <w:tcPr>
            <w:tcW w:w="2225" w:type="dxa"/>
            <w:shd w:val="clear" w:color="auto" w:fill="auto"/>
          </w:tcPr>
          <w:p w:rsidR="003E6588" w:rsidRDefault="003E6588">
            <w:pPr>
              <w:pStyle w:val="PargrafodaLista"/>
              <w:ind w:left="0"/>
              <w:jc w:val="center"/>
              <w:rPr>
                <w:rFonts w:ascii="Times New Roman" w:hAnsi="Times New Roman"/>
                <w:color w:val="000000"/>
                <w:sz w:val="20"/>
                <w:szCs w:val="20"/>
              </w:rPr>
            </w:pPr>
            <w:r>
              <w:rPr>
                <w:rFonts w:ascii="Times New Roman" w:hAnsi="Times New Roman"/>
                <w:color w:val="000000"/>
                <w:sz w:val="20"/>
                <w:szCs w:val="20"/>
              </w:rPr>
              <w:t>R$ 497.000.000,00</w:t>
            </w:r>
          </w:p>
        </w:tc>
      </w:tr>
      <w:tr w:rsidR="003E6588" w:rsidTr="00780F1D">
        <w:trPr>
          <w:jc w:val="center"/>
        </w:trPr>
        <w:tc>
          <w:tcPr>
            <w:tcW w:w="4361" w:type="dxa"/>
            <w:shd w:val="clear" w:color="auto" w:fill="auto"/>
          </w:tcPr>
          <w:p w:rsidR="003E6588" w:rsidRDefault="003E6588" w:rsidP="00780F1D">
            <w:pPr>
              <w:pStyle w:val="PargrafodaLista"/>
              <w:ind w:left="0"/>
              <w:rPr>
                <w:rFonts w:ascii="Times New Roman" w:hAnsi="Times New Roman"/>
                <w:bCs/>
                <w:color w:val="000000"/>
                <w:sz w:val="20"/>
                <w:szCs w:val="20"/>
              </w:rPr>
            </w:pPr>
            <w:r>
              <w:rPr>
                <w:rFonts w:ascii="Times New Roman" w:hAnsi="Times New Roman"/>
                <w:bCs/>
                <w:color w:val="000000"/>
                <w:sz w:val="20"/>
                <w:szCs w:val="20"/>
              </w:rPr>
              <w:t>CONTRAPARTE PREFEITURAS (33,25%)</w:t>
            </w:r>
          </w:p>
        </w:tc>
        <w:tc>
          <w:tcPr>
            <w:tcW w:w="2225" w:type="dxa"/>
            <w:shd w:val="clear" w:color="auto" w:fill="auto"/>
          </w:tcPr>
          <w:p w:rsidR="003E6588" w:rsidRDefault="003E6588">
            <w:pPr>
              <w:pStyle w:val="PargrafodaLista"/>
              <w:ind w:left="0"/>
              <w:jc w:val="center"/>
              <w:rPr>
                <w:rFonts w:ascii="Times New Roman" w:hAnsi="Times New Roman"/>
                <w:color w:val="000000"/>
                <w:sz w:val="20"/>
                <w:szCs w:val="20"/>
              </w:rPr>
            </w:pPr>
            <w:r>
              <w:rPr>
                <w:rFonts w:ascii="Times New Roman" w:hAnsi="Times New Roman"/>
                <w:sz w:val="20"/>
                <w:szCs w:val="20"/>
              </w:rPr>
              <w:t>R$ 248.666.645,66</w:t>
            </w:r>
          </w:p>
        </w:tc>
      </w:tr>
    </w:tbl>
    <w:p w:rsidR="003E6588" w:rsidRDefault="003E6588">
      <w:pPr>
        <w:pStyle w:val="PargrafodaLista"/>
        <w:ind w:left="0" w:firstLine="1843"/>
        <w:jc w:val="left"/>
        <w:rPr>
          <w:rFonts w:ascii="Times New Roman" w:hAnsi="Times New Roman"/>
          <w:color w:val="000000"/>
          <w:sz w:val="16"/>
          <w:szCs w:val="16"/>
        </w:rPr>
      </w:pPr>
      <w:r>
        <w:rPr>
          <w:rFonts w:ascii="Times New Roman" w:hAnsi="Times New Roman"/>
          <w:color w:val="000000"/>
          <w:sz w:val="16"/>
          <w:szCs w:val="16"/>
        </w:rPr>
        <w:t>Tabela: Convênio SE/FDE Transporte Escolar interior</w:t>
      </w:r>
    </w:p>
    <w:p w:rsidR="003E6588" w:rsidRDefault="003E6588">
      <w:pPr>
        <w:pStyle w:val="PargrafodaLista"/>
        <w:ind w:left="0"/>
        <w:rPr>
          <w:rFonts w:ascii="Times New Roman" w:eastAsia="Times New Roman" w:hAnsi="Times New Roman"/>
          <w:color w:val="000000"/>
          <w:sz w:val="24"/>
          <w:szCs w:val="24"/>
          <w:lang w:eastAsia="pt-BR"/>
        </w:rPr>
      </w:pPr>
    </w:p>
    <w:p w:rsidR="003E6588" w:rsidRDefault="003E6588">
      <w:pPr>
        <w:pStyle w:val="PargrafodaLista"/>
        <w:ind w:left="0" w:firstLine="1134"/>
        <w:rPr>
          <w:rFonts w:ascii="Times New Roman" w:hAnsi="Times New Roman"/>
          <w:color w:val="000000"/>
          <w:sz w:val="24"/>
          <w:szCs w:val="24"/>
          <w:lang w:eastAsia="pt-BR"/>
        </w:rPr>
      </w:pPr>
      <w:r>
        <w:rPr>
          <w:rFonts w:ascii="Times New Roman" w:eastAsia="Times New Roman" w:hAnsi="Times New Roman"/>
          <w:color w:val="000000"/>
          <w:sz w:val="24"/>
          <w:szCs w:val="24"/>
          <w:lang w:eastAsia="pt-BR"/>
        </w:rPr>
        <w:t>O Transporte Eventual que, tendo como público os alunos da Região Metropolitana da Grande São Paulo, funciona via Ata de Registro de Preços da FDE.</w:t>
      </w:r>
    </w:p>
    <w:p w:rsidR="003E6588" w:rsidRDefault="003E6588">
      <w:pPr>
        <w:pStyle w:val="PargrafodaLista"/>
        <w:ind w:left="1134"/>
        <w:rPr>
          <w:rFonts w:ascii="Times New Roman" w:hAnsi="Times New Roman"/>
          <w:color w:val="000000"/>
          <w:sz w:val="24"/>
          <w:szCs w:val="24"/>
          <w:lang w:eastAsia="pt-BR"/>
        </w:rPr>
      </w:pPr>
    </w:p>
    <w:p w:rsidR="003E6588" w:rsidRDefault="00AD3B0F">
      <w:pPr>
        <w:pStyle w:val="PargrafodaLista"/>
        <w:ind w:left="0"/>
        <w:jc w:val="center"/>
        <w:rPr>
          <w:szCs w:val="28"/>
        </w:rPr>
      </w:pPr>
      <w:r>
        <w:rPr>
          <w:rFonts w:ascii="Times New Roman" w:hAnsi="Times New Roman"/>
          <w:noProof/>
          <w:sz w:val="24"/>
          <w:szCs w:val="24"/>
          <w:lang w:eastAsia="pt-BR"/>
        </w:rPr>
        <w:drawing>
          <wp:inline distT="0" distB="0" distL="0" distR="0">
            <wp:extent cx="5553075" cy="695325"/>
            <wp:effectExtent l="19050" t="0" r="9525"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cstate="print"/>
                    <a:srcRect/>
                    <a:stretch>
                      <a:fillRect/>
                    </a:stretch>
                  </pic:blipFill>
                  <pic:spPr bwMode="auto">
                    <a:xfrm>
                      <a:off x="0" y="0"/>
                      <a:ext cx="5553075" cy="695325"/>
                    </a:xfrm>
                    <a:prstGeom prst="rect">
                      <a:avLst/>
                    </a:prstGeom>
                    <a:noFill/>
                    <a:ln w="9525">
                      <a:noFill/>
                      <a:miter lim="800000"/>
                      <a:headEnd/>
                      <a:tailEnd/>
                    </a:ln>
                  </pic:spPr>
                </pic:pic>
              </a:graphicData>
            </a:graphic>
          </wp:inline>
        </w:drawing>
      </w:r>
    </w:p>
    <w:p w:rsidR="003E6588" w:rsidRDefault="003E6588">
      <w:pPr>
        <w:pStyle w:val="PargrafodaLista"/>
        <w:ind w:left="0" w:firstLine="709"/>
        <w:jc w:val="left"/>
        <w:rPr>
          <w:rFonts w:ascii="Times New Roman" w:hAnsi="Times New Roman"/>
          <w:color w:val="000000"/>
          <w:sz w:val="16"/>
          <w:szCs w:val="16"/>
        </w:rPr>
      </w:pPr>
      <w:r>
        <w:rPr>
          <w:rFonts w:ascii="Times New Roman" w:hAnsi="Times New Roman"/>
          <w:color w:val="000000"/>
          <w:sz w:val="16"/>
          <w:szCs w:val="16"/>
        </w:rPr>
        <w:t>Tabela: Transporte Escolar Eventual</w:t>
      </w:r>
    </w:p>
    <w:p w:rsidR="003E6588" w:rsidRDefault="003E6588">
      <w:pPr>
        <w:pStyle w:val="PargrafodaLista"/>
        <w:ind w:left="0"/>
        <w:jc w:val="center"/>
        <w:rPr>
          <w:rFonts w:ascii="Times New Roman" w:hAnsi="Times New Roman"/>
          <w:color w:val="000000"/>
          <w:sz w:val="24"/>
          <w:szCs w:val="24"/>
          <w:lang w:eastAsia="pt-BR"/>
        </w:rPr>
      </w:pPr>
    </w:p>
    <w:p w:rsidR="003E6588" w:rsidRDefault="003E6588" w:rsidP="00401F75">
      <w:pPr>
        <w:pStyle w:val="PargrafodaLista"/>
        <w:ind w:left="0" w:firstLine="1134"/>
        <w:rPr>
          <w:rFonts w:ascii="Times New Roman" w:hAnsi="Times New Roman"/>
          <w:color w:val="000000"/>
          <w:sz w:val="24"/>
          <w:szCs w:val="24"/>
          <w:lang w:eastAsia="pt-BR"/>
        </w:rPr>
      </w:pPr>
      <w:r>
        <w:rPr>
          <w:rFonts w:ascii="Times New Roman" w:eastAsia="Times New Roman" w:hAnsi="Times New Roman"/>
          <w:color w:val="000000"/>
          <w:sz w:val="24"/>
          <w:szCs w:val="24"/>
          <w:lang w:eastAsia="pt-BR"/>
        </w:rPr>
        <w:t xml:space="preserve">Há o convênio com o Serviço Especial LIGADO, da EMTU, que oferece transporte diferenciado para alunos com necessidades especiais. Foram 6.172 usuários (incluindo os acompanhantes) a um valor de R$ </w:t>
      </w:r>
      <w:r>
        <w:rPr>
          <w:rFonts w:ascii="Times New Roman" w:hAnsi="Times New Roman"/>
          <w:sz w:val="24"/>
          <w:szCs w:val="24"/>
        </w:rPr>
        <w:t>71,7 milhões.</w:t>
      </w:r>
    </w:p>
    <w:p w:rsidR="003E6588" w:rsidRDefault="003E6588" w:rsidP="00401F75">
      <w:pPr>
        <w:pStyle w:val="PargrafodaLista"/>
        <w:ind w:left="0" w:firstLine="1134"/>
        <w:rPr>
          <w:rFonts w:cs="Arial"/>
          <w:color w:val="000000"/>
          <w:sz w:val="24"/>
          <w:szCs w:val="24"/>
          <w:lang w:eastAsia="pt-BR"/>
        </w:rPr>
      </w:pPr>
    </w:p>
    <w:p w:rsidR="003E6588" w:rsidRDefault="003E6588" w:rsidP="00401F75">
      <w:pPr>
        <w:ind w:firstLine="1134"/>
        <w:jc w:val="both"/>
        <w:rPr>
          <w:color w:val="000000"/>
        </w:rPr>
      </w:pPr>
      <w:bookmarkStart w:id="8" w:name="_Toc312670102"/>
      <w:r>
        <w:rPr>
          <w:b/>
          <w:color w:val="000000"/>
        </w:rPr>
        <w:t>Gestão da Infraestrutura</w:t>
      </w:r>
      <w:bookmarkEnd w:id="8"/>
      <w:r>
        <w:rPr>
          <w:b/>
          <w:color w:val="000000"/>
        </w:rPr>
        <w:t xml:space="preserve"> - </w:t>
      </w:r>
      <w:r>
        <w:rPr>
          <w:color w:val="000000"/>
        </w:rPr>
        <w:t xml:space="preserve">Obras </w:t>
      </w:r>
      <w:r>
        <w:rPr>
          <w:b/>
          <w:color w:val="000000"/>
        </w:rPr>
        <w:t xml:space="preserve">- </w:t>
      </w:r>
      <w:r>
        <w:rPr>
          <w:color w:val="000000"/>
        </w:rPr>
        <w:t>As melhorias da Rede física têm acontecido por meio de três importantes programas:</w:t>
      </w:r>
    </w:p>
    <w:p w:rsidR="003E6588" w:rsidRDefault="003E6588" w:rsidP="00401F75">
      <w:pPr>
        <w:ind w:firstLine="1134"/>
        <w:jc w:val="both"/>
        <w:rPr>
          <w:color w:val="000000"/>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 Acessibilidade -</w:t>
      </w:r>
      <w:r>
        <w:rPr>
          <w:rFonts w:ascii="Times New Roman" w:hAnsi="Times New Roman"/>
          <w:color w:val="000000"/>
          <w:sz w:val="24"/>
          <w:szCs w:val="24"/>
        </w:rPr>
        <w:t xml:space="preserve"> Trata-se do programa de obras para adaptação dos prédios da Rede física escolar, de modo a proporcionar o acesso às pessoas com deficiências motoras ou visuais, em conformidade à legislação vigente.</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 Construção, Reforma e Cobertura de Quadras de Esportes -</w:t>
      </w:r>
      <w:r>
        <w:rPr>
          <w:rFonts w:ascii="Times New Roman" w:hAnsi="Times New Roman"/>
          <w:color w:val="000000"/>
          <w:sz w:val="24"/>
          <w:szCs w:val="24"/>
        </w:rPr>
        <w:t xml:space="preserve"> Visam a otimizar a utilização das quadras de esportes.</w:t>
      </w:r>
    </w:p>
    <w:p w:rsidR="003E6588" w:rsidRDefault="003E6588">
      <w:pPr>
        <w:pStyle w:val="PargrafodaLista"/>
        <w:ind w:left="0" w:firstLine="1134"/>
        <w:rPr>
          <w:rFonts w:ascii="Times New Roman" w:hAnsi="Times New Roman"/>
          <w:b/>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 Substituição de prédios ou salas precárias -</w:t>
      </w:r>
      <w:r>
        <w:rPr>
          <w:rFonts w:ascii="Times New Roman" w:hAnsi="Times New Roman"/>
          <w:color w:val="000000"/>
          <w:sz w:val="24"/>
          <w:szCs w:val="24"/>
        </w:rPr>
        <w:t xml:space="preserve"> Destaca-se a construção de prédios em aldeias indígenas, em substituição às instalações precárias existentes:</w:t>
      </w:r>
    </w:p>
    <w:p w:rsidR="00780F1D" w:rsidRDefault="00780F1D">
      <w:pPr>
        <w:pStyle w:val="PargrafodaLista"/>
        <w:ind w:left="0" w:firstLine="1134"/>
        <w:rPr>
          <w:rFonts w:ascii="Times New Roman" w:hAnsi="Times New Roman"/>
          <w:color w:val="000000"/>
          <w:sz w:val="24"/>
          <w:szCs w:val="24"/>
        </w:rPr>
      </w:pPr>
    </w:p>
    <w:p w:rsidR="003E6588" w:rsidRDefault="003E6588" w:rsidP="00780F1D">
      <w:pPr>
        <w:ind w:firstLine="1134"/>
        <w:jc w:val="both"/>
        <w:rPr>
          <w:b/>
        </w:rPr>
      </w:pPr>
      <w:r>
        <w:rPr>
          <w:b/>
        </w:rPr>
        <w:t>Obras Novas</w:t>
      </w:r>
    </w:p>
    <w:p w:rsidR="00780F1D" w:rsidRPr="00780F1D" w:rsidRDefault="00780F1D" w:rsidP="00401F75">
      <w:pPr>
        <w:ind w:firstLine="1134"/>
        <w:jc w:val="both"/>
        <w:rPr>
          <w:b/>
        </w:rPr>
      </w:pPr>
    </w:p>
    <w:tbl>
      <w:tblPr>
        <w:tblW w:w="7215" w:type="dxa"/>
        <w:jc w:val="center"/>
        <w:tblInd w:w="25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398"/>
        <w:gridCol w:w="1239"/>
        <w:gridCol w:w="1300"/>
        <w:gridCol w:w="1132"/>
        <w:gridCol w:w="1205"/>
        <w:gridCol w:w="941"/>
      </w:tblGrid>
      <w:tr w:rsidR="003E6588" w:rsidTr="00780F1D">
        <w:trPr>
          <w:trHeight w:val="143"/>
          <w:jc w:val="center"/>
        </w:trPr>
        <w:tc>
          <w:tcPr>
            <w:tcW w:w="1398" w:type="dxa"/>
            <w:shd w:val="clear" w:color="auto" w:fill="auto"/>
          </w:tcPr>
          <w:p w:rsidR="003E6588" w:rsidRDefault="003E6588">
            <w:pPr>
              <w:tabs>
                <w:tab w:val="center" w:pos="4252"/>
                <w:tab w:val="right" w:pos="8504"/>
              </w:tabs>
              <w:rPr>
                <w:b/>
                <w:sz w:val="20"/>
                <w:szCs w:val="20"/>
              </w:rPr>
            </w:pPr>
            <w:r>
              <w:rPr>
                <w:b/>
                <w:sz w:val="20"/>
                <w:szCs w:val="20"/>
              </w:rPr>
              <w:t>Obras Novas</w:t>
            </w:r>
          </w:p>
        </w:tc>
        <w:tc>
          <w:tcPr>
            <w:tcW w:w="1239" w:type="dxa"/>
            <w:shd w:val="clear" w:color="auto" w:fill="auto"/>
          </w:tcPr>
          <w:p w:rsidR="003E6588" w:rsidRDefault="003E6588">
            <w:pPr>
              <w:tabs>
                <w:tab w:val="center" w:pos="4252"/>
                <w:tab w:val="right" w:pos="8504"/>
              </w:tabs>
              <w:rPr>
                <w:b/>
                <w:sz w:val="20"/>
                <w:szCs w:val="20"/>
              </w:rPr>
            </w:pPr>
            <w:r>
              <w:rPr>
                <w:b/>
                <w:sz w:val="20"/>
                <w:szCs w:val="20"/>
              </w:rPr>
              <w:t>Concluídas</w:t>
            </w:r>
          </w:p>
        </w:tc>
        <w:tc>
          <w:tcPr>
            <w:tcW w:w="1300" w:type="dxa"/>
            <w:shd w:val="clear" w:color="auto" w:fill="auto"/>
          </w:tcPr>
          <w:p w:rsidR="003E6588" w:rsidRDefault="003E6588">
            <w:pPr>
              <w:tabs>
                <w:tab w:val="center" w:pos="4252"/>
                <w:tab w:val="right" w:pos="8504"/>
              </w:tabs>
              <w:rPr>
                <w:b/>
                <w:sz w:val="20"/>
                <w:szCs w:val="20"/>
              </w:rPr>
            </w:pPr>
            <w:r>
              <w:rPr>
                <w:b/>
                <w:sz w:val="20"/>
                <w:szCs w:val="20"/>
              </w:rPr>
              <w:t>Contratadas</w:t>
            </w:r>
          </w:p>
        </w:tc>
        <w:tc>
          <w:tcPr>
            <w:tcW w:w="1132" w:type="dxa"/>
            <w:shd w:val="clear" w:color="auto" w:fill="auto"/>
          </w:tcPr>
          <w:p w:rsidR="003E6588" w:rsidRDefault="003E6588">
            <w:pPr>
              <w:tabs>
                <w:tab w:val="center" w:pos="4252"/>
                <w:tab w:val="right" w:pos="8504"/>
              </w:tabs>
              <w:rPr>
                <w:b/>
                <w:sz w:val="20"/>
                <w:szCs w:val="20"/>
              </w:rPr>
            </w:pPr>
            <w:r>
              <w:rPr>
                <w:b/>
                <w:sz w:val="20"/>
                <w:szCs w:val="20"/>
              </w:rPr>
              <w:t>Execução</w:t>
            </w:r>
          </w:p>
        </w:tc>
        <w:tc>
          <w:tcPr>
            <w:tcW w:w="1205" w:type="dxa"/>
            <w:shd w:val="clear" w:color="auto" w:fill="auto"/>
          </w:tcPr>
          <w:p w:rsidR="003E6588" w:rsidRDefault="003E6588">
            <w:pPr>
              <w:tabs>
                <w:tab w:val="center" w:pos="4252"/>
                <w:tab w:val="right" w:pos="8504"/>
              </w:tabs>
              <w:rPr>
                <w:b/>
                <w:sz w:val="20"/>
                <w:szCs w:val="20"/>
              </w:rPr>
            </w:pPr>
            <w:r>
              <w:rPr>
                <w:b/>
                <w:sz w:val="20"/>
                <w:szCs w:val="20"/>
              </w:rPr>
              <w:t>Paralisadas</w:t>
            </w:r>
          </w:p>
        </w:tc>
        <w:tc>
          <w:tcPr>
            <w:tcW w:w="941" w:type="dxa"/>
            <w:shd w:val="clear" w:color="auto" w:fill="auto"/>
          </w:tcPr>
          <w:p w:rsidR="003E6588" w:rsidRDefault="003E6588">
            <w:pPr>
              <w:tabs>
                <w:tab w:val="center" w:pos="4252"/>
                <w:tab w:val="right" w:pos="8504"/>
              </w:tabs>
              <w:rPr>
                <w:b/>
                <w:sz w:val="20"/>
                <w:szCs w:val="20"/>
              </w:rPr>
            </w:pPr>
            <w:r>
              <w:rPr>
                <w:b/>
                <w:sz w:val="20"/>
                <w:szCs w:val="20"/>
              </w:rPr>
              <w:t>Total</w:t>
            </w:r>
          </w:p>
        </w:tc>
      </w:tr>
      <w:tr w:rsidR="003E6588" w:rsidTr="00780F1D">
        <w:trPr>
          <w:trHeight w:val="57"/>
          <w:jc w:val="center"/>
        </w:trPr>
        <w:tc>
          <w:tcPr>
            <w:tcW w:w="1398" w:type="dxa"/>
            <w:shd w:val="clear" w:color="auto" w:fill="auto"/>
          </w:tcPr>
          <w:p w:rsidR="003E6588" w:rsidRDefault="003E6588">
            <w:pPr>
              <w:tabs>
                <w:tab w:val="center" w:pos="4252"/>
                <w:tab w:val="right" w:pos="8504"/>
              </w:tabs>
              <w:rPr>
                <w:sz w:val="20"/>
                <w:szCs w:val="20"/>
              </w:rPr>
            </w:pPr>
          </w:p>
        </w:tc>
        <w:tc>
          <w:tcPr>
            <w:tcW w:w="1239" w:type="dxa"/>
            <w:shd w:val="clear" w:color="auto" w:fill="auto"/>
          </w:tcPr>
          <w:p w:rsidR="003E6588" w:rsidRDefault="003E6588">
            <w:pPr>
              <w:tabs>
                <w:tab w:val="center" w:pos="4252"/>
                <w:tab w:val="right" w:pos="8504"/>
              </w:tabs>
              <w:rPr>
                <w:sz w:val="20"/>
                <w:szCs w:val="20"/>
              </w:rPr>
            </w:pPr>
            <w:r>
              <w:rPr>
                <w:sz w:val="20"/>
                <w:szCs w:val="20"/>
              </w:rPr>
              <w:t>3</w:t>
            </w:r>
          </w:p>
        </w:tc>
        <w:tc>
          <w:tcPr>
            <w:tcW w:w="1300" w:type="dxa"/>
            <w:shd w:val="clear" w:color="auto" w:fill="auto"/>
          </w:tcPr>
          <w:p w:rsidR="003E6588" w:rsidRDefault="003E6588">
            <w:pPr>
              <w:tabs>
                <w:tab w:val="center" w:pos="4252"/>
                <w:tab w:val="right" w:pos="8504"/>
              </w:tabs>
              <w:rPr>
                <w:sz w:val="20"/>
                <w:szCs w:val="20"/>
              </w:rPr>
            </w:pPr>
            <w:r>
              <w:rPr>
                <w:sz w:val="20"/>
                <w:szCs w:val="20"/>
              </w:rPr>
              <w:t>6</w:t>
            </w:r>
          </w:p>
        </w:tc>
        <w:tc>
          <w:tcPr>
            <w:tcW w:w="1132" w:type="dxa"/>
            <w:shd w:val="clear" w:color="auto" w:fill="auto"/>
          </w:tcPr>
          <w:p w:rsidR="003E6588" w:rsidRDefault="003E6588">
            <w:pPr>
              <w:tabs>
                <w:tab w:val="center" w:pos="4252"/>
                <w:tab w:val="right" w:pos="8504"/>
              </w:tabs>
              <w:rPr>
                <w:sz w:val="20"/>
                <w:szCs w:val="20"/>
              </w:rPr>
            </w:pPr>
            <w:r>
              <w:rPr>
                <w:sz w:val="20"/>
                <w:szCs w:val="20"/>
              </w:rPr>
              <w:t>35</w:t>
            </w:r>
          </w:p>
        </w:tc>
        <w:tc>
          <w:tcPr>
            <w:tcW w:w="1205" w:type="dxa"/>
            <w:shd w:val="clear" w:color="auto" w:fill="auto"/>
          </w:tcPr>
          <w:p w:rsidR="003E6588" w:rsidRDefault="003E6588">
            <w:pPr>
              <w:tabs>
                <w:tab w:val="center" w:pos="4252"/>
                <w:tab w:val="right" w:pos="8504"/>
              </w:tabs>
              <w:rPr>
                <w:sz w:val="20"/>
                <w:szCs w:val="20"/>
              </w:rPr>
            </w:pPr>
            <w:r>
              <w:rPr>
                <w:sz w:val="20"/>
                <w:szCs w:val="20"/>
              </w:rPr>
              <w:t>1</w:t>
            </w:r>
          </w:p>
        </w:tc>
        <w:tc>
          <w:tcPr>
            <w:tcW w:w="941" w:type="dxa"/>
            <w:shd w:val="clear" w:color="auto" w:fill="auto"/>
          </w:tcPr>
          <w:p w:rsidR="003E6588" w:rsidRDefault="003E6588">
            <w:pPr>
              <w:tabs>
                <w:tab w:val="center" w:pos="4252"/>
                <w:tab w:val="right" w:pos="8504"/>
              </w:tabs>
              <w:rPr>
                <w:sz w:val="20"/>
                <w:szCs w:val="20"/>
              </w:rPr>
            </w:pPr>
            <w:r>
              <w:rPr>
                <w:sz w:val="20"/>
                <w:szCs w:val="20"/>
              </w:rPr>
              <w:t>45</w:t>
            </w:r>
          </w:p>
        </w:tc>
      </w:tr>
    </w:tbl>
    <w:p w:rsidR="003E6588" w:rsidRDefault="003E6588" w:rsidP="00780F1D">
      <w:pPr>
        <w:tabs>
          <w:tab w:val="left" w:pos="3369"/>
          <w:tab w:val="left" w:pos="4551"/>
          <w:tab w:val="left" w:pos="5858"/>
          <w:tab w:val="left" w:pos="6912"/>
          <w:tab w:val="left" w:pos="8129"/>
        </w:tabs>
        <w:ind w:firstLine="1134"/>
        <w:jc w:val="both"/>
        <w:rPr>
          <w:b/>
        </w:rPr>
      </w:pPr>
      <w:r>
        <w:rPr>
          <w:b/>
        </w:rPr>
        <w:lastRenderedPageBreak/>
        <w:t>Ampliações</w:t>
      </w:r>
    </w:p>
    <w:p w:rsidR="003E6588" w:rsidRPr="00401F75" w:rsidRDefault="003E6588" w:rsidP="00401F75">
      <w:pPr>
        <w:tabs>
          <w:tab w:val="left" w:pos="3369"/>
          <w:tab w:val="left" w:pos="4551"/>
          <w:tab w:val="left" w:pos="5858"/>
          <w:tab w:val="left" w:pos="6912"/>
          <w:tab w:val="left" w:pos="8129"/>
        </w:tabs>
        <w:ind w:firstLine="1134"/>
        <w:jc w:val="both"/>
        <w:rPr>
          <w:b/>
        </w:rPr>
      </w:pPr>
    </w:p>
    <w:tbl>
      <w:tblPr>
        <w:tblW w:w="7265" w:type="dxa"/>
        <w:jc w:val="center"/>
        <w:tblInd w:w="4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209"/>
        <w:gridCol w:w="1321"/>
        <w:gridCol w:w="1276"/>
        <w:gridCol w:w="1134"/>
        <w:gridCol w:w="1418"/>
        <w:gridCol w:w="907"/>
      </w:tblGrid>
      <w:tr w:rsidR="003E6588" w:rsidTr="00780F1D">
        <w:trPr>
          <w:jc w:val="center"/>
        </w:trPr>
        <w:tc>
          <w:tcPr>
            <w:tcW w:w="1209" w:type="dxa"/>
            <w:shd w:val="clear" w:color="auto" w:fill="auto"/>
          </w:tcPr>
          <w:p w:rsidR="003E6588" w:rsidRDefault="003E6588">
            <w:pPr>
              <w:tabs>
                <w:tab w:val="center" w:pos="4252"/>
                <w:tab w:val="right" w:pos="8504"/>
              </w:tabs>
              <w:rPr>
                <w:b/>
                <w:sz w:val="20"/>
                <w:szCs w:val="20"/>
              </w:rPr>
            </w:pPr>
            <w:r>
              <w:rPr>
                <w:b/>
                <w:sz w:val="20"/>
                <w:szCs w:val="20"/>
              </w:rPr>
              <w:t>Ampliações</w:t>
            </w:r>
          </w:p>
        </w:tc>
        <w:tc>
          <w:tcPr>
            <w:tcW w:w="1321" w:type="dxa"/>
            <w:shd w:val="clear" w:color="auto" w:fill="auto"/>
          </w:tcPr>
          <w:p w:rsidR="003E6588" w:rsidRDefault="003E6588">
            <w:pPr>
              <w:tabs>
                <w:tab w:val="center" w:pos="4252"/>
                <w:tab w:val="right" w:pos="8504"/>
              </w:tabs>
              <w:rPr>
                <w:b/>
                <w:sz w:val="20"/>
                <w:szCs w:val="20"/>
              </w:rPr>
            </w:pPr>
            <w:r>
              <w:rPr>
                <w:b/>
                <w:sz w:val="20"/>
                <w:szCs w:val="20"/>
              </w:rPr>
              <w:t>Contratação</w:t>
            </w:r>
          </w:p>
        </w:tc>
        <w:tc>
          <w:tcPr>
            <w:tcW w:w="1276" w:type="dxa"/>
            <w:shd w:val="clear" w:color="auto" w:fill="auto"/>
          </w:tcPr>
          <w:p w:rsidR="003E6588" w:rsidRDefault="003E6588">
            <w:pPr>
              <w:tabs>
                <w:tab w:val="center" w:pos="4252"/>
                <w:tab w:val="right" w:pos="8504"/>
              </w:tabs>
              <w:rPr>
                <w:b/>
                <w:sz w:val="20"/>
                <w:szCs w:val="20"/>
              </w:rPr>
            </w:pPr>
            <w:r>
              <w:rPr>
                <w:b/>
                <w:sz w:val="20"/>
                <w:szCs w:val="20"/>
              </w:rPr>
              <w:t>Orçamento</w:t>
            </w:r>
          </w:p>
        </w:tc>
        <w:tc>
          <w:tcPr>
            <w:tcW w:w="1134" w:type="dxa"/>
            <w:shd w:val="clear" w:color="auto" w:fill="auto"/>
          </w:tcPr>
          <w:p w:rsidR="003E6588" w:rsidRDefault="003E6588">
            <w:pPr>
              <w:tabs>
                <w:tab w:val="center" w:pos="4252"/>
                <w:tab w:val="right" w:pos="8504"/>
              </w:tabs>
              <w:rPr>
                <w:b/>
                <w:sz w:val="20"/>
                <w:szCs w:val="20"/>
              </w:rPr>
            </w:pPr>
            <w:r>
              <w:rPr>
                <w:b/>
                <w:sz w:val="20"/>
                <w:szCs w:val="20"/>
              </w:rPr>
              <w:t>Projeto</w:t>
            </w:r>
          </w:p>
        </w:tc>
        <w:tc>
          <w:tcPr>
            <w:tcW w:w="1418" w:type="dxa"/>
            <w:shd w:val="clear" w:color="auto" w:fill="auto"/>
          </w:tcPr>
          <w:p w:rsidR="003E6588" w:rsidRDefault="003E6588">
            <w:pPr>
              <w:tabs>
                <w:tab w:val="center" w:pos="4252"/>
                <w:tab w:val="right" w:pos="8504"/>
              </w:tabs>
              <w:rPr>
                <w:b/>
                <w:sz w:val="20"/>
                <w:szCs w:val="20"/>
              </w:rPr>
            </w:pPr>
            <w:r>
              <w:rPr>
                <w:b/>
                <w:sz w:val="20"/>
                <w:szCs w:val="20"/>
              </w:rPr>
              <w:t>Planejamento</w:t>
            </w:r>
          </w:p>
        </w:tc>
        <w:tc>
          <w:tcPr>
            <w:tcW w:w="907" w:type="dxa"/>
            <w:shd w:val="clear" w:color="auto" w:fill="auto"/>
          </w:tcPr>
          <w:p w:rsidR="003E6588" w:rsidRDefault="003E6588">
            <w:pPr>
              <w:tabs>
                <w:tab w:val="center" w:pos="4252"/>
                <w:tab w:val="right" w:pos="8504"/>
              </w:tabs>
              <w:rPr>
                <w:b/>
                <w:sz w:val="20"/>
                <w:szCs w:val="20"/>
              </w:rPr>
            </w:pPr>
            <w:r>
              <w:rPr>
                <w:b/>
                <w:sz w:val="20"/>
                <w:szCs w:val="20"/>
              </w:rPr>
              <w:t>Total</w:t>
            </w:r>
          </w:p>
        </w:tc>
      </w:tr>
      <w:tr w:rsidR="003E6588" w:rsidTr="00780F1D">
        <w:trPr>
          <w:jc w:val="center"/>
        </w:trPr>
        <w:tc>
          <w:tcPr>
            <w:tcW w:w="1209" w:type="dxa"/>
            <w:shd w:val="clear" w:color="auto" w:fill="auto"/>
          </w:tcPr>
          <w:p w:rsidR="003E6588" w:rsidRDefault="003E6588">
            <w:pPr>
              <w:tabs>
                <w:tab w:val="center" w:pos="4252"/>
                <w:tab w:val="right" w:pos="8504"/>
              </w:tabs>
              <w:rPr>
                <w:sz w:val="20"/>
                <w:szCs w:val="20"/>
              </w:rPr>
            </w:pPr>
          </w:p>
        </w:tc>
        <w:tc>
          <w:tcPr>
            <w:tcW w:w="1321" w:type="dxa"/>
            <w:shd w:val="clear" w:color="auto" w:fill="auto"/>
          </w:tcPr>
          <w:p w:rsidR="003E6588" w:rsidRDefault="003E6588">
            <w:pPr>
              <w:tabs>
                <w:tab w:val="center" w:pos="4252"/>
                <w:tab w:val="right" w:pos="8504"/>
              </w:tabs>
              <w:rPr>
                <w:sz w:val="20"/>
                <w:szCs w:val="20"/>
              </w:rPr>
            </w:pPr>
            <w:r>
              <w:rPr>
                <w:sz w:val="20"/>
                <w:szCs w:val="20"/>
              </w:rPr>
              <w:t>4</w:t>
            </w:r>
          </w:p>
        </w:tc>
        <w:tc>
          <w:tcPr>
            <w:tcW w:w="1276" w:type="dxa"/>
            <w:shd w:val="clear" w:color="auto" w:fill="auto"/>
          </w:tcPr>
          <w:p w:rsidR="003E6588" w:rsidRDefault="003E6588">
            <w:pPr>
              <w:tabs>
                <w:tab w:val="center" w:pos="4252"/>
                <w:tab w:val="right" w:pos="8504"/>
              </w:tabs>
              <w:rPr>
                <w:sz w:val="20"/>
                <w:szCs w:val="20"/>
              </w:rPr>
            </w:pPr>
            <w:r>
              <w:rPr>
                <w:sz w:val="20"/>
                <w:szCs w:val="20"/>
              </w:rPr>
              <w:t>19</w:t>
            </w:r>
          </w:p>
        </w:tc>
        <w:tc>
          <w:tcPr>
            <w:tcW w:w="1134" w:type="dxa"/>
            <w:shd w:val="clear" w:color="auto" w:fill="auto"/>
          </w:tcPr>
          <w:p w:rsidR="003E6588" w:rsidRDefault="003E6588">
            <w:pPr>
              <w:tabs>
                <w:tab w:val="center" w:pos="4252"/>
                <w:tab w:val="right" w:pos="8504"/>
              </w:tabs>
              <w:rPr>
                <w:sz w:val="20"/>
                <w:szCs w:val="20"/>
              </w:rPr>
            </w:pPr>
            <w:r>
              <w:rPr>
                <w:sz w:val="20"/>
                <w:szCs w:val="20"/>
              </w:rPr>
              <w:t>102</w:t>
            </w:r>
          </w:p>
        </w:tc>
        <w:tc>
          <w:tcPr>
            <w:tcW w:w="1418" w:type="dxa"/>
            <w:shd w:val="clear" w:color="auto" w:fill="auto"/>
          </w:tcPr>
          <w:p w:rsidR="003E6588" w:rsidRDefault="003E6588">
            <w:pPr>
              <w:tabs>
                <w:tab w:val="center" w:pos="4252"/>
                <w:tab w:val="right" w:pos="8504"/>
              </w:tabs>
              <w:rPr>
                <w:sz w:val="20"/>
                <w:szCs w:val="20"/>
              </w:rPr>
            </w:pPr>
            <w:r>
              <w:rPr>
                <w:sz w:val="20"/>
                <w:szCs w:val="20"/>
              </w:rPr>
              <w:t>25</w:t>
            </w:r>
          </w:p>
        </w:tc>
        <w:tc>
          <w:tcPr>
            <w:tcW w:w="907" w:type="dxa"/>
            <w:shd w:val="clear" w:color="auto" w:fill="auto"/>
          </w:tcPr>
          <w:p w:rsidR="003E6588" w:rsidRDefault="003E6588">
            <w:pPr>
              <w:tabs>
                <w:tab w:val="center" w:pos="4252"/>
                <w:tab w:val="right" w:pos="8504"/>
              </w:tabs>
              <w:rPr>
                <w:sz w:val="20"/>
                <w:szCs w:val="20"/>
              </w:rPr>
            </w:pPr>
            <w:r>
              <w:rPr>
                <w:sz w:val="20"/>
                <w:szCs w:val="20"/>
              </w:rPr>
              <w:t>150</w:t>
            </w:r>
          </w:p>
        </w:tc>
      </w:tr>
    </w:tbl>
    <w:p w:rsidR="003E6588" w:rsidRDefault="003E6588" w:rsidP="00401F75">
      <w:pPr>
        <w:jc w:val="both"/>
      </w:pPr>
    </w:p>
    <w:p w:rsidR="003E6588" w:rsidRDefault="003E6588" w:rsidP="00780F1D">
      <w:pPr>
        <w:ind w:firstLine="1134"/>
        <w:jc w:val="both"/>
        <w:rPr>
          <w:b/>
          <w:bCs/>
        </w:rPr>
      </w:pPr>
      <w:r>
        <w:rPr>
          <w:b/>
          <w:bCs/>
        </w:rPr>
        <w:t>Reforma e Melhorias</w:t>
      </w:r>
    </w:p>
    <w:p w:rsidR="003E6588" w:rsidRPr="00401F75" w:rsidRDefault="003E6588" w:rsidP="00401F75">
      <w:pPr>
        <w:ind w:firstLine="1134"/>
        <w:jc w:val="both"/>
        <w:rPr>
          <w:b/>
          <w:bCs/>
        </w:rPr>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2802"/>
        <w:gridCol w:w="1701"/>
        <w:gridCol w:w="2047"/>
      </w:tblGrid>
      <w:tr w:rsidR="003E6588" w:rsidTr="00780F1D">
        <w:trPr>
          <w:trHeight w:val="108"/>
          <w:jc w:val="center"/>
        </w:trPr>
        <w:tc>
          <w:tcPr>
            <w:tcW w:w="2802" w:type="dxa"/>
            <w:shd w:val="clear" w:color="auto" w:fill="auto"/>
          </w:tcPr>
          <w:p w:rsidR="003E6588" w:rsidRDefault="003E6588">
            <w:pPr>
              <w:rPr>
                <w:b/>
                <w:sz w:val="20"/>
                <w:szCs w:val="20"/>
              </w:rPr>
            </w:pPr>
            <w:r>
              <w:rPr>
                <w:b/>
                <w:sz w:val="20"/>
                <w:szCs w:val="20"/>
              </w:rPr>
              <w:t>Status</w:t>
            </w:r>
          </w:p>
        </w:tc>
        <w:tc>
          <w:tcPr>
            <w:tcW w:w="1701" w:type="dxa"/>
            <w:shd w:val="clear" w:color="auto" w:fill="auto"/>
          </w:tcPr>
          <w:p w:rsidR="003E6588" w:rsidRDefault="003E6588">
            <w:pPr>
              <w:rPr>
                <w:b/>
                <w:sz w:val="20"/>
                <w:szCs w:val="20"/>
              </w:rPr>
            </w:pPr>
            <w:r>
              <w:rPr>
                <w:b/>
                <w:sz w:val="20"/>
                <w:szCs w:val="20"/>
              </w:rPr>
              <w:t>Número</w:t>
            </w:r>
          </w:p>
        </w:tc>
        <w:tc>
          <w:tcPr>
            <w:tcW w:w="2047" w:type="dxa"/>
            <w:shd w:val="clear" w:color="auto" w:fill="auto"/>
          </w:tcPr>
          <w:p w:rsidR="003E6588" w:rsidRDefault="003E6588">
            <w:pPr>
              <w:rPr>
                <w:b/>
                <w:sz w:val="20"/>
                <w:szCs w:val="20"/>
              </w:rPr>
            </w:pPr>
            <w:r>
              <w:rPr>
                <w:b/>
                <w:sz w:val="20"/>
                <w:szCs w:val="20"/>
              </w:rPr>
              <w:t>Valores</w:t>
            </w:r>
            <w:r w:rsidR="00780F1D">
              <w:rPr>
                <w:b/>
                <w:sz w:val="20"/>
                <w:szCs w:val="20"/>
              </w:rPr>
              <w:t xml:space="preserve"> (R$)</w:t>
            </w:r>
          </w:p>
        </w:tc>
      </w:tr>
      <w:tr w:rsidR="003E6588" w:rsidTr="00780F1D">
        <w:trPr>
          <w:jc w:val="center"/>
        </w:trPr>
        <w:tc>
          <w:tcPr>
            <w:tcW w:w="2802" w:type="dxa"/>
            <w:shd w:val="clear" w:color="auto" w:fill="auto"/>
          </w:tcPr>
          <w:p w:rsidR="003E6588" w:rsidRDefault="003E6588" w:rsidP="00780F1D">
            <w:pPr>
              <w:jc w:val="left"/>
              <w:rPr>
                <w:b/>
                <w:sz w:val="20"/>
                <w:szCs w:val="20"/>
              </w:rPr>
            </w:pPr>
            <w:r>
              <w:rPr>
                <w:sz w:val="20"/>
                <w:szCs w:val="20"/>
              </w:rPr>
              <w:t>Concluídas</w:t>
            </w:r>
          </w:p>
        </w:tc>
        <w:tc>
          <w:tcPr>
            <w:tcW w:w="1701" w:type="dxa"/>
            <w:shd w:val="clear" w:color="auto" w:fill="auto"/>
          </w:tcPr>
          <w:p w:rsidR="003E6588" w:rsidRDefault="003E6588">
            <w:pPr>
              <w:rPr>
                <w:sz w:val="20"/>
                <w:szCs w:val="20"/>
              </w:rPr>
            </w:pPr>
            <w:r>
              <w:rPr>
                <w:sz w:val="20"/>
                <w:szCs w:val="20"/>
              </w:rPr>
              <w:t>275</w:t>
            </w:r>
          </w:p>
        </w:tc>
        <w:tc>
          <w:tcPr>
            <w:tcW w:w="2047" w:type="dxa"/>
            <w:shd w:val="clear" w:color="auto" w:fill="auto"/>
          </w:tcPr>
          <w:p w:rsidR="003E6588" w:rsidRDefault="003E6588" w:rsidP="00780F1D">
            <w:pPr>
              <w:jc w:val="right"/>
              <w:rPr>
                <w:sz w:val="20"/>
                <w:szCs w:val="20"/>
              </w:rPr>
            </w:pPr>
            <w:r>
              <w:rPr>
                <w:sz w:val="20"/>
                <w:szCs w:val="20"/>
              </w:rPr>
              <w:t>110.101.509,64</w:t>
            </w:r>
          </w:p>
        </w:tc>
      </w:tr>
      <w:tr w:rsidR="003E6588" w:rsidTr="00780F1D">
        <w:trPr>
          <w:jc w:val="center"/>
        </w:trPr>
        <w:tc>
          <w:tcPr>
            <w:tcW w:w="2802" w:type="dxa"/>
            <w:shd w:val="clear" w:color="auto" w:fill="auto"/>
          </w:tcPr>
          <w:p w:rsidR="003E6588" w:rsidRDefault="003E6588" w:rsidP="00780F1D">
            <w:pPr>
              <w:jc w:val="left"/>
              <w:rPr>
                <w:b/>
                <w:sz w:val="20"/>
                <w:szCs w:val="20"/>
              </w:rPr>
            </w:pPr>
            <w:r>
              <w:rPr>
                <w:sz w:val="20"/>
                <w:szCs w:val="20"/>
              </w:rPr>
              <w:t>Em execução</w:t>
            </w:r>
          </w:p>
        </w:tc>
        <w:tc>
          <w:tcPr>
            <w:tcW w:w="1701" w:type="dxa"/>
            <w:shd w:val="clear" w:color="auto" w:fill="auto"/>
          </w:tcPr>
          <w:p w:rsidR="003E6588" w:rsidRDefault="003E6588">
            <w:pPr>
              <w:rPr>
                <w:sz w:val="20"/>
                <w:szCs w:val="20"/>
              </w:rPr>
            </w:pPr>
            <w:r>
              <w:rPr>
                <w:sz w:val="20"/>
                <w:szCs w:val="20"/>
              </w:rPr>
              <w:t>87</w:t>
            </w:r>
          </w:p>
        </w:tc>
        <w:tc>
          <w:tcPr>
            <w:tcW w:w="2047" w:type="dxa"/>
            <w:shd w:val="clear" w:color="auto" w:fill="auto"/>
          </w:tcPr>
          <w:p w:rsidR="003E6588" w:rsidRDefault="003E6588" w:rsidP="00780F1D">
            <w:pPr>
              <w:jc w:val="right"/>
              <w:rPr>
                <w:sz w:val="20"/>
                <w:szCs w:val="20"/>
              </w:rPr>
            </w:pPr>
            <w:r>
              <w:rPr>
                <w:sz w:val="20"/>
                <w:szCs w:val="20"/>
              </w:rPr>
              <w:t>45.865.470,33</w:t>
            </w:r>
          </w:p>
        </w:tc>
      </w:tr>
      <w:tr w:rsidR="003E6588" w:rsidTr="00780F1D">
        <w:trPr>
          <w:jc w:val="center"/>
        </w:trPr>
        <w:tc>
          <w:tcPr>
            <w:tcW w:w="2802" w:type="dxa"/>
            <w:shd w:val="clear" w:color="auto" w:fill="auto"/>
          </w:tcPr>
          <w:p w:rsidR="003E6588" w:rsidRDefault="003E6588" w:rsidP="00780F1D">
            <w:pPr>
              <w:jc w:val="left"/>
              <w:rPr>
                <w:b/>
                <w:sz w:val="20"/>
                <w:szCs w:val="20"/>
              </w:rPr>
            </w:pPr>
            <w:r>
              <w:rPr>
                <w:sz w:val="20"/>
                <w:szCs w:val="20"/>
              </w:rPr>
              <w:t>Em contratação</w:t>
            </w:r>
          </w:p>
        </w:tc>
        <w:tc>
          <w:tcPr>
            <w:tcW w:w="1701" w:type="dxa"/>
            <w:shd w:val="clear" w:color="auto" w:fill="auto"/>
          </w:tcPr>
          <w:p w:rsidR="003E6588" w:rsidRDefault="003E6588">
            <w:pPr>
              <w:rPr>
                <w:sz w:val="20"/>
                <w:szCs w:val="20"/>
              </w:rPr>
            </w:pPr>
            <w:r>
              <w:rPr>
                <w:sz w:val="20"/>
                <w:szCs w:val="20"/>
              </w:rPr>
              <w:t>13</w:t>
            </w:r>
          </w:p>
        </w:tc>
        <w:tc>
          <w:tcPr>
            <w:tcW w:w="2047" w:type="dxa"/>
            <w:shd w:val="clear" w:color="auto" w:fill="auto"/>
          </w:tcPr>
          <w:p w:rsidR="003E6588" w:rsidRDefault="003E6588" w:rsidP="00780F1D">
            <w:pPr>
              <w:jc w:val="right"/>
              <w:rPr>
                <w:sz w:val="20"/>
                <w:szCs w:val="20"/>
              </w:rPr>
            </w:pPr>
            <w:r>
              <w:rPr>
                <w:sz w:val="20"/>
                <w:szCs w:val="20"/>
              </w:rPr>
              <w:t>6.784.725,02</w:t>
            </w:r>
          </w:p>
        </w:tc>
      </w:tr>
    </w:tbl>
    <w:p w:rsidR="003E6588" w:rsidRDefault="003E6588" w:rsidP="00401F75">
      <w:pPr>
        <w:pStyle w:val="PargrafodaLista"/>
        <w:ind w:left="0"/>
        <w:rPr>
          <w:rFonts w:ascii="Times New Roman" w:eastAsia="Times New Roman" w:hAnsi="Times New Roman"/>
          <w:color w:val="000000"/>
          <w:sz w:val="24"/>
          <w:szCs w:val="24"/>
          <w:lang w:eastAsia="pt-BR"/>
        </w:rPr>
      </w:pPr>
    </w:p>
    <w:p w:rsidR="003E6588" w:rsidRDefault="003E6588">
      <w:pPr>
        <w:ind w:firstLine="1134"/>
        <w:jc w:val="both"/>
        <w:rPr>
          <w:color w:val="000000"/>
        </w:rPr>
      </w:pPr>
      <w:r>
        <w:rPr>
          <w:color w:val="000000"/>
        </w:rPr>
        <w:t>Devem ser registradas intervenções em programas específicos, como Escola de Ensino Integral, Perícias Médicas, o Plano de Cobertura de Quadras e Acessibilidade:</w:t>
      </w:r>
    </w:p>
    <w:p w:rsidR="003E6588" w:rsidRDefault="003E6588">
      <w:pPr>
        <w:pStyle w:val="PargrafodaLista"/>
        <w:ind w:left="0"/>
        <w:rPr>
          <w:rFonts w:ascii="Times New Roman" w:eastAsia="Times New Roman" w:hAnsi="Times New Roman"/>
          <w:b/>
          <w:color w:val="000000"/>
          <w:sz w:val="24"/>
          <w:szCs w:val="24"/>
          <w:lang w:eastAsia="pt-BR"/>
        </w:rPr>
      </w:pPr>
    </w:p>
    <w:p w:rsidR="003E6588" w:rsidRDefault="003E6588">
      <w:pPr>
        <w:pStyle w:val="PargrafodaLista"/>
        <w:ind w:left="0" w:firstLine="1134"/>
        <w:rPr>
          <w:rFonts w:ascii="Times New Roman" w:eastAsia="Times New Roman" w:hAnsi="Times New Roman"/>
          <w:b/>
          <w:color w:val="000000"/>
          <w:sz w:val="24"/>
          <w:szCs w:val="24"/>
          <w:lang w:eastAsia="pt-BR"/>
        </w:rPr>
      </w:pPr>
      <w:r>
        <w:rPr>
          <w:rFonts w:ascii="Times New Roman" w:eastAsia="Times New Roman" w:hAnsi="Times New Roman"/>
          <w:b/>
          <w:color w:val="000000"/>
          <w:sz w:val="24"/>
          <w:szCs w:val="24"/>
          <w:lang w:eastAsia="pt-BR"/>
        </w:rPr>
        <w:t>Programas específicos</w:t>
      </w:r>
    </w:p>
    <w:p w:rsidR="003E6588" w:rsidRPr="00401F75" w:rsidRDefault="003E6588">
      <w:pPr>
        <w:pStyle w:val="PargrafodaLista"/>
        <w:ind w:left="0" w:firstLine="1134"/>
        <w:rPr>
          <w:rFonts w:ascii="Times New Roman" w:eastAsia="Times New Roman" w:hAnsi="Times New Roman"/>
          <w:b/>
          <w:color w:val="000000"/>
          <w:sz w:val="24"/>
          <w:szCs w:val="24"/>
          <w:lang w:eastAsia="pt-BR"/>
        </w:rPr>
      </w:pPr>
    </w:p>
    <w:tbl>
      <w:tblPr>
        <w:tblW w:w="0" w:type="auto"/>
        <w:jc w:val="center"/>
        <w:tblInd w:w="162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3260"/>
        <w:gridCol w:w="1985"/>
        <w:gridCol w:w="1772"/>
      </w:tblGrid>
      <w:tr w:rsidR="003E6588" w:rsidTr="00780F1D">
        <w:trPr>
          <w:jc w:val="center"/>
        </w:trPr>
        <w:tc>
          <w:tcPr>
            <w:tcW w:w="3260" w:type="dxa"/>
            <w:shd w:val="clear" w:color="auto" w:fill="auto"/>
          </w:tcPr>
          <w:p w:rsidR="003E6588" w:rsidRDefault="003E6588">
            <w:pPr>
              <w:rPr>
                <w:b/>
                <w:bCs/>
                <w:sz w:val="20"/>
                <w:szCs w:val="20"/>
              </w:rPr>
            </w:pPr>
            <w:r>
              <w:rPr>
                <w:b/>
                <w:bCs/>
                <w:sz w:val="20"/>
                <w:szCs w:val="20"/>
              </w:rPr>
              <w:t>Programas</w:t>
            </w:r>
          </w:p>
        </w:tc>
        <w:tc>
          <w:tcPr>
            <w:tcW w:w="1985" w:type="dxa"/>
            <w:shd w:val="clear" w:color="auto" w:fill="auto"/>
          </w:tcPr>
          <w:p w:rsidR="003E6588" w:rsidRDefault="003E6588">
            <w:pPr>
              <w:rPr>
                <w:b/>
                <w:bCs/>
                <w:sz w:val="20"/>
                <w:szCs w:val="20"/>
              </w:rPr>
            </w:pPr>
            <w:r>
              <w:rPr>
                <w:b/>
                <w:bCs/>
                <w:sz w:val="20"/>
                <w:szCs w:val="20"/>
              </w:rPr>
              <w:t>Número de Obras</w:t>
            </w:r>
          </w:p>
        </w:tc>
        <w:tc>
          <w:tcPr>
            <w:tcW w:w="1772" w:type="dxa"/>
            <w:shd w:val="clear" w:color="auto" w:fill="auto"/>
          </w:tcPr>
          <w:p w:rsidR="003E6588" w:rsidRDefault="003E6588">
            <w:pPr>
              <w:rPr>
                <w:b/>
                <w:bCs/>
                <w:sz w:val="20"/>
                <w:szCs w:val="20"/>
              </w:rPr>
            </w:pPr>
            <w:r>
              <w:rPr>
                <w:b/>
                <w:bCs/>
                <w:sz w:val="20"/>
                <w:szCs w:val="20"/>
              </w:rPr>
              <w:t>Valores (R$)</w:t>
            </w:r>
          </w:p>
        </w:tc>
      </w:tr>
      <w:tr w:rsidR="003E6588" w:rsidTr="00780F1D">
        <w:trPr>
          <w:trHeight w:val="124"/>
          <w:jc w:val="center"/>
        </w:trPr>
        <w:tc>
          <w:tcPr>
            <w:tcW w:w="3260" w:type="dxa"/>
            <w:shd w:val="clear" w:color="auto" w:fill="auto"/>
          </w:tcPr>
          <w:p w:rsidR="003E6588" w:rsidRDefault="003E6588" w:rsidP="00780F1D">
            <w:pPr>
              <w:jc w:val="left"/>
              <w:rPr>
                <w:bCs/>
                <w:sz w:val="20"/>
                <w:szCs w:val="20"/>
              </w:rPr>
            </w:pPr>
            <w:r>
              <w:rPr>
                <w:bCs/>
                <w:sz w:val="20"/>
                <w:szCs w:val="20"/>
              </w:rPr>
              <w:t>Escolas de Ensino Integral</w:t>
            </w:r>
          </w:p>
        </w:tc>
        <w:tc>
          <w:tcPr>
            <w:tcW w:w="1985" w:type="dxa"/>
            <w:shd w:val="clear" w:color="auto" w:fill="auto"/>
          </w:tcPr>
          <w:p w:rsidR="003E6588" w:rsidRDefault="003E6588">
            <w:pPr>
              <w:rPr>
                <w:bCs/>
                <w:sz w:val="20"/>
                <w:szCs w:val="20"/>
              </w:rPr>
            </w:pPr>
            <w:r>
              <w:rPr>
                <w:bCs/>
                <w:sz w:val="20"/>
                <w:szCs w:val="20"/>
              </w:rPr>
              <w:t>104</w:t>
            </w:r>
          </w:p>
        </w:tc>
        <w:tc>
          <w:tcPr>
            <w:tcW w:w="1772" w:type="dxa"/>
            <w:shd w:val="clear" w:color="auto" w:fill="auto"/>
          </w:tcPr>
          <w:p w:rsidR="003E6588" w:rsidRDefault="003E6588">
            <w:pPr>
              <w:jc w:val="right"/>
              <w:rPr>
                <w:bCs/>
                <w:sz w:val="20"/>
                <w:szCs w:val="20"/>
              </w:rPr>
            </w:pPr>
            <w:r>
              <w:rPr>
                <w:sz w:val="20"/>
                <w:szCs w:val="20"/>
              </w:rPr>
              <w:t>44.104.350,87</w:t>
            </w:r>
          </w:p>
        </w:tc>
      </w:tr>
      <w:tr w:rsidR="003E6588" w:rsidTr="00780F1D">
        <w:trPr>
          <w:jc w:val="center"/>
        </w:trPr>
        <w:tc>
          <w:tcPr>
            <w:tcW w:w="3260" w:type="dxa"/>
            <w:shd w:val="clear" w:color="auto" w:fill="auto"/>
          </w:tcPr>
          <w:p w:rsidR="003E6588" w:rsidRDefault="003E6588" w:rsidP="00780F1D">
            <w:pPr>
              <w:jc w:val="left"/>
              <w:rPr>
                <w:bCs/>
                <w:sz w:val="20"/>
                <w:szCs w:val="20"/>
              </w:rPr>
            </w:pPr>
            <w:r>
              <w:rPr>
                <w:bCs/>
                <w:sz w:val="20"/>
                <w:szCs w:val="20"/>
              </w:rPr>
              <w:t>Unidades de Perícias Médicas</w:t>
            </w:r>
          </w:p>
        </w:tc>
        <w:tc>
          <w:tcPr>
            <w:tcW w:w="1985" w:type="dxa"/>
            <w:shd w:val="clear" w:color="auto" w:fill="auto"/>
          </w:tcPr>
          <w:p w:rsidR="003E6588" w:rsidRDefault="003E6588">
            <w:pPr>
              <w:rPr>
                <w:bCs/>
                <w:sz w:val="20"/>
                <w:szCs w:val="20"/>
              </w:rPr>
            </w:pPr>
            <w:r>
              <w:rPr>
                <w:bCs/>
                <w:sz w:val="20"/>
                <w:szCs w:val="20"/>
              </w:rPr>
              <w:t>13</w:t>
            </w:r>
          </w:p>
        </w:tc>
        <w:tc>
          <w:tcPr>
            <w:tcW w:w="1772" w:type="dxa"/>
            <w:shd w:val="clear" w:color="auto" w:fill="auto"/>
          </w:tcPr>
          <w:p w:rsidR="003E6588" w:rsidRDefault="003E6588">
            <w:pPr>
              <w:jc w:val="right"/>
              <w:rPr>
                <w:bCs/>
                <w:sz w:val="20"/>
                <w:szCs w:val="20"/>
              </w:rPr>
            </w:pPr>
            <w:r>
              <w:rPr>
                <w:sz w:val="20"/>
                <w:szCs w:val="20"/>
              </w:rPr>
              <w:t>1.108.229,25</w:t>
            </w:r>
          </w:p>
        </w:tc>
      </w:tr>
      <w:tr w:rsidR="003E6588" w:rsidTr="00780F1D">
        <w:trPr>
          <w:jc w:val="center"/>
        </w:trPr>
        <w:tc>
          <w:tcPr>
            <w:tcW w:w="3260" w:type="dxa"/>
            <w:shd w:val="clear" w:color="auto" w:fill="auto"/>
          </w:tcPr>
          <w:p w:rsidR="003E6588" w:rsidRDefault="003E6588" w:rsidP="00780F1D">
            <w:pPr>
              <w:jc w:val="left"/>
              <w:rPr>
                <w:bCs/>
                <w:sz w:val="20"/>
                <w:szCs w:val="20"/>
              </w:rPr>
            </w:pPr>
            <w:r>
              <w:rPr>
                <w:bCs/>
                <w:sz w:val="20"/>
                <w:szCs w:val="20"/>
              </w:rPr>
              <w:t>Quadras escolares cobertas</w:t>
            </w:r>
          </w:p>
        </w:tc>
        <w:tc>
          <w:tcPr>
            <w:tcW w:w="1985" w:type="dxa"/>
            <w:shd w:val="clear" w:color="auto" w:fill="auto"/>
          </w:tcPr>
          <w:p w:rsidR="003E6588" w:rsidRDefault="003E6588">
            <w:pPr>
              <w:rPr>
                <w:bCs/>
                <w:sz w:val="20"/>
                <w:szCs w:val="20"/>
              </w:rPr>
            </w:pPr>
            <w:r>
              <w:rPr>
                <w:bCs/>
                <w:sz w:val="20"/>
                <w:szCs w:val="20"/>
              </w:rPr>
              <w:t>102</w:t>
            </w:r>
          </w:p>
        </w:tc>
        <w:tc>
          <w:tcPr>
            <w:tcW w:w="1772" w:type="dxa"/>
            <w:shd w:val="clear" w:color="auto" w:fill="auto"/>
          </w:tcPr>
          <w:p w:rsidR="003E6588" w:rsidRDefault="003E6588">
            <w:pPr>
              <w:jc w:val="right"/>
              <w:rPr>
                <w:bCs/>
                <w:sz w:val="20"/>
                <w:szCs w:val="20"/>
              </w:rPr>
            </w:pPr>
            <w:r>
              <w:rPr>
                <w:sz w:val="20"/>
                <w:szCs w:val="20"/>
              </w:rPr>
              <w:t>35.229.940,23</w:t>
            </w:r>
          </w:p>
        </w:tc>
      </w:tr>
      <w:tr w:rsidR="003E6588" w:rsidTr="00780F1D">
        <w:trPr>
          <w:jc w:val="center"/>
        </w:trPr>
        <w:tc>
          <w:tcPr>
            <w:tcW w:w="3260" w:type="dxa"/>
            <w:shd w:val="clear" w:color="auto" w:fill="auto"/>
          </w:tcPr>
          <w:p w:rsidR="003E6588" w:rsidRDefault="003E6588" w:rsidP="00780F1D">
            <w:pPr>
              <w:jc w:val="left"/>
              <w:rPr>
                <w:bCs/>
                <w:sz w:val="20"/>
                <w:szCs w:val="20"/>
              </w:rPr>
            </w:pPr>
            <w:r>
              <w:rPr>
                <w:bCs/>
                <w:sz w:val="20"/>
                <w:szCs w:val="20"/>
              </w:rPr>
              <w:t>Plano de Quadras SIMEC/PAR</w:t>
            </w:r>
          </w:p>
        </w:tc>
        <w:tc>
          <w:tcPr>
            <w:tcW w:w="1985" w:type="dxa"/>
            <w:shd w:val="clear" w:color="auto" w:fill="auto"/>
          </w:tcPr>
          <w:p w:rsidR="003E6588" w:rsidRDefault="003E6588">
            <w:pPr>
              <w:rPr>
                <w:bCs/>
                <w:sz w:val="20"/>
                <w:szCs w:val="20"/>
              </w:rPr>
            </w:pPr>
            <w:r>
              <w:rPr>
                <w:bCs/>
                <w:sz w:val="20"/>
                <w:szCs w:val="20"/>
              </w:rPr>
              <w:t>19</w:t>
            </w:r>
          </w:p>
        </w:tc>
        <w:tc>
          <w:tcPr>
            <w:tcW w:w="1772" w:type="dxa"/>
            <w:shd w:val="clear" w:color="auto" w:fill="auto"/>
          </w:tcPr>
          <w:p w:rsidR="003E6588" w:rsidRDefault="003E6588">
            <w:pPr>
              <w:jc w:val="right"/>
              <w:rPr>
                <w:bCs/>
                <w:sz w:val="20"/>
                <w:szCs w:val="20"/>
              </w:rPr>
            </w:pPr>
            <w:r>
              <w:rPr>
                <w:sz w:val="20"/>
                <w:szCs w:val="20"/>
              </w:rPr>
              <w:t>7.844.196,80</w:t>
            </w:r>
          </w:p>
        </w:tc>
      </w:tr>
      <w:tr w:rsidR="003E6588" w:rsidTr="00780F1D">
        <w:trPr>
          <w:jc w:val="center"/>
        </w:trPr>
        <w:tc>
          <w:tcPr>
            <w:tcW w:w="3260" w:type="dxa"/>
            <w:shd w:val="clear" w:color="auto" w:fill="auto"/>
          </w:tcPr>
          <w:p w:rsidR="003E6588" w:rsidRDefault="003E6588" w:rsidP="00780F1D">
            <w:pPr>
              <w:jc w:val="left"/>
              <w:rPr>
                <w:bCs/>
                <w:sz w:val="20"/>
                <w:szCs w:val="20"/>
              </w:rPr>
            </w:pPr>
            <w:r>
              <w:rPr>
                <w:bCs/>
                <w:sz w:val="20"/>
                <w:szCs w:val="20"/>
              </w:rPr>
              <w:t>Acessibilidade</w:t>
            </w:r>
          </w:p>
        </w:tc>
        <w:tc>
          <w:tcPr>
            <w:tcW w:w="1985" w:type="dxa"/>
            <w:shd w:val="clear" w:color="auto" w:fill="auto"/>
          </w:tcPr>
          <w:p w:rsidR="003E6588" w:rsidRDefault="003E6588">
            <w:pPr>
              <w:rPr>
                <w:bCs/>
                <w:sz w:val="20"/>
                <w:szCs w:val="20"/>
              </w:rPr>
            </w:pPr>
            <w:r>
              <w:rPr>
                <w:bCs/>
                <w:sz w:val="20"/>
                <w:szCs w:val="20"/>
              </w:rPr>
              <w:t>82</w:t>
            </w:r>
          </w:p>
        </w:tc>
        <w:tc>
          <w:tcPr>
            <w:tcW w:w="1772" w:type="dxa"/>
            <w:shd w:val="clear" w:color="auto" w:fill="auto"/>
          </w:tcPr>
          <w:p w:rsidR="003E6588" w:rsidRDefault="003E6588">
            <w:pPr>
              <w:jc w:val="right"/>
              <w:rPr>
                <w:bCs/>
                <w:sz w:val="20"/>
                <w:szCs w:val="20"/>
              </w:rPr>
            </w:pPr>
            <w:r>
              <w:rPr>
                <w:sz w:val="20"/>
                <w:szCs w:val="20"/>
              </w:rPr>
              <w:t>88.460.662,32</w:t>
            </w:r>
          </w:p>
        </w:tc>
      </w:tr>
    </w:tbl>
    <w:p w:rsidR="003E6588" w:rsidRDefault="003E6588">
      <w:pPr>
        <w:pStyle w:val="Pargrafobsico"/>
        <w:spacing w:line="240" w:lineRule="auto"/>
        <w:jc w:val="both"/>
        <w:rPr>
          <w:b/>
          <w:bCs/>
        </w:rPr>
      </w:pPr>
    </w:p>
    <w:p w:rsidR="003E6588" w:rsidRDefault="003E6588">
      <w:pPr>
        <w:pStyle w:val="Pargrafobsico"/>
        <w:spacing w:line="240" w:lineRule="auto"/>
        <w:ind w:firstLine="1134"/>
        <w:jc w:val="both"/>
        <w:rPr>
          <w:bCs/>
          <w:strike/>
          <w:color w:val="FF0000"/>
        </w:rPr>
      </w:pPr>
      <w:r>
        <w:rPr>
          <w:b/>
          <w:bCs/>
        </w:rPr>
        <w:t>Tecnologia</w:t>
      </w:r>
    </w:p>
    <w:p w:rsidR="003E6588" w:rsidRDefault="003E6588">
      <w:pPr>
        <w:pStyle w:val="Pargrafobsico"/>
        <w:spacing w:line="240" w:lineRule="auto"/>
        <w:ind w:firstLine="1134"/>
        <w:jc w:val="both"/>
        <w:rPr>
          <w:bCs/>
        </w:rPr>
      </w:pPr>
    </w:p>
    <w:p w:rsidR="003E6588" w:rsidRDefault="003E6588">
      <w:pPr>
        <w:pStyle w:val="Pargrafobsico"/>
        <w:spacing w:line="240" w:lineRule="auto"/>
        <w:ind w:firstLine="1134"/>
        <w:jc w:val="both"/>
        <w:rPr>
          <w:b/>
          <w:bCs/>
        </w:rPr>
      </w:pPr>
      <w:r>
        <w:rPr>
          <w:b/>
          <w:bCs/>
          <w:i/>
        </w:rPr>
        <w:t>Outsourcing</w:t>
      </w:r>
      <w:r>
        <w:rPr>
          <w:b/>
          <w:bCs/>
        </w:rPr>
        <w:t xml:space="preserve"> de Computadores - </w:t>
      </w:r>
      <w:r>
        <w:t xml:space="preserve">Ação na qual a FDE faz locação de equipamentos para a Rede de ensino, incluindo a manutenção </w:t>
      </w:r>
      <w:r>
        <w:rPr>
          <w:i/>
        </w:rPr>
        <w:t>on site</w:t>
      </w:r>
      <w:r>
        <w:t>, com peças de reposição, instalação, teleatendimento técnico, com gestão informatizada. Esta ação se mantém atendendo às Escolas e Diretorias de Ensino e foram disponibilizados 81.000 computadores em 5.087 localidades.</w:t>
      </w:r>
    </w:p>
    <w:p w:rsidR="003E6588" w:rsidRDefault="003E6588">
      <w:pPr>
        <w:pStyle w:val="Pargrafobsico"/>
        <w:spacing w:line="240" w:lineRule="auto"/>
        <w:ind w:firstLine="1134"/>
        <w:jc w:val="both"/>
        <w:rPr>
          <w:b/>
          <w:bCs/>
        </w:rPr>
      </w:pPr>
    </w:p>
    <w:p w:rsidR="003E6588" w:rsidRDefault="003E6588">
      <w:pPr>
        <w:pStyle w:val="Pargrafobsico"/>
        <w:adjustRightInd/>
        <w:spacing w:line="240" w:lineRule="auto"/>
        <w:ind w:firstLine="1134"/>
        <w:jc w:val="both"/>
        <w:textAlignment w:val="auto"/>
      </w:pPr>
      <w:r>
        <w:rPr>
          <w:b/>
          <w:bCs/>
          <w:i/>
        </w:rPr>
        <w:t>Outsourcing</w:t>
      </w:r>
      <w:r>
        <w:rPr>
          <w:b/>
          <w:bCs/>
        </w:rPr>
        <w:t xml:space="preserve"> de Impressão - </w:t>
      </w:r>
      <w:r>
        <w:t>Em continuidade à ação de instalação de novos equipamentos de impressão, copiadoras e multifuncionais nas escolas, foram instaladas 11.776 impressoras;</w:t>
      </w:r>
      <w:r>
        <w:rPr>
          <w:bCs/>
        </w:rPr>
        <w:t xml:space="preserve"> o</w:t>
      </w:r>
      <w:r>
        <w:rPr>
          <w:b/>
          <w:bCs/>
        </w:rPr>
        <w:t xml:space="preserve"> </w:t>
      </w:r>
      <w:r>
        <w:t>serviço abrange disponibilidade de impressoras e suprimentos para uso cotidiano, além do atendimento a projetos especiais.</w:t>
      </w:r>
    </w:p>
    <w:p w:rsidR="003E6588" w:rsidRDefault="003E6588">
      <w:pPr>
        <w:pStyle w:val="Pargrafobsico"/>
        <w:adjustRightInd/>
        <w:spacing w:line="240" w:lineRule="auto"/>
        <w:ind w:firstLine="1134"/>
        <w:jc w:val="both"/>
        <w:textAlignment w:val="auto"/>
      </w:pPr>
    </w:p>
    <w:p w:rsidR="003E6588" w:rsidRDefault="003E6588">
      <w:pPr>
        <w:ind w:firstLine="1134"/>
        <w:jc w:val="both"/>
        <w:rPr>
          <w:rFonts w:eastAsia="Batang"/>
          <w:bCs/>
          <w:color w:val="000000"/>
        </w:rPr>
      </w:pPr>
      <w:r>
        <w:rPr>
          <w:b/>
          <w:bCs/>
          <w:color w:val="000000"/>
        </w:rPr>
        <w:t xml:space="preserve">Rede </w:t>
      </w:r>
      <w:r>
        <w:rPr>
          <w:b/>
          <w:bCs/>
          <w:i/>
          <w:color w:val="000000"/>
        </w:rPr>
        <w:t>Intragov</w:t>
      </w:r>
      <w:r>
        <w:rPr>
          <w:b/>
          <w:bCs/>
          <w:color w:val="000000"/>
        </w:rPr>
        <w:t xml:space="preserve"> na Rede de Ensino - </w:t>
      </w:r>
      <w:r>
        <w:rPr>
          <w:rFonts w:eastAsia="Batang"/>
        </w:rPr>
        <w:t xml:space="preserve">Infraestrutura de comunicação, implantada pela PRODESP e gerenciada pela FDE para a Rede estadual de ensino que oferece serviços de transmissão de dados, comunicação de voz, videoconferência e acesso à </w:t>
      </w:r>
      <w:r>
        <w:rPr>
          <w:rFonts w:eastAsia="Batang"/>
          <w:i/>
        </w:rPr>
        <w:t>internet</w:t>
      </w:r>
      <w:r>
        <w:rPr>
          <w:rFonts w:eastAsia="Batang"/>
        </w:rPr>
        <w:t xml:space="preserve"> de banda larga. A expansão de velocidade do </w:t>
      </w:r>
      <w:r>
        <w:rPr>
          <w:rFonts w:eastAsia="Batang"/>
          <w:i/>
        </w:rPr>
        <w:t>link</w:t>
      </w:r>
      <w:r>
        <w:rPr>
          <w:rFonts w:eastAsia="Batang"/>
        </w:rPr>
        <w:t xml:space="preserve"> de comunicação já foi concluída em 5.011 escolas e 43 unidades estão em </w:t>
      </w:r>
      <w:r>
        <w:rPr>
          <w:rFonts w:eastAsia="Batang"/>
          <w:bCs/>
          <w:color w:val="000000"/>
        </w:rPr>
        <w:t>fase de análise, por parte da operadora</w:t>
      </w:r>
      <w:r>
        <w:rPr>
          <w:rFonts w:eastAsia="Batang"/>
        </w:rPr>
        <w:t xml:space="preserve">. Foi iniciada a segunda fase para uma nova expansão de velocidade de acesso </w:t>
      </w:r>
      <w:r>
        <w:rPr>
          <w:rFonts w:eastAsia="Batang"/>
          <w:color w:val="000000"/>
        </w:rPr>
        <w:t>em</w:t>
      </w:r>
      <w:r>
        <w:rPr>
          <w:rFonts w:eastAsia="Batang"/>
          <w:bCs/>
          <w:color w:val="000000"/>
        </w:rPr>
        <w:t xml:space="preserve"> 2.025 escolas.</w:t>
      </w:r>
    </w:p>
    <w:p w:rsidR="00401F75" w:rsidRDefault="00401F75">
      <w:pPr>
        <w:ind w:firstLine="1134"/>
        <w:jc w:val="both"/>
        <w:rPr>
          <w:color w:val="000000"/>
        </w:rPr>
      </w:pPr>
    </w:p>
    <w:p w:rsidR="003E6588" w:rsidRDefault="003E6588">
      <w:pPr>
        <w:pStyle w:val="Pargrafobsico"/>
        <w:spacing w:line="240" w:lineRule="auto"/>
        <w:ind w:firstLine="1134"/>
        <w:jc w:val="both"/>
        <w:rPr>
          <w:rFonts w:eastAsia="Batang"/>
          <w:color w:val="auto"/>
        </w:rPr>
      </w:pPr>
      <w:r>
        <w:rPr>
          <w:rFonts w:eastAsia="Batang"/>
          <w:b/>
          <w:color w:val="auto"/>
        </w:rPr>
        <w:t xml:space="preserve">Aquisição de </w:t>
      </w:r>
      <w:r>
        <w:rPr>
          <w:rFonts w:eastAsia="Batang"/>
          <w:b/>
          <w:i/>
          <w:color w:val="auto"/>
        </w:rPr>
        <w:t xml:space="preserve">notebooks </w:t>
      </w:r>
      <w:r>
        <w:rPr>
          <w:rFonts w:eastAsia="Batang"/>
          <w:b/>
          <w:color w:val="auto"/>
        </w:rPr>
        <w:t xml:space="preserve">para premiação do Saresp - </w:t>
      </w:r>
      <w:r>
        <w:rPr>
          <w:rFonts w:eastAsia="Batang"/>
          <w:color w:val="auto"/>
        </w:rPr>
        <w:t>6.000 unidades.</w:t>
      </w:r>
    </w:p>
    <w:p w:rsidR="003E6588" w:rsidRDefault="003E6588">
      <w:pPr>
        <w:pStyle w:val="Pargrafobsico"/>
        <w:spacing w:line="240" w:lineRule="auto"/>
        <w:ind w:firstLine="1134"/>
        <w:jc w:val="both"/>
      </w:pPr>
      <w:r>
        <w:rPr>
          <w:rFonts w:eastAsia="Batang"/>
          <w:b/>
          <w:color w:val="auto"/>
        </w:rPr>
        <w:lastRenderedPageBreak/>
        <w:t xml:space="preserve">Infraestrutura das </w:t>
      </w:r>
      <w:r>
        <w:rPr>
          <w:rFonts w:eastAsia="Batang"/>
          <w:b/>
        </w:rPr>
        <w:t>Unidades de Perícias Médicas -</w:t>
      </w:r>
      <w:r>
        <w:rPr>
          <w:rFonts w:eastAsia="Batang"/>
        </w:rPr>
        <w:t xml:space="preserve"> C</w:t>
      </w:r>
      <w:r>
        <w:t xml:space="preserve">ada unidade conta com dois computadores, uma impressora </w:t>
      </w:r>
      <w:r>
        <w:rPr>
          <w:i/>
        </w:rPr>
        <w:t>laser</w:t>
      </w:r>
      <w:r>
        <w:t xml:space="preserve"> mono e acesso à Rede intragov. Foram distribuídos 137 pontos lógicos distribuídas entre as 35 unidades.</w:t>
      </w:r>
    </w:p>
    <w:p w:rsidR="003E6588" w:rsidRDefault="003E6588">
      <w:pPr>
        <w:pStyle w:val="Pargrafobsico"/>
        <w:spacing w:line="240" w:lineRule="auto"/>
        <w:jc w:val="both"/>
      </w:pPr>
    </w:p>
    <w:p w:rsidR="003E6588" w:rsidRDefault="003E6588">
      <w:pPr>
        <w:pStyle w:val="Pargrafobsico"/>
        <w:spacing w:line="240" w:lineRule="auto"/>
        <w:ind w:firstLine="1134"/>
        <w:jc w:val="both"/>
      </w:pPr>
      <w:r>
        <w:rPr>
          <w:rFonts w:eastAsia="Batang"/>
          <w:b/>
          <w:color w:val="auto"/>
        </w:rPr>
        <w:t>Curriculo + -</w:t>
      </w:r>
      <w:r>
        <w:rPr>
          <w:rFonts w:eastAsia="Batang"/>
          <w:color w:val="auto"/>
        </w:rPr>
        <w:t xml:space="preserve"> </w:t>
      </w:r>
      <w:r>
        <w:rPr>
          <w:color w:val="auto"/>
        </w:rPr>
        <w:t xml:space="preserve">Foram executados 201 pontos de infraestrutura lógica e elétrica em mais 3 escolas buscando totalizar </w:t>
      </w:r>
      <w:r>
        <w:t xml:space="preserve">229 escolas, com modelo ETI, com um </w:t>
      </w:r>
      <w:r>
        <w:rPr>
          <w:i/>
        </w:rPr>
        <w:t>notebook</w:t>
      </w:r>
      <w:r>
        <w:t xml:space="preserve"> por sala, projetor, </w:t>
      </w:r>
      <w:r>
        <w:rPr>
          <w:i/>
        </w:rPr>
        <w:t xml:space="preserve">wireless </w:t>
      </w:r>
      <w:r>
        <w:t>e lousa branca.</w:t>
      </w:r>
    </w:p>
    <w:p w:rsidR="003E6588" w:rsidRDefault="003E6588">
      <w:pPr>
        <w:pStyle w:val="Pargrafobsico"/>
        <w:spacing w:line="240" w:lineRule="auto"/>
        <w:ind w:firstLine="1134"/>
        <w:jc w:val="both"/>
      </w:pPr>
    </w:p>
    <w:p w:rsidR="003E6588" w:rsidRDefault="003E6588">
      <w:pPr>
        <w:pStyle w:val="Pargrafobsico"/>
        <w:spacing w:line="240" w:lineRule="auto"/>
        <w:ind w:firstLine="1134"/>
        <w:jc w:val="both"/>
      </w:pPr>
      <w:r>
        <w:rPr>
          <w:b/>
          <w:i/>
        </w:rPr>
        <w:t>Firewall/Switch</w:t>
      </w:r>
      <w:r>
        <w:rPr>
          <w:b/>
        </w:rPr>
        <w:t xml:space="preserve"> -</w:t>
      </w:r>
      <w:r>
        <w:t xml:space="preserve"> Para melhoria da conexão das escolas à </w:t>
      </w:r>
      <w:r>
        <w:rPr>
          <w:i/>
        </w:rPr>
        <w:t>internet</w:t>
      </w:r>
      <w:r>
        <w:t xml:space="preserve"> e segurança de navegação, foram adotadas providências para a troca de </w:t>
      </w:r>
      <w:r>
        <w:rPr>
          <w:i/>
        </w:rPr>
        <w:t>firewalls</w:t>
      </w:r>
      <w:r>
        <w:t xml:space="preserve"> e </w:t>
      </w:r>
      <w:r>
        <w:rPr>
          <w:i/>
        </w:rPr>
        <w:t>switches</w:t>
      </w:r>
      <w:r>
        <w:t xml:space="preserve"> em todas as unidades da Rede estadual. Em decorrência dessa ação, serão substituídos 5.500 </w:t>
      </w:r>
      <w:r>
        <w:rPr>
          <w:i/>
        </w:rPr>
        <w:t>firewalls</w:t>
      </w:r>
      <w:r>
        <w:t xml:space="preserve"> e 13.000 </w:t>
      </w:r>
      <w:r>
        <w:rPr>
          <w:i/>
        </w:rPr>
        <w:t>switches</w:t>
      </w:r>
      <w:r>
        <w:t xml:space="preserve">. Esse serviço contará com vistoria, configuração, instalação e manutenção de 24 meses para os aparelhos. Além disso, foi incluída no projeto a reorganização do </w:t>
      </w:r>
      <w:r>
        <w:rPr>
          <w:i/>
        </w:rPr>
        <w:t>rack</w:t>
      </w:r>
      <w:r>
        <w:t xml:space="preserve"> existente na localidade, melhorando assim a performance da conexão.</w:t>
      </w:r>
    </w:p>
    <w:p w:rsidR="003E6588" w:rsidRDefault="003E6588">
      <w:pPr>
        <w:pStyle w:val="Pargrafobsico"/>
        <w:spacing w:line="240" w:lineRule="auto"/>
        <w:ind w:firstLine="1134"/>
        <w:jc w:val="both"/>
        <w:rPr>
          <w:bCs/>
        </w:rPr>
      </w:pPr>
    </w:p>
    <w:p w:rsidR="003E6588" w:rsidRDefault="003E6588">
      <w:pPr>
        <w:pStyle w:val="Pargrafobsico"/>
        <w:spacing w:line="240" w:lineRule="auto"/>
        <w:ind w:firstLine="1134"/>
        <w:jc w:val="both"/>
        <w:rPr>
          <w:bCs/>
        </w:rPr>
      </w:pPr>
      <w:r>
        <w:rPr>
          <w:b/>
          <w:bCs/>
        </w:rPr>
        <w:t>Material e mobiliário escolares e suprimentos</w:t>
      </w:r>
    </w:p>
    <w:p w:rsidR="003E6588" w:rsidRDefault="003E6588">
      <w:pPr>
        <w:pStyle w:val="Pargrafobsico"/>
        <w:spacing w:line="240" w:lineRule="auto"/>
        <w:ind w:firstLine="1134"/>
        <w:jc w:val="both"/>
        <w:rPr>
          <w:bCs/>
        </w:rPr>
      </w:pPr>
    </w:p>
    <w:p w:rsidR="003E6588" w:rsidRDefault="003E6588">
      <w:pPr>
        <w:pStyle w:val="Pargrafobsico"/>
        <w:tabs>
          <w:tab w:val="left" w:pos="0"/>
        </w:tabs>
        <w:spacing w:line="240" w:lineRule="auto"/>
        <w:ind w:firstLine="1134"/>
        <w:jc w:val="both"/>
        <w:rPr>
          <w:bCs/>
        </w:rPr>
      </w:pPr>
      <w:r>
        <w:rPr>
          <w:b/>
          <w:bCs/>
          <w:i/>
        </w:rPr>
        <w:t xml:space="preserve">Kits </w:t>
      </w:r>
      <w:r>
        <w:rPr>
          <w:b/>
          <w:bCs/>
        </w:rPr>
        <w:t xml:space="preserve">de Material Escolar - </w:t>
      </w:r>
      <w:r>
        <w:rPr>
          <w:bCs/>
        </w:rPr>
        <w:t>Distribuição de material para alunos dos Anos Iniciais, Anos Finais e Ensino Médio, totalizando 3.987.934 estudantes e investimento da ordem de R$ 116.210.961,36.</w:t>
      </w:r>
    </w:p>
    <w:p w:rsidR="003E6588" w:rsidRDefault="003E6588">
      <w:pPr>
        <w:pStyle w:val="Pargrafobsico"/>
        <w:tabs>
          <w:tab w:val="left" w:pos="0"/>
        </w:tabs>
        <w:spacing w:line="240" w:lineRule="auto"/>
        <w:ind w:firstLine="1134"/>
        <w:jc w:val="both"/>
        <w:rPr>
          <w:bCs/>
        </w:rPr>
      </w:pPr>
    </w:p>
    <w:p w:rsidR="003E6588" w:rsidRDefault="003E6588">
      <w:pPr>
        <w:pStyle w:val="Pargrafobsico"/>
        <w:tabs>
          <w:tab w:val="left" w:pos="0"/>
        </w:tabs>
        <w:spacing w:line="240" w:lineRule="auto"/>
        <w:ind w:firstLine="1134"/>
        <w:jc w:val="both"/>
      </w:pPr>
      <w:r>
        <w:rPr>
          <w:b/>
          <w:bCs/>
        </w:rPr>
        <w:t xml:space="preserve">Mobiliário e outros equipamentos </w:t>
      </w:r>
      <w:r>
        <w:rPr>
          <w:bCs/>
        </w:rPr>
        <w:t xml:space="preserve">- Atendimento de demandas como conjuntos de alunos (280.000); conjuntos de refeitórios (12.148); armários de aço (12.000); cadeiras giratórias (12.000); lousas verdes (4.000); fogões (760); </w:t>
      </w:r>
      <w:r>
        <w:rPr>
          <w:bCs/>
          <w:i/>
        </w:rPr>
        <w:t>freezer</w:t>
      </w:r>
      <w:r>
        <w:rPr>
          <w:bCs/>
        </w:rPr>
        <w:t xml:space="preserve"> (600) e carros auxiliares (720).</w:t>
      </w:r>
    </w:p>
    <w:p w:rsidR="003E6588" w:rsidRDefault="003E6588">
      <w:pPr>
        <w:pStyle w:val="Pargrafobsico"/>
        <w:spacing w:line="240" w:lineRule="auto"/>
        <w:ind w:firstLine="1134"/>
        <w:jc w:val="both"/>
        <w:rPr>
          <w:bCs/>
          <w:highlight w:val="yellow"/>
        </w:rPr>
      </w:pPr>
    </w:p>
    <w:p w:rsidR="003E6588" w:rsidRDefault="003E6588">
      <w:pPr>
        <w:ind w:firstLine="1134"/>
        <w:jc w:val="both"/>
        <w:rPr>
          <w:color w:val="000000"/>
        </w:rPr>
      </w:pPr>
      <w:r>
        <w:rPr>
          <w:color w:val="000000"/>
        </w:rPr>
        <w:t>No contexto do Pilar 4, o Sistema de Proteção Escolar</w:t>
      </w:r>
      <w:r>
        <w:rPr>
          <w:b/>
          <w:bCs/>
          <w:color w:val="000000"/>
        </w:rPr>
        <w:t xml:space="preserve"> </w:t>
      </w:r>
      <w:r>
        <w:rPr>
          <w:color w:val="000000"/>
        </w:rPr>
        <w:t>engloba conjunto de ações que tem como objetivo promover ambientes pacíficos e democráticos nas escolas da Rede pública e garantir a segurança dos alunos, suas famílias e dos servidores estaduais.</w:t>
      </w:r>
    </w:p>
    <w:p w:rsidR="003E6588" w:rsidRDefault="003E6588">
      <w:pPr>
        <w:ind w:firstLine="1134"/>
        <w:jc w:val="both"/>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sz w:val="24"/>
          <w:szCs w:val="24"/>
        </w:rPr>
        <w:t>Certificação de 674 novos docentes para atuação no projeto “Professor Mediador Escolar e Comunitário”, perfazendo um total de 3.434 PMECs atuando em 2.755 no Estado;</w:t>
      </w:r>
    </w:p>
    <w:p w:rsidR="003E6588" w:rsidRDefault="003E6588">
      <w:pPr>
        <w:pStyle w:val="PargrafodaLista"/>
        <w:ind w:left="0" w:firstLine="1134"/>
        <w:contextualSpacing w:val="0"/>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sz w:val="24"/>
          <w:szCs w:val="24"/>
        </w:rPr>
        <w:t>Realização de cinco turmas do curso presencial “Capacitação em Saúde Mental para Professores da Rede Pública Estadual”, em parceria com a UNIFESP, com a certificação de 282 docentes;</w:t>
      </w:r>
    </w:p>
    <w:p w:rsidR="003E6588" w:rsidRDefault="003E6588">
      <w:pPr>
        <w:pStyle w:val="PargrafodaLista"/>
        <w:ind w:left="0"/>
        <w:contextualSpacing w:val="0"/>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sz w:val="24"/>
          <w:szCs w:val="24"/>
        </w:rPr>
        <w:t>Realização do curso EAD “Introdução aos Direitos Humanos e ECA para Educadores”, em parceria com o Ministério Público do Estado e a EFAP, com 11.194 docentes inscritos, dos quais 9.694 foram aprovados;</w:t>
      </w:r>
    </w:p>
    <w:p w:rsidR="003E6588" w:rsidRDefault="003E6588">
      <w:pPr>
        <w:pStyle w:val="PargrafodaLista"/>
        <w:ind w:left="0" w:firstLine="1134"/>
        <w:contextualSpacing w:val="0"/>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sz w:val="24"/>
          <w:szCs w:val="24"/>
        </w:rPr>
        <w:t>Realização do “3º Seminário de Proteção Escolar”, que reuniu 1.000 educadores e gestores educacionais;</w:t>
      </w:r>
    </w:p>
    <w:p w:rsidR="003E6588" w:rsidRDefault="003E6588">
      <w:pPr>
        <w:pStyle w:val="PargrafodaLista"/>
        <w:ind w:left="0" w:firstLine="1134"/>
        <w:contextualSpacing w:val="0"/>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sz w:val="24"/>
          <w:szCs w:val="24"/>
        </w:rPr>
        <w:lastRenderedPageBreak/>
        <w:t>Gestão do serviço de vigilância eletrônica em 1.587 unidades, sendo 20 diretorias de ensino e 1.567 escolas da Região Metropolitana da Grande São Paulo, executado pela FDE e que beneficiou 1.587 unidades de ensino e 1.518.046 alunos; e</w:t>
      </w:r>
    </w:p>
    <w:p w:rsidR="003E6588" w:rsidRDefault="003E6588">
      <w:pPr>
        <w:pStyle w:val="PargrafodaLista"/>
        <w:ind w:left="0"/>
        <w:contextualSpacing w:val="0"/>
        <w:rPr>
          <w:rFonts w:ascii="Times New Roman" w:hAnsi="Times New Roman"/>
          <w:sz w:val="24"/>
          <w:szCs w:val="24"/>
        </w:rPr>
      </w:pPr>
    </w:p>
    <w:p w:rsidR="003E6588" w:rsidRDefault="003E6588">
      <w:pPr>
        <w:pStyle w:val="PargrafodaLista"/>
        <w:shd w:val="clear" w:color="auto" w:fill="FFFFFF"/>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Realização de parceria com a Polícia Militar do Estado de São Paulo para instituição do programa DEJEM Escolar, que se caracteriza pela contratação de policiais militares em horário de folga. </w:t>
      </w:r>
      <w:r>
        <w:rPr>
          <w:rFonts w:ascii="Times New Roman" w:hAnsi="Times New Roman"/>
          <w:sz w:val="24"/>
          <w:szCs w:val="24"/>
        </w:rPr>
        <w:t>Atualmente, em torno de 5.000 PMs atuam mensalmente no programa, em 421 escolas da Região Metropolitana de São Paulo, Baixada Santista e Campinas.</w:t>
      </w:r>
    </w:p>
    <w:p w:rsidR="003E6588" w:rsidRDefault="003E6588">
      <w:pPr>
        <w:tabs>
          <w:tab w:val="num" w:pos="1440"/>
        </w:tabs>
        <w:ind w:firstLine="1134"/>
        <w:jc w:val="both"/>
        <w:rPr>
          <w:color w:val="000000"/>
        </w:rPr>
      </w:pPr>
    </w:p>
    <w:p w:rsidR="003E6588" w:rsidRDefault="003E6588">
      <w:pPr>
        <w:tabs>
          <w:tab w:val="left" w:pos="709"/>
        </w:tabs>
        <w:ind w:firstLine="1134"/>
        <w:jc w:val="both"/>
        <w:rPr>
          <w:color w:val="000000"/>
        </w:rPr>
      </w:pPr>
      <w:r>
        <w:rPr>
          <w:b/>
          <w:color w:val="000000"/>
        </w:rPr>
        <w:t xml:space="preserve">Pilar 5 - Mobilizar, engajar e responsabilizar a Rede, os alunos e a sociedade em torno do processo de ensino-aprendizagem - </w:t>
      </w:r>
      <w:r>
        <w:rPr>
          <w:color w:val="000000"/>
          <w:lang w:eastAsia="en-US"/>
        </w:rPr>
        <w:t>A mobilização tem um importante papel na ação educacional; essa última não se concretiza sem o compromisso social de todos os envolvidos - aluno, família, comunidade, escola, órgão públicos - por uma educação de qualidade. Tão relevante quanto o diálogo entre as parte é p</w:t>
      </w:r>
      <w:r>
        <w:rPr>
          <w:bCs/>
          <w:color w:val="000000"/>
          <w:lang w:eastAsia="en-US"/>
        </w:rPr>
        <w:t xml:space="preserve">romoção de atividades que contribuam, de fato, para a melhoria da qualidade da educação. </w:t>
      </w:r>
      <w:r>
        <w:rPr>
          <w:color w:val="000000"/>
        </w:rPr>
        <w:t>A Secretaria da Educação organizou essas atividades em dois grandes eixos: 1) melhorar os canais institucionais de comunicação; e 2) mobilizar a Rede, os estudantes e a sociedade.</w:t>
      </w:r>
    </w:p>
    <w:p w:rsidR="003E6588" w:rsidRDefault="003E6588">
      <w:pPr>
        <w:pStyle w:val="NormalWeb"/>
        <w:shd w:val="clear" w:color="auto" w:fill="FFFFFF"/>
        <w:spacing w:before="0" w:beforeAutospacing="0" w:after="0" w:afterAutospacing="0"/>
        <w:ind w:firstLine="1134"/>
        <w:jc w:val="both"/>
        <w:textAlignment w:val="baseline"/>
        <w:rPr>
          <w:color w:val="000000"/>
        </w:rPr>
      </w:pPr>
    </w:p>
    <w:p w:rsidR="003E6588" w:rsidRDefault="003E6588">
      <w:pPr>
        <w:pStyle w:val="NormalWeb"/>
        <w:shd w:val="clear" w:color="auto" w:fill="FFFFFF"/>
        <w:spacing w:before="0" w:beforeAutospacing="0" w:after="0" w:afterAutospacing="0"/>
        <w:ind w:firstLine="1134"/>
        <w:jc w:val="both"/>
        <w:textAlignment w:val="baseline"/>
      </w:pPr>
      <w:r>
        <w:rPr>
          <w:b/>
          <w:color w:val="000000"/>
        </w:rPr>
        <w:t xml:space="preserve">Canais institucionais - </w:t>
      </w:r>
      <w:r>
        <w:rPr>
          <w:color w:val="000000"/>
        </w:rPr>
        <w:t xml:space="preserve">A SE deu passos importantes para a implementação de uma política de comunicação interna, na qual se destaca a </w:t>
      </w:r>
      <w:r>
        <w:rPr>
          <w:i/>
          <w:color w:val="000000"/>
        </w:rPr>
        <w:t>intranet</w:t>
      </w:r>
      <w:r>
        <w:rPr>
          <w:color w:val="000000"/>
        </w:rPr>
        <w:t>. Batizada de “Espaço do Servidor”</w:t>
      </w:r>
      <w:r>
        <w:t xml:space="preserve"> teve </w:t>
      </w:r>
      <w:r>
        <w:rPr>
          <w:bCs/>
        </w:rPr>
        <w:t>1.273.700 visitas</w:t>
      </w:r>
      <w:r>
        <w:rPr>
          <w:b/>
          <w:bCs/>
        </w:rPr>
        <w:t xml:space="preserve">. </w:t>
      </w:r>
      <w:r>
        <w:t>Sua Rede Social tem hoje 437 comunidades, com 3.015 membros. Houve o sorteio de livros para os servidores. Em reconhecimento aos efeitos importantes na SE, ela foi finalista em dois prêmios: o “M</w:t>
      </w:r>
      <w:r w:rsidR="00401F75">
        <w:t>a</w:t>
      </w:r>
      <w:r>
        <w:t>rio Covas” - na categoria Inovação em Gestão Pública; e “CONIP” - na categoria Novas Tecnologias.</w:t>
      </w:r>
    </w:p>
    <w:p w:rsidR="003E6588" w:rsidRDefault="003E6588">
      <w:pPr>
        <w:pStyle w:val="NormalWeb"/>
        <w:shd w:val="clear" w:color="auto" w:fill="FFFFFF"/>
        <w:spacing w:before="0" w:beforeAutospacing="0" w:after="0" w:afterAutospacing="0"/>
        <w:ind w:firstLine="1134"/>
        <w:jc w:val="both"/>
        <w:textAlignment w:val="baseline"/>
      </w:pPr>
    </w:p>
    <w:p w:rsidR="003E6588" w:rsidRDefault="003E6588">
      <w:pPr>
        <w:pStyle w:val="Default"/>
        <w:ind w:firstLine="1134"/>
        <w:jc w:val="both"/>
        <w:rPr>
          <w:rFonts w:ascii="Times New Roman" w:hAnsi="Times New Roman"/>
        </w:rPr>
      </w:pPr>
      <w:r>
        <w:rPr>
          <w:rFonts w:ascii="Times New Roman" w:hAnsi="Times New Roman"/>
        </w:rPr>
        <w:t>Merecem destaque as vídeoconferências semanais realizadas com os Dirigentes de Ensino e as Coordenadorias; organizadas e conduzidas pela Sareg - Subsecretaria de Articulação Regional, elas permitiram aproximação e maior articulação entre a Administração Central e os órgãos regionais, pois se constituíram em espaço para a retirada de dúvida e a troca de ideias.</w:t>
      </w:r>
    </w:p>
    <w:p w:rsidR="003E6588" w:rsidRDefault="003E6588">
      <w:pPr>
        <w:pStyle w:val="Default"/>
        <w:ind w:firstLine="1134"/>
        <w:jc w:val="both"/>
        <w:rPr>
          <w:rFonts w:ascii="Times New Roman" w:hAnsi="Times New Roman"/>
        </w:rPr>
      </w:pPr>
    </w:p>
    <w:p w:rsidR="003E6588" w:rsidRDefault="003E6588">
      <w:pPr>
        <w:pStyle w:val="Default"/>
        <w:ind w:firstLine="1134"/>
        <w:jc w:val="both"/>
        <w:rPr>
          <w:rFonts w:ascii="Times New Roman" w:hAnsi="Times New Roman"/>
        </w:rPr>
      </w:pPr>
      <w:r>
        <w:rPr>
          <w:rFonts w:ascii="Times New Roman" w:hAnsi="Times New Roman"/>
        </w:rPr>
        <w:t>A SE conta com a atuação de assessoria de comunicação que iniciou a estruturação de plano que buscará atender as necessidades da Secretaria; produziu o Caderno “Balanço da Gestão”, que documenta as principais ações e iniciativas realizadas pela Educação entre o período de 2010 e 2014. Acentuou-se a produção de material para divulgação à imprensa (1.800), bem como as reportagens, que ultrapassaram o número de 20.000. A implantação do "Torpedo-Imprensa" e a criação do "Boletim Mensal Sua Notícia" reforçam a preocupação de aumentar a divulgação de informações à sociedade. Para melhorar a qualidade dessas informações, foi criado banco com dados educacionais dos 645 municípios, das 91 Diretorias Regionais de Ensino e das 17 regiões administrativas e desenvolvido o "Caderno Informativo" para a Reunião de Polo, com informações dos 15 polos regionais. Registre-se a elaboração e distribuição de cartilha para os pais, com dicas sobre a participação na vida escolar dos filhos.</w:t>
      </w:r>
    </w:p>
    <w:p w:rsidR="00401F75" w:rsidRDefault="00401F75">
      <w:pPr>
        <w:pStyle w:val="Default"/>
        <w:ind w:firstLine="1134"/>
        <w:jc w:val="both"/>
        <w:rPr>
          <w:rFonts w:ascii="Times New Roman" w:hAnsi="Times New Roman"/>
        </w:rPr>
      </w:pPr>
    </w:p>
    <w:p w:rsidR="003E6588" w:rsidRDefault="003E6588">
      <w:pPr>
        <w:ind w:firstLine="1134"/>
        <w:jc w:val="both"/>
        <w:rPr>
          <w:b/>
          <w:bCs/>
          <w:color w:val="000000"/>
        </w:rPr>
      </w:pPr>
      <w:r>
        <w:rPr>
          <w:b/>
          <w:color w:val="000000"/>
        </w:rPr>
        <w:t xml:space="preserve">Engajamento - </w:t>
      </w:r>
      <w:r>
        <w:rPr>
          <w:bCs/>
          <w:color w:val="000000"/>
        </w:rPr>
        <w:t>Conquistas importantes na aproximação entre os pais e a escola estão</w:t>
      </w:r>
      <w:r>
        <w:rPr>
          <w:b/>
          <w:bCs/>
          <w:color w:val="000000"/>
        </w:rPr>
        <w:t xml:space="preserve"> </w:t>
      </w:r>
      <w:r>
        <w:rPr>
          <w:bCs/>
          <w:color w:val="000000"/>
        </w:rPr>
        <w:t>sendo construídas por meio de iniciativas como a</w:t>
      </w:r>
      <w:r>
        <w:rPr>
          <w:b/>
          <w:bCs/>
          <w:color w:val="000000"/>
        </w:rPr>
        <w:t xml:space="preserve"> </w:t>
      </w:r>
      <w:r>
        <w:rPr>
          <w:bCs/>
          <w:color w:val="000000"/>
        </w:rPr>
        <w:t xml:space="preserve">“Escola da Família”, que surgiu do reconhecimento </w:t>
      </w:r>
      <w:r>
        <w:rPr>
          <w:bCs/>
          <w:color w:val="000000"/>
        </w:rPr>
        <w:lastRenderedPageBreak/>
        <w:t>de que, e</w:t>
      </w:r>
      <w:r>
        <w:rPr>
          <w:rFonts w:eastAsia="Batang"/>
          <w:color w:val="000000"/>
        </w:rPr>
        <w:t xml:space="preserve">m diversas regiões do Estado, as escolas públicas constituem o principal - ou, muitas vezes, o único - equipamento público, em especial nas localidades em que existem poucas ou nenhuma opção de lazer e cultura. </w:t>
      </w:r>
      <w:r>
        <w:rPr>
          <w:color w:val="000000"/>
        </w:rPr>
        <w:t>Foram 2.594 escolas estaduais abertas aos finais de semana, 192 instituições de ensino superior conveniadas, 20.956 educadores universitários e 11.385 voluntários cadastrados.</w:t>
      </w:r>
    </w:p>
    <w:p w:rsidR="003E6588" w:rsidRDefault="003E6588">
      <w:pPr>
        <w:ind w:firstLine="1134"/>
        <w:jc w:val="both"/>
      </w:pPr>
    </w:p>
    <w:p w:rsidR="003E6588" w:rsidRDefault="003E6588">
      <w:pPr>
        <w:ind w:firstLine="1134"/>
        <w:jc w:val="both"/>
      </w:pPr>
      <w:r>
        <w:t>Para efeito do engajamento, são muito importantes as iniciativas de articulação das comunidades para o exercício de atividades em escolas, como Associação de Pais e Mestres, Grêmios Estudantis e Conselhos de Escolas.</w:t>
      </w:r>
    </w:p>
    <w:p w:rsidR="003E6588" w:rsidRDefault="003E6588">
      <w:pPr>
        <w:ind w:firstLine="1134"/>
        <w:jc w:val="both"/>
      </w:pPr>
    </w:p>
    <w:p w:rsidR="003E6588" w:rsidRDefault="003E6588">
      <w:pPr>
        <w:ind w:firstLine="1134"/>
        <w:jc w:val="both"/>
      </w:pPr>
      <w:r>
        <w:t xml:space="preserve">O </w:t>
      </w:r>
      <w:r>
        <w:rPr>
          <w:b/>
        </w:rPr>
        <w:t>Conselho de Escola</w:t>
      </w:r>
      <w:r>
        <w:t xml:space="preserve"> é a instância de participação que se configura como órgão colegiado fundamental, com representação dos segmentos da comunidade escolar para a gestão democrática e participativa. Cabe à SE, por meio do Nuart - Núcleo de Articulação de Iniciativa com Pais e Alunos - contribuir na qualificação das atividades deste colegiado:</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Divulgação da Cartilha do Conselho de Escola para as Diretorias de Ensino, via </w:t>
      </w:r>
      <w:r>
        <w:rPr>
          <w:rFonts w:ascii="Times New Roman" w:hAnsi="Times New Roman"/>
          <w:i/>
          <w:sz w:val="24"/>
          <w:szCs w:val="24"/>
        </w:rPr>
        <w:t xml:space="preserve">Intranet </w:t>
      </w:r>
      <w:r>
        <w:rPr>
          <w:rFonts w:ascii="Times New Roman" w:hAnsi="Times New Roman"/>
          <w:sz w:val="24"/>
          <w:szCs w:val="24"/>
        </w:rPr>
        <w:t xml:space="preserve">e, por </w:t>
      </w:r>
      <w:r>
        <w:rPr>
          <w:rFonts w:ascii="Times New Roman" w:hAnsi="Times New Roman"/>
          <w:i/>
          <w:sz w:val="24"/>
          <w:szCs w:val="24"/>
        </w:rPr>
        <w:t>e-mail</w:t>
      </w:r>
      <w:r>
        <w:rPr>
          <w:rFonts w:ascii="Times New Roman" w:hAnsi="Times New Roman"/>
          <w:sz w:val="24"/>
          <w:szCs w:val="24"/>
        </w:rPr>
        <w:t>, aos professores da Rede.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Início dos testes do Sistema de Gestão de Conselho de Escola na plataforma da Secretaria Escolar Digital.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Oferta do Curso de Extensão à Distância "Formação Continuada em Conselhos Escolares", em parceria com a Universidade Federal de São Carlos - UFSCAR.</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Oferta de Curso de Formação para Conselheiros Escolares (Nova Modalidade) em parceria com a UFSCAR.</w:t>
      </w:r>
    </w:p>
    <w:p w:rsidR="003E6588" w:rsidRDefault="003E6588">
      <w:pPr>
        <w:pStyle w:val="PargrafodaLista"/>
        <w:ind w:left="0"/>
        <w:rPr>
          <w:rFonts w:ascii="Times New Roman" w:hAnsi="Times New Roman"/>
          <w:sz w:val="24"/>
          <w:szCs w:val="24"/>
        </w:rPr>
      </w:pPr>
    </w:p>
    <w:p w:rsidR="003E6588" w:rsidRDefault="003E6588">
      <w:pPr>
        <w:ind w:firstLine="1134"/>
        <w:jc w:val="both"/>
      </w:pPr>
      <w:r>
        <w:t>Foram criados Grêmios Estudantis em vários polos regionais, o que possibilitou o desenvolvimento de atividades para a divulgação, o fortalecimento e intercambio entre grêmios locais e regionais. Destacam-se:</w:t>
      </w:r>
    </w:p>
    <w:p w:rsidR="003E6588" w:rsidRDefault="003E6588">
      <w:pPr>
        <w:ind w:firstLine="1134"/>
        <w:jc w:val="both"/>
      </w:pPr>
    </w:p>
    <w:p w:rsidR="003E6588" w:rsidRDefault="003E6588">
      <w:pPr>
        <w:ind w:firstLine="1134"/>
        <w:jc w:val="both"/>
      </w:pPr>
      <w:r>
        <w:t>- Orientação técnica em Gestão Democrática e Participativa em Diretorias de Ensino para gestores e profissionais da Educação.</w:t>
      </w:r>
    </w:p>
    <w:p w:rsidR="003E6588" w:rsidRDefault="003E6588">
      <w:pPr>
        <w:ind w:firstLine="1134"/>
        <w:jc w:val="both"/>
      </w:pPr>
    </w:p>
    <w:p w:rsidR="003E6588" w:rsidRDefault="003E6588">
      <w:pPr>
        <w:ind w:firstLine="1134"/>
        <w:jc w:val="both"/>
      </w:pPr>
      <w:r>
        <w:t>- Diagnóstico do cenário dos Grêmios na Rede estadual de ensino.</w:t>
      </w:r>
    </w:p>
    <w:p w:rsidR="003E6588" w:rsidRDefault="003E6588">
      <w:pPr>
        <w:ind w:firstLine="1134"/>
        <w:jc w:val="both"/>
      </w:pPr>
    </w:p>
    <w:p w:rsidR="003E6588" w:rsidRDefault="003E6588">
      <w:pPr>
        <w:ind w:firstLine="1134"/>
        <w:jc w:val="both"/>
      </w:pPr>
      <w:r>
        <w:t>- Definição de interlocutores junto às Diretorias de Ensino.</w:t>
      </w:r>
    </w:p>
    <w:p w:rsidR="0048328F" w:rsidRDefault="0048328F">
      <w:pPr>
        <w:ind w:firstLine="1134"/>
        <w:jc w:val="both"/>
      </w:pPr>
    </w:p>
    <w:p w:rsidR="003E6588" w:rsidRDefault="003E6588">
      <w:pPr>
        <w:ind w:firstLine="1134"/>
        <w:jc w:val="both"/>
      </w:pPr>
      <w:r>
        <w:t>- Criação de página no portal da SE.</w:t>
      </w:r>
    </w:p>
    <w:p w:rsidR="003E6588" w:rsidRDefault="003E6588">
      <w:pPr>
        <w:ind w:firstLine="1134"/>
        <w:jc w:val="both"/>
      </w:pPr>
    </w:p>
    <w:p w:rsidR="003E6588" w:rsidRDefault="003E6588">
      <w:pPr>
        <w:ind w:firstLine="1134"/>
        <w:jc w:val="both"/>
      </w:pPr>
      <w:r>
        <w:t>- Orientação técnica em Diretorias de Ensino e Unidades Escolares; e</w:t>
      </w:r>
    </w:p>
    <w:p w:rsidR="003E6588" w:rsidRDefault="003E6588">
      <w:pPr>
        <w:jc w:val="both"/>
      </w:pPr>
    </w:p>
    <w:p w:rsidR="003E6588" w:rsidRDefault="003E6588">
      <w:pPr>
        <w:ind w:firstLine="1134"/>
        <w:jc w:val="both"/>
      </w:pPr>
      <w:r>
        <w:t xml:space="preserve">- Elaboração do conteúdo do Curso de Atualização da Gestão Participativa e Democrática, encaminhado a EFAP para execução do "Curso de Ação Continuada para Grêmio Estudantil", com </w:t>
      </w:r>
      <w:r>
        <w:lastRenderedPageBreak/>
        <w:t>proposta de participação de 40.000 profissionais do Quadro de Magistério e carga horária de 60 horas (modalidade à Distância).</w:t>
      </w:r>
    </w:p>
    <w:p w:rsidR="003E6588" w:rsidRDefault="003E6588">
      <w:pPr>
        <w:jc w:val="both"/>
      </w:pPr>
    </w:p>
    <w:p w:rsidR="003E6588" w:rsidRDefault="003E6588">
      <w:pPr>
        <w:ind w:firstLine="1134"/>
        <w:jc w:val="both"/>
      </w:pPr>
      <w:r>
        <w:t>A Associação de Pais e Mestres - APM contribui no aprimoramento do processo educacional por meio de desenvolvimento de projetos de interesse da escola, família e comunidade. A SE promoveu as seguintes ações: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Participação do Grupo de Trabalho criado para a revisão e/ou alteração do Estatuto Padrão, o qual se encontra em fase de tramitação;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Processamento de pesquisa qualiquantitativa referente à APM e Cantinas Escolares;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Estudo pelo Nuart, em parceria com outras áreas da Secretaria, para reorganização da APM no âmbito do Estado, o que contribuirá para fortalecer o processo educacional, a assistência ao aluno e a integração familia-escola-comunidade.</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Conselho Estadual de Educação - </w:t>
      </w:r>
      <w:r>
        <w:rPr>
          <w:bCs/>
          <w:color w:val="000000"/>
        </w:rPr>
        <w:t>O Conselho Estadual de Educação - CEE a</w:t>
      </w:r>
      <w:r>
        <w:rPr>
          <w:color w:val="000000"/>
        </w:rPr>
        <w:t>tua como órgão normativo, deliberativo e consultivo do sistema educacional público e privado paulista. É responsável pelo estabelecimento de regras para todas as escolas das Redes estadual, municipal e particular, de Educação Infantil, Ensino Fundamental, Ensino Médio e Profissional, seja presencial ou à distância. Também cabe ao CEE orientar as instituições de ensino superior públicas do Estado, bem como credenciar seus cursos.</w:t>
      </w:r>
    </w:p>
    <w:p w:rsidR="003E6588" w:rsidRDefault="003E6588">
      <w:pPr>
        <w:ind w:firstLine="1134"/>
        <w:jc w:val="both"/>
        <w:rPr>
          <w:color w:val="000000"/>
        </w:rPr>
      </w:pPr>
    </w:p>
    <w:p w:rsidR="003E6588" w:rsidRDefault="003E6588">
      <w:pPr>
        <w:ind w:firstLine="1134"/>
        <w:jc w:val="both"/>
        <w:outlineLvl w:val="2"/>
        <w:rPr>
          <w:color w:val="000000"/>
        </w:rPr>
      </w:pPr>
      <w:r>
        <w:rPr>
          <w:color w:val="000000"/>
        </w:rPr>
        <w:t>Dividido em Câmara de Educação Básica e Câmara de Educação Superior, o Conselho apresenta duas Comissões: de Planejamento; e de Legislação e Normas. O órgão conta com a atuação de 24 conselheiros, com mandatos de três anos, e que realizam ordinariamente, reuniões de Câmaras, Comissões e do Conselho Pleno. Suas diretrizes para a política educacional são fixadas pela elaboração de três documentos principais:</w:t>
      </w:r>
    </w:p>
    <w:p w:rsidR="003E6588" w:rsidRDefault="003E6588">
      <w:pPr>
        <w:ind w:firstLine="1134"/>
        <w:jc w:val="both"/>
        <w:outlineLvl w:val="2"/>
        <w:rPr>
          <w:color w:val="000000"/>
        </w:rPr>
      </w:pPr>
    </w:p>
    <w:p w:rsidR="003E6588" w:rsidRDefault="003E6588">
      <w:pPr>
        <w:pStyle w:val="NormalWeb"/>
        <w:spacing w:before="0" w:beforeAutospacing="0" w:after="0" w:afterAutospacing="0"/>
        <w:ind w:firstLine="1134"/>
        <w:jc w:val="both"/>
        <w:rPr>
          <w:color w:val="000000"/>
        </w:rPr>
      </w:pPr>
      <w:r>
        <w:rPr>
          <w:b/>
          <w:color w:val="000000"/>
        </w:rPr>
        <w:t xml:space="preserve">Parecer - </w:t>
      </w:r>
      <w:r>
        <w:rPr>
          <w:color w:val="000000"/>
        </w:rPr>
        <w:t>Opinião ou voto do relator sobre matéria da competência da Câmara ou da Comissão Permanente;</w:t>
      </w:r>
    </w:p>
    <w:p w:rsidR="003E6588" w:rsidRDefault="003E6588">
      <w:pPr>
        <w:pStyle w:val="NormalWeb"/>
        <w:spacing w:before="0" w:beforeAutospacing="0" w:after="0" w:afterAutospacing="0"/>
        <w:ind w:firstLine="1134"/>
        <w:jc w:val="both"/>
        <w:rPr>
          <w:color w:val="000000"/>
        </w:rPr>
      </w:pPr>
    </w:p>
    <w:p w:rsidR="003E6588" w:rsidRDefault="003E6588">
      <w:pPr>
        <w:pStyle w:val="NormalWeb"/>
        <w:spacing w:before="0" w:beforeAutospacing="0" w:after="0" w:afterAutospacing="0"/>
        <w:ind w:firstLine="1134"/>
        <w:jc w:val="both"/>
        <w:rPr>
          <w:color w:val="000000"/>
        </w:rPr>
      </w:pPr>
      <w:r>
        <w:rPr>
          <w:b/>
          <w:color w:val="000000"/>
        </w:rPr>
        <w:t>Indicação</w:t>
      </w:r>
      <w:r>
        <w:rPr>
          <w:color w:val="000000"/>
        </w:rPr>
        <w:t xml:space="preserve"> - Documento que reflete posição doutrinária sobre assuntos relevantes;</w:t>
      </w:r>
    </w:p>
    <w:p w:rsidR="003E6588" w:rsidRDefault="003E6588">
      <w:pPr>
        <w:pStyle w:val="NormalWeb"/>
        <w:spacing w:before="0" w:beforeAutospacing="0" w:after="0" w:afterAutospacing="0"/>
        <w:ind w:firstLine="1134"/>
        <w:jc w:val="both"/>
        <w:rPr>
          <w:color w:val="000000"/>
        </w:rPr>
      </w:pPr>
    </w:p>
    <w:p w:rsidR="003E6588" w:rsidRDefault="003E6588">
      <w:pPr>
        <w:pStyle w:val="NormalWeb"/>
        <w:spacing w:before="0" w:beforeAutospacing="0" w:after="0" w:afterAutospacing="0"/>
        <w:ind w:firstLine="1134"/>
        <w:jc w:val="both"/>
        <w:rPr>
          <w:color w:val="000000"/>
        </w:rPr>
      </w:pPr>
      <w:r>
        <w:rPr>
          <w:b/>
          <w:color w:val="000000"/>
        </w:rPr>
        <w:t>Deliberação</w:t>
      </w:r>
      <w:r>
        <w:rPr>
          <w:color w:val="000000"/>
        </w:rPr>
        <w:t xml:space="preserve"> Edição de novas normas, modificação das vigentes ou  sua revogação.</w:t>
      </w:r>
    </w:p>
    <w:p w:rsidR="003E6588" w:rsidRDefault="003E6588">
      <w:pPr>
        <w:ind w:firstLine="1134"/>
        <w:jc w:val="both"/>
        <w:outlineLvl w:val="2"/>
        <w:rPr>
          <w:color w:val="000000"/>
        </w:rPr>
      </w:pPr>
    </w:p>
    <w:p w:rsidR="003E6588" w:rsidRDefault="003E6588">
      <w:pPr>
        <w:ind w:firstLine="1134"/>
        <w:jc w:val="both"/>
        <w:outlineLvl w:val="2"/>
        <w:rPr>
          <w:color w:val="000000"/>
        </w:rPr>
      </w:pPr>
      <w:r>
        <w:rPr>
          <w:color w:val="000000"/>
        </w:rPr>
        <w:t>O Conselho deu continuidade às suas ações regulares, produzindo documentos relevantes para balizar as políticas educacionais do Estado, que podem ser encontrados em seu site institucional (http://www.ceesp.sp.gov.br/).</w:t>
      </w:r>
    </w:p>
    <w:p w:rsidR="003E6588" w:rsidRDefault="003E6588">
      <w:pPr>
        <w:ind w:firstLine="1134"/>
      </w:pPr>
    </w:p>
    <w:p w:rsidR="003E6588" w:rsidRDefault="003E6588">
      <w:pPr>
        <w:ind w:firstLine="1134"/>
        <w:rPr>
          <w:b/>
          <w:bCs/>
        </w:rPr>
      </w:pPr>
      <w:r>
        <w:br w:type="page"/>
      </w:r>
      <w:r>
        <w:rPr>
          <w:b/>
          <w:bCs/>
        </w:rPr>
        <w:lastRenderedPageBreak/>
        <w:t>SECRETARIA DO EMPREGO E RELAÇÕES DO TRABALHO</w:t>
      </w:r>
    </w:p>
    <w:p w:rsidR="003E6588" w:rsidRDefault="003E6588"/>
    <w:p w:rsidR="003E6588" w:rsidRDefault="003E6588"/>
    <w:p w:rsidR="003E6588" w:rsidRDefault="003E6588">
      <w:pPr>
        <w:pStyle w:val="Textoembloco"/>
        <w:spacing w:line="240" w:lineRule="auto"/>
        <w:ind w:left="0" w:right="58" w:firstLine="1134"/>
        <w:rPr>
          <w:sz w:val="24"/>
        </w:rPr>
      </w:pPr>
      <w:r>
        <w:rPr>
          <w:b/>
          <w:bCs/>
          <w:sz w:val="24"/>
        </w:rPr>
        <w:t xml:space="preserve">Missão e Objetivos - </w:t>
      </w:r>
      <w:r>
        <w:rPr>
          <w:sz w:val="24"/>
        </w:rPr>
        <w:t>A Secretaria do Emprego e Relações do Trabalho - SERT, criada para executar a política de valorização do trabalho e do trabalhador, tem como finalidade a formulação e execução de políticas, programas e projetos voltados ao emprego, às relações do trabalho e ao empreendedorismo.</w:t>
      </w:r>
    </w:p>
    <w:p w:rsidR="003E6588" w:rsidRDefault="003E6588">
      <w:pPr>
        <w:pStyle w:val="Textoembloco"/>
        <w:spacing w:line="240" w:lineRule="auto"/>
        <w:ind w:left="0" w:right="58" w:firstLine="1134"/>
        <w:rPr>
          <w:sz w:val="24"/>
        </w:rPr>
      </w:pPr>
    </w:p>
    <w:p w:rsidR="003E6588" w:rsidRDefault="003E6588">
      <w:pPr>
        <w:ind w:firstLine="1134"/>
        <w:jc w:val="both"/>
      </w:pPr>
      <w:r>
        <w:t>Constitui campo funcional da SERT a coordenação da implementação das políticas do Sistema Público de Emprego e do Sistema de Relações do Trabalho.</w:t>
      </w:r>
    </w:p>
    <w:p w:rsidR="003E6588" w:rsidRDefault="003E6588">
      <w:pPr>
        <w:ind w:firstLine="1134"/>
        <w:jc w:val="both"/>
      </w:pPr>
    </w:p>
    <w:p w:rsidR="003E6588" w:rsidRDefault="003E6588">
      <w:pPr>
        <w:ind w:firstLine="1134"/>
        <w:jc w:val="both"/>
      </w:pPr>
      <w:r>
        <w:t>O Sistema Público de Emprego compreende ações voltadas à ampliação de oportunidades de trabalho, ao estímulo do desenvolvimento de formas alternativas de ocupação e renda, à capacitação, qualificação e requalificação profissional, e à intermediação de mão</w:t>
      </w:r>
      <w:r w:rsidR="00957E14">
        <w:t>-</w:t>
      </w:r>
      <w:r>
        <w:t>de</w:t>
      </w:r>
      <w:r w:rsidR="00957E14">
        <w:t>-</w:t>
      </w:r>
      <w:r>
        <w:t>obra.</w:t>
      </w:r>
    </w:p>
    <w:p w:rsidR="003E6588" w:rsidRDefault="003E6588">
      <w:pPr>
        <w:ind w:firstLine="1134"/>
        <w:jc w:val="both"/>
      </w:pPr>
    </w:p>
    <w:p w:rsidR="003E6588" w:rsidRDefault="003E6588">
      <w:pPr>
        <w:ind w:firstLine="1134"/>
        <w:jc w:val="both"/>
      </w:pPr>
      <w:r>
        <w:t>O Sistema de Relações do Trabalho compreende ações voltadas à melhoria na qualidade de vida no trabalho, por meio de orientações procedimentais e gerais aos empregados, empregadores, sindicatos ou associações e da promoção de lazer aos trabalhadores.</w:t>
      </w:r>
    </w:p>
    <w:p w:rsidR="003E6588" w:rsidRDefault="003E6588">
      <w:pPr>
        <w:ind w:firstLine="1134"/>
        <w:jc w:val="both"/>
      </w:pPr>
    </w:p>
    <w:p w:rsidR="003E6588" w:rsidRDefault="003E6588">
      <w:pPr>
        <w:ind w:firstLine="1134"/>
        <w:jc w:val="both"/>
      </w:pPr>
      <w:r>
        <w:rPr>
          <w:b/>
        </w:rPr>
        <w:t xml:space="preserve">Programa Inserção no Mercado de Trabalho e Gestão da Diversidade - </w:t>
      </w:r>
      <w:r>
        <w:t>Atua diretamente com programas sociais, desenvolvendo ações geradoras de emprego e renda para população em situação de maior vulnerabilidade socioeconômica.</w:t>
      </w:r>
    </w:p>
    <w:p w:rsidR="003E6588" w:rsidRDefault="003E6588">
      <w:pPr>
        <w:ind w:firstLine="1134"/>
        <w:jc w:val="both"/>
      </w:pPr>
    </w:p>
    <w:p w:rsidR="003E6588" w:rsidRDefault="003E6588">
      <w:pPr>
        <w:ind w:firstLine="1134"/>
        <w:jc w:val="both"/>
      </w:pPr>
      <w:r>
        <w:t>Os programas desenvolvidos investem na criação de possibilidades de trabalho, qualificação de mão</w:t>
      </w:r>
      <w:r w:rsidR="00957E14">
        <w:t>-</w:t>
      </w:r>
      <w:r>
        <w:t>de</w:t>
      </w:r>
      <w:r w:rsidR="00957E14">
        <w:t>-</w:t>
      </w:r>
      <w:r>
        <w:t>obra e recuperação do indivíduo, partindo do princípio que só se atinge uma sociedade mais equilibrada se houver igualdade de oportunidades e condições para todos, de forma ampla e irrestrita.</w:t>
      </w:r>
    </w:p>
    <w:p w:rsidR="003E6588" w:rsidRDefault="003E6588">
      <w:pPr>
        <w:ind w:firstLine="1134"/>
        <w:jc w:val="both"/>
      </w:pPr>
    </w:p>
    <w:p w:rsidR="003E6588" w:rsidRDefault="003E6588">
      <w:pPr>
        <w:ind w:firstLine="1134"/>
        <w:jc w:val="both"/>
      </w:pPr>
      <w:r>
        <w:t>Ações abrangidas - Jovem Cidadão - Meu Primeiro Trabalho; Frentes de Trabalho; Aprendiz Paulista; Apoio à Pessoa com Deficiência; Apoio ao Egresso e Selo da Diversidade.</w:t>
      </w:r>
    </w:p>
    <w:p w:rsidR="003E6588" w:rsidRDefault="003E6588">
      <w:pPr>
        <w:ind w:firstLine="1134"/>
        <w:jc w:val="both"/>
        <w:rPr>
          <w:highlight w:val="yellow"/>
        </w:rPr>
      </w:pPr>
    </w:p>
    <w:p w:rsidR="003E6588" w:rsidRDefault="003E6588">
      <w:pPr>
        <w:ind w:firstLine="1134"/>
        <w:jc w:val="both"/>
        <w:rPr>
          <w:rFonts w:eastAsia="+mn-ea"/>
        </w:rPr>
      </w:pPr>
      <w:r>
        <w:rPr>
          <w:b/>
        </w:rPr>
        <w:t xml:space="preserve">Jovem Cidadão - Meu Primeiro Trabalho - </w:t>
      </w:r>
      <w:r>
        <w:t xml:space="preserve">Instituída </w:t>
      </w:r>
      <w:r>
        <w:rPr>
          <w:rFonts w:eastAsia="+mn-ea"/>
        </w:rPr>
        <w:t xml:space="preserve">por meio do Decreto nº 44.860/2000 e reformulado pelos Decretos nº 45.761/2001 e nº 53.807/2008, </w:t>
      </w:r>
      <w:r>
        <w:t xml:space="preserve">com o objetivo de reduzir a vulnerabilidade juvenil, oferecer experiência profissional, estimular interesse pelos estudos e melhorar o desempenho escolar e autoestima do jovem. Para isso, </w:t>
      </w:r>
      <w:r>
        <w:rPr>
          <w:rFonts w:eastAsia="+mn-ea"/>
        </w:rPr>
        <w:t>realiza a intermediação entre empresas e jovens entre 16 e 21 anos, buscando oferecer a primeira experiência profissional no mercado de trabalho, por meio de estágio remunerado, em que à empresa o pagamento do valor de R$ 3,13 por hora e ao Governo o valor fixo de R$ 65,00 mensais.</w:t>
      </w:r>
    </w:p>
    <w:p w:rsidR="003E6588" w:rsidRDefault="003E6588">
      <w:pPr>
        <w:ind w:firstLine="1134"/>
        <w:jc w:val="both"/>
        <w:rPr>
          <w:rFonts w:eastAsia="+mn-ea"/>
          <w:highlight w:val="yellow"/>
        </w:rPr>
      </w:pPr>
    </w:p>
    <w:p w:rsidR="003E6588" w:rsidRDefault="003E6588">
      <w:pPr>
        <w:ind w:firstLine="1134"/>
        <w:jc w:val="both"/>
        <w:rPr>
          <w:b/>
        </w:rPr>
      </w:pPr>
      <w:r>
        <w:rPr>
          <w:b/>
        </w:rPr>
        <w:t>Atendimentos</w:t>
      </w:r>
    </w:p>
    <w:p w:rsidR="003E6588" w:rsidRDefault="003E6588">
      <w:pPr>
        <w:ind w:firstLine="1134"/>
        <w:jc w:val="both"/>
      </w:pPr>
    </w:p>
    <w:tbl>
      <w:tblPr>
        <w:tblW w:w="7114" w:type="dxa"/>
        <w:jc w:val="center"/>
        <w:tblInd w:w="64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1722"/>
        <w:gridCol w:w="2126"/>
        <w:gridCol w:w="1559"/>
        <w:gridCol w:w="1707"/>
      </w:tblGrid>
      <w:tr w:rsidR="003E6588" w:rsidTr="008D6799">
        <w:trPr>
          <w:trHeight w:val="225"/>
          <w:jc w:val="center"/>
        </w:trPr>
        <w:tc>
          <w:tcPr>
            <w:tcW w:w="1722" w:type="dxa"/>
            <w:shd w:val="clear" w:color="auto" w:fill="auto"/>
            <w:vAlign w:val="center"/>
            <w:hideMark/>
          </w:tcPr>
          <w:p w:rsidR="003E6588" w:rsidRDefault="003E6588">
            <w:pPr>
              <w:rPr>
                <w:b/>
                <w:bCs/>
                <w:sz w:val="20"/>
                <w:szCs w:val="20"/>
              </w:rPr>
            </w:pPr>
            <w:r>
              <w:rPr>
                <w:b/>
                <w:bCs/>
                <w:sz w:val="20"/>
                <w:szCs w:val="20"/>
              </w:rPr>
              <w:t>Jovens Inscritos</w:t>
            </w:r>
          </w:p>
        </w:tc>
        <w:tc>
          <w:tcPr>
            <w:tcW w:w="2126" w:type="dxa"/>
            <w:shd w:val="clear" w:color="auto" w:fill="auto"/>
            <w:vAlign w:val="center"/>
            <w:hideMark/>
          </w:tcPr>
          <w:p w:rsidR="003E6588" w:rsidRDefault="003E6588">
            <w:pPr>
              <w:rPr>
                <w:b/>
                <w:bCs/>
                <w:sz w:val="20"/>
                <w:szCs w:val="20"/>
              </w:rPr>
            </w:pPr>
            <w:r>
              <w:rPr>
                <w:b/>
                <w:bCs/>
                <w:sz w:val="20"/>
                <w:szCs w:val="20"/>
              </w:rPr>
              <w:t>Jovens Encaminhados</w:t>
            </w:r>
          </w:p>
        </w:tc>
        <w:tc>
          <w:tcPr>
            <w:tcW w:w="1559" w:type="dxa"/>
            <w:shd w:val="clear" w:color="auto" w:fill="auto"/>
            <w:vAlign w:val="center"/>
            <w:hideMark/>
          </w:tcPr>
          <w:p w:rsidR="003E6588" w:rsidRDefault="003E6588">
            <w:pPr>
              <w:rPr>
                <w:b/>
                <w:bCs/>
                <w:sz w:val="20"/>
                <w:szCs w:val="20"/>
              </w:rPr>
            </w:pPr>
            <w:r>
              <w:rPr>
                <w:b/>
                <w:bCs/>
                <w:sz w:val="20"/>
                <w:szCs w:val="20"/>
              </w:rPr>
              <w:t>Vagas Captadas</w:t>
            </w:r>
          </w:p>
        </w:tc>
        <w:tc>
          <w:tcPr>
            <w:tcW w:w="1707" w:type="dxa"/>
            <w:shd w:val="clear" w:color="auto" w:fill="auto"/>
            <w:vAlign w:val="center"/>
            <w:hideMark/>
          </w:tcPr>
          <w:p w:rsidR="003E6588" w:rsidRDefault="003E6588">
            <w:pPr>
              <w:rPr>
                <w:b/>
                <w:bCs/>
                <w:sz w:val="20"/>
                <w:szCs w:val="20"/>
              </w:rPr>
            </w:pPr>
            <w:r>
              <w:rPr>
                <w:b/>
                <w:bCs/>
                <w:sz w:val="20"/>
                <w:szCs w:val="20"/>
              </w:rPr>
              <w:t>Jovens Inseridos</w:t>
            </w:r>
          </w:p>
        </w:tc>
      </w:tr>
      <w:tr w:rsidR="003E6588" w:rsidTr="008D6799">
        <w:trPr>
          <w:trHeight w:val="187"/>
          <w:jc w:val="center"/>
        </w:trPr>
        <w:tc>
          <w:tcPr>
            <w:tcW w:w="1722" w:type="dxa"/>
            <w:shd w:val="clear" w:color="auto" w:fill="auto"/>
            <w:noWrap/>
            <w:vAlign w:val="center"/>
            <w:hideMark/>
          </w:tcPr>
          <w:p w:rsidR="003E6588" w:rsidRDefault="003E6588">
            <w:pPr>
              <w:rPr>
                <w:sz w:val="20"/>
                <w:szCs w:val="20"/>
              </w:rPr>
            </w:pPr>
            <w:r>
              <w:rPr>
                <w:color w:val="000000"/>
                <w:sz w:val="20"/>
                <w:szCs w:val="20"/>
              </w:rPr>
              <w:t>33.984</w:t>
            </w:r>
          </w:p>
        </w:tc>
        <w:tc>
          <w:tcPr>
            <w:tcW w:w="2126" w:type="dxa"/>
            <w:shd w:val="clear" w:color="auto" w:fill="auto"/>
            <w:noWrap/>
            <w:vAlign w:val="center"/>
            <w:hideMark/>
          </w:tcPr>
          <w:p w:rsidR="003E6588" w:rsidRDefault="003E6588">
            <w:pPr>
              <w:rPr>
                <w:sz w:val="20"/>
                <w:szCs w:val="20"/>
              </w:rPr>
            </w:pPr>
            <w:r>
              <w:rPr>
                <w:sz w:val="20"/>
                <w:szCs w:val="20"/>
              </w:rPr>
              <w:t>15.118</w:t>
            </w:r>
          </w:p>
        </w:tc>
        <w:tc>
          <w:tcPr>
            <w:tcW w:w="1559" w:type="dxa"/>
            <w:shd w:val="clear" w:color="auto" w:fill="auto"/>
            <w:noWrap/>
            <w:vAlign w:val="center"/>
            <w:hideMark/>
          </w:tcPr>
          <w:p w:rsidR="003E6588" w:rsidRDefault="003E6588">
            <w:pPr>
              <w:rPr>
                <w:sz w:val="20"/>
                <w:szCs w:val="20"/>
              </w:rPr>
            </w:pPr>
            <w:r>
              <w:rPr>
                <w:sz w:val="20"/>
                <w:szCs w:val="20"/>
              </w:rPr>
              <w:t>8.592</w:t>
            </w:r>
          </w:p>
        </w:tc>
        <w:tc>
          <w:tcPr>
            <w:tcW w:w="1707" w:type="dxa"/>
            <w:shd w:val="clear" w:color="auto" w:fill="auto"/>
            <w:noWrap/>
            <w:vAlign w:val="center"/>
            <w:hideMark/>
          </w:tcPr>
          <w:p w:rsidR="003E6588" w:rsidRDefault="003E6588">
            <w:pPr>
              <w:rPr>
                <w:sz w:val="20"/>
                <w:szCs w:val="20"/>
              </w:rPr>
            </w:pPr>
            <w:r>
              <w:rPr>
                <w:sz w:val="20"/>
                <w:szCs w:val="20"/>
              </w:rPr>
              <w:t>8.951</w:t>
            </w:r>
          </w:p>
        </w:tc>
      </w:tr>
    </w:tbl>
    <w:p w:rsidR="003E6588" w:rsidRDefault="003E6588">
      <w:pPr>
        <w:ind w:firstLine="1134"/>
        <w:jc w:val="both"/>
      </w:pPr>
      <w:r>
        <w:rPr>
          <w:b/>
        </w:rPr>
        <w:lastRenderedPageBreak/>
        <w:t xml:space="preserve">Frentes de Trabalho - </w:t>
      </w:r>
      <w:r>
        <w:t>A ação denominada “Frentes de Trabalho”, conhecida como “Programa Emergencial de Auxílio Desemprego”, foi instituída pela Lei nº 10.321/1999 e regulamentada pelos Decretos nº 44.034/1999, nº 44.731/2000, nº 47.765/2003 e nº 49.017/2004, com alterações posteriores promovidas por meio das Leis nº 10.618/2000, nº 10.852/2001 e nº 11.271/2002, com a finalidade de proporcionar ocupação, qualificação profissional e renda para a população desempregada e em situação de alta vulnerabilidade social.</w:t>
      </w:r>
    </w:p>
    <w:p w:rsidR="003E6588" w:rsidRDefault="003E6588">
      <w:pPr>
        <w:ind w:firstLine="1134"/>
        <w:jc w:val="both"/>
      </w:pPr>
    </w:p>
    <w:p w:rsidR="003E6588" w:rsidRDefault="003E6588">
      <w:pPr>
        <w:ind w:firstLine="1134"/>
        <w:jc w:val="both"/>
      </w:pPr>
      <w:r>
        <w:t xml:space="preserve">Os bolsistas atendidos </w:t>
      </w:r>
      <w:r>
        <w:rPr>
          <w:rFonts w:eastAsia="Calibri"/>
        </w:rPr>
        <w:t>prestam serviços auxiliares de interesse da comunidade local, do município ou do Estado, pelo período máximo de 9 meses, e recebem, mensalmente bolsa-auxílio, cesta alimentação, transporte e cobertura de seguro de acidentes pessoais. A jornada de atividades é de 6 horas diárias, 4 dias por semana e 150 horas de qualificação profissional ou alfabetização, quando necessário.</w:t>
      </w:r>
    </w:p>
    <w:p w:rsidR="003E6588" w:rsidRDefault="003E6588">
      <w:pPr>
        <w:ind w:firstLine="1134"/>
        <w:jc w:val="both"/>
        <w:rPr>
          <w:highlight w:val="yellow"/>
        </w:rPr>
      </w:pPr>
    </w:p>
    <w:p w:rsidR="003E6588" w:rsidRDefault="003E6588">
      <w:pPr>
        <w:ind w:firstLine="1134"/>
        <w:jc w:val="both"/>
        <w:rPr>
          <w:b/>
        </w:rPr>
      </w:pPr>
      <w:r>
        <w:rPr>
          <w:b/>
        </w:rPr>
        <w:t>Dados de Atendimentos</w:t>
      </w:r>
    </w:p>
    <w:p w:rsidR="003E6588" w:rsidRDefault="003E6588">
      <w:pPr>
        <w:ind w:firstLine="1134"/>
        <w:jc w:val="both"/>
        <w:rPr>
          <w:highlight w:val="yellow"/>
        </w:rPr>
      </w:pPr>
    </w:p>
    <w:tbl>
      <w:tblPr>
        <w:tblW w:w="4929" w:type="dxa"/>
        <w:jc w:val="center"/>
        <w:tblInd w:w="-5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2866"/>
        <w:gridCol w:w="2063"/>
      </w:tblGrid>
      <w:tr w:rsidR="003E6588" w:rsidTr="008D6799">
        <w:trPr>
          <w:trHeight w:val="186"/>
          <w:jc w:val="center"/>
        </w:trPr>
        <w:tc>
          <w:tcPr>
            <w:tcW w:w="2866" w:type="dxa"/>
            <w:shd w:val="clear" w:color="auto" w:fill="auto"/>
            <w:vAlign w:val="center"/>
          </w:tcPr>
          <w:p w:rsidR="003E6588" w:rsidRDefault="003E6588">
            <w:pPr>
              <w:ind w:firstLine="7"/>
              <w:rPr>
                <w:b/>
                <w:bCs/>
                <w:sz w:val="20"/>
                <w:szCs w:val="20"/>
              </w:rPr>
            </w:pPr>
            <w:r>
              <w:rPr>
                <w:b/>
                <w:bCs/>
                <w:sz w:val="20"/>
                <w:szCs w:val="20"/>
              </w:rPr>
              <w:t>Benefícios Bolsa Auxílio Pagos</w:t>
            </w:r>
          </w:p>
        </w:tc>
        <w:tc>
          <w:tcPr>
            <w:tcW w:w="2063" w:type="dxa"/>
            <w:shd w:val="clear" w:color="auto" w:fill="auto"/>
            <w:vAlign w:val="center"/>
          </w:tcPr>
          <w:p w:rsidR="003E6588" w:rsidRDefault="003E6588">
            <w:pPr>
              <w:ind w:firstLine="7"/>
              <w:rPr>
                <w:b/>
                <w:bCs/>
                <w:sz w:val="20"/>
                <w:szCs w:val="20"/>
              </w:rPr>
            </w:pPr>
            <w:r>
              <w:rPr>
                <w:b/>
                <w:bCs/>
                <w:sz w:val="20"/>
                <w:szCs w:val="20"/>
              </w:rPr>
              <w:t>Municípios Atendidos</w:t>
            </w:r>
          </w:p>
        </w:tc>
      </w:tr>
      <w:tr w:rsidR="003E6588" w:rsidTr="008D6799">
        <w:trPr>
          <w:trHeight w:val="191"/>
          <w:jc w:val="center"/>
        </w:trPr>
        <w:tc>
          <w:tcPr>
            <w:tcW w:w="2866" w:type="dxa"/>
            <w:vAlign w:val="center"/>
          </w:tcPr>
          <w:p w:rsidR="003E6588" w:rsidRDefault="003E6588">
            <w:pPr>
              <w:ind w:firstLine="7"/>
              <w:rPr>
                <w:color w:val="000000"/>
                <w:sz w:val="20"/>
                <w:szCs w:val="20"/>
              </w:rPr>
            </w:pPr>
            <w:r>
              <w:rPr>
                <w:color w:val="000000"/>
                <w:sz w:val="20"/>
                <w:szCs w:val="20"/>
              </w:rPr>
              <w:t>29.013</w:t>
            </w:r>
          </w:p>
        </w:tc>
        <w:tc>
          <w:tcPr>
            <w:tcW w:w="2063" w:type="dxa"/>
            <w:vAlign w:val="center"/>
          </w:tcPr>
          <w:p w:rsidR="003E6588" w:rsidRDefault="003E6588">
            <w:pPr>
              <w:ind w:firstLine="7"/>
              <w:rPr>
                <w:color w:val="000000"/>
                <w:sz w:val="20"/>
                <w:szCs w:val="20"/>
              </w:rPr>
            </w:pPr>
            <w:r>
              <w:rPr>
                <w:color w:val="000000"/>
                <w:sz w:val="20"/>
                <w:szCs w:val="20"/>
              </w:rPr>
              <w:t>77</w:t>
            </w:r>
          </w:p>
        </w:tc>
      </w:tr>
    </w:tbl>
    <w:p w:rsidR="003E6588" w:rsidRDefault="003E6588">
      <w:pPr>
        <w:ind w:firstLine="1134"/>
        <w:jc w:val="both"/>
        <w:rPr>
          <w:b/>
          <w:strike/>
        </w:rPr>
      </w:pPr>
    </w:p>
    <w:p w:rsidR="003E6588" w:rsidRDefault="003E6588">
      <w:pPr>
        <w:ind w:firstLine="1134"/>
        <w:jc w:val="both"/>
      </w:pPr>
      <w:r>
        <w:rPr>
          <w:b/>
        </w:rPr>
        <w:t xml:space="preserve">Aprendiz Paulista - </w:t>
      </w:r>
      <w:r>
        <w:t xml:space="preserve">Ação instituída pelo Decreto nº 54.695/2009, tem como finalidade proporcionar a inserção do jovem no mercado de trabalho e, por consequência, combater o desemprego, que está diretamente </w:t>
      </w:r>
      <w:r w:rsidRPr="008D6799">
        <w:t>ligado à falta</w:t>
      </w:r>
      <w:r>
        <w:t xml:space="preserve"> de experiência profissional.</w:t>
      </w:r>
    </w:p>
    <w:p w:rsidR="003E6588" w:rsidRDefault="003E6588">
      <w:pPr>
        <w:ind w:firstLine="1134"/>
        <w:jc w:val="both"/>
      </w:pPr>
    </w:p>
    <w:p w:rsidR="003E6588" w:rsidRDefault="003E6588">
      <w:pPr>
        <w:ind w:firstLine="1134"/>
        <w:jc w:val="both"/>
      </w:pPr>
      <w:r>
        <w:t xml:space="preserve">É desenvolvido sob a coordenação da SERT, em conjunto com a Secretaria de Desenvolvimento Econômico, Ciência, Tecnologia e Inovação e em parceria com o Centro </w:t>
      </w:r>
      <w:r w:rsidR="008D6799">
        <w:t xml:space="preserve">Estadual de Educação Tecnológica </w:t>
      </w:r>
      <w:r>
        <w:t>Paula Souza, na intermediação entre a busca por trabalho técnico-profissional e o preenchimento das vagas para aprendizes, ofertadas pelo empregador.</w:t>
      </w:r>
    </w:p>
    <w:p w:rsidR="003E6588" w:rsidRDefault="003E6588">
      <w:pPr>
        <w:ind w:firstLine="1134"/>
        <w:jc w:val="both"/>
      </w:pPr>
    </w:p>
    <w:p w:rsidR="003E6588" w:rsidRDefault="003E6588">
      <w:pPr>
        <w:ind w:firstLine="1134"/>
        <w:jc w:val="both"/>
      </w:pPr>
      <w:r>
        <w:t>O custo do Aprendiz Paulista para a empresa é de um salário mínimo/hora e todos os benefícios garantidos pela CLT. Além de contribuir com a inserção no mercado de trabalho, a empresa atende ao disposto no artigo 429, da Consolidação das Leis do Trabalho - CLT, que estabelece quota legal mínima de contratação de aprendizes.</w:t>
      </w:r>
    </w:p>
    <w:p w:rsidR="003E6588" w:rsidRDefault="003E6588" w:rsidP="00CB499F">
      <w:pPr>
        <w:ind w:firstLine="1134"/>
        <w:jc w:val="both"/>
        <w:rPr>
          <w:b/>
        </w:rPr>
      </w:pPr>
    </w:p>
    <w:p w:rsidR="003E6588" w:rsidRDefault="003E6588" w:rsidP="008D6799">
      <w:pPr>
        <w:ind w:firstLine="1134"/>
        <w:jc w:val="both"/>
        <w:rPr>
          <w:b/>
        </w:rPr>
      </w:pPr>
      <w:r>
        <w:rPr>
          <w:b/>
        </w:rPr>
        <w:t>Dados de Atendimentos</w:t>
      </w:r>
    </w:p>
    <w:p w:rsidR="003E6588" w:rsidRDefault="003E6588">
      <w:pPr>
        <w:pStyle w:val="Prop-Texto"/>
        <w:spacing w:after="0" w:line="240" w:lineRule="auto"/>
        <w:ind w:firstLine="1134"/>
        <w:rPr>
          <w:rFonts w:ascii="Times New Roman" w:hAnsi="Times New Roman"/>
          <w:b/>
          <w:i/>
          <w:sz w:val="24"/>
          <w:szCs w:val="24"/>
        </w:rPr>
      </w:pPr>
    </w:p>
    <w:tbl>
      <w:tblPr>
        <w:tblW w:w="8496" w:type="dxa"/>
        <w:jc w:val="center"/>
        <w:tblInd w:w="-1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2126"/>
        <w:gridCol w:w="2693"/>
        <w:gridCol w:w="1701"/>
        <w:gridCol w:w="1976"/>
      </w:tblGrid>
      <w:tr w:rsidR="003E6588" w:rsidTr="008D6799">
        <w:trPr>
          <w:trHeight w:val="195"/>
          <w:jc w:val="center"/>
        </w:trPr>
        <w:tc>
          <w:tcPr>
            <w:tcW w:w="2126" w:type="dxa"/>
            <w:shd w:val="clear" w:color="auto" w:fill="auto"/>
            <w:vAlign w:val="center"/>
            <w:hideMark/>
          </w:tcPr>
          <w:p w:rsidR="003E6588" w:rsidRDefault="003E6588">
            <w:pPr>
              <w:rPr>
                <w:b/>
                <w:bCs/>
                <w:sz w:val="20"/>
                <w:szCs w:val="20"/>
              </w:rPr>
            </w:pPr>
            <w:r>
              <w:rPr>
                <w:b/>
                <w:bCs/>
                <w:sz w:val="20"/>
                <w:szCs w:val="20"/>
              </w:rPr>
              <w:t>Aprendizes Inscritos</w:t>
            </w:r>
          </w:p>
        </w:tc>
        <w:tc>
          <w:tcPr>
            <w:tcW w:w="2693" w:type="dxa"/>
            <w:shd w:val="clear" w:color="auto" w:fill="auto"/>
            <w:vAlign w:val="center"/>
            <w:hideMark/>
          </w:tcPr>
          <w:p w:rsidR="003E6588" w:rsidRDefault="003E6588">
            <w:pPr>
              <w:rPr>
                <w:b/>
                <w:bCs/>
                <w:sz w:val="20"/>
                <w:szCs w:val="20"/>
              </w:rPr>
            </w:pPr>
            <w:r>
              <w:rPr>
                <w:b/>
                <w:bCs/>
                <w:sz w:val="20"/>
                <w:szCs w:val="20"/>
              </w:rPr>
              <w:t>Aprendizes Encaminhados</w:t>
            </w:r>
          </w:p>
        </w:tc>
        <w:tc>
          <w:tcPr>
            <w:tcW w:w="1701" w:type="dxa"/>
            <w:shd w:val="clear" w:color="auto" w:fill="auto"/>
            <w:vAlign w:val="center"/>
            <w:hideMark/>
          </w:tcPr>
          <w:p w:rsidR="003E6588" w:rsidRDefault="003E6588">
            <w:pPr>
              <w:rPr>
                <w:b/>
                <w:bCs/>
                <w:sz w:val="20"/>
                <w:szCs w:val="20"/>
              </w:rPr>
            </w:pPr>
            <w:r>
              <w:rPr>
                <w:b/>
                <w:bCs/>
                <w:sz w:val="20"/>
                <w:szCs w:val="20"/>
              </w:rPr>
              <w:t>Vagas Captadas</w:t>
            </w:r>
          </w:p>
        </w:tc>
        <w:tc>
          <w:tcPr>
            <w:tcW w:w="1976" w:type="dxa"/>
            <w:shd w:val="clear" w:color="auto" w:fill="auto"/>
            <w:vAlign w:val="center"/>
            <w:hideMark/>
          </w:tcPr>
          <w:p w:rsidR="003E6588" w:rsidRDefault="003E6588">
            <w:pPr>
              <w:rPr>
                <w:b/>
                <w:bCs/>
                <w:sz w:val="20"/>
                <w:szCs w:val="20"/>
              </w:rPr>
            </w:pPr>
            <w:r>
              <w:rPr>
                <w:b/>
                <w:bCs/>
                <w:sz w:val="20"/>
                <w:szCs w:val="20"/>
              </w:rPr>
              <w:t>Aprendizes Inseridos</w:t>
            </w:r>
          </w:p>
        </w:tc>
      </w:tr>
      <w:tr w:rsidR="003E6588" w:rsidTr="008D6799">
        <w:trPr>
          <w:trHeight w:val="199"/>
          <w:jc w:val="center"/>
        </w:trPr>
        <w:tc>
          <w:tcPr>
            <w:tcW w:w="2126" w:type="dxa"/>
            <w:shd w:val="clear" w:color="auto" w:fill="auto"/>
            <w:noWrap/>
            <w:vAlign w:val="center"/>
            <w:hideMark/>
          </w:tcPr>
          <w:p w:rsidR="003E6588" w:rsidRDefault="003E6588">
            <w:pPr>
              <w:rPr>
                <w:color w:val="000000"/>
                <w:sz w:val="20"/>
                <w:szCs w:val="20"/>
              </w:rPr>
            </w:pPr>
            <w:r>
              <w:rPr>
                <w:color w:val="000000"/>
                <w:sz w:val="20"/>
                <w:szCs w:val="20"/>
              </w:rPr>
              <w:t>15.565</w:t>
            </w:r>
          </w:p>
        </w:tc>
        <w:tc>
          <w:tcPr>
            <w:tcW w:w="2693" w:type="dxa"/>
            <w:shd w:val="clear" w:color="auto" w:fill="auto"/>
            <w:noWrap/>
            <w:vAlign w:val="center"/>
            <w:hideMark/>
          </w:tcPr>
          <w:p w:rsidR="003E6588" w:rsidRDefault="003E6588">
            <w:pPr>
              <w:rPr>
                <w:color w:val="000000"/>
                <w:sz w:val="20"/>
                <w:szCs w:val="20"/>
              </w:rPr>
            </w:pPr>
            <w:r>
              <w:rPr>
                <w:color w:val="000000"/>
                <w:sz w:val="20"/>
                <w:szCs w:val="20"/>
              </w:rPr>
              <w:t>5.436</w:t>
            </w:r>
          </w:p>
        </w:tc>
        <w:tc>
          <w:tcPr>
            <w:tcW w:w="1701" w:type="dxa"/>
            <w:shd w:val="clear" w:color="auto" w:fill="auto"/>
            <w:noWrap/>
            <w:vAlign w:val="center"/>
            <w:hideMark/>
          </w:tcPr>
          <w:p w:rsidR="003E6588" w:rsidRDefault="003E6588">
            <w:pPr>
              <w:rPr>
                <w:color w:val="000000"/>
                <w:sz w:val="20"/>
                <w:szCs w:val="20"/>
              </w:rPr>
            </w:pPr>
            <w:r>
              <w:rPr>
                <w:color w:val="000000"/>
                <w:sz w:val="20"/>
                <w:szCs w:val="20"/>
              </w:rPr>
              <w:t>5.204</w:t>
            </w:r>
          </w:p>
        </w:tc>
        <w:tc>
          <w:tcPr>
            <w:tcW w:w="1976" w:type="dxa"/>
            <w:shd w:val="clear" w:color="auto" w:fill="auto"/>
            <w:noWrap/>
            <w:vAlign w:val="center"/>
            <w:hideMark/>
          </w:tcPr>
          <w:p w:rsidR="003E6588" w:rsidRDefault="003E6588">
            <w:pPr>
              <w:rPr>
                <w:color w:val="000000"/>
                <w:sz w:val="20"/>
                <w:szCs w:val="20"/>
              </w:rPr>
            </w:pPr>
            <w:r>
              <w:rPr>
                <w:color w:val="000000"/>
                <w:sz w:val="20"/>
                <w:szCs w:val="20"/>
              </w:rPr>
              <w:t>3.667</w:t>
            </w:r>
          </w:p>
        </w:tc>
      </w:tr>
    </w:tbl>
    <w:p w:rsidR="003E6588" w:rsidRDefault="003E6588">
      <w:pPr>
        <w:pStyle w:val="Prop-Texto"/>
        <w:spacing w:after="0" w:line="240" w:lineRule="auto"/>
        <w:ind w:firstLine="1134"/>
        <w:rPr>
          <w:rFonts w:ascii="Times New Roman" w:hAnsi="Times New Roman"/>
          <w:b/>
          <w:i/>
          <w:sz w:val="24"/>
          <w:szCs w:val="24"/>
        </w:rPr>
      </w:pPr>
    </w:p>
    <w:p w:rsidR="003E6588" w:rsidRDefault="003E6588">
      <w:pPr>
        <w:pStyle w:val="Prop-Texto"/>
        <w:spacing w:after="0" w:line="240" w:lineRule="auto"/>
        <w:ind w:firstLine="1134"/>
        <w:rPr>
          <w:rFonts w:ascii="Times New Roman" w:hAnsi="Times New Roman"/>
          <w:sz w:val="24"/>
          <w:szCs w:val="24"/>
        </w:rPr>
      </w:pPr>
      <w:r>
        <w:rPr>
          <w:rFonts w:ascii="Times New Roman" w:hAnsi="Times New Roman"/>
          <w:b/>
          <w:sz w:val="24"/>
          <w:szCs w:val="24"/>
        </w:rPr>
        <w:t xml:space="preserve">Apoio à Pessoa com Deficiência - </w:t>
      </w:r>
      <w:r>
        <w:rPr>
          <w:rFonts w:ascii="Times New Roman" w:hAnsi="Times New Roman"/>
          <w:sz w:val="24"/>
          <w:szCs w:val="24"/>
        </w:rPr>
        <w:t>Objetivo - Encaminhar trabalhadores com deficiência para oportunidades de emprego e cursos de qualificação profissional.</w:t>
      </w:r>
    </w:p>
    <w:p w:rsidR="003E6588" w:rsidRDefault="003E6588">
      <w:pPr>
        <w:ind w:firstLine="1134"/>
        <w:jc w:val="both"/>
      </w:pPr>
    </w:p>
    <w:p w:rsidR="003E6588" w:rsidRDefault="003E6588">
      <w:pPr>
        <w:ind w:firstLine="1134"/>
        <w:jc w:val="both"/>
      </w:pPr>
      <w:r>
        <w:t>Além de proporcionar às pessoas com deficiência a obtenção e manutenção do emprego, auxilia no cumprimento do artigo 93 da Lei nº 8.213/1991, que estabelece cotas de contratação a serem observadas pelas empresas.</w:t>
      </w:r>
    </w:p>
    <w:p w:rsidR="003E6588" w:rsidRDefault="003E6588">
      <w:pPr>
        <w:ind w:firstLine="1134"/>
        <w:jc w:val="both"/>
      </w:pPr>
      <w:r>
        <w:lastRenderedPageBreak/>
        <w:t>É administrado pela SERT e funciona nos Postos de Atendimento ao Trabalhador - PAT e nas unidades do Poupatempo.</w:t>
      </w:r>
    </w:p>
    <w:p w:rsidR="003E6588" w:rsidRDefault="003E6588">
      <w:pPr>
        <w:ind w:firstLine="1134"/>
        <w:jc w:val="both"/>
      </w:pPr>
    </w:p>
    <w:p w:rsidR="003E6588" w:rsidRDefault="003E6588">
      <w:pPr>
        <w:pStyle w:val="Prop-Texto"/>
        <w:spacing w:after="0" w:line="240" w:lineRule="auto"/>
        <w:ind w:firstLine="1134"/>
        <w:rPr>
          <w:rFonts w:ascii="Times New Roman" w:hAnsi="Times New Roman"/>
          <w:b/>
          <w:sz w:val="24"/>
          <w:szCs w:val="24"/>
        </w:rPr>
      </w:pPr>
      <w:r>
        <w:rPr>
          <w:rFonts w:ascii="Times New Roman" w:hAnsi="Times New Roman"/>
          <w:b/>
          <w:sz w:val="24"/>
          <w:szCs w:val="24"/>
        </w:rPr>
        <w:t>Dados de Atendimentos</w:t>
      </w:r>
    </w:p>
    <w:p w:rsidR="003E6588" w:rsidRDefault="003E6588">
      <w:pPr>
        <w:pStyle w:val="Prop-Texto"/>
        <w:spacing w:after="0" w:line="240" w:lineRule="auto"/>
        <w:ind w:firstLine="1134"/>
        <w:rPr>
          <w:rFonts w:ascii="Times New Roman" w:hAnsi="Times New Roman"/>
          <w:b/>
          <w:i/>
          <w:sz w:val="24"/>
          <w:szCs w:val="24"/>
        </w:rPr>
      </w:pPr>
    </w:p>
    <w:tbl>
      <w:tblPr>
        <w:tblW w:w="5644" w:type="dxa"/>
        <w:jc w:val="center"/>
        <w:tblInd w:w="110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1417"/>
        <w:gridCol w:w="1418"/>
        <w:gridCol w:w="1589"/>
        <w:gridCol w:w="1220"/>
      </w:tblGrid>
      <w:tr w:rsidR="003E6588" w:rsidTr="00C13F4D">
        <w:trPr>
          <w:trHeight w:val="235"/>
          <w:jc w:val="center"/>
        </w:trPr>
        <w:tc>
          <w:tcPr>
            <w:tcW w:w="1417" w:type="dxa"/>
            <w:shd w:val="clear" w:color="auto" w:fill="auto"/>
            <w:vAlign w:val="center"/>
            <w:hideMark/>
          </w:tcPr>
          <w:p w:rsidR="003E6588" w:rsidRDefault="003E6588">
            <w:pPr>
              <w:rPr>
                <w:b/>
                <w:bCs/>
                <w:sz w:val="20"/>
                <w:szCs w:val="20"/>
              </w:rPr>
            </w:pPr>
            <w:r>
              <w:rPr>
                <w:b/>
                <w:bCs/>
                <w:sz w:val="20"/>
                <w:szCs w:val="20"/>
              </w:rPr>
              <w:t>Inscritos</w:t>
            </w:r>
          </w:p>
        </w:tc>
        <w:tc>
          <w:tcPr>
            <w:tcW w:w="1418" w:type="dxa"/>
            <w:shd w:val="clear" w:color="auto" w:fill="auto"/>
            <w:vAlign w:val="center"/>
            <w:hideMark/>
          </w:tcPr>
          <w:p w:rsidR="003E6588" w:rsidRDefault="003E6588">
            <w:pPr>
              <w:rPr>
                <w:b/>
                <w:bCs/>
                <w:sz w:val="20"/>
                <w:szCs w:val="20"/>
              </w:rPr>
            </w:pPr>
            <w:r>
              <w:rPr>
                <w:b/>
                <w:bCs/>
                <w:sz w:val="20"/>
                <w:szCs w:val="20"/>
              </w:rPr>
              <w:t>Encaminhados</w:t>
            </w:r>
          </w:p>
        </w:tc>
        <w:tc>
          <w:tcPr>
            <w:tcW w:w="1589" w:type="dxa"/>
            <w:shd w:val="clear" w:color="auto" w:fill="auto"/>
            <w:vAlign w:val="center"/>
            <w:hideMark/>
          </w:tcPr>
          <w:p w:rsidR="003E6588" w:rsidRDefault="003E6588">
            <w:pPr>
              <w:rPr>
                <w:b/>
                <w:bCs/>
                <w:sz w:val="20"/>
                <w:szCs w:val="20"/>
              </w:rPr>
            </w:pPr>
            <w:r>
              <w:rPr>
                <w:b/>
                <w:bCs/>
                <w:sz w:val="20"/>
                <w:szCs w:val="20"/>
              </w:rPr>
              <w:t>Vagas Captadas</w:t>
            </w:r>
          </w:p>
        </w:tc>
        <w:tc>
          <w:tcPr>
            <w:tcW w:w="1220" w:type="dxa"/>
            <w:shd w:val="clear" w:color="auto" w:fill="auto"/>
            <w:vAlign w:val="center"/>
            <w:hideMark/>
          </w:tcPr>
          <w:p w:rsidR="003E6588" w:rsidRDefault="003E6588">
            <w:pPr>
              <w:rPr>
                <w:b/>
                <w:bCs/>
                <w:sz w:val="20"/>
                <w:szCs w:val="20"/>
              </w:rPr>
            </w:pPr>
            <w:r>
              <w:rPr>
                <w:b/>
                <w:bCs/>
                <w:sz w:val="20"/>
                <w:szCs w:val="20"/>
              </w:rPr>
              <w:t>Inseridos</w:t>
            </w:r>
          </w:p>
        </w:tc>
      </w:tr>
      <w:tr w:rsidR="003E6588" w:rsidTr="00C13F4D">
        <w:trPr>
          <w:trHeight w:val="234"/>
          <w:jc w:val="center"/>
        </w:trPr>
        <w:tc>
          <w:tcPr>
            <w:tcW w:w="1417" w:type="dxa"/>
            <w:shd w:val="clear" w:color="auto" w:fill="auto"/>
            <w:noWrap/>
            <w:vAlign w:val="center"/>
            <w:hideMark/>
          </w:tcPr>
          <w:p w:rsidR="003E6588" w:rsidRDefault="003E6588">
            <w:pPr>
              <w:rPr>
                <w:sz w:val="20"/>
                <w:szCs w:val="20"/>
              </w:rPr>
            </w:pPr>
            <w:r>
              <w:rPr>
                <w:color w:val="000000"/>
                <w:sz w:val="20"/>
                <w:szCs w:val="20"/>
              </w:rPr>
              <w:t>3.367</w:t>
            </w:r>
          </w:p>
        </w:tc>
        <w:tc>
          <w:tcPr>
            <w:tcW w:w="1418" w:type="dxa"/>
            <w:shd w:val="clear" w:color="auto" w:fill="auto"/>
            <w:noWrap/>
            <w:vAlign w:val="center"/>
            <w:hideMark/>
          </w:tcPr>
          <w:p w:rsidR="003E6588" w:rsidRDefault="003E6588">
            <w:pPr>
              <w:rPr>
                <w:sz w:val="20"/>
                <w:szCs w:val="20"/>
              </w:rPr>
            </w:pPr>
            <w:r>
              <w:rPr>
                <w:sz w:val="20"/>
                <w:szCs w:val="20"/>
              </w:rPr>
              <w:t>12.938</w:t>
            </w:r>
          </w:p>
        </w:tc>
        <w:tc>
          <w:tcPr>
            <w:tcW w:w="1589" w:type="dxa"/>
            <w:shd w:val="clear" w:color="auto" w:fill="auto"/>
            <w:noWrap/>
            <w:vAlign w:val="center"/>
            <w:hideMark/>
          </w:tcPr>
          <w:p w:rsidR="003E6588" w:rsidRDefault="003E6588">
            <w:pPr>
              <w:rPr>
                <w:sz w:val="20"/>
                <w:szCs w:val="20"/>
              </w:rPr>
            </w:pPr>
            <w:r>
              <w:rPr>
                <w:sz w:val="20"/>
                <w:szCs w:val="20"/>
              </w:rPr>
              <w:t>39.782</w:t>
            </w:r>
          </w:p>
        </w:tc>
        <w:tc>
          <w:tcPr>
            <w:tcW w:w="1220" w:type="dxa"/>
            <w:shd w:val="clear" w:color="auto" w:fill="auto"/>
            <w:noWrap/>
            <w:vAlign w:val="center"/>
            <w:hideMark/>
          </w:tcPr>
          <w:p w:rsidR="003E6588" w:rsidRDefault="003E6588">
            <w:pPr>
              <w:rPr>
                <w:sz w:val="20"/>
                <w:szCs w:val="20"/>
              </w:rPr>
            </w:pPr>
            <w:r>
              <w:rPr>
                <w:sz w:val="20"/>
                <w:szCs w:val="20"/>
              </w:rPr>
              <w:t>1.063</w:t>
            </w:r>
          </w:p>
        </w:tc>
      </w:tr>
    </w:tbl>
    <w:p w:rsidR="003E6588" w:rsidRDefault="003E6588">
      <w:pPr>
        <w:pStyle w:val="Prop-Texto"/>
        <w:spacing w:after="0" w:line="240" w:lineRule="auto"/>
        <w:ind w:firstLine="1134"/>
        <w:rPr>
          <w:rFonts w:ascii="Times New Roman" w:hAnsi="Times New Roman"/>
          <w:b/>
          <w:i/>
          <w:sz w:val="24"/>
          <w:szCs w:val="24"/>
          <w:highlight w:val="yellow"/>
        </w:rPr>
      </w:pPr>
    </w:p>
    <w:p w:rsidR="003E6588" w:rsidRDefault="003E6588">
      <w:pPr>
        <w:ind w:firstLine="1134"/>
        <w:jc w:val="both"/>
      </w:pPr>
      <w:r>
        <w:rPr>
          <w:b/>
        </w:rPr>
        <w:t xml:space="preserve">Apoio ao Egresso do Sistema Penitenciário - </w:t>
      </w:r>
      <w:r w:rsidRPr="00C13F4D">
        <w:t>Objetivo - visa à</w:t>
      </w:r>
      <w:r>
        <w:t xml:space="preserve"> reintegração social do público egresso e pré-egrésso, por meio da preparação dos indivíduos e criação de oportunidades depois de cumprimento das medidas punitivas.</w:t>
      </w:r>
    </w:p>
    <w:p w:rsidR="003E6588" w:rsidRDefault="003E6588">
      <w:pPr>
        <w:ind w:firstLine="1134"/>
        <w:jc w:val="both"/>
      </w:pPr>
    </w:p>
    <w:p w:rsidR="003E6588" w:rsidRDefault="003E6588">
      <w:pPr>
        <w:ind w:firstLine="1134"/>
        <w:jc w:val="both"/>
      </w:pPr>
      <w:r>
        <w:rPr>
          <w:b/>
        </w:rPr>
        <w:t>Características do Programa</w:t>
      </w:r>
      <w:r>
        <w:t xml:space="preserve"> - Prevê ações conjuntas entre SERT, Secretaria da Administração Penitenci</w:t>
      </w:r>
      <w:r w:rsidR="00C13F4D">
        <w:t>á</w:t>
      </w:r>
      <w:r>
        <w:t>ria e Secretaria da Justiça e da Defesa da Cidadania, por meio da Fundação Centro de Atendimento Socioeducativo ao Adolescente - Fundação CASA, oferecendo cursos de qualificação profissional e intermediação de vagas de trabalho para egressos.</w:t>
      </w:r>
    </w:p>
    <w:p w:rsidR="003E6588" w:rsidRDefault="003E6588">
      <w:pPr>
        <w:ind w:firstLine="1134"/>
        <w:jc w:val="both"/>
      </w:pPr>
    </w:p>
    <w:p w:rsidR="003E6588" w:rsidRDefault="003E6588">
      <w:pPr>
        <w:ind w:firstLine="1134"/>
        <w:jc w:val="both"/>
      </w:pPr>
      <w:r>
        <w:rPr>
          <w:b/>
        </w:rPr>
        <w:t>Público Alvo</w:t>
      </w:r>
      <w:r>
        <w:t xml:space="preserve"> - Adolescentes que cumprem medida socioeducativa, egressos do sistema prisional, presos em unidades de regime semi-aberto e apenados com restrição de direitos.</w:t>
      </w:r>
    </w:p>
    <w:p w:rsidR="003E6588" w:rsidRDefault="003E6588">
      <w:pPr>
        <w:ind w:firstLine="1134"/>
        <w:jc w:val="both"/>
        <w:rPr>
          <w:b/>
        </w:rPr>
      </w:pPr>
    </w:p>
    <w:p w:rsidR="003E6588" w:rsidRDefault="003E6588">
      <w:pPr>
        <w:ind w:firstLine="1134"/>
        <w:jc w:val="both"/>
        <w:rPr>
          <w:b/>
        </w:rPr>
      </w:pPr>
      <w:r>
        <w:rPr>
          <w:b/>
        </w:rPr>
        <w:t>Dados de Atendimentos</w:t>
      </w:r>
    </w:p>
    <w:p w:rsidR="003E6588" w:rsidRDefault="003E6588">
      <w:pPr>
        <w:ind w:firstLine="1134"/>
        <w:jc w:val="both"/>
        <w:rPr>
          <w:b/>
          <w:highlight w:val="yellow"/>
        </w:rPr>
      </w:pPr>
    </w:p>
    <w:tbl>
      <w:tblPr>
        <w:tblW w:w="5776" w:type="dxa"/>
        <w:jc w:val="center"/>
        <w:tblInd w:w="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2460"/>
        <w:gridCol w:w="3316"/>
      </w:tblGrid>
      <w:tr w:rsidR="003E6588" w:rsidTr="00C13F4D">
        <w:trPr>
          <w:trHeight w:val="247"/>
          <w:jc w:val="center"/>
        </w:trPr>
        <w:tc>
          <w:tcPr>
            <w:tcW w:w="2460" w:type="dxa"/>
            <w:shd w:val="clear" w:color="auto" w:fill="auto"/>
            <w:vAlign w:val="center"/>
            <w:hideMark/>
          </w:tcPr>
          <w:p w:rsidR="003E6588" w:rsidRDefault="003E6588">
            <w:pPr>
              <w:rPr>
                <w:b/>
                <w:bCs/>
                <w:sz w:val="20"/>
                <w:szCs w:val="20"/>
              </w:rPr>
            </w:pPr>
            <w:r>
              <w:rPr>
                <w:b/>
                <w:bCs/>
                <w:sz w:val="20"/>
                <w:szCs w:val="20"/>
              </w:rPr>
              <w:t>Egressos Inseridos no Mercado de Trabalho</w:t>
            </w:r>
          </w:p>
        </w:tc>
        <w:tc>
          <w:tcPr>
            <w:tcW w:w="3316" w:type="dxa"/>
            <w:shd w:val="clear" w:color="auto" w:fill="auto"/>
            <w:vAlign w:val="center"/>
            <w:hideMark/>
          </w:tcPr>
          <w:p w:rsidR="003E6588" w:rsidRDefault="003E6588">
            <w:pPr>
              <w:rPr>
                <w:b/>
                <w:bCs/>
                <w:sz w:val="20"/>
                <w:szCs w:val="20"/>
              </w:rPr>
            </w:pPr>
            <w:r>
              <w:rPr>
                <w:b/>
                <w:bCs/>
                <w:sz w:val="20"/>
                <w:szCs w:val="20"/>
              </w:rPr>
              <w:t>Regime Semi Aberto Atendidos pelo Programa Frente de Trabalho</w:t>
            </w:r>
          </w:p>
        </w:tc>
      </w:tr>
      <w:tr w:rsidR="003E6588" w:rsidTr="00C13F4D">
        <w:trPr>
          <w:trHeight w:val="27"/>
          <w:jc w:val="center"/>
        </w:trPr>
        <w:tc>
          <w:tcPr>
            <w:tcW w:w="2460" w:type="dxa"/>
            <w:shd w:val="clear" w:color="auto" w:fill="auto"/>
            <w:noWrap/>
            <w:vAlign w:val="center"/>
            <w:hideMark/>
          </w:tcPr>
          <w:p w:rsidR="003E6588" w:rsidRDefault="003E6588">
            <w:pPr>
              <w:rPr>
                <w:color w:val="000000"/>
                <w:sz w:val="20"/>
                <w:szCs w:val="20"/>
              </w:rPr>
            </w:pPr>
            <w:r>
              <w:rPr>
                <w:color w:val="000000"/>
                <w:sz w:val="20"/>
                <w:szCs w:val="20"/>
              </w:rPr>
              <w:t>310</w:t>
            </w:r>
          </w:p>
        </w:tc>
        <w:tc>
          <w:tcPr>
            <w:tcW w:w="3316" w:type="dxa"/>
            <w:shd w:val="clear" w:color="auto" w:fill="auto"/>
            <w:noWrap/>
            <w:vAlign w:val="center"/>
            <w:hideMark/>
          </w:tcPr>
          <w:p w:rsidR="003E6588" w:rsidRDefault="003E6588">
            <w:pPr>
              <w:rPr>
                <w:color w:val="000000"/>
                <w:sz w:val="20"/>
                <w:szCs w:val="20"/>
              </w:rPr>
            </w:pPr>
            <w:r>
              <w:rPr>
                <w:color w:val="000000"/>
                <w:sz w:val="20"/>
                <w:szCs w:val="20"/>
              </w:rPr>
              <w:t>440</w:t>
            </w:r>
          </w:p>
        </w:tc>
      </w:tr>
    </w:tbl>
    <w:p w:rsidR="003E6588" w:rsidRDefault="003E6588">
      <w:pPr>
        <w:ind w:firstLine="1134"/>
        <w:jc w:val="both"/>
        <w:rPr>
          <w:b/>
          <w:highlight w:val="yellow"/>
        </w:rPr>
      </w:pPr>
    </w:p>
    <w:p w:rsidR="003E6588" w:rsidRDefault="003E6588">
      <w:pPr>
        <w:ind w:firstLine="1134"/>
        <w:jc w:val="both"/>
      </w:pPr>
      <w:r>
        <w:rPr>
          <w:b/>
        </w:rPr>
        <w:t xml:space="preserve">Selo Paulista da Diversidade - </w:t>
      </w:r>
      <w:r>
        <w:t xml:space="preserve">Objetivo - Promover o destaque a organizações públicas, privadas e da sociedade </w:t>
      </w:r>
      <w:r w:rsidRPr="00C13F4D">
        <w:t>civil, que tenham</w:t>
      </w:r>
      <w:r>
        <w:t xml:space="preserve"> participação efetiva no desenvolvimento de ações em programas, projetos e ações de promoção e valorização da diversidade - de etnia, de gênero, cultural - em seus ambientes de trabalho e áreas de atuação.</w:t>
      </w:r>
    </w:p>
    <w:p w:rsidR="003E6588" w:rsidRDefault="003E6588">
      <w:pPr>
        <w:ind w:firstLine="1134"/>
        <w:jc w:val="both"/>
        <w:rPr>
          <w:b/>
        </w:rPr>
      </w:pPr>
    </w:p>
    <w:p w:rsidR="003E6588" w:rsidRDefault="003E6588">
      <w:pPr>
        <w:ind w:firstLine="1134"/>
        <w:jc w:val="both"/>
      </w:pPr>
      <w:r>
        <w:rPr>
          <w:b/>
        </w:rPr>
        <w:t>Características do Programa</w:t>
      </w:r>
      <w:r>
        <w:t xml:space="preserve"> - Programa dentro de política pública com acentuada conotação social, que visa uma geração mais equilibrada de renda na sociedade.</w:t>
      </w:r>
    </w:p>
    <w:p w:rsidR="003E6588" w:rsidRDefault="003E6588">
      <w:pPr>
        <w:ind w:firstLine="1134"/>
        <w:jc w:val="both"/>
      </w:pPr>
    </w:p>
    <w:p w:rsidR="003E6588" w:rsidRDefault="003E6588">
      <w:pPr>
        <w:ind w:right="49" w:firstLine="1134"/>
        <w:jc w:val="both"/>
      </w:pPr>
      <w:r>
        <w:t>Há um processo técnico-científico aferido por grupo especializado e com a participação da sociedade civil, no sentido de conferir autenticidade ao selo, que poderá ser usado pela organização que o receber junto à sua marca, propaganda, embalagens.</w:t>
      </w:r>
    </w:p>
    <w:p w:rsidR="003E6588" w:rsidRDefault="003E6588">
      <w:pPr>
        <w:ind w:firstLine="1134"/>
        <w:jc w:val="both"/>
      </w:pPr>
    </w:p>
    <w:p w:rsidR="003E6588" w:rsidRDefault="003E6588">
      <w:pPr>
        <w:ind w:right="49" w:firstLine="1134"/>
        <w:jc w:val="both"/>
      </w:pPr>
      <w:r>
        <w:t>Quanto à valorização das diferenças, o Selo da Diversidade busca focar a igualdade racial, respeito à orientação sexual das pessoas, gênero e inclusão profissional de portadores de deficiência.</w:t>
      </w:r>
    </w:p>
    <w:p w:rsidR="003E6588" w:rsidRDefault="003E6588">
      <w:pPr>
        <w:ind w:firstLine="1134"/>
        <w:jc w:val="both"/>
      </w:pPr>
    </w:p>
    <w:p w:rsidR="003E6588" w:rsidRDefault="003E6588">
      <w:pPr>
        <w:ind w:right="49" w:firstLine="1134"/>
        <w:jc w:val="both"/>
      </w:pPr>
      <w:r>
        <w:t>Ao adotarem o programa, as organizações, privadas, públicas e da sociedade civil terão reconhecimento do Estado mediante a entrega do Selo da Diversidade.</w:t>
      </w:r>
    </w:p>
    <w:p w:rsidR="003E6588" w:rsidRDefault="003E6588">
      <w:pPr>
        <w:ind w:firstLine="1134"/>
        <w:jc w:val="both"/>
      </w:pPr>
      <w:r>
        <w:rPr>
          <w:b/>
        </w:rPr>
        <w:lastRenderedPageBreak/>
        <w:t xml:space="preserve">Programa Empreendedorismo - </w:t>
      </w:r>
      <w:r>
        <w:t>Atribuições da Coordenação de Políticas de Empreendedorismo, conforme disposições previstas no Decreto nº 52.185/2007:</w:t>
      </w:r>
    </w:p>
    <w:p w:rsidR="003E6588" w:rsidRDefault="003E6588">
      <w:pPr>
        <w:ind w:firstLine="1134"/>
      </w:pPr>
    </w:p>
    <w:p w:rsidR="003E6588" w:rsidRDefault="003E6588">
      <w:pPr>
        <w:tabs>
          <w:tab w:val="left" w:pos="0"/>
        </w:tabs>
        <w:ind w:right="49" w:firstLine="1134"/>
        <w:jc w:val="both"/>
      </w:pPr>
      <w:r>
        <w:t>- promover a realização de estudos e ações, locais e regionais, que possibilitem o desenvolvimento socioeconômico por meio de micro e pequenos empreendimentos;</w:t>
      </w:r>
    </w:p>
    <w:p w:rsidR="003E6588" w:rsidRDefault="003E6588">
      <w:pPr>
        <w:tabs>
          <w:tab w:val="left" w:pos="0"/>
        </w:tabs>
        <w:ind w:right="283" w:firstLine="1134"/>
        <w:jc w:val="both"/>
      </w:pPr>
    </w:p>
    <w:p w:rsidR="003E6588" w:rsidRDefault="003E6588">
      <w:pPr>
        <w:tabs>
          <w:tab w:val="left" w:pos="0"/>
        </w:tabs>
        <w:ind w:right="49" w:firstLine="1134"/>
        <w:jc w:val="both"/>
      </w:pPr>
      <w:r>
        <w:t>- elaborar e promover a execução de planos, programas e projetos de fomento ao autoemprego, ao associativismo e ao cooperativismo, avaliando os resultados e impactos das ações;</w:t>
      </w:r>
    </w:p>
    <w:p w:rsidR="003E6588" w:rsidRDefault="003E6588">
      <w:pPr>
        <w:tabs>
          <w:tab w:val="left" w:pos="0"/>
        </w:tabs>
        <w:ind w:right="283" w:firstLine="1134"/>
        <w:jc w:val="both"/>
      </w:pPr>
    </w:p>
    <w:p w:rsidR="003E6588" w:rsidRDefault="003E6588">
      <w:pPr>
        <w:tabs>
          <w:tab w:val="left" w:pos="0"/>
        </w:tabs>
        <w:ind w:right="49" w:firstLine="1134"/>
        <w:jc w:val="both"/>
      </w:pPr>
      <w:r>
        <w:t>- estimular o desenvolvimento do empreendedorismo, por meio da qualificação e oferta de linhas de microcrédito destinadas a micro e pequenos empreendedores;</w:t>
      </w:r>
    </w:p>
    <w:p w:rsidR="003E6588" w:rsidRDefault="003E6588">
      <w:pPr>
        <w:tabs>
          <w:tab w:val="left" w:pos="0"/>
        </w:tabs>
        <w:ind w:right="283" w:firstLine="1134"/>
        <w:jc w:val="both"/>
      </w:pPr>
    </w:p>
    <w:p w:rsidR="003E6588" w:rsidRDefault="003E6588">
      <w:pPr>
        <w:tabs>
          <w:tab w:val="left" w:pos="0"/>
        </w:tabs>
        <w:ind w:right="49" w:firstLine="1134"/>
        <w:jc w:val="both"/>
      </w:pPr>
      <w:r>
        <w:t xml:space="preserve"> - colaborar com as administrações municipais em políticas públicas que ofereçam ambiente favorável ao desenvolvimento do empreendedorismo;</w:t>
      </w:r>
    </w:p>
    <w:p w:rsidR="003E6588" w:rsidRDefault="003E6588">
      <w:pPr>
        <w:tabs>
          <w:tab w:val="left" w:pos="0"/>
        </w:tabs>
        <w:ind w:right="283" w:firstLine="1134"/>
        <w:jc w:val="both"/>
      </w:pPr>
    </w:p>
    <w:p w:rsidR="003E6588" w:rsidRDefault="003E6588">
      <w:pPr>
        <w:tabs>
          <w:tab w:val="left" w:pos="0"/>
        </w:tabs>
        <w:ind w:right="49" w:firstLine="1134"/>
        <w:jc w:val="both"/>
      </w:pPr>
      <w:r>
        <w:t>- planejar e administrar a utilização de recursos financeiros próprios ou oriundos de parcerias, convênios e termos de cooperação, celebrados com entidades, instituições e órgãos financiadores, prestando contas a respeito.</w:t>
      </w:r>
    </w:p>
    <w:p w:rsidR="003E6588" w:rsidRDefault="003E6588">
      <w:pPr>
        <w:pStyle w:val="Corpodetexto2"/>
        <w:tabs>
          <w:tab w:val="left" w:pos="0"/>
          <w:tab w:val="left" w:pos="709"/>
        </w:tabs>
        <w:suppressAutoHyphens/>
        <w:ind w:right="293" w:firstLine="1134"/>
        <w:jc w:val="both"/>
        <w:outlineLvl w:val="1"/>
        <w:rPr>
          <w:sz w:val="24"/>
          <w:szCs w:val="24"/>
        </w:rPr>
      </w:pPr>
      <w:bookmarkStart w:id="9" w:name="_Toc270062710"/>
      <w:bookmarkStart w:id="10" w:name="_Toc270062796"/>
      <w:bookmarkStart w:id="11" w:name="_Toc276026595"/>
      <w:bookmarkStart w:id="12" w:name="_Toc300849532"/>
    </w:p>
    <w:bookmarkEnd w:id="9"/>
    <w:bookmarkEnd w:id="10"/>
    <w:bookmarkEnd w:id="11"/>
    <w:bookmarkEnd w:id="12"/>
    <w:p w:rsidR="003E6588" w:rsidRDefault="003E6588">
      <w:pPr>
        <w:ind w:right="49" w:firstLine="1134"/>
        <w:jc w:val="both"/>
      </w:pPr>
      <w:r>
        <w:rPr>
          <w:b/>
        </w:rPr>
        <w:t xml:space="preserve">Banco do Povo Paulista - </w:t>
      </w:r>
      <w:r>
        <w:t>Ação de microcrédito produtivo, desenvolvido por meio da SERT em parceria com as Prefeituras Municipais, visando promover geração de emprego e renda, conforme disposições previstas na Lei nº 9.533/1997 e no Decreto nº 43.283/1998, financiamentos para empreendedores de micros e pequenos negócios, para capital de giro e investimento fixo, como forma de viabilizar o desenvolvimento social/econômico local e geraç</w:t>
      </w:r>
      <w:r w:rsidR="00CB499F">
        <w:t>ão de renda.</w:t>
      </w:r>
    </w:p>
    <w:p w:rsidR="003E6588" w:rsidRDefault="003E6588">
      <w:pPr>
        <w:ind w:firstLine="1134"/>
        <w:jc w:val="both"/>
      </w:pPr>
    </w:p>
    <w:p w:rsidR="003E6588" w:rsidRDefault="003E6588">
      <w:pPr>
        <w:tabs>
          <w:tab w:val="left" w:pos="0"/>
        </w:tabs>
        <w:ind w:firstLine="1134"/>
        <w:jc w:val="both"/>
      </w:pPr>
      <w:r>
        <w:t>A implantação do programa é feita por meio de parcerias com os municípios, em que o Estado participa com 90% dos recursos financeiros para a constituição do Fundo de Investimento de cada município, seleciona e treina os Agentes de Crédito, gerencia e supervisiona as atividades operacionais. É de responsabilidade dos municípios parceiros disponibilizarem o espaço físico, infraestrutura, recursos humanos e manutenção da Unidade local, além da participação financeira de 10% do Fundo Municipal.</w:t>
      </w:r>
    </w:p>
    <w:p w:rsidR="003E6588" w:rsidRDefault="003E6588">
      <w:pPr>
        <w:tabs>
          <w:tab w:val="left" w:pos="0"/>
        </w:tabs>
        <w:ind w:firstLine="1134"/>
        <w:jc w:val="both"/>
      </w:pPr>
    </w:p>
    <w:p w:rsidR="003E6588" w:rsidRDefault="003E6588">
      <w:pPr>
        <w:tabs>
          <w:tab w:val="left" w:pos="0"/>
        </w:tabs>
        <w:ind w:firstLine="1134"/>
        <w:jc w:val="both"/>
      </w:pPr>
      <w:r>
        <w:t>Tem como público alvo os empreendedores formais ou informais, urbanos e rurais, microempreendedores individuais, produtores rurais, cooperativas e associações de produção formalmente constituídas.</w:t>
      </w:r>
    </w:p>
    <w:p w:rsidR="003E6588" w:rsidRDefault="003E6588">
      <w:pPr>
        <w:tabs>
          <w:tab w:val="left" w:pos="0"/>
        </w:tabs>
        <w:ind w:firstLine="1134"/>
        <w:jc w:val="both"/>
      </w:pPr>
    </w:p>
    <w:p w:rsidR="003E6588" w:rsidRDefault="003E6588">
      <w:pPr>
        <w:tabs>
          <w:tab w:val="left" w:pos="0"/>
        </w:tabs>
        <w:ind w:right="283" w:firstLine="1134"/>
        <w:jc w:val="both"/>
        <w:rPr>
          <w:b/>
        </w:rPr>
      </w:pPr>
      <w:r>
        <w:rPr>
          <w:b/>
        </w:rPr>
        <w:t>Tipos de Financiamentos</w:t>
      </w:r>
    </w:p>
    <w:p w:rsidR="003E6588" w:rsidRDefault="003E6588">
      <w:pPr>
        <w:tabs>
          <w:tab w:val="left" w:pos="0"/>
        </w:tabs>
        <w:ind w:right="283" w:firstLine="1134"/>
        <w:jc w:val="both"/>
        <w:rPr>
          <w:b/>
        </w:rPr>
      </w:pPr>
    </w:p>
    <w:p w:rsidR="003E6588" w:rsidRDefault="003E6588">
      <w:pPr>
        <w:tabs>
          <w:tab w:val="left" w:pos="0"/>
          <w:tab w:val="left" w:pos="284"/>
        </w:tabs>
        <w:ind w:left="1134" w:right="283"/>
        <w:jc w:val="both"/>
      </w:pPr>
      <w:r>
        <w:t>- Capital de Giro;</w:t>
      </w:r>
    </w:p>
    <w:p w:rsidR="003E6588" w:rsidRDefault="003E6588">
      <w:pPr>
        <w:tabs>
          <w:tab w:val="left" w:pos="0"/>
          <w:tab w:val="left" w:pos="284"/>
        </w:tabs>
        <w:ind w:left="1134" w:right="283"/>
        <w:jc w:val="both"/>
      </w:pPr>
    </w:p>
    <w:p w:rsidR="003E6588" w:rsidRDefault="003E6588">
      <w:pPr>
        <w:tabs>
          <w:tab w:val="left" w:pos="0"/>
          <w:tab w:val="left" w:pos="284"/>
        </w:tabs>
        <w:ind w:left="1134" w:right="283"/>
        <w:jc w:val="both"/>
      </w:pPr>
      <w:r>
        <w:t>- Investimento Fixo;</w:t>
      </w:r>
    </w:p>
    <w:p w:rsidR="003E6588" w:rsidRDefault="003E6588">
      <w:pPr>
        <w:tabs>
          <w:tab w:val="left" w:pos="0"/>
          <w:tab w:val="left" w:pos="284"/>
        </w:tabs>
        <w:ind w:left="1134" w:right="283"/>
        <w:jc w:val="both"/>
      </w:pPr>
    </w:p>
    <w:p w:rsidR="003E6588" w:rsidRDefault="003E6588">
      <w:pPr>
        <w:tabs>
          <w:tab w:val="left" w:pos="0"/>
          <w:tab w:val="left" w:pos="284"/>
        </w:tabs>
        <w:ind w:left="1134" w:right="283"/>
        <w:jc w:val="both"/>
      </w:pPr>
      <w:r>
        <w:t>- Misto (Capital de Giro + Investimento Fixo).</w:t>
      </w:r>
    </w:p>
    <w:p w:rsidR="003E6588" w:rsidRDefault="003E6588">
      <w:pPr>
        <w:tabs>
          <w:tab w:val="left" w:pos="0"/>
        </w:tabs>
        <w:ind w:right="283" w:firstLine="1134"/>
        <w:jc w:val="both"/>
        <w:rPr>
          <w:b/>
        </w:rPr>
      </w:pPr>
      <w:r>
        <w:rPr>
          <w:b/>
        </w:rPr>
        <w:lastRenderedPageBreak/>
        <w:t>Linhas de crédito</w:t>
      </w:r>
    </w:p>
    <w:p w:rsidR="003E6588" w:rsidRDefault="003E6588">
      <w:pPr>
        <w:tabs>
          <w:tab w:val="left" w:pos="0"/>
        </w:tabs>
        <w:ind w:right="283" w:firstLine="1134"/>
        <w:jc w:val="both"/>
        <w:rPr>
          <w:b/>
        </w:rPr>
      </w:pPr>
    </w:p>
    <w:p w:rsidR="003E6588" w:rsidRDefault="003E6588">
      <w:pPr>
        <w:tabs>
          <w:tab w:val="left" w:pos="0"/>
          <w:tab w:val="left" w:pos="284"/>
        </w:tabs>
        <w:ind w:right="283" w:firstLine="1134"/>
        <w:jc w:val="both"/>
      </w:pPr>
      <w:r>
        <w:t>- Pessoa Física - quem trabalha por conta própria - de R$ 200,00 até R$ 15.000,00;</w:t>
      </w:r>
    </w:p>
    <w:p w:rsidR="003E6588" w:rsidRDefault="003E6588">
      <w:pPr>
        <w:tabs>
          <w:tab w:val="left" w:pos="0"/>
          <w:tab w:val="left" w:pos="284"/>
        </w:tabs>
        <w:ind w:right="283" w:firstLine="1134"/>
        <w:jc w:val="both"/>
      </w:pPr>
    </w:p>
    <w:p w:rsidR="003E6588" w:rsidRDefault="003E6588">
      <w:pPr>
        <w:tabs>
          <w:tab w:val="left" w:pos="0"/>
          <w:tab w:val="left" w:pos="284"/>
        </w:tabs>
        <w:ind w:right="283" w:firstLine="1134"/>
        <w:jc w:val="both"/>
      </w:pPr>
      <w:r>
        <w:t>- Pessoa Física - produtor rural - de R$ 200,00 até R$ 20.000,00;</w:t>
      </w:r>
    </w:p>
    <w:p w:rsidR="003E6588" w:rsidRDefault="003E6588">
      <w:pPr>
        <w:tabs>
          <w:tab w:val="left" w:pos="0"/>
          <w:tab w:val="left" w:pos="284"/>
        </w:tabs>
        <w:ind w:right="283" w:firstLine="1134"/>
        <w:jc w:val="both"/>
      </w:pPr>
    </w:p>
    <w:p w:rsidR="003E6588" w:rsidRDefault="003E6588">
      <w:pPr>
        <w:tabs>
          <w:tab w:val="left" w:pos="0"/>
          <w:tab w:val="left" w:pos="284"/>
        </w:tabs>
        <w:ind w:right="283" w:firstLine="1134"/>
        <w:jc w:val="both"/>
      </w:pPr>
      <w:r>
        <w:t>- Pessoa Jurídica, incluindo microempreendedor individual - de R$ 200,00 até R$ 20.000,00;</w:t>
      </w:r>
    </w:p>
    <w:p w:rsidR="003E6588" w:rsidRDefault="003E6588">
      <w:pPr>
        <w:tabs>
          <w:tab w:val="left" w:pos="0"/>
          <w:tab w:val="left" w:pos="284"/>
        </w:tabs>
        <w:ind w:right="283" w:firstLine="1134"/>
        <w:jc w:val="both"/>
      </w:pPr>
    </w:p>
    <w:p w:rsidR="003E6588" w:rsidRDefault="003E6588">
      <w:pPr>
        <w:tabs>
          <w:tab w:val="left" w:pos="0"/>
          <w:tab w:val="left" w:pos="284"/>
        </w:tabs>
        <w:ind w:right="283" w:firstLine="1134"/>
        <w:jc w:val="both"/>
      </w:pPr>
      <w:r>
        <w:t>- Cooperativas e Associações Produtivas - de R$ 200,00 até R$ 25.000,00.</w:t>
      </w:r>
    </w:p>
    <w:p w:rsidR="003E6588" w:rsidRDefault="003E6588">
      <w:pPr>
        <w:tabs>
          <w:tab w:val="left" w:pos="0"/>
        </w:tabs>
        <w:ind w:right="283" w:firstLine="1134"/>
        <w:jc w:val="both"/>
        <w:rPr>
          <w:highlight w:val="yellow"/>
        </w:rPr>
      </w:pPr>
    </w:p>
    <w:p w:rsidR="003E6588" w:rsidRDefault="003E6588">
      <w:pPr>
        <w:ind w:firstLine="1134"/>
        <w:jc w:val="both"/>
        <w:rPr>
          <w:b/>
        </w:rPr>
      </w:pPr>
      <w:r>
        <w:rPr>
          <w:b/>
        </w:rPr>
        <w:t>Municípios beneficiados pelo Banco do Povo</w:t>
      </w:r>
    </w:p>
    <w:p w:rsidR="003E6588" w:rsidRPr="00C13F4D" w:rsidRDefault="003E6588">
      <w:pPr>
        <w:ind w:firstLine="1134"/>
        <w:jc w:val="both"/>
      </w:pPr>
    </w:p>
    <w:tbl>
      <w:tblPr>
        <w:tblW w:w="0" w:type="auto"/>
        <w:jc w:val="center"/>
        <w:tblInd w:w="128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2694"/>
        <w:gridCol w:w="2835"/>
      </w:tblGrid>
      <w:tr w:rsidR="003E6588" w:rsidTr="00C13F4D">
        <w:trPr>
          <w:trHeight w:val="286"/>
          <w:jc w:val="center"/>
        </w:trPr>
        <w:tc>
          <w:tcPr>
            <w:tcW w:w="2694" w:type="dxa"/>
            <w:shd w:val="clear" w:color="auto" w:fill="auto"/>
          </w:tcPr>
          <w:p w:rsidR="003E6588" w:rsidRDefault="003E6588">
            <w:pPr>
              <w:rPr>
                <w:b/>
                <w:sz w:val="20"/>
                <w:szCs w:val="20"/>
              </w:rPr>
            </w:pPr>
            <w:r>
              <w:rPr>
                <w:b/>
                <w:sz w:val="20"/>
                <w:szCs w:val="20"/>
              </w:rPr>
              <w:t>Quantidade de Municípios Contemplados</w:t>
            </w:r>
          </w:p>
        </w:tc>
        <w:tc>
          <w:tcPr>
            <w:tcW w:w="2835" w:type="dxa"/>
            <w:shd w:val="clear" w:color="auto" w:fill="auto"/>
          </w:tcPr>
          <w:p w:rsidR="003E6588" w:rsidRDefault="003E6588">
            <w:pPr>
              <w:rPr>
                <w:b/>
                <w:sz w:val="20"/>
                <w:szCs w:val="20"/>
              </w:rPr>
            </w:pPr>
            <w:r>
              <w:rPr>
                <w:b/>
                <w:sz w:val="20"/>
                <w:szCs w:val="20"/>
              </w:rPr>
              <w:t>Quantidade de Municípios Desabilitados</w:t>
            </w:r>
          </w:p>
        </w:tc>
      </w:tr>
      <w:tr w:rsidR="003E6588" w:rsidTr="00C13F4D">
        <w:trPr>
          <w:trHeight w:val="241"/>
          <w:jc w:val="center"/>
        </w:trPr>
        <w:tc>
          <w:tcPr>
            <w:tcW w:w="2694" w:type="dxa"/>
            <w:shd w:val="clear" w:color="auto" w:fill="auto"/>
          </w:tcPr>
          <w:p w:rsidR="003E6588" w:rsidRDefault="003E6588">
            <w:pPr>
              <w:rPr>
                <w:sz w:val="20"/>
                <w:szCs w:val="20"/>
              </w:rPr>
            </w:pPr>
            <w:r>
              <w:rPr>
                <w:bCs/>
                <w:sz w:val="20"/>
                <w:szCs w:val="20"/>
              </w:rPr>
              <w:t>22</w:t>
            </w:r>
          </w:p>
        </w:tc>
        <w:tc>
          <w:tcPr>
            <w:tcW w:w="2835" w:type="dxa"/>
            <w:shd w:val="clear" w:color="auto" w:fill="auto"/>
          </w:tcPr>
          <w:p w:rsidR="003E6588" w:rsidRDefault="003E6588">
            <w:pPr>
              <w:rPr>
                <w:sz w:val="20"/>
                <w:szCs w:val="20"/>
              </w:rPr>
            </w:pPr>
            <w:r>
              <w:rPr>
                <w:sz w:val="20"/>
                <w:szCs w:val="20"/>
              </w:rPr>
              <w:t>0</w:t>
            </w:r>
          </w:p>
        </w:tc>
      </w:tr>
    </w:tbl>
    <w:p w:rsidR="003E6588" w:rsidRPr="00C13F4D" w:rsidRDefault="003E6588">
      <w:pPr>
        <w:ind w:firstLine="1134"/>
        <w:jc w:val="both"/>
        <w:rPr>
          <w:highlight w:val="yellow"/>
        </w:rPr>
      </w:pPr>
    </w:p>
    <w:p w:rsidR="003E6588" w:rsidRDefault="003E6588">
      <w:pPr>
        <w:pStyle w:val="Ttulo1"/>
        <w:tabs>
          <w:tab w:val="left" w:pos="0"/>
        </w:tabs>
        <w:spacing w:before="0" w:after="0"/>
        <w:ind w:right="49" w:firstLine="1134"/>
        <w:jc w:val="both"/>
        <w:rPr>
          <w:rFonts w:ascii="Times New Roman" w:hAnsi="Times New Roman"/>
          <w:b w:val="0"/>
          <w:sz w:val="24"/>
          <w:szCs w:val="24"/>
          <w:lang w:val="pt-BR"/>
        </w:rPr>
      </w:pPr>
      <w:r>
        <w:rPr>
          <w:rFonts w:ascii="Times New Roman" w:hAnsi="Times New Roman"/>
          <w:sz w:val="24"/>
          <w:szCs w:val="24"/>
          <w:lang w:val="pt-BR"/>
        </w:rPr>
        <w:t xml:space="preserve">Escola do Empreendedor Paulista - </w:t>
      </w:r>
      <w:r>
        <w:rPr>
          <w:rFonts w:ascii="Times New Roman" w:hAnsi="Times New Roman"/>
          <w:b w:val="0"/>
          <w:sz w:val="24"/>
          <w:szCs w:val="24"/>
          <w:lang w:val="pt-BR"/>
        </w:rPr>
        <w:t>Conhecido como Escola do Empreendedor Paulista, trata-se de iniciativa, por meio da SERT e do Banco do Povo Paulista em parceria com a Fundação Padre Anchieta, que visa oferecer conhecimentos que facilitem a gestão de micronegócios.</w:t>
      </w:r>
    </w:p>
    <w:p w:rsidR="003E6588" w:rsidRDefault="003E6588" w:rsidP="00CB499F">
      <w:pPr>
        <w:jc w:val="both"/>
        <w:rPr>
          <w:lang w:eastAsia="en-US"/>
        </w:rPr>
      </w:pPr>
    </w:p>
    <w:p w:rsidR="003E6588" w:rsidRDefault="003E6588">
      <w:pPr>
        <w:ind w:firstLine="1134"/>
        <w:jc w:val="both"/>
      </w:pPr>
      <w:r>
        <w:t>Os dez cursos básicos da Escola do Empreendedor Paulista têm por objetivo tornar possível aos clientes do Banco do Povo Paulista, em todo o Estado e nos demais, o acesso a noções básicas de como gerir seu empreendimento, potencializando o uso do microcrédito produtivo, orientado para o desenvolvimento de suas atividades produtivas.</w:t>
      </w:r>
    </w:p>
    <w:p w:rsidR="003E6588" w:rsidRDefault="003E6588">
      <w:pPr>
        <w:ind w:firstLine="1134"/>
        <w:jc w:val="both"/>
      </w:pPr>
    </w:p>
    <w:p w:rsidR="003E6588" w:rsidRDefault="003E6588">
      <w:pPr>
        <w:tabs>
          <w:tab w:val="left" w:pos="0"/>
        </w:tabs>
        <w:ind w:right="-1" w:firstLine="1134"/>
        <w:jc w:val="both"/>
      </w:pPr>
      <w:r>
        <w:t>Tem como público alvo os Microempreendedores urbanos e rurais, formais e informais.</w:t>
      </w:r>
    </w:p>
    <w:p w:rsidR="003E6588" w:rsidRDefault="003E6588">
      <w:pPr>
        <w:tabs>
          <w:tab w:val="left" w:pos="0"/>
        </w:tabs>
        <w:ind w:right="-1" w:firstLine="1134"/>
        <w:jc w:val="both"/>
      </w:pPr>
    </w:p>
    <w:p w:rsidR="003E6588" w:rsidRDefault="003E6588">
      <w:pPr>
        <w:tabs>
          <w:tab w:val="left" w:pos="0"/>
        </w:tabs>
        <w:ind w:right="-1" w:firstLine="1134"/>
        <w:jc w:val="both"/>
      </w:pPr>
      <w:r>
        <w:t xml:space="preserve">Os cursos são oferecidos gratuitamente na modalidade de educação à distância, com utilização de material impresso, vídeoaulas e, facultativamente, </w:t>
      </w:r>
      <w:r w:rsidRPr="007B09E6">
        <w:rPr>
          <w:i/>
        </w:rPr>
        <w:t>internet</w:t>
      </w:r>
      <w:r>
        <w:t xml:space="preserve"> (suporte de sistema de gestão da aprendizagem).</w:t>
      </w:r>
    </w:p>
    <w:p w:rsidR="003E6588" w:rsidRDefault="003E6588">
      <w:pPr>
        <w:tabs>
          <w:tab w:val="left" w:pos="0"/>
        </w:tabs>
        <w:ind w:right="-1" w:firstLine="1134"/>
        <w:jc w:val="both"/>
        <w:rPr>
          <w:bCs/>
          <w:color w:val="000000"/>
        </w:rPr>
      </w:pPr>
    </w:p>
    <w:p w:rsidR="003E6588" w:rsidRDefault="003E6588">
      <w:pPr>
        <w:tabs>
          <w:tab w:val="left" w:pos="0"/>
        </w:tabs>
        <w:ind w:right="283" w:firstLine="1134"/>
        <w:jc w:val="both"/>
        <w:rPr>
          <w:b/>
        </w:rPr>
      </w:pPr>
      <w:r>
        <w:rPr>
          <w:b/>
        </w:rPr>
        <w:t>Resultados da Escola do Empreendedorismo Paulista</w:t>
      </w:r>
    </w:p>
    <w:p w:rsidR="003E6588" w:rsidRDefault="003E6588">
      <w:pPr>
        <w:ind w:firstLine="1134"/>
        <w:rPr>
          <w:highlight w:val="green"/>
        </w:rPr>
      </w:pPr>
    </w:p>
    <w:tbl>
      <w:tblPr>
        <w:tblW w:w="932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242"/>
        <w:gridCol w:w="1418"/>
        <w:gridCol w:w="1417"/>
        <w:gridCol w:w="1418"/>
        <w:gridCol w:w="1276"/>
        <w:gridCol w:w="1275"/>
        <w:gridCol w:w="1276"/>
      </w:tblGrid>
      <w:tr w:rsidR="003E6588" w:rsidTr="00C13F4D">
        <w:trPr>
          <w:jc w:val="center"/>
        </w:trPr>
        <w:tc>
          <w:tcPr>
            <w:tcW w:w="1242" w:type="dxa"/>
            <w:shd w:val="clear" w:color="auto" w:fill="auto"/>
          </w:tcPr>
          <w:p w:rsidR="003E6588" w:rsidRDefault="003E6588">
            <w:pPr>
              <w:rPr>
                <w:sz w:val="20"/>
                <w:szCs w:val="20"/>
              </w:rPr>
            </w:pPr>
            <w:r>
              <w:rPr>
                <w:b/>
                <w:bCs/>
                <w:sz w:val="20"/>
                <w:szCs w:val="20"/>
              </w:rPr>
              <w:t>Mês/Ano</w:t>
            </w:r>
          </w:p>
        </w:tc>
        <w:tc>
          <w:tcPr>
            <w:tcW w:w="1418" w:type="dxa"/>
            <w:shd w:val="clear" w:color="auto" w:fill="auto"/>
          </w:tcPr>
          <w:p w:rsidR="003E6588" w:rsidRDefault="003E6588">
            <w:pPr>
              <w:rPr>
                <w:sz w:val="20"/>
                <w:szCs w:val="20"/>
              </w:rPr>
            </w:pPr>
            <w:r>
              <w:rPr>
                <w:b/>
                <w:bCs/>
                <w:sz w:val="20"/>
                <w:szCs w:val="20"/>
              </w:rPr>
              <w:t>Matriculados</w:t>
            </w:r>
          </w:p>
        </w:tc>
        <w:tc>
          <w:tcPr>
            <w:tcW w:w="1417" w:type="dxa"/>
            <w:shd w:val="clear" w:color="auto" w:fill="auto"/>
          </w:tcPr>
          <w:p w:rsidR="003E6588" w:rsidRDefault="003E6588">
            <w:pPr>
              <w:rPr>
                <w:b/>
                <w:bCs/>
                <w:sz w:val="20"/>
                <w:szCs w:val="20"/>
              </w:rPr>
            </w:pPr>
            <w:r>
              <w:rPr>
                <w:b/>
                <w:bCs/>
                <w:sz w:val="20"/>
                <w:szCs w:val="20"/>
              </w:rPr>
              <w:t>Matriculados</w:t>
            </w:r>
          </w:p>
          <w:p w:rsidR="003E6588" w:rsidRDefault="003E6588">
            <w:pPr>
              <w:rPr>
                <w:b/>
                <w:bCs/>
                <w:sz w:val="20"/>
                <w:szCs w:val="20"/>
              </w:rPr>
            </w:pPr>
            <w:r>
              <w:rPr>
                <w:b/>
                <w:bCs/>
                <w:sz w:val="20"/>
                <w:szCs w:val="20"/>
              </w:rPr>
              <w:t>Femininos</w:t>
            </w:r>
          </w:p>
        </w:tc>
        <w:tc>
          <w:tcPr>
            <w:tcW w:w="1418" w:type="dxa"/>
            <w:shd w:val="clear" w:color="auto" w:fill="auto"/>
            <w:vAlign w:val="center"/>
          </w:tcPr>
          <w:p w:rsidR="003E6588" w:rsidRDefault="003E6588">
            <w:pPr>
              <w:rPr>
                <w:b/>
                <w:bCs/>
                <w:sz w:val="20"/>
                <w:szCs w:val="20"/>
              </w:rPr>
            </w:pPr>
            <w:r>
              <w:rPr>
                <w:b/>
                <w:bCs/>
                <w:sz w:val="20"/>
                <w:szCs w:val="20"/>
              </w:rPr>
              <w:t>Matriculados Masculinos</w:t>
            </w:r>
          </w:p>
        </w:tc>
        <w:tc>
          <w:tcPr>
            <w:tcW w:w="1276" w:type="dxa"/>
            <w:shd w:val="clear" w:color="auto" w:fill="auto"/>
            <w:vAlign w:val="center"/>
          </w:tcPr>
          <w:p w:rsidR="003E6588" w:rsidRDefault="003E6588">
            <w:pPr>
              <w:rPr>
                <w:b/>
                <w:bCs/>
                <w:sz w:val="20"/>
                <w:szCs w:val="20"/>
              </w:rPr>
            </w:pPr>
            <w:r>
              <w:rPr>
                <w:b/>
                <w:bCs/>
                <w:sz w:val="20"/>
                <w:szCs w:val="20"/>
              </w:rPr>
              <w:t xml:space="preserve">Certificados </w:t>
            </w:r>
          </w:p>
        </w:tc>
        <w:tc>
          <w:tcPr>
            <w:tcW w:w="1275" w:type="dxa"/>
            <w:shd w:val="clear" w:color="auto" w:fill="auto"/>
            <w:vAlign w:val="center"/>
          </w:tcPr>
          <w:p w:rsidR="003E6588" w:rsidRDefault="003E6588">
            <w:pPr>
              <w:rPr>
                <w:b/>
                <w:bCs/>
                <w:sz w:val="20"/>
                <w:szCs w:val="20"/>
              </w:rPr>
            </w:pPr>
            <w:r>
              <w:rPr>
                <w:b/>
                <w:bCs/>
                <w:sz w:val="20"/>
                <w:szCs w:val="20"/>
              </w:rPr>
              <w:t>Certificados Femininos</w:t>
            </w:r>
          </w:p>
        </w:tc>
        <w:tc>
          <w:tcPr>
            <w:tcW w:w="1276" w:type="dxa"/>
            <w:shd w:val="clear" w:color="auto" w:fill="auto"/>
            <w:vAlign w:val="center"/>
          </w:tcPr>
          <w:p w:rsidR="003E6588" w:rsidRDefault="003E6588">
            <w:pPr>
              <w:rPr>
                <w:b/>
                <w:bCs/>
                <w:sz w:val="20"/>
                <w:szCs w:val="20"/>
              </w:rPr>
            </w:pPr>
            <w:r>
              <w:rPr>
                <w:b/>
                <w:bCs/>
                <w:sz w:val="20"/>
                <w:szCs w:val="20"/>
              </w:rPr>
              <w:t>Certificados Masculinos</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Janeiro</w:t>
            </w:r>
          </w:p>
        </w:tc>
        <w:tc>
          <w:tcPr>
            <w:tcW w:w="1418" w:type="dxa"/>
            <w:vAlign w:val="center"/>
          </w:tcPr>
          <w:p w:rsidR="003E6588" w:rsidRDefault="003E6588">
            <w:pPr>
              <w:rPr>
                <w:color w:val="000000"/>
                <w:sz w:val="20"/>
                <w:szCs w:val="20"/>
              </w:rPr>
            </w:pPr>
            <w:r>
              <w:rPr>
                <w:color w:val="000000"/>
                <w:sz w:val="20"/>
                <w:szCs w:val="20"/>
              </w:rPr>
              <w:t>4.332</w:t>
            </w:r>
          </w:p>
        </w:tc>
        <w:tc>
          <w:tcPr>
            <w:tcW w:w="1417" w:type="dxa"/>
            <w:vAlign w:val="center"/>
          </w:tcPr>
          <w:p w:rsidR="003E6588" w:rsidRDefault="003E6588">
            <w:pPr>
              <w:rPr>
                <w:color w:val="000000"/>
                <w:sz w:val="20"/>
                <w:szCs w:val="20"/>
              </w:rPr>
            </w:pPr>
            <w:r>
              <w:rPr>
                <w:color w:val="000000"/>
                <w:sz w:val="20"/>
                <w:szCs w:val="20"/>
              </w:rPr>
              <w:t>2.547</w:t>
            </w:r>
          </w:p>
        </w:tc>
        <w:tc>
          <w:tcPr>
            <w:tcW w:w="1418" w:type="dxa"/>
            <w:vAlign w:val="center"/>
          </w:tcPr>
          <w:p w:rsidR="003E6588" w:rsidRDefault="003E6588">
            <w:pPr>
              <w:rPr>
                <w:color w:val="000000"/>
                <w:sz w:val="20"/>
                <w:szCs w:val="20"/>
              </w:rPr>
            </w:pPr>
            <w:r>
              <w:rPr>
                <w:color w:val="000000"/>
                <w:sz w:val="20"/>
                <w:szCs w:val="20"/>
              </w:rPr>
              <w:t>1.785</w:t>
            </w:r>
          </w:p>
        </w:tc>
        <w:tc>
          <w:tcPr>
            <w:tcW w:w="1276" w:type="dxa"/>
            <w:vAlign w:val="center"/>
          </w:tcPr>
          <w:p w:rsidR="003E6588" w:rsidRDefault="003E6588">
            <w:pPr>
              <w:rPr>
                <w:color w:val="000000"/>
                <w:sz w:val="20"/>
                <w:szCs w:val="20"/>
              </w:rPr>
            </w:pPr>
            <w:r>
              <w:rPr>
                <w:color w:val="000000"/>
                <w:sz w:val="20"/>
                <w:szCs w:val="20"/>
              </w:rPr>
              <w:t>2.042</w:t>
            </w:r>
          </w:p>
        </w:tc>
        <w:tc>
          <w:tcPr>
            <w:tcW w:w="1275" w:type="dxa"/>
            <w:vAlign w:val="center"/>
          </w:tcPr>
          <w:p w:rsidR="003E6588" w:rsidRDefault="003E6588">
            <w:pPr>
              <w:rPr>
                <w:color w:val="000000"/>
                <w:sz w:val="20"/>
                <w:szCs w:val="20"/>
              </w:rPr>
            </w:pPr>
            <w:r>
              <w:rPr>
                <w:color w:val="000000"/>
                <w:sz w:val="20"/>
                <w:szCs w:val="20"/>
              </w:rPr>
              <w:t>1.139</w:t>
            </w:r>
          </w:p>
        </w:tc>
        <w:tc>
          <w:tcPr>
            <w:tcW w:w="1276" w:type="dxa"/>
            <w:vAlign w:val="center"/>
          </w:tcPr>
          <w:p w:rsidR="003E6588" w:rsidRDefault="003E6588">
            <w:pPr>
              <w:rPr>
                <w:color w:val="000000"/>
                <w:sz w:val="20"/>
                <w:szCs w:val="20"/>
              </w:rPr>
            </w:pPr>
            <w:r>
              <w:rPr>
                <w:color w:val="000000"/>
                <w:sz w:val="20"/>
                <w:szCs w:val="20"/>
              </w:rPr>
              <w:t>903</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 xml:space="preserve">Fevereiro </w:t>
            </w:r>
          </w:p>
        </w:tc>
        <w:tc>
          <w:tcPr>
            <w:tcW w:w="1418" w:type="dxa"/>
            <w:vAlign w:val="center"/>
          </w:tcPr>
          <w:p w:rsidR="003E6588" w:rsidRDefault="003E6588">
            <w:pPr>
              <w:rPr>
                <w:color w:val="000000"/>
                <w:sz w:val="20"/>
                <w:szCs w:val="20"/>
              </w:rPr>
            </w:pPr>
            <w:r>
              <w:rPr>
                <w:color w:val="000000"/>
                <w:sz w:val="20"/>
                <w:szCs w:val="20"/>
              </w:rPr>
              <w:t>4.065</w:t>
            </w:r>
          </w:p>
        </w:tc>
        <w:tc>
          <w:tcPr>
            <w:tcW w:w="1417" w:type="dxa"/>
            <w:vAlign w:val="center"/>
          </w:tcPr>
          <w:p w:rsidR="003E6588" w:rsidRDefault="003E6588">
            <w:pPr>
              <w:rPr>
                <w:color w:val="000000"/>
                <w:sz w:val="20"/>
                <w:szCs w:val="20"/>
              </w:rPr>
            </w:pPr>
            <w:r>
              <w:rPr>
                <w:color w:val="000000"/>
                <w:sz w:val="20"/>
                <w:szCs w:val="20"/>
              </w:rPr>
              <w:t>2.261</w:t>
            </w:r>
          </w:p>
        </w:tc>
        <w:tc>
          <w:tcPr>
            <w:tcW w:w="1418" w:type="dxa"/>
            <w:vAlign w:val="center"/>
          </w:tcPr>
          <w:p w:rsidR="003E6588" w:rsidRDefault="003E6588">
            <w:pPr>
              <w:rPr>
                <w:color w:val="000000"/>
                <w:sz w:val="20"/>
                <w:szCs w:val="20"/>
              </w:rPr>
            </w:pPr>
            <w:r>
              <w:rPr>
                <w:color w:val="000000"/>
                <w:sz w:val="20"/>
                <w:szCs w:val="20"/>
              </w:rPr>
              <w:t>1.804</w:t>
            </w:r>
          </w:p>
        </w:tc>
        <w:tc>
          <w:tcPr>
            <w:tcW w:w="1276" w:type="dxa"/>
            <w:vAlign w:val="center"/>
          </w:tcPr>
          <w:p w:rsidR="003E6588" w:rsidRDefault="003E6588">
            <w:pPr>
              <w:rPr>
                <w:color w:val="000000"/>
                <w:sz w:val="20"/>
                <w:szCs w:val="20"/>
              </w:rPr>
            </w:pPr>
            <w:r>
              <w:rPr>
                <w:color w:val="000000"/>
                <w:sz w:val="20"/>
                <w:szCs w:val="20"/>
              </w:rPr>
              <w:t>1.923</w:t>
            </w:r>
          </w:p>
        </w:tc>
        <w:tc>
          <w:tcPr>
            <w:tcW w:w="1275" w:type="dxa"/>
            <w:vAlign w:val="center"/>
          </w:tcPr>
          <w:p w:rsidR="003E6588" w:rsidRDefault="003E6588">
            <w:pPr>
              <w:rPr>
                <w:color w:val="000000"/>
                <w:sz w:val="20"/>
                <w:szCs w:val="20"/>
              </w:rPr>
            </w:pPr>
            <w:r>
              <w:rPr>
                <w:color w:val="000000"/>
                <w:sz w:val="20"/>
                <w:szCs w:val="20"/>
              </w:rPr>
              <w:t>1.007</w:t>
            </w:r>
          </w:p>
        </w:tc>
        <w:tc>
          <w:tcPr>
            <w:tcW w:w="1276" w:type="dxa"/>
            <w:vAlign w:val="center"/>
          </w:tcPr>
          <w:p w:rsidR="003E6588" w:rsidRDefault="003E6588">
            <w:pPr>
              <w:rPr>
                <w:color w:val="000000"/>
                <w:sz w:val="20"/>
                <w:szCs w:val="20"/>
              </w:rPr>
            </w:pPr>
            <w:r>
              <w:rPr>
                <w:color w:val="000000"/>
                <w:sz w:val="20"/>
                <w:szCs w:val="20"/>
              </w:rPr>
              <w:t>916</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Março</w:t>
            </w:r>
          </w:p>
        </w:tc>
        <w:tc>
          <w:tcPr>
            <w:tcW w:w="1418" w:type="dxa"/>
            <w:vAlign w:val="center"/>
          </w:tcPr>
          <w:p w:rsidR="003E6588" w:rsidRDefault="003E6588">
            <w:pPr>
              <w:rPr>
                <w:color w:val="000000"/>
                <w:sz w:val="20"/>
                <w:szCs w:val="20"/>
              </w:rPr>
            </w:pPr>
            <w:r>
              <w:rPr>
                <w:color w:val="000000"/>
                <w:sz w:val="20"/>
                <w:szCs w:val="20"/>
              </w:rPr>
              <w:t>3.382</w:t>
            </w:r>
          </w:p>
        </w:tc>
        <w:tc>
          <w:tcPr>
            <w:tcW w:w="1417" w:type="dxa"/>
            <w:vAlign w:val="center"/>
          </w:tcPr>
          <w:p w:rsidR="003E6588" w:rsidRDefault="003E6588">
            <w:pPr>
              <w:rPr>
                <w:color w:val="000000"/>
                <w:sz w:val="20"/>
                <w:szCs w:val="20"/>
              </w:rPr>
            </w:pPr>
            <w:r>
              <w:rPr>
                <w:color w:val="000000"/>
                <w:sz w:val="20"/>
                <w:szCs w:val="20"/>
              </w:rPr>
              <w:t>1.838</w:t>
            </w:r>
          </w:p>
        </w:tc>
        <w:tc>
          <w:tcPr>
            <w:tcW w:w="1418" w:type="dxa"/>
            <w:vAlign w:val="center"/>
          </w:tcPr>
          <w:p w:rsidR="003E6588" w:rsidRDefault="003E6588">
            <w:pPr>
              <w:rPr>
                <w:color w:val="000000"/>
                <w:sz w:val="20"/>
                <w:szCs w:val="20"/>
              </w:rPr>
            </w:pPr>
            <w:r>
              <w:rPr>
                <w:color w:val="000000"/>
                <w:sz w:val="20"/>
                <w:szCs w:val="20"/>
              </w:rPr>
              <w:t>1.544</w:t>
            </w:r>
          </w:p>
        </w:tc>
        <w:tc>
          <w:tcPr>
            <w:tcW w:w="1276" w:type="dxa"/>
            <w:vAlign w:val="center"/>
          </w:tcPr>
          <w:p w:rsidR="003E6588" w:rsidRDefault="003E6588">
            <w:pPr>
              <w:rPr>
                <w:color w:val="000000"/>
                <w:sz w:val="20"/>
                <w:szCs w:val="20"/>
              </w:rPr>
            </w:pPr>
            <w:r>
              <w:rPr>
                <w:color w:val="000000"/>
                <w:sz w:val="20"/>
                <w:szCs w:val="20"/>
              </w:rPr>
              <w:t>1.807</w:t>
            </w:r>
          </w:p>
        </w:tc>
        <w:tc>
          <w:tcPr>
            <w:tcW w:w="1275" w:type="dxa"/>
            <w:vAlign w:val="center"/>
          </w:tcPr>
          <w:p w:rsidR="003E6588" w:rsidRDefault="003E6588">
            <w:pPr>
              <w:rPr>
                <w:color w:val="000000"/>
                <w:sz w:val="20"/>
                <w:szCs w:val="20"/>
              </w:rPr>
            </w:pPr>
            <w:r>
              <w:rPr>
                <w:color w:val="000000"/>
                <w:sz w:val="20"/>
                <w:szCs w:val="20"/>
              </w:rPr>
              <w:t>907</w:t>
            </w:r>
          </w:p>
        </w:tc>
        <w:tc>
          <w:tcPr>
            <w:tcW w:w="1276" w:type="dxa"/>
            <w:vAlign w:val="center"/>
          </w:tcPr>
          <w:p w:rsidR="003E6588" w:rsidRDefault="003E6588">
            <w:pPr>
              <w:rPr>
                <w:color w:val="000000"/>
                <w:sz w:val="20"/>
                <w:szCs w:val="20"/>
              </w:rPr>
            </w:pPr>
            <w:r>
              <w:rPr>
                <w:color w:val="000000"/>
                <w:sz w:val="20"/>
                <w:szCs w:val="20"/>
              </w:rPr>
              <w:t>900</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Abril</w:t>
            </w:r>
          </w:p>
        </w:tc>
        <w:tc>
          <w:tcPr>
            <w:tcW w:w="1418" w:type="dxa"/>
            <w:vAlign w:val="center"/>
          </w:tcPr>
          <w:p w:rsidR="003E6588" w:rsidRDefault="003E6588">
            <w:pPr>
              <w:rPr>
                <w:color w:val="000000"/>
                <w:sz w:val="20"/>
                <w:szCs w:val="20"/>
              </w:rPr>
            </w:pPr>
            <w:r>
              <w:rPr>
                <w:color w:val="000000"/>
                <w:sz w:val="20"/>
                <w:szCs w:val="20"/>
              </w:rPr>
              <w:t>3.033</w:t>
            </w:r>
          </w:p>
        </w:tc>
        <w:tc>
          <w:tcPr>
            <w:tcW w:w="1417" w:type="dxa"/>
            <w:vAlign w:val="center"/>
          </w:tcPr>
          <w:p w:rsidR="003E6588" w:rsidRDefault="003E6588">
            <w:pPr>
              <w:rPr>
                <w:color w:val="000000"/>
                <w:sz w:val="20"/>
                <w:szCs w:val="20"/>
              </w:rPr>
            </w:pPr>
            <w:r>
              <w:rPr>
                <w:color w:val="000000"/>
                <w:sz w:val="20"/>
                <w:szCs w:val="20"/>
              </w:rPr>
              <w:t>1.786</w:t>
            </w:r>
          </w:p>
        </w:tc>
        <w:tc>
          <w:tcPr>
            <w:tcW w:w="1418" w:type="dxa"/>
            <w:vAlign w:val="center"/>
          </w:tcPr>
          <w:p w:rsidR="003E6588" w:rsidRDefault="003E6588">
            <w:pPr>
              <w:rPr>
                <w:color w:val="000000"/>
                <w:sz w:val="20"/>
                <w:szCs w:val="20"/>
              </w:rPr>
            </w:pPr>
            <w:r>
              <w:rPr>
                <w:color w:val="000000"/>
                <w:sz w:val="20"/>
                <w:szCs w:val="20"/>
              </w:rPr>
              <w:t>1.247</w:t>
            </w:r>
          </w:p>
        </w:tc>
        <w:tc>
          <w:tcPr>
            <w:tcW w:w="1276" w:type="dxa"/>
            <w:vAlign w:val="center"/>
          </w:tcPr>
          <w:p w:rsidR="003E6588" w:rsidRDefault="003E6588">
            <w:pPr>
              <w:rPr>
                <w:color w:val="000000"/>
                <w:sz w:val="20"/>
                <w:szCs w:val="20"/>
              </w:rPr>
            </w:pPr>
            <w:r>
              <w:rPr>
                <w:color w:val="000000"/>
                <w:sz w:val="20"/>
                <w:szCs w:val="20"/>
              </w:rPr>
              <w:t>1.692</w:t>
            </w:r>
          </w:p>
        </w:tc>
        <w:tc>
          <w:tcPr>
            <w:tcW w:w="1275" w:type="dxa"/>
            <w:vAlign w:val="center"/>
          </w:tcPr>
          <w:p w:rsidR="003E6588" w:rsidRDefault="003E6588">
            <w:pPr>
              <w:rPr>
                <w:color w:val="000000"/>
                <w:sz w:val="20"/>
                <w:szCs w:val="20"/>
              </w:rPr>
            </w:pPr>
            <w:r>
              <w:rPr>
                <w:color w:val="000000"/>
                <w:sz w:val="20"/>
                <w:szCs w:val="20"/>
              </w:rPr>
              <w:t>972</w:t>
            </w:r>
          </w:p>
        </w:tc>
        <w:tc>
          <w:tcPr>
            <w:tcW w:w="1276" w:type="dxa"/>
            <w:vAlign w:val="center"/>
          </w:tcPr>
          <w:p w:rsidR="003E6588" w:rsidRDefault="003E6588">
            <w:pPr>
              <w:rPr>
                <w:color w:val="000000"/>
                <w:sz w:val="20"/>
                <w:szCs w:val="20"/>
              </w:rPr>
            </w:pPr>
            <w:r>
              <w:rPr>
                <w:color w:val="000000"/>
                <w:sz w:val="20"/>
                <w:szCs w:val="20"/>
              </w:rPr>
              <w:t>720</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Maio</w:t>
            </w:r>
          </w:p>
        </w:tc>
        <w:tc>
          <w:tcPr>
            <w:tcW w:w="1418" w:type="dxa"/>
            <w:vAlign w:val="center"/>
          </w:tcPr>
          <w:p w:rsidR="003E6588" w:rsidRDefault="003E6588">
            <w:pPr>
              <w:rPr>
                <w:color w:val="000000"/>
                <w:sz w:val="20"/>
                <w:szCs w:val="20"/>
              </w:rPr>
            </w:pPr>
            <w:r>
              <w:rPr>
                <w:color w:val="000000"/>
                <w:sz w:val="20"/>
                <w:szCs w:val="20"/>
              </w:rPr>
              <w:t>3.210</w:t>
            </w:r>
          </w:p>
        </w:tc>
        <w:tc>
          <w:tcPr>
            <w:tcW w:w="1417" w:type="dxa"/>
            <w:vAlign w:val="center"/>
          </w:tcPr>
          <w:p w:rsidR="003E6588" w:rsidRDefault="003E6588">
            <w:pPr>
              <w:rPr>
                <w:color w:val="000000"/>
                <w:sz w:val="20"/>
                <w:szCs w:val="20"/>
              </w:rPr>
            </w:pPr>
            <w:r>
              <w:rPr>
                <w:color w:val="000000"/>
                <w:sz w:val="20"/>
                <w:szCs w:val="20"/>
              </w:rPr>
              <w:t>1.834</w:t>
            </w:r>
          </w:p>
        </w:tc>
        <w:tc>
          <w:tcPr>
            <w:tcW w:w="1418" w:type="dxa"/>
            <w:vAlign w:val="center"/>
          </w:tcPr>
          <w:p w:rsidR="003E6588" w:rsidRDefault="003E6588">
            <w:pPr>
              <w:rPr>
                <w:color w:val="000000"/>
                <w:sz w:val="20"/>
                <w:szCs w:val="20"/>
              </w:rPr>
            </w:pPr>
            <w:r>
              <w:rPr>
                <w:color w:val="000000"/>
                <w:sz w:val="20"/>
                <w:szCs w:val="20"/>
              </w:rPr>
              <w:t>1.376</w:t>
            </w:r>
          </w:p>
        </w:tc>
        <w:tc>
          <w:tcPr>
            <w:tcW w:w="1276" w:type="dxa"/>
            <w:vAlign w:val="center"/>
          </w:tcPr>
          <w:p w:rsidR="003E6588" w:rsidRDefault="003E6588">
            <w:pPr>
              <w:rPr>
                <w:color w:val="000000"/>
                <w:sz w:val="20"/>
                <w:szCs w:val="20"/>
              </w:rPr>
            </w:pPr>
            <w:r>
              <w:rPr>
                <w:color w:val="000000"/>
                <w:sz w:val="20"/>
                <w:szCs w:val="20"/>
              </w:rPr>
              <w:t>2.096</w:t>
            </w:r>
          </w:p>
        </w:tc>
        <w:tc>
          <w:tcPr>
            <w:tcW w:w="1275" w:type="dxa"/>
            <w:vAlign w:val="center"/>
          </w:tcPr>
          <w:p w:rsidR="003E6588" w:rsidRDefault="003E6588">
            <w:pPr>
              <w:rPr>
                <w:color w:val="000000"/>
                <w:sz w:val="20"/>
                <w:szCs w:val="20"/>
              </w:rPr>
            </w:pPr>
            <w:r>
              <w:rPr>
                <w:color w:val="000000"/>
                <w:sz w:val="20"/>
                <w:szCs w:val="20"/>
              </w:rPr>
              <w:t>1.169</w:t>
            </w:r>
          </w:p>
        </w:tc>
        <w:tc>
          <w:tcPr>
            <w:tcW w:w="1276" w:type="dxa"/>
            <w:vAlign w:val="center"/>
          </w:tcPr>
          <w:p w:rsidR="003E6588" w:rsidRDefault="003E6588">
            <w:pPr>
              <w:rPr>
                <w:color w:val="000000"/>
                <w:sz w:val="20"/>
                <w:szCs w:val="20"/>
              </w:rPr>
            </w:pPr>
            <w:r>
              <w:rPr>
                <w:color w:val="000000"/>
                <w:sz w:val="20"/>
                <w:szCs w:val="20"/>
              </w:rPr>
              <w:t>927</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Junho</w:t>
            </w:r>
          </w:p>
        </w:tc>
        <w:tc>
          <w:tcPr>
            <w:tcW w:w="1418" w:type="dxa"/>
            <w:vAlign w:val="center"/>
          </w:tcPr>
          <w:p w:rsidR="003E6588" w:rsidRDefault="003E6588">
            <w:pPr>
              <w:rPr>
                <w:color w:val="000000"/>
                <w:sz w:val="20"/>
                <w:szCs w:val="20"/>
              </w:rPr>
            </w:pPr>
            <w:r>
              <w:rPr>
                <w:color w:val="000000"/>
                <w:sz w:val="20"/>
                <w:szCs w:val="20"/>
              </w:rPr>
              <w:t>1.981</w:t>
            </w:r>
          </w:p>
        </w:tc>
        <w:tc>
          <w:tcPr>
            <w:tcW w:w="1417" w:type="dxa"/>
            <w:vAlign w:val="center"/>
          </w:tcPr>
          <w:p w:rsidR="003E6588" w:rsidRDefault="003E6588">
            <w:pPr>
              <w:rPr>
                <w:color w:val="000000"/>
                <w:sz w:val="20"/>
                <w:szCs w:val="20"/>
              </w:rPr>
            </w:pPr>
            <w:r>
              <w:rPr>
                <w:color w:val="000000"/>
                <w:sz w:val="20"/>
                <w:szCs w:val="20"/>
              </w:rPr>
              <w:t>1.147</w:t>
            </w:r>
          </w:p>
        </w:tc>
        <w:tc>
          <w:tcPr>
            <w:tcW w:w="1418" w:type="dxa"/>
            <w:vAlign w:val="center"/>
          </w:tcPr>
          <w:p w:rsidR="003E6588" w:rsidRDefault="003E6588">
            <w:pPr>
              <w:rPr>
                <w:color w:val="000000"/>
                <w:sz w:val="20"/>
                <w:szCs w:val="20"/>
              </w:rPr>
            </w:pPr>
            <w:r>
              <w:rPr>
                <w:color w:val="000000"/>
                <w:sz w:val="20"/>
                <w:szCs w:val="20"/>
              </w:rPr>
              <w:t>834</w:t>
            </w:r>
          </w:p>
        </w:tc>
        <w:tc>
          <w:tcPr>
            <w:tcW w:w="1276" w:type="dxa"/>
            <w:vAlign w:val="center"/>
          </w:tcPr>
          <w:p w:rsidR="003E6588" w:rsidRDefault="003E6588">
            <w:pPr>
              <w:rPr>
                <w:color w:val="000000"/>
                <w:sz w:val="20"/>
                <w:szCs w:val="20"/>
              </w:rPr>
            </w:pPr>
            <w:r>
              <w:rPr>
                <w:color w:val="000000"/>
                <w:sz w:val="20"/>
                <w:szCs w:val="20"/>
              </w:rPr>
              <w:t>1.189</w:t>
            </w:r>
          </w:p>
        </w:tc>
        <w:tc>
          <w:tcPr>
            <w:tcW w:w="1275" w:type="dxa"/>
            <w:vAlign w:val="center"/>
          </w:tcPr>
          <w:p w:rsidR="003E6588" w:rsidRDefault="003E6588">
            <w:pPr>
              <w:rPr>
                <w:color w:val="000000"/>
                <w:sz w:val="20"/>
                <w:szCs w:val="20"/>
              </w:rPr>
            </w:pPr>
            <w:r>
              <w:rPr>
                <w:color w:val="000000"/>
                <w:sz w:val="20"/>
                <w:szCs w:val="20"/>
              </w:rPr>
              <w:t>707</w:t>
            </w:r>
          </w:p>
        </w:tc>
        <w:tc>
          <w:tcPr>
            <w:tcW w:w="1276" w:type="dxa"/>
            <w:vAlign w:val="center"/>
          </w:tcPr>
          <w:p w:rsidR="003E6588" w:rsidRDefault="003E6588">
            <w:pPr>
              <w:rPr>
                <w:color w:val="000000"/>
                <w:sz w:val="20"/>
                <w:szCs w:val="20"/>
              </w:rPr>
            </w:pPr>
            <w:r>
              <w:rPr>
                <w:color w:val="000000"/>
                <w:sz w:val="20"/>
                <w:szCs w:val="20"/>
              </w:rPr>
              <w:t>482</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Julho</w:t>
            </w:r>
          </w:p>
        </w:tc>
        <w:tc>
          <w:tcPr>
            <w:tcW w:w="1418" w:type="dxa"/>
            <w:vAlign w:val="center"/>
          </w:tcPr>
          <w:p w:rsidR="003E6588" w:rsidRDefault="003E6588">
            <w:pPr>
              <w:rPr>
                <w:color w:val="000000"/>
                <w:sz w:val="20"/>
                <w:szCs w:val="20"/>
              </w:rPr>
            </w:pPr>
            <w:r>
              <w:rPr>
                <w:color w:val="000000"/>
                <w:sz w:val="20"/>
                <w:szCs w:val="20"/>
              </w:rPr>
              <w:t>226</w:t>
            </w:r>
          </w:p>
        </w:tc>
        <w:tc>
          <w:tcPr>
            <w:tcW w:w="1417" w:type="dxa"/>
            <w:vAlign w:val="center"/>
          </w:tcPr>
          <w:p w:rsidR="003E6588" w:rsidRDefault="003E6588">
            <w:pPr>
              <w:rPr>
                <w:color w:val="000000"/>
                <w:sz w:val="20"/>
                <w:szCs w:val="20"/>
              </w:rPr>
            </w:pPr>
            <w:r>
              <w:rPr>
                <w:color w:val="000000"/>
                <w:sz w:val="20"/>
                <w:szCs w:val="20"/>
              </w:rPr>
              <w:t>121</w:t>
            </w:r>
          </w:p>
        </w:tc>
        <w:tc>
          <w:tcPr>
            <w:tcW w:w="1418" w:type="dxa"/>
            <w:vAlign w:val="center"/>
          </w:tcPr>
          <w:p w:rsidR="003E6588" w:rsidRDefault="003E6588">
            <w:pPr>
              <w:rPr>
                <w:color w:val="000000"/>
                <w:sz w:val="20"/>
                <w:szCs w:val="20"/>
              </w:rPr>
            </w:pPr>
            <w:r>
              <w:rPr>
                <w:color w:val="000000"/>
                <w:sz w:val="20"/>
                <w:szCs w:val="20"/>
              </w:rPr>
              <w:t>105</w:t>
            </w:r>
          </w:p>
        </w:tc>
        <w:tc>
          <w:tcPr>
            <w:tcW w:w="1276" w:type="dxa"/>
            <w:vAlign w:val="center"/>
          </w:tcPr>
          <w:p w:rsidR="003E6588" w:rsidRDefault="003E6588">
            <w:pPr>
              <w:rPr>
                <w:color w:val="000000"/>
                <w:sz w:val="20"/>
                <w:szCs w:val="20"/>
              </w:rPr>
            </w:pPr>
            <w:r>
              <w:rPr>
                <w:color w:val="000000"/>
                <w:sz w:val="20"/>
                <w:szCs w:val="20"/>
              </w:rPr>
              <w:t>113</w:t>
            </w:r>
          </w:p>
        </w:tc>
        <w:tc>
          <w:tcPr>
            <w:tcW w:w="1275" w:type="dxa"/>
            <w:vAlign w:val="center"/>
          </w:tcPr>
          <w:p w:rsidR="003E6588" w:rsidRDefault="003E6588">
            <w:pPr>
              <w:rPr>
                <w:color w:val="000000"/>
                <w:sz w:val="20"/>
                <w:szCs w:val="20"/>
              </w:rPr>
            </w:pPr>
            <w:r>
              <w:rPr>
                <w:color w:val="000000"/>
                <w:sz w:val="20"/>
                <w:szCs w:val="20"/>
              </w:rPr>
              <w:t>74</w:t>
            </w:r>
          </w:p>
        </w:tc>
        <w:tc>
          <w:tcPr>
            <w:tcW w:w="1276" w:type="dxa"/>
            <w:vAlign w:val="center"/>
          </w:tcPr>
          <w:p w:rsidR="003E6588" w:rsidRDefault="003E6588">
            <w:pPr>
              <w:rPr>
                <w:color w:val="000000"/>
                <w:sz w:val="20"/>
                <w:szCs w:val="20"/>
              </w:rPr>
            </w:pPr>
            <w:r>
              <w:rPr>
                <w:color w:val="000000"/>
                <w:sz w:val="20"/>
                <w:szCs w:val="20"/>
              </w:rPr>
              <w:t>39</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Agosto</w:t>
            </w:r>
          </w:p>
        </w:tc>
        <w:tc>
          <w:tcPr>
            <w:tcW w:w="1418" w:type="dxa"/>
            <w:vAlign w:val="center"/>
          </w:tcPr>
          <w:p w:rsidR="003E6588" w:rsidRDefault="003E6588">
            <w:pPr>
              <w:rPr>
                <w:color w:val="000000"/>
                <w:sz w:val="20"/>
                <w:szCs w:val="20"/>
              </w:rPr>
            </w:pPr>
            <w:r>
              <w:rPr>
                <w:color w:val="000000"/>
                <w:sz w:val="20"/>
                <w:szCs w:val="20"/>
              </w:rPr>
              <w:t>-</w:t>
            </w:r>
          </w:p>
        </w:tc>
        <w:tc>
          <w:tcPr>
            <w:tcW w:w="1417" w:type="dxa"/>
            <w:vAlign w:val="center"/>
          </w:tcPr>
          <w:p w:rsidR="003E6588" w:rsidRDefault="003E6588">
            <w:pPr>
              <w:rPr>
                <w:color w:val="000000"/>
                <w:sz w:val="20"/>
                <w:szCs w:val="20"/>
              </w:rPr>
            </w:pPr>
            <w:r>
              <w:rPr>
                <w:color w:val="000000"/>
                <w:sz w:val="20"/>
                <w:szCs w:val="20"/>
              </w:rPr>
              <w:t>-</w:t>
            </w:r>
          </w:p>
        </w:tc>
        <w:tc>
          <w:tcPr>
            <w:tcW w:w="1418" w:type="dxa"/>
            <w:vAlign w:val="center"/>
          </w:tcPr>
          <w:p w:rsidR="003E6588" w:rsidRDefault="003E6588">
            <w:pPr>
              <w:rPr>
                <w:color w:val="000000"/>
                <w:sz w:val="20"/>
                <w:szCs w:val="20"/>
              </w:rPr>
            </w:pPr>
            <w:r>
              <w:rPr>
                <w:color w:val="000000"/>
                <w:sz w:val="20"/>
                <w:szCs w:val="20"/>
              </w:rPr>
              <w:t>-</w:t>
            </w:r>
          </w:p>
        </w:tc>
        <w:tc>
          <w:tcPr>
            <w:tcW w:w="1276" w:type="dxa"/>
            <w:vAlign w:val="center"/>
          </w:tcPr>
          <w:p w:rsidR="003E6588" w:rsidRDefault="003E6588">
            <w:pPr>
              <w:rPr>
                <w:color w:val="000000"/>
                <w:sz w:val="20"/>
                <w:szCs w:val="20"/>
              </w:rPr>
            </w:pPr>
            <w:r>
              <w:rPr>
                <w:color w:val="000000"/>
                <w:sz w:val="20"/>
                <w:szCs w:val="20"/>
              </w:rPr>
              <w:t>-</w:t>
            </w:r>
          </w:p>
        </w:tc>
        <w:tc>
          <w:tcPr>
            <w:tcW w:w="1275" w:type="dxa"/>
            <w:vAlign w:val="center"/>
          </w:tcPr>
          <w:p w:rsidR="003E6588" w:rsidRDefault="003E6588">
            <w:pPr>
              <w:rPr>
                <w:color w:val="000000"/>
                <w:sz w:val="20"/>
                <w:szCs w:val="20"/>
              </w:rPr>
            </w:pPr>
            <w:r>
              <w:rPr>
                <w:color w:val="000000"/>
                <w:sz w:val="20"/>
                <w:szCs w:val="20"/>
              </w:rPr>
              <w:t>-</w:t>
            </w:r>
          </w:p>
        </w:tc>
        <w:tc>
          <w:tcPr>
            <w:tcW w:w="1276" w:type="dxa"/>
            <w:vAlign w:val="center"/>
          </w:tcPr>
          <w:p w:rsidR="003E6588" w:rsidRDefault="003E6588">
            <w:pPr>
              <w:rPr>
                <w:color w:val="000000"/>
                <w:sz w:val="20"/>
                <w:szCs w:val="20"/>
              </w:rPr>
            </w:pPr>
            <w:r>
              <w:rPr>
                <w:color w:val="000000"/>
                <w:sz w:val="20"/>
                <w:szCs w:val="20"/>
              </w:rPr>
              <w:t>-</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lastRenderedPageBreak/>
              <w:t>Setembro</w:t>
            </w:r>
          </w:p>
        </w:tc>
        <w:tc>
          <w:tcPr>
            <w:tcW w:w="1418" w:type="dxa"/>
            <w:vAlign w:val="center"/>
          </w:tcPr>
          <w:p w:rsidR="003E6588" w:rsidRDefault="003E6588">
            <w:pPr>
              <w:rPr>
                <w:color w:val="000000"/>
                <w:sz w:val="20"/>
                <w:szCs w:val="20"/>
              </w:rPr>
            </w:pPr>
            <w:r>
              <w:rPr>
                <w:color w:val="000000"/>
                <w:sz w:val="20"/>
                <w:szCs w:val="20"/>
              </w:rPr>
              <w:t>-</w:t>
            </w:r>
          </w:p>
        </w:tc>
        <w:tc>
          <w:tcPr>
            <w:tcW w:w="1417" w:type="dxa"/>
            <w:vAlign w:val="center"/>
          </w:tcPr>
          <w:p w:rsidR="003E6588" w:rsidRDefault="003E6588">
            <w:pPr>
              <w:rPr>
                <w:color w:val="000000"/>
                <w:sz w:val="20"/>
                <w:szCs w:val="20"/>
              </w:rPr>
            </w:pPr>
            <w:r>
              <w:rPr>
                <w:color w:val="000000"/>
                <w:sz w:val="20"/>
                <w:szCs w:val="20"/>
              </w:rPr>
              <w:t>-</w:t>
            </w:r>
          </w:p>
        </w:tc>
        <w:tc>
          <w:tcPr>
            <w:tcW w:w="1418" w:type="dxa"/>
            <w:vAlign w:val="center"/>
          </w:tcPr>
          <w:p w:rsidR="003E6588" w:rsidRDefault="003E6588">
            <w:pPr>
              <w:rPr>
                <w:color w:val="000000"/>
                <w:sz w:val="20"/>
                <w:szCs w:val="20"/>
              </w:rPr>
            </w:pPr>
            <w:r>
              <w:rPr>
                <w:color w:val="000000"/>
                <w:sz w:val="20"/>
                <w:szCs w:val="20"/>
              </w:rPr>
              <w:t>-</w:t>
            </w:r>
          </w:p>
        </w:tc>
        <w:tc>
          <w:tcPr>
            <w:tcW w:w="1276" w:type="dxa"/>
            <w:vAlign w:val="center"/>
          </w:tcPr>
          <w:p w:rsidR="003E6588" w:rsidRDefault="003E6588">
            <w:pPr>
              <w:rPr>
                <w:color w:val="000000"/>
                <w:sz w:val="20"/>
                <w:szCs w:val="20"/>
              </w:rPr>
            </w:pPr>
            <w:r>
              <w:rPr>
                <w:color w:val="000000"/>
                <w:sz w:val="20"/>
                <w:szCs w:val="20"/>
              </w:rPr>
              <w:t>-</w:t>
            </w:r>
          </w:p>
        </w:tc>
        <w:tc>
          <w:tcPr>
            <w:tcW w:w="1275" w:type="dxa"/>
            <w:vAlign w:val="center"/>
          </w:tcPr>
          <w:p w:rsidR="003E6588" w:rsidRDefault="003E6588">
            <w:pPr>
              <w:rPr>
                <w:color w:val="000000"/>
                <w:sz w:val="20"/>
                <w:szCs w:val="20"/>
              </w:rPr>
            </w:pPr>
            <w:r>
              <w:rPr>
                <w:color w:val="000000"/>
                <w:sz w:val="20"/>
                <w:szCs w:val="20"/>
              </w:rPr>
              <w:t>-</w:t>
            </w:r>
          </w:p>
        </w:tc>
        <w:tc>
          <w:tcPr>
            <w:tcW w:w="1276" w:type="dxa"/>
            <w:vAlign w:val="center"/>
          </w:tcPr>
          <w:p w:rsidR="003E6588" w:rsidRDefault="003E6588">
            <w:pPr>
              <w:rPr>
                <w:color w:val="000000"/>
                <w:sz w:val="20"/>
                <w:szCs w:val="20"/>
              </w:rPr>
            </w:pPr>
            <w:r>
              <w:rPr>
                <w:color w:val="000000"/>
                <w:sz w:val="20"/>
                <w:szCs w:val="20"/>
              </w:rPr>
              <w:t>-</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Outubro</w:t>
            </w:r>
          </w:p>
        </w:tc>
        <w:tc>
          <w:tcPr>
            <w:tcW w:w="1418" w:type="dxa"/>
            <w:vAlign w:val="center"/>
          </w:tcPr>
          <w:p w:rsidR="003E6588" w:rsidRDefault="003E6588">
            <w:pPr>
              <w:rPr>
                <w:color w:val="000000"/>
                <w:sz w:val="20"/>
                <w:szCs w:val="20"/>
              </w:rPr>
            </w:pPr>
            <w:r>
              <w:rPr>
                <w:color w:val="000000"/>
                <w:sz w:val="20"/>
                <w:szCs w:val="20"/>
              </w:rPr>
              <w:t>860</w:t>
            </w:r>
          </w:p>
        </w:tc>
        <w:tc>
          <w:tcPr>
            <w:tcW w:w="1417" w:type="dxa"/>
            <w:vAlign w:val="center"/>
          </w:tcPr>
          <w:p w:rsidR="003E6588" w:rsidRDefault="003E6588">
            <w:pPr>
              <w:rPr>
                <w:color w:val="000000"/>
                <w:sz w:val="20"/>
                <w:szCs w:val="20"/>
              </w:rPr>
            </w:pPr>
            <w:r>
              <w:rPr>
                <w:color w:val="000000"/>
                <w:sz w:val="20"/>
                <w:szCs w:val="20"/>
              </w:rPr>
              <w:t>494</w:t>
            </w:r>
          </w:p>
        </w:tc>
        <w:tc>
          <w:tcPr>
            <w:tcW w:w="1418" w:type="dxa"/>
            <w:vAlign w:val="center"/>
          </w:tcPr>
          <w:p w:rsidR="003E6588" w:rsidRDefault="003E6588">
            <w:pPr>
              <w:rPr>
                <w:color w:val="000000"/>
                <w:sz w:val="20"/>
                <w:szCs w:val="20"/>
              </w:rPr>
            </w:pPr>
            <w:r>
              <w:rPr>
                <w:color w:val="000000"/>
                <w:sz w:val="20"/>
                <w:szCs w:val="20"/>
              </w:rPr>
              <w:t>366</w:t>
            </w:r>
          </w:p>
        </w:tc>
        <w:tc>
          <w:tcPr>
            <w:tcW w:w="1276" w:type="dxa"/>
            <w:vAlign w:val="center"/>
          </w:tcPr>
          <w:p w:rsidR="003E6588" w:rsidRDefault="003E6588">
            <w:pPr>
              <w:rPr>
                <w:color w:val="000000"/>
                <w:sz w:val="20"/>
                <w:szCs w:val="20"/>
              </w:rPr>
            </w:pPr>
            <w:r>
              <w:rPr>
                <w:color w:val="000000"/>
                <w:sz w:val="20"/>
                <w:szCs w:val="20"/>
              </w:rPr>
              <w:t>543</w:t>
            </w:r>
          </w:p>
        </w:tc>
        <w:tc>
          <w:tcPr>
            <w:tcW w:w="1275" w:type="dxa"/>
            <w:vAlign w:val="center"/>
          </w:tcPr>
          <w:p w:rsidR="003E6588" w:rsidRDefault="003E6588">
            <w:pPr>
              <w:rPr>
                <w:color w:val="000000"/>
                <w:sz w:val="20"/>
                <w:szCs w:val="20"/>
              </w:rPr>
            </w:pPr>
            <w:r>
              <w:rPr>
                <w:color w:val="000000"/>
                <w:sz w:val="20"/>
                <w:szCs w:val="20"/>
              </w:rPr>
              <w:t>323</w:t>
            </w:r>
          </w:p>
        </w:tc>
        <w:tc>
          <w:tcPr>
            <w:tcW w:w="1276" w:type="dxa"/>
            <w:vAlign w:val="center"/>
          </w:tcPr>
          <w:p w:rsidR="003E6588" w:rsidRDefault="003E6588">
            <w:pPr>
              <w:rPr>
                <w:color w:val="000000"/>
                <w:sz w:val="20"/>
                <w:szCs w:val="20"/>
              </w:rPr>
            </w:pPr>
            <w:r>
              <w:rPr>
                <w:color w:val="000000"/>
                <w:sz w:val="20"/>
                <w:szCs w:val="20"/>
              </w:rPr>
              <w:t>220</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Novembro</w:t>
            </w:r>
          </w:p>
        </w:tc>
        <w:tc>
          <w:tcPr>
            <w:tcW w:w="1418" w:type="dxa"/>
            <w:vAlign w:val="center"/>
          </w:tcPr>
          <w:p w:rsidR="003E6588" w:rsidRDefault="003E6588">
            <w:pPr>
              <w:rPr>
                <w:color w:val="000000"/>
                <w:sz w:val="20"/>
                <w:szCs w:val="20"/>
              </w:rPr>
            </w:pPr>
            <w:r>
              <w:rPr>
                <w:color w:val="000000"/>
                <w:sz w:val="20"/>
                <w:szCs w:val="20"/>
              </w:rPr>
              <w:t>1.041</w:t>
            </w:r>
          </w:p>
        </w:tc>
        <w:tc>
          <w:tcPr>
            <w:tcW w:w="1417" w:type="dxa"/>
            <w:vAlign w:val="center"/>
          </w:tcPr>
          <w:p w:rsidR="003E6588" w:rsidRDefault="003E6588">
            <w:pPr>
              <w:rPr>
                <w:color w:val="000000"/>
                <w:sz w:val="20"/>
                <w:szCs w:val="20"/>
              </w:rPr>
            </w:pPr>
            <w:r>
              <w:rPr>
                <w:color w:val="000000"/>
                <w:sz w:val="20"/>
                <w:szCs w:val="20"/>
              </w:rPr>
              <w:t>487</w:t>
            </w:r>
          </w:p>
        </w:tc>
        <w:tc>
          <w:tcPr>
            <w:tcW w:w="1418" w:type="dxa"/>
            <w:vAlign w:val="center"/>
          </w:tcPr>
          <w:p w:rsidR="003E6588" w:rsidRDefault="003E6588">
            <w:pPr>
              <w:rPr>
                <w:color w:val="000000"/>
                <w:sz w:val="20"/>
                <w:szCs w:val="20"/>
              </w:rPr>
            </w:pPr>
            <w:r>
              <w:rPr>
                <w:color w:val="000000"/>
                <w:sz w:val="20"/>
                <w:szCs w:val="20"/>
              </w:rPr>
              <w:t>554</w:t>
            </w:r>
          </w:p>
        </w:tc>
        <w:tc>
          <w:tcPr>
            <w:tcW w:w="1276" w:type="dxa"/>
            <w:vAlign w:val="center"/>
          </w:tcPr>
          <w:p w:rsidR="003E6588" w:rsidRDefault="003E6588">
            <w:pPr>
              <w:rPr>
                <w:color w:val="000000"/>
                <w:sz w:val="20"/>
                <w:szCs w:val="20"/>
              </w:rPr>
            </w:pPr>
            <w:r>
              <w:rPr>
                <w:color w:val="000000"/>
                <w:sz w:val="20"/>
                <w:szCs w:val="20"/>
              </w:rPr>
              <w:t>754</w:t>
            </w:r>
          </w:p>
        </w:tc>
        <w:tc>
          <w:tcPr>
            <w:tcW w:w="1275" w:type="dxa"/>
            <w:vAlign w:val="center"/>
          </w:tcPr>
          <w:p w:rsidR="003E6588" w:rsidRDefault="003E6588">
            <w:pPr>
              <w:rPr>
                <w:color w:val="000000"/>
                <w:sz w:val="20"/>
                <w:szCs w:val="20"/>
              </w:rPr>
            </w:pPr>
            <w:r>
              <w:rPr>
                <w:color w:val="000000"/>
                <w:sz w:val="20"/>
                <w:szCs w:val="20"/>
              </w:rPr>
              <w:t>330</w:t>
            </w:r>
          </w:p>
        </w:tc>
        <w:tc>
          <w:tcPr>
            <w:tcW w:w="1276" w:type="dxa"/>
            <w:vAlign w:val="center"/>
          </w:tcPr>
          <w:p w:rsidR="003E6588" w:rsidRDefault="003E6588">
            <w:pPr>
              <w:rPr>
                <w:color w:val="000000"/>
                <w:sz w:val="20"/>
                <w:szCs w:val="20"/>
              </w:rPr>
            </w:pPr>
            <w:r>
              <w:rPr>
                <w:color w:val="000000"/>
                <w:sz w:val="20"/>
                <w:szCs w:val="20"/>
              </w:rPr>
              <w:t>424</w:t>
            </w:r>
          </w:p>
        </w:tc>
      </w:tr>
      <w:tr w:rsidR="003E6588" w:rsidTr="00C13F4D">
        <w:trPr>
          <w:jc w:val="center"/>
        </w:trPr>
        <w:tc>
          <w:tcPr>
            <w:tcW w:w="1242" w:type="dxa"/>
            <w:vAlign w:val="center"/>
          </w:tcPr>
          <w:p w:rsidR="003E6588" w:rsidRDefault="003E6588">
            <w:pPr>
              <w:rPr>
                <w:bCs/>
                <w:color w:val="000000"/>
                <w:sz w:val="20"/>
                <w:szCs w:val="20"/>
              </w:rPr>
            </w:pPr>
            <w:r>
              <w:rPr>
                <w:bCs/>
                <w:color w:val="000000"/>
                <w:sz w:val="20"/>
                <w:szCs w:val="20"/>
              </w:rPr>
              <w:t>Dezembro</w:t>
            </w:r>
          </w:p>
        </w:tc>
        <w:tc>
          <w:tcPr>
            <w:tcW w:w="1418" w:type="dxa"/>
            <w:vAlign w:val="center"/>
          </w:tcPr>
          <w:p w:rsidR="003E6588" w:rsidRDefault="003E6588">
            <w:pPr>
              <w:rPr>
                <w:b/>
                <w:color w:val="000000"/>
                <w:sz w:val="20"/>
                <w:szCs w:val="20"/>
                <w:highlight w:val="green"/>
              </w:rPr>
            </w:pPr>
            <w:r>
              <w:rPr>
                <w:color w:val="000000"/>
                <w:sz w:val="20"/>
                <w:szCs w:val="20"/>
              </w:rPr>
              <w:t>407</w:t>
            </w:r>
          </w:p>
        </w:tc>
        <w:tc>
          <w:tcPr>
            <w:tcW w:w="1417" w:type="dxa"/>
            <w:vAlign w:val="center"/>
          </w:tcPr>
          <w:p w:rsidR="003E6588" w:rsidRDefault="003E6588">
            <w:pPr>
              <w:rPr>
                <w:color w:val="000000"/>
                <w:sz w:val="20"/>
                <w:szCs w:val="20"/>
              </w:rPr>
            </w:pPr>
            <w:r>
              <w:rPr>
                <w:color w:val="000000"/>
                <w:sz w:val="20"/>
                <w:szCs w:val="20"/>
              </w:rPr>
              <w:t>239</w:t>
            </w:r>
          </w:p>
        </w:tc>
        <w:tc>
          <w:tcPr>
            <w:tcW w:w="1418" w:type="dxa"/>
            <w:vAlign w:val="center"/>
          </w:tcPr>
          <w:p w:rsidR="003E6588" w:rsidRDefault="003E6588">
            <w:pPr>
              <w:rPr>
                <w:color w:val="000000"/>
                <w:sz w:val="20"/>
                <w:szCs w:val="20"/>
              </w:rPr>
            </w:pPr>
            <w:r>
              <w:rPr>
                <w:color w:val="000000"/>
                <w:sz w:val="20"/>
                <w:szCs w:val="20"/>
              </w:rPr>
              <w:t>168</w:t>
            </w:r>
          </w:p>
        </w:tc>
        <w:tc>
          <w:tcPr>
            <w:tcW w:w="1276" w:type="dxa"/>
            <w:vAlign w:val="center"/>
          </w:tcPr>
          <w:p w:rsidR="003E6588" w:rsidRDefault="003E6588">
            <w:pPr>
              <w:rPr>
                <w:color w:val="000000"/>
                <w:sz w:val="20"/>
                <w:szCs w:val="20"/>
              </w:rPr>
            </w:pPr>
            <w:r>
              <w:rPr>
                <w:color w:val="000000"/>
                <w:sz w:val="20"/>
                <w:szCs w:val="20"/>
              </w:rPr>
              <w:t>266</w:t>
            </w:r>
          </w:p>
        </w:tc>
        <w:tc>
          <w:tcPr>
            <w:tcW w:w="1275" w:type="dxa"/>
            <w:vAlign w:val="center"/>
          </w:tcPr>
          <w:p w:rsidR="003E6588" w:rsidRDefault="003E6588">
            <w:pPr>
              <w:rPr>
                <w:color w:val="000000"/>
                <w:sz w:val="20"/>
                <w:szCs w:val="20"/>
              </w:rPr>
            </w:pPr>
            <w:r>
              <w:rPr>
                <w:color w:val="000000"/>
                <w:sz w:val="20"/>
                <w:szCs w:val="20"/>
              </w:rPr>
              <w:t>150</w:t>
            </w:r>
          </w:p>
        </w:tc>
        <w:tc>
          <w:tcPr>
            <w:tcW w:w="1276" w:type="dxa"/>
            <w:vAlign w:val="center"/>
          </w:tcPr>
          <w:p w:rsidR="003E6588" w:rsidRDefault="003E6588">
            <w:pPr>
              <w:rPr>
                <w:color w:val="000000"/>
                <w:sz w:val="20"/>
                <w:szCs w:val="20"/>
              </w:rPr>
            </w:pPr>
            <w:r>
              <w:rPr>
                <w:color w:val="000000"/>
                <w:sz w:val="20"/>
                <w:szCs w:val="20"/>
              </w:rPr>
              <w:t>116</w:t>
            </w:r>
          </w:p>
        </w:tc>
      </w:tr>
      <w:tr w:rsidR="003E6588" w:rsidTr="00CB499F">
        <w:trPr>
          <w:jc w:val="center"/>
        </w:trPr>
        <w:tc>
          <w:tcPr>
            <w:tcW w:w="1242" w:type="dxa"/>
            <w:shd w:val="clear" w:color="auto" w:fill="auto"/>
            <w:vAlign w:val="center"/>
          </w:tcPr>
          <w:p w:rsidR="003E6588" w:rsidRDefault="003E6588">
            <w:pPr>
              <w:rPr>
                <w:b/>
                <w:bCs/>
                <w:color w:val="000000"/>
                <w:sz w:val="20"/>
                <w:szCs w:val="20"/>
              </w:rPr>
            </w:pPr>
            <w:r>
              <w:rPr>
                <w:b/>
                <w:bCs/>
                <w:color w:val="000000"/>
                <w:sz w:val="20"/>
                <w:szCs w:val="20"/>
              </w:rPr>
              <w:t>TOTAL</w:t>
            </w:r>
          </w:p>
        </w:tc>
        <w:tc>
          <w:tcPr>
            <w:tcW w:w="1418" w:type="dxa"/>
            <w:shd w:val="clear" w:color="auto" w:fill="auto"/>
            <w:vAlign w:val="center"/>
          </w:tcPr>
          <w:p w:rsidR="003E6588" w:rsidRDefault="003E6588">
            <w:pPr>
              <w:rPr>
                <w:b/>
                <w:sz w:val="20"/>
                <w:szCs w:val="20"/>
                <w:highlight w:val="green"/>
              </w:rPr>
            </w:pPr>
            <w:r>
              <w:rPr>
                <w:b/>
                <w:sz w:val="20"/>
                <w:szCs w:val="20"/>
              </w:rPr>
              <w:t>22.537</w:t>
            </w:r>
          </w:p>
        </w:tc>
        <w:tc>
          <w:tcPr>
            <w:tcW w:w="1417" w:type="dxa"/>
            <w:shd w:val="clear" w:color="auto" w:fill="auto"/>
            <w:vAlign w:val="center"/>
          </w:tcPr>
          <w:p w:rsidR="003E6588" w:rsidRDefault="003E6588">
            <w:pPr>
              <w:rPr>
                <w:b/>
                <w:color w:val="000000"/>
                <w:sz w:val="20"/>
                <w:szCs w:val="20"/>
                <w:highlight w:val="green"/>
              </w:rPr>
            </w:pPr>
            <w:r>
              <w:rPr>
                <w:b/>
                <w:color w:val="000000"/>
                <w:sz w:val="20"/>
                <w:szCs w:val="20"/>
              </w:rPr>
              <w:t>12.754</w:t>
            </w:r>
          </w:p>
        </w:tc>
        <w:tc>
          <w:tcPr>
            <w:tcW w:w="1418" w:type="dxa"/>
            <w:shd w:val="clear" w:color="auto" w:fill="auto"/>
            <w:vAlign w:val="center"/>
          </w:tcPr>
          <w:p w:rsidR="003E6588" w:rsidRDefault="003E6588">
            <w:pPr>
              <w:rPr>
                <w:b/>
                <w:color w:val="000000"/>
                <w:sz w:val="20"/>
                <w:szCs w:val="20"/>
                <w:highlight w:val="green"/>
              </w:rPr>
            </w:pPr>
            <w:r>
              <w:rPr>
                <w:b/>
                <w:color w:val="000000"/>
                <w:sz w:val="20"/>
                <w:szCs w:val="20"/>
              </w:rPr>
              <w:t>9.783</w:t>
            </w:r>
          </w:p>
        </w:tc>
        <w:tc>
          <w:tcPr>
            <w:tcW w:w="1276" w:type="dxa"/>
            <w:shd w:val="clear" w:color="auto" w:fill="auto"/>
            <w:vAlign w:val="center"/>
          </w:tcPr>
          <w:p w:rsidR="003E6588" w:rsidRDefault="003E6588">
            <w:pPr>
              <w:rPr>
                <w:b/>
                <w:color w:val="000000"/>
                <w:sz w:val="20"/>
                <w:szCs w:val="20"/>
                <w:highlight w:val="green"/>
              </w:rPr>
            </w:pPr>
            <w:r>
              <w:rPr>
                <w:b/>
                <w:color w:val="000000"/>
                <w:sz w:val="20"/>
                <w:szCs w:val="20"/>
              </w:rPr>
              <w:t>12.425</w:t>
            </w:r>
          </w:p>
        </w:tc>
        <w:tc>
          <w:tcPr>
            <w:tcW w:w="1275" w:type="dxa"/>
            <w:shd w:val="clear" w:color="auto" w:fill="auto"/>
            <w:vAlign w:val="center"/>
          </w:tcPr>
          <w:p w:rsidR="003E6588" w:rsidRDefault="003E6588">
            <w:pPr>
              <w:rPr>
                <w:b/>
                <w:color w:val="000000"/>
                <w:sz w:val="20"/>
                <w:szCs w:val="20"/>
                <w:highlight w:val="green"/>
              </w:rPr>
            </w:pPr>
            <w:r>
              <w:rPr>
                <w:b/>
                <w:color w:val="000000"/>
                <w:sz w:val="20"/>
                <w:szCs w:val="20"/>
              </w:rPr>
              <w:t>6.778</w:t>
            </w:r>
          </w:p>
        </w:tc>
        <w:tc>
          <w:tcPr>
            <w:tcW w:w="1276" w:type="dxa"/>
            <w:shd w:val="clear" w:color="auto" w:fill="auto"/>
            <w:vAlign w:val="center"/>
          </w:tcPr>
          <w:p w:rsidR="003E6588" w:rsidRDefault="003E6588">
            <w:pPr>
              <w:rPr>
                <w:b/>
                <w:color w:val="000000"/>
                <w:sz w:val="20"/>
                <w:szCs w:val="20"/>
                <w:highlight w:val="green"/>
              </w:rPr>
            </w:pPr>
            <w:r>
              <w:rPr>
                <w:b/>
                <w:color w:val="000000"/>
                <w:sz w:val="20"/>
                <w:szCs w:val="20"/>
              </w:rPr>
              <w:t>5.647</w:t>
            </w:r>
          </w:p>
        </w:tc>
      </w:tr>
    </w:tbl>
    <w:p w:rsidR="003E6588" w:rsidRDefault="003E6588">
      <w:pPr>
        <w:ind w:firstLine="1134"/>
        <w:jc w:val="both"/>
        <w:rPr>
          <w:b/>
          <w:highlight w:val="green"/>
        </w:rPr>
      </w:pPr>
    </w:p>
    <w:p w:rsidR="003E6588" w:rsidRDefault="003E6588">
      <w:pPr>
        <w:ind w:firstLine="1134"/>
        <w:jc w:val="both"/>
      </w:pPr>
      <w:r>
        <w:rPr>
          <w:b/>
        </w:rPr>
        <w:t xml:space="preserve">Caravana do Empreendedorismo - </w:t>
      </w:r>
      <w:r>
        <w:t>Encontros regionais de intercâmbio de informações entre atores da área de atuação (Secretários, Prefeitos, Gestores, Agentes de Crédito, interessados em geral), com objetivo de ampliarem o campo de discussão sobre propostas, ações e melhorias para o desenvolvimento e expansão do empreendedorismo local/regional/estadual.</w:t>
      </w:r>
    </w:p>
    <w:p w:rsidR="003E6588" w:rsidRDefault="003E6588">
      <w:pPr>
        <w:ind w:firstLine="1134"/>
        <w:jc w:val="both"/>
      </w:pPr>
    </w:p>
    <w:p w:rsidR="003E6588" w:rsidRDefault="003E6588">
      <w:pPr>
        <w:ind w:firstLine="1134"/>
        <w:jc w:val="both"/>
      </w:pPr>
      <w:r>
        <w:t>Importante ressaltar que tanto os programas como as ações estão condicionados à limitação de recursos orçamentários para o alcance do seu objetivo.</w:t>
      </w:r>
    </w:p>
    <w:p w:rsidR="003E6588" w:rsidRDefault="003E6588">
      <w:pPr>
        <w:ind w:firstLine="1134"/>
        <w:jc w:val="both"/>
      </w:pPr>
    </w:p>
    <w:p w:rsidR="003E6588" w:rsidRDefault="003E6588">
      <w:pPr>
        <w:ind w:firstLine="1134"/>
        <w:jc w:val="both"/>
      </w:pPr>
      <w:r>
        <w:rPr>
          <w:b/>
        </w:rPr>
        <w:t xml:space="preserve">Habita São Paulo - </w:t>
      </w:r>
      <w:r>
        <w:t>Habita SP/Banco do Povo Paulista, conhecido como “Casa Paulista Microcrédito/Banco do Povo Paulista” é o Programa de Microcrédito Habitacional do Governo do Estado</w:t>
      </w:r>
      <w:r>
        <w:rPr>
          <w:color w:val="FF0000"/>
        </w:rPr>
        <w:t>,</w:t>
      </w:r>
      <w:r>
        <w:t xml:space="preserve"> destinado aos mutuários adimplentes da CDHU, com objetivo de oferecer empréstimos para a realização de reforma, ampliação e/ou adequação de unidade habitacional, de acordo com as disposições previstas no Decreto nº</w:t>
      </w:r>
      <w:r w:rsidR="00C13F4D">
        <w:t xml:space="preserve"> </w:t>
      </w:r>
      <w:r>
        <w:t>57.369/2011.</w:t>
      </w:r>
    </w:p>
    <w:p w:rsidR="003E6588" w:rsidRDefault="003E6588">
      <w:pPr>
        <w:tabs>
          <w:tab w:val="left" w:pos="0"/>
        </w:tabs>
        <w:ind w:firstLine="1134"/>
        <w:jc w:val="both"/>
      </w:pPr>
    </w:p>
    <w:p w:rsidR="003E6588" w:rsidRDefault="003E6588">
      <w:pPr>
        <w:ind w:firstLine="1134"/>
        <w:jc w:val="both"/>
      </w:pPr>
      <w:r>
        <w:t>A execução do programa é conduzida pelas Secretarias da Habitação e do Emprego e Relações do Trabalho, por meio das unidades do Banco do Povo Paulista.</w:t>
      </w:r>
    </w:p>
    <w:p w:rsidR="003E6588" w:rsidRDefault="003E6588">
      <w:pPr>
        <w:ind w:firstLine="1134"/>
        <w:jc w:val="both"/>
      </w:pPr>
    </w:p>
    <w:p w:rsidR="003E6588" w:rsidRDefault="003E6588">
      <w:pPr>
        <w:ind w:firstLine="1134"/>
        <w:jc w:val="both"/>
        <w:rPr>
          <w:strike/>
        </w:rPr>
      </w:pPr>
      <w:r>
        <w:t>Os empréstimos variam de R$ 200,00 a R$ 7.500,00, que podem ser parcelados em até 36 vezes, com taxa de juros de 0,5% ao mês. O participante deve ser morador do imóvel objeto do financiamento, não ter restrições cadastrais e apresentar fiador, além de possuir renda familiar não superior a cinco salários mínimos.</w:t>
      </w:r>
    </w:p>
    <w:p w:rsidR="003E6588" w:rsidRDefault="003E6588">
      <w:pPr>
        <w:ind w:firstLine="1134"/>
        <w:jc w:val="both"/>
      </w:pPr>
    </w:p>
    <w:p w:rsidR="003E6588" w:rsidRDefault="003E6588">
      <w:pPr>
        <w:ind w:firstLine="1134"/>
        <w:jc w:val="both"/>
        <w:rPr>
          <w:b/>
        </w:rPr>
      </w:pPr>
      <w:r>
        <w:rPr>
          <w:b/>
        </w:rPr>
        <w:t>Resultados Casa Paulista</w:t>
      </w:r>
    </w:p>
    <w:p w:rsidR="003E6588" w:rsidRDefault="003E6588">
      <w:pPr>
        <w:ind w:firstLine="1134"/>
        <w:jc w:val="both"/>
        <w:rPr>
          <w:b/>
        </w:rPr>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729"/>
        <w:gridCol w:w="1729"/>
        <w:gridCol w:w="1822"/>
        <w:gridCol w:w="1941"/>
      </w:tblGrid>
      <w:tr w:rsidR="003E6588" w:rsidTr="00C13F4D">
        <w:trPr>
          <w:jc w:val="center"/>
        </w:trPr>
        <w:tc>
          <w:tcPr>
            <w:tcW w:w="1729" w:type="dxa"/>
            <w:shd w:val="clear" w:color="auto" w:fill="auto"/>
            <w:vAlign w:val="center"/>
          </w:tcPr>
          <w:p w:rsidR="003E6588" w:rsidRDefault="003E6588">
            <w:pPr>
              <w:tabs>
                <w:tab w:val="left" w:pos="0"/>
              </w:tabs>
              <w:rPr>
                <w:b/>
                <w:bCs/>
                <w:sz w:val="20"/>
                <w:szCs w:val="20"/>
              </w:rPr>
            </w:pPr>
            <w:r>
              <w:rPr>
                <w:b/>
                <w:bCs/>
                <w:sz w:val="20"/>
                <w:szCs w:val="20"/>
              </w:rPr>
              <w:t>Nº Municípios Abrangidos</w:t>
            </w:r>
          </w:p>
        </w:tc>
        <w:tc>
          <w:tcPr>
            <w:tcW w:w="1729" w:type="dxa"/>
            <w:shd w:val="clear" w:color="auto" w:fill="auto"/>
            <w:vAlign w:val="center"/>
          </w:tcPr>
          <w:p w:rsidR="003E6588" w:rsidRDefault="003E6588">
            <w:pPr>
              <w:tabs>
                <w:tab w:val="left" w:pos="0"/>
              </w:tabs>
              <w:rPr>
                <w:b/>
                <w:bCs/>
                <w:sz w:val="20"/>
                <w:szCs w:val="20"/>
              </w:rPr>
            </w:pPr>
            <w:r>
              <w:rPr>
                <w:b/>
                <w:bCs/>
                <w:sz w:val="20"/>
                <w:szCs w:val="20"/>
              </w:rPr>
              <w:t>Número</w:t>
            </w:r>
          </w:p>
          <w:p w:rsidR="003E6588" w:rsidRDefault="003E6588">
            <w:pPr>
              <w:tabs>
                <w:tab w:val="left" w:pos="0"/>
              </w:tabs>
              <w:rPr>
                <w:b/>
                <w:bCs/>
                <w:sz w:val="20"/>
                <w:szCs w:val="20"/>
              </w:rPr>
            </w:pPr>
            <w:r>
              <w:rPr>
                <w:b/>
                <w:bCs/>
                <w:sz w:val="20"/>
                <w:szCs w:val="20"/>
              </w:rPr>
              <w:t>Operações</w:t>
            </w:r>
          </w:p>
        </w:tc>
        <w:tc>
          <w:tcPr>
            <w:tcW w:w="1822" w:type="dxa"/>
            <w:shd w:val="clear" w:color="auto" w:fill="auto"/>
            <w:vAlign w:val="center"/>
          </w:tcPr>
          <w:p w:rsidR="003E6588" w:rsidRDefault="003E6588">
            <w:pPr>
              <w:tabs>
                <w:tab w:val="left" w:pos="0"/>
              </w:tabs>
              <w:rPr>
                <w:b/>
                <w:bCs/>
                <w:sz w:val="20"/>
                <w:szCs w:val="20"/>
              </w:rPr>
            </w:pPr>
            <w:r>
              <w:rPr>
                <w:b/>
                <w:bCs/>
                <w:sz w:val="20"/>
                <w:szCs w:val="20"/>
              </w:rPr>
              <w:t>Recursos</w:t>
            </w:r>
          </w:p>
          <w:p w:rsidR="003E6588" w:rsidRDefault="003E6588">
            <w:pPr>
              <w:tabs>
                <w:tab w:val="left" w:pos="0"/>
              </w:tabs>
              <w:rPr>
                <w:b/>
                <w:bCs/>
                <w:sz w:val="20"/>
                <w:szCs w:val="20"/>
              </w:rPr>
            </w:pPr>
            <w:r>
              <w:rPr>
                <w:b/>
                <w:bCs/>
                <w:sz w:val="20"/>
                <w:szCs w:val="20"/>
              </w:rPr>
              <w:t>Emprestados (R$)</w:t>
            </w:r>
          </w:p>
        </w:tc>
        <w:tc>
          <w:tcPr>
            <w:tcW w:w="1941" w:type="dxa"/>
            <w:shd w:val="clear" w:color="auto" w:fill="auto"/>
            <w:vAlign w:val="center"/>
          </w:tcPr>
          <w:p w:rsidR="003E6588" w:rsidRDefault="003E6588">
            <w:pPr>
              <w:tabs>
                <w:tab w:val="left" w:pos="0"/>
              </w:tabs>
              <w:rPr>
                <w:b/>
                <w:bCs/>
                <w:sz w:val="20"/>
                <w:szCs w:val="20"/>
              </w:rPr>
            </w:pPr>
            <w:r>
              <w:rPr>
                <w:b/>
                <w:bCs/>
                <w:sz w:val="20"/>
                <w:szCs w:val="20"/>
              </w:rPr>
              <w:t>Valor Médio</w:t>
            </w:r>
          </w:p>
          <w:p w:rsidR="003E6588" w:rsidRDefault="003E6588" w:rsidP="00C13F4D">
            <w:pPr>
              <w:tabs>
                <w:tab w:val="left" w:pos="0"/>
              </w:tabs>
              <w:rPr>
                <w:b/>
                <w:bCs/>
                <w:sz w:val="20"/>
                <w:szCs w:val="20"/>
              </w:rPr>
            </w:pPr>
            <w:r>
              <w:rPr>
                <w:b/>
                <w:bCs/>
                <w:sz w:val="20"/>
                <w:szCs w:val="20"/>
              </w:rPr>
              <w:t>p/Empréstimo (R$)</w:t>
            </w:r>
          </w:p>
        </w:tc>
      </w:tr>
      <w:tr w:rsidR="003E6588" w:rsidTr="00C13F4D">
        <w:trPr>
          <w:jc w:val="center"/>
        </w:trPr>
        <w:tc>
          <w:tcPr>
            <w:tcW w:w="1729" w:type="dxa"/>
            <w:vAlign w:val="center"/>
          </w:tcPr>
          <w:p w:rsidR="003E6588" w:rsidRDefault="003E6588">
            <w:pPr>
              <w:rPr>
                <w:color w:val="000000"/>
                <w:sz w:val="20"/>
                <w:szCs w:val="20"/>
              </w:rPr>
            </w:pPr>
            <w:r>
              <w:rPr>
                <w:color w:val="000000"/>
                <w:sz w:val="20"/>
                <w:szCs w:val="20"/>
              </w:rPr>
              <w:t>184</w:t>
            </w:r>
          </w:p>
        </w:tc>
        <w:tc>
          <w:tcPr>
            <w:tcW w:w="1729" w:type="dxa"/>
            <w:vAlign w:val="center"/>
          </w:tcPr>
          <w:p w:rsidR="003E6588" w:rsidRDefault="003E6588">
            <w:pPr>
              <w:rPr>
                <w:color w:val="000000"/>
                <w:sz w:val="20"/>
                <w:szCs w:val="20"/>
              </w:rPr>
            </w:pPr>
            <w:r>
              <w:rPr>
                <w:color w:val="000000"/>
                <w:sz w:val="20"/>
                <w:szCs w:val="20"/>
              </w:rPr>
              <w:t>740</w:t>
            </w:r>
          </w:p>
        </w:tc>
        <w:tc>
          <w:tcPr>
            <w:tcW w:w="1822" w:type="dxa"/>
            <w:vAlign w:val="center"/>
          </w:tcPr>
          <w:p w:rsidR="003E6588" w:rsidRDefault="003E6588">
            <w:pPr>
              <w:jc w:val="right"/>
              <w:rPr>
                <w:color w:val="000000"/>
                <w:sz w:val="20"/>
                <w:szCs w:val="20"/>
              </w:rPr>
            </w:pPr>
            <w:r>
              <w:rPr>
                <w:color w:val="000000"/>
                <w:sz w:val="20"/>
                <w:szCs w:val="20"/>
              </w:rPr>
              <w:t>5.169.606,53</w:t>
            </w:r>
          </w:p>
        </w:tc>
        <w:tc>
          <w:tcPr>
            <w:tcW w:w="1941" w:type="dxa"/>
            <w:vAlign w:val="center"/>
          </w:tcPr>
          <w:p w:rsidR="003E6588" w:rsidRDefault="003E6588">
            <w:pPr>
              <w:jc w:val="right"/>
              <w:rPr>
                <w:color w:val="000000"/>
                <w:sz w:val="20"/>
                <w:szCs w:val="20"/>
              </w:rPr>
            </w:pPr>
            <w:r>
              <w:rPr>
                <w:color w:val="000000"/>
                <w:sz w:val="20"/>
                <w:szCs w:val="20"/>
              </w:rPr>
              <w:t xml:space="preserve">6.985,95 </w:t>
            </w:r>
          </w:p>
        </w:tc>
      </w:tr>
    </w:tbl>
    <w:p w:rsidR="003E6588" w:rsidRDefault="003E6588">
      <w:pPr>
        <w:ind w:firstLine="1134"/>
        <w:jc w:val="both"/>
        <w:rPr>
          <w:b/>
          <w:highlight w:val="yellow"/>
        </w:rPr>
      </w:pPr>
    </w:p>
    <w:p w:rsidR="003E6588" w:rsidRDefault="003E6588">
      <w:pPr>
        <w:ind w:firstLine="1134"/>
        <w:jc w:val="both"/>
        <w:rPr>
          <w:b/>
        </w:rPr>
      </w:pPr>
      <w:r>
        <w:rPr>
          <w:b/>
        </w:rPr>
        <w:t>Patrimônio Casa Paulista Microcrédito - Banco do Povo Paulista</w:t>
      </w:r>
    </w:p>
    <w:p w:rsidR="003E6588" w:rsidRDefault="003E6588">
      <w:pPr>
        <w:ind w:firstLine="1134"/>
        <w:jc w:val="both"/>
        <w:rPr>
          <w:b/>
        </w:rPr>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3164"/>
        <w:gridCol w:w="2198"/>
      </w:tblGrid>
      <w:tr w:rsidR="003E6588" w:rsidTr="00C13F4D">
        <w:trPr>
          <w:trHeight w:val="207"/>
          <w:jc w:val="center"/>
        </w:trPr>
        <w:tc>
          <w:tcPr>
            <w:tcW w:w="3164" w:type="dxa"/>
            <w:shd w:val="clear" w:color="auto" w:fill="auto"/>
            <w:vAlign w:val="center"/>
          </w:tcPr>
          <w:p w:rsidR="003E6588" w:rsidRDefault="003E6588">
            <w:pPr>
              <w:textAlignment w:val="center"/>
              <w:rPr>
                <w:b/>
                <w:bCs/>
                <w:sz w:val="20"/>
                <w:szCs w:val="20"/>
              </w:rPr>
            </w:pPr>
            <w:r>
              <w:rPr>
                <w:b/>
                <w:bCs/>
                <w:kern w:val="24"/>
                <w:sz w:val="20"/>
                <w:szCs w:val="20"/>
              </w:rPr>
              <w:t>Balanço Patrimônio</w:t>
            </w:r>
          </w:p>
        </w:tc>
        <w:tc>
          <w:tcPr>
            <w:tcW w:w="2198" w:type="dxa"/>
            <w:shd w:val="clear" w:color="auto" w:fill="auto"/>
            <w:vAlign w:val="center"/>
          </w:tcPr>
          <w:p w:rsidR="003E6588" w:rsidRDefault="003E6588" w:rsidP="00C13F4D">
            <w:pPr>
              <w:textAlignment w:val="center"/>
              <w:rPr>
                <w:b/>
                <w:bCs/>
                <w:sz w:val="20"/>
                <w:szCs w:val="20"/>
              </w:rPr>
            </w:pPr>
            <w:r>
              <w:rPr>
                <w:b/>
                <w:bCs/>
                <w:kern w:val="24"/>
                <w:sz w:val="20"/>
                <w:szCs w:val="20"/>
              </w:rPr>
              <w:t>Em 28/11/2014</w:t>
            </w:r>
            <w:r w:rsidR="00C13F4D">
              <w:rPr>
                <w:b/>
                <w:bCs/>
                <w:kern w:val="24"/>
                <w:sz w:val="20"/>
                <w:szCs w:val="20"/>
              </w:rPr>
              <w:t xml:space="preserve"> </w:t>
            </w:r>
            <w:r>
              <w:rPr>
                <w:b/>
                <w:bCs/>
                <w:kern w:val="24"/>
                <w:sz w:val="20"/>
                <w:szCs w:val="20"/>
              </w:rPr>
              <w:t>(R$)</w:t>
            </w:r>
          </w:p>
        </w:tc>
      </w:tr>
      <w:tr w:rsidR="003E6588" w:rsidTr="00C13F4D">
        <w:trPr>
          <w:jc w:val="center"/>
        </w:trPr>
        <w:tc>
          <w:tcPr>
            <w:tcW w:w="3164" w:type="dxa"/>
            <w:vAlign w:val="center"/>
          </w:tcPr>
          <w:p w:rsidR="003E6588" w:rsidRDefault="003E6588" w:rsidP="00C13F4D">
            <w:pPr>
              <w:jc w:val="both"/>
              <w:textAlignment w:val="center"/>
              <w:rPr>
                <w:bCs/>
                <w:color w:val="000000"/>
                <w:sz w:val="20"/>
                <w:szCs w:val="20"/>
              </w:rPr>
            </w:pPr>
            <w:r>
              <w:rPr>
                <w:bCs/>
                <w:color w:val="000000"/>
                <w:kern w:val="24"/>
                <w:sz w:val="20"/>
                <w:szCs w:val="20"/>
              </w:rPr>
              <w:t>Recursos Disponíveis Aplicações</w:t>
            </w:r>
          </w:p>
        </w:tc>
        <w:tc>
          <w:tcPr>
            <w:tcW w:w="2198" w:type="dxa"/>
            <w:vAlign w:val="center"/>
          </w:tcPr>
          <w:p w:rsidR="003E6588" w:rsidRDefault="003E6588">
            <w:pPr>
              <w:jc w:val="right"/>
              <w:textAlignment w:val="center"/>
              <w:rPr>
                <w:color w:val="000000"/>
                <w:sz w:val="20"/>
                <w:szCs w:val="20"/>
              </w:rPr>
            </w:pPr>
            <w:r>
              <w:rPr>
                <w:bCs/>
                <w:color w:val="000000"/>
                <w:kern w:val="24"/>
                <w:sz w:val="20"/>
                <w:szCs w:val="20"/>
              </w:rPr>
              <w:t xml:space="preserve">4.961.118,80 </w:t>
            </w:r>
          </w:p>
        </w:tc>
      </w:tr>
      <w:tr w:rsidR="003E6588" w:rsidTr="00C13F4D">
        <w:trPr>
          <w:jc w:val="center"/>
        </w:trPr>
        <w:tc>
          <w:tcPr>
            <w:tcW w:w="3164" w:type="dxa"/>
            <w:vAlign w:val="center"/>
          </w:tcPr>
          <w:p w:rsidR="003E6588" w:rsidRDefault="003E6588" w:rsidP="00C13F4D">
            <w:pPr>
              <w:jc w:val="both"/>
              <w:textAlignment w:val="center"/>
              <w:rPr>
                <w:bCs/>
                <w:color w:val="000000"/>
                <w:sz w:val="20"/>
                <w:szCs w:val="20"/>
              </w:rPr>
            </w:pPr>
            <w:r>
              <w:rPr>
                <w:bCs/>
                <w:color w:val="000000"/>
                <w:kern w:val="24"/>
                <w:sz w:val="20"/>
                <w:szCs w:val="20"/>
              </w:rPr>
              <w:t>Empréstimos Carteira Ativa</w:t>
            </w:r>
          </w:p>
        </w:tc>
        <w:tc>
          <w:tcPr>
            <w:tcW w:w="2198" w:type="dxa"/>
            <w:vAlign w:val="center"/>
          </w:tcPr>
          <w:p w:rsidR="003E6588" w:rsidRDefault="003E6588">
            <w:pPr>
              <w:jc w:val="right"/>
              <w:textAlignment w:val="center"/>
              <w:rPr>
                <w:color w:val="000000"/>
                <w:sz w:val="20"/>
                <w:szCs w:val="20"/>
              </w:rPr>
            </w:pPr>
            <w:r>
              <w:rPr>
                <w:bCs/>
                <w:color w:val="000000"/>
                <w:kern w:val="24"/>
                <w:sz w:val="20"/>
                <w:szCs w:val="20"/>
              </w:rPr>
              <w:t>7.723.960,05</w:t>
            </w:r>
          </w:p>
        </w:tc>
      </w:tr>
      <w:tr w:rsidR="003E6588" w:rsidTr="00C13F4D">
        <w:trPr>
          <w:jc w:val="center"/>
        </w:trPr>
        <w:tc>
          <w:tcPr>
            <w:tcW w:w="3164" w:type="dxa"/>
            <w:vAlign w:val="center"/>
          </w:tcPr>
          <w:p w:rsidR="003E6588" w:rsidRDefault="003E6588" w:rsidP="00C13F4D">
            <w:pPr>
              <w:jc w:val="both"/>
              <w:textAlignment w:val="center"/>
              <w:rPr>
                <w:bCs/>
                <w:color w:val="000000"/>
                <w:sz w:val="20"/>
                <w:szCs w:val="20"/>
              </w:rPr>
            </w:pPr>
            <w:r>
              <w:rPr>
                <w:bCs/>
                <w:color w:val="000000"/>
                <w:kern w:val="24"/>
                <w:sz w:val="20"/>
                <w:szCs w:val="20"/>
              </w:rPr>
              <w:t>Patrimônio Líquido</w:t>
            </w:r>
          </w:p>
        </w:tc>
        <w:tc>
          <w:tcPr>
            <w:tcW w:w="2198" w:type="dxa"/>
            <w:vAlign w:val="center"/>
          </w:tcPr>
          <w:p w:rsidR="003E6588" w:rsidRDefault="003E6588">
            <w:pPr>
              <w:jc w:val="right"/>
              <w:textAlignment w:val="center"/>
              <w:rPr>
                <w:color w:val="000000"/>
                <w:sz w:val="20"/>
                <w:szCs w:val="20"/>
              </w:rPr>
            </w:pPr>
            <w:r>
              <w:rPr>
                <w:bCs/>
                <w:color w:val="000000"/>
                <w:kern w:val="24"/>
                <w:sz w:val="20"/>
                <w:szCs w:val="20"/>
              </w:rPr>
              <w:t xml:space="preserve">12.685.078,85 </w:t>
            </w:r>
          </w:p>
        </w:tc>
      </w:tr>
    </w:tbl>
    <w:p w:rsidR="003E6588" w:rsidRDefault="003E6588">
      <w:pPr>
        <w:ind w:firstLine="1134"/>
        <w:jc w:val="both"/>
        <w:rPr>
          <w:b/>
        </w:rPr>
      </w:pPr>
    </w:p>
    <w:p w:rsidR="003E6588" w:rsidRDefault="003E6588">
      <w:pPr>
        <w:ind w:firstLine="1134"/>
        <w:jc w:val="both"/>
        <w:rPr>
          <w:b/>
        </w:rPr>
      </w:pPr>
      <w:r>
        <w:rPr>
          <w:b/>
        </w:rPr>
        <w:t>Desenvolvimento Técnico para Empreendedorismo e Empregabilidade</w:t>
      </w:r>
    </w:p>
    <w:p w:rsidR="003E6588" w:rsidRDefault="003E6588">
      <w:pPr>
        <w:ind w:firstLine="1134"/>
        <w:jc w:val="both"/>
        <w:rPr>
          <w:b/>
          <w:highlight w:val="yellow"/>
          <w:u w:val="double"/>
        </w:rPr>
      </w:pPr>
    </w:p>
    <w:p w:rsidR="003E6588" w:rsidRDefault="003E6588">
      <w:pPr>
        <w:ind w:firstLine="1134"/>
        <w:jc w:val="both"/>
      </w:pPr>
      <w:r>
        <w:rPr>
          <w:b/>
        </w:rPr>
        <w:lastRenderedPageBreak/>
        <w:t xml:space="preserve">Observatório do Emprego e Trabalho - </w:t>
      </w:r>
      <w:r>
        <w:t>A SERT vem desenvolvendo ações e projetos voltados para o Trabalho Decente, com objetivo de que seja reconhecido como um de seus programas.</w:t>
      </w:r>
    </w:p>
    <w:p w:rsidR="003E6588" w:rsidRDefault="003E6588">
      <w:pPr>
        <w:ind w:firstLine="1134"/>
        <w:jc w:val="both"/>
        <w:rPr>
          <w:b/>
        </w:rPr>
      </w:pPr>
    </w:p>
    <w:p w:rsidR="003E6588" w:rsidRDefault="003E6588">
      <w:pPr>
        <w:ind w:firstLine="1134"/>
        <w:jc w:val="both"/>
      </w:pPr>
      <w:r>
        <w:rPr>
          <w:b/>
        </w:rPr>
        <w:t xml:space="preserve">Produtos desenvolvidos - </w:t>
      </w:r>
      <w:r>
        <w:t>Foram entregues 6.450 relatórios referentes aos indicadores de Trabalho Decente, instituídos pela Organização Internacional do Trabalho, aplicados para os 645 municípios do Estado, que serão disponibilizados em plataforma de banco de dados.</w:t>
      </w:r>
    </w:p>
    <w:p w:rsidR="003E6588" w:rsidRDefault="003E6588">
      <w:pPr>
        <w:ind w:firstLine="1134"/>
        <w:jc w:val="both"/>
        <w:rPr>
          <w:b/>
          <w:highlight w:val="yellow"/>
        </w:rPr>
      </w:pPr>
    </w:p>
    <w:p w:rsidR="003E6588" w:rsidRDefault="003E6588">
      <w:pPr>
        <w:ind w:firstLine="1134"/>
        <w:jc w:val="both"/>
      </w:pPr>
      <w:r>
        <w:rPr>
          <w:b/>
        </w:rPr>
        <w:t xml:space="preserve">Comissões de Emprego - </w:t>
      </w:r>
      <w:r>
        <w:t>A Comissão Estadual de Emprego, regida pelo Decreto nº 40.322/1995, é formada por 15 Conselheiros efetivos, com respectivos suplentes. Tem por atribuição estimular e aprovar a criação de comissões tripartite de emprego nos municípios paulistas, assim como colaborar na definição e desenvolvimento de políticas públicas locais de trabalho, emprego e renda.</w:t>
      </w:r>
    </w:p>
    <w:p w:rsidR="003E6588" w:rsidRDefault="003E6588">
      <w:pPr>
        <w:pStyle w:val="PargrafodaLista"/>
        <w:ind w:left="0" w:firstLine="1134"/>
        <w:rPr>
          <w:rFonts w:ascii="Times New Roman" w:hAnsi="Times New Roman"/>
          <w:sz w:val="24"/>
          <w:szCs w:val="24"/>
        </w:rPr>
      </w:pPr>
    </w:p>
    <w:p w:rsidR="003E6588" w:rsidRDefault="003E6588">
      <w:pPr>
        <w:pStyle w:val="PargrafodaLista"/>
        <w:tabs>
          <w:tab w:val="left" w:pos="993"/>
        </w:tabs>
        <w:ind w:left="0" w:firstLine="1134"/>
        <w:rPr>
          <w:rFonts w:ascii="Times New Roman" w:hAnsi="Times New Roman"/>
          <w:sz w:val="24"/>
          <w:szCs w:val="24"/>
        </w:rPr>
      </w:pPr>
      <w:r>
        <w:rPr>
          <w:rFonts w:ascii="Times New Roman" w:hAnsi="Times New Roman"/>
          <w:sz w:val="24"/>
          <w:szCs w:val="24"/>
        </w:rPr>
        <w:t>A relação da SERT com as Comissões Municipais de Emprego permite que o cronograma de trabalho das atividades da Secretaria seja elaborado a partir das demandas apresentadas pelos municípios, resultando em programas capazes de conciliar abrangência geográfica e atenção às necessidades locais.</w:t>
      </w:r>
    </w:p>
    <w:p w:rsidR="003E6588" w:rsidRDefault="003E6588">
      <w:pPr>
        <w:pStyle w:val="PargrafodaLista"/>
        <w:tabs>
          <w:tab w:val="left" w:pos="3213"/>
        </w:tabs>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Atividades</w:t>
      </w:r>
    </w:p>
    <w:p w:rsidR="003E6588" w:rsidRDefault="003E6588" w:rsidP="00C13F4D">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color w:val="000000"/>
        </w:rPr>
      </w:pPr>
      <w:r>
        <w:rPr>
          <w:color w:val="000000"/>
        </w:rPr>
        <w:t>- 4 eventos de Capacitação dos Representantes das Comissões Municipais de Emprego, com 316 participantes, oriundos de 90 municípios;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- 1º Encontro das Comissões Municipais de Emprego</w:t>
      </w:r>
      <w:r w:rsidR="00C13F4D">
        <w:rPr>
          <w:color w:val="000000"/>
        </w:rPr>
        <w:t xml:space="preserve"> </w:t>
      </w:r>
      <w:r>
        <w:rPr>
          <w:color w:val="000000"/>
        </w:rPr>
        <w:t xml:space="preserve">- CME’s, com 240 </w:t>
      </w:r>
      <w:r>
        <w:t>participantes de 97</w:t>
      </w:r>
      <w:r>
        <w:rPr>
          <w:color w:val="000000"/>
        </w:rPr>
        <w:t xml:space="preserve"> municípios;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- 5 Encontros da Comissão Regional de Piracicaba, com 220 participantes de 75 municípios;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xml:space="preserve">- 20 </w:t>
      </w:r>
      <w:r>
        <w:t>eventos de Capacitação dos Conselheiros das Comissões Municipais de Emprego, com 358 participantes de 70 municípios;</w:t>
      </w:r>
    </w:p>
    <w:p w:rsidR="003E6588" w:rsidRDefault="003E6588" w:rsidP="00C13F4D">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Capacitação dos Diretores Regionais da SERT, com 34 participantes, representando 16 regiões administrativas do Estado;</w:t>
      </w:r>
    </w:p>
    <w:p w:rsidR="00C13F4D" w:rsidRDefault="00C13F4D">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Participação na AGRIFAM (Congresso de Agricultura Familiar), em Lençóis Paulista;</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Implantação de 544 Comissões Municipais de Emprego no Estado;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Foram recebidos 298 Planos de Trabalhos;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Foram realizadas 11 reuniões da Comissão Estadual de Emprego, com participação de 782 representantes de Comissões Municipais,do Executivo e Legislativo dos municípios do Estado;</w:t>
      </w:r>
    </w:p>
    <w:p w:rsidR="003E6588" w:rsidRDefault="003E6588">
      <w:pPr>
        <w:autoSpaceDE w:val="0"/>
        <w:autoSpaceDN w:val="0"/>
        <w:adjustRightInd w:val="0"/>
        <w:ind w:left="1134" w:firstLine="1134"/>
        <w:jc w:val="both"/>
        <w:rPr>
          <w:color w:val="000000"/>
        </w:rPr>
      </w:pPr>
    </w:p>
    <w:p w:rsidR="003E6588" w:rsidRDefault="003E6588">
      <w:pPr>
        <w:autoSpaceDE w:val="0"/>
        <w:autoSpaceDN w:val="0"/>
        <w:adjustRightInd w:val="0"/>
        <w:ind w:firstLine="1134"/>
        <w:jc w:val="both"/>
        <w:rPr>
          <w:strike/>
        </w:rPr>
      </w:pPr>
      <w:r>
        <w:rPr>
          <w:color w:val="000000"/>
        </w:rPr>
        <w:lastRenderedPageBreak/>
        <w:t xml:space="preserve">- Foi realizada reunião Itinerante da Comissão Estadual de Emprego no Município de Piracicaba, com 101 participantes, oriundo de 32 </w:t>
      </w:r>
      <w:r>
        <w:t>municípios.</w:t>
      </w:r>
    </w:p>
    <w:p w:rsidR="003E6588" w:rsidRDefault="003E6588">
      <w:pPr>
        <w:autoSpaceDE w:val="0"/>
        <w:autoSpaceDN w:val="0"/>
        <w:adjustRightInd w:val="0"/>
        <w:ind w:left="1134" w:firstLine="1134"/>
        <w:jc w:val="both"/>
        <w:rPr>
          <w:color w:val="000000"/>
        </w:rPr>
      </w:pPr>
    </w:p>
    <w:p w:rsidR="003E6588" w:rsidRDefault="003E6588">
      <w:pPr>
        <w:ind w:firstLine="1134"/>
        <w:jc w:val="both"/>
      </w:pPr>
      <w:r>
        <w:rPr>
          <w:b/>
        </w:rPr>
        <w:t xml:space="preserve">Informações Estratégicas para Empreendedorismo - </w:t>
      </w:r>
      <w:r>
        <w:rPr>
          <w:color w:val="000000"/>
        </w:rPr>
        <w:t xml:space="preserve">Tem como </w:t>
      </w:r>
      <w:r>
        <w:t>finalidade a entrega de metodologia de formação em Trabalho Decente para Empreendedorismo, com conteúdos que auxiliam a inserção do microempreendedor no mercado de trabalho de forma decente.</w:t>
      </w:r>
    </w:p>
    <w:p w:rsidR="003E6588" w:rsidRDefault="003E6588">
      <w:pPr>
        <w:ind w:firstLine="1134"/>
        <w:jc w:val="both"/>
        <w:rPr>
          <w:highlight w:val="yellow"/>
        </w:rPr>
      </w:pPr>
    </w:p>
    <w:p w:rsidR="003E6588" w:rsidRDefault="003E6588">
      <w:pPr>
        <w:ind w:firstLine="1134"/>
        <w:jc w:val="both"/>
        <w:rPr>
          <w:color w:val="000000"/>
        </w:rPr>
      </w:pPr>
      <w:r>
        <w:rPr>
          <w:b/>
        </w:rPr>
        <w:t xml:space="preserve">Informações Estratégicas para Formação Profissional - </w:t>
      </w:r>
      <w:r>
        <w:t>Objetiva a realização de metodologia que visa priorizar ações de qualificação profissional para o microempreendedorismo</w:t>
      </w:r>
      <w:r>
        <w:rPr>
          <w:color w:val="000000"/>
        </w:rPr>
        <w:t>.</w:t>
      </w:r>
    </w:p>
    <w:p w:rsidR="003E6588" w:rsidRDefault="003E6588">
      <w:pPr>
        <w:ind w:firstLine="1134"/>
        <w:jc w:val="both"/>
        <w:rPr>
          <w:highlight w:val="yellow"/>
        </w:rPr>
      </w:pPr>
    </w:p>
    <w:p w:rsidR="003E6588" w:rsidRDefault="003E6588">
      <w:pPr>
        <w:ind w:firstLine="1134"/>
        <w:jc w:val="both"/>
      </w:pPr>
      <w:r>
        <w:rPr>
          <w:b/>
        </w:rPr>
        <w:t xml:space="preserve">Fomento ao Emprego e Renda - </w:t>
      </w:r>
      <w:r>
        <w:t>A Coordenação de Políticas de Emprego e Renda - CPER é responsável pelo desenvolvimento e execução de políticas públicas de fomento ao emprego, trabalho e renda, com destaque para a qualificação profissional de trabalhadores.</w:t>
      </w:r>
    </w:p>
    <w:p w:rsidR="003E6588" w:rsidRDefault="003E6588">
      <w:pPr>
        <w:ind w:firstLine="1134"/>
        <w:jc w:val="both"/>
        <w:rPr>
          <w:b/>
          <w:u w:val="double"/>
        </w:rPr>
      </w:pPr>
    </w:p>
    <w:p w:rsidR="003E6588" w:rsidRDefault="003E6588">
      <w:pPr>
        <w:ind w:firstLine="1134"/>
        <w:jc w:val="both"/>
      </w:pPr>
      <w:r>
        <w:rPr>
          <w:b/>
        </w:rPr>
        <w:t xml:space="preserve">Qualificação e Requalificação Profissional do Trabalhador - </w:t>
      </w:r>
      <w:r>
        <w:t>A ação tem como foco capacitar, qualificar ou requalificar o trabalhador, de preferência desempregado, visando inserção e/ou reinserção no mercado de trabalho, Tem como público alvo pessoas a partir de 16 anos de idade.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Objetivando adequação do programa às necessidades do mercado de trabalho paulista, o oferecimento dos cursos do PEQ nos municípios é definido de acordo com as demandas originárias das Comissões Municipais de Emprego, cotejadas por estudos realizados pelo Observatório do Emprego e do Trabalho.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Para tanto, o Governo do Estado oferece aos participantes do programa bolsa-auxílio no valor de R$ 210,00 e auxílio transporte no valor de R$ 120,00.</w:t>
      </w:r>
    </w:p>
    <w:p w:rsidR="003E6588" w:rsidRDefault="003E6588">
      <w:pPr>
        <w:ind w:firstLine="1134"/>
        <w:jc w:val="both"/>
        <w:rPr>
          <w:b/>
          <w:highlight w:val="yellow"/>
        </w:rPr>
      </w:pPr>
    </w:p>
    <w:p w:rsidR="003E6588" w:rsidRDefault="003E6588">
      <w:pPr>
        <w:ind w:firstLine="1134"/>
        <w:jc w:val="both"/>
        <w:rPr>
          <w:b/>
        </w:rPr>
      </w:pPr>
      <w:r>
        <w:rPr>
          <w:b/>
        </w:rPr>
        <w:t>Dados</w:t>
      </w:r>
    </w:p>
    <w:p w:rsidR="003E6588" w:rsidRDefault="003E6588">
      <w:pPr>
        <w:ind w:firstLine="1134"/>
        <w:jc w:val="both"/>
        <w:rPr>
          <w:b/>
          <w:highlight w:val="yellow"/>
        </w:rPr>
      </w:pPr>
    </w:p>
    <w:tbl>
      <w:tblPr>
        <w:tblW w:w="0" w:type="auto"/>
        <w:jc w:val="center"/>
        <w:tblBorders>
          <w:top w:val="single" w:sz="8" w:space="0" w:color="auto"/>
          <w:left w:val="single" w:sz="8" w:space="0" w:color="auto"/>
          <w:bottom w:val="single" w:sz="8" w:space="0" w:color="auto"/>
          <w:right w:val="single" w:sz="8" w:space="0" w:color="auto"/>
          <w:insideH w:val="double" w:sz="4" w:space="0" w:color="auto"/>
          <w:insideV w:val="single" w:sz="8" w:space="0" w:color="auto"/>
        </w:tblBorders>
        <w:tblLook w:val="04A0"/>
      </w:tblPr>
      <w:tblGrid>
        <w:gridCol w:w="2791"/>
        <w:gridCol w:w="2792"/>
      </w:tblGrid>
      <w:tr w:rsidR="003E6588" w:rsidTr="00CB499F">
        <w:trPr>
          <w:trHeight w:val="207"/>
          <w:jc w:val="center"/>
        </w:trPr>
        <w:tc>
          <w:tcPr>
            <w:tcW w:w="2791" w:type="dxa"/>
            <w:tcBorders>
              <w:top w:val="single" w:sz="8" w:space="0" w:color="auto"/>
              <w:bottom w:val="single" w:sz="8" w:space="0" w:color="auto"/>
            </w:tcBorders>
            <w:shd w:val="clear" w:color="auto" w:fill="auto"/>
          </w:tcPr>
          <w:p w:rsidR="003E6588" w:rsidRDefault="003E6588" w:rsidP="00C13F4D">
            <w:pPr>
              <w:rPr>
                <w:b/>
                <w:sz w:val="20"/>
                <w:szCs w:val="20"/>
              </w:rPr>
            </w:pPr>
            <w:r>
              <w:rPr>
                <w:b/>
                <w:sz w:val="20"/>
                <w:szCs w:val="20"/>
              </w:rPr>
              <w:t>Total de vagas de cursos de qualificação disponibilizadas</w:t>
            </w:r>
          </w:p>
        </w:tc>
        <w:tc>
          <w:tcPr>
            <w:tcW w:w="2792" w:type="dxa"/>
            <w:tcBorders>
              <w:top w:val="single" w:sz="8" w:space="0" w:color="auto"/>
              <w:bottom w:val="single" w:sz="8" w:space="0" w:color="auto"/>
            </w:tcBorders>
            <w:shd w:val="clear" w:color="auto" w:fill="auto"/>
          </w:tcPr>
          <w:p w:rsidR="003E6588" w:rsidRDefault="003E6588">
            <w:pPr>
              <w:rPr>
                <w:b/>
                <w:sz w:val="20"/>
                <w:szCs w:val="20"/>
              </w:rPr>
            </w:pPr>
            <w:r>
              <w:rPr>
                <w:b/>
                <w:sz w:val="20"/>
                <w:szCs w:val="20"/>
              </w:rPr>
              <w:t>Total de municípios abrangidos pelos cursos</w:t>
            </w:r>
          </w:p>
        </w:tc>
      </w:tr>
      <w:tr w:rsidR="003E6588" w:rsidTr="00CB499F">
        <w:trPr>
          <w:trHeight w:val="154"/>
          <w:jc w:val="center"/>
        </w:trPr>
        <w:tc>
          <w:tcPr>
            <w:tcW w:w="2791" w:type="dxa"/>
            <w:tcBorders>
              <w:top w:val="single" w:sz="8" w:space="0" w:color="auto"/>
            </w:tcBorders>
          </w:tcPr>
          <w:p w:rsidR="003E6588" w:rsidRDefault="003E6588">
            <w:pPr>
              <w:rPr>
                <w:sz w:val="20"/>
                <w:szCs w:val="20"/>
              </w:rPr>
            </w:pPr>
            <w:r>
              <w:rPr>
                <w:color w:val="000000"/>
                <w:sz w:val="20"/>
                <w:szCs w:val="20"/>
              </w:rPr>
              <w:t>16.100</w:t>
            </w:r>
          </w:p>
        </w:tc>
        <w:tc>
          <w:tcPr>
            <w:tcW w:w="2792" w:type="dxa"/>
            <w:tcBorders>
              <w:top w:val="single" w:sz="8" w:space="0" w:color="auto"/>
            </w:tcBorders>
          </w:tcPr>
          <w:p w:rsidR="003E6588" w:rsidRDefault="003E6588">
            <w:pPr>
              <w:rPr>
                <w:sz w:val="20"/>
                <w:szCs w:val="20"/>
              </w:rPr>
            </w:pPr>
            <w:r>
              <w:rPr>
                <w:color w:val="000000"/>
                <w:sz w:val="20"/>
                <w:szCs w:val="20"/>
              </w:rPr>
              <w:t>253</w:t>
            </w:r>
          </w:p>
        </w:tc>
      </w:tr>
    </w:tbl>
    <w:p w:rsidR="003E6588" w:rsidRDefault="003E6588">
      <w:pPr>
        <w:ind w:firstLine="1134"/>
        <w:jc w:val="both"/>
        <w:rPr>
          <w:b/>
          <w:highlight w:val="yellow"/>
        </w:rPr>
      </w:pPr>
    </w:p>
    <w:p w:rsidR="003E6588" w:rsidRDefault="003E6588">
      <w:pPr>
        <w:ind w:firstLine="1134"/>
        <w:jc w:val="both"/>
      </w:pPr>
      <w:r>
        <w:rPr>
          <w:b/>
        </w:rPr>
        <w:t xml:space="preserve">Emissão Carteira de Trabalho e Previdência Social - </w:t>
      </w:r>
      <w:r>
        <w:t>A Carteira de Trabalho é um dos únicos documentos a reproduzir a vida funcional do trabalhador. Garante o acesso a alguns dos principais direitos trabalhistas, como seguro-desemprego, benefícios previdenciários e FGTS.</w:t>
      </w:r>
    </w:p>
    <w:p w:rsidR="003E6588" w:rsidRDefault="003E6588">
      <w:pPr>
        <w:ind w:firstLine="1134"/>
        <w:jc w:val="both"/>
      </w:pPr>
    </w:p>
    <w:p w:rsidR="003E6588" w:rsidRDefault="003E6588">
      <w:pPr>
        <w:ind w:firstLine="1134"/>
        <w:jc w:val="both"/>
      </w:pPr>
      <w:r>
        <w:t>Sua emissão é feita nos 251 Postos de Atendimento ao Trabalhador existentes no Estado.</w:t>
      </w:r>
    </w:p>
    <w:p w:rsidR="003E6588" w:rsidRDefault="003E6588">
      <w:pPr>
        <w:ind w:firstLine="1134"/>
        <w:jc w:val="both"/>
        <w:rPr>
          <w:b/>
        </w:rPr>
      </w:pPr>
    </w:p>
    <w:tbl>
      <w:tblPr>
        <w:tblW w:w="0" w:type="auto"/>
        <w:jc w:val="center"/>
        <w:tblInd w:w="1841" w:type="dxa"/>
        <w:tblBorders>
          <w:top w:val="single" w:sz="8" w:space="0" w:color="auto"/>
          <w:left w:val="single" w:sz="8" w:space="0" w:color="auto"/>
          <w:bottom w:val="single" w:sz="8" w:space="0" w:color="auto"/>
          <w:right w:val="single" w:sz="8" w:space="0" w:color="auto"/>
          <w:insideH w:val="single" w:sz="8" w:space="0" w:color="auto"/>
          <w:insideV w:val="double" w:sz="4" w:space="0" w:color="auto"/>
        </w:tblBorders>
        <w:tblLook w:val="04A0"/>
      </w:tblPr>
      <w:tblGrid>
        <w:gridCol w:w="2481"/>
        <w:gridCol w:w="2409"/>
      </w:tblGrid>
      <w:tr w:rsidR="003E6588" w:rsidTr="00C13F4D">
        <w:trPr>
          <w:jc w:val="center"/>
        </w:trPr>
        <w:tc>
          <w:tcPr>
            <w:tcW w:w="4890" w:type="dxa"/>
            <w:gridSpan w:val="2"/>
            <w:tcBorders>
              <w:bottom w:val="single" w:sz="8" w:space="0" w:color="auto"/>
            </w:tcBorders>
            <w:shd w:val="clear" w:color="auto" w:fill="auto"/>
          </w:tcPr>
          <w:p w:rsidR="003E6588" w:rsidRDefault="003E6588">
            <w:pPr>
              <w:ind w:firstLine="33"/>
              <w:rPr>
                <w:b/>
                <w:sz w:val="20"/>
                <w:szCs w:val="20"/>
              </w:rPr>
            </w:pPr>
            <w:r>
              <w:rPr>
                <w:b/>
                <w:sz w:val="20"/>
                <w:szCs w:val="20"/>
              </w:rPr>
              <w:t>CARTEIRAS DE TRABALHO</w:t>
            </w:r>
          </w:p>
        </w:tc>
      </w:tr>
      <w:tr w:rsidR="003E6588" w:rsidTr="00C13F4D">
        <w:trPr>
          <w:jc w:val="center"/>
        </w:trPr>
        <w:tc>
          <w:tcPr>
            <w:tcW w:w="2481" w:type="dxa"/>
            <w:tcBorders>
              <w:right w:val="single" w:sz="8" w:space="0" w:color="auto"/>
            </w:tcBorders>
            <w:shd w:val="clear" w:color="auto" w:fill="auto"/>
          </w:tcPr>
          <w:p w:rsidR="003E6588" w:rsidRDefault="003E6588">
            <w:pPr>
              <w:ind w:firstLine="33"/>
              <w:rPr>
                <w:b/>
                <w:sz w:val="20"/>
                <w:szCs w:val="20"/>
              </w:rPr>
            </w:pPr>
            <w:r>
              <w:rPr>
                <w:b/>
                <w:sz w:val="20"/>
                <w:szCs w:val="20"/>
              </w:rPr>
              <w:t>2014</w:t>
            </w:r>
          </w:p>
        </w:tc>
        <w:tc>
          <w:tcPr>
            <w:tcW w:w="2409" w:type="dxa"/>
            <w:tcBorders>
              <w:left w:val="single" w:sz="8" w:space="0" w:color="auto"/>
            </w:tcBorders>
            <w:shd w:val="clear" w:color="auto" w:fill="auto"/>
          </w:tcPr>
          <w:p w:rsidR="003E6588" w:rsidRDefault="003E6588">
            <w:pPr>
              <w:ind w:firstLine="33"/>
              <w:rPr>
                <w:b/>
                <w:sz w:val="20"/>
                <w:szCs w:val="20"/>
              </w:rPr>
            </w:pPr>
            <w:r>
              <w:rPr>
                <w:b/>
                <w:sz w:val="20"/>
                <w:szCs w:val="20"/>
              </w:rPr>
              <w:t>CTPS</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Janeiro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138.258</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Fevereiro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96.057</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Março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92.013</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Abril</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86.976</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lastRenderedPageBreak/>
              <w:t>Maio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91.189</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Junho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72.696</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Julho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97.138</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Agosto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82.019</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Setembro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84.929</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Outubro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83.920</w:t>
            </w:r>
          </w:p>
        </w:tc>
      </w:tr>
      <w:tr w:rsidR="003E6588" w:rsidTr="00C13F4D">
        <w:trPr>
          <w:jc w:val="center"/>
        </w:trPr>
        <w:tc>
          <w:tcPr>
            <w:tcW w:w="2481" w:type="dxa"/>
            <w:tcBorders>
              <w:right w:val="single" w:sz="8" w:space="0" w:color="auto"/>
            </w:tcBorders>
          </w:tcPr>
          <w:p w:rsidR="003E6588" w:rsidRDefault="003E6588">
            <w:pPr>
              <w:ind w:firstLine="33"/>
              <w:rPr>
                <w:sz w:val="20"/>
                <w:szCs w:val="20"/>
              </w:rPr>
            </w:pPr>
            <w:r>
              <w:rPr>
                <w:sz w:val="20"/>
                <w:szCs w:val="20"/>
              </w:rPr>
              <w:t>Novembro</w:t>
            </w:r>
          </w:p>
        </w:tc>
        <w:tc>
          <w:tcPr>
            <w:tcW w:w="2409" w:type="dxa"/>
            <w:tcBorders>
              <w:left w:val="single" w:sz="8" w:space="0" w:color="auto"/>
            </w:tcBorders>
            <w:vAlign w:val="bottom"/>
          </w:tcPr>
          <w:p w:rsidR="003E6588" w:rsidRDefault="003E6588">
            <w:pPr>
              <w:ind w:firstLine="33"/>
              <w:rPr>
                <w:color w:val="000000"/>
                <w:sz w:val="20"/>
                <w:szCs w:val="20"/>
              </w:rPr>
            </w:pPr>
            <w:r>
              <w:rPr>
                <w:color w:val="000000"/>
                <w:sz w:val="20"/>
                <w:szCs w:val="20"/>
              </w:rPr>
              <w:t>66.253</w:t>
            </w:r>
          </w:p>
        </w:tc>
      </w:tr>
      <w:tr w:rsidR="003E6588" w:rsidTr="00C13F4D">
        <w:trPr>
          <w:jc w:val="center"/>
        </w:trPr>
        <w:tc>
          <w:tcPr>
            <w:tcW w:w="2481" w:type="dxa"/>
            <w:tcBorders>
              <w:right w:val="single" w:sz="8" w:space="0" w:color="auto"/>
            </w:tcBorders>
          </w:tcPr>
          <w:p w:rsidR="003E6588" w:rsidRDefault="003E6588">
            <w:pPr>
              <w:ind w:left="108" w:firstLine="33"/>
              <w:rPr>
                <w:b/>
                <w:sz w:val="20"/>
                <w:szCs w:val="20"/>
              </w:rPr>
            </w:pPr>
            <w:r>
              <w:rPr>
                <w:b/>
                <w:sz w:val="20"/>
                <w:szCs w:val="20"/>
              </w:rPr>
              <w:t>TOTAL</w:t>
            </w:r>
          </w:p>
        </w:tc>
        <w:tc>
          <w:tcPr>
            <w:tcW w:w="2409" w:type="dxa"/>
            <w:tcBorders>
              <w:left w:val="single" w:sz="8" w:space="0" w:color="auto"/>
            </w:tcBorders>
            <w:vAlign w:val="bottom"/>
          </w:tcPr>
          <w:p w:rsidR="003E6588" w:rsidRDefault="003E6588">
            <w:pPr>
              <w:ind w:firstLine="33"/>
              <w:rPr>
                <w:b/>
                <w:bCs/>
                <w:color w:val="000000"/>
                <w:sz w:val="20"/>
                <w:szCs w:val="20"/>
              </w:rPr>
            </w:pPr>
            <w:r>
              <w:rPr>
                <w:b/>
                <w:bCs/>
                <w:color w:val="000000"/>
                <w:sz w:val="20"/>
                <w:szCs w:val="20"/>
              </w:rPr>
              <w:t>991.448</w:t>
            </w:r>
          </w:p>
        </w:tc>
      </w:tr>
    </w:tbl>
    <w:p w:rsidR="003E6588" w:rsidRPr="00C13F4D" w:rsidRDefault="003E6588" w:rsidP="00C13F4D">
      <w:pPr>
        <w:ind w:firstLine="1134"/>
        <w:jc w:val="both"/>
        <w:rPr>
          <w:highlight w:val="yellow"/>
        </w:rPr>
      </w:pPr>
    </w:p>
    <w:p w:rsidR="003E6588" w:rsidRDefault="003E6588">
      <w:pPr>
        <w:ind w:firstLine="1134"/>
        <w:jc w:val="both"/>
        <w:rPr>
          <w:color w:val="000000"/>
        </w:rPr>
      </w:pPr>
      <w:r>
        <w:rPr>
          <w:b/>
        </w:rPr>
        <w:t xml:space="preserve">Time de Emprego - </w:t>
      </w:r>
      <w:r>
        <w:t>O Time do Emprego tem como foco central a orientação profissional e reorientação de carreira, com o objetivo de auxiliar trabalhadores desempregados na busca por uma colocação no mercado de trabalho, proporcionando aos participantes ampliação de seus conhecimentos sobre as diversas formas e condições de buscar um emprego</w:t>
      </w:r>
      <w:r>
        <w:rPr>
          <w:color w:val="000000"/>
        </w:rPr>
        <w:t xml:space="preserve"> ou criar o próprio posto de trabalho.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Como resultado, o programa recoloca, em média, 70% dos participantes no mercado de trabalho, sendo salutar verificar que, ao longo dos 12 encontros, há queda na frequência dos participantes, em decorrência da conquista de uma vaga de emprego.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pPr>
      <w:r>
        <w:t>O Time do Emprego é desenvolvido em parceria com as prefeituras e, além da disponibilização de dois funcionários capacitados pela SERT para atuarem como facilitadores e dos espaços físicos destinados à realização dos encontros, fornecem auxílio transporte e lanche para os participantes.</w:t>
      </w:r>
    </w:p>
    <w:p w:rsidR="003E6588" w:rsidRDefault="003E6588">
      <w:pPr>
        <w:autoSpaceDE w:val="0"/>
        <w:autoSpaceDN w:val="0"/>
        <w:adjustRightInd w:val="0"/>
        <w:ind w:firstLine="1134"/>
        <w:jc w:val="both"/>
        <w:rPr>
          <w:color w:val="000000"/>
        </w:rPr>
      </w:pPr>
    </w:p>
    <w:p w:rsidR="003E6588" w:rsidRDefault="003E6588">
      <w:pPr>
        <w:pStyle w:val="PargrafodaLista"/>
        <w:ind w:left="0" w:firstLine="1134"/>
        <w:rPr>
          <w:rFonts w:ascii="Times New Roman" w:hAnsi="Times New Roman"/>
          <w:sz w:val="24"/>
          <w:szCs w:val="24"/>
          <w:highlight w:val="yellow"/>
        </w:rPr>
      </w:pPr>
      <w:r>
        <w:rPr>
          <w:rFonts w:ascii="Times New Roman" w:hAnsi="Times New Roman"/>
          <w:sz w:val="24"/>
          <w:szCs w:val="24"/>
        </w:rPr>
        <w:t>Cumpre destacar o desenvolvimento de modalidades específicas do programa, a exemplo do “Time Jovem”, realizado em 6 encontros e destinados a jovens entre 16 e 24 anos de idade, em busca do primeiro emprego, e o “Time Decasséguis”, destinado a trabalhadores brasileiros que emigraram em busca de oportunidades de emprego no exterior e, de volta ao</w:t>
      </w:r>
      <w:r>
        <w:rPr>
          <w:rFonts w:ascii="Times New Roman" w:hAnsi="Times New Roman"/>
          <w:color w:val="000000"/>
          <w:sz w:val="24"/>
          <w:szCs w:val="24"/>
        </w:rPr>
        <w:t xml:space="preserve"> Brasil, encontram dificuldade para se readaptarem às exigências do mercado de trabalho brasileiro.</w:t>
      </w:r>
    </w:p>
    <w:p w:rsidR="003E6588" w:rsidRDefault="003E6588">
      <w:pPr>
        <w:pStyle w:val="PargrafodaLista"/>
        <w:ind w:left="0" w:firstLine="1134"/>
        <w:rPr>
          <w:rFonts w:ascii="Times New Roman" w:hAnsi="Times New Roman"/>
          <w:sz w:val="24"/>
          <w:szCs w:val="24"/>
          <w:highlight w:val="yellow"/>
        </w:rPr>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984"/>
        <w:gridCol w:w="2268"/>
        <w:gridCol w:w="2476"/>
      </w:tblGrid>
      <w:tr w:rsidR="003E6588" w:rsidTr="00C13F4D">
        <w:trPr>
          <w:trHeight w:val="334"/>
          <w:jc w:val="center"/>
        </w:trPr>
        <w:tc>
          <w:tcPr>
            <w:tcW w:w="1984" w:type="dxa"/>
            <w:shd w:val="clear" w:color="auto" w:fill="auto"/>
          </w:tcPr>
          <w:p w:rsidR="003E6588" w:rsidRDefault="003E6588">
            <w:pPr>
              <w:pStyle w:val="PargrafodaLista"/>
              <w:ind w:left="0"/>
              <w:jc w:val="center"/>
              <w:rPr>
                <w:rFonts w:ascii="Times New Roman" w:hAnsi="Times New Roman"/>
                <w:b/>
                <w:sz w:val="20"/>
                <w:szCs w:val="20"/>
              </w:rPr>
            </w:pPr>
            <w:r>
              <w:rPr>
                <w:rFonts w:ascii="Times New Roman" w:hAnsi="Times New Roman"/>
                <w:b/>
                <w:sz w:val="20"/>
                <w:szCs w:val="20"/>
              </w:rPr>
              <w:t>Time de Emprego Realizados</w:t>
            </w:r>
          </w:p>
        </w:tc>
        <w:tc>
          <w:tcPr>
            <w:tcW w:w="2268" w:type="dxa"/>
            <w:shd w:val="clear" w:color="auto" w:fill="auto"/>
          </w:tcPr>
          <w:p w:rsidR="003E6588" w:rsidRDefault="003E6588">
            <w:pPr>
              <w:pStyle w:val="PargrafodaLista"/>
              <w:ind w:left="0"/>
              <w:jc w:val="center"/>
              <w:rPr>
                <w:rFonts w:ascii="Times New Roman" w:hAnsi="Times New Roman"/>
                <w:b/>
                <w:sz w:val="20"/>
                <w:szCs w:val="20"/>
              </w:rPr>
            </w:pPr>
            <w:r>
              <w:rPr>
                <w:rFonts w:ascii="Times New Roman" w:hAnsi="Times New Roman"/>
                <w:b/>
                <w:sz w:val="20"/>
                <w:szCs w:val="20"/>
              </w:rPr>
              <w:t>Municípios Atendidos</w:t>
            </w:r>
          </w:p>
        </w:tc>
        <w:tc>
          <w:tcPr>
            <w:tcW w:w="2476" w:type="dxa"/>
            <w:shd w:val="clear" w:color="auto" w:fill="auto"/>
          </w:tcPr>
          <w:p w:rsidR="003E6588" w:rsidRDefault="003E6588">
            <w:pPr>
              <w:pStyle w:val="PargrafodaLista"/>
              <w:ind w:left="0"/>
              <w:jc w:val="center"/>
              <w:rPr>
                <w:rFonts w:ascii="Times New Roman" w:hAnsi="Times New Roman"/>
                <w:b/>
                <w:sz w:val="20"/>
                <w:szCs w:val="20"/>
              </w:rPr>
            </w:pPr>
            <w:r>
              <w:rPr>
                <w:rFonts w:ascii="Times New Roman" w:hAnsi="Times New Roman"/>
                <w:b/>
                <w:sz w:val="20"/>
                <w:szCs w:val="20"/>
              </w:rPr>
              <w:t>Total de Desempregados Atendidos</w:t>
            </w:r>
          </w:p>
        </w:tc>
      </w:tr>
      <w:tr w:rsidR="003E6588" w:rsidTr="00C13F4D">
        <w:trPr>
          <w:trHeight w:val="241"/>
          <w:jc w:val="center"/>
        </w:trPr>
        <w:tc>
          <w:tcPr>
            <w:tcW w:w="1984" w:type="dxa"/>
            <w:shd w:val="clear" w:color="auto" w:fill="auto"/>
          </w:tcPr>
          <w:p w:rsidR="003E6588" w:rsidRDefault="003E6588">
            <w:pPr>
              <w:pStyle w:val="PargrafodaLista"/>
              <w:ind w:left="0"/>
              <w:jc w:val="center"/>
              <w:rPr>
                <w:rFonts w:ascii="Times New Roman" w:hAnsi="Times New Roman"/>
                <w:sz w:val="20"/>
                <w:szCs w:val="20"/>
              </w:rPr>
            </w:pPr>
            <w:r>
              <w:rPr>
                <w:rFonts w:ascii="Times New Roman" w:hAnsi="Times New Roman"/>
                <w:sz w:val="20"/>
                <w:szCs w:val="20"/>
              </w:rPr>
              <w:t>230</w:t>
            </w:r>
          </w:p>
        </w:tc>
        <w:tc>
          <w:tcPr>
            <w:tcW w:w="2268" w:type="dxa"/>
            <w:shd w:val="clear" w:color="auto" w:fill="auto"/>
          </w:tcPr>
          <w:p w:rsidR="003E6588" w:rsidRDefault="003E6588">
            <w:pPr>
              <w:pStyle w:val="PargrafodaLista"/>
              <w:ind w:left="0"/>
              <w:jc w:val="center"/>
              <w:rPr>
                <w:rFonts w:ascii="Times New Roman" w:hAnsi="Times New Roman"/>
                <w:sz w:val="20"/>
                <w:szCs w:val="20"/>
              </w:rPr>
            </w:pPr>
            <w:r>
              <w:rPr>
                <w:rFonts w:ascii="Times New Roman" w:hAnsi="Times New Roman"/>
                <w:sz w:val="20"/>
                <w:szCs w:val="20"/>
              </w:rPr>
              <w:t>212</w:t>
            </w:r>
          </w:p>
        </w:tc>
        <w:tc>
          <w:tcPr>
            <w:tcW w:w="2476" w:type="dxa"/>
            <w:shd w:val="clear" w:color="auto" w:fill="auto"/>
          </w:tcPr>
          <w:p w:rsidR="003E6588" w:rsidRDefault="003E6588">
            <w:pPr>
              <w:pStyle w:val="PargrafodaLista"/>
              <w:ind w:left="0"/>
              <w:jc w:val="center"/>
              <w:rPr>
                <w:rFonts w:ascii="Times New Roman" w:hAnsi="Times New Roman"/>
                <w:sz w:val="20"/>
                <w:szCs w:val="20"/>
              </w:rPr>
            </w:pPr>
            <w:r>
              <w:rPr>
                <w:rFonts w:ascii="Times New Roman" w:hAnsi="Times New Roman"/>
                <w:sz w:val="20"/>
                <w:szCs w:val="20"/>
              </w:rPr>
              <w:t>5.001</w:t>
            </w:r>
          </w:p>
        </w:tc>
      </w:tr>
    </w:tbl>
    <w:p w:rsidR="00C13F4D" w:rsidRDefault="00C13F4D">
      <w:pPr>
        <w:ind w:firstLine="1134"/>
        <w:jc w:val="both"/>
        <w:rPr>
          <w:b/>
        </w:rPr>
      </w:pPr>
    </w:p>
    <w:p w:rsidR="003E6588" w:rsidRDefault="003E6588">
      <w:pPr>
        <w:ind w:firstLine="1134"/>
        <w:jc w:val="both"/>
      </w:pPr>
      <w:r>
        <w:rPr>
          <w:b/>
        </w:rPr>
        <w:t xml:space="preserve">Intermediação de mão-de-obra IMO - </w:t>
      </w:r>
      <w:r>
        <w:t xml:space="preserve">A IMO é ação que objetiva atendimento ao trabalhador, propiciando condições para que o cidadão dê entrada ao seguro-desemprego, receba orientações e encaminhamento ao emprego. O Programa Intermediação de Mão-de-Obra é desenvolvido nos Postos de Atendimento ao Trabalhador - PAT’s instalados nos municípios do Estado e ligados diretamente à Coordenadoria de Operações da SERT. </w:t>
      </w:r>
    </w:p>
    <w:p w:rsidR="003E6588" w:rsidRDefault="003E6588">
      <w:pPr>
        <w:ind w:firstLine="1134"/>
        <w:jc w:val="both"/>
        <w:rPr>
          <w:highlight w:val="yellow"/>
        </w:rPr>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604"/>
        <w:gridCol w:w="1853"/>
        <w:gridCol w:w="1729"/>
        <w:gridCol w:w="1729"/>
        <w:gridCol w:w="1729"/>
      </w:tblGrid>
      <w:tr w:rsidR="003E6588" w:rsidTr="00C13F4D">
        <w:trPr>
          <w:jc w:val="center"/>
        </w:trPr>
        <w:tc>
          <w:tcPr>
            <w:tcW w:w="8644" w:type="dxa"/>
            <w:gridSpan w:val="5"/>
            <w:shd w:val="clear" w:color="auto" w:fill="auto"/>
          </w:tcPr>
          <w:p w:rsidR="003E6588" w:rsidRDefault="003E6588">
            <w:pPr>
              <w:rPr>
                <w:b/>
                <w:sz w:val="20"/>
                <w:szCs w:val="20"/>
              </w:rPr>
            </w:pPr>
            <w:r>
              <w:rPr>
                <w:b/>
                <w:sz w:val="20"/>
                <w:szCs w:val="20"/>
              </w:rPr>
              <w:t>CANDIDATOS A EMPREGO</w:t>
            </w:r>
          </w:p>
        </w:tc>
      </w:tr>
      <w:tr w:rsidR="003E6588" w:rsidTr="00CB499F">
        <w:trPr>
          <w:jc w:val="center"/>
        </w:trPr>
        <w:tc>
          <w:tcPr>
            <w:tcW w:w="1604" w:type="dxa"/>
            <w:shd w:val="clear" w:color="auto" w:fill="auto"/>
          </w:tcPr>
          <w:p w:rsidR="003E6588" w:rsidRDefault="003E6588">
            <w:pPr>
              <w:rPr>
                <w:b/>
                <w:sz w:val="20"/>
                <w:szCs w:val="20"/>
              </w:rPr>
            </w:pPr>
          </w:p>
        </w:tc>
        <w:tc>
          <w:tcPr>
            <w:tcW w:w="1853" w:type="dxa"/>
            <w:shd w:val="clear" w:color="auto" w:fill="auto"/>
          </w:tcPr>
          <w:p w:rsidR="003E6588" w:rsidRDefault="003E6588">
            <w:pPr>
              <w:rPr>
                <w:b/>
                <w:bCs/>
                <w:sz w:val="20"/>
                <w:szCs w:val="20"/>
              </w:rPr>
            </w:pPr>
            <w:r>
              <w:rPr>
                <w:b/>
                <w:bCs/>
                <w:sz w:val="20"/>
                <w:szCs w:val="20"/>
              </w:rPr>
              <w:t>Inscritos</w:t>
            </w:r>
          </w:p>
        </w:tc>
        <w:tc>
          <w:tcPr>
            <w:tcW w:w="1729" w:type="dxa"/>
            <w:shd w:val="clear" w:color="auto" w:fill="auto"/>
          </w:tcPr>
          <w:p w:rsidR="003E6588" w:rsidRDefault="003E6588">
            <w:pPr>
              <w:rPr>
                <w:b/>
                <w:bCs/>
                <w:sz w:val="20"/>
                <w:szCs w:val="20"/>
              </w:rPr>
            </w:pPr>
            <w:r>
              <w:rPr>
                <w:b/>
                <w:bCs/>
                <w:sz w:val="20"/>
                <w:szCs w:val="20"/>
              </w:rPr>
              <w:t>Vagas</w:t>
            </w:r>
          </w:p>
        </w:tc>
        <w:tc>
          <w:tcPr>
            <w:tcW w:w="1729" w:type="dxa"/>
            <w:shd w:val="clear" w:color="auto" w:fill="auto"/>
          </w:tcPr>
          <w:p w:rsidR="003E6588" w:rsidRDefault="003E6588">
            <w:pPr>
              <w:rPr>
                <w:b/>
                <w:bCs/>
                <w:sz w:val="20"/>
                <w:szCs w:val="20"/>
              </w:rPr>
            </w:pPr>
            <w:r>
              <w:rPr>
                <w:b/>
                <w:bCs/>
                <w:sz w:val="20"/>
                <w:szCs w:val="20"/>
              </w:rPr>
              <w:t>Encaminhados</w:t>
            </w:r>
          </w:p>
        </w:tc>
        <w:tc>
          <w:tcPr>
            <w:tcW w:w="1729" w:type="dxa"/>
            <w:shd w:val="clear" w:color="auto" w:fill="auto"/>
          </w:tcPr>
          <w:p w:rsidR="003E6588" w:rsidRDefault="003E6588">
            <w:pPr>
              <w:rPr>
                <w:b/>
                <w:bCs/>
                <w:sz w:val="20"/>
                <w:szCs w:val="20"/>
              </w:rPr>
            </w:pPr>
            <w:r>
              <w:rPr>
                <w:b/>
                <w:bCs/>
                <w:sz w:val="20"/>
                <w:szCs w:val="20"/>
              </w:rPr>
              <w:t>Colocados</w:t>
            </w:r>
          </w:p>
        </w:tc>
      </w:tr>
      <w:tr w:rsidR="003E6588" w:rsidTr="00CB499F">
        <w:trPr>
          <w:jc w:val="center"/>
        </w:trPr>
        <w:tc>
          <w:tcPr>
            <w:tcW w:w="1604" w:type="dxa"/>
            <w:vAlign w:val="center"/>
          </w:tcPr>
          <w:p w:rsidR="003E6588" w:rsidRDefault="003E6588">
            <w:pPr>
              <w:rPr>
                <w:sz w:val="20"/>
                <w:szCs w:val="20"/>
              </w:rPr>
            </w:pPr>
            <w:r>
              <w:rPr>
                <w:sz w:val="20"/>
                <w:szCs w:val="20"/>
              </w:rPr>
              <w:t>Janeiro</w:t>
            </w:r>
          </w:p>
        </w:tc>
        <w:tc>
          <w:tcPr>
            <w:tcW w:w="1853" w:type="dxa"/>
            <w:vAlign w:val="bottom"/>
          </w:tcPr>
          <w:p w:rsidR="003E6588" w:rsidRDefault="003E6588">
            <w:pPr>
              <w:rPr>
                <w:color w:val="000000"/>
                <w:sz w:val="20"/>
                <w:szCs w:val="20"/>
              </w:rPr>
            </w:pPr>
            <w:r>
              <w:rPr>
                <w:color w:val="000000"/>
                <w:sz w:val="20"/>
                <w:szCs w:val="20"/>
              </w:rPr>
              <w:t>134.657</w:t>
            </w:r>
          </w:p>
        </w:tc>
        <w:tc>
          <w:tcPr>
            <w:tcW w:w="1729" w:type="dxa"/>
            <w:vAlign w:val="bottom"/>
          </w:tcPr>
          <w:p w:rsidR="003E6588" w:rsidRDefault="003E6588">
            <w:pPr>
              <w:rPr>
                <w:color w:val="000000"/>
                <w:sz w:val="20"/>
                <w:szCs w:val="20"/>
              </w:rPr>
            </w:pPr>
            <w:r>
              <w:rPr>
                <w:color w:val="000000"/>
                <w:sz w:val="20"/>
                <w:szCs w:val="20"/>
              </w:rPr>
              <w:t>73.765</w:t>
            </w:r>
          </w:p>
        </w:tc>
        <w:tc>
          <w:tcPr>
            <w:tcW w:w="1729" w:type="dxa"/>
            <w:vAlign w:val="bottom"/>
          </w:tcPr>
          <w:p w:rsidR="003E6588" w:rsidRDefault="003E6588">
            <w:pPr>
              <w:rPr>
                <w:color w:val="000000"/>
                <w:sz w:val="20"/>
                <w:szCs w:val="20"/>
              </w:rPr>
            </w:pPr>
            <w:r>
              <w:rPr>
                <w:color w:val="000000"/>
                <w:sz w:val="20"/>
                <w:szCs w:val="20"/>
              </w:rPr>
              <w:t>116.014</w:t>
            </w:r>
          </w:p>
        </w:tc>
        <w:tc>
          <w:tcPr>
            <w:tcW w:w="1729" w:type="dxa"/>
            <w:vAlign w:val="bottom"/>
          </w:tcPr>
          <w:p w:rsidR="003E6588" w:rsidRDefault="003E6588">
            <w:pPr>
              <w:rPr>
                <w:color w:val="000000"/>
                <w:sz w:val="20"/>
                <w:szCs w:val="20"/>
              </w:rPr>
            </w:pPr>
            <w:r>
              <w:rPr>
                <w:color w:val="000000"/>
                <w:sz w:val="20"/>
                <w:szCs w:val="20"/>
              </w:rPr>
              <w:t>4.972</w:t>
            </w:r>
          </w:p>
        </w:tc>
      </w:tr>
      <w:tr w:rsidR="003E6588" w:rsidTr="00CB499F">
        <w:trPr>
          <w:jc w:val="center"/>
        </w:trPr>
        <w:tc>
          <w:tcPr>
            <w:tcW w:w="1604" w:type="dxa"/>
            <w:vAlign w:val="center"/>
          </w:tcPr>
          <w:p w:rsidR="003E6588" w:rsidRDefault="003E6588">
            <w:pPr>
              <w:rPr>
                <w:sz w:val="20"/>
                <w:szCs w:val="20"/>
              </w:rPr>
            </w:pPr>
            <w:r>
              <w:rPr>
                <w:sz w:val="20"/>
                <w:szCs w:val="20"/>
              </w:rPr>
              <w:t>Fevereiro</w:t>
            </w:r>
          </w:p>
        </w:tc>
        <w:tc>
          <w:tcPr>
            <w:tcW w:w="1853" w:type="dxa"/>
            <w:vAlign w:val="bottom"/>
          </w:tcPr>
          <w:p w:rsidR="003E6588" w:rsidRDefault="003E6588">
            <w:pPr>
              <w:rPr>
                <w:color w:val="000000"/>
                <w:sz w:val="20"/>
                <w:szCs w:val="20"/>
              </w:rPr>
            </w:pPr>
            <w:r>
              <w:rPr>
                <w:color w:val="000000"/>
                <w:sz w:val="20"/>
                <w:szCs w:val="20"/>
              </w:rPr>
              <w:t>134.121</w:t>
            </w:r>
          </w:p>
        </w:tc>
        <w:tc>
          <w:tcPr>
            <w:tcW w:w="1729" w:type="dxa"/>
            <w:vAlign w:val="bottom"/>
          </w:tcPr>
          <w:p w:rsidR="003E6588" w:rsidRDefault="003E6588">
            <w:pPr>
              <w:rPr>
                <w:color w:val="000000"/>
                <w:sz w:val="20"/>
                <w:szCs w:val="20"/>
              </w:rPr>
            </w:pPr>
            <w:r>
              <w:rPr>
                <w:color w:val="000000"/>
                <w:sz w:val="20"/>
                <w:szCs w:val="20"/>
              </w:rPr>
              <w:t>56.986</w:t>
            </w:r>
          </w:p>
        </w:tc>
        <w:tc>
          <w:tcPr>
            <w:tcW w:w="1729" w:type="dxa"/>
            <w:vAlign w:val="bottom"/>
          </w:tcPr>
          <w:p w:rsidR="003E6588" w:rsidRDefault="003E6588">
            <w:pPr>
              <w:rPr>
                <w:color w:val="000000"/>
                <w:sz w:val="20"/>
                <w:szCs w:val="20"/>
              </w:rPr>
            </w:pPr>
            <w:r>
              <w:rPr>
                <w:color w:val="000000"/>
                <w:sz w:val="20"/>
                <w:szCs w:val="20"/>
              </w:rPr>
              <w:t>114.668</w:t>
            </w:r>
          </w:p>
        </w:tc>
        <w:tc>
          <w:tcPr>
            <w:tcW w:w="1729" w:type="dxa"/>
            <w:vAlign w:val="bottom"/>
          </w:tcPr>
          <w:p w:rsidR="003E6588" w:rsidRDefault="003E6588">
            <w:pPr>
              <w:rPr>
                <w:color w:val="000000"/>
                <w:sz w:val="20"/>
                <w:szCs w:val="20"/>
              </w:rPr>
            </w:pPr>
            <w:r>
              <w:rPr>
                <w:color w:val="000000"/>
                <w:sz w:val="20"/>
                <w:szCs w:val="20"/>
              </w:rPr>
              <w:t>5.856</w:t>
            </w:r>
          </w:p>
        </w:tc>
      </w:tr>
      <w:tr w:rsidR="003E6588" w:rsidTr="00CB499F">
        <w:trPr>
          <w:jc w:val="center"/>
        </w:trPr>
        <w:tc>
          <w:tcPr>
            <w:tcW w:w="1604" w:type="dxa"/>
            <w:vAlign w:val="center"/>
          </w:tcPr>
          <w:p w:rsidR="003E6588" w:rsidRDefault="003E6588">
            <w:pPr>
              <w:rPr>
                <w:sz w:val="20"/>
                <w:szCs w:val="20"/>
              </w:rPr>
            </w:pPr>
            <w:r>
              <w:rPr>
                <w:sz w:val="20"/>
                <w:szCs w:val="20"/>
              </w:rPr>
              <w:t>Março</w:t>
            </w:r>
          </w:p>
        </w:tc>
        <w:tc>
          <w:tcPr>
            <w:tcW w:w="1853" w:type="dxa"/>
            <w:vAlign w:val="bottom"/>
          </w:tcPr>
          <w:p w:rsidR="003E6588" w:rsidRDefault="003E6588">
            <w:pPr>
              <w:rPr>
                <w:color w:val="000000"/>
                <w:sz w:val="20"/>
                <w:szCs w:val="20"/>
              </w:rPr>
            </w:pPr>
            <w:r>
              <w:rPr>
                <w:color w:val="000000"/>
                <w:sz w:val="20"/>
                <w:szCs w:val="20"/>
              </w:rPr>
              <w:t>130.284</w:t>
            </w:r>
          </w:p>
        </w:tc>
        <w:tc>
          <w:tcPr>
            <w:tcW w:w="1729" w:type="dxa"/>
            <w:vAlign w:val="bottom"/>
          </w:tcPr>
          <w:p w:rsidR="003E6588" w:rsidRDefault="003E6588">
            <w:pPr>
              <w:rPr>
                <w:color w:val="000000"/>
                <w:sz w:val="20"/>
                <w:szCs w:val="20"/>
              </w:rPr>
            </w:pPr>
            <w:r>
              <w:rPr>
                <w:color w:val="000000"/>
                <w:sz w:val="20"/>
                <w:szCs w:val="20"/>
              </w:rPr>
              <w:t>49.101</w:t>
            </w:r>
          </w:p>
        </w:tc>
        <w:tc>
          <w:tcPr>
            <w:tcW w:w="1729" w:type="dxa"/>
            <w:vAlign w:val="bottom"/>
          </w:tcPr>
          <w:p w:rsidR="003E6588" w:rsidRDefault="003E6588">
            <w:pPr>
              <w:rPr>
                <w:color w:val="000000"/>
                <w:sz w:val="20"/>
                <w:szCs w:val="20"/>
              </w:rPr>
            </w:pPr>
            <w:r>
              <w:rPr>
                <w:color w:val="000000"/>
                <w:sz w:val="20"/>
                <w:szCs w:val="20"/>
              </w:rPr>
              <w:t>104.118</w:t>
            </w:r>
          </w:p>
        </w:tc>
        <w:tc>
          <w:tcPr>
            <w:tcW w:w="1729" w:type="dxa"/>
            <w:vAlign w:val="bottom"/>
          </w:tcPr>
          <w:p w:rsidR="003E6588" w:rsidRDefault="003E6588">
            <w:pPr>
              <w:rPr>
                <w:color w:val="000000"/>
                <w:sz w:val="20"/>
                <w:szCs w:val="20"/>
              </w:rPr>
            </w:pPr>
            <w:r>
              <w:rPr>
                <w:color w:val="000000"/>
                <w:sz w:val="20"/>
                <w:szCs w:val="20"/>
              </w:rPr>
              <w:t>6.121</w:t>
            </w:r>
          </w:p>
        </w:tc>
      </w:tr>
      <w:tr w:rsidR="003E6588" w:rsidTr="00CB499F">
        <w:trPr>
          <w:jc w:val="center"/>
        </w:trPr>
        <w:tc>
          <w:tcPr>
            <w:tcW w:w="1604" w:type="dxa"/>
            <w:vAlign w:val="center"/>
          </w:tcPr>
          <w:p w:rsidR="003E6588" w:rsidRDefault="003E6588">
            <w:pPr>
              <w:rPr>
                <w:sz w:val="20"/>
                <w:szCs w:val="20"/>
              </w:rPr>
            </w:pPr>
            <w:r>
              <w:rPr>
                <w:sz w:val="20"/>
                <w:szCs w:val="20"/>
              </w:rPr>
              <w:lastRenderedPageBreak/>
              <w:t>Abril</w:t>
            </w:r>
          </w:p>
        </w:tc>
        <w:tc>
          <w:tcPr>
            <w:tcW w:w="1853" w:type="dxa"/>
            <w:vAlign w:val="bottom"/>
          </w:tcPr>
          <w:p w:rsidR="003E6588" w:rsidRDefault="003E6588">
            <w:pPr>
              <w:rPr>
                <w:color w:val="000000"/>
                <w:sz w:val="20"/>
                <w:szCs w:val="20"/>
              </w:rPr>
            </w:pPr>
            <w:r>
              <w:rPr>
                <w:color w:val="000000"/>
                <w:sz w:val="20"/>
                <w:szCs w:val="20"/>
              </w:rPr>
              <w:t>131.675</w:t>
            </w:r>
          </w:p>
        </w:tc>
        <w:tc>
          <w:tcPr>
            <w:tcW w:w="1729" w:type="dxa"/>
            <w:vAlign w:val="bottom"/>
          </w:tcPr>
          <w:p w:rsidR="003E6588" w:rsidRDefault="003E6588">
            <w:pPr>
              <w:rPr>
                <w:color w:val="000000"/>
                <w:sz w:val="20"/>
                <w:szCs w:val="20"/>
              </w:rPr>
            </w:pPr>
            <w:r>
              <w:rPr>
                <w:color w:val="000000"/>
                <w:sz w:val="20"/>
                <w:szCs w:val="20"/>
              </w:rPr>
              <w:t>49.061</w:t>
            </w:r>
          </w:p>
        </w:tc>
        <w:tc>
          <w:tcPr>
            <w:tcW w:w="1729" w:type="dxa"/>
            <w:vAlign w:val="bottom"/>
          </w:tcPr>
          <w:p w:rsidR="003E6588" w:rsidRDefault="003E6588">
            <w:pPr>
              <w:rPr>
                <w:color w:val="000000"/>
                <w:sz w:val="20"/>
                <w:szCs w:val="20"/>
              </w:rPr>
            </w:pPr>
            <w:r>
              <w:rPr>
                <w:color w:val="000000"/>
                <w:sz w:val="20"/>
                <w:szCs w:val="20"/>
              </w:rPr>
              <w:t>101.691</w:t>
            </w:r>
          </w:p>
        </w:tc>
        <w:tc>
          <w:tcPr>
            <w:tcW w:w="1729" w:type="dxa"/>
            <w:vAlign w:val="bottom"/>
          </w:tcPr>
          <w:p w:rsidR="003E6588" w:rsidRDefault="003E6588">
            <w:pPr>
              <w:rPr>
                <w:color w:val="000000"/>
                <w:sz w:val="20"/>
                <w:szCs w:val="20"/>
              </w:rPr>
            </w:pPr>
            <w:r>
              <w:rPr>
                <w:color w:val="000000"/>
                <w:sz w:val="20"/>
                <w:szCs w:val="20"/>
              </w:rPr>
              <w:t>4.892</w:t>
            </w:r>
          </w:p>
        </w:tc>
      </w:tr>
      <w:tr w:rsidR="003E6588" w:rsidTr="00CB499F">
        <w:trPr>
          <w:jc w:val="center"/>
        </w:trPr>
        <w:tc>
          <w:tcPr>
            <w:tcW w:w="1604" w:type="dxa"/>
            <w:vAlign w:val="center"/>
          </w:tcPr>
          <w:p w:rsidR="003E6588" w:rsidRDefault="003E6588">
            <w:pPr>
              <w:rPr>
                <w:sz w:val="20"/>
                <w:szCs w:val="20"/>
              </w:rPr>
            </w:pPr>
            <w:r>
              <w:rPr>
                <w:sz w:val="20"/>
                <w:szCs w:val="20"/>
              </w:rPr>
              <w:t>Maio</w:t>
            </w:r>
          </w:p>
        </w:tc>
        <w:tc>
          <w:tcPr>
            <w:tcW w:w="1853" w:type="dxa"/>
            <w:vAlign w:val="bottom"/>
          </w:tcPr>
          <w:p w:rsidR="003E6588" w:rsidRDefault="003E6588">
            <w:pPr>
              <w:rPr>
                <w:color w:val="000000"/>
                <w:sz w:val="20"/>
                <w:szCs w:val="20"/>
              </w:rPr>
            </w:pPr>
            <w:r>
              <w:rPr>
                <w:color w:val="000000"/>
                <w:sz w:val="20"/>
                <w:szCs w:val="20"/>
              </w:rPr>
              <w:t>108.204</w:t>
            </w:r>
          </w:p>
        </w:tc>
        <w:tc>
          <w:tcPr>
            <w:tcW w:w="1729" w:type="dxa"/>
            <w:vAlign w:val="bottom"/>
          </w:tcPr>
          <w:p w:rsidR="003E6588" w:rsidRDefault="003E6588">
            <w:pPr>
              <w:rPr>
                <w:color w:val="000000"/>
                <w:sz w:val="20"/>
                <w:szCs w:val="20"/>
              </w:rPr>
            </w:pPr>
            <w:r>
              <w:rPr>
                <w:color w:val="000000"/>
                <w:sz w:val="20"/>
                <w:szCs w:val="20"/>
              </w:rPr>
              <w:t>49.659</w:t>
            </w:r>
          </w:p>
        </w:tc>
        <w:tc>
          <w:tcPr>
            <w:tcW w:w="1729" w:type="dxa"/>
            <w:vAlign w:val="bottom"/>
          </w:tcPr>
          <w:p w:rsidR="003E6588" w:rsidRDefault="003E6588">
            <w:pPr>
              <w:rPr>
                <w:color w:val="000000"/>
                <w:sz w:val="20"/>
                <w:szCs w:val="20"/>
              </w:rPr>
            </w:pPr>
            <w:r>
              <w:rPr>
                <w:color w:val="000000"/>
                <w:sz w:val="20"/>
                <w:szCs w:val="20"/>
              </w:rPr>
              <w:t>87.022</w:t>
            </w:r>
          </w:p>
        </w:tc>
        <w:tc>
          <w:tcPr>
            <w:tcW w:w="1729" w:type="dxa"/>
            <w:vAlign w:val="bottom"/>
          </w:tcPr>
          <w:p w:rsidR="003E6588" w:rsidRDefault="003E6588">
            <w:pPr>
              <w:rPr>
                <w:color w:val="000000"/>
                <w:sz w:val="20"/>
                <w:szCs w:val="20"/>
              </w:rPr>
            </w:pPr>
            <w:r>
              <w:rPr>
                <w:color w:val="000000"/>
                <w:sz w:val="20"/>
                <w:szCs w:val="20"/>
              </w:rPr>
              <w:t>4.756</w:t>
            </w:r>
          </w:p>
        </w:tc>
      </w:tr>
      <w:tr w:rsidR="003E6588" w:rsidTr="00CB499F">
        <w:trPr>
          <w:jc w:val="center"/>
        </w:trPr>
        <w:tc>
          <w:tcPr>
            <w:tcW w:w="1604" w:type="dxa"/>
            <w:vAlign w:val="center"/>
          </w:tcPr>
          <w:p w:rsidR="003E6588" w:rsidRDefault="003E6588">
            <w:pPr>
              <w:rPr>
                <w:sz w:val="20"/>
                <w:szCs w:val="20"/>
              </w:rPr>
            </w:pPr>
            <w:r>
              <w:rPr>
                <w:sz w:val="20"/>
                <w:szCs w:val="20"/>
              </w:rPr>
              <w:t>Junho</w:t>
            </w:r>
          </w:p>
        </w:tc>
        <w:tc>
          <w:tcPr>
            <w:tcW w:w="1853" w:type="dxa"/>
            <w:vAlign w:val="bottom"/>
          </w:tcPr>
          <w:p w:rsidR="003E6588" w:rsidRDefault="003E6588">
            <w:pPr>
              <w:rPr>
                <w:color w:val="000000"/>
                <w:sz w:val="20"/>
                <w:szCs w:val="20"/>
              </w:rPr>
            </w:pPr>
            <w:r>
              <w:rPr>
                <w:color w:val="000000"/>
                <w:sz w:val="20"/>
                <w:szCs w:val="20"/>
              </w:rPr>
              <w:t>111.619</w:t>
            </w:r>
          </w:p>
        </w:tc>
        <w:tc>
          <w:tcPr>
            <w:tcW w:w="1729" w:type="dxa"/>
            <w:vAlign w:val="bottom"/>
          </w:tcPr>
          <w:p w:rsidR="003E6588" w:rsidRDefault="003E6588">
            <w:pPr>
              <w:rPr>
                <w:color w:val="000000"/>
                <w:sz w:val="20"/>
                <w:szCs w:val="20"/>
              </w:rPr>
            </w:pPr>
            <w:r>
              <w:rPr>
                <w:color w:val="000000"/>
                <w:sz w:val="20"/>
                <w:szCs w:val="20"/>
              </w:rPr>
              <w:t>35.221</w:t>
            </w:r>
          </w:p>
        </w:tc>
        <w:tc>
          <w:tcPr>
            <w:tcW w:w="1729" w:type="dxa"/>
            <w:vAlign w:val="bottom"/>
          </w:tcPr>
          <w:p w:rsidR="003E6588" w:rsidRDefault="003E6588">
            <w:pPr>
              <w:rPr>
                <w:color w:val="000000"/>
                <w:sz w:val="20"/>
                <w:szCs w:val="20"/>
              </w:rPr>
            </w:pPr>
            <w:r>
              <w:rPr>
                <w:color w:val="000000"/>
                <w:sz w:val="20"/>
                <w:szCs w:val="20"/>
              </w:rPr>
              <w:t>62.597</w:t>
            </w:r>
          </w:p>
        </w:tc>
        <w:tc>
          <w:tcPr>
            <w:tcW w:w="1729" w:type="dxa"/>
            <w:vAlign w:val="bottom"/>
          </w:tcPr>
          <w:p w:rsidR="003E6588" w:rsidRDefault="003E6588">
            <w:pPr>
              <w:rPr>
                <w:color w:val="000000"/>
                <w:sz w:val="20"/>
                <w:szCs w:val="20"/>
              </w:rPr>
            </w:pPr>
            <w:r>
              <w:rPr>
                <w:color w:val="000000"/>
                <w:sz w:val="20"/>
                <w:szCs w:val="20"/>
              </w:rPr>
              <w:t>4.283</w:t>
            </w:r>
          </w:p>
        </w:tc>
      </w:tr>
      <w:tr w:rsidR="003E6588" w:rsidTr="00CB499F">
        <w:trPr>
          <w:jc w:val="center"/>
        </w:trPr>
        <w:tc>
          <w:tcPr>
            <w:tcW w:w="1604" w:type="dxa"/>
            <w:vAlign w:val="center"/>
          </w:tcPr>
          <w:p w:rsidR="003E6588" w:rsidRDefault="003E6588">
            <w:pPr>
              <w:rPr>
                <w:sz w:val="20"/>
                <w:szCs w:val="20"/>
              </w:rPr>
            </w:pPr>
            <w:r>
              <w:rPr>
                <w:sz w:val="20"/>
                <w:szCs w:val="20"/>
              </w:rPr>
              <w:t>Julho</w:t>
            </w:r>
          </w:p>
        </w:tc>
        <w:tc>
          <w:tcPr>
            <w:tcW w:w="1853" w:type="dxa"/>
            <w:vAlign w:val="bottom"/>
          </w:tcPr>
          <w:p w:rsidR="003E6588" w:rsidRDefault="003E6588">
            <w:pPr>
              <w:rPr>
                <w:color w:val="000000"/>
                <w:sz w:val="20"/>
                <w:szCs w:val="20"/>
              </w:rPr>
            </w:pPr>
            <w:r>
              <w:rPr>
                <w:color w:val="000000"/>
                <w:sz w:val="20"/>
                <w:szCs w:val="20"/>
              </w:rPr>
              <w:t>138.594</w:t>
            </w:r>
          </w:p>
        </w:tc>
        <w:tc>
          <w:tcPr>
            <w:tcW w:w="1729" w:type="dxa"/>
            <w:vAlign w:val="bottom"/>
          </w:tcPr>
          <w:p w:rsidR="003E6588" w:rsidRDefault="003E6588">
            <w:pPr>
              <w:rPr>
                <w:color w:val="000000"/>
                <w:sz w:val="20"/>
                <w:szCs w:val="20"/>
              </w:rPr>
            </w:pPr>
            <w:r>
              <w:rPr>
                <w:color w:val="000000"/>
                <w:sz w:val="20"/>
                <w:szCs w:val="20"/>
              </w:rPr>
              <w:t>51.526</w:t>
            </w:r>
          </w:p>
        </w:tc>
        <w:tc>
          <w:tcPr>
            <w:tcW w:w="1729" w:type="dxa"/>
            <w:vAlign w:val="bottom"/>
          </w:tcPr>
          <w:p w:rsidR="003E6588" w:rsidRDefault="003E6588">
            <w:pPr>
              <w:rPr>
                <w:color w:val="000000"/>
                <w:sz w:val="20"/>
                <w:szCs w:val="20"/>
              </w:rPr>
            </w:pPr>
            <w:r>
              <w:rPr>
                <w:color w:val="000000"/>
                <w:sz w:val="20"/>
                <w:szCs w:val="20"/>
              </w:rPr>
              <w:t>97.067</w:t>
            </w:r>
          </w:p>
        </w:tc>
        <w:tc>
          <w:tcPr>
            <w:tcW w:w="1729" w:type="dxa"/>
            <w:vAlign w:val="bottom"/>
          </w:tcPr>
          <w:p w:rsidR="003E6588" w:rsidRDefault="003E6588">
            <w:pPr>
              <w:rPr>
                <w:color w:val="000000"/>
                <w:sz w:val="20"/>
                <w:szCs w:val="20"/>
              </w:rPr>
            </w:pPr>
            <w:r>
              <w:rPr>
                <w:color w:val="000000"/>
                <w:sz w:val="20"/>
                <w:szCs w:val="20"/>
              </w:rPr>
              <w:t>5.714</w:t>
            </w:r>
          </w:p>
        </w:tc>
      </w:tr>
      <w:tr w:rsidR="003E6588" w:rsidTr="00CB499F">
        <w:trPr>
          <w:jc w:val="center"/>
        </w:trPr>
        <w:tc>
          <w:tcPr>
            <w:tcW w:w="1604" w:type="dxa"/>
            <w:vAlign w:val="center"/>
          </w:tcPr>
          <w:p w:rsidR="003E6588" w:rsidRDefault="003E6588">
            <w:pPr>
              <w:rPr>
                <w:sz w:val="20"/>
                <w:szCs w:val="20"/>
              </w:rPr>
            </w:pPr>
            <w:r>
              <w:rPr>
                <w:sz w:val="20"/>
                <w:szCs w:val="20"/>
              </w:rPr>
              <w:t>Agosto</w:t>
            </w:r>
          </w:p>
        </w:tc>
        <w:tc>
          <w:tcPr>
            <w:tcW w:w="1853" w:type="dxa"/>
            <w:vAlign w:val="bottom"/>
          </w:tcPr>
          <w:p w:rsidR="003E6588" w:rsidRDefault="003E6588">
            <w:pPr>
              <w:rPr>
                <w:color w:val="000000"/>
                <w:sz w:val="20"/>
                <w:szCs w:val="20"/>
              </w:rPr>
            </w:pPr>
            <w:r>
              <w:rPr>
                <w:color w:val="000000"/>
                <w:sz w:val="20"/>
                <w:szCs w:val="20"/>
              </w:rPr>
              <w:t>120.643</w:t>
            </w:r>
          </w:p>
        </w:tc>
        <w:tc>
          <w:tcPr>
            <w:tcW w:w="1729" w:type="dxa"/>
            <w:vAlign w:val="bottom"/>
          </w:tcPr>
          <w:p w:rsidR="003E6588" w:rsidRDefault="003E6588">
            <w:pPr>
              <w:rPr>
                <w:color w:val="000000"/>
                <w:sz w:val="20"/>
                <w:szCs w:val="20"/>
              </w:rPr>
            </w:pPr>
            <w:r>
              <w:rPr>
                <w:color w:val="000000"/>
                <w:sz w:val="20"/>
                <w:szCs w:val="20"/>
              </w:rPr>
              <w:t>47.333</w:t>
            </w:r>
          </w:p>
        </w:tc>
        <w:tc>
          <w:tcPr>
            <w:tcW w:w="1729" w:type="dxa"/>
            <w:vAlign w:val="bottom"/>
          </w:tcPr>
          <w:p w:rsidR="003E6588" w:rsidRDefault="003E6588">
            <w:pPr>
              <w:rPr>
                <w:color w:val="000000"/>
                <w:sz w:val="20"/>
                <w:szCs w:val="20"/>
              </w:rPr>
            </w:pPr>
            <w:r>
              <w:rPr>
                <w:color w:val="000000"/>
                <w:sz w:val="20"/>
                <w:szCs w:val="20"/>
              </w:rPr>
              <w:t>97.796</w:t>
            </w:r>
          </w:p>
        </w:tc>
        <w:tc>
          <w:tcPr>
            <w:tcW w:w="1729" w:type="dxa"/>
            <w:vAlign w:val="bottom"/>
          </w:tcPr>
          <w:p w:rsidR="003E6588" w:rsidRDefault="003E6588">
            <w:pPr>
              <w:rPr>
                <w:color w:val="000000"/>
                <w:sz w:val="20"/>
                <w:szCs w:val="20"/>
              </w:rPr>
            </w:pPr>
            <w:r>
              <w:rPr>
                <w:color w:val="000000"/>
                <w:sz w:val="20"/>
                <w:szCs w:val="20"/>
              </w:rPr>
              <w:t>5.475</w:t>
            </w:r>
          </w:p>
        </w:tc>
      </w:tr>
      <w:tr w:rsidR="003E6588" w:rsidTr="00CB499F">
        <w:trPr>
          <w:jc w:val="center"/>
        </w:trPr>
        <w:tc>
          <w:tcPr>
            <w:tcW w:w="1604" w:type="dxa"/>
            <w:vAlign w:val="center"/>
          </w:tcPr>
          <w:p w:rsidR="003E6588" w:rsidRDefault="003E6588">
            <w:pPr>
              <w:rPr>
                <w:sz w:val="20"/>
                <w:szCs w:val="20"/>
              </w:rPr>
            </w:pPr>
            <w:r>
              <w:rPr>
                <w:sz w:val="20"/>
                <w:szCs w:val="20"/>
              </w:rPr>
              <w:t>Setembro</w:t>
            </w:r>
          </w:p>
        </w:tc>
        <w:tc>
          <w:tcPr>
            <w:tcW w:w="1853" w:type="dxa"/>
            <w:vAlign w:val="bottom"/>
          </w:tcPr>
          <w:p w:rsidR="003E6588" w:rsidRDefault="003E6588">
            <w:pPr>
              <w:rPr>
                <w:color w:val="000000"/>
                <w:sz w:val="20"/>
                <w:szCs w:val="20"/>
              </w:rPr>
            </w:pPr>
            <w:r>
              <w:rPr>
                <w:color w:val="000000"/>
                <w:sz w:val="20"/>
                <w:szCs w:val="20"/>
              </w:rPr>
              <w:t>119.929</w:t>
            </w:r>
          </w:p>
        </w:tc>
        <w:tc>
          <w:tcPr>
            <w:tcW w:w="1729" w:type="dxa"/>
            <w:vAlign w:val="bottom"/>
          </w:tcPr>
          <w:p w:rsidR="003E6588" w:rsidRDefault="003E6588">
            <w:pPr>
              <w:rPr>
                <w:color w:val="000000"/>
                <w:sz w:val="20"/>
                <w:szCs w:val="20"/>
              </w:rPr>
            </w:pPr>
            <w:r>
              <w:rPr>
                <w:color w:val="000000"/>
                <w:sz w:val="20"/>
                <w:szCs w:val="20"/>
              </w:rPr>
              <w:t>43.210</w:t>
            </w:r>
          </w:p>
        </w:tc>
        <w:tc>
          <w:tcPr>
            <w:tcW w:w="1729" w:type="dxa"/>
            <w:vAlign w:val="bottom"/>
          </w:tcPr>
          <w:p w:rsidR="003E6588" w:rsidRDefault="003E6588">
            <w:pPr>
              <w:rPr>
                <w:color w:val="000000"/>
                <w:sz w:val="20"/>
                <w:szCs w:val="20"/>
              </w:rPr>
            </w:pPr>
            <w:r>
              <w:rPr>
                <w:color w:val="000000"/>
                <w:sz w:val="20"/>
                <w:szCs w:val="20"/>
              </w:rPr>
              <w:t>99.120</w:t>
            </w:r>
          </w:p>
        </w:tc>
        <w:tc>
          <w:tcPr>
            <w:tcW w:w="1729" w:type="dxa"/>
            <w:vAlign w:val="bottom"/>
          </w:tcPr>
          <w:p w:rsidR="003E6588" w:rsidRDefault="003E6588">
            <w:pPr>
              <w:rPr>
                <w:color w:val="000000"/>
                <w:sz w:val="20"/>
                <w:szCs w:val="20"/>
              </w:rPr>
            </w:pPr>
            <w:r>
              <w:rPr>
                <w:color w:val="000000"/>
                <w:sz w:val="20"/>
                <w:szCs w:val="20"/>
              </w:rPr>
              <w:t>4.839</w:t>
            </w:r>
          </w:p>
        </w:tc>
      </w:tr>
      <w:tr w:rsidR="003E6588" w:rsidTr="00CB499F">
        <w:trPr>
          <w:jc w:val="center"/>
        </w:trPr>
        <w:tc>
          <w:tcPr>
            <w:tcW w:w="1604" w:type="dxa"/>
            <w:vAlign w:val="center"/>
          </w:tcPr>
          <w:p w:rsidR="003E6588" w:rsidRDefault="003E6588">
            <w:pPr>
              <w:rPr>
                <w:sz w:val="20"/>
                <w:szCs w:val="20"/>
              </w:rPr>
            </w:pPr>
            <w:r>
              <w:rPr>
                <w:sz w:val="20"/>
                <w:szCs w:val="20"/>
              </w:rPr>
              <w:t>Outubro</w:t>
            </w:r>
          </w:p>
        </w:tc>
        <w:tc>
          <w:tcPr>
            <w:tcW w:w="1853" w:type="dxa"/>
            <w:vAlign w:val="bottom"/>
          </w:tcPr>
          <w:p w:rsidR="003E6588" w:rsidRDefault="003E6588">
            <w:pPr>
              <w:rPr>
                <w:color w:val="000000"/>
                <w:sz w:val="20"/>
                <w:szCs w:val="20"/>
              </w:rPr>
            </w:pPr>
            <w:r>
              <w:rPr>
                <w:color w:val="000000"/>
                <w:sz w:val="20"/>
                <w:szCs w:val="20"/>
              </w:rPr>
              <w:t>128.207</w:t>
            </w:r>
          </w:p>
        </w:tc>
        <w:tc>
          <w:tcPr>
            <w:tcW w:w="1729" w:type="dxa"/>
            <w:vAlign w:val="bottom"/>
          </w:tcPr>
          <w:p w:rsidR="003E6588" w:rsidRDefault="003E6588">
            <w:pPr>
              <w:rPr>
                <w:color w:val="000000"/>
                <w:sz w:val="20"/>
                <w:szCs w:val="20"/>
              </w:rPr>
            </w:pPr>
            <w:r>
              <w:rPr>
                <w:color w:val="000000"/>
                <w:sz w:val="20"/>
                <w:szCs w:val="20"/>
              </w:rPr>
              <w:t>48.510</w:t>
            </w:r>
          </w:p>
        </w:tc>
        <w:tc>
          <w:tcPr>
            <w:tcW w:w="1729" w:type="dxa"/>
            <w:vAlign w:val="bottom"/>
          </w:tcPr>
          <w:p w:rsidR="003E6588" w:rsidRDefault="003E6588">
            <w:pPr>
              <w:rPr>
                <w:color w:val="000000"/>
                <w:sz w:val="20"/>
                <w:szCs w:val="20"/>
              </w:rPr>
            </w:pPr>
            <w:r>
              <w:rPr>
                <w:color w:val="000000"/>
                <w:sz w:val="20"/>
                <w:szCs w:val="20"/>
              </w:rPr>
              <w:t>97.797</w:t>
            </w:r>
          </w:p>
        </w:tc>
        <w:tc>
          <w:tcPr>
            <w:tcW w:w="1729" w:type="dxa"/>
            <w:vAlign w:val="bottom"/>
          </w:tcPr>
          <w:p w:rsidR="003E6588" w:rsidRDefault="003E6588">
            <w:pPr>
              <w:rPr>
                <w:color w:val="000000"/>
                <w:sz w:val="20"/>
                <w:szCs w:val="20"/>
              </w:rPr>
            </w:pPr>
            <w:r>
              <w:rPr>
                <w:color w:val="000000"/>
                <w:sz w:val="20"/>
                <w:szCs w:val="20"/>
              </w:rPr>
              <w:t>5.950</w:t>
            </w:r>
          </w:p>
        </w:tc>
      </w:tr>
      <w:tr w:rsidR="003E6588" w:rsidTr="00CB499F">
        <w:trPr>
          <w:jc w:val="center"/>
        </w:trPr>
        <w:tc>
          <w:tcPr>
            <w:tcW w:w="1604" w:type="dxa"/>
            <w:vAlign w:val="center"/>
          </w:tcPr>
          <w:p w:rsidR="003E6588" w:rsidRDefault="003E6588">
            <w:pPr>
              <w:rPr>
                <w:sz w:val="20"/>
                <w:szCs w:val="20"/>
              </w:rPr>
            </w:pPr>
            <w:r>
              <w:rPr>
                <w:sz w:val="20"/>
                <w:szCs w:val="20"/>
              </w:rPr>
              <w:t>Novembro</w:t>
            </w:r>
          </w:p>
        </w:tc>
        <w:tc>
          <w:tcPr>
            <w:tcW w:w="1853" w:type="dxa"/>
            <w:vAlign w:val="bottom"/>
          </w:tcPr>
          <w:p w:rsidR="003E6588" w:rsidRDefault="003E6588">
            <w:pPr>
              <w:rPr>
                <w:color w:val="000000"/>
                <w:sz w:val="20"/>
                <w:szCs w:val="20"/>
              </w:rPr>
            </w:pPr>
            <w:r>
              <w:rPr>
                <w:color w:val="000000"/>
                <w:sz w:val="20"/>
                <w:szCs w:val="20"/>
              </w:rPr>
              <w:t>109.209</w:t>
            </w:r>
          </w:p>
        </w:tc>
        <w:tc>
          <w:tcPr>
            <w:tcW w:w="1729" w:type="dxa"/>
            <w:vAlign w:val="bottom"/>
          </w:tcPr>
          <w:p w:rsidR="003E6588" w:rsidRDefault="003E6588">
            <w:pPr>
              <w:rPr>
                <w:color w:val="000000"/>
                <w:sz w:val="20"/>
                <w:szCs w:val="20"/>
              </w:rPr>
            </w:pPr>
            <w:r>
              <w:rPr>
                <w:color w:val="000000"/>
                <w:sz w:val="20"/>
                <w:szCs w:val="20"/>
              </w:rPr>
              <w:t>43.182</w:t>
            </w:r>
          </w:p>
        </w:tc>
        <w:tc>
          <w:tcPr>
            <w:tcW w:w="1729" w:type="dxa"/>
            <w:vAlign w:val="bottom"/>
          </w:tcPr>
          <w:p w:rsidR="003E6588" w:rsidRDefault="003E6588">
            <w:pPr>
              <w:rPr>
                <w:color w:val="000000"/>
                <w:sz w:val="20"/>
                <w:szCs w:val="20"/>
              </w:rPr>
            </w:pPr>
            <w:r>
              <w:rPr>
                <w:color w:val="000000"/>
                <w:sz w:val="20"/>
                <w:szCs w:val="20"/>
              </w:rPr>
              <w:t>80.437</w:t>
            </w:r>
          </w:p>
        </w:tc>
        <w:tc>
          <w:tcPr>
            <w:tcW w:w="1729" w:type="dxa"/>
            <w:vAlign w:val="bottom"/>
          </w:tcPr>
          <w:p w:rsidR="003E6588" w:rsidRDefault="003E6588">
            <w:pPr>
              <w:rPr>
                <w:color w:val="000000"/>
                <w:sz w:val="20"/>
                <w:szCs w:val="20"/>
              </w:rPr>
            </w:pPr>
            <w:r>
              <w:rPr>
                <w:color w:val="000000"/>
                <w:sz w:val="20"/>
                <w:szCs w:val="20"/>
              </w:rPr>
              <w:t>4.927</w:t>
            </w:r>
          </w:p>
        </w:tc>
      </w:tr>
      <w:tr w:rsidR="003E6588" w:rsidTr="00CB499F">
        <w:trPr>
          <w:jc w:val="center"/>
        </w:trPr>
        <w:tc>
          <w:tcPr>
            <w:tcW w:w="1604" w:type="dxa"/>
            <w:shd w:val="clear" w:color="auto" w:fill="auto"/>
            <w:vAlign w:val="center"/>
          </w:tcPr>
          <w:p w:rsidR="003E6588" w:rsidRDefault="003E6588">
            <w:pPr>
              <w:rPr>
                <w:b/>
                <w:sz w:val="20"/>
                <w:szCs w:val="20"/>
              </w:rPr>
            </w:pPr>
            <w:r>
              <w:rPr>
                <w:b/>
                <w:sz w:val="20"/>
                <w:szCs w:val="20"/>
              </w:rPr>
              <w:t>TOTAL</w:t>
            </w:r>
          </w:p>
        </w:tc>
        <w:tc>
          <w:tcPr>
            <w:tcW w:w="1853" w:type="dxa"/>
            <w:shd w:val="clear" w:color="auto" w:fill="auto"/>
            <w:vAlign w:val="bottom"/>
          </w:tcPr>
          <w:p w:rsidR="003E6588" w:rsidRDefault="003E6588">
            <w:pPr>
              <w:rPr>
                <w:b/>
                <w:bCs/>
                <w:color w:val="000000"/>
                <w:sz w:val="20"/>
                <w:szCs w:val="20"/>
              </w:rPr>
            </w:pPr>
            <w:r>
              <w:rPr>
                <w:b/>
                <w:bCs/>
                <w:color w:val="000000"/>
                <w:sz w:val="20"/>
                <w:szCs w:val="20"/>
              </w:rPr>
              <w:t>1.367.142</w:t>
            </w:r>
          </w:p>
        </w:tc>
        <w:tc>
          <w:tcPr>
            <w:tcW w:w="1729" w:type="dxa"/>
            <w:shd w:val="clear" w:color="auto" w:fill="auto"/>
            <w:vAlign w:val="bottom"/>
          </w:tcPr>
          <w:p w:rsidR="003E6588" w:rsidRDefault="003E6588">
            <w:pPr>
              <w:rPr>
                <w:b/>
                <w:bCs/>
                <w:color w:val="000000"/>
                <w:sz w:val="20"/>
                <w:szCs w:val="20"/>
              </w:rPr>
            </w:pPr>
            <w:r>
              <w:rPr>
                <w:b/>
                <w:bCs/>
                <w:color w:val="000000"/>
                <w:sz w:val="20"/>
                <w:szCs w:val="20"/>
              </w:rPr>
              <w:t>547.554</w:t>
            </w:r>
          </w:p>
        </w:tc>
        <w:tc>
          <w:tcPr>
            <w:tcW w:w="1729" w:type="dxa"/>
            <w:shd w:val="clear" w:color="auto" w:fill="auto"/>
            <w:vAlign w:val="bottom"/>
          </w:tcPr>
          <w:p w:rsidR="003E6588" w:rsidRDefault="003E6588">
            <w:pPr>
              <w:rPr>
                <w:b/>
                <w:bCs/>
                <w:color w:val="000000"/>
                <w:sz w:val="20"/>
                <w:szCs w:val="20"/>
              </w:rPr>
            </w:pPr>
            <w:r>
              <w:rPr>
                <w:b/>
                <w:bCs/>
                <w:color w:val="000000"/>
                <w:sz w:val="20"/>
                <w:szCs w:val="20"/>
              </w:rPr>
              <w:t>1.058.327</w:t>
            </w:r>
          </w:p>
        </w:tc>
        <w:tc>
          <w:tcPr>
            <w:tcW w:w="1729" w:type="dxa"/>
            <w:shd w:val="clear" w:color="auto" w:fill="auto"/>
            <w:vAlign w:val="bottom"/>
          </w:tcPr>
          <w:p w:rsidR="003E6588" w:rsidRDefault="003E6588">
            <w:pPr>
              <w:rPr>
                <w:b/>
                <w:bCs/>
                <w:color w:val="000000"/>
                <w:sz w:val="20"/>
                <w:szCs w:val="20"/>
              </w:rPr>
            </w:pPr>
            <w:r>
              <w:rPr>
                <w:b/>
                <w:bCs/>
                <w:color w:val="000000"/>
                <w:sz w:val="20"/>
                <w:szCs w:val="20"/>
              </w:rPr>
              <w:t>57.785</w:t>
            </w:r>
          </w:p>
        </w:tc>
      </w:tr>
    </w:tbl>
    <w:p w:rsidR="003E6588" w:rsidRDefault="003E6588">
      <w:pPr>
        <w:ind w:firstLine="1134"/>
        <w:jc w:val="both"/>
        <w:rPr>
          <w:b/>
          <w:highlight w:val="yellow"/>
        </w:rPr>
      </w:pPr>
    </w:p>
    <w:p w:rsidR="003E6588" w:rsidRDefault="003E6588">
      <w:pPr>
        <w:ind w:firstLine="1134"/>
        <w:jc w:val="both"/>
        <w:rPr>
          <w:b/>
        </w:rPr>
      </w:pPr>
      <w:r>
        <w:rPr>
          <w:b/>
        </w:rPr>
        <w:t>Gestão da Inovação</w:t>
      </w:r>
    </w:p>
    <w:p w:rsidR="003E6588" w:rsidRDefault="003E6588">
      <w:pPr>
        <w:ind w:firstLine="1134"/>
        <w:jc w:val="both"/>
        <w:rPr>
          <w:b/>
          <w:highlight w:val="yellow"/>
          <w:u w:val="double"/>
        </w:rPr>
      </w:pPr>
    </w:p>
    <w:p w:rsidR="003E6588" w:rsidRDefault="003E6588">
      <w:pPr>
        <w:autoSpaceDE w:val="0"/>
        <w:autoSpaceDN w:val="0"/>
        <w:adjustRightInd w:val="0"/>
        <w:ind w:firstLine="1134"/>
        <w:jc w:val="both"/>
        <w:rPr>
          <w:color w:val="000000"/>
        </w:rPr>
      </w:pPr>
      <w:r>
        <w:rPr>
          <w:b/>
          <w:bCs/>
          <w:color w:val="000000"/>
        </w:rPr>
        <w:t xml:space="preserve">Capacitação dos </w:t>
      </w:r>
      <w:r>
        <w:rPr>
          <w:b/>
          <w:bCs/>
        </w:rPr>
        <w:t xml:space="preserve">Servidores SERT - </w:t>
      </w:r>
      <w:r>
        <w:t>Visa à realização de cursos de formação, qualificação e aperfeiçoamento profissional para os servidores da Pasta, a fim de melhorar o desempenho das atividades e processos inerentes às atribuições dos cargos, de modo a valorizar o capital humano da instituição, bem como aperfeiçoar o atendimento ao cidadão</w:t>
      </w:r>
      <w:r>
        <w:rPr>
          <w:color w:val="000000"/>
        </w:rPr>
        <w:t>.</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pPr>
      <w:r>
        <w:rPr>
          <w:color w:val="000000"/>
        </w:rPr>
        <w:t xml:space="preserve">122 servidores realizaram curso de qualificação. </w:t>
      </w:r>
      <w:r>
        <w:t>Foi firmado contrato para a oferta de 56 cursos aos servidores da Secretaria.</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bCs/>
          <w:color w:val="000000"/>
        </w:rPr>
        <w:t xml:space="preserve">Redes de Procedimento - </w:t>
      </w:r>
      <w:r>
        <w:rPr>
          <w:color w:val="000000"/>
        </w:rPr>
        <w:t>Elaboração de Manuais de Procedimentos de Trabalho como forma de apropriação do conhecimento dos servidores, de modo a proporcionar compartilhamento de experiências e conhecimentos, possibilitando a criação de rede de aprendizado em constante evolução, em cada unidade.</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highlight w:val="yellow"/>
          <w:lang w:eastAsia="en-US"/>
        </w:rPr>
      </w:pPr>
      <w:r>
        <w:rPr>
          <w:color w:val="000000"/>
        </w:rPr>
        <w:t xml:space="preserve">Foram </w:t>
      </w:r>
      <w:r>
        <w:t xml:space="preserve">elaborados </w:t>
      </w:r>
      <w:r>
        <w:rPr>
          <w:bCs/>
        </w:rPr>
        <w:t xml:space="preserve">2 </w:t>
      </w:r>
      <w:r>
        <w:t>manuais de procedimentos, voltados à orientação dos servidores quanto aos procedimentos de trabalho, no âmbito da Pasta.</w:t>
      </w:r>
    </w:p>
    <w:p w:rsidR="003E6588" w:rsidRDefault="003E6588">
      <w:pPr>
        <w:ind w:firstLine="1134"/>
      </w:pPr>
    </w:p>
    <w:p w:rsidR="003E6588" w:rsidRDefault="003E6588">
      <w:pPr>
        <w:rPr>
          <w:b/>
          <w:bCs/>
        </w:rPr>
      </w:pPr>
      <w:r>
        <w:br w:type="page"/>
      </w:r>
      <w:r>
        <w:rPr>
          <w:b/>
          <w:bCs/>
        </w:rPr>
        <w:lastRenderedPageBreak/>
        <w:t>SECRETARIA DE ENERGIA</w:t>
      </w:r>
    </w:p>
    <w:p w:rsidR="003E6588" w:rsidRDefault="003E6588"/>
    <w:p w:rsidR="003E6588" w:rsidRDefault="003E6588"/>
    <w:p w:rsidR="003E6588" w:rsidRDefault="003E6588">
      <w:pPr>
        <w:ind w:firstLine="1134"/>
        <w:jc w:val="both"/>
      </w:pPr>
      <w:r>
        <w:rPr>
          <w:rFonts w:eastAsia="Calibri"/>
          <w:b/>
          <w:lang w:eastAsia="en-US"/>
        </w:rPr>
        <w:t xml:space="preserve">Introdução - </w:t>
      </w:r>
      <w:r>
        <w:t>A Secretaria de Energia, por meio de suas ações, seguiu como importante interlocutora das demandas do setor de energia elétrica, renováveis, petróleo e gás, e mineração, com ênfase na defesa dos interesses dos consumidores, assegurando a qualidade no fornecimento e modicidade econômica, promovendo intensas fiscalizações.</w:t>
      </w:r>
    </w:p>
    <w:p w:rsidR="003E6588" w:rsidRDefault="003E6588">
      <w:pPr>
        <w:autoSpaceDE w:val="0"/>
        <w:autoSpaceDN w:val="0"/>
        <w:adjustRightInd w:val="0"/>
        <w:ind w:firstLine="1134"/>
        <w:jc w:val="both"/>
        <w:rPr>
          <w:strike/>
        </w:rPr>
      </w:pPr>
    </w:p>
    <w:p w:rsidR="003E6588" w:rsidRDefault="003E6588">
      <w:pPr>
        <w:autoSpaceDE w:val="0"/>
        <w:autoSpaceDN w:val="0"/>
        <w:adjustRightInd w:val="0"/>
        <w:ind w:firstLine="1134"/>
        <w:jc w:val="both"/>
      </w:pPr>
      <w:r>
        <w:t xml:space="preserve">Em relação ao setor de energia elétrica, empenhou-se nas tratativas envolvendo concessionárias de distribuição de energia elétrica, Agência Nacional de Energia Elétrica </w:t>
      </w:r>
      <w:r w:rsidR="00380006">
        <w:t xml:space="preserve">- </w:t>
      </w:r>
      <w:r>
        <w:t>Aneel e ARSESP com relação à transferência dos ativos de iluminação pública às prefeituras, conforme previsto na Resolução Aneel nº 414/2010 que, após diversas prorrogações, ficou definida para 31 de dezembro deste ano.</w:t>
      </w:r>
    </w:p>
    <w:p w:rsidR="003E6588" w:rsidRDefault="003E6588">
      <w:pPr>
        <w:ind w:firstLine="1134"/>
        <w:contextualSpacing/>
        <w:jc w:val="both"/>
        <w:rPr>
          <w:strike/>
        </w:rPr>
      </w:pPr>
    </w:p>
    <w:p w:rsidR="003E6588" w:rsidRDefault="003E6588">
      <w:pPr>
        <w:ind w:firstLine="1134"/>
        <w:contextualSpacing/>
        <w:jc w:val="both"/>
      </w:pPr>
      <w:r>
        <w:t>No setor de petróleo e gás, em virtude de sua atual relevância para o suprimento energético e para a economia nacional e paulista, a Subsecretaria de Petróleo e Gás, atuou com o objetivo de fortalecer a diversificação das atividades da indústria de petróleo e gás em São Paulo (desenvolvimento socioeconômico, concomitantemente à minimização e mitigação de potenciais impactos ambientais), bem como o de fomento do uso do gás natural em situações que agreguem competitividade econômica, diminuição de emissões e eficiência energética.</w:t>
      </w:r>
    </w:p>
    <w:p w:rsidR="003E6588" w:rsidRDefault="003E6588">
      <w:pPr>
        <w:ind w:firstLine="1134"/>
        <w:contextualSpacing/>
        <w:jc w:val="both"/>
        <w:rPr>
          <w:strike/>
        </w:rPr>
      </w:pPr>
    </w:p>
    <w:p w:rsidR="003E6588" w:rsidRDefault="003E6588">
      <w:pPr>
        <w:ind w:firstLine="1134"/>
        <w:contextualSpacing/>
        <w:jc w:val="both"/>
      </w:pPr>
      <w:r>
        <w:t>A Subsecretaria de Mineração alcançou resultados bastante satisfatórios no presente exercício. As ações implementadas atenderam plenamente as atribuições e competências do campo funcional afeto à Secretaria de Energia, havendo, além do desenvolvimento de importantes projetos técnicos voltados ao aprimoramento do setor mineral paulista de forma social e ambientalmente sustentável, a interlocução com os principais agentes públicos e privados envolvidos no trato da questão mineral em todos os seus aspectos.</w:t>
      </w:r>
    </w:p>
    <w:p w:rsidR="003E6588" w:rsidRDefault="003E6588">
      <w:pPr>
        <w:ind w:firstLine="1134"/>
        <w:jc w:val="both"/>
        <w:rPr>
          <w:strike/>
        </w:rPr>
      </w:pPr>
    </w:p>
    <w:p w:rsidR="003E6588" w:rsidRDefault="003E6588">
      <w:pPr>
        <w:ind w:firstLine="1134"/>
        <w:jc w:val="both"/>
        <w:rPr>
          <w:lang w:val="pt-PT"/>
        </w:rPr>
      </w:pPr>
      <w:r>
        <w:t xml:space="preserve">Em relação às entidades ligadas à Secretaria, a Companhia Energética de São Paulo - CESP </w:t>
      </w:r>
      <w:r>
        <w:rPr>
          <w:lang w:val="pt-PT"/>
        </w:rPr>
        <w:t>possui cinco usinas hidrelétricas, que operam no regime de preço e esteve responsável pela operação e manutenção da UHE Três Irmãos, no regime de cotas. Além disso, realizou chamada pública manifestando a intenção de analisar oportunidades de parcerias em empreendimentos de geração de energia proveniente de fontes renováveis para expansão do parque gerador e recebeu 21 propostas, sendo 2 usinas de biomassa, 11 parques solar-fotovoltaicos, 7 parques eólicos e 1 complexo solar-eólico. O Planejamento Estratégico em andamento indicará a viabilidade dessas parcerias.</w:t>
      </w:r>
    </w:p>
    <w:p w:rsidR="003E6588" w:rsidRDefault="003E6588">
      <w:pPr>
        <w:ind w:firstLine="1134"/>
        <w:jc w:val="both"/>
        <w:rPr>
          <w:strike/>
        </w:rPr>
      </w:pPr>
    </w:p>
    <w:p w:rsidR="003E6588" w:rsidRDefault="003E6588">
      <w:pPr>
        <w:ind w:firstLine="1134"/>
        <w:jc w:val="both"/>
      </w:pPr>
      <w:r>
        <w:t>A Empresa Metropolitana de Águas e Energia - EMAE, em função da prorrogação das concessões das UHEs Rasgão, Henry Borden e Porto Góes por 30 anos pela disponibilização da energia e potência das usinas no sistema de cotas e receita estabelecida mediante tarifa regulada, continuou a atuar no sentido de consolidar seu equilíbrio econômico-financeiro, buscando otimizar suas instalações e operações para adequá-los às suas receitas e, assim, remunerar seus acionistas.</w:t>
      </w:r>
    </w:p>
    <w:p w:rsidR="003E6588" w:rsidRDefault="003E6588">
      <w:pPr>
        <w:ind w:firstLine="1134"/>
        <w:jc w:val="both"/>
        <w:rPr>
          <w:strike/>
        </w:rPr>
      </w:pPr>
    </w:p>
    <w:p w:rsidR="003E6588" w:rsidRDefault="003E6588">
      <w:pPr>
        <w:ind w:firstLine="1134"/>
        <w:jc w:val="both"/>
        <w:rPr>
          <w:strike/>
        </w:rPr>
      </w:pPr>
      <w:r>
        <w:rPr>
          <w:rFonts w:eastAsia="Calibri"/>
          <w:b/>
          <w:lang w:eastAsia="en-US"/>
        </w:rPr>
        <w:t xml:space="preserve">Atividades - </w:t>
      </w:r>
      <w:r>
        <w:t>A seguir as principais ações da Secretaria de Energia por área administrativa.</w:t>
      </w:r>
    </w:p>
    <w:p w:rsidR="003E6588" w:rsidRDefault="003E6588">
      <w:pPr>
        <w:ind w:firstLine="1134"/>
        <w:jc w:val="both"/>
      </w:pPr>
      <w:r>
        <w:rPr>
          <w:b/>
        </w:rPr>
        <w:lastRenderedPageBreak/>
        <w:t xml:space="preserve">Assessoria Técnica de Gabinete - ATG - </w:t>
      </w:r>
      <w:r>
        <w:t>A ATG além de estabelecer os fluxos e supervisionar as instruções dos processos administrativos e dos convênios celebrados, foi responsável por aproximadamente 800 despachos internos, alcançando as entidades vinculadas, a Assessoria Técnico-Legislativa do Governo e a Consultoria Jurídica, além de informações diversas prestadas por esta Pasta via correspondência.</w:t>
      </w:r>
    </w:p>
    <w:p w:rsidR="003E6588" w:rsidRDefault="003E6588">
      <w:pPr>
        <w:ind w:firstLine="1134"/>
        <w:jc w:val="both"/>
      </w:pPr>
    </w:p>
    <w:p w:rsidR="003E6588" w:rsidRDefault="003E6588">
      <w:pPr>
        <w:ind w:firstLine="1134"/>
        <w:jc w:val="both"/>
        <w:rPr>
          <w:color w:val="000000"/>
        </w:rPr>
      </w:pPr>
      <w:r>
        <w:rPr>
          <w:b/>
        </w:rPr>
        <w:t xml:space="preserve">Departamento de Administração - DA - </w:t>
      </w:r>
      <w:r>
        <w:rPr>
          <w:color w:val="000000"/>
        </w:rPr>
        <w:t>O Departamento de Administração deu continuidade aos contratos destinados à manutenção da infraestrutura para atendimento das atividades da Pasta e, efetivou duas importantes licitações visando promover melhorias aos servidores da SEE, sendo contratados serviços de administração, gerenciamento, emissão, distribuição e fornecimento de vales refeições, na forma de cartão eletrônico/magnético ou de tecnologia similar e, contratados serviços de copeiragem, ambos através de pregão eletrônico.</w:t>
      </w:r>
    </w:p>
    <w:p w:rsidR="003E6588" w:rsidRDefault="003E6588">
      <w:pPr>
        <w:ind w:firstLine="1134"/>
        <w:jc w:val="both"/>
        <w:rPr>
          <w:strike/>
          <w:color w:val="000000"/>
        </w:rPr>
      </w:pPr>
    </w:p>
    <w:p w:rsidR="003E6588" w:rsidRDefault="003E6588">
      <w:pPr>
        <w:ind w:firstLine="1134"/>
        <w:jc w:val="both"/>
        <w:rPr>
          <w:color w:val="000000"/>
        </w:rPr>
      </w:pPr>
      <w:r>
        <w:rPr>
          <w:b/>
        </w:rPr>
        <w:t xml:space="preserve">Grupo Setorial de Planejamento, Orçamento e Finanças Públicas - GSPOFP - </w:t>
      </w:r>
      <w:r>
        <w:rPr>
          <w:color w:val="000000"/>
        </w:rPr>
        <w:t>Geriu o orçamento da Secretaria, dos quais foram empenhados R$ 33.961 mil, representando um percentual de 91%, incluindo os valores repassados à EMAE - Empresa Metropolitana de Águas e Energia, destinados ao desassoreamento da Calha do Rio Pinheiros.</w:t>
      </w:r>
    </w:p>
    <w:p w:rsidR="003E6588" w:rsidRDefault="003E6588">
      <w:pPr>
        <w:ind w:firstLine="1134"/>
        <w:jc w:val="both"/>
        <w:rPr>
          <w:strike/>
          <w:color w:val="000000"/>
        </w:rPr>
      </w:pPr>
    </w:p>
    <w:p w:rsidR="003E6588" w:rsidRDefault="003E6588">
      <w:pPr>
        <w:ind w:firstLine="1134"/>
        <w:jc w:val="both"/>
        <w:rPr>
          <w:color w:val="000000"/>
        </w:rPr>
      </w:pPr>
      <w:r>
        <w:rPr>
          <w:b/>
        </w:rPr>
        <w:t xml:space="preserve">Grupo Setorial da Informação e Comunicação - GSTIC - </w:t>
      </w:r>
      <w:r>
        <w:rPr>
          <w:color w:val="000000"/>
        </w:rPr>
        <w:t>Desenvolveu atividades de gerenciamento da infraestrutura, nas três sedes ocupadas pela Secretaria, suporte aos usuários, manutenção de equipamentos, gestão de contratos e apoio técnico às contratações, bem como a aquisição e contratação de equipamentos e treinamento especializado para a equipe técnica da Pasta.</w:t>
      </w:r>
    </w:p>
    <w:p w:rsidR="003E6588" w:rsidRDefault="003E6588">
      <w:pPr>
        <w:ind w:firstLine="1134"/>
        <w:jc w:val="both"/>
        <w:rPr>
          <w:strike/>
        </w:rPr>
      </w:pPr>
    </w:p>
    <w:p w:rsidR="003E6588" w:rsidRDefault="003E6588">
      <w:pPr>
        <w:ind w:firstLine="1134"/>
        <w:jc w:val="both"/>
      </w:pPr>
      <w:r>
        <w:rPr>
          <w:rFonts w:eastAsia="Calibri"/>
          <w:b/>
          <w:lang w:eastAsia="en-US"/>
        </w:rPr>
        <w:t xml:space="preserve">Subsecretaria de Energia Elétrica - </w:t>
      </w:r>
      <w:r>
        <w:t>A Subsecretaria de Energia Elétrica empenhou-se na orientação aos municípios paulistas com relação à transferência dos ativos de iluminação pública, dando cumprimento à Resolução Aneel nº 414/2010.</w:t>
      </w:r>
    </w:p>
    <w:p w:rsidR="003E6588" w:rsidRDefault="003E6588">
      <w:pPr>
        <w:ind w:firstLine="1134"/>
        <w:jc w:val="both"/>
      </w:pPr>
    </w:p>
    <w:p w:rsidR="003E6588" w:rsidRDefault="003E6588">
      <w:pPr>
        <w:ind w:firstLine="1134"/>
        <w:jc w:val="both"/>
      </w:pPr>
      <w:r>
        <w:t>Trabalhou para o fortalecimento e incremento das fiscalizações, bem como para implantação de novos empreendimentos que garantam um melhor suprimento de energia elétrica ao Estado.</w:t>
      </w:r>
    </w:p>
    <w:p w:rsidR="003E6588" w:rsidRDefault="003E6588">
      <w:pPr>
        <w:ind w:firstLine="1134"/>
        <w:jc w:val="both"/>
      </w:pPr>
    </w:p>
    <w:p w:rsidR="003E6588" w:rsidRDefault="003E6588">
      <w:pPr>
        <w:ind w:firstLine="1134"/>
        <w:jc w:val="both"/>
        <w:rPr>
          <w:strike/>
        </w:rPr>
      </w:pPr>
      <w:r>
        <w:t>Deu-se sequência ao Programa de Eficiência Energética.</w:t>
      </w:r>
    </w:p>
    <w:p w:rsidR="003E6588" w:rsidRDefault="003E6588">
      <w:pPr>
        <w:ind w:firstLine="1134"/>
        <w:jc w:val="both"/>
      </w:pPr>
    </w:p>
    <w:p w:rsidR="003E6588" w:rsidRDefault="003E6588">
      <w:pPr>
        <w:ind w:firstLine="1134"/>
        <w:jc w:val="both"/>
      </w:pPr>
      <w:r>
        <w:rPr>
          <w:b/>
        </w:rPr>
        <w:t>Segurança energética -</w:t>
      </w:r>
      <w:r>
        <w:t xml:space="preserve"> Foi dada atenção prioritária ao segmento de transmissão e distribuição especialmente quanto ao tempo de restabelecimento da energia.</w:t>
      </w:r>
    </w:p>
    <w:p w:rsidR="003E6588" w:rsidRDefault="003E6588">
      <w:pPr>
        <w:ind w:firstLine="1134"/>
        <w:jc w:val="both"/>
      </w:pPr>
    </w:p>
    <w:p w:rsidR="003E6588" w:rsidRDefault="003E6588">
      <w:pPr>
        <w:ind w:firstLine="1134"/>
        <w:jc w:val="both"/>
      </w:pPr>
      <w:r>
        <w:rPr>
          <w:b/>
        </w:rPr>
        <w:t>Suprimento de eletricidade -</w:t>
      </w:r>
      <w:r>
        <w:t xml:space="preserve"> Foi implantado modelo de atuação voltado à integração de planos e ações dos agentes do setor, para que os pontos vulneráveis do sistema de fornecimento passassem a ser sistematicamente mapeados e mitigados; houve a implantação de melhorias pelas empresas, adequações regulatórias e ampliação das fiscalizações.</w:t>
      </w:r>
    </w:p>
    <w:p w:rsidR="003E6588" w:rsidRDefault="003E6588">
      <w:pPr>
        <w:ind w:firstLine="1134"/>
        <w:jc w:val="both"/>
      </w:pPr>
    </w:p>
    <w:p w:rsidR="003E6588" w:rsidRDefault="003E6588">
      <w:pPr>
        <w:ind w:firstLine="1134"/>
        <w:jc w:val="both"/>
        <w:rPr>
          <w:strike/>
        </w:rPr>
      </w:pPr>
      <w:r>
        <w:rPr>
          <w:b/>
        </w:rPr>
        <w:t>Uso eficiente da energia elétrica -</w:t>
      </w:r>
      <w:r>
        <w:t xml:space="preserve"> Atuação abrangente requereu segmentação do mercado e compreensão das causas do comportamento de consumo, identificando as maiores oportunidades nos </w:t>
      </w:r>
      <w:r>
        <w:lastRenderedPageBreak/>
        <w:t xml:space="preserve">segmentos residencial (28%), comercial (18%) e industrial (17%). Para o poder público, embora responda por apenas 2% do consumo total de energia elétrica, o desafio é torná-lo exemplo para a sociedade e possibilitar reduções significativas de custos através da gestão de contratos de demanda e do uso racional de energia. </w:t>
      </w:r>
    </w:p>
    <w:p w:rsidR="003E6588" w:rsidRDefault="003E6588">
      <w:pPr>
        <w:ind w:firstLine="1134"/>
        <w:jc w:val="both"/>
      </w:pPr>
    </w:p>
    <w:p w:rsidR="003E6588" w:rsidRDefault="003E6588">
      <w:pPr>
        <w:ind w:firstLine="1134"/>
        <w:jc w:val="both"/>
        <w:rPr>
          <w:rFonts w:eastAsia="Calibri"/>
          <w:lang w:eastAsia="en-US"/>
        </w:rPr>
      </w:pPr>
      <w:r>
        <w:rPr>
          <w:rFonts w:eastAsia="Calibri"/>
          <w:b/>
          <w:lang w:eastAsia="en-US"/>
        </w:rPr>
        <w:t xml:space="preserve">Eficiência Energética - </w:t>
      </w:r>
      <w:r>
        <w:t>Para contribuir para aumento da oferta de energia de forma barata e sustentável, a SEE planejou ações por segmento de consumo e vem desenvolvendo-as em articulação com outros órgãos do poder público, empresas do setor elétrico e Aneel, destacando-se:</w:t>
      </w:r>
    </w:p>
    <w:p w:rsidR="003E6588" w:rsidRDefault="003E6588">
      <w:pPr>
        <w:ind w:firstLine="1134"/>
        <w:jc w:val="both"/>
        <w:rPr>
          <w:b/>
        </w:rPr>
      </w:pPr>
    </w:p>
    <w:p w:rsidR="003E6588" w:rsidRDefault="003E6588">
      <w:pPr>
        <w:ind w:firstLine="1134"/>
        <w:jc w:val="both"/>
        <w:rPr>
          <w:strike/>
        </w:rPr>
      </w:pPr>
      <w:r>
        <w:rPr>
          <w:b/>
        </w:rPr>
        <w:t xml:space="preserve">Poder público - </w:t>
      </w:r>
      <w:r>
        <w:t>Passaram a ser acompanhados pela SEE 1.774 contratos de fornecimento de energia elétrica dos próprios do Estado ligados em média e alta tensão, sendo revisados 654 que geraram economia financeira de R$ 14,9 milhões.</w:t>
      </w:r>
    </w:p>
    <w:p w:rsidR="003E6588" w:rsidRDefault="003E6588">
      <w:pPr>
        <w:ind w:firstLine="1134"/>
        <w:jc w:val="both"/>
        <w:rPr>
          <w:strike/>
        </w:rPr>
      </w:pPr>
    </w:p>
    <w:p w:rsidR="003E6588" w:rsidRDefault="003E6588">
      <w:pPr>
        <w:ind w:firstLine="1134"/>
        <w:jc w:val="both"/>
      </w:pPr>
      <w:r>
        <w:t>Disseminação de ações voltadas às Prefeituras e Câmaras Municipais, no sentido de orientá-las sobre transferência dos ativos de iluminação pública, conforme determinação das Resoluções Normativas Aneel n° 414/2010 e nº 587/2013.</w:t>
      </w:r>
    </w:p>
    <w:p w:rsidR="003E6588" w:rsidRDefault="003E6588">
      <w:pPr>
        <w:ind w:firstLine="1134"/>
        <w:jc w:val="both"/>
      </w:pPr>
    </w:p>
    <w:p w:rsidR="003E6588" w:rsidRDefault="003E6588">
      <w:pPr>
        <w:ind w:firstLine="1134"/>
        <w:jc w:val="both"/>
      </w:pPr>
      <w:r>
        <w:t>Cartilha “Iluminação Pública - Guia do Gestor”, contendo informações fundamentais sobre a transferência dos ativos de IP, foi enviada aos 645 municípios do Estado.</w:t>
      </w:r>
    </w:p>
    <w:p w:rsidR="003E6588" w:rsidRDefault="003E6588">
      <w:pPr>
        <w:ind w:firstLine="1134"/>
        <w:jc w:val="both"/>
        <w:rPr>
          <w:b/>
        </w:rPr>
      </w:pPr>
    </w:p>
    <w:p w:rsidR="003E6588" w:rsidRDefault="003E6588">
      <w:pPr>
        <w:ind w:firstLine="1134"/>
        <w:jc w:val="both"/>
        <w:rPr>
          <w:strike/>
        </w:rPr>
      </w:pPr>
      <w:r>
        <w:rPr>
          <w:b/>
        </w:rPr>
        <w:t xml:space="preserve">Indústria e comércio - </w:t>
      </w:r>
      <w:r>
        <w:t>Introdução da disciplina “Eficiência Energética na formação de profissionais” nas Etecs/Fatecs.</w:t>
      </w:r>
    </w:p>
    <w:p w:rsidR="003E6588" w:rsidRDefault="003E6588">
      <w:pPr>
        <w:tabs>
          <w:tab w:val="left" w:pos="252"/>
        </w:tabs>
        <w:ind w:firstLine="1134"/>
        <w:jc w:val="both"/>
        <w:rPr>
          <w:strike/>
        </w:rPr>
      </w:pPr>
    </w:p>
    <w:p w:rsidR="003E6588" w:rsidRDefault="003E6588">
      <w:pPr>
        <w:ind w:firstLine="1134"/>
        <w:jc w:val="both"/>
      </w:pPr>
      <w:r>
        <w:rPr>
          <w:b/>
        </w:rPr>
        <w:t xml:space="preserve">Sociedade - </w:t>
      </w:r>
      <w:r>
        <w:t>Realizado seminário cujo objetivo foi debater os princípios da eficiência e racionalização no uso da energia e apontar diretrizes de atuação do Estado em conjunto com a sociedade. A meta é disseminar, por meio de eventos, a interação e troca de experiências entre os vários setores da sociedade (construção, indústria, comércio, poder publico, energia), no sentido de potencializar sinergias para adoção de políticas que propiciem a difusão do conhecimento sobre Eficiência Energética.</w:t>
      </w:r>
    </w:p>
    <w:p w:rsidR="003E6588" w:rsidRDefault="003E6588">
      <w:pPr>
        <w:tabs>
          <w:tab w:val="left" w:pos="180"/>
        </w:tabs>
        <w:ind w:firstLine="1134"/>
        <w:jc w:val="both"/>
      </w:pPr>
    </w:p>
    <w:p w:rsidR="003E6588" w:rsidRDefault="003E6588">
      <w:pPr>
        <w:ind w:firstLine="1134"/>
        <w:jc w:val="both"/>
      </w:pPr>
      <w:r>
        <w:rPr>
          <w:rFonts w:eastAsia="Calibri"/>
          <w:b/>
          <w:lang w:eastAsia="en-US"/>
        </w:rPr>
        <w:t xml:space="preserve">Qualidade de fornecimento de energia elétrica - </w:t>
      </w:r>
      <w:r>
        <w:t>Ações voltadas à melhoria da qualidade e continuidade do serviço prestado à população do Estado:</w:t>
      </w:r>
    </w:p>
    <w:p w:rsidR="003E6588" w:rsidRDefault="003E6588">
      <w:pPr>
        <w:ind w:firstLine="1134"/>
        <w:jc w:val="both"/>
      </w:pPr>
    </w:p>
    <w:p w:rsidR="003E6588" w:rsidRDefault="003E6588">
      <w:pPr>
        <w:ind w:firstLine="1134"/>
        <w:jc w:val="both"/>
        <w:rPr>
          <w:b/>
        </w:rPr>
      </w:pPr>
      <w:r>
        <w:rPr>
          <w:b/>
        </w:rPr>
        <w:t>Suprimento de Energia Elétrica</w:t>
      </w:r>
    </w:p>
    <w:p w:rsidR="003E6588" w:rsidRDefault="003E6588">
      <w:pPr>
        <w:tabs>
          <w:tab w:val="left" w:pos="180"/>
        </w:tabs>
        <w:ind w:firstLine="1134"/>
        <w:jc w:val="both"/>
      </w:pPr>
    </w:p>
    <w:p w:rsidR="003E6588" w:rsidRDefault="003E6588">
      <w:pPr>
        <w:tabs>
          <w:tab w:val="left" w:pos="180"/>
        </w:tabs>
        <w:ind w:firstLine="1134"/>
        <w:jc w:val="both"/>
      </w:pPr>
      <w:r>
        <w:t>- Garantir o planejamento de médio e longo prazo para suprimento de energia elétrica do Estado.</w:t>
      </w:r>
    </w:p>
    <w:p w:rsidR="003E6588" w:rsidRDefault="003E6588">
      <w:pPr>
        <w:tabs>
          <w:tab w:val="left" w:pos="180"/>
        </w:tabs>
        <w:ind w:firstLine="1134"/>
        <w:jc w:val="both"/>
      </w:pPr>
    </w:p>
    <w:p w:rsidR="003E6588" w:rsidRDefault="003E6588">
      <w:pPr>
        <w:tabs>
          <w:tab w:val="left" w:pos="180"/>
        </w:tabs>
        <w:ind w:firstLine="1134"/>
        <w:jc w:val="both"/>
      </w:pPr>
      <w:r>
        <w:t>- A SEE buscou participação junto aos órgãos setoriais e às concessionárias de energia elétrica nos grupos de estudo de planejamento do sistema de transmissão.</w:t>
      </w:r>
    </w:p>
    <w:p w:rsidR="003E6588" w:rsidRDefault="003E6588">
      <w:pPr>
        <w:tabs>
          <w:tab w:val="left" w:pos="180"/>
        </w:tabs>
        <w:ind w:firstLine="1134"/>
        <w:jc w:val="both"/>
      </w:pPr>
    </w:p>
    <w:p w:rsidR="003E6588" w:rsidRDefault="003E6588">
      <w:pPr>
        <w:tabs>
          <w:tab w:val="left" w:pos="180"/>
        </w:tabs>
        <w:ind w:firstLine="1134"/>
        <w:jc w:val="both"/>
      </w:pPr>
      <w:r>
        <w:t>- Como resultado, a conclusão dos estudos com indicação de implantação de 5 novos empreendimentos:</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SE Água Azul, 440/138 kV, reforço no suprimento à região de Guarulhos, Mairiporã e Atibaia, inclusive atendimento a ampliação do aeroporto de Guarulhos;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SE Morro Agudo, 500/138 kV, reforço no suprimento à região de Barretos, Franca e Ribeirão Preto;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Linha de Transmissão Subterrânea 345 kV Piratininga II </w:t>
      </w:r>
      <w:r w:rsidR="00380006">
        <w:rPr>
          <w:rFonts w:ascii="Times New Roman" w:hAnsi="Times New Roman"/>
          <w:sz w:val="24"/>
          <w:szCs w:val="24"/>
        </w:rPr>
        <w:t>-</w:t>
      </w:r>
      <w:r>
        <w:rPr>
          <w:rFonts w:ascii="Times New Roman" w:hAnsi="Times New Roman"/>
          <w:sz w:val="24"/>
          <w:szCs w:val="24"/>
        </w:rPr>
        <w:t xml:space="preserve"> Bandeirantes, para suprimento a SE Bandeirantes que atende a Zona Sul do Município de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Linha de Transmissão Aérea 500 kV Campinas </w:t>
      </w:r>
      <w:r w:rsidR="00380006">
        <w:rPr>
          <w:rFonts w:ascii="Times New Roman" w:hAnsi="Times New Roman"/>
          <w:sz w:val="24"/>
          <w:szCs w:val="24"/>
        </w:rPr>
        <w:t>-</w:t>
      </w:r>
      <w:r>
        <w:rPr>
          <w:rFonts w:ascii="Times New Roman" w:hAnsi="Times New Roman"/>
          <w:sz w:val="24"/>
          <w:szCs w:val="24"/>
        </w:rPr>
        <w:t xml:space="preserve"> Itatiba, circuito 2, para suprimento às regiões de Campinas, Jundiaí, Valinhos, Vinhedo, Americana e Sumaré;</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Linha de Transmissão Aérea 440 kV Cabreúva </w:t>
      </w:r>
      <w:r w:rsidR="00380006">
        <w:rPr>
          <w:rFonts w:ascii="Times New Roman" w:hAnsi="Times New Roman"/>
          <w:sz w:val="24"/>
          <w:szCs w:val="24"/>
        </w:rPr>
        <w:t>-</w:t>
      </w:r>
      <w:r>
        <w:rPr>
          <w:rFonts w:ascii="Times New Roman" w:hAnsi="Times New Roman"/>
          <w:sz w:val="24"/>
          <w:szCs w:val="24"/>
        </w:rPr>
        <w:t xml:space="preserve"> Fernão Dias, reforço no escoamento da geração de energia elétrica das usinas do Belo Monte/Pará, para atendimento ao Estado; </w:t>
      </w:r>
    </w:p>
    <w:p w:rsidR="003E6588" w:rsidRDefault="003E6588">
      <w:pPr>
        <w:ind w:firstLine="1134"/>
        <w:jc w:val="both"/>
      </w:pPr>
    </w:p>
    <w:p w:rsidR="003E6588" w:rsidRDefault="003E6588">
      <w:pPr>
        <w:ind w:firstLine="1134"/>
        <w:jc w:val="both"/>
      </w:pPr>
      <w:r>
        <w:t>- Garantir a execução, pela iniciativa privada, das obras sistêmicas necessárias para suprimento de energia elétrica do Estado por meio do acompanhamento e interação junto às empresas e órgãos setoriais dos obstáculos ambientais, financeiros, legais e organizacionais.</w:t>
      </w:r>
    </w:p>
    <w:p w:rsidR="003E6588" w:rsidRDefault="003E6588">
      <w:pPr>
        <w:ind w:firstLine="1134"/>
        <w:jc w:val="both"/>
      </w:pPr>
    </w:p>
    <w:p w:rsidR="003E6588" w:rsidRDefault="003E6588">
      <w:pPr>
        <w:ind w:firstLine="1134"/>
        <w:jc w:val="both"/>
      </w:pPr>
      <w:r>
        <w:t>Como resultado, destaca-se:</w:t>
      </w:r>
    </w:p>
    <w:p w:rsidR="003E6588" w:rsidRDefault="003E6588">
      <w:pPr>
        <w:ind w:firstLine="1134"/>
        <w:jc w:val="both"/>
      </w:pPr>
    </w:p>
    <w:p w:rsidR="003E6588" w:rsidRPr="00380006" w:rsidRDefault="003E6588">
      <w:pPr>
        <w:pStyle w:val="PargrafodaLista"/>
        <w:ind w:left="0" w:firstLine="1134"/>
        <w:rPr>
          <w:rFonts w:ascii="Times New Roman" w:hAnsi="Times New Roman"/>
          <w:sz w:val="24"/>
          <w:szCs w:val="24"/>
        </w:rPr>
      </w:pPr>
      <w:r>
        <w:rPr>
          <w:rFonts w:ascii="Times New Roman" w:hAnsi="Times New Roman"/>
          <w:sz w:val="24"/>
          <w:szCs w:val="24"/>
        </w:rPr>
        <w:t>Conclusão das obras da SE Cerquilho 3 - 230/138 kV, essencial para o reforço no suprimento de energia elétrica à região de Itapetininga, Cerquilho, Tatuí, Boituva, Tietê, Cesário Lange e Laranjal Paulista</w:t>
      </w:r>
      <w:r w:rsidR="00380006">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Obras iniciadas - SE Paraguaçu Paulista 230/88 kV, essencial para o escoamento de energia elétrica das usinas térmicas a biomassa a partir da cana de açúcar na região de Assis, Paraguaçu Paulista, Quatá e Rancharia; SE Piracicaba 440/138 kV,</w:t>
      </w:r>
      <w:r>
        <w:rPr>
          <w:rFonts w:ascii="Times New Roman" w:eastAsia="Verdana" w:hAnsi="Times New Roman"/>
          <w:kern w:val="24"/>
          <w:sz w:val="24"/>
          <w:szCs w:val="24"/>
          <w:lang w:eastAsia="pt-BR"/>
        </w:rPr>
        <w:t xml:space="preserve"> </w:t>
      </w:r>
      <w:r>
        <w:rPr>
          <w:rFonts w:ascii="Times New Roman" w:hAnsi="Times New Roman"/>
          <w:sz w:val="24"/>
          <w:szCs w:val="24"/>
        </w:rPr>
        <w:t>essencial para reforço no suprimento de energia elétrica ao m</w:t>
      </w:r>
      <w:r w:rsidR="00380006">
        <w:rPr>
          <w:rFonts w:ascii="Times New Roman" w:hAnsi="Times New Roman"/>
          <w:sz w:val="24"/>
          <w:szCs w:val="24"/>
        </w:rPr>
        <w:t>unicípio de Piracicaba e região.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Obra iniciada - SE Marechal Rondon 440/138 kV - essencial para o escoamento de energia elétrica das usinas térmicas a biomassa a partir da cana de açúcar na região de Andradina, Ilha Solteira, Pereira Barreto e parte </w:t>
      </w:r>
      <w:r w:rsidR="00380006">
        <w:rPr>
          <w:rFonts w:ascii="Times New Roman" w:hAnsi="Times New Roman"/>
          <w:sz w:val="24"/>
          <w:szCs w:val="24"/>
        </w:rPr>
        <w:t>do Estado de Mato Grosso do Sul.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Obras Licitadas - SE Padre Manoel da Nóbrega, suprimento a região do litoral Sul (Praia Grande, Mongaguá, Itanhaém e Peruíbe); SE Cônego Domênico Rangoni, suprimento região do litoral Norte (Guarujá, Bertioga, Caraguatatuba e Ubatuba).</w:t>
      </w:r>
    </w:p>
    <w:p w:rsidR="00380006" w:rsidRDefault="00380006">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Obras de reforços do Sistema Interligado Nacional no Estado, em andamento, para escoamento da geração de energia elétrica das Usinas do Madeira (Rondônia) e Belo Monte (Pará), além de reforços na interligação dos subsistemas Sudeste - Sul: LT 500 kV Araraquara 2 - Taubaté; LT 500 kV Marimbondo 2 - Assis; LT 500 kV Assis - Londrina (C2);</w:t>
      </w:r>
      <w:r>
        <w:rPr>
          <w:rFonts w:ascii="Times New Roman" w:eastAsia="Verdana" w:hAnsi="Times New Roman"/>
          <w:kern w:val="24"/>
          <w:sz w:val="24"/>
          <w:szCs w:val="24"/>
          <w:lang w:eastAsia="pt-BR"/>
        </w:rPr>
        <w:t xml:space="preserve"> </w:t>
      </w:r>
      <w:r>
        <w:rPr>
          <w:rFonts w:ascii="Times New Roman" w:hAnsi="Times New Roman"/>
          <w:sz w:val="24"/>
          <w:szCs w:val="24"/>
        </w:rPr>
        <w:t>SE Fernão Dias 500/440;</w:t>
      </w:r>
      <w:r>
        <w:rPr>
          <w:rFonts w:ascii="Times New Roman" w:eastAsia="Verdana" w:hAnsi="Times New Roman"/>
          <w:kern w:val="24"/>
          <w:sz w:val="24"/>
          <w:szCs w:val="24"/>
          <w:lang w:eastAsia="pt-BR"/>
        </w:rPr>
        <w:t xml:space="preserve"> </w:t>
      </w:r>
      <w:r>
        <w:rPr>
          <w:rFonts w:ascii="Times New Roman" w:hAnsi="Times New Roman"/>
          <w:sz w:val="24"/>
          <w:szCs w:val="24"/>
        </w:rPr>
        <w:t xml:space="preserve">LT </w:t>
      </w:r>
      <w:r>
        <w:rPr>
          <w:rFonts w:ascii="Times New Roman" w:hAnsi="Times New Roman"/>
          <w:sz w:val="24"/>
          <w:szCs w:val="24"/>
        </w:rPr>
        <w:lastRenderedPageBreak/>
        <w:t>Araraquara 2 - Fernão Dias; LT 500 kV Araraquara 2 - Itatiba; LT 500 kV Marimbondo II - Campinas;</w:t>
      </w:r>
      <w:r>
        <w:rPr>
          <w:rFonts w:ascii="Times New Roman" w:eastAsia="Verdana" w:hAnsi="Times New Roman"/>
          <w:kern w:val="24"/>
          <w:sz w:val="24"/>
          <w:szCs w:val="24"/>
          <w:lang w:eastAsia="pt-BR"/>
        </w:rPr>
        <w:t xml:space="preserve"> </w:t>
      </w:r>
      <w:r>
        <w:rPr>
          <w:rFonts w:ascii="Times New Roman" w:hAnsi="Times New Roman"/>
          <w:sz w:val="24"/>
          <w:szCs w:val="24"/>
        </w:rPr>
        <w:t>LT 500 kV Estreito - Fernão Dias e LT 500 kV Itatiba - Bateias.</w:t>
      </w:r>
    </w:p>
    <w:p w:rsidR="003E6588" w:rsidRDefault="003E6588">
      <w:pPr>
        <w:pStyle w:val="PargrafodaLista"/>
        <w:ind w:left="0" w:firstLine="1134"/>
        <w:rPr>
          <w:rFonts w:ascii="Times New Roman" w:hAnsi="Times New Roman"/>
          <w:sz w:val="24"/>
          <w:szCs w:val="24"/>
        </w:rPr>
      </w:pPr>
    </w:p>
    <w:p w:rsidR="003E6588" w:rsidRDefault="003E6588">
      <w:pPr>
        <w:ind w:firstLine="1134"/>
        <w:jc w:val="both"/>
      </w:pPr>
      <w:r>
        <w:t>Foi dada continuidade à implantação das obras consideradas prioritárias para a COPA. Como resultado destaca-se: conclusão de obras no sistema de subtransmissão da Eletropaulo necessárias para aumento de confiabilidade no fornecimento de energia elétrica ao estádio Arena Corinthians; construção da subestação Juscelino Kubitscheck 88/13, 8 kV, para atendimento a Zona Sul do Município de São Paulo; conclusão de obras na subtransmissão e distribuição para atendimento aos Aeroportos de Guarulhos e Viracopos.</w:t>
      </w:r>
    </w:p>
    <w:p w:rsidR="003E6588" w:rsidRDefault="003E6588">
      <w:pPr>
        <w:ind w:firstLine="1134"/>
        <w:jc w:val="both"/>
        <w:rPr>
          <w:b/>
        </w:rPr>
      </w:pPr>
    </w:p>
    <w:p w:rsidR="003E6588" w:rsidRDefault="003E6588">
      <w:pPr>
        <w:ind w:firstLine="1134"/>
        <w:jc w:val="both"/>
        <w:rPr>
          <w:b/>
        </w:rPr>
      </w:pPr>
      <w:r>
        <w:rPr>
          <w:b/>
        </w:rPr>
        <w:t>Adequação do ambiente regulatório com propostas apresentadas à Aneel</w:t>
      </w:r>
    </w:p>
    <w:p w:rsidR="003E6588" w:rsidRDefault="003E6588">
      <w:pPr>
        <w:ind w:firstLine="1134"/>
        <w:jc w:val="both"/>
        <w:rPr>
          <w:b/>
        </w:rPr>
      </w:pPr>
    </w:p>
    <w:p w:rsidR="003E6588" w:rsidRDefault="003E6588">
      <w:pPr>
        <w:tabs>
          <w:tab w:val="left" w:pos="-108"/>
          <w:tab w:val="left" w:pos="252"/>
        </w:tabs>
        <w:ind w:firstLine="1134"/>
        <w:jc w:val="both"/>
      </w:pPr>
      <w:r>
        <w:t>Eliminação da aplicação do conceito de “Dias Críticos” e “Expurgos” da apuração dos indicadores de continuidade de fornecimento, sendo que o tema foi colocado pelo Regulador em Audiê</w:t>
      </w:r>
      <w:r w:rsidR="00380006">
        <w:t>ncia Pública e Consulta Pública.</w:t>
      </w:r>
    </w:p>
    <w:p w:rsidR="003E6588" w:rsidRDefault="003E6588">
      <w:pPr>
        <w:tabs>
          <w:tab w:val="left" w:pos="-108"/>
          <w:tab w:val="left" w:pos="252"/>
        </w:tabs>
        <w:ind w:firstLine="1134"/>
        <w:jc w:val="both"/>
      </w:pPr>
    </w:p>
    <w:p w:rsidR="003E6588" w:rsidRDefault="00380006">
      <w:pPr>
        <w:tabs>
          <w:tab w:val="left" w:pos="-108"/>
          <w:tab w:val="left" w:pos="252"/>
        </w:tabs>
        <w:ind w:firstLine="1134"/>
        <w:jc w:val="both"/>
      </w:pPr>
      <w:r>
        <w:t>T</w:t>
      </w:r>
      <w:r w:rsidR="003E6588">
        <w:t xml:space="preserve">ratativas envolvendo concessionárias de distribuição de energia elétrica, Agência Nacional de Energia Elétrica </w:t>
      </w:r>
      <w:r>
        <w:t xml:space="preserve">- </w:t>
      </w:r>
      <w:r w:rsidR="003E6588">
        <w:t>Aneel e ARSESP com relação à transferência dos ativos de iluminação pública às prefeituras, conforme previsto na Resolução Aneel nº 414/2010.</w:t>
      </w:r>
    </w:p>
    <w:p w:rsidR="003E6588" w:rsidRDefault="003E6588">
      <w:pPr>
        <w:ind w:firstLine="1134"/>
        <w:jc w:val="both"/>
        <w:rPr>
          <w:b/>
        </w:rPr>
      </w:pPr>
    </w:p>
    <w:p w:rsidR="003E6588" w:rsidRDefault="003E6588">
      <w:pPr>
        <w:ind w:firstLine="1134"/>
        <w:jc w:val="both"/>
        <w:rPr>
          <w:b/>
        </w:rPr>
      </w:pPr>
      <w:r>
        <w:rPr>
          <w:b/>
        </w:rPr>
        <w:t>Fortalecimento e incremento das fiscalizações</w:t>
      </w:r>
    </w:p>
    <w:p w:rsidR="003E6588" w:rsidRDefault="003E6588">
      <w:pPr>
        <w:tabs>
          <w:tab w:val="left" w:pos="180"/>
        </w:tabs>
        <w:ind w:firstLine="1134"/>
        <w:jc w:val="both"/>
      </w:pPr>
    </w:p>
    <w:p w:rsidR="003E6588" w:rsidRDefault="003E6588">
      <w:pPr>
        <w:tabs>
          <w:tab w:val="left" w:pos="180"/>
        </w:tabs>
        <w:ind w:firstLine="1134"/>
        <w:jc w:val="both"/>
      </w:pPr>
      <w:r>
        <w:t>Elaboração do Plano Anual de Ações Adicionais 2013/2014 e 2014/2015 (PAAA 2013/2014 e PAAA 2014/2015), atendendo ao convênio entre ARSESP e Estado, estabelecendo as fiscalizações adicionais nas concessionárias de distribuição de energia elétrica, em complemento ao prev</w:t>
      </w:r>
      <w:r w:rsidR="00380006">
        <w:t>isto nas fiscalizações da Aneel.</w:t>
      </w:r>
    </w:p>
    <w:p w:rsidR="003E6588" w:rsidRDefault="003E6588">
      <w:pPr>
        <w:tabs>
          <w:tab w:val="left" w:pos="180"/>
        </w:tabs>
        <w:ind w:firstLine="1134"/>
        <w:jc w:val="both"/>
      </w:pPr>
    </w:p>
    <w:p w:rsidR="003E6588" w:rsidRDefault="003E6588">
      <w:pPr>
        <w:tabs>
          <w:tab w:val="left" w:pos="180"/>
        </w:tabs>
        <w:ind w:firstLine="1134"/>
        <w:jc w:val="both"/>
      </w:pPr>
      <w:r>
        <w:t>Acompanhamento dos Planos Verões das concessionarias de transmissão e distribuição de ene</w:t>
      </w:r>
      <w:r w:rsidR="00380006">
        <w:t>rgia elétrica do Estado.</w:t>
      </w:r>
    </w:p>
    <w:p w:rsidR="003E6588" w:rsidRDefault="003E6588">
      <w:pPr>
        <w:tabs>
          <w:tab w:val="left" w:pos="180"/>
          <w:tab w:val="num" w:pos="2160"/>
        </w:tabs>
        <w:ind w:firstLine="1134"/>
        <w:jc w:val="both"/>
      </w:pPr>
    </w:p>
    <w:p w:rsidR="003E6588" w:rsidRDefault="003E6588">
      <w:pPr>
        <w:tabs>
          <w:tab w:val="left" w:pos="180"/>
          <w:tab w:val="num" w:pos="2160"/>
        </w:tabs>
        <w:ind w:firstLine="1134"/>
        <w:jc w:val="both"/>
      </w:pPr>
      <w:r>
        <w:t>Atendimento de reclamações/solicitações da população referentes à qualidade da energia, ligações, melhoria na iluminação pública.</w:t>
      </w:r>
    </w:p>
    <w:p w:rsidR="003E6588" w:rsidRDefault="003E6588">
      <w:pPr>
        <w:tabs>
          <w:tab w:val="left" w:pos="180"/>
        </w:tabs>
        <w:ind w:firstLine="1134"/>
        <w:jc w:val="both"/>
      </w:pPr>
    </w:p>
    <w:p w:rsidR="003E6588" w:rsidRDefault="003E6588">
      <w:pPr>
        <w:ind w:firstLine="1134"/>
        <w:jc w:val="both"/>
        <w:rPr>
          <w:b/>
        </w:rPr>
      </w:pPr>
      <w:r>
        <w:rPr>
          <w:b/>
        </w:rPr>
        <w:t>Posicionamento institucional</w:t>
      </w:r>
    </w:p>
    <w:p w:rsidR="003E6588" w:rsidRDefault="003E6588">
      <w:pPr>
        <w:tabs>
          <w:tab w:val="left" w:pos="290"/>
        </w:tabs>
        <w:ind w:firstLine="1134"/>
        <w:jc w:val="both"/>
      </w:pPr>
    </w:p>
    <w:p w:rsidR="003E6588" w:rsidRDefault="003E6588">
      <w:pPr>
        <w:tabs>
          <w:tab w:val="left" w:pos="290"/>
        </w:tabs>
        <w:ind w:firstLine="1134"/>
        <w:jc w:val="both"/>
      </w:pPr>
      <w:r>
        <w:t xml:space="preserve">Participação efetiva nos Grupos de Trabalho voltados a definições estratégicas para o sistema elétrico do Estado: GT-SP, coordenado pelo Operador Nacional do Sistema </w:t>
      </w:r>
      <w:r w:rsidR="00380006">
        <w:t xml:space="preserve">- </w:t>
      </w:r>
      <w:r>
        <w:t xml:space="preserve">ONS; GET-SP, coordenado pela Empresa de Pesquisa Energética </w:t>
      </w:r>
      <w:r w:rsidR="00380006">
        <w:t xml:space="preserve">- </w:t>
      </w:r>
      <w:r>
        <w:t>EPE. Participação no GT-Copa 2014, coordenado pelo ONS e MME.</w:t>
      </w:r>
    </w:p>
    <w:p w:rsidR="00380006" w:rsidRDefault="00380006">
      <w:pPr>
        <w:tabs>
          <w:tab w:val="left" w:pos="290"/>
        </w:tabs>
        <w:ind w:firstLine="1134"/>
        <w:jc w:val="both"/>
      </w:pPr>
    </w:p>
    <w:p w:rsidR="003E6588" w:rsidRDefault="003E6588">
      <w:pPr>
        <w:tabs>
          <w:tab w:val="left" w:pos="290"/>
        </w:tabs>
        <w:ind w:firstLine="1134"/>
        <w:jc w:val="both"/>
      </w:pPr>
      <w:r>
        <w:t xml:space="preserve">Articulação envolvendo a população, empresas, instituições estaduais e federais, concessionarias de energia elétrica, órgãos institucionais do setor elétrico, nos aspectos técnico e </w:t>
      </w:r>
      <w:r>
        <w:lastRenderedPageBreak/>
        <w:t>regulatório, buscando melhoria na prestação de serviços de fornecimento de energia elétrica, com qualidade e confiabilidade.</w:t>
      </w:r>
    </w:p>
    <w:p w:rsidR="003E6588" w:rsidRDefault="003E6588">
      <w:pPr>
        <w:ind w:firstLine="1134"/>
        <w:jc w:val="both"/>
      </w:pPr>
    </w:p>
    <w:p w:rsidR="003E6588" w:rsidRDefault="003E6588">
      <w:pPr>
        <w:ind w:firstLine="1134"/>
        <w:jc w:val="both"/>
      </w:pPr>
      <w:r>
        <w:rPr>
          <w:b/>
        </w:rPr>
        <w:t xml:space="preserve">Ações gerais da Subsecretaria de Energia Elétrica </w:t>
      </w:r>
      <w:r>
        <w:t>- A SEE atendeu 70 solicitações para intermediar, junto às concessionarias de fornecimento de energia elétrica, a entrega de empreendimentos, a melhoria da qualidade de fornecimento de energia elétrica para os cidadãos e o apresamento para energização de empreendimentos, destacando-se:</w:t>
      </w:r>
    </w:p>
    <w:p w:rsidR="003E6588" w:rsidRDefault="003E6588">
      <w:pPr>
        <w:tabs>
          <w:tab w:val="left" w:pos="290"/>
        </w:tabs>
        <w:ind w:firstLine="1134"/>
        <w:jc w:val="both"/>
      </w:pPr>
    </w:p>
    <w:p w:rsidR="003E6588" w:rsidRDefault="003E6588">
      <w:pPr>
        <w:ind w:firstLine="1134"/>
        <w:jc w:val="both"/>
      </w:pPr>
      <w:r>
        <w:t>Atualização de estudo sobre a qualidade de fornecimento de energia elétrica.</w:t>
      </w:r>
    </w:p>
    <w:p w:rsidR="003E6588" w:rsidRDefault="003E6588">
      <w:pPr>
        <w:ind w:firstLine="1134"/>
        <w:jc w:val="both"/>
      </w:pPr>
    </w:p>
    <w:p w:rsidR="003E6588" w:rsidRDefault="003E6588">
      <w:pPr>
        <w:ind w:firstLine="1134"/>
        <w:jc w:val="both"/>
      </w:pPr>
      <w:r>
        <w:t>Apresamento de obras para energização e melhorias na qualidade de fornecimento de energia elétrica a Penitenciarias, concessionárias de água e esgoto, FATEC, ETEC, CDHU.</w:t>
      </w:r>
    </w:p>
    <w:p w:rsidR="003E6588" w:rsidRDefault="003E6588">
      <w:pPr>
        <w:ind w:firstLine="1134"/>
        <w:jc w:val="both"/>
      </w:pPr>
    </w:p>
    <w:p w:rsidR="003E6588" w:rsidRDefault="003E6588">
      <w:pPr>
        <w:ind w:firstLine="1134"/>
        <w:jc w:val="both"/>
      </w:pPr>
      <w:r>
        <w:t>Foi firmada a parceria entre a SEE, Companhia de Engenharia de Tráfego - CET, Corpo de Bombeiros e AES Eletropaulo criando uma sala dentro do Centro de Operações dos Bombeiros - COBOM onde, em dias críticos, são acionados representantes das quatro instituições para tomada de decisão procurando agilizar a execução dos serviços, mobilidade das equipes e informação rápida para a sociedade.</w:t>
      </w:r>
    </w:p>
    <w:p w:rsidR="003E6588" w:rsidRDefault="003E6588">
      <w:pPr>
        <w:ind w:left="1134"/>
        <w:jc w:val="both"/>
      </w:pPr>
    </w:p>
    <w:p w:rsidR="003E6588" w:rsidRDefault="003E6588">
      <w:pPr>
        <w:ind w:firstLine="1276"/>
        <w:jc w:val="both"/>
      </w:pPr>
      <w:r>
        <w:rPr>
          <w:rFonts w:eastAsia="Calibri"/>
          <w:b/>
          <w:lang w:eastAsia="en-US"/>
        </w:rPr>
        <w:t xml:space="preserve">Gestão de desempenho e estatísticas - </w:t>
      </w:r>
      <w:r>
        <w:t>Voltada para elaboração, sistematização e divulgação de informações energéticas por meio da atualização permanente do site da SEE. Destacam-se:</w:t>
      </w:r>
    </w:p>
    <w:p w:rsidR="003E6588" w:rsidRDefault="003E6588">
      <w:pPr>
        <w:ind w:firstLine="1276"/>
        <w:jc w:val="both"/>
      </w:pPr>
    </w:p>
    <w:p w:rsidR="003E6588" w:rsidRDefault="003E6588" w:rsidP="00380006">
      <w:pPr>
        <w:ind w:firstLine="1134"/>
        <w:jc w:val="both"/>
        <w:rPr>
          <w:b/>
        </w:rPr>
      </w:pPr>
      <w:r>
        <w:rPr>
          <w:b/>
        </w:rPr>
        <w:t>Plano Paulista de Energia</w:t>
      </w:r>
    </w:p>
    <w:p w:rsidR="003E6588" w:rsidRDefault="003E6588">
      <w:pPr>
        <w:tabs>
          <w:tab w:val="left" w:pos="360"/>
        </w:tabs>
        <w:ind w:firstLine="1134"/>
        <w:jc w:val="both"/>
      </w:pPr>
    </w:p>
    <w:p w:rsidR="003E6588" w:rsidRDefault="003E6588">
      <w:pPr>
        <w:tabs>
          <w:tab w:val="left" w:pos="360"/>
        </w:tabs>
        <w:ind w:firstLine="1134"/>
        <w:jc w:val="both"/>
      </w:pPr>
      <w:r>
        <w:t>Elaboração das projeções das demandas dos insumos energéticos mais expressivos em termos de impactos sobre a matriz energética paulista</w:t>
      </w:r>
      <w:r>
        <w:rPr>
          <w:i/>
        </w:rPr>
        <w:t>.</w:t>
      </w:r>
    </w:p>
    <w:p w:rsidR="003E6588" w:rsidRDefault="003E6588">
      <w:pPr>
        <w:tabs>
          <w:tab w:val="left" w:pos="360"/>
        </w:tabs>
        <w:ind w:firstLine="1134"/>
        <w:jc w:val="both"/>
      </w:pPr>
    </w:p>
    <w:p w:rsidR="003E6588" w:rsidRDefault="003E6588">
      <w:pPr>
        <w:tabs>
          <w:tab w:val="left" w:pos="360"/>
        </w:tabs>
        <w:ind w:firstLine="1134"/>
        <w:jc w:val="both"/>
      </w:pPr>
      <w:r>
        <w:t>Coordenação, elaboração, acompanhamento e contribuições nos estudos desenvolvidos pelos Grupos de Trabalho previamente definidos dentro do Plano Paulista de Energia.</w:t>
      </w:r>
    </w:p>
    <w:p w:rsidR="003E6588" w:rsidRDefault="003E6588">
      <w:pPr>
        <w:ind w:firstLine="1134"/>
        <w:jc w:val="both"/>
        <w:rPr>
          <w:b/>
        </w:rPr>
      </w:pPr>
    </w:p>
    <w:p w:rsidR="003E6588" w:rsidRDefault="003E6588">
      <w:pPr>
        <w:ind w:firstLine="1134"/>
        <w:jc w:val="both"/>
        <w:rPr>
          <w:b/>
        </w:rPr>
      </w:pPr>
      <w:r>
        <w:rPr>
          <w:b/>
        </w:rPr>
        <w:t>Estatísticas setoriais</w:t>
      </w:r>
    </w:p>
    <w:p w:rsidR="003E6588" w:rsidRDefault="003E6588">
      <w:pPr>
        <w:tabs>
          <w:tab w:val="left" w:pos="290"/>
        </w:tabs>
        <w:ind w:firstLine="1134"/>
        <w:jc w:val="both"/>
      </w:pPr>
    </w:p>
    <w:p w:rsidR="003E6588" w:rsidRDefault="003E6588">
      <w:pPr>
        <w:tabs>
          <w:tab w:val="left" w:pos="290"/>
        </w:tabs>
        <w:ind w:firstLine="1134"/>
        <w:jc w:val="both"/>
        <w:rPr>
          <w:strike/>
        </w:rPr>
      </w:pPr>
      <w:r>
        <w:t>Balanço Energético do Estado de S</w:t>
      </w:r>
      <w:r w:rsidR="00723018">
        <w:t xml:space="preserve">ão </w:t>
      </w:r>
      <w:r>
        <w:t>P</w:t>
      </w:r>
      <w:r w:rsidR="00723018">
        <w:t>aulo</w:t>
      </w:r>
      <w:r>
        <w:t xml:space="preserve"> 2014.</w:t>
      </w:r>
    </w:p>
    <w:p w:rsidR="003E6588" w:rsidRDefault="003E6588">
      <w:pPr>
        <w:tabs>
          <w:tab w:val="left" w:pos="290"/>
        </w:tabs>
        <w:ind w:firstLine="1134"/>
        <w:jc w:val="both"/>
      </w:pPr>
    </w:p>
    <w:p w:rsidR="003E6588" w:rsidRDefault="003E6588">
      <w:pPr>
        <w:tabs>
          <w:tab w:val="left" w:pos="290"/>
        </w:tabs>
        <w:ind w:firstLine="1134"/>
        <w:jc w:val="both"/>
      </w:pPr>
      <w:r>
        <w:t>Anuário Estatístico de Energéticos por Município.</w:t>
      </w:r>
    </w:p>
    <w:p w:rsidR="003E6588" w:rsidRDefault="003E6588">
      <w:pPr>
        <w:tabs>
          <w:tab w:val="left" w:pos="290"/>
        </w:tabs>
        <w:ind w:firstLine="1134"/>
        <w:jc w:val="both"/>
      </w:pPr>
    </w:p>
    <w:p w:rsidR="003E6588" w:rsidRDefault="003E6588">
      <w:pPr>
        <w:tabs>
          <w:tab w:val="left" w:pos="290"/>
        </w:tabs>
        <w:ind w:firstLine="1134"/>
        <w:jc w:val="both"/>
      </w:pPr>
      <w:r>
        <w:t>Boletim Informativo: relatórios mensais sobre produção e consumo de eletricidade (geração, transmissão e distribuição), gás canalizado, derivados de petróleo e desempenho dos programas de eletrificação rural.</w:t>
      </w:r>
    </w:p>
    <w:p w:rsidR="003E6588" w:rsidRDefault="003E6588">
      <w:pPr>
        <w:tabs>
          <w:tab w:val="left" w:pos="290"/>
        </w:tabs>
        <w:ind w:firstLine="1134"/>
        <w:jc w:val="both"/>
      </w:pPr>
    </w:p>
    <w:p w:rsidR="003E6588" w:rsidRDefault="003E6588">
      <w:pPr>
        <w:tabs>
          <w:tab w:val="left" w:pos="290"/>
        </w:tabs>
        <w:ind w:firstLine="1134"/>
        <w:jc w:val="both"/>
      </w:pPr>
      <w:r>
        <w:t xml:space="preserve">Resumos Executivos - Relatórios bimestrais. Descrição comparativa das atividades das Subsecretarias vinculadas à Secretaria de Energia, em comparação às mesmas de origem federal, </w:t>
      </w:r>
      <w:r>
        <w:lastRenderedPageBreak/>
        <w:t>destacando dados de oferta, demanda, índices de qualidade, tarifas, mapas, potenciais remanescentes de origem renovável.</w:t>
      </w:r>
    </w:p>
    <w:p w:rsidR="003E6588" w:rsidRDefault="003E6588">
      <w:pPr>
        <w:tabs>
          <w:tab w:val="left" w:pos="290"/>
        </w:tabs>
        <w:ind w:firstLine="1134"/>
        <w:jc w:val="both"/>
      </w:pPr>
    </w:p>
    <w:p w:rsidR="003E6588" w:rsidRDefault="003E6588">
      <w:pPr>
        <w:tabs>
          <w:tab w:val="left" w:pos="290"/>
        </w:tabs>
        <w:ind w:firstLine="1134"/>
        <w:jc w:val="both"/>
      </w:pPr>
      <w:r>
        <w:rPr>
          <w:i/>
        </w:rPr>
        <w:t>Site</w:t>
      </w:r>
      <w:r>
        <w:t xml:space="preserve"> da Secretaria de Energia - Disponibilização de informações energéticas, constituída de dados estatísticos de produção e consumo de energéticos, potencial hidráulico, recursos minerais, armazenamento hídrico, eletrificação rural, e do acompanhamento dos produtos e projetos em andamento na SEE.</w:t>
      </w:r>
    </w:p>
    <w:p w:rsidR="003E6588" w:rsidRDefault="003E6588">
      <w:pPr>
        <w:tabs>
          <w:tab w:val="left" w:pos="290"/>
        </w:tabs>
        <w:ind w:firstLine="1134"/>
        <w:jc w:val="both"/>
      </w:pPr>
    </w:p>
    <w:p w:rsidR="003E6588" w:rsidRDefault="003E6588">
      <w:pPr>
        <w:tabs>
          <w:tab w:val="left" w:pos="290"/>
        </w:tabs>
        <w:ind w:firstLine="1134"/>
        <w:jc w:val="both"/>
      </w:pPr>
      <w:r>
        <w:t>Otimização do Sistema de Informações Energéticas - Sistema computacional otimizado em relação ao atual utilizado pela SEE. Projeto desenvolvido internamente pelos quadros próprios da Secretaria. Incorpora, num único ambiente eletrônico, assuntos técnicos e administrativos constantes de das Subsecretarias da Pasta.</w:t>
      </w:r>
    </w:p>
    <w:p w:rsidR="003E6588" w:rsidRDefault="003E6588">
      <w:pPr>
        <w:tabs>
          <w:tab w:val="left" w:pos="290"/>
        </w:tabs>
        <w:ind w:firstLine="1134"/>
        <w:jc w:val="both"/>
        <w:rPr>
          <w:strike/>
        </w:rPr>
      </w:pPr>
    </w:p>
    <w:p w:rsidR="003E6588" w:rsidRDefault="003E6588">
      <w:pPr>
        <w:tabs>
          <w:tab w:val="left" w:pos="290"/>
        </w:tabs>
        <w:ind w:firstLine="1134"/>
        <w:jc w:val="both"/>
      </w:pPr>
      <w:r>
        <w:t>Matriz Energética Paulista 2035 - Documento produzido a partir de uma modelagem técnico-econômica, social, energética e ambiental, baseada na projeção de cenários de crescimento econômico referentes à expansão da energia de curto, médio e longo prazo, incorporando melhorias na eficiência energética e na redução de impactos sobre o meio ambiente.</w:t>
      </w:r>
    </w:p>
    <w:p w:rsidR="003E6588" w:rsidRDefault="003E6588">
      <w:pPr>
        <w:ind w:firstLine="1134"/>
        <w:jc w:val="both"/>
        <w:rPr>
          <w:b/>
          <w:strike/>
        </w:rPr>
      </w:pPr>
    </w:p>
    <w:p w:rsidR="003E6588" w:rsidRDefault="003E6588">
      <w:pPr>
        <w:ind w:firstLine="1134"/>
        <w:jc w:val="both"/>
        <w:rPr>
          <w:b/>
        </w:rPr>
      </w:pPr>
      <w:r>
        <w:rPr>
          <w:b/>
        </w:rPr>
        <w:t>Informações georreferenciadas</w:t>
      </w:r>
    </w:p>
    <w:p w:rsidR="003E6588" w:rsidRDefault="003E6588">
      <w:pPr>
        <w:tabs>
          <w:tab w:val="left" w:pos="185"/>
        </w:tabs>
        <w:ind w:firstLine="1134"/>
        <w:jc w:val="both"/>
        <w:rPr>
          <w:strike/>
        </w:rPr>
      </w:pPr>
    </w:p>
    <w:p w:rsidR="003E6588" w:rsidRDefault="003E6588">
      <w:pPr>
        <w:tabs>
          <w:tab w:val="left" w:pos="185"/>
        </w:tabs>
        <w:ind w:firstLine="1134"/>
        <w:jc w:val="both"/>
      </w:pPr>
      <w:r>
        <w:t xml:space="preserve">Produto desenvolvido pela equipe da SEE, permite a elaboração de mapas contendo dados cartográficos relativos ao posicionamento georreferenciado de toda a malha de transmissão e subtransmissão de energia elétrica do Estado. Produto inédito pela sua abrangência incorpora informações técnicas da área federal (EPE e MME) e das concessionárias estaduais, estando disponível para divulgação a interessados. O </w:t>
      </w:r>
      <w:r>
        <w:rPr>
          <w:i/>
        </w:rPr>
        <w:t>software</w:t>
      </w:r>
      <w:r>
        <w:t xml:space="preserve"> utilizado foi o “ArcGis”.</w:t>
      </w:r>
    </w:p>
    <w:p w:rsidR="003E6588" w:rsidRDefault="003E6588">
      <w:pPr>
        <w:tabs>
          <w:tab w:val="left" w:pos="290"/>
        </w:tabs>
        <w:ind w:firstLine="1134"/>
        <w:jc w:val="both"/>
      </w:pPr>
    </w:p>
    <w:p w:rsidR="003E6588" w:rsidRDefault="003E6588">
      <w:pPr>
        <w:tabs>
          <w:tab w:val="left" w:pos="290"/>
        </w:tabs>
        <w:ind w:firstLine="1134"/>
        <w:jc w:val="both"/>
      </w:pPr>
      <w:r>
        <w:t xml:space="preserve">Posicionamento georreferenciado das unidades autoprodutoras do setor sucroalcooleiro paulista. O resultado desse trabalho encontra-se disponibilizado no </w:t>
      </w:r>
      <w:r>
        <w:rPr>
          <w:i/>
        </w:rPr>
        <w:t>site</w:t>
      </w:r>
      <w:r>
        <w:t xml:space="preserve"> da SEE, devendo ser incorporado ao Anuário Sucroenergético, em elaboração.</w:t>
      </w:r>
    </w:p>
    <w:p w:rsidR="003E6588" w:rsidRDefault="003E6588">
      <w:pPr>
        <w:ind w:firstLine="1134"/>
        <w:jc w:val="both"/>
      </w:pPr>
    </w:p>
    <w:p w:rsidR="003E6588" w:rsidRDefault="003E6588">
      <w:pPr>
        <w:ind w:firstLine="1134"/>
        <w:jc w:val="both"/>
      </w:pPr>
      <w:r>
        <w:rPr>
          <w:rFonts w:eastAsia="Calibri"/>
          <w:b/>
          <w:lang w:eastAsia="en-US"/>
        </w:rPr>
        <w:t xml:space="preserve">Subsecretaria de Petróleo e Gás - </w:t>
      </w:r>
      <w:r>
        <w:t>A Subsecretaria de Petróleo e Gás atuou com objetivo de fortalecer a diversificação das atividades da indústria de petróleo e gás em São Paulo (desenvolvimento socioeconômico, concomitantemente à minimização e mitigação de potenciais impactos ambientais), bem como do fomento do uso do gás natural em situações que agreguem competitividade econômica, diminuição de emissões e eficiência energética.</w:t>
      </w:r>
    </w:p>
    <w:p w:rsidR="003E6588" w:rsidRDefault="003E6588">
      <w:pPr>
        <w:contextualSpacing/>
        <w:jc w:val="both"/>
      </w:pPr>
    </w:p>
    <w:p w:rsidR="003E6588" w:rsidRDefault="003E6588">
      <w:pPr>
        <w:ind w:firstLine="1134"/>
        <w:contextualSpacing/>
        <w:jc w:val="both"/>
        <w:rPr>
          <w:rFonts w:eastAsia="Calibri"/>
          <w:b/>
          <w:lang w:eastAsia="en-US"/>
        </w:rPr>
      </w:pPr>
      <w:r>
        <w:rPr>
          <w:rFonts w:eastAsia="Calibri"/>
          <w:b/>
          <w:lang w:eastAsia="en-US"/>
        </w:rPr>
        <w:t>Atividades desenvolvidas</w:t>
      </w:r>
    </w:p>
    <w:p w:rsidR="003E6588" w:rsidRDefault="003E6588">
      <w:pPr>
        <w:ind w:firstLine="1134"/>
        <w:contextualSpacing/>
        <w:jc w:val="both"/>
        <w:rPr>
          <w:rFonts w:eastAsia="Calibri"/>
          <w:b/>
          <w:lang w:eastAsia="en-US"/>
        </w:rPr>
      </w:pPr>
    </w:p>
    <w:p w:rsidR="003E6588" w:rsidRDefault="003E6588">
      <w:pPr>
        <w:ind w:firstLine="1134"/>
        <w:jc w:val="both"/>
        <w:rPr>
          <w:b/>
        </w:rPr>
      </w:pPr>
      <w:r>
        <w:rPr>
          <w:b/>
        </w:rPr>
        <w:t>Coordenação Executiva Conselho Estadual de Petróleo e Gás Natural do Estado</w:t>
      </w:r>
      <w:r>
        <w:t xml:space="preserve"> - </w:t>
      </w:r>
      <w:r>
        <w:rPr>
          <w:b/>
        </w:rPr>
        <w:t>CEPG</w:t>
      </w:r>
    </w:p>
    <w:p w:rsidR="003E6588" w:rsidRDefault="003E6588">
      <w:pPr>
        <w:ind w:firstLine="1134"/>
        <w:jc w:val="both"/>
        <w:rPr>
          <w:b/>
        </w:rPr>
      </w:pPr>
    </w:p>
    <w:p w:rsidR="003E6588" w:rsidRDefault="003E6588">
      <w:pPr>
        <w:ind w:firstLine="1134"/>
        <w:jc w:val="both"/>
      </w:pPr>
      <w:r>
        <w:rPr>
          <w:b/>
        </w:rPr>
        <w:t>Apoio à constituição do Centro Tecnológico da Baixada Santista - CTBS -</w:t>
      </w:r>
      <w:r>
        <w:t xml:space="preserve"> A Subsecretaria de Petróleo e Gás apoiou a constituição de Centro de Pesquisas, coordenado pelas três </w:t>
      </w:r>
      <w:r>
        <w:lastRenderedPageBreak/>
        <w:t>universidades públicas estaduais (USP, Unicamp e Unesp), a ser patrocinado pelos recursos obrigatórios de pesquisa e desenvolvimento da Petrobras.</w:t>
      </w:r>
    </w:p>
    <w:p w:rsidR="003E6588" w:rsidRDefault="003E6588">
      <w:pPr>
        <w:ind w:firstLine="1134"/>
        <w:jc w:val="both"/>
        <w:rPr>
          <w:strike/>
        </w:rPr>
      </w:pPr>
    </w:p>
    <w:p w:rsidR="003E6588" w:rsidRDefault="003E6588">
      <w:pPr>
        <w:ind w:firstLine="1134"/>
        <w:jc w:val="both"/>
      </w:pPr>
      <w:r>
        <w:rPr>
          <w:b/>
        </w:rPr>
        <w:t>Elaboração e disponibilização do Observatório da Exploração e Produção de Petróleo e Gás Natural em São Paulo -</w:t>
      </w:r>
      <w:r>
        <w:t xml:space="preserve"> Para subsidiar a elaboração de políticas públicas e o planejamento de programas e ações governamentais, foi construído junto com a Fundação Seade o Observatório da Exploração e Produção de P&amp;G em São Paulo, que contemplou a construção de indicadores econômicos específicos para o setor de petróleo e para a região: a taxa de crescimento do valor adicionado da indústria extrativa de petróleo e gás (indec P&amp;G) e a taxa de crescimento do valor adicionado de toda a economia da Baixada Santista (indec Baixada Santista). Ele está disponível para acesso público através do sítio da Secretaria de Energia na </w:t>
      </w:r>
      <w:r>
        <w:rPr>
          <w:i/>
        </w:rPr>
        <w:t>internet</w:t>
      </w:r>
      <w:r>
        <w:t>.</w:t>
      </w:r>
    </w:p>
    <w:p w:rsidR="003E6588" w:rsidRDefault="003E6588">
      <w:pPr>
        <w:ind w:firstLine="1134"/>
        <w:jc w:val="both"/>
        <w:rPr>
          <w:b/>
          <w:strike/>
        </w:rPr>
      </w:pPr>
    </w:p>
    <w:p w:rsidR="003E6588" w:rsidRDefault="003E6588">
      <w:pPr>
        <w:ind w:firstLine="1134"/>
        <w:contextualSpacing/>
        <w:jc w:val="both"/>
      </w:pPr>
      <w:r>
        <w:rPr>
          <w:b/>
        </w:rPr>
        <w:t xml:space="preserve">Monitoramento e Elaboração de estimativas do potencial de produção de petróleo e gás e arrecadação de </w:t>
      </w:r>
      <w:r w:rsidRPr="009241F2">
        <w:rPr>
          <w:b/>
          <w:i/>
        </w:rPr>
        <w:t>royalties</w:t>
      </w:r>
      <w:r>
        <w:rPr>
          <w:b/>
        </w:rPr>
        <w:t xml:space="preserve"> na Bacia de Santos -</w:t>
      </w:r>
      <w:r>
        <w:t xml:space="preserve"> Os </w:t>
      </w:r>
      <w:r>
        <w:rPr>
          <w:i/>
        </w:rPr>
        <w:t>royalties</w:t>
      </w:r>
      <w:r>
        <w:t xml:space="preserve"> oriundos da produção de petróleo e gás caracterizam uma importante fonte de recursos para as regiões afetadas por essa atividade. Dado o crescimento do setor petrolífero em São Paulo e as grandes reservas presentes no pré-sal, a Subsecretaria de Petróleo e Gás deu continuidade à realização de estimativas sobre as perspectivas de arrecadação de royalties, de modo a subsidiar as discussões do Poder Executivo com o Legislativo, de forma a assegurar a defesa dos interesses do Estado.</w:t>
      </w:r>
    </w:p>
    <w:p w:rsidR="003E6588" w:rsidRDefault="003E6588">
      <w:pPr>
        <w:ind w:firstLine="1134"/>
        <w:contextualSpacing/>
        <w:jc w:val="both"/>
        <w:rPr>
          <w:strike/>
        </w:rPr>
      </w:pPr>
    </w:p>
    <w:p w:rsidR="003E6588" w:rsidRDefault="003E6588">
      <w:pPr>
        <w:ind w:firstLine="1134"/>
        <w:contextualSpacing/>
        <w:jc w:val="both"/>
      </w:pPr>
      <w:r>
        <w:rPr>
          <w:b/>
        </w:rPr>
        <w:t xml:space="preserve">Mapeamento Geoespacial - </w:t>
      </w:r>
      <w:r>
        <w:t>Realizada a atualização permanente da Base de Dados Geoespacial de Exploração e Produção de Petróleo e Gás Natural nas Bacias de Santos, Campos (RJ) e Espírito Santo, incluindo o pré-sal e as Rodadas Licitatórias realizadas em 2013 pela ANP, bem como o acompanhamento da produção individualizada por campo.</w:t>
      </w:r>
    </w:p>
    <w:p w:rsidR="003E6588" w:rsidRDefault="003E6588">
      <w:pPr>
        <w:ind w:firstLine="1134"/>
        <w:contextualSpacing/>
        <w:jc w:val="both"/>
        <w:rPr>
          <w:strike/>
        </w:rPr>
      </w:pPr>
    </w:p>
    <w:p w:rsidR="003E6588" w:rsidRDefault="003E6588">
      <w:pPr>
        <w:ind w:firstLine="1134"/>
        <w:contextualSpacing/>
        <w:jc w:val="both"/>
      </w:pPr>
      <w:r>
        <w:rPr>
          <w:b/>
        </w:rPr>
        <w:t xml:space="preserve">Alternativa de Escoamento de Gás Natural da Bacia de Santos (Projeto Rota 4) - </w:t>
      </w:r>
      <w:r>
        <w:t>A produção paulista de petróleo e gás natural ocorre integralmente na Bacia de Santos, a qual concentra mais de 50% da produção do pré-sal. Em virtude da excessiva concentração da Petrobras nas atividades de Exploração e Produção (E&amp;P) e Escoamento e Transporte de Gás Natural, e de volumes crescentes de produção de gás nessa Bacia de propriedade de seus parceiros, as empresas do setor estão se organizando para viabilizar a construção da 4ª Rota (Rota 4) de escoamento do gás natural produzido no pré-sal da Bacia de Santos, como forma de ofertar um volume maior de gás a São Paulo, como meio de promover a competitividade dos preços deste energético.</w:t>
      </w:r>
    </w:p>
    <w:p w:rsidR="003E6588" w:rsidRDefault="003E6588">
      <w:pPr>
        <w:ind w:firstLine="1134"/>
        <w:contextualSpacing/>
        <w:jc w:val="both"/>
        <w:rPr>
          <w:strike/>
        </w:rPr>
      </w:pPr>
    </w:p>
    <w:p w:rsidR="003E6588" w:rsidRDefault="003E6588">
      <w:pPr>
        <w:ind w:firstLine="1134"/>
        <w:contextualSpacing/>
        <w:jc w:val="both"/>
      </w:pPr>
      <w:r>
        <w:rPr>
          <w:b/>
        </w:rPr>
        <w:t xml:space="preserve">Boletim Trimestral da Indústria de Petróleo e Gás Natural de São Paulo e Sumário Executivo de Petróleo e Gás </w:t>
      </w:r>
      <w:r w:rsidR="00723018">
        <w:rPr>
          <w:b/>
        </w:rPr>
        <w:t>-</w:t>
      </w:r>
      <w:r>
        <w:t xml:space="preserve"> As atividades de planejamento e formulação de políticas públicas exigem a disponibilidade de informações estatísticas organizadas e atualizadas. Com o propósito de atender essa necessidade e de fornecer estatísticas estaduais em petróleo e gás voltadas a órgãos públicos, pesquisadores, empresas, prefeituras e interessados em geral, a Subsecretaria de Petróleo e Gás prosseguiu com a publicação do Boletim Trimestral da Indústria de Petróleo e Gás Natural de São Paulo, passando a disponibilizá-lo em versão bilíngue. Manteve ainda a publicação de seu Sumário Executivo, idiomas Português, Inglês e Espanhol. Esses documentos, disponibilizados no website da SEE e enviados eletronicamente aos agentes do setor, apresentam informações sobre a produção, oferta </w:t>
      </w:r>
      <w:r>
        <w:lastRenderedPageBreak/>
        <w:t xml:space="preserve">e consumo de gás natural, petróleo e seus derivados, os preços de referência e praticados e a arrecadação de </w:t>
      </w:r>
      <w:r w:rsidRPr="009241F2">
        <w:rPr>
          <w:i/>
        </w:rPr>
        <w:t>royalties</w:t>
      </w:r>
      <w:r>
        <w:t xml:space="preserve"> proporcionada por essas atividades, e permitem o acompanhamento e monitoramento do mercado paulista de petróleo, gás natural e derivados.</w:t>
      </w:r>
    </w:p>
    <w:p w:rsidR="003E6588" w:rsidRDefault="003E6588">
      <w:pPr>
        <w:ind w:firstLine="1134"/>
        <w:contextualSpacing/>
        <w:jc w:val="both"/>
      </w:pPr>
    </w:p>
    <w:p w:rsidR="003E6588" w:rsidRDefault="003E6588">
      <w:pPr>
        <w:ind w:firstLine="1134"/>
        <w:contextualSpacing/>
        <w:jc w:val="both"/>
      </w:pPr>
      <w:r>
        <w:rPr>
          <w:b/>
        </w:rPr>
        <w:t>Anuário da Indústria de Petróleo e Gás Natural de São Paulo 2013 -</w:t>
      </w:r>
      <w:r>
        <w:t xml:space="preserve"> Publicação inédita nos idiomas Português/Inglês, consolidou as informações dos últimos 5 anos sobre a produção, oferta e consumo de gás natural, petróleo e seus derivados, preços de referência e a arrecadação de </w:t>
      </w:r>
      <w:r>
        <w:rPr>
          <w:i/>
        </w:rPr>
        <w:t>royalties</w:t>
      </w:r>
      <w:r>
        <w:t xml:space="preserve"> proporcionada por essas atividades, constituindo importante elemento de consulta e acompanhamento do mercado paulista de petróleo, gás natural e derivados.</w:t>
      </w:r>
    </w:p>
    <w:p w:rsidR="003E6588" w:rsidRDefault="003E6588">
      <w:pPr>
        <w:ind w:firstLine="1134"/>
        <w:jc w:val="both"/>
        <w:rPr>
          <w:rFonts w:eastAsia="Calibri"/>
          <w:b/>
          <w:u w:val="single"/>
          <w:lang w:eastAsia="en-US"/>
        </w:rPr>
      </w:pPr>
    </w:p>
    <w:p w:rsidR="003E6588" w:rsidRDefault="003E6588">
      <w:pPr>
        <w:ind w:firstLine="1134"/>
        <w:jc w:val="both"/>
      </w:pPr>
      <w:r>
        <w:rPr>
          <w:rFonts w:eastAsia="Calibri"/>
          <w:b/>
          <w:lang w:eastAsia="en-US"/>
        </w:rPr>
        <w:t xml:space="preserve">Subsecretaria de Energias Renováveis </w:t>
      </w:r>
      <w:r>
        <w:rPr>
          <w:b/>
        </w:rPr>
        <w:t xml:space="preserve">- </w:t>
      </w:r>
      <w:r>
        <w:t>A Subsecretaria de Energias Renováveis atua no planejamento e na execução de ações relativas à Política Estadual de Energia que visem o incremento de energias ambientalmente menos impactantes, renováveis e que proporcionem estimulo à competitividade e ao desenvolvimento regional.</w:t>
      </w:r>
    </w:p>
    <w:p w:rsidR="003E6588" w:rsidRDefault="003E6588">
      <w:pPr>
        <w:pStyle w:val="PargrafodaLista"/>
        <w:ind w:left="0" w:firstLine="1134"/>
        <w:rPr>
          <w:strike/>
        </w:rPr>
      </w:pPr>
    </w:p>
    <w:p w:rsidR="003E6588" w:rsidRDefault="003E6588">
      <w:pPr>
        <w:ind w:firstLine="1134"/>
        <w:contextualSpacing/>
        <w:jc w:val="both"/>
      </w:pPr>
      <w:r>
        <w:rPr>
          <w:rFonts w:eastAsia="Calibri"/>
          <w:b/>
          <w:lang w:eastAsia="en-US"/>
        </w:rPr>
        <w:t xml:space="preserve">Atividades desenvolvidas - </w:t>
      </w:r>
      <w:r>
        <w:t>A Subsecretaria teve como principais eixos de atuação o desenvolvimento de estudos sobre os recursos energéticos renováveis disponíveis no território paulista e ações institucionais que propiciaram a consolidação do mercado de renováveis no Estado. Ações de difusão de informações fizeram parte, envolvendo prefeituras, empreendedores, associações de classe e a sociedade paulista.</w:t>
      </w:r>
    </w:p>
    <w:p w:rsidR="003E6588" w:rsidRDefault="003E6588">
      <w:pPr>
        <w:ind w:firstLine="1134"/>
        <w:contextualSpacing/>
        <w:jc w:val="both"/>
      </w:pPr>
    </w:p>
    <w:p w:rsidR="003E6588" w:rsidRDefault="003E6588">
      <w:pPr>
        <w:pStyle w:val="PargrafodaLista"/>
        <w:ind w:left="0" w:firstLine="1134"/>
        <w:rPr>
          <w:rFonts w:ascii="Times New Roman" w:hAnsi="Times New Roman"/>
          <w:b/>
          <w:bCs/>
          <w:color w:val="000000"/>
          <w:sz w:val="24"/>
          <w:szCs w:val="24"/>
        </w:rPr>
      </w:pPr>
      <w:r>
        <w:rPr>
          <w:rFonts w:ascii="Times New Roman" w:hAnsi="Times New Roman"/>
          <w:b/>
          <w:bCs/>
          <w:color w:val="000000"/>
          <w:sz w:val="24"/>
          <w:szCs w:val="24"/>
        </w:rPr>
        <w:t>Energia Solar - Levantamento do Potencial - Energia Solar Paulista</w:t>
      </w:r>
    </w:p>
    <w:p w:rsidR="003E6588" w:rsidRDefault="003E6588">
      <w:pPr>
        <w:ind w:firstLine="1134"/>
        <w:contextualSpacing/>
        <w:jc w:val="both"/>
        <w:rPr>
          <w:b/>
          <w:bCs/>
          <w:color w:val="000000"/>
        </w:rPr>
      </w:pPr>
    </w:p>
    <w:p w:rsidR="003E6588" w:rsidRDefault="003E6588">
      <w:pPr>
        <w:pStyle w:val="PargrafodaLista"/>
        <w:ind w:left="0" w:firstLine="1134"/>
        <w:rPr>
          <w:rFonts w:ascii="Times New Roman" w:hAnsi="Times New Roman"/>
          <w:bCs/>
          <w:color w:val="000000"/>
          <w:sz w:val="24"/>
          <w:szCs w:val="24"/>
        </w:rPr>
      </w:pPr>
      <w:r>
        <w:rPr>
          <w:rFonts w:ascii="Times New Roman" w:hAnsi="Times New Roman"/>
          <w:b/>
          <w:sz w:val="24"/>
          <w:szCs w:val="24"/>
        </w:rPr>
        <w:t xml:space="preserve">Projetos Villa Lobos/Cândido Portinari e Palácio dos Bandeirantes - </w:t>
      </w:r>
      <w:r>
        <w:rPr>
          <w:rFonts w:ascii="Times New Roman" w:hAnsi="Times New Roman"/>
          <w:bCs/>
          <w:color w:val="000000"/>
          <w:sz w:val="24"/>
          <w:szCs w:val="24"/>
        </w:rPr>
        <w:t>Desenvolvimento e instalação de usinas piloto de geração fotovoltaica para referência tecnológica, regulatória, econômica e comercial.</w:t>
      </w:r>
    </w:p>
    <w:p w:rsidR="003E6588" w:rsidRDefault="003E6588">
      <w:pPr>
        <w:pStyle w:val="PargrafodaLista"/>
        <w:ind w:left="0"/>
        <w:rPr>
          <w:rFonts w:ascii="Times New Roman" w:hAnsi="Times New Roman"/>
          <w:b/>
          <w:bCs/>
          <w:color w:val="000000"/>
          <w:sz w:val="24"/>
          <w:szCs w:val="24"/>
        </w:rPr>
      </w:pPr>
    </w:p>
    <w:p w:rsidR="003E6588" w:rsidRDefault="003E6588">
      <w:pPr>
        <w:ind w:firstLine="1134"/>
        <w:contextualSpacing/>
        <w:jc w:val="both"/>
        <w:rPr>
          <w:bCs/>
          <w:color w:val="000000"/>
        </w:rPr>
      </w:pPr>
      <w:r>
        <w:rPr>
          <w:b/>
          <w:bCs/>
          <w:color w:val="000000"/>
        </w:rPr>
        <w:t xml:space="preserve">Projeto - Atratividade de Integração das Fontes Solar e Hidroelétrica junto a reservatórios de Usinas Hidrelétricas em Operação - Integração Solar Hidroelétrica - </w:t>
      </w:r>
      <w:r>
        <w:rPr>
          <w:bCs/>
          <w:color w:val="000000"/>
        </w:rPr>
        <w:t>Implantação de Centrais Fotovoltaicas junto a usinas hidroelétricas existentes visando a redução significativa do custo de produção da energia, caso elas possam operar de forma integrada, utilizando os reservatórios das usinas para regularizar a produção da central solar e a subestação existente.</w:t>
      </w:r>
    </w:p>
    <w:p w:rsidR="003E6588" w:rsidRDefault="003E6588">
      <w:pPr>
        <w:ind w:firstLine="1134"/>
        <w:contextualSpacing/>
        <w:jc w:val="both"/>
        <w:rPr>
          <w:bCs/>
          <w:color w:val="000000"/>
        </w:rPr>
      </w:pPr>
    </w:p>
    <w:p w:rsidR="003E6588" w:rsidRDefault="003E6588">
      <w:pPr>
        <w:pStyle w:val="PargrafodaLista"/>
        <w:ind w:left="0" w:firstLine="1134"/>
        <w:rPr>
          <w:rFonts w:ascii="Times New Roman" w:hAnsi="Times New Roman"/>
          <w:b/>
          <w:bCs/>
          <w:color w:val="000000"/>
          <w:sz w:val="24"/>
          <w:szCs w:val="24"/>
        </w:rPr>
      </w:pPr>
      <w:r>
        <w:rPr>
          <w:rFonts w:ascii="Times New Roman" w:hAnsi="Times New Roman"/>
          <w:b/>
          <w:bCs/>
          <w:color w:val="000000"/>
          <w:sz w:val="24"/>
          <w:szCs w:val="24"/>
        </w:rPr>
        <w:t>Ações Institucionais</w:t>
      </w:r>
    </w:p>
    <w:p w:rsidR="003E6588" w:rsidRDefault="003E6588">
      <w:pPr>
        <w:pStyle w:val="PargrafodaLista"/>
        <w:ind w:left="0" w:firstLine="1134"/>
        <w:rPr>
          <w:rFonts w:ascii="Times New Roman" w:hAnsi="Times New Roman"/>
          <w:b/>
          <w:bCs/>
          <w:color w:val="000000"/>
          <w:sz w:val="24"/>
          <w:szCs w:val="24"/>
        </w:rPr>
      </w:pPr>
    </w:p>
    <w:p w:rsidR="003E6588" w:rsidRDefault="003E6588">
      <w:pPr>
        <w:pStyle w:val="PargrafodaLista"/>
        <w:ind w:left="0" w:firstLine="1134"/>
        <w:rPr>
          <w:rFonts w:ascii="Times New Roman" w:hAnsi="Times New Roman"/>
          <w:bCs/>
          <w:color w:val="000000"/>
          <w:sz w:val="24"/>
          <w:szCs w:val="24"/>
        </w:rPr>
      </w:pPr>
      <w:r>
        <w:rPr>
          <w:rFonts w:ascii="Times New Roman" w:hAnsi="Times New Roman"/>
          <w:b/>
          <w:bCs/>
          <w:color w:val="000000"/>
          <w:sz w:val="24"/>
          <w:szCs w:val="24"/>
        </w:rPr>
        <w:t xml:space="preserve">Plano Paulista de Energia - Geração de Energia Elétrica e Biocombustíveis - </w:t>
      </w:r>
      <w:r>
        <w:rPr>
          <w:rFonts w:ascii="Times New Roman" w:hAnsi="Times New Roman"/>
          <w:bCs/>
          <w:color w:val="000000"/>
          <w:sz w:val="24"/>
          <w:szCs w:val="24"/>
        </w:rPr>
        <w:t>Coordenação dos grupos técnicos de Geração de energia elétrica com fontes renováveis e o de Biocombustíveis no Estado. Estes grupos estabeleceram diretrizes e propostas de políticas públicas voltadas à substituição de ener</w:t>
      </w:r>
      <w:r w:rsidR="009241F2">
        <w:rPr>
          <w:rFonts w:ascii="Times New Roman" w:hAnsi="Times New Roman"/>
          <w:bCs/>
          <w:color w:val="000000"/>
          <w:sz w:val="24"/>
          <w:szCs w:val="24"/>
        </w:rPr>
        <w:t>géticos fósseis por renováveis.</w:t>
      </w:r>
    </w:p>
    <w:p w:rsidR="003E6588" w:rsidRDefault="003E6588">
      <w:pPr>
        <w:pStyle w:val="PargrafodaLista"/>
        <w:ind w:left="0"/>
        <w:rPr>
          <w:rFonts w:ascii="Times New Roman" w:hAnsi="Times New Roman"/>
          <w:bCs/>
          <w:color w:val="000000"/>
          <w:sz w:val="24"/>
          <w:szCs w:val="24"/>
        </w:rPr>
      </w:pPr>
    </w:p>
    <w:p w:rsidR="003E6588" w:rsidRDefault="003E6588">
      <w:pPr>
        <w:ind w:firstLine="1134"/>
        <w:contextualSpacing/>
        <w:jc w:val="both"/>
        <w:rPr>
          <w:bCs/>
          <w:color w:val="000000"/>
        </w:rPr>
      </w:pPr>
      <w:r>
        <w:rPr>
          <w:b/>
          <w:bCs/>
          <w:color w:val="000000"/>
        </w:rPr>
        <w:t>Resíduos Sólidos Urbanos - modelagem de negócio</w:t>
      </w:r>
      <w:r>
        <w:rPr>
          <w:bCs/>
          <w:color w:val="000000"/>
        </w:rPr>
        <w:t xml:space="preserve"> - Após realização de estudos sobre a introdução de sistemas de tratamento térmico de resíduos sólidos urbanos, a Subsecretaria de Energias Renováveis tem atuado na modelagem institucional do negócio visando, principalmente, o </w:t>
      </w:r>
      <w:r>
        <w:rPr>
          <w:bCs/>
          <w:color w:val="000000"/>
        </w:rPr>
        <w:lastRenderedPageBreak/>
        <w:t>desenvolvimento de regulamentação que permita a celebração de Convênios de Cooperação entre o Estado e os Municípios para a gestão associada</w:t>
      </w:r>
    </w:p>
    <w:p w:rsidR="003E6588" w:rsidRDefault="003E6588">
      <w:pPr>
        <w:ind w:firstLine="1134"/>
        <w:contextualSpacing/>
        <w:jc w:val="both"/>
        <w:rPr>
          <w:bCs/>
          <w:color w:val="000000"/>
        </w:rPr>
      </w:pPr>
    </w:p>
    <w:p w:rsidR="003E6588" w:rsidRDefault="003E6588">
      <w:pPr>
        <w:ind w:firstLine="1134"/>
        <w:jc w:val="both"/>
      </w:pPr>
      <w:r>
        <w:rPr>
          <w:rFonts w:eastAsia="Calibri"/>
          <w:b/>
          <w:lang w:eastAsia="en-US"/>
        </w:rPr>
        <w:t>Subsecretaria de Mineração -</w:t>
      </w:r>
      <w:r>
        <w:rPr>
          <w:b/>
        </w:rPr>
        <w:t xml:space="preserve"> </w:t>
      </w:r>
      <w:r>
        <w:t>As ações implementadas atenderam as atribuições e competências do campo funcional afeto à Secretaria de Energia, havendo, além do desenvolvimento de projetos técnicos voltados ao aprimoramento do setor mineral paulista de forma social e ambientalmente sustentável, a interlocução com os principais agentes públicos e privados envolvidos no trato da questão mineral em todos os seus aspectos.</w:t>
      </w:r>
    </w:p>
    <w:p w:rsidR="003E6588" w:rsidRDefault="003E6588">
      <w:pPr>
        <w:pStyle w:val="PargrafodaLista"/>
        <w:ind w:left="0"/>
        <w:rPr>
          <w:rFonts w:ascii="Times New Roman" w:hAnsi="Times New Roman"/>
          <w:sz w:val="24"/>
          <w:szCs w:val="24"/>
        </w:rPr>
      </w:pPr>
    </w:p>
    <w:p w:rsidR="003E6588" w:rsidRDefault="003E6588">
      <w:pPr>
        <w:ind w:firstLine="1134"/>
        <w:contextualSpacing/>
        <w:jc w:val="both"/>
        <w:rPr>
          <w:rFonts w:eastAsia="Calibri"/>
          <w:b/>
          <w:lang w:eastAsia="en-US"/>
        </w:rPr>
      </w:pPr>
      <w:r>
        <w:rPr>
          <w:rFonts w:eastAsia="Calibri"/>
          <w:b/>
          <w:lang w:eastAsia="en-US"/>
        </w:rPr>
        <w:t>Atividades desenvolvidas</w:t>
      </w:r>
    </w:p>
    <w:p w:rsidR="003E6588" w:rsidRDefault="003E6588">
      <w:pPr>
        <w:ind w:firstLine="1134"/>
        <w:contextualSpacing/>
        <w:jc w:val="both"/>
        <w:rPr>
          <w:rFonts w:eastAsia="Calibri"/>
          <w:b/>
          <w:lang w:eastAsia="en-US"/>
        </w:rPr>
      </w:pPr>
    </w:p>
    <w:p w:rsidR="003E6588" w:rsidRDefault="003E6588">
      <w:pPr>
        <w:pStyle w:val="PargrafodaLista"/>
        <w:ind w:left="0" w:firstLine="1134"/>
        <w:rPr>
          <w:rFonts w:ascii="Times New Roman" w:hAnsi="Times New Roman"/>
          <w:strike/>
          <w:sz w:val="24"/>
          <w:szCs w:val="24"/>
        </w:rPr>
      </w:pPr>
      <w:r>
        <w:rPr>
          <w:rFonts w:ascii="Times New Roman" w:hAnsi="Times New Roman"/>
          <w:b/>
          <w:sz w:val="24"/>
          <w:szCs w:val="24"/>
        </w:rPr>
        <w:t xml:space="preserve">Programa de Ordenamento Territorial Geomineiro </w:t>
      </w:r>
      <w:r w:rsidR="009241F2">
        <w:rPr>
          <w:rFonts w:ascii="Times New Roman" w:hAnsi="Times New Roman"/>
          <w:b/>
          <w:sz w:val="24"/>
          <w:szCs w:val="24"/>
        </w:rPr>
        <w:t xml:space="preserve">- </w:t>
      </w:r>
      <w:r>
        <w:rPr>
          <w:rFonts w:ascii="Times New Roman" w:hAnsi="Times New Roman"/>
          <w:b/>
          <w:sz w:val="24"/>
          <w:szCs w:val="24"/>
        </w:rPr>
        <w:t xml:space="preserve">OTGM - </w:t>
      </w:r>
      <w:r>
        <w:rPr>
          <w:rFonts w:ascii="Times New Roman" w:hAnsi="Times New Roman"/>
          <w:sz w:val="24"/>
          <w:szCs w:val="24"/>
        </w:rPr>
        <w:t>O</w:t>
      </w:r>
      <w:r>
        <w:rPr>
          <w:rFonts w:ascii="Times New Roman" w:hAnsi="Times New Roman"/>
          <w:b/>
          <w:bCs/>
          <w:sz w:val="24"/>
          <w:szCs w:val="24"/>
        </w:rPr>
        <w:t xml:space="preserve"> </w:t>
      </w:r>
      <w:r w:rsidRPr="009241F2">
        <w:rPr>
          <w:rFonts w:ascii="Times New Roman" w:hAnsi="Times New Roman"/>
          <w:bCs/>
          <w:sz w:val="24"/>
          <w:szCs w:val="24"/>
        </w:rPr>
        <w:t>OTGM</w:t>
      </w:r>
      <w:r w:rsidRPr="009241F2">
        <w:rPr>
          <w:rFonts w:ascii="Times New Roman" w:hAnsi="Times New Roman"/>
          <w:sz w:val="24"/>
          <w:szCs w:val="24"/>
        </w:rPr>
        <w:t xml:space="preserve"> é</w:t>
      </w:r>
      <w:r>
        <w:rPr>
          <w:rFonts w:ascii="Times New Roman" w:hAnsi="Times New Roman"/>
          <w:sz w:val="24"/>
          <w:szCs w:val="24"/>
        </w:rPr>
        <w:t xml:space="preserve"> modalidade especializada de ordenamento de território dirigida especialmente para subsidiar o planejamento e a gestão da disponibilidade de recursos minerais, possibilitando equacionar e compatibilizar com maior propriedade, outras formas e prioridades de usos e ocupação existentes ou programadas para esse mesmo espaço físico. OTGM é documento técnico determinante para o setor público e indicativo ao setor privado. Foram finalizados para: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Região Metropolitana do Vale do Paraíba - Região de intensa industrialização de base e de ponta, com alta densidade demográfica e a principal região fornecedora de areia para a construção civil da Região Metropolitana de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Região de Águas da Prata - Intensa atividade agroindustrial, turística e de serviços, com efetivo aproveitamento de importantes recursos minerais, entre os quais a bauxita (minério para fabricação de alumínio e de produtos refratários e químicos), água mineral radioativa e areia;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Região da Aglomeração Urbana de Jundiaí - Extenso espaço territorial convivendo áreas industriais de porte, comércio, serviços, lazer e de proteção e preservação ambiental; nesta região são produzidos bens minerais de uso nas indústrias da construção civil e de cerâmica branca, cujos produtos são de grande importância no abastecimento estadual e nacional.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b/>
          <w:sz w:val="24"/>
          <w:szCs w:val="24"/>
        </w:rPr>
        <w:t xml:space="preserve">Mercado Produtor Mineral Paulista e Sistema de Informações - </w:t>
      </w:r>
      <w:r>
        <w:rPr>
          <w:rFonts w:ascii="Times New Roman" w:hAnsi="Times New Roman"/>
          <w:sz w:val="24"/>
          <w:szCs w:val="24"/>
        </w:rPr>
        <w:t>Concluída atualização do Mapa da Produção Mineral do Estado. É levantamento das minas produtoras de bens minerais no Estado, associado à estruturação de banco de dados relativo aos eventos notáveis do setor mineral no Estado, com destaque para a situação dos títulos minerários. A meta é a de ter o conhecimento real da indústria produtiva mineral paulista, que se situa hoje como o 3º maior produtor mineral do Brasil, registrando valores de produção em torno de US$ 1bilhão/ano e permitir o estabelecimento de políticas públicas com maior propriedade para o setor que, no caso de São Paulo, se destaca pelo suprimento de insumos minerais à indústria da construção civil, água mineral e fertilizantes.</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
          <w:sz w:val="24"/>
          <w:szCs w:val="24"/>
        </w:rPr>
        <w:t xml:space="preserve">Protocolos de colaboração institucional - </w:t>
      </w:r>
      <w:r>
        <w:rPr>
          <w:rFonts w:ascii="Times New Roman" w:hAnsi="Times New Roman"/>
          <w:sz w:val="24"/>
          <w:szCs w:val="24"/>
        </w:rPr>
        <w:t xml:space="preserve">São termos formais de colaboração técnica, política e institucional entre entidades governamentais do próprio Estado e de outras esferas (federais e municipais), objetivando a harmonização e eficiência nos aspectos de elaboração, aplicação e </w:t>
      </w:r>
      <w:r>
        <w:rPr>
          <w:rFonts w:ascii="Times New Roman" w:hAnsi="Times New Roman"/>
          <w:sz w:val="24"/>
          <w:szCs w:val="24"/>
        </w:rPr>
        <w:lastRenderedPageBreak/>
        <w:t xml:space="preserve">planejamento de políticas públicas correspondentes às respectivas atribuições e competências em assuntos que se referem, direta ou indiretamente, ao setor mineral no Estado. Foi assinada resolução conjunta com a Secretaria da Segurança Pública, objetivando apoio </w:t>
      </w:r>
      <w:r>
        <w:rPr>
          <w:rFonts w:ascii="Times New Roman" w:hAnsi="Times New Roman"/>
          <w:bCs/>
          <w:sz w:val="24"/>
          <w:szCs w:val="24"/>
        </w:rPr>
        <w:t>no planejamento das operações conjuntas de fiscalização de estoques irregulares de explosivos em território paulista, incluindo elaboração de minuta de decreto de proibição do uso de estopim espoletado em território paulista.</w:t>
      </w:r>
    </w:p>
    <w:p w:rsidR="003E6588" w:rsidRDefault="003E6588">
      <w:pPr>
        <w:ind w:firstLine="1134"/>
        <w:contextualSpacing/>
        <w:jc w:val="both"/>
        <w:rPr>
          <w:bCs/>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Representações institucionais - </w:t>
      </w:r>
      <w:r>
        <w:rPr>
          <w:rFonts w:ascii="Times New Roman" w:hAnsi="Times New Roman"/>
          <w:sz w:val="24"/>
          <w:szCs w:val="24"/>
        </w:rPr>
        <w:t>Destaques: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CONDEPHAAT - Proposta de criação de grupo de trabalho para a consolidação do Plano de Adequação da Mineração na Área de Tombamento da Serra do Mar;</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CEPAM - Apresentação da capacitação as SSM para dar apoio ao CEPAM nas políticas públicas municipais de responsabilidade do GESP;</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COMISSÃO DE INFRAESTRUTURA DA ALESP - Apresentação da importância da mineração nas cadeias produtivas da indústria e, principalmente da construção civil do Estado;</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CONSELHO GESTOR DA APA DA MANTIQUEIRA - Apresentação da capacitação da SSM para a mediação de conflitos entre a mineração e a preservação das unidades de conservação ambiental da Serra da Mantiqueira;</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CBH RIO RIBEIRA DE IGUAPE - Apresentação da capacitação da SSM para o Ordenamento Territorial Geomineiro e a sustentabilidade da mineração na área de tombamento da Apa da Serra do Mar no Vale do Ribeira;</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FUNDAÇÃO FLORESTAL - Apresentação dos conceitos de mineração sustentável defendidos pela SSM e proposta de apoio às iniciativas da Fundação para a preservação ambiental da Serra da Mantiqueira;</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CENTRO INTEGRADO DE INFORMAÇÕES DA POLÍCIA DO ESTADO - Apoio da equipe técnica da SSM no planejamento das operações conjuntas entre a Secretaria da Segurança Pública e Exército Brasileiro para a fiscalização de estoques irregulares de explosivos em território paulista;</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 xml:space="preserve">FEDERAÇÃO DAS INDÚSTRIAS DE GOIÁS - Reunião com as principais secretarias estaduais de mineração do </w:t>
      </w:r>
      <w:r w:rsidR="00957E14">
        <w:rPr>
          <w:rFonts w:ascii="Times New Roman" w:hAnsi="Times New Roman"/>
          <w:bCs/>
          <w:sz w:val="24"/>
          <w:szCs w:val="24"/>
        </w:rPr>
        <w:t>País</w:t>
      </w:r>
      <w:r>
        <w:rPr>
          <w:rFonts w:ascii="Times New Roman" w:hAnsi="Times New Roman"/>
          <w:bCs/>
          <w:sz w:val="24"/>
          <w:szCs w:val="24"/>
        </w:rPr>
        <w:t xml:space="preserve"> para a apresentação das ações de planejamento e fomento à mineração no Estado;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Cs/>
          <w:sz w:val="24"/>
          <w:szCs w:val="24"/>
        </w:rPr>
        <w:t>AES TIETÊ - Intermediação dos conflitos da geração de energia com a mineração de areia nos reservatórios do Médio Tietê;</w:t>
      </w:r>
    </w:p>
    <w:p w:rsidR="00723018" w:rsidRDefault="0072301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Cs/>
          <w:sz w:val="24"/>
          <w:szCs w:val="24"/>
        </w:rPr>
        <w:t>CESP - Intermediação dos conflitos da geração de energia com a mineração de areia nos reservatórios do Baixo Tietê</w:t>
      </w: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 xml:space="preserve">Assentos em Conselhos, Comissões e similares - </w:t>
      </w:r>
      <w:r>
        <w:rPr>
          <w:rFonts w:ascii="Times New Roman" w:hAnsi="Times New Roman"/>
          <w:sz w:val="24"/>
          <w:szCs w:val="24"/>
        </w:rPr>
        <w:t>Representação do Estado em diversos foros de interesse direto à questão de desenvolvimento e aproveitamento de recursos minerais, entre os quais: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Frente Parlamentar de Apoio à Mineração - FPAM, no âmbito da ALESP;</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Comitê Executivo da Cadeia Produtiva da Mineração - COMIN, no âmbito da FIESP;</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Conselho de Desenvolvimento da Região Metropolitana do Vale do Paraíba e Litoral Norte, bem como da sua Câmara Técnica de Mineração;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Frente Parlamentar de Apoio a Hidrovias, no âmbito da ALESP;</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Conselho de Desenvolvimento da Aglomeração Urbana de Piracicaba;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Comitê das Bacias Hidrográficas dos rios Sorocaba e Médio Tietê.</w:t>
      </w:r>
    </w:p>
    <w:p w:rsidR="003E6588" w:rsidRDefault="003E6588">
      <w:pPr>
        <w:ind w:firstLine="1134"/>
        <w:jc w:val="both"/>
        <w:rPr>
          <w:rFonts w:eastAsia="Calibri"/>
          <w:b/>
          <w:strike/>
          <w:lang w:eastAsia="en-US"/>
        </w:rPr>
      </w:pPr>
    </w:p>
    <w:p w:rsidR="003E6588" w:rsidRDefault="003E6588">
      <w:pPr>
        <w:ind w:firstLine="1134"/>
        <w:jc w:val="both"/>
        <w:rPr>
          <w:rFonts w:eastAsia="Calibri"/>
          <w:b/>
          <w:strike/>
          <w:lang w:eastAsia="en-US"/>
        </w:rPr>
      </w:pPr>
    </w:p>
    <w:p w:rsidR="003E6588" w:rsidRDefault="003E6588">
      <w:pPr>
        <w:rPr>
          <w:rFonts w:eastAsia="Calibri"/>
          <w:b/>
          <w:lang w:eastAsia="en-US"/>
        </w:rPr>
      </w:pPr>
      <w:r>
        <w:rPr>
          <w:rFonts w:eastAsia="Calibri"/>
          <w:b/>
          <w:lang w:eastAsia="en-US"/>
        </w:rPr>
        <w:t>COMPANHIA ENERGÉTICA DE SÃO PAULO - CESP</w:t>
      </w:r>
    </w:p>
    <w:p w:rsidR="003E6588" w:rsidRDefault="003E6588">
      <w:pPr>
        <w:ind w:firstLine="1134"/>
        <w:jc w:val="both"/>
        <w:rPr>
          <w:strike/>
          <w:lang w:val="pt-PT"/>
        </w:rPr>
      </w:pPr>
    </w:p>
    <w:p w:rsidR="003E6588" w:rsidRDefault="003E6588">
      <w:pPr>
        <w:ind w:firstLine="1134"/>
        <w:jc w:val="both"/>
        <w:rPr>
          <w:strike/>
          <w:lang w:val="pt-PT"/>
        </w:rPr>
      </w:pPr>
    </w:p>
    <w:p w:rsidR="003E6588" w:rsidRDefault="003E6588">
      <w:pPr>
        <w:ind w:firstLine="1134"/>
        <w:jc w:val="both"/>
        <w:rPr>
          <w:lang w:val="pt-PT"/>
        </w:rPr>
      </w:pPr>
      <w:r>
        <w:rPr>
          <w:lang w:val="pt-PT"/>
        </w:rPr>
        <w:t>A CESP foi responsável por 53% da energia hidrelétrica produzida no Estado e cerca de 5% da energia elétrica gerada no Sistema Interligado Nacional - SIN</w:t>
      </w:r>
    </w:p>
    <w:p w:rsidR="003E6588" w:rsidRDefault="003E6588">
      <w:pPr>
        <w:ind w:firstLine="1134"/>
        <w:jc w:val="both"/>
        <w:rPr>
          <w:strike/>
          <w:lang w:val="pt-PT"/>
        </w:rPr>
      </w:pPr>
    </w:p>
    <w:p w:rsidR="003E6588" w:rsidRDefault="003E6588">
      <w:pPr>
        <w:pStyle w:val="NormalWeb"/>
        <w:spacing w:before="0" w:beforeAutospacing="0" w:after="0" w:afterAutospacing="0"/>
        <w:ind w:firstLine="1134"/>
        <w:jc w:val="both"/>
        <w:rPr>
          <w:bCs/>
          <w:lang w:val="pt-PT"/>
        </w:rPr>
      </w:pPr>
      <w:r>
        <w:rPr>
          <w:b/>
          <w:bCs/>
          <w:lang w:val="pt-PT"/>
        </w:rPr>
        <w:t xml:space="preserve">Geração de energia elétrica - </w:t>
      </w:r>
      <w:r>
        <w:rPr>
          <w:bCs/>
          <w:lang w:val="pt-PT"/>
        </w:rPr>
        <w:t>P</w:t>
      </w:r>
      <w:r>
        <w:rPr>
          <w:lang w:val="pt-PT"/>
        </w:rPr>
        <w:t xml:space="preserve">ossui cinco usinas hidrelétricas, que operam no regime de preço e esteve responsável pela operação e manutenção da UHE Três Irmãos. </w:t>
      </w:r>
      <w:r>
        <w:rPr>
          <w:bCs/>
          <w:lang w:val="pt-PT"/>
        </w:rPr>
        <w:t>A produção dessas seis usinas teve o seguinte comportamento:</w:t>
      </w:r>
    </w:p>
    <w:p w:rsidR="003E6588" w:rsidRDefault="003E6588">
      <w:pPr>
        <w:pStyle w:val="NormalWeb"/>
        <w:spacing w:before="0" w:beforeAutospacing="0" w:after="0" w:afterAutospacing="0"/>
        <w:jc w:val="both"/>
        <w:rPr>
          <w:bCs/>
          <w:lang w:val="pt-PT"/>
        </w:rPr>
      </w:pPr>
    </w:p>
    <w:tbl>
      <w:tblPr>
        <w:tblW w:w="7580" w:type="dxa"/>
        <w:jc w:val="center"/>
        <w:tblInd w:w="58" w:type="dxa"/>
        <w:tblBorders>
          <w:top w:val="single" w:sz="4" w:space="0" w:color="auto"/>
          <w:left w:val="single" w:sz="4" w:space="0" w:color="auto"/>
          <w:bottom w:val="single" w:sz="4" w:space="0" w:color="auto"/>
          <w:right w:val="single" w:sz="8" w:space="0" w:color="auto"/>
          <w:insideH w:val="single" w:sz="8" w:space="0" w:color="auto"/>
          <w:insideV w:val="single" w:sz="4" w:space="0" w:color="auto"/>
        </w:tblBorders>
        <w:tblCellMar>
          <w:left w:w="70" w:type="dxa"/>
          <w:right w:w="70" w:type="dxa"/>
        </w:tblCellMar>
        <w:tblLook w:val="04A0"/>
      </w:tblPr>
      <w:tblGrid>
        <w:gridCol w:w="1724"/>
        <w:gridCol w:w="1337"/>
        <w:gridCol w:w="1413"/>
        <w:gridCol w:w="821"/>
        <w:gridCol w:w="1063"/>
        <w:gridCol w:w="1222"/>
      </w:tblGrid>
      <w:tr w:rsidR="003E6588" w:rsidTr="009241F2">
        <w:trPr>
          <w:trHeight w:val="413"/>
          <w:jc w:val="center"/>
        </w:trPr>
        <w:tc>
          <w:tcPr>
            <w:tcW w:w="1724" w:type="dxa"/>
            <w:shd w:val="clear" w:color="auto" w:fill="auto"/>
            <w:vAlign w:val="center"/>
            <w:hideMark/>
          </w:tcPr>
          <w:p w:rsidR="003E6588" w:rsidRDefault="003E6588">
            <w:pPr>
              <w:rPr>
                <w:b/>
                <w:bCs/>
                <w:color w:val="000000"/>
                <w:sz w:val="20"/>
                <w:szCs w:val="20"/>
              </w:rPr>
            </w:pPr>
            <w:r>
              <w:rPr>
                <w:b/>
                <w:bCs/>
                <w:color w:val="000000"/>
                <w:sz w:val="20"/>
                <w:szCs w:val="20"/>
              </w:rPr>
              <w:t>Usina</w:t>
            </w:r>
          </w:p>
        </w:tc>
        <w:tc>
          <w:tcPr>
            <w:tcW w:w="1337" w:type="dxa"/>
            <w:shd w:val="clear" w:color="auto" w:fill="auto"/>
            <w:vAlign w:val="center"/>
            <w:hideMark/>
          </w:tcPr>
          <w:p w:rsidR="003E6588" w:rsidRDefault="003E6588">
            <w:pPr>
              <w:rPr>
                <w:b/>
                <w:bCs/>
                <w:color w:val="000000"/>
                <w:sz w:val="20"/>
                <w:szCs w:val="20"/>
              </w:rPr>
            </w:pPr>
            <w:r>
              <w:rPr>
                <w:b/>
                <w:bCs/>
                <w:color w:val="000000"/>
                <w:sz w:val="20"/>
                <w:szCs w:val="20"/>
              </w:rPr>
              <w:t>Potência Instalada</w:t>
            </w:r>
          </w:p>
        </w:tc>
        <w:tc>
          <w:tcPr>
            <w:tcW w:w="1413" w:type="dxa"/>
            <w:shd w:val="clear" w:color="auto" w:fill="auto"/>
            <w:vAlign w:val="center"/>
            <w:hideMark/>
          </w:tcPr>
          <w:p w:rsidR="003E6588" w:rsidRDefault="003E6588">
            <w:pPr>
              <w:rPr>
                <w:b/>
                <w:bCs/>
                <w:color w:val="000000"/>
                <w:sz w:val="20"/>
                <w:szCs w:val="20"/>
              </w:rPr>
            </w:pPr>
            <w:r>
              <w:rPr>
                <w:b/>
                <w:bCs/>
                <w:color w:val="000000"/>
                <w:sz w:val="20"/>
                <w:szCs w:val="20"/>
              </w:rPr>
              <w:t>Garantia Física</w:t>
            </w:r>
          </w:p>
        </w:tc>
        <w:tc>
          <w:tcPr>
            <w:tcW w:w="3106" w:type="dxa"/>
            <w:gridSpan w:val="3"/>
            <w:shd w:val="clear" w:color="auto" w:fill="auto"/>
            <w:vAlign w:val="center"/>
            <w:hideMark/>
          </w:tcPr>
          <w:p w:rsidR="003E6588" w:rsidRDefault="003E6588">
            <w:pPr>
              <w:rPr>
                <w:b/>
                <w:bCs/>
                <w:color w:val="000000"/>
                <w:sz w:val="20"/>
                <w:szCs w:val="20"/>
              </w:rPr>
            </w:pPr>
            <w:r>
              <w:rPr>
                <w:b/>
                <w:bCs/>
                <w:color w:val="000000"/>
                <w:sz w:val="20"/>
                <w:szCs w:val="20"/>
              </w:rPr>
              <w:t>Energia Produzida</w:t>
            </w:r>
          </w:p>
          <w:p w:rsidR="003E6588" w:rsidRDefault="003E6588">
            <w:pPr>
              <w:rPr>
                <w:b/>
                <w:bCs/>
                <w:color w:val="000000"/>
                <w:sz w:val="20"/>
                <w:szCs w:val="20"/>
              </w:rPr>
            </w:pPr>
            <w:r>
              <w:rPr>
                <w:b/>
                <w:bCs/>
                <w:color w:val="000000"/>
                <w:sz w:val="20"/>
                <w:szCs w:val="20"/>
              </w:rPr>
              <w:t>(MW médios)</w:t>
            </w:r>
          </w:p>
        </w:tc>
      </w:tr>
      <w:tr w:rsidR="003E6588" w:rsidTr="009241F2">
        <w:trPr>
          <w:trHeight w:val="236"/>
          <w:jc w:val="center"/>
        </w:trPr>
        <w:tc>
          <w:tcPr>
            <w:tcW w:w="1724" w:type="dxa"/>
            <w:shd w:val="clear" w:color="auto" w:fill="auto"/>
            <w:vAlign w:val="center"/>
            <w:hideMark/>
          </w:tcPr>
          <w:p w:rsidR="003E6588" w:rsidRDefault="003E6588">
            <w:pPr>
              <w:rPr>
                <w:b/>
                <w:bCs/>
                <w:color w:val="000000"/>
                <w:sz w:val="20"/>
                <w:szCs w:val="20"/>
              </w:rPr>
            </w:pPr>
            <w:r>
              <w:rPr>
                <w:b/>
                <w:bCs/>
                <w:color w:val="000000"/>
                <w:sz w:val="20"/>
                <w:szCs w:val="20"/>
              </w:rPr>
              <w:t>(UHE)</w:t>
            </w:r>
          </w:p>
        </w:tc>
        <w:tc>
          <w:tcPr>
            <w:tcW w:w="1337" w:type="dxa"/>
            <w:shd w:val="clear" w:color="auto" w:fill="auto"/>
            <w:vAlign w:val="center"/>
            <w:hideMark/>
          </w:tcPr>
          <w:p w:rsidR="003E6588" w:rsidRDefault="003E6588">
            <w:pPr>
              <w:rPr>
                <w:b/>
                <w:bCs/>
                <w:color w:val="000000"/>
                <w:sz w:val="20"/>
                <w:szCs w:val="20"/>
              </w:rPr>
            </w:pPr>
            <w:r>
              <w:rPr>
                <w:b/>
                <w:bCs/>
                <w:color w:val="000000"/>
                <w:sz w:val="20"/>
                <w:szCs w:val="20"/>
              </w:rPr>
              <w:t>(MW)</w:t>
            </w:r>
          </w:p>
        </w:tc>
        <w:tc>
          <w:tcPr>
            <w:tcW w:w="1413" w:type="dxa"/>
            <w:shd w:val="clear" w:color="auto" w:fill="auto"/>
            <w:vAlign w:val="center"/>
            <w:hideMark/>
          </w:tcPr>
          <w:p w:rsidR="003E6588" w:rsidRDefault="003E6588">
            <w:pPr>
              <w:rPr>
                <w:b/>
                <w:bCs/>
                <w:color w:val="000000"/>
                <w:sz w:val="20"/>
                <w:szCs w:val="20"/>
              </w:rPr>
            </w:pPr>
            <w:r>
              <w:rPr>
                <w:b/>
                <w:bCs/>
                <w:color w:val="000000"/>
                <w:sz w:val="20"/>
                <w:szCs w:val="20"/>
              </w:rPr>
              <w:t>(MW médios)</w:t>
            </w:r>
          </w:p>
        </w:tc>
        <w:tc>
          <w:tcPr>
            <w:tcW w:w="821" w:type="dxa"/>
            <w:shd w:val="clear" w:color="auto" w:fill="auto"/>
            <w:vAlign w:val="center"/>
            <w:hideMark/>
          </w:tcPr>
          <w:p w:rsidR="003E6588" w:rsidRDefault="003E6588">
            <w:pPr>
              <w:rPr>
                <w:b/>
                <w:bCs/>
                <w:color w:val="000000"/>
                <w:sz w:val="20"/>
                <w:szCs w:val="20"/>
              </w:rPr>
            </w:pPr>
            <w:r>
              <w:rPr>
                <w:b/>
                <w:bCs/>
                <w:smallCaps/>
                <w:color w:val="000000"/>
                <w:sz w:val="20"/>
                <w:szCs w:val="20"/>
              </w:rPr>
              <w:t>2013</w:t>
            </w:r>
          </w:p>
        </w:tc>
        <w:tc>
          <w:tcPr>
            <w:tcW w:w="1063" w:type="dxa"/>
            <w:shd w:val="clear" w:color="auto" w:fill="auto"/>
            <w:vAlign w:val="center"/>
            <w:hideMark/>
          </w:tcPr>
          <w:p w:rsidR="003E6588" w:rsidRDefault="003E6588">
            <w:pPr>
              <w:rPr>
                <w:b/>
                <w:bCs/>
                <w:color w:val="000000"/>
                <w:sz w:val="20"/>
                <w:szCs w:val="20"/>
              </w:rPr>
            </w:pPr>
            <w:r>
              <w:rPr>
                <w:b/>
                <w:bCs/>
                <w:smallCaps/>
                <w:color w:val="000000"/>
                <w:sz w:val="20"/>
                <w:szCs w:val="20"/>
              </w:rPr>
              <w:t xml:space="preserve">2014 </w:t>
            </w:r>
            <w:r>
              <w:rPr>
                <w:b/>
                <w:bCs/>
                <w:smallCaps/>
                <w:color w:val="000000"/>
                <w:sz w:val="20"/>
                <w:szCs w:val="20"/>
                <w:vertAlign w:val="superscript"/>
              </w:rPr>
              <w:t>(2)</w:t>
            </w:r>
          </w:p>
        </w:tc>
        <w:tc>
          <w:tcPr>
            <w:tcW w:w="1222" w:type="dxa"/>
            <w:shd w:val="clear" w:color="auto" w:fill="auto"/>
            <w:vAlign w:val="center"/>
            <w:hideMark/>
          </w:tcPr>
          <w:p w:rsidR="003E6588" w:rsidRDefault="003E6588">
            <w:pPr>
              <w:rPr>
                <w:b/>
                <w:bCs/>
                <w:color w:val="000000"/>
                <w:sz w:val="20"/>
                <w:szCs w:val="20"/>
              </w:rPr>
            </w:pPr>
            <w:r>
              <w:rPr>
                <w:b/>
                <w:bCs/>
                <w:smallCaps/>
                <w:color w:val="000000"/>
                <w:sz w:val="20"/>
                <w:szCs w:val="20"/>
              </w:rPr>
              <w:t>Variação</w:t>
            </w:r>
          </w:p>
        </w:tc>
      </w:tr>
      <w:tr w:rsidR="003E6588" w:rsidTr="009241F2">
        <w:trPr>
          <w:trHeight w:val="186"/>
          <w:jc w:val="center"/>
        </w:trPr>
        <w:tc>
          <w:tcPr>
            <w:tcW w:w="1724" w:type="dxa"/>
            <w:shd w:val="clear" w:color="auto" w:fill="auto"/>
            <w:vAlign w:val="center"/>
            <w:hideMark/>
          </w:tcPr>
          <w:p w:rsidR="003E6588" w:rsidRDefault="003E6588" w:rsidP="009241F2">
            <w:pPr>
              <w:jc w:val="left"/>
              <w:rPr>
                <w:color w:val="000000"/>
                <w:sz w:val="20"/>
                <w:szCs w:val="20"/>
              </w:rPr>
            </w:pPr>
            <w:r>
              <w:rPr>
                <w:color w:val="000000"/>
                <w:sz w:val="20"/>
                <w:szCs w:val="20"/>
              </w:rPr>
              <w:t>Ilha Solteira</w:t>
            </w:r>
          </w:p>
        </w:tc>
        <w:tc>
          <w:tcPr>
            <w:tcW w:w="1337" w:type="dxa"/>
            <w:shd w:val="clear" w:color="auto" w:fill="auto"/>
            <w:vAlign w:val="center"/>
            <w:hideMark/>
          </w:tcPr>
          <w:p w:rsidR="003E6588" w:rsidRDefault="003E6588">
            <w:pPr>
              <w:rPr>
                <w:color w:val="000000"/>
                <w:sz w:val="20"/>
                <w:szCs w:val="20"/>
              </w:rPr>
            </w:pPr>
            <w:r>
              <w:rPr>
                <w:smallCaps/>
                <w:color w:val="000000"/>
                <w:sz w:val="20"/>
                <w:szCs w:val="20"/>
              </w:rPr>
              <w:t>3.444,0</w:t>
            </w:r>
          </w:p>
        </w:tc>
        <w:tc>
          <w:tcPr>
            <w:tcW w:w="1413" w:type="dxa"/>
            <w:shd w:val="clear" w:color="auto" w:fill="auto"/>
            <w:vAlign w:val="center"/>
            <w:hideMark/>
          </w:tcPr>
          <w:p w:rsidR="003E6588" w:rsidRDefault="003E6588">
            <w:pPr>
              <w:rPr>
                <w:color w:val="000000"/>
                <w:sz w:val="20"/>
                <w:szCs w:val="20"/>
              </w:rPr>
            </w:pPr>
            <w:r>
              <w:rPr>
                <w:smallCaps/>
                <w:color w:val="000000"/>
                <w:sz w:val="20"/>
                <w:szCs w:val="20"/>
                <w:lang w:val="pt-PT"/>
              </w:rPr>
              <w:t>1.731,5</w:t>
            </w:r>
          </w:p>
        </w:tc>
        <w:tc>
          <w:tcPr>
            <w:tcW w:w="821" w:type="dxa"/>
            <w:shd w:val="clear" w:color="auto" w:fill="auto"/>
            <w:vAlign w:val="center"/>
            <w:hideMark/>
          </w:tcPr>
          <w:p w:rsidR="003E6588" w:rsidRDefault="003E6588">
            <w:pPr>
              <w:rPr>
                <w:color w:val="000000"/>
                <w:sz w:val="20"/>
                <w:szCs w:val="20"/>
              </w:rPr>
            </w:pPr>
            <w:r>
              <w:rPr>
                <w:smallCaps/>
                <w:color w:val="000000"/>
                <w:sz w:val="20"/>
                <w:szCs w:val="20"/>
              </w:rPr>
              <w:t>1.745</w:t>
            </w:r>
          </w:p>
        </w:tc>
        <w:tc>
          <w:tcPr>
            <w:tcW w:w="1063" w:type="dxa"/>
            <w:shd w:val="clear" w:color="auto" w:fill="auto"/>
            <w:vAlign w:val="center"/>
            <w:hideMark/>
          </w:tcPr>
          <w:p w:rsidR="003E6588" w:rsidRDefault="003E6588">
            <w:pPr>
              <w:rPr>
                <w:color w:val="000000"/>
                <w:sz w:val="20"/>
                <w:szCs w:val="20"/>
              </w:rPr>
            </w:pPr>
            <w:r>
              <w:rPr>
                <w:smallCaps/>
                <w:color w:val="000000"/>
                <w:sz w:val="20"/>
                <w:szCs w:val="20"/>
              </w:rPr>
              <w:t>1.386</w:t>
            </w:r>
          </w:p>
        </w:tc>
        <w:tc>
          <w:tcPr>
            <w:tcW w:w="1222" w:type="dxa"/>
            <w:shd w:val="clear" w:color="auto" w:fill="auto"/>
            <w:vAlign w:val="center"/>
            <w:hideMark/>
          </w:tcPr>
          <w:p w:rsidR="003E6588" w:rsidRDefault="003E6588">
            <w:pPr>
              <w:widowControl w:val="0"/>
              <w:rPr>
                <w:color w:val="000000"/>
                <w:sz w:val="20"/>
                <w:szCs w:val="20"/>
              </w:rPr>
            </w:pPr>
            <w:r>
              <w:rPr>
                <w:smallCaps/>
                <w:color w:val="000000"/>
                <w:sz w:val="20"/>
                <w:szCs w:val="20"/>
              </w:rPr>
              <w:t>-20,6%</w:t>
            </w:r>
          </w:p>
        </w:tc>
      </w:tr>
      <w:tr w:rsidR="003E6588" w:rsidTr="009241F2">
        <w:trPr>
          <w:trHeight w:val="89"/>
          <w:jc w:val="center"/>
        </w:trPr>
        <w:tc>
          <w:tcPr>
            <w:tcW w:w="1724" w:type="dxa"/>
            <w:shd w:val="clear" w:color="auto" w:fill="auto"/>
            <w:vAlign w:val="center"/>
            <w:hideMark/>
          </w:tcPr>
          <w:p w:rsidR="003E6588" w:rsidRDefault="003E6588" w:rsidP="009241F2">
            <w:pPr>
              <w:jc w:val="left"/>
              <w:rPr>
                <w:color w:val="000000"/>
                <w:sz w:val="20"/>
                <w:szCs w:val="20"/>
              </w:rPr>
            </w:pPr>
            <w:r>
              <w:rPr>
                <w:color w:val="000000"/>
                <w:sz w:val="20"/>
                <w:szCs w:val="20"/>
              </w:rPr>
              <w:t>Jupiá</w:t>
            </w:r>
          </w:p>
        </w:tc>
        <w:tc>
          <w:tcPr>
            <w:tcW w:w="1337" w:type="dxa"/>
            <w:shd w:val="clear" w:color="auto" w:fill="auto"/>
            <w:vAlign w:val="center"/>
            <w:hideMark/>
          </w:tcPr>
          <w:p w:rsidR="003E6588" w:rsidRDefault="003E6588">
            <w:pPr>
              <w:rPr>
                <w:color w:val="000000"/>
                <w:sz w:val="20"/>
                <w:szCs w:val="20"/>
              </w:rPr>
            </w:pPr>
            <w:r>
              <w:rPr>
                <w:color w:val="000000"/>
                <w:sz w:val="20"/>
                <w:szCs w:val="20"/>
                <w:lang w:val="pt-PT"/>
              </w:rPr>
              <w:t>1.551,2</w:t>
            </w:r>
          </w:p>
        </w:tc>
        <w:tc>
          <w:tcPr>
            <w:tcW w:w="1413" w:type="dxa"/>
            <w:shd w:val="clear" w:color="auto" w:fill="auto"/>
            <w:vAlign w:val="center"/>
            <w:hideMark/>
          </w:tcPr>
          <w:p w:rsidR="003E6588" w:rsidRDefault="003E6588">
            <w:pPr>
              <w:rPr>
                <w:color w:val="000000"/>
                <w:sz w:val="20"/>
                <w:szCs w:val="20"/>
              </w:rPr>
            </w:pPr>
            <w:r>
              <w:rPr>
                <w:smallCaps/>
                <w:color w:val="000000"/>
                <w:sz w:val="20"/>
                <w:szCs w:val="20"/>
                <w:lang w:val="pt-PT"/>
              </w:rPr>
              <w:t>886,0</w:t>
            </w:r>
          </w:p>
        </w:tc>
        <w:tc>
          <w:tcPr>
            <w:tcW w:w="821" w:type="dxa"/>
            <w:shd w:val="clear" w:color="auto" w:fill="auto"/>
            <w:vAlign w:val="center"/>
            <w:hideMark/>
          </w:tcPr>
          <w:p w:rsidR="003E6588" w:rsidRDefault="003E6588">
            <w:pPr>
              <w:rPr>
                <w:color w:val="000000"/>
                <w:sz w:val="20"/>
                <w:szCs w:val="20"/>
              </w:rPr>
            </w:pPr>
            <w:r>
              <w:rPr>
                <w:smallCaps/>
                <w:color w:val="000000"/>
                <w:sz w:val="20"/>
                <w:szCs w:val="20"/>
              </w:rPr>
              <w:t>975</w:t>
            </w:r>
          </w:p>
        </w:tc>
        <w:tc>
          <w:tcPr>
            <w:tcW w:w="1063" w:type="dxa"/>
            <w:shd w:val="clear" w:color="auto" w:fill="auto"/>
            <w:vAlign w:val="center"/>
            <w:hideMark/>
          </w:tcPr>
          <w:p w:rsidR="003E6588" w:rsidRDefault="003E6588">
            <w:pPr>
              <w:rPr>
                <w:color w:val="000000"/>
                <w:sz w:val="20"/>
                <w:szCs w:val="20"/>
              </w:rPr>
            </w:pPr>
            <w:r>
              <w:rPr>
                <w:smallCaps/>
                <w:color w:val="000000"/>
                <w:sz w:val="20"/>
                <w:szCs w:val="20"/>
              </w:rPr>
              <w:t>827</w:t>
            </w:r>
          </w:p>
        </w:tc>
        <w:tc>
          <w:tcPr>
            <w:tcW w:w="1222" w:type="dxa"/>
            <w:shd w:val="clear" w:color="auto" w:fill="auto"/>
            <w:vAlign w:val="center"/>
            <w:hideMark/>
          </w:tcPr>
          <w:p w:rsidR="003E6588" w:rsidRDefault="003E6588">
            <w:pPr>
              <w:widowControl w:val="0"/>
              <w:rPr>
                <w:color w:val="000000"/>
                <w:sz w:val="20"/>
                <w:szCs w:val="20"/>
              </w:rPr>
            </w:pPr>
            <w:r>
              <w:rPr>
                <w:smallCaps/>
                <w:color w:val="000000"/>
                <w:sz w:val="20"/>
                <w:szCs w:val="20"/>
              </w:rPr>
              <w:t>-15,2%</w:t>
            </w:r>
          </w:p>
        </w:tc>
      </w:tr>
      <w:tr w:rsidR="003E6588" w:rsidTr="009241F2">
        <w:trPr>
          <w:trHeight w:val="136"/>
          <w:jc w:val="center"/>
        </w:trPr>
        <w:tc>
          <w:tcPr>
            <w:tcW w:w="1724" w:type="dxa"/>
            <w:shd w:val="clear" w:color="auto" w:fill="auto"/>
            <w:vAlign w:val="center"/>
            <w:hideMark/>
          </w:tcPr>
          <w:p w:rsidR="003E6588" w:rsidRDefault="003E6588" w:rsidP="009241F2">
            <w:pPr>
              <w:jc w:val="left"/>
              <w:rPr>
                <w:color w:val="000000"/>
                <w:sz w:val="20"/>
                <w:szCs w:val="20"/>
              </w:rPr>
            </w:pPr>
            <w:r>
              <w:rPr>
                <w:color w:val="000000"/>
                <w:sz w:val="20"/>
                <w:szCs w:val="20"/>
              </w:rPr>
              <w:t>Porto Primavera</w:t>
            </w:r>
          </w:p>
        </w:tc>
        <w:tc>
          <w:tcPr>
            <w:tcW w:w="1337" w:type="dxa"/>
            <w:shd w:val="clear" w:color="auto" w:fill="auto"/>
            <w:vAlign w:val="center"/>
            <w:hideMark/>
          </w:tcPr>
          <w:p w:rsidR="003E6588" w:rsidRDefault="003E6588">
            <w:pPr>
              <w:rPr>
                <w:color w:val="000000"/>
                <w:sz w:val="20"/>
                <w:szCs w:val="20"/>
              </w:rPr>
            </w:pPr>
            <w:r>
              <w:rPr>
                <w:color w:val="000000"/>
                <w:sz w:val="20"/>
                <w:szCs w:val="20"/>
                <w:lang w:val="pt-PT"/>
              </w:rPr>
              <w:t>1.540,0</w:t>
            </w:r>
          </w:p>
        </w:tc>
        <w:tc>
          <w:tcPr>
            <w:tcW w:w="1413" w:type="dxa"/>
            <w:shd w:val="clear" w:color="auto" w:fill="auto"/>
            <w:vAlign w:val="center"/>
            <w:hideMark/>
          </w:tcPr>
          <w:p w:rsidR="003E6588" w:rsidRDefault="003E6588">
            <w:pPr>
              <w:rPr>
                <w:color w:val="000000"/>
                <w:sz w:val="20"/>
                <w:szCs w:val="20"/>
              </w:rPr>
            </w:pPr>
            <w:r>
              <w:rPr>
                <w:smallCaps/>
                <w:color w:val="000000"/>
                <w:sz w:val="20"/>
                <w:szCs w:val="20"/>
                <w:lang w:val="pt-PT"/>
              </w:rPr>
              <w:t>1.017,0</w:t>
            </w:r>
          </w:p>
        </w:tc>
        <w:tc>
          <w:tcPr>
            <w:tcW w:w="821" w:type="dxa"/>
            <w:shd w:val="clear" w:color="auto" w:fill="auto"/>
            <w:vAlign w:val="center"/>
            <w:hideMark/>
          </w:tcPr>
          <w:p w:rsidR="003E6588" w:rsidRDefault="003E6588">
            <w:pPr>
              <w:rPr>
                <w:color w:val="000000"/>
                <w:sz w:val="20"/>
                <w:szCs w:val="20"/>
              </w:rPr>
            </w:pPr>
            <w:r>
              <w:rPr>
                <w:smallCaps/>
                <w:color w:val="000000"/>
                <w:sz w:val="20"/>
                <w:szCs w:val="20"/>
              </w:rPr>
              <w:t>1.116</w:t>
            </w:r>
          </w:p>
        </w:tc>
        <w:tc>
          <w:tcPr>
            <w:tcW w:w="1063" w:type="dxa"/>
            <w:shd w:val="clear" w:color="auto" w:fill="auto"/>
            <w:vAlign w:val="center"/>
            <w:hideMark/>
          </w:tcPr>
          <w:p w:rsidR="003E6588" w:rsidRDefault="003E6588">
            <w:pPr>
              <w:rPr>
                <w:color w:val="000000"/>
                <w:sz w:val="20"/>
                <w:szCs w:val="20"/>
              </w:rPr>
            </w:pPr>
            <w:r>
              <w:rPr>
                <w:smallCaps/>
                <w:color w:val="000000"/>
                <w:sz w:val="20"/>
                <w:szCs w:val="20"/>
              </w:rPr>
              <w:t>963</w:t>
            </w:r>
          </w:p>
        </w:tc>
        <w:tc>
          <w:tcPr>
            <w:tcW w:w="1222" w:type="dxa"/>
            <w:shd w:val="clear" w:color="auto" w:fill="auto"/>
            <w:vAlign w:val="center"/>
            <w:hideMark/>
          </w:tcPr>
          <w:p w:rsidR="003E6588" w:rsidRDefault="003E6588">
            <w:pPr>
              <w:widowControl w:val="0"/>
              <w:rPr>
                <w:color w:val="000000"/>
                <w:sz w:val="20"/>
                <w:szCs w:val="20"/>
              </w:rPr>
            </w:pPr>
            <w:r>
              <w:rPr>
                <w:smallCaps/>
                <w:color w:val="000000"/>
                <w:sz w:val="20"/>
                <w:szCs w:val="20"/>
              </w:rPr>
              <w:t>-13,7%</w:t>
            </w:r>
          </w:p>
        </w:tc>
      </w:tr>
      <w:tr w:rsidR="003E6588" w:rsidTr="009241F2">
        <w:trPr>
          <w:trHeight w:val="168"/>
          <w:jc w:val="center"/>
        </w:trPr>
        <w:tc>
          <w:tcPr>
            <w:tcW w:w="1724" w:type="dxa"/>
            <w:shd w:val="clear" w:color="auto" w:fill="auto"/>
            <w:vAlign w:val="center"/>
            <w:hideMark/>
          </w:tcPr>
          <w:p w:rsidR="003E6588" w:rsidRDefault="003E6588" w:rsidP="009241F2">
            <w:pPr>
              <w:jc w:val="left"/>
              <w:rPr>
                <w:color w:val="000000"/>
                <w:sz w:val="20"/>
                <w:szCs w:val="20"/>
              </w:rPr>
            </w:pPr>
            <w:r>
              <w:rPr>
                <w:color w:val="000000"/>
                <w:sz w:val="20"/>
                <w:szCs w:val="20"/>
              </w:rPr>
              <w:t>Paraibuna</w:t>
            </w:r>
          </w:p>
        </w:tc>
        <w:tc>
          <w:tcPr>
            <w:tcW w:w="1337" w:type="dxa"/>
            <w:shd w:val="clear" w:color="auto" w:fill="auto"/>
            <w:vAlign w:val="center"/>
            <w:hideMark/>
          </w:tcPr>
          <w:p w:rsidR="003E6588" w:rsidRDefault="003E6588">
            <w:pPr>
              <w:rPr>
                <w:color w:val="000000"/>
                <w:sz w:val="20"/>
                <w:szCs w:val="20"/>
              </w:rPr>
            </w:pPr>
            <w:r>
              <w:rPr>
                <w:smallCaps/>
                <w:color w:val="000000"/>
                <w:sz w:val="20"/>
                <w:szCs w:val="20"/>
                <w:lang w:val="pt-PT"/>
              </w:rPr>
              <w:t>87,0</w:t>
            </w:r>
          </w:p>
        </w:tc>
        <w:tc>
          <w:tcPr>
            <w:tcW w:w="1413" w:type="dxa"/>
            <w:shd w:val="clear" w:color="auto" w:fill="auto"/>
            <w:vAlign w:val="center"/>
            <w:hideMark/>
          </w:tcPr>
          <w:p w:rsidR="003E6588" w:rsidRDefault="003E6588">
            <w:pPr>
              <w:rPr>
                <w:color w:val="000000"/>
                <w:sz w:val="20"/>
                <w:szCs w:val="20"/>
              </w:rPr>
            </w:pPr>
            <w:r>
              <w:rPr>
                <w:smallCaps/>
                <w:color w:val="000000"/>
                <w:sz w:val="20"/>
                <w:szCs w:val="20"/>
                <w:lang w:val="pt-PT"/>
              </w:rPr>
              <w:t>50,0</w:t>
            </w:r>
          </w:p>
        </w:tc>
        <w:tc>
          <w:tcPr>
            <w:tcW w:w="821" w:type="dxa"/>
            <w:shd w:val="clear" w:color="auto" w:fill="auto"/>
            <w:vAlign w:val="center"/>
            <w:hideMark/>
          </w:tcPr>
          <w:p w:rsidR="003E6588" w:rsidRDefault="003E6588">
            <w:pPr>
              <w:rPr>
                <w:color w:val="000000"/>
                <w:sz w:val="20"/>
                <w:szCs w:val="20"/>
              </w:rPr>
            </w:pPr>
            <w:r>
              <w:rPr>
                <w:smallCaps/>
                <w:color w:val="000000"/>
                <w:sz w:val="20"/>
                <w:szCs w:val="20"/>
              </w:rPr>
              <w:t>40</w:t>
            </w:r>
          </w:p>
        </w:tc>
        <w:tc>
          <w:tcPr>
            <w:tcW w:w="1063" w:type="dxa"/>
            <w:shd w:val="clear" w:color="auto" w:fill="auto"/>
            <w:vAlign w:val="center"/>
            <w:hideMark/>
          </w:tcPr>
          <w:p w:rsidR="003E6588" w:rsidRDefault="003E6588">
            <w:pPr>
              <w:rPr>
                <w:color w:val="000000"/>
                <w:sz w:val="20"/>
                <w:szCs w:val="20"/>
              </w:rPr>
            </w:pPr>
            <w:r>
              <w:rPr>
                <w:smallCaps/>
                <w:color w:val="000000"/>
                <w:sz w:val="20"/>
                <w:szCs w:val="20"/>
              </w:rPr>
              <w:t>46</w:t>
            </w:r>
          </w:p>
        </w:tc>
        <w:tc>
          <w:tcPr>
            <w:tcW w:w="1222" w:type="dxa"/>
            <w:shd w:val="clear" w:color="auto" w:fill="auto"/>
            <w:vAlign w:val="center"/>
            <w:hideMark/>
          </w:tcPr>
          <w:p w:rsidR="003E6588" w:rsidRDefault="003E6588">
            <w:pPr>
              <w:widowControl w:val="0"/>
              <w:rPr>
                <w:color w:val="000000"/>
                <w:sz w:val="20"/>
                <w:szCs w:val="20"/>
              </w:rPr>
            </w:pPr>
            <w:r>
              <w:rPr>
                <w:smallCaps/>
                <w:color w:val="000000"/>
                <w:sz w:val="20"/>
                <w:szCs w:val="20"/>
              </w:rPr>
              <w:t>14,8%</w:t>
            </w:r>
          </w:p>
        </w:tc>
      </w:tr>
      <w:tr w:rsidR="003E6588" w:rsidTr="009241F2">
        <w:trPr>
          <w:trHeight w:val="72"/>
          <w:jc w:val="center"/>
        </w:trPr>
        <w:tc>
          <w:tcPr>
            <w:tcW w:w="1724" w:type="dxa"/>
            <w:shd w:val="clear" w:color="auto" w:fill="auto"/>
            <w:vAlign w:val="center"/>
            <w:hideMark/>
          </w:tcPr>
          <w:p w:rsidR="003E6588" w:rsidRDefault="003E6588" w:rsidP="009241F2">
            <w:pPr>
              <w:jc w:val="left"/>
              <w:rPr>
                <w:color w:val="000000"/>
                <w:sz w:val="20"/>
                <w:szCs w:val="20"/>
              </w:rPr>
            </w:pPr>
            <w:r>
              <w:rPr>
                <w:color w:val="000000"/>
                <w:sz w:val="20"/>
                <w:szCs w:val="20"/>
              </w:rPr>
              <w:t>Jaguari</w:t>
            </w:r>
          </w:p>
        </w:tc>
        <w:tc>
          <w:tcPr>
            <w:tcW w:w="1337" w:type="dxa"/>
            <w:shd w:val="clear" w:color="auto" w:fill="auto"/>
            <w:vAlign w:val="center"/>
            <w:hideMark/>
          </w:tcPr>
          <w:p w:rsidR="003E6588" w:rsidRDefault="003E6588">
            <w:pPr>
              <w:rPr>
                <w:color w:val="000000"/>
                <w:sz w:val="20"/>
                <w:szCs w:val="20"/>
              </w:rPr>
            </w:pPr>
            <w:r>
              <w:rPr>
                <w:smallCaps/>
                <w:color w:val="000000"/>
                <w:sz w:val="20"/>
                <w:szCs w:val="20"/>
                <w:lang w:val="pt-PT"/>
              </w:rPr>
              <w:t>27,6</w:t>
            </w:r>
          </w:p>
        </w:tc>
        <w:tc>
          <w:tcPr>
            <w:tcW w:w="1413" w:type="dxa"/>
            <w:shd w:val="clear" w:color="auto" w:fill="auto"/>
            <w:vAlign w:val="center"/>
            <w:hideMark/>
          </w:tcPr>
          <w:p w:rsidR="003E6588" w:rsidRDefault="003E6588">
            <w:pPr>
              <w:rPr>
                <w:color w:val="000000"/>
                <w:sz w:val="20"/>
                <w:szCs w:val="20"/>
              </w:rPr>
            </w:pPr>
            <w:r>
              <w:rPr>
                <w:smallCaps/>
                <w:color w:val="000000"/>
                <w:sz w:val="20"/>
                <w:szCs w:val="20"/>
                <w:lang w:val="pt-PT"/>
              </w:rPr>
              <w:t>14,0</w:t>
            </w:r>
          </w:p>
        </w:tc>
        <w:tc>
          <w:tcPr>
            <w:tcW w:w="821" w:type="dxa"/>
            <w:shd w:val="clear" w:color="auto" w:fill="auto"/>
            <w:vAlign w:val="center"/>
            <w:hideMark/>
          </w:tcPr>
          <w:p w:rsidR="003E6588" w:rsidRDefault="003E6588">
            <w:pPr>
              <w:rPr>
                <w:color w:val="000000"/>
                <w:sz w:val="20"/>
                <w:szCs w:val="20"/>
              </w:rPr>
            </w:pPr>
            <w:r>
              <w:rPr>
                <w:smallCaps/>
                <w:color w:val="000000"/>
                <w:sz w:val="20"/>
                <w:szCs w:val="20"/>
              </w:rPr>
              <w:t>11</w:t>
            </w:r>
          </w:p>
        </w:tc>
        <w:tc>
          <w:tcPr>
            <w:tcW w:w="1063" w:type="dxa"/>
            <w:shd w:val="clear" w:color="auto" w:fill="auto"/>
            <w:vAlign w:val="center"/>
            <w:hideMark/>
          </w:tcPr>
          <w:p w:rsidR="003E6588" w:rsidRDefault="003E6588">
            <w:pPr>
              <w:rPr>
                <w:color w:val="000000"/>
                <w:sz w:val="20"/>
                <w:szCs w:val="20"/>
              </w:rPr>
            </w:pPr>
            <w:r>
              <w:rPr>
                <w:smallCaps/>
                <w:color w:val="000000"/>
                <w:sz w:val="20"/>
                <w:szCs w:val="20"/>
              </w:rPr>
              <w:t>10</w:t>
            </w:r>
          </w:p>
        </w:tc>
        <w:tc>
          <w:tcPr>
            <w:tcW w:w="1222" w:type="dxa"/>
            <w:shd w:val="clear" w:color="auto" w:fill="auto"/>
            <w:vAlign w:val="center"/>
            <w:hideMark/>
          </w:tcPr>
          <w:p w:rsidR="003E6588" w:rsidRDefault="003E6588">
            <w:pPr>
              <w:widowControl w:val="0"/>
              <w:rPr>
                <w:color w:val="000000"/>
                <w:sz w:val="20"/>
                <w:szCs w:val="20"/>
              </w:rPr>
            </w:pPr>
            <w:r>
              <w:rPr>
                <w:smallCaps/>
                <w:color w:val="000000"/>
                <w:sz w:val="20"/>
                <w:szCs w:val="20"/>
              </w:rPr>
              <w:t>-9,9%</w:t>
            </w:r>
          </w:p>
        </w:tc>
      </w:tr>
      <w:tr w:rsidR="003E6588" w:rsidTr="009241F2">
        <w:trPr>
          <w:trHeight w:val="118"/>
          <w:jc w:val="center"/>
        </w:trPr>
        <w:tc>
          <w:tcPr>
            <w:tcW w:w="1724" w:type="dxa"/>
            <w:shd w:val="clear" w:color="auto" w:fill="auto"/>
            <w:vAlign w:val="center"/>
            <w:hideMark/>
          </w:tcPr>
          <w:p w:rsidR="003E6588" w:rsidRDefault="003E6588">
            <w:pPr>
              <w:rPr>
                <w:b/>
                <w:bCs/>
                <w:color w:val="000000"/>
                <w:sz w:val="20"/>
                <w:szCs w:val="20"/>
              </w:rPr>
            </w:pPr>
            <w:r>
              <w:rPr>
                <w:b/>
                <w:bCs/>
                <w:color w:val="000000"/>
                <w:sz w:val="20"/>
                <w:szCs w:val="20"/>
              </w:rPr>
              <w:t>Subtotal</w:t>
            </w:r>
          </w:p>
        </w:tc>
        <w:tc>
          <w:tcPr>
            <w:tcW w:w="1337" w:type="dxa"/>
            <w:shd w:val="clear" w:color="auto" w:fill="auto"/>
            <w:vAlign w:val="center"/>
            <w:hideMark/>
          </w:tcPr>
          <w:p w:rsidR="003E6588" w:rsidRDefault="003E6588">
            <w:pPr>
              <w:rPr>
                <w:b/>
                <w:bCs/>
                <w:color w:val="000000"/>
                <w:sz w:val="20"/>
                <w:szCs w:val="20"/>
              </w:rPr>
            </w:pPr>
            <w:r>
              <w:rPr>
                <w:b/>
                <w:bCs/>
                <w:smallCaps/>
                <w:color w:val="000000"/>
                <w:sz w:val="20"/>
                <w:szCs w:val="20"/>
                <w:lang w:val="pt-PT"/>
              </w:rPr>
              <w:t>6.649,8</w:t>
            </w:r>
          </w:p>
        </w:tc>
        <w:tc>
          <w:tcPr>
            <w:tcW w:w="1413" w:type="dxa"/>
            <w:shd w:val="clear" w:color="auto" w:fill="auto"/>
            <w:vAlign w:val="center"/>
            <w:hideMark/>
          </w:tcPr>
          <w:p w:rsidR="003E6588" w:rsidRDefault="003E6588">
            <w:pPr>
              <w:rPr>
                <w:b/>
                <w:bCs/>
                <w:color w:val="000000"/>
                <w:sz w:val="20"/>
                <w:szCs w:val="20"/>
              </w:rPr>
            </w:pPr>
            <w:r>
              <w:rPr>
                <w:b/>
                <w:bCs/>
                <w:smallCaps/>
                <w:color w:val="000000"/>
                <w:sz w:val="20"/>
                <w:szCs w:val="20"/>
                <w:lang w:val="pt-PT"/>
              </w:rPr>
              <w:t>3.698,5</w:t>
            </w:r>
            <w:r>
              <w:rPr>
                <w:b/>
                <w:bCs/>
                <w:smallCaps/>
                <w:color w:val="000000"/>
                <w:sz w:val="20"/>
                <w:szCs w:val="20"/>
                <w:vertAlign w:val="superscript"/>
              </w:rPr>
              <w:t>(1)</w:t>
            </w:r>
          </w:p>
        </w:tc>
        <w:tc>
          <w:tcPr>
            <w:tcW w:w="821" w:type="dxa"/>
            <w:shd w:val="clear" w:color="auto" w:fill="auto"/>
            <w:vAlign w:val="center"/>
            <w:hideMark/>
          </w:tcPr>
          <w:p w:rsidR="003E6588" w:rsidRDefault="003E6588">
            <w:pPr>
              <w:rPr>
                <w:b/>
                <w:bCs/>
                <w:color w:val="000000"/>
                <w:sz w:val="20"/>
                <w:szCs w:val="20"/>
              </w:rPr>
            </w:pPr>
            <w:r>
              <w:rPr>
                <w:b/>
                <w:bCs/>
                <w:smallCaps/>
                <w:color w:val="000000"/>
                <w:sz w:val="20"/>
                <w:szCs w:val="20"/>
              </w:rPr>
              <w:t>3.887</w:t>
            </w:r>
          </w:p>
        </w:tc>
        <w:tc>
          <w:tcPr>
            <w:tcW w:w="1063" w:type="dxa"/>
            <w:shd w:val="clear" w:color="auto" w:fill="auto"/>
            <w:vAlign w:val="center"/>
            <w:hideMark/>
          </w:tcPr>
          <w:p w:rsidR="003E6588" w:rsidRDefault="003E6588">
            <w:pPr>
              <w:rPr>
                <w:b/>
                <w:bCs/>
                <w:color w:val="000000"/>
                <w:sz w:val="20"/>
                <w:szCs w:val="20"/>
              </w:rPr>
            </w:pPr>
            <w:r>
              <w:rPr>
                <w:b/>
                <w:bCs/>
                <w:smallCaps/>
                <w:color w:val="000000"/>
                <w:sz w:val="20"/>
                <w:szCs w:val="20"/>
                <w:lang w:val="pt-PT"/>
              </w:rPr>
              <w:t>3.232</w:t>
            </w:r>
          </w:p>
        </w:tc>
        <w:tc>
          <w:tcPr>
            <w:tcW w:w="1222" w:type="dxa"/>
            <w:shd w:val="clear" w:color="auto" w:fill="auto"/>
            <w:vAlign w:val="center"/>
            <w:hideMark/>
          </w:tcPr>
          <w:p w:rsidR="003E6588" w:rsidRDefault="003E6588">
            <w:pPr>
              <w:widowControl w:val="0"/>
              <w:rPr>
                <w:b/>
                <w:bCs/>
                <w:color w:val="000000"/>
                <w:sz w:val="20"/>
                <w:szCs w:val="20"/>
              </w:rPr>
            </w:pPr>
            <w:r>
              <w:rPr>
                <w:b/>
                <w:bCs/>
                <w:smallCaps/>
                <w:color w:val="000000"/>
                <w:sz w:val="20"/>
                <w:szCs w:val="20"/>
              </w:rPr>
              <w:t>-16,9%</w:t>
            </w:r>
          </w:p>
        </w:tc>
      </w:tr>
      <w:tr w:rsidR="003E6588" w:rsidTr="009241F2">
        <w:trPr>
          <w:trHeight w:val="163"/>
          <w:jc w:val="center"/>
        </w:trPr>
        <w:tc>
          <w:tcPr>
            <w:tcW w:w="1724" w:type="dxa"/>
            <w:shd w:val="clear" w:color="auto" w:fill="auto"/>
            <w:vAlign w:val="center"/>
            <w:hideMark/>
          </w:tcPr>
          <w:p w:rsidR="003E6588" w:rsidRDefault="003E6588" w:rsidP="009241F2">
            <w:pPr>
              <w:jc w:val="left"/>
              <w:rPr>
                <w:color w:val="000000"/>
                <w:sz w:val="20"/>
                <w:szCs w:val="20"/>
              </w:rPr>
            </w:pPr>
            <w:r>
              <w:rPr>
                <w:color w:val="000000"/>
                <w:sz w:val="20"/>
                <w:szCs w:val="20"/>
              </w:rPr>
              <w:t>Três Irmãos</w:t>
            </w:r>
          </w:p>
        </w:tc>
        <w:tc>
          <w:tcPr>
            <w:tcW w:w="1337" w:type="dxa"/>
            <w:shd w:val="clear" w:color="auto" w:fill="auto"/>
            <w:vAlign w:val="center"/>
            <w:hideMark/>
          </w:tcPr>
          <w:p w:rsidR="003E6588" w:rsidRDefault="003E6588">
            <w:pPr>
              <w:rPr>
                <w:color w:val="000000"/>
                <w:sz w:val="20"/>
                <w:szCs w:val="20"/>
              </w:rPr>
            </w:pPr>
            <w:r>
              <w:rPr>
                <w:smallCaps/>
                <w:color w:val="000000"/>
                <w:sz w:val="20"/>
                <w:szCs w:val="20"/>
              </w:rPr>
              <w:t>807,5</w:t>
            </w:r>
          </w:p>
        </w:tc>
        <w:tc>
          <w:tcPr>
            <w:tcW w:w="1413" w:type="dxa"/>
            <w:shd w:val="clear" w:color="auto" w:fill="auto"/>
            <w:vAlign w:val="center"/>
            <w:hideMark/>
          </w:tcPr>
          <w:p w:rsidR="003E6588" w:rsidRDefault="003E6588">
            <w:pPr>
              <w:rPr>
                <w:color w:val="000000"/>
                <w:sz w:val="20"/>
                <w:szCs w:val="20"/>
              </w:rPr>
            </w:pPr>
            <w:r>
              <w:rPr>
                <w:smallCaps/>
                <w:color w:val="000000"/>
                <w:sz w:val="20"/>
                <w:szCs w:val="20"/>
                <w:lang w:val="pt-PT"/>
              </w:rPr>
              <w:t>217,5</w:t>
            </w:r>
          </w:p>
        </w:tc>
        <w:tc>
          <w:tcPr>
            <w:tcW w:w="821" w:type="dxa"/>
            <w:shd w:val="clear" w:color="auto" w:fill="auto"/>
            <w:vAlign w:val="center"/>
            <w:hideMark/>
          </w:tcPr>
          <w:p w:rsidR="003E6588" w:rsidRDefault="003E6588">
            <w:pPr>
              <w:rPr>
                <w:color w:val="000000"/>
                <w:sz w:val="20"/>
                <w:szCs w:val="20"/>
              </w:rPr>
            </w:pPr>
            <w:r>
              <w:rPr>
                <w:smallCaps/>
                <w:color w:val="000000"/>
                <w:sz w:val="20"/>
                <w:szCs w:val="20"/>
              </w:rPr>
              <w:t>216</w:t>
            </w:r>
          </w:p>
        </w:tc>
        <w:tc>
          <w:tcPr>
            <w:tcW w:w="1063" w:type="dxa"/>
            <w:shd w:val="clear" w:color="auto" w:fill="auto"/>
            <w:vAlign w:val="center"/>
            <w:hideMark/>
          </w:tcPr>
          <w:p w:rsidR="003E6588" w:rsidRDefault="003E6588">
            <w:pPr>
              <w:rPr>
                <w:color w:val="000000"/>
                <w:sz w:val="20"/>
                <w:szCs w:val="20"/>
              </w:rPr>
            </w:pPr>
            <w:r>
              <w:rPr>
                <w:smallCaps/>
                <w:color w:val="000000"/>
                <w:sz w:val="20"/>
                <w:szCs w:val="20"/>
              </w:rPr>
              <w:t>150</w:t>
            </w:r>
          </w:p>
        </w:tc>
        <w:tc>
          <w:tcPr>
            <w:tcW w:w="1222" w:type="dxa"/>
            <w:shd w:val="clear" w:color="auto" w:fill="auto"/>
            <w:vAlign w:val="center"/>
            <w:hideMark/>
          </w:tcPr>
          <w:p w:rsidR="003E6588" w:rsidRDefault="003E6588">
            <w:pPr>
              <w:widowControl w:val="0"/>
              <w:rPr>
                <w:color w:val="000000"/>
                <w:sz w:val="20"/>
                <w:szCs w:val="20"/>
              </w:rPr>
            </w:pPr>
            <w:r>
              <w:rPr>
                <w:smallCaps/>
                <w:color w:val="000000"/>
                <w:sz w:val="20"/>
                <w:szCs w:val="20"/>
              </w:rPr>
              <w:t>-30,4%</w:t>
            </w:r>
          </w:p>
        </w:tc>
      </w:tr>
      <w:tr w:rsidR="003E6588" w:rsidTr="00F74CD7">
        <w:trPr>
          <w:trHeight w:val="68"/>
          <w:jc w:val="center"/>
        </w:trPr>
        <w:tc>
          <w:tcPr>
            <w:tcW w:w="1724" w:type="dxa"/>
            <w:shd w:val="clear" w:color="auto" w:fill="auto"/>
            <w:vAlign w:val="center"/>
            <w:hideMark/>
          </w:tcPr>
          <w:p w:rsidR="003E6588" w:rsidRDefault="003E6588">
            <w:pPr>
              <w:rPr>
                <w:b/>
                <w:bCs/>
                <w:color w:val="000000"/>
                <w:sz w:val="20"/>
                <w:szCs w:val="20"/>
              </w:rPr>
            </w:pPr>
            <w:r>
              <w:rPr>
                <w:b/>
                <w:bCs/>
                <w:color w:val="000000"/>
                <w:sz w:val="20"/>
                <w:szCs w:val="20"/>
              </w:rPr>
              <w:t>Total</w:t>
            </w:r>
          </w:p>
        </w:tc>
        <w:tc>
          <w:tcPr>
            <w:tcW w:w="1337" w:type="dxa"/>
            <w:shd w:val="clear" w:color="auto" w:fill="auto"/>
            <w:vAlign w:val="center"/>
            <w:hideMark/>
          </w:tcPr>
          <w:p w:rsidR="003E6588" w:rsidRDefault="003E6588">
            <w:pPr>
              <w:rPr>
                <w:b/>
                <w:bCs/>
                <w:color w:val="000000"/>
                <w:sz w:val="20"/>
                <w:szCs w:val="20"/>
              </w:rPr>
            </w:pPr>
            <w:r>
              <w:rPr>
                <w:b/>
                <w:bCs/>
                <w:smallCaps/>
                <w:color w:val="000000"/>
                <w:sz w:val="20"/>
                <w:szCs w:val="20"/>
                <w:lang w:val="pt-PT"/>
              </w:rPr>
              <w:t>7.457,3</w:t>
            </w:r>
          </w:p>
        </w:tc>
        <w:tc>
          <w:tcPr>
            <w:tcW w:w="1413" w:type="dxa"/>
            <w:shd w:val="clear" w:color="auto" w:fill="auto"/>
            <w:vAlign w:val="center"/>
            <w:hideMark/>
          </w:tcPr>
          <w:p w:rsidR="003E6588" w:rsidRDefault="003E6588">
            <w:pPr>
              <w:rPr>
                <w:b/>
                <w:bCs/>
                <w:color w:val="000000"/>
                <w:sz w:val="20"/>
                <w:szCs w:val="20"/>
              </w:rPr>
            </w:pPr>
            <w:r>
              <w:rPr>
                <w:b/>
                <w:bCs/>
                <w:smallCaps/>
                <w:color w:val="000000"/>
                <w:sz w:val="20"/>
                <w:szCs w:val="20"/>
                <w:lang w:val="pt-PT"/>
              </w:rPr>
              <w:t>3.916,0</w:t>
            </w:r>
          </w:p>
        </w:tc>
        <w:tc>
          <w:tcPr>
            <w:tcW w:w="821" w:type="dxa"/>
            <w:shd w:val="clear" w:color="auto" w:fill="auto"/>
            <w:vAlign w:val="center"/>
            <w:hideMark/>
          </w:tcPr>
          <w:p w:rsidR="003E6588" w:rsidRDefault="003E6588">
            <w:pPr>
              <w:rPr>
                <w:b/>
                <w:bCs/>
                <w:color w:val="000000"/>
                <w:sz w:val="20"/>
                <w:szCs w:val="20"/>
              </w:rPr>
            </w:pPr>
            <w:r>
              <w:rPr>
                <w:b/>
                <w:bCs/>
                <w:smallCaps/>
                <w:color w:val="000000"/>
                <w:sz w:val="20"/>
                <w:szCs w:val="20"/>
              </w:rPr>
              <w:t>4.103</w:t>
            </w:r>
          </w:p>
        </w:tc>
        <w:tc>
          <w:tcPr>
            <w:tcW w:w="1063" w:type="dxa"/>
            <w:shd w:val="clear" w:color="auto" w:fill="auto"/>
            <w:vAlign w:val="center"/>
            <w:hideMark/>
          </w:tcPr>
          <w:p w:rsidR="003E6588" w:rsidRDefault="003E6588">
            <w:pPr>
              <w:rPr>
                <w:b/>
                <w:bCs/>
                <w:color w:val="000000"/>
                <w:sz w:val="20"/>
                <w:szCs w:val="20"/>
              </w:rPr>
            </w:pPr>
            <w:r>
              <w:rPr>
                <w:b/>
                <w:bCs/>
                <w:smallCaps/>
                <w:color w:val="000000"/>
                <w:sz w:val="20"/>
                <w:szCs w:val="20"/>
                <w:lang w:val="pt-PT"/>
              </w:rPr>
              <w:t>3.382</w:t>
            </w:r>
          </w:p>
        </w:tc>
        <w:tc>
          <w:tcPr>
            <w:tcW w:w="1222" w:type="dxa"/>
            <w:shd w:val="clear" w:color="auto" w:fill="auto"/>
            <w:vAlign w:val="center"/>
            <w:hideMark/>
          </w:tcPr>
          <w:p w:rsidR="003E6588" w:rsidRDefault="003E6588">
            <w:pPr>
              <w:widowControl w:val="0"/>
              <w:rPr>
                <w:b/>
                <w:bCs/>
                <w:color w:val="000000"/>
                <w:sz w:val="20"/>
                <w:szCs w:val="20"/>
              </w:rPr>
            </w:pPr>
            <w:r>
              <w:rPr>
                <w:b/>
                <w:bCs/>
                <w:smallCaps/>
                <w:color w:val="000000"/>
                <w:sz w:val="20"/>
                <w:szCs w:val="20"/>
              </w:rPr>
              <w:t>-17,6%</w:t>
            </w:r>
          </w:p>
        </w:tc>
      </w:tr>
    </w:tbl>
    <w:p w:rsidR="003E6588" w:rsidRDefault="003E6588">
      <w:pPr>
        <w:pStyle w:val="PargrafodaLista"/>
        <w:numPr>
          <w:ilvl w:val="1"/>
          <w:numId w:val="53"/>
        </w:numPr>
        <w:tabs>
          <w:tab w:val="clear" w:pos="360"/>
          <w:tab w:val="num" w:pos="1276"/>
          <w:tab w:val="left" w:pos="1560"/>
        </w:tabs>
        <w:ind w:left="1276" w:firstLine="0"/>
        <w:rPr>
          <w:rFonts w:ascii="Times New Roman" w:hAnsi="Times New Roman"/>
          <w:sz w:val="16"/>
          <w:szCs w:val="16"/>
          <w:lang w:val="pt-PT"/>
        </w:rPr>
      </w:pPr>
      <w:r>
        <w:rPr>
          <w:rFonts w:ascii="Times New Roman" w:hAnsi="Times New Roman"/>
          <w:sz w:val="16"/>
          <w:szCs w:val="16"/>
          <w:lang w:val="pt-PT"/>
        </w:rPr>
        <w:t>Valor médio da energia na barra das usinas, disponível o ano inteiro, que a CESP está autorizada a comercializar.</w:t>
      </w:r>
    </w:p>
    <w:p w:rsidR="003E6588" w:rsidRDefault="003E6588">
      <w:pPr>
        <w:pStyle w:val="PargrafodaLista"/>
        <w:numPr>
          <w:ilvl w:val="1"/>
          <w:numId w:val="53"/>
        </w:numPr>
        <w:tabs>
          <w:tab w:val="clear" w:pos="360"/>
          <w:tab w:val="num" w:pos="1276"/>
          <w:tab w:val="left" w:pos="1560"/>
        </w:tabs>
        <w:ind w:left="1276" w:firstLine="0"/>
        <w:rPr>
          <w:rFonts w:ascii="Times New Roman" w:hAnsi="Times New Roman"/>
          <w:sz w:val="16"/>
          <w:szCs w:val="16"/>
          <w:lang w:val="pt-PT"/>
        </w:rPr>
      </w:pPr>
      <w:r>
        <w:rPr>
          <w:rFonts w:ascii="Times New Roman" w:hAnsi="Times New Roman"/>
          <w:sz w:val="16"/>
          <w:szCs w:val="16"/>
          <w:lang w:val="pt-PT"/>
        </w:rPr>
        <w:t xml:space="preserve"> Produção anual.</w:t>
      </w:r>
    </w:p>
    <w:p w:rsidR="00723018" w:rsidRPr="00723018" w:rsidRDefault="00723018">
      <w:pPr>
        <w:ind w:firstLine="1134"/>
        <w:jc w:val="both"/>
        <w:rPr>
          <w:lang w:val="pt-PT"/>
        </w:rPr>
      </w:pPr>
    </w:p>
    <w:p w:rsidR="003E6588" w:rsidRDefault="003E6588">
      <w:pPr>
        <w:ind w:firstLine="1134"/>
        <w:jc w:val="both"/>
        <w:rPr>
          <w:lang w:val="pt-PT"/>
        </w:rPr>
      </w:pPr>
      <w:r>
        <w:rPr>
          <w:b/>
          <w:lang w:val="pt-PT"/>
        </w:rPr>
        <w:t>Geração de Energia com Fontes Renováveis</w:t>
      </w:r>
      <w:r>
        <w:rPr>
          <w:lang w:val="pt-PT"/>
        </w:rPr>
        <w:t xml:space="preserve"> - A CESP realizou chamada pública manifestando intenção de analisar oportunidades de parcerias em empreendimentos de geração de energia proveniente de fontes renováveis para expansão do parque gerador e recebeu 21 propostas, </w:t>
      </w:r>
      <w:r>
        <w:rPr>
          <w:lang w:val="pt-PT"/>
        </w:rPr>
        <w:lastRenderedPageBreak/>
        <w:t>sendo 2 usinas de biomassa, 11 parques solar-fotovoltaicos, 7 parques eólicos e 1 complexo solar-eólico. O Planejamento Estratégico em andamento indicará a viabilidade dessas parcerias.</w:t>
      </w:r>
    </w:p>
    <w:p w:rsidR="003E6588" w:rsidRPr="00723018" w:rsidRDefault="003E6588">
      <w:pPr>
        <w:ind w:firstLine="1134"/>
        <w:jc w:val="both"/>
        <w:rPr>
          <w:bCs/>
          <w:lang w:val="pt-PT"/>
        </w:rPr>
      </w:pPr>
    </w:p>
    <w:p w:rsidR="003E6588" w:rsidRDefault="003E6588">
      <w:pPr>
        <w:ind w:firstLine="1134"/>
        <w:jc w:val="both"/>
        <w:rPr>
          <w:bCs/>
          <w:lang w:val="pt-PT"/>
        </w:rPr>
      </w:pPr>
      <w:r>
        <w:rPr>
          <w:b/>
          <w:bCs/>
          <w:lang w:val="pt-PT"/>
        </w:rPr>
        <w:t>Gestão da produção de energia elétrica -</w:t>
      </w:r>
      <w:r>
        <w:rPr>
          <w:bCs/>
          <w:lang w:val="pt-PT"/>
        </w:rPr>
        <w:t xml:space="preserve"> A produção de energia elétrica das usinas da CESP é programada e executada de acordo com os Procedimentos de Rede e sob a coordenação do Operador Nacional do Sistema Elétrico - ONS, garantindo-se a preservação de seus ativos e o cumprimento de suas obrigações sociais e ambientais.</w:t>
      </w:r>
    </w:p>
    <w:p w:rsidR="003E6588" w:rsidRDefault="003E6588">
      <w:pPr>
        <w:jc w:val="both"/>
        <w:rPr>
          <w:strike/>
          <w:lang w:val="pt-PT"/>
        </w:rPr>
      </w:pPr>
    </w:p>
    <w:p w:rsidR="003E6588" w:rsidRDefault="003E6588">
      <w:pPr>
        <w:ind w:firstLine="1134"/>
        <w:jc w:val="both"/>
        <w:rPr>
          <w:smallCaps/>
          <w:lang w:val="pt-PT"/>
        </w:rPr>
      </w:pPr>
      <w:r>
        <w:rPr>
          <w:rFonts w:eastAsia="Calibri"/>
          <w:b/>
          <w:lang w:eastAsia="en-US"/>
        </w:rPr>
        <w:t>Operação de Controle de Cheias</w:t>
      </w:r>
      <w:r>
        <w:rPr>
          <w:rFonts w:eastAsia="Calibri"/>
          <w:lang w:eastAsia="en-US"/>
        </w:rPr>
        <w:t xml:space="preserve"> - F</w:t>
      </w:r>
      <w:r>
        <w:rPr>
          <w:lang w:val="pt-PT"/>
        </w:rPr>
        <w:t>oram mantidos ativos os organismos de atuação permanente e preventiva para controle de cheias, a saber: o Comitê de Gestão de Cheias - CGC, o Comitê de Operação em Situação de Emergência - COEm e os serviços do Plano de Comunicação:</w:t>
      </w:r>
      <w:r>
        <w:rPr>
          <w:color w:val="0000FF"/>
          <w:lang w:val="pt-PT"/>
        </w:rPr>
        <w:t xml:space="preserve"> </w:t>
      </w:r>
      <w:r>
        <w:rPr>
          <w:lang w:val="pt-PT"/>
        </w:rPr>
        <w:t xml:space="preserve">Boletim Informativo de Vazões, </w:t>
      </w:r>
      <w:r>
        <w:rPr>
          <w:i/>
          <w:lang w:val="pt-PT"/>
        </w:rPr>
        <w:t>site</w:t>
      </w:r>
      <w:r>
        <w:rPr>
          <w:lang w:val="pt-PT"/>
        </w:rPr>
        <w:t xml:space="preserve"> da CESP e Telecheia, com Discagem Direta Gratuita para o número (0800-647-9001), que fornecem informações de níveis e vazões das usinas da CESP</w:t>
      </w:r>
      <w:r>
        <w:rPr>
          <w:smallCaps/>
          <w:lang w:val="pt-PT"/>
        </w:rPr>
        <w:t>.</w:t>
      </w:r>
    </w:p>
    <w:p w:rsidR="003E6588" w:rsidRPr="00723018" w:rsidRDefault="003E6588">
      <w:pPr>
        <w:ind w:firstLine="1134"/>
        <w:jc w:val="both"/>
        <w:rPr>
          <w:lang w:val="pt-PT"/>
        </w:rPr>
      </w:pPr>
    </w:p>
    <w:p w:rsidR="003E6588" w:rsidRDefault="003E6588">
      <w:pPr>
        <w:pStyle w:val="NormalWeb"/>
        <w:spacing w:before="0" w:beforeAutospacing="0" w:after="0" w:afterAutospacing="0"/>
        <w:ind w:firstLine="1134"/>
        <w:jc w:val="both"/>
      </w:pPr>
      <w:r>
        <w:rPr>
          <w:b/>
          <w:bCs/>
        </w:rPr>
        <w:t xml:space="preserve">Comercialização de energia - </w:t>
      </w:r>
      <w:r>
        <w:rPr>
          <w:bCs/>
        </w:rPr>
        <w:t>O faturamento comercial é de R$ 5.415 milhões, distribuídos conforme tabela abaixo:</w:t>
      </w:r>
    </w:p>
    <w:p w:rsidR="003E6588" w:rsidRDefault="003E6588" w:rsidP="00723018">
      <w:pPr>
        <w:tabs>
          <w:tab w:val="left" w:pos="1155"/>
        </w:tabs>
        <w:jc w:val="both"/>
        <w:rPr>
          <w:lang w:val="pt-PT"/>
        </w:rPr>
      </w:pPr>
    </w:p>
    <w:tbl>
      <w:tblPr>
        <w:tblW w:w="7374" w:type="dxa"/>
        <w:jc w:val="center"/>
        <w:tblInd w:w="175" w:type="dxa"/>
        <w:tblBorders>
          <w:top w:val="single" w:sz="8" w:space="0" w:color="000000"/>
          <w:left w:val="single" w:sz="8" w:space="0" w:color="000000"/>
          <w:bottom w:val="single" w:sz="4" w:space="0" w:color="000000"/>
          <w:right w:val="single" w:sz="4" w:space="0" w:color="000000"/>
          <w:insideH w:val="single" w:sz="8" w:space="0" w:color="000000"/>
          <w:insideV w:val="single" w:sz="8" w:space="0" w:color="000000"/>
        </w:tblBorders>
        <w:tblLook w:val="01E0"/>
      </w:tblPr>
      <w:tblGrid>
        <w:gridCol w:w="5760"/>
        <w:gridCol w:w="1614"/>
      </w:tblGrid>
      <w:tr w:rsidR="003E6588" w:rsidTr="00723018">
        <w:trPr>
          <w:trHeight w:val="324"/>
          <w:jc w:val="center"/>
        </w:trPr>
        <w:tc>
          <w:tcPr>
            <w:tcW w:w="5760" w:type="dxa"/>
            <w:shd w:val="clear" w:color="auto" w:fill="auto"/>
            <w:vAlign w:val="center"/>
          </w:tcPr>
          <w:p w:rsidR="003E6588" w:rsidRDefault="003E6588">
            <w:pPr>
              <w:rPr>
                <w:b/>
                <w:bCs/>
                <w:color w:val="000000"/>
                <w:sz w:val="20"/>
                <w:szCs w:val="20"/>
                <w:lang w:val="pt-PT"/>
              </w:rPr>
            </w:pPr>
            <w:r>
              <w:rPr>
                <w:b/>
                <w:bCs/>
                <w:color w:val="000000"/>
                <w:sz w:val="20"/>
                <w:szCs w:val="20"/>
                <w:lang w:val="pt-PT"/>
              </w:rPr>
              <w:t>Faturamento Comercial CESP</w:t>
            </w:r>
          </w:p>
        </w:tc>
        <w:tc>
          <w:tcPr>
            <w:tcW w:w="1614" w:type="dxa"/>
            <w:tcBorders>
              <w:bottom w:val="single" w:sz="8" w:space="0" w:color="000000"/>
              <w:right w:val="single" w:sz="8" w:space="0" w:color="auto"/>
            </w:tcBorders>
            <w:shd w:val="clear" w:color="auto" w:fill="auto"/>
            <w:vAlign w:val="center"/>
          </w:tcPr>
          <w:p w:rsidR="003E6588" w:rsidRDefault="003E6588">
            <w:pPr>
              <w:rPr>
                <w:b/>
                <w:bCs/>
                <w:smallCaps/>
                <w:color w:val="000000"/>
                <w:sz w:val="20"/>
                <w:szCs w:val="20"/>
                <w:lang w:val="pt-PT"/>
              </w:rPr>
            </w:pPr>
            <w:r>
              <w:rPr>
                <w:b/>
                <w:bCs/>
                <w:smallCaps/>
                <w:color w:val="000000"/>
                <w:sz w:val="20"/>
                <w:szCs w:val="20"/>
                <w:lang w:val="pt-PT"/>
              </w:rPr>
              <w:t>R$</w:t>
            </w:r>
            <w:r>
              <w:rPr>
                <w:b/>
                <w:bCs/>
                <w:color w:val="000000"/>
                <w:sz w:val="20"/>
                <w:szCs w:val="20"/>
                <w:lang w:val="pt-PT"/>
              </w:rPr>
              <w:t xml:space="preserve"> milhões</w:t>
            </w:r>
          </w:p>
        </w:tc>
      </w:tr>
      <w:tr w:rsidR="003E6588" w:rsidTr="00723018">
        <w:trPr>
          <w:jc w:val="center"/>
        </w:trPr>
        <w:tc>
          <w:tcPr>
            <w:tcW w:w="5760" w:type="dxa"/>
            <w:shd w:val="clear" w:color="auto" w:fill="auto"/>
            <w:vAlign w:val="bottom"/>
          </w:tcPr>
          <w:p w:rsidR="003E6588" w:rsidRPr="009241F2" w:rsidRDefault="003E6588" w:rsidP="009241F2">
            <w:pPr>
              <w:jc w:val="both"/>
              <w:rPr>
                <w:bCs/>
                <w:smallCaps/>
                <w:color w:val="000000"/>
                <w:sz w:val="20"/>
                <w:szCs w:val="20"/>
                <w:lang w:val="pt-PT"/>
              </w:rPr>
            </w:pPr>
            <w:r w:rsidRPr="009241F2">
              <w:rPr>
                <w:bCs/>
                <w:smallCaps/>
                <w:color w:val="000000"/>
                <w:sz w:val="20"/>
                <w:szCs w:val="20"/>
                <w:lang w:val="pt-PT"/>
              </w:rPr>
              <w:t xml:space="preserve">ACL - </w:t>
            </w:r>
            <w:r w:rsidRPr="009241F2">
              <w:rPr>
                <w:bCs/>
                <w:color w:val="000000"/>
                <w:sz w:val="20"/>
                <w:szCs w:val="20"/>
                <w:lang w:val="pt-PT"/>
              </w:rPr>
              <w:t>Contratos no Ambiente de Contratação Livre</w:t>
            </w:r>
          </w:p>
        </w:tc>
        <w:tc>
          <w:tcPr>
            <w:tcW w:w="1614" w:type="dxa"/>
            <w:tcBorders>
              <w:bottom w:val="single" w:sz="8" w:space="0" w:color="000000"/>
              <w:right w:val="single" w:sz="8" w:space="0" w:color="auto"/>
            </w:tcBorders>
            <w:shd w:val="clear" w:color="auto" w:fill="auto"/>
            <w:vAlign w:val="center"/>
          </w:tcPr>
          <w:p w:rsidR="003E6588" w:rsidRDefault="003E6588" w:rsidP="009241F2">
            <w:pPr>
              <w:jc w:val="right"/>
              <w:rPr>
                <w:bCs/>
                <w:smallCaps/>
                <w:color w:val="000000"/>
                <w:sz w:val="20"/>
                <w:szCs w:val="20"/>
                <w:lang w:val="pt-PT"/>
              </w:rPr>
            </w:pPr>
            <w:r>
              <w:rPr>
                <w:bCs/>
                <w:smallCaps/>
                <w:color w:val="000000"/>
                <w:sz w:val="20"/>
                <w:szCs w:val="20"/>
                <w:lang w:val="pt-PT"/>
              </w:rPr>
              <w:t>2.192</w:t>
            </w:r>
          </w:p>
        </w:tc>
      </w:tr>
      <w:tr w:rsidR="003E6588" w:rsidTr="00723018">
        <w:trPr>
          <w:jc w:val="center"/>
        </w:trPr>
        <w:tc>
          <w:tcPr>
            <w:tcW w:w="5760" w:type="dxa"/>
            <w:shd w:val="clear" w:color="auto" w:fill="auto"/>
            <w:vAlign w:val="bottom"/>
          </w:tcPr>
          <w:p w:rsidR="003E6588" w:rsidRPr="009241F2" w:rsidRDefault="003E6588" w:rsidP="009241F2">
            <w:pPr>
              <w:jc w:val="both"/>
              <w:rPr>
                <w:bCs/>
                <w:smallCaps/>
                <w:color w:val="000000"/>
                <w:sz w:val="20"/>
                <w:szCs w:val="20"/>
                <w:lang w:val="pt-PT"/>
              </w:rPr>
            </w:pPr>
            <w:r w:rsidRPr="009241F2">
              <w:rPr>
                <w:bCs/>
                <w:smallCaps/>
                <w:color w:val="000000"/>
                <w:sz w:val="20"/>
                <w:szCs w:val="20"/>
                <w:lang w:val="pt-PT"/>
              </w:rPr>
              <w:t xml:space="preserve">ACR - </w:t>
            </w:r>
            <w:r w:rsidRPr="009241F2">
              <w:rPr>
                <w:bCs/>
                <w:color w:val="000000"/>
                <w:sz w:val="20"/>
                <w:szCs w:val="20"/>
                <w:lang w:val="pt-PT"/>
              </w:rPr>
              <w:t>Contratos no Ambiente de Contratação Regulado</w:t>
            </w:r>
          </w:p>
        </w:tc>
        <w:tc>
          <w:tcPr>
            <w:tcW w:w="1614" w:type="dxa"/>
            <w:tcBorders>
              <w:bottom w:val="single" w:sz="8" w:space="0" w:color="000000"/>
              <w:right w:val="single" w:sz="8" w:space="0" w:color="auto"/>
            </w:tcBorders>
            <w:shd w:val="clear" w:color="auto" w:fill="auto"/>
            <w:vAlign w:val="center"/>
          </w:tcPr>
          <w:p w:rsidR="003E6588" w:rsidRDefault="003E6588" w:rsidP="009241F2">
            <w:pPr>
              <w:jc w:val="right"/>
              <w:rPr>
                <w:bCs/>
                <w:smallCaps/>
                <w:color w:val="000000"/>
                <w:sz w:val="20"/>
                <w:szCs w:val="20"/>
                <w:lang w:val="pt-PT"/>
              </w:rPr>
            </w:pPr>
            <w:r>
              <w:rPr>
                <w:bCs/>
                <w:smallCaps/>
                <w:color w:val="000000"/>
                <w:sz w:val="20"/>
                <w:szCs w:val="20"/>
                <w:lang w:val="pt-PT"/>
              </w:rPr>
              <w:t>1.513</w:t>
            </w:r>
          </w:p>
        </w:tc>
      </w:tr>
      <w:tr w:rsidR="003E6588" w:rsidTr="00723018">
        <w:trPr>
          <w:jc w:val="center"/>
        </w:trPr>
        <w:tc>
          <w:tcPr>
            <w:tcW w:w="5760" w:type="dxa"/>
            <w:shd w:val="clear" w:color="auto" w:fill="auto"/>
            <w:vAlign w:val="bottom"/>
          </w:tcPr>
          <w:p w:rsidR="003E6588" w:rsidRPr="009241F2" w:rsidRDefault="003E6588" w:rsidP="009241F2">
            <w:pPr>
              <w:jc w:val="both"/>
              <w:rPr>
                <w:bCs/>
                <w:smallCaps/>
                <w:color w:val="000000"/>
                <w:sz w:val="20"/>
                <w:szCs w:val="20"/>
                <w:lang w:val="pt-PT"/>
              </w:rPr>
            </w:pPr>
            <w:r w:rsidRPr="009241F2">
              <w:rPr>
                <w:bCs/>
                <w:smallCaps/>
                <w:color w:val="000000"/>
                <w:sz w:val="20"/>
                <w:szCs w:val="20"/>
                <w:lang w:val="pt-PT"/>
              </w:rPr>
              <w:t xml:space="preserve">CCEE - </w:t>
            </w:r>
            <w:r w:rsidRPr="009241F2">
              <w:rPr>
                <w:bCs/>
                <w:color w:val="000000"/>
                <w:sz w:val="20"/>
                <w:szCs w:val="20"/>
                <w:lang w:val="pt-PT"/>
              </w:rPr>
              <w:t>RAG Cotas Três Irmãos</w:t>
            </w:r>
          </w:p>
        </w:tc>
        <w:tc>
          <w:tcPr>
            <w:tcW w:w="1614" w:type="dxa"/>
            <w:tcBorders>
              <w:bottom w:val="single" w:sz="8" w:space="0" w:color="000000"/>
              <w:right w:val="single" w:sz="8" w:space="0" w:color="auto"/>
            </w:tcBorders>
            <w:shd w:val="clear" w:color="auto" w:fill="auto"/>
            <w:vAlign w:val="center"/>
          </w:tcPr>
          <w:p w:rsidR="003E6588" w:rsidRDefault="003E6588" w:rsidP="009241F2">
            <w:pPr>
              <w:jc w:val="right"/>
              <w:rPr>
                <w:bCs/>
                <w:smallCaps/>
                <w:color w:val="000000"/>
                <w:sz w:val="20"/>
                <w:szCs w:val="20"/>
                <w:lang w:val="pt-PT"/>
              </w:rPr>
            </w:pPr>
            <w:r>
              <w:rPr>
                <w:bCs/>
                <w:smallCaps/>
                <w:color w:val="000000"/>
                <w:sz w:val="20"/>
                <w:szCs w:val="20"/>
                <w:lang w:val="pt-PT"/>
              </w:rPr>
              <w:t>71</w:t>
            </w:r>
          </w:p>
        </w:tc>
      </w:tr>
      <w:tr w:rsidR="003E6588" w:rsidTr="00723018">
        <w:trPr>
          <w:jc w:val="center"/>
        </w:trPr>
        <w:tc>
          <w:tcPr>
            <w:tcW w:w="5760" w:type="dxa"/>
            <w:shd w:val="clear" w:color="auto" w:fill="auto"/>
            <w:vAlign w:val="bottom"/>
          </w:tcPr>
          <w:p w:rsidR="003E6588" w:rsidRPr="009241F2" w:rsidRDefault="003E6588" w:rsidP="009241F2">
            <w:pPr>
              <w:jc w:val="both"/>
              <w:rPr>
                <w:bCs/>
                <w:smallCaps/>
                <w:color w:val="000000"/>
                <w:sz w:val="20"/>
                <w:szCs w:val="20"/>
                <w:lang w:val="pt-PT"/>
              </w:rPr>
            </w:pPr>
            <w:r w:rsidRPr="009241F2">
              <w:rPr>
                <w:bCs/>
                <w:smallCaps/>
                <w:color w:val="000000"/>
                <w:sz w:val="20"/>
                <w:szCs w:val="20"/>
                <w:lang w:val="pt-PT"/>
              </w:rPr>
              <w:t xml:space="preserve">CCEE - </w:t>
            </w:r>
            <w:r w:rsidRPr="009241F2">
              <w:rPr>
                <w:bCs/>
                <w:color w:val="000000"/>
                <w:sz w:val="20"/>
                <w:szCs w:val="20"/>
                <w:lang w:val="pt-PT"/>
              </w:rPr>
              <w:t>Câmara de Comercialização de Energia Elétrica</w:t>
            </w:r>
          </w:p>
        </w:tc>
        <w:tc>
          <w:tcPr>
            <w:tcW w:w="1614" w:type="dxa"/>
            <w:tcBorders>
              <w:bottom w:val="single" w:sz="8" w:space="0" w:color="000000"/>
              <w:right w:val="single" w:sz="8" w:space="0" w:color="auto"/>
            </w:tcBorders>
            <w:shd w:val="clear" w:color="auto" w:fill="auto"/>
            <w:vAlign w:val="center"/>
          </w:tcPr>
          <w:p w:rsidR="003E6588" w:rsidRDefault="003E6588" w:rsidP="009241F2">
            <w:pPr>
              <w:jc w:val="right"/>
              <w:rPr>
                <w:bCs/>
                <w:smallCaps/>
                <w:color w:val="000000"/>
                <w:sz w:val="20"/>
                <w:szCs w:val="20"/>
                <w:lang w:val="pt-PT"/>
              </w:rPr>
            </w:pPr>
            <w:r>
              <w:rPr>
                <w:bCs/>
                <w:smallCaps/>
                <w:color w:val="000000"/>
                <w:sz w:val="20"/>
                <w:szCs w:val="20"/>
                <w:lang w:val="pt-PT"/>
              </w:rPr>
              <w:t>1.637</w:t>
            </w:r>
          </w:p>
        </w:tc>
      </w:tr>
      <w:tr w:rsidR="003E6588" w:rsidTr="00723018">
        <w:trPr>
          <w:jc w:val="center"/>
        </w:trPr>
        <w:tc>
          <w:tcPr>
            <w:tcW w:w="5760" w:type="dxa"/>
            <w:tcBorders>
              <w:bottom w:val="single" w:sz="8" w:space="0" w:color="000000"/>
            </w:tcBorders>
            <w:shd w:val="clear" w:color="auto" w:fill="auto"/>
            <w:vAlign w:val="bottom"/>
          </w:tcPr>
          <w:p w:rsidR="003E6588" w:rsidRPr="009241F2" w:rsidRDefault="003E6588" w:rsidP="009241F2">
            <w:pPr>
              <w:jc w:val="both"/>
              <w:rPr>
                <w:bCs/>
                <w:smallCaps/>
                <w:color w:val="000000"/>
                <w:sz w:val="20"/>
                <w:szCs w:val="20"/>
                <w:lang w:val="pt-PT"/>
              </w:rPr>
            </w:pPr>
            <w:r w:rsidRPr="009241F2">
              <w:rPr>
                <w:bCs/>
                <w:smallCaps/>
                <w:color w:val="000000"/>
                <w:sz w:val="20"/>
                <w:szCs w:val="20"/>
                <w:lang w:val="pt-PT"/>
              </w:rPr>
              <w:t xml:space="preserve">CTEEP/PPTE - </w:t>
            </w:r>
            <w:r w:rsidRPr="009241F2">
              <w:rPr>
                <w:bCs/>
                <w:color w:val="000000"/>
                <w:sz w:val="20"/>
                <w:szCs w:val="20"/>
                <w:lang w:val="pt-PT"/>
              </w:rPr>
              <w:t>contrato</w:t>
            </w:r>
          </w:p>
        </w:tc>
        <w:tc>
          <w:tcPr>
            <w:tcW w:w="1614" w:type="dxa"/>
            <w:tcBorders>
              <w:bottom w:val="single" w:sz="8" w:space="0" w:color="000000"/>
              <w:right w:val="single" w:sz="8" w:space="0" w:color="auto"/>
            </w:tcBorders>
            <w:shd w:val="clear" w:color="auto" w:fill="auto"/>
            <w:vAlign w:val="center"/>
          </w:tcPr>
          <w:p w:rsidR="003E6588" w:rsidRDefault="003E6588" w:rsidP="009241F2">
            <w:pPr>
              <w:jc w:val="right"/>
              <w:rPr>
                <w:bCs/>
                <w:smallCaps/>
                <w:color w:val="000000"/>
                <w:sz w:val="20"/>
                <w:szCs w:val="20"/>
                <w:lang w:val="pt-PT"/>
              </w:rPr>
            </w:pPr>
            <w:r>
              <w:rPr>
                <w:bCs/>
                <w:smallCaps/>
                <w:color w:val="000000"/>
                <w:sz w:val="20"/>
                <w:szCs w:val="20"/>
                <w:lang w:val="pt-PT"/>
              </w:rPr>
              <w:t>2</w:t>
            </w:r>
          </w:p>
        </w:tc>
      </w:tr>
      <w:tr w:rsidR="003E6588" w:rsidTr="00723018">
        <w:trPr>
          <w:jc w:val="center"/>
        </w:trPr>
        <w:tc>
          <w:tcPr>
            <w:tcW w:w="5760" w:type="dxa"/>
            <w:tcBorders>
              <w:bottom w:val="single" w:sz="8" w:space="0" w:color="auto"/>
            </w:tcBorders>
            <w:shd w:val="clear" w:color="auto" w:fill="auto"/>
            <w:vAlign w:val="bottom"/>
          </w:tcPr>
          <w:p w:rsidR="003E6588" w:rsidRDefault="003E6588" w:rsidP="009241F2">
            <w:pPr>
              <w:jc w:val="both"/>
              <w:rPr>
                <w:b/>
                <w:bCs/>
                <w:color w:val="000000"/>
                <w:sz w:val="20"/>
                <w:szCs w:val="20"/>
                <w:lang w:val="pt-PT"/>
              </w:rPr>
            </w:pPr>
            <w:r>
              <w:rPr>
                <w:b/>
                <w:bCs/>
                <w:color w:val="000000"/>
                <w:sz w:val="20"/>
                <w:szCs w:val="20"/>
                <w:lang w:val="pt-PT"/>
              </w:rPr>
              <w:t>T</w:t>
            </w:r>
            <w:r w:rsidRPr="00F74CD7">
              <w:rPr>
                <w:b/>
                <w:bCs/>
                <w:color w:val="000000"/>
                <w:sz w:val="20"/>
                <w:szCs w:val="20"/>
                <w:lang w:val="pt-PT"/>
              </w:rPr>
              <w:t>otal</w:t>
            </w:r>
          </w:p>
        </w:tc>
        <w:tc>
          <w:tcPr>
            <w:tcW w:w="1614" w:type="dxa"/>
            <w:tcBorders>
              <w:bottom w:val="single" w:sz="8" w:space="0" w:color="auto"/>
              <w:right w:val="single" w:sz="8" w:space="0" w:color="auto"/>
            </w:tcBorders>
            <w:shd w:val="clear" w:color="auto" w:fill="auto"/>
            <w:vAlign w:val="center"/>
          </w:tcPr>
          <w:p w:rsidR="003E6588" w:rsidRDefault="003E6588" w:rsidP="009241F2">
            <w:pPr>
              <w:jc w:val="right"/>
              <w:rPr>
                <w:b/>
                <w:bCs/>
                <w:smallCaps/>
                <w:color w:val="000000"/>
                <w:sz w:val="20"/>
                <w:szCs w:val="20"/>
                <w:lang w:val="pt-PT"/>
              </w:rPr>
            </w:pPr>
            <w:r>
              <w:rPr>
                <w:b/>
                <w:bCs/>
                <w:smallCaps/>
                <w:color w:val="000000"/>
                <w:sz w:val="20"/>
                <w:szCs w:val="20"/>
                <w:lang w:val="pt-PT"/>
              </w:rPr>
              <w:t>5.415</w:t>
            </w:r>
          </w:p>
        </w:tc>
      </w:tr>
    </w:tbl>
    <w:p w:rsidR="003E6588" w:rsidRDefault="003E6588">
      <w:pPr>
        <w:tabs>
          <w:tab w:val="left" w:pos="1155"/>
        </w:tabs>
        <w:jc w:val="right"/>
        <w:rPr>
          <w:lang w:val="pt-PT"/>
        </w:rPr>
      </w:pPr>
    </w:p>
    <w:p w:rsidR="003E6588" w:rsidRDefault="003E6588">
      <w:pPr>
        <w:pStyle w:val="NormalWeb"/>
        <w:spacing w:before="0" w:beforeAutospacing="0" w:after="0" w:afterAutospacing="0"/>
        <w:ind w:firstLine="1134"/>
        <w:jc w:val="both"/>
        <w:rPr>
          <w:bCs/>
        </w:rPr>
      </w:pPr>
      <w:r>
        <w:rPr>
          <w:b/>
          <w:bCs/>
        </w:rPr>
        <w:t xml:space="preserve">Índices operacionais – </w:t>
      </w:r>
      <w:r>
        <w:rPr>
          <w:bCs/>
        </w:rPr>
        <w:t>Os índices de disponibilidade das unidades geradoras da CESP foram melhores que os valores de referência estabelecidos pela ANEEL e representam desafios permanentes para os processos empresariais.</w:t>
      </w:r>
    </w:p>
    <w:p w:rsidR="003E6588" w:rsidRDefault="003E6588">
      <w:pPr>
        <w:pStyle w:val="NormalWeb"/>
        <w:spacing w:before="0" w:beforeAutospacing="0" w:after="0" w:afterAutospacing="0"/>
        <w:jc w:val="both"/>
        <w:rPr>
          <w:bCs/>
        </w:rPr>
      </w:pPr>
    </w:p>
    <w:tbl>
      <w:tblPr>
        <w:tblW w:w="6882" w:type="dxa"/>
        <w:jc w:val="center"/>
        <w:tblInd w:w="124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tblPr>
      <w:tblGrid>
        <w:gridCol w:w="2252"/>
        <w:gridCol w:w="2362"/>
        <w:gridCol w:w="2268"/>
      </w:tblGrid>
      <w:tr w:rsidR="003E6588" w:rsidTr="009241F2">
        <w:trPr>
          <w:trHeight w:val="70"/>
          <w:jc w:val="center"/>
        </w:trPr>
        <w:tc>
          <w:tcPr>
            <w:tcW w:w="2252" w:type="dxa"/>
            <w:shd w:val="clear" w:color="auto" w:fill="auto"/>
            <w:vAlign w:val="center"/>
          </w:tcPr>
          <w:p w:rsidR="003E6588" w:rsidRDefault="003E6588">
            <w:pPr>
              <w:rPr>
                <w:b/>
                <w:sz w:val="20"/>
                <w:szCs w:val="20"/>
              </w:rPr>
            </w:pPr>
            <w:r>
              <w:rPr>
                <w:b/>
                <w:sz w:val="20"/>
                <w:szCs w:val="20"/>
              </w:rPr>
              <w:t>Empreendimento</w:t>
            </w:r>
          </w:p>
        </w:tc>
        <w:tc>
          <w:tcPr>
            <w:tcW w:w="2362" w:type="dxa"/>
            <w:shd w:val="clear" w:color="auto" w:fill="auto"/>
            <w:vAlign w:val="center"/>
          </w:tcPr>
          <w:p w:rsidR="003E6588" w:rsidRDefault="003E6588">
            <w:pPr>
              <w:rPr>
                <w:b/>
                <w:sz w:val="20"/>
                <w:szCs w:val="20"/>
              </w:rPr>
            </w:pPr>
            <w:r>
              <w:rPr>
                <w:b/>
                <w:sz w:val="20"/>
                <w:szCs w:val="20"/>
              </w:rPr>
              <w:t>Índice de Referência</w:t>
            </w:r>
          </w:p>
          <w:p w:rsidR="003E6588" w:rsidRDefault="003E6588">
            <w:pPr>
              <w:rPr>
                <w:b/>
                <w:sz w:val="20"/>
                <w:szCs w:val="20"/>
              </w:rPr>
            </w:pPr>
            <w:r>
              <w:rPr>
                <w:b/>
                <w:sz w:val="20"/>
                <w:szCs w:val="20"/>
              </w:rPr>
              <w:t>ANEEL</w:t>
            </w:r>
          </w:p>
        </w:tc>
        <w:tc>
          <w:tcPr>
            <w:tcW w:w="2268" w:type="dxa"/>
            <w:shd w:val="clear" w:color="auto" w:fill="auto"/>
            <w:vAlign w:val="center"/>
          </w:tcPr>
          <w:p w:rsidR="003E6588" w:rsidRDefault="003E6588">
            <w:pPr>
              <w:rPr>
                <w:b/>
                <w:sz w:val="20"/>
                <w:szCs w:val="20"/>
              </w:rPr>
            </w:pPr>
            <w:r>
              <w:rPr>
                <w:b/>
                <w:sz w:val="20"/>
                <w:szCs w:val="20"/>
              </w:rPr>
              <w:t>Disponibilidade</w:t>
            </w:r>
          </w:p>
          <w:p w:rsidR="003E6588" w:rsidRDefault="003E6588">
            <w:pPr>
              <w:rPr>
                <w:b/>
                <w:sz w:val="20"/>
                <w:szCs w:val="20"/>
              </w:rPr>
            </w:pPr>
            <w:r>
              <w:rPr>
                <w:b/>
                <w:sz w:val="20"/>
                <w:szCs w:val="20"/>
              </w:rPr>
              <w:t xml:space="preserve">Verificada </w:t>
            </w:r>
            <w:r>
              <w:rPr>
                <w:b/>
                <w:sz w:val="20"/>
                <w:szCs w:val="20"/>
                <w:vertAlign w:val="superscript"/>
              </w:rPr>
              <w:t>(1)</w:t>
            </w:r>
          </w:p>
        </w:tc>
      </w:tr>
      <w:tr w:rsidR="003E6588" w:rsidTr="009241F2">
        <w:trPr>
          <w:jc w:val="center"/>
        </w:trPr>
        <w:tc>
          <w:tcPr>
            <w:tcW w:w="2252" w:type="dxa"/>
            <w:shd w:val="clear" w:color="auto" w:fill="auto"/>
          </w:tcPr>
          <w:p w:rsidR="003E6588" w:rsidRDefault="003E6588" w:rsidP="009241F2">
            <w:pPr>
              <w:tabs>
                <w:tab w:val="left" w:pos="703"/>
                <w:tab w:val="center" w:pos="1238"/>
              </w:tabs>
              <w:jc w:val="left"/>
              <w:rPr>
                <w:smallCaps/>
                <w:sz w:val="20"/>
                <w:szCs w:val="20"/>
              </w:rPr>
            </w:pPr>
            <w:r>
              <w:rPr>
                <w:smallCaps/>
                <w:sz w:val="20"/>
                <w:szCs w:val="20"/>
              </w:rPr>
              <w:t>UHE J</w:t>
            </w:r>
            <w:r>
              <w:rPr>
                <w:sz w:val="20"/>
                <w:szCs w:val="20"/>
              </w:rPr>
              <w:t xml:space="preserve">aguari </w:t>
            </w:r>
          </w:p>
        </w:tc>
        <w:tc>
          <w:tcPr>
            <w:tcW w:w="2362" w:type="dxa"/>
            <w:shd w:val="clear" w:color="auto" w:fill="auto"/>
          </w:tcPr>
          <w:p w:rsidR="003E6588" w:rsidRDefault="003E6588">
            <w:pPr>
              <w:rPr>
                <w:smallCaps/>
                <w:sz w:val="20"/>
                <w:szCs w:val="20"/>
              </w:rPr>
            </w:pPr>
            <w:r>
              <w:rPr>
                <w:smallCaps/>
                <w:sz w:val="20"/>
                <w:szCs w:val="20"/>
              </w:rPr>
              <w:t>90,96%</w:t>
            </w:r>
          </w:p>
        </w:tc>
        <w:tc>
          <w:tcPr>
            <w:tcW w:w="2268" w:type="dxa"/>
            <w:shd w:val="clear" w:color="auto" w:fill="auto"/>
          </w:tcPr>
          <w:p w:rsidR="003E6588" w:rsidRDefault="003E6588">
            <w:pPr>
              <w:rPr>
                <w:smallCaps/>
                <w:sz w:val="20"/>
                <w:szCs w:val="20"/>
              </w:rPr>
            </w:pPr>
            <w:r>
              <w:rPr>
                <w:smallCaps/>
                <w:sz w:val="20"/>
                <w:szCs w:val="20"/>
              </w:rPr>
              <w:t>92,07%</w:t>
            </w:r>
          </w:p>
        </w:tc>
      </w:tr>
      <w:tr w:rsidR="003E6588" w:rsidTr="009241F2">
        <w:trPr>
          <w:jc w:val="center"/>
        </w:trPr>
        <w:tc>
          <w:tcPr>
            <w:tcW w:w="2252" w:type="dxa"/>
            <w:shd w:val="clear" w:color="auto" w:fill="auto"/>
          </w:tcPr>
          <w:p w:rsidR="003E6588" w:rsidRDefault="003E6588" w:rsidP="009241F2">
            <w:pPr>
              <w:jc w:val="left"/>
              <w:rPr>
                <w:smallCaps/>
                <w:sz w:val="20"/>
                <w:szCs w:val="20"/>
              </w:rPr>
            </w:pPr>
            <w:r>
              <w:rPr>
                <w:smallCaps/>
                <w:sz w:val="20"/>
                <w:szCs w:val="20"/>
              </w:rPr>
              <w:t xml:space="preserve">UHE </w:t>
            </w:r>
            <w:r>
              <w:rPr>
                <w:sz w:val="20"/>
                <w:szCs w:val="20"/>
              </w:rPr>
              <w:t xml:space="preserve">Paraibuna </w:t>
            </w:r>
          </w:p>
        </w:tc>
        <w:tc>
          <w:tcPr>
            <w:tcW w:w="2362" w:type="dxa"/>
            <w:shd w:val="clear" w:color="auto" w:fill="auto"/>
          </w:tcPr>
          <w:p w:rsidR="003E6588" w:rsidRDefault="003E6588">
            <w:pPr>
              <w:rPr>
                <w:smallCaps/>
                <w:sz w:val="20"/>
                <w:szCs w:val="20"/>
              </w:rPr>
            </w:pPr>
            <w:r>
              <w:rPr>
                <w:smallCaps/>
                <w:sz w:val="20"/>
                <w:szCs w:val="20"/>
              </w:rPr>
              <w:t>93,01%</w:t>
            </w:r>
          </w:p>
        </w:tc>
        <w:tc>
          <w:tcPr>
            <w:tcW w:w="2268" w:type="dxa"/>
            <w:shd w:val="clear" w:color="auto" w:fill="auto"/>
          </w:tcPr>
          <w:p w:rsidR="003E6588" w:rsidRDefault="003E6588">
            <w:pPr>
              <w:rPr>
                <w:smallCaps/>
                <w:sz w:val="20"/>
                <w:szCs w:val="20"/>
              </w:rPr>
            </w:pPr>
            <w:r>
              <w:rPr>
                <w:smallCaps/>
                <w:sz w:val="20"/>
                <w:szCs w:val="20"/>
              </w:rPr>
              <w:t>96,03%</w:t>
            </w:r>
          </w:p>
        </w:tc>
      </w:tr>
      <w:tr w:rsidR="003E6588" w:rsidTr="009241F2">
        <w:trPr>
          <w:jc w:val="center"/>
        </w:trPr>
        <w:tc>
          <w:tcPr>
            <w:tcW w:w="2252" w:type="dxa"/>
            <w:shd w:val="clear" w:color="auto" w:fill="auto"/>
          </w:tcPr>
          <w:p w:rsidR="003E6588" w:rsidRDefault="003E6588" w:rsidP="009241F2">
            <w:pPr>
              <w:jc w:val="left"/>
              <w:rPr>
                <w:smallCaps/>
                <w:sz w:val="20"/>
                <w:szCs w:val="20"/>
              </w:rPr>
            </w:pPr>
            <w:r>
              <w:rPr>
                <w:smallCaps/>
                <w:sz w:val="20"/>
                <w:szCs w:val="20"/>
              </w:rPr>
              <w:t>UHE J</w:t>
            </w:r>
            <w:r>
              <w:rPr>
                <w:sz w:val="20"/>
                <w:szCs w:val="20"/>
              </w:rPr>
              <w:t xml:space="preserve">upiá </w:t>
            </w:r>
          </w:p>
        </w:tc>
        <w:tc>
          <w:tcPr>
            <w:tcW w:w="2362" w:type="dxa"/>
            <w:shd w:val="clear" w:color="auto" w:fill="auto"/>
          </w:tcPr>
          <w:p w:rsidR="003E6588" w:rsidRDefault="003E6588">
            <w:pPr>
              <w:rPr>
                <w:smallCaps/>
                <w:sz w:val="20"/>
                <w:szCs w:val="20"/>
              </w:rPr>
            </w:pPr>
            <w:r>
              <w:rPr>
                <w:smallCaps/>
                <w:sz w:val="20"/>
                <w:szCs w:val="20"/>
              </w:rPr>
              <w:t>89,58%</w:t>
            </w:r>
          </w:p>
        </w:tc>
        <w:tc>
          <w:tcPr>
            <w:tcW w:w="2268" w:type="dxa"/>
            <w:shd w:val="clear" w:color="auto" w:fill="auto"/>
          </w:tcPr>
          <w:p w:rsidR="003E6588" w:rsidRDefault="003E6588">
            <w:pPr>
              <w:rPr>
                <w:smallCaps/>
                <w:sz w:val="20"/>
                <w:szCs w:val="20"/>
              </w:rPr>
            </w:pPr>
            <w:r>
              <w:rPr>
                <w:smallCaps/>
                <w:sz w:val="20"/>
                <w:szCs w:val="20"/>
              </w:rPr>
              <w:t>92,07%</w:t>
            </w:r>
          </w:p>
        </w:tc>
      </w:tr>
      <w:tr w:rsidR="003E6588" w:rsidTr="009241F2">
        <w:trPr>
          <w:trHeight w:val="107"/>
          <w:jc w:val="center"/>
        </w:trPr>
        <w:tc>
          <w:tcPr>
            <w:tcW w:w="2252" w:type="dxa"/>
            <w:shd w:val="clear" w:color="auto" w:fill="auto"/>
          </w:tcPr>
          <w:p w:rsidR="003E6588" w:rsidRDefault="003E6588" w:rsidP="009241F2">
            <w:pPr>
              <w:jc w:val="left"/>
              <w:rPr>
                <w:smallCaps/>
                <w:sz w:val="20"/>
                <w:szCs w:val="20"/>
              </w:rPr>
            </w:pPr>
            <w:r>
              <w:rPr>
                <w:smallCaps/>
                <w:sz w:val="20"/>
                <w:szCs w:val="20"/>
              </w:rPr>
              <w:t xml:space="preserve">UHE </w:t>
            </w:r>
            <w:r>
              <w:rPr>
                <w:sz w:val="20"/>
                <w:szCs w:val="20"/>
              </w:rPr>
              <w:t>Porto Primavera</w:t>
            </w:r>
          </w:p>
        </w:tc>
        <w:tc>
          <w:tcPr>
            <w:tcW w:w="2362" w:type="dxa"/>
            <w:shd w:val="clear" w:color="auto" w:fill="auto"/>
            <w:vAlign w:val="center"/>
          </w:tcPr>
          <w:p w:rsidR="003E6588" w:rsidRDefault="003E6588">
            <w:pPr>
              <w:rPr>
                <w:smallCaps/>
                <w:sz w:val="20"/>
                <w:szCs w:val="20"/>
              </w:rPr>
            </w:pPr>
            <w:r>
              <w:rPr>
                <w:smallCaps/>
                <w:sz w:val="20"/>
                <w:szCs w:val="20"/>
              </w:rPr>
              <w:t>89,58%</w:t>
            </w:r>
          </w:p>
        </w:tc>
        <w:tc>
          <w:tcPr>
            <w:tcW w:w="2268" w:type="dxa"/>
            <w:shd w:val="clear" w:color="auto" w:fill="auto"/>
            <w:vAlign w:val="center"/>
          </w:tcPr>
          <w:p w:rsidR="003E6588" w:rsidRDefault="003E6588">
            <w:pPr>
              <w:rPr>
                <w:smallCaps/>
                <w:sz w:val="20"/>
                <w:szCs w:val="20"/>
              </w:rPr>
            </w:pPr>
            <w:r>
              <w:rPr>
                <w:smallCaps/>
                <w:sz w:val="20"/>
                <w:szCs w:val="20"/>
              </w:rPr>
              <w:t>94,75%</w:t>
            </w:r>
          </w:p>
        </w:tc>
      </w:tr>
      <w:tr w:rsidR="003E6588" w:rsidTr="009241F2">
        <w:trPr>
          <w:trHeight w:val="170"/>
          <w:jc w:val="center"/>
        </w:trPr>
        <w:tc>
          <w:tcPr>
            <w:tcW w:w="2252" w:type="dxa"/>
            <w:shd w:val="clear" w:color="auto" w:fill="auto"/>
          </w:tcPr>
          <w:p w:rsidR="003E6588" w:rsidRDefault="003E6588" w:rsidP="009241F2">
            <w:pPr>
              <w:jc w:val="left"/>
              <w:rPr>
                <w:smallCaps/>
                <w:sz w:val="20"/>
                <w:szCs w:val="20"/>
              </w:rPr>
            </w:pPr>
            <w:r>
              <w:rPr>
                <w:smallCaps/>
                <w:sz w:val="20"/>
                <w:szCs w:val="20"/>
              </w:rPr>
              <w:t>UHE Ilha Solteira</w:t>
            </w:r>
          </w:p>
        </w:tc>
        <w:tc>
          <w:tcPr>
            <w:tcW w:w="2362" w:type="dxa"/>
            <w:shd w:val="clear" w:color="auto" w:fill="auto"/>
          </w:tcPr>
          <w:p w:rsidR="003E6588" w:rsidRDefault="003E6588">
            <w:pPr>
              <w:rPr>
                <w:smallCaps/>
                <w:sz w:val="20"/>
                <w:szCs w:val="20"/>
              </w:rPr>
            </w:pPr>
            <w:r>
              <w:rPr>
                <w:smallCaps/>
                <w:sz w:val="20"/>
                <w:szCs w:val="20"/>
              </w:rPr>
              <w:t>89,58%</w:t>
            </w:r>
          </w:p>
        </w:tc>
        <w:tc>
          <w:tcPr>
            <w:tcW w:w="2268" w:type="dxa"/>
            <w:shd w:val="clear" w:color="auto" w:fill="auto"/>
          </w:tcPr>
          <w:p w:rsidR="003E6588" w:rsidRDefault="003E6588">
            <w:pPr>
              <w:rPr>
                <w:smallCaps/>
                <w:sz w:val="20"/>
                <w:szCs w:val="20"/>
              </w:rPr>
            </w:pPr>
            <w:r>
              <w:rPr>
                <w:smallCaps/>
                <w:sz w:val="20"/>
                <w:szCs w:val="20"/>
              </w:rPr>
              <w:t>92,51%</w:t>
            </w:r>
          </w:p>
        </w:tc>
      </w:tr>
    </w:tbl>
    <w:p w:rsidR="003E6588" w:rsidRDefault="009241F2" w:rsidP="009241F2">
      <w:pPr>
        <w:pStyle w:val="PargrafodaLista"/>
        <w:ind w:firstLine="696"/>
        <w:rPr>
          <w:rFonts w:ascii="Times New Roman" w:hAnsi="Times New Roman"/>
          <w:sz w:val="16"/>
          <w:szCs w:val="16"/>
          <w:lang w:val="pt-PT"/>
        </w:rPr>
      </w:pPr>
      <w:r>
        <w:rPr>
          <w:rFonts w:ascii="Times New Roman" w:hAnsi="Times New Roman"/>
          <w:sz w:val="16"/>
          <w:szCs w:val="16"/>
        </w:rPr>
        <w:t xml:space="preserve">     </w:t>
      </w:r>
      <w:r w:rsidR="003E6588">
        <w:rPr>
          <w:rFonts w:ascii="Times New Roman" w:hAnsi="Times New Roman"/>
          <w:sz w:val="16"/>
          <w:szCs w:val="16"/>
        </w:rPr>
        <w:t>Dados de novembro/2014.</w:t>
      </w:r>
      <w:r w:rsidR="003E6588">
        <w:rPr>
          <w:rFonts w:ascii="Times New Roman" w:hAnsi="Times New Roman"/>
          <w:sz w:val="16"/>
          <w:szCs w:val="16"/>
          <w:lang w:val="pt-PT"/>
        </w:rPr>
        <w:t xml:space="preserve"> </w:t>
      </w:r>
    </w:p>
    <w:p w:rsidR="003E6588" w:rsidRDefault="003E6588">
      <w:pPr>
        <w:pStyle w:val="NormalWeb"/>
        <w:spacing w:before="0" w:beforeAutospacing="0" w:after="0" w:afterAutospacing="0"/>
        <w:ind w:firstLine="1134"/>
        <w:jc w:val="both"/>
        <w:rPr>
          <w:b/>
          <w:color w:val="0000FF"/>
          <w:lang w:val="pt-PT"/>
        </w:rPr>
      </w:pPr>
    </w:p>
    <w:p w:rsidR="003E6588" w:rsidRDefault="003E6588">
      <w:pPr>
        <w:pStyle w:val="NormalWeb"/>
        <w:spacing w:before="0" w:beforeAutospacing="0" w:after="0" w:afterAutospacing="0"/>
        <w:ind w:firstLine="1134"/>
        <w:jc w:val="both"/>
        <w:rPr>
          <w:bCs/>
        </w:rPr>
      </w:pPr>
      <w:r>
        <w:rPr>
          <w:b/>
          <w:bCs/>
        </w:rPr>
        <w:t xml:space="preserve">Engenharia de manutenção - </w:t>
      </w:r>
      <w:r>
        <w:rPr>
          <w:bCs/>
        </w:rPr>
        <w:t>Foram realizados programas de revitalização, modernização e automação e monitoramento de equipamentos e instalações, para garantir as condições de segurança, disponibilidade e confiabilidade da produção, atendendo aos requisitos estabelecidos pelos órgãos reguladores, conforme seguem:</w:t>
      </w:r>
    </w:p>
    <w:p w:rsidR="009241F2" w:rsidRDefault="009241F2">
      <w:pPr>
        <w:pStyle w:val="NormalWeb"/>
        <w:spacing w:before="0" w:beforeAutospacing="0" w:after="0" w:afterAutospacing="0"/>
        <w:ind w:firstLine="1134"/>
        <w:jc w:val="both"/>
        <w:rPr>
          <w:bCs/>
        </w:rPr>
      </w:pPr>
    </w:p>
    <w:p w:rsidR="00723018" w:rsidRDefault="00723018">
      <w:pPr>
        <w:pStyle w:val="NormalWeb"/>
        <w:spacing w:before="0" w:beforeAutospacing="0" w:after="0" w:afterAutospacing="0"/>
        <w:ind w:firstLine="1134"/>
        <w:jc w:val="both"/>
        <w:rPr>
          <w:bCs/>
        </w:rPr>
      </w:pPr>
    </w:p>
    <w:tbl>
      <w:tblPr>
        <w:tblW w:w="9516" w:type="dxa"/>
        <w:jc w:val="center"/>
        <w:tblInd w:w="-2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A0"/>
      </w:tblPr>
      <w:tblGrid>
        <w:gridCol w:w="1873"/>
        <w:gridCol w:w="7643"/>
      </w:tblGrid>
      <w:tr w:rsidR="003E6588" w:rsidTr="009241F2">
        <w:trPr>
          <w:trHeight w:val="301"/>
          <w:jc w:val="center"/>
        </w:trPr>
        <w:tc>
          <w:tcPr>
            <w:tcW w:w="1873" w:type="dxa"/>
            <w:shd w:val="clear" w:color="auto" w:fill="auto"/>
            <w:vAlign w:val="center"/>
          </w:tcPr>
          <w:p w:rsidR="003E6588" w:rsidRDefault="003E6588">
            <w:pPr>
              <w:spacing w:before="40"/>
              <w:rPr>
                <w:b/>
                <w:sz w:val="20"/>
                <w:szCs w:val="20"/>
              </w:rPr>
            </w:pPr>
            <w:r>
              <w:rPr>
                <w:b/>
                <w:sz w:val="20"/>
                <w:szCs w:val="20"/>
              </w:rPr>
              <w:lastRenderedPageBreak/>
              <w:t>Indicador</w:t>
            </w:r>
          </w:p>
        </w:tc>
        <w:tc>
          <w:tcPr>
            <w:tcW w:w="7643" w:type="dxa"/>
            <w:shd w:val="clear" w:color="auto" w:fill="auto"/>
            <w:vAlign w:val="center"/>
          </w:tcPr>
          <w:p w:rsidR="003E6588" w:rsidRDefault="003E6588">
            <w:pPr>
              <w:spacing w:before="40"/>
              <w:rPr>
                <w:b/>
                <w:sz w:val="20"/>
                <w:szCs w:val="20"/>
                <w:lang w:val="pt-PT"/>
              </w:rPr>
            </w:pPr>
            <w:r>
              <w:rPr>
                <w:b/>
                <w:sz w:val="20"/>
                <w:szCs w:val="20"/>
                <w:lang w:val="pt-PT"/>
              </w:rPr>
              <w:t>Descrição</w:t>
            </w:r>
          </w:p>
        </w:tc>
      </w:tr>
      <w:tr w:rsidR="003E6588" w:rsidTr="009241F2">
        <w:trPr>
          <w:trHeight w:val="301"/>
          <w:jc w:val="center"/>
        </w:trPr>
        <w:tc>
          <w:tcPr>
            <w:tcW w:w="1873" w:type="dxa"/>
            <w:shd w:val="clear" w:color="auto" w:fill="auto"/>
            <w:vAlign w:val="center"/>
          </w:tcPr>
          <w:p w:rsidR="003E6588" w:rsidRDefault="003E6588" w:rsidP="009241F2">
            <w:pPr>
              <w:spacing w:before="40"/>
              <w:jc w:val="left"/>
              <w:rPr>
                <w:sz w:val="20"/>
                <w:szCs w:val="20"/>
              </w:rPr>
            </w:pPr>
            <w:r>
              <w:rPr>
                <w:sz w:val="20"/>
                <w:szCs w:val="20"/>
              </w:rPr>
              <w:t>Reformas iniciadas</w:t>
            </w:r>
          </w:p>
        </w:tc>
        <w:tc>
          <w:tcPr>
            <w:tcW w:w="7643" w:type="dxa"/>
            <w:shd w:val="clear" w:color="auto" w:fill="auto"/>
            <w:vAlign w:val="center"/>
          </w:tcPr>
          <w:p w:rsidR="003E6588" w:rsidRDefault="003E6588" w:rsidP="009241F2">
            <w:pPr>
              <w:spacing w:before="40"/>
              <w:jc w:val="both"/>
              <w:rPr>
                <w:sz w:val="20"/>
                <w:szCs w:val="20"/>
                <w:lang w:val="pt-PT"/>
              </w:rPr>
            </w:pPr>
            <w:r>
              <w:rPr>
                <w:sz w:val="20"/>
                <w:szCs w:val="20"/>
                <w:lang w:val="pt-PT"/>
              </w:rPr>
              <w:t>- UHE Paraibuna - Recepção dos painéis de comando para modernização e Automação dos sistemas de supervisão e controle das 2 unidades geradoras.</w:t>
            </w:r>
          </w:p>
        </w:tc>
      </w:tr>
      <w:tr w:rsidR="003E6588" w:rsidTr="009241F2">
        <w:trPr>
          <w:trHeight w:val="301"/>
          <w:jc w:val="center"/>
        </w:trPr>
        <w:tc>
          <w:tcPr>
            <w:tcW w:w="1873" w:type="dxa"/>
            <w:shd w:val="clear" w:color="auto" w:fill="auto"/>
            <w:vAlign w:val="center"/>
          </w:tcPr>
          <w:p w:rsidR="003E6588" w:rsidRDefault="003E6588" w:rsidP="009241F2">
            <w:pPr>
              <w:spacing w:before="40"/>
              <w:jc w:val="left"/>
              <w:rPr>
                <w:sz w:val="20"/>
                <w:szCs w:val="20"/>
              </w:rPr>
            </w:pPr>
            <w:r>
              <w:rPr>
                <w:sz w:val="20"/>
                <w:szCs w:val="20"/>
              </w:rPr>
              <w:t>Reformas concluídas</w:t>
            </w:r>
          </w:p>
        </w:tc>
        <w:tc>
          <w:tcPr>
            <w:tcW w:w="7643" w:type="dxa"/>
            <w:shd w:val="clear" w:color="auto" w:fill="auto"/>
            <w:vAlign w:val="center"/>
          </w:tcPr>
          <w:p w:rsidR="003E6588" w:rsidRDefault="003E6588" w:rsidP="009241F2">
            <w:pPr>
              <w:spacing w:before="40"/>
              <w:jc w:val="both"/>
              <w:rPr>
                <w:sz w:val="20"/>
                <w:szCs w:val="20"/>
                <w:lang w:val="pt-PT"/>
              </w:rPr>
            </w:pPr>
            <w:r>
              <w:rPr>
                <w:sz w:val="20"/>
                <w:szCs w:val="20"/>
                <w:lang w:val="pt-PT"/>
              </w:rPr>
              <w:t>- UHE Jupiá - Implantação do sistema de sangria em 2 unidades geradoras e instalação de dois grupos geradores diesel para alimentação dos equipamentos do sistema de serviço auxiliar da usina, contratação de reforma e modernização de um transformador elevador de 138KV.</w:t>
            </w:r>
          </w:p>
          <w:p w:rsidR="003E6588" w:rsidRDefault="003E6588" w:rsidP="009241F2">
            <w:pPr>
              <w:spacing w:before="40"/>
              <w:jc w:val="both"/>
              <w:rPr>
                <w:sz w:val="20"/>
                <w:szCs w:val="20"/>
                <w:lang w:val="pt-PT"/>
              </w:rPr>
            </w:pPr>
            <w:r>
              <w:rPr>
                <w:sz w:val="20"/>
                <w:szCs w:val="20"/>
                <w:lang w:val="pt-PT"/>
              </w:rPr>
              <w:t>- UHE Porto Primavera – Manutenção preventiva com substituição de reguladores de tensão e velocidade das Unidades Geradoras 02 e 12.</w:t>
            </w:r>
          </w:p>
        </w:tc>
      </w:tr>
      <w:tr w:rsidR="003E6588" w:rsidTr="009241F2">
        <w:trPr>
          <w:trHeight w:val="301"/>
          <w:jc w:val="center"/>
        </w:trPr>
        <w:tc>
          <w:tcPr>
            <w:tcW w:w="1873" w:type="dxa"/>
            <w:shd w:val="clear" w:color="auto" w:fill="auto"/>
            <w:vAlign w:val="center"/>
          </w:tcPr>
          <w:p w:rsidR="003E6588" w:rsidRDefault="003E6588" w:rsidP="009241F2">
            <w:pPr>
              <w:spacing w:before="40"/>
              <w:jc w:val="left"/>
              <w:rPr>
                <w:sz w:val="20"/>
                <w:szCs w:val="20"/>
              </w:rPr>
            </w:pPr>
            <w:r>
              <w:rPr>
                <w:sz w:val="20"/>
                <w:szCs w:val="20"/>
              </w:rPr>
              <w:t>Desenvolvimento de programas</w:t>
            </w:r>
          </w:p>
        </w:tc>
        <w:tc>
          <w:tcPr>
            <w:tcW w:w="7643" w:type="dxa"/>
            <w:shd w:val="clear" w:color="auto" w:fill="auto"/>
            <w:vAlign w:val="center"/>
          </w:tcPr>
          <w:p w:rsidR="003E6588" w:rsidRDefault="003E6588" w:rsidP="009241F2">
            <w:pPr>
              <w:spacing w:before="40"/>
              <w:jc w:val="both"/>
              <w:rPr>
                <w:sz w:val="20"/>
                <w:szCs w:val="20"/>
                <w:lang w:val="pt-PT"/>
              </w:rPr>
            </w:pPr>
            <w:r>
              <w:rPr>
                <w:sz w:val="20"/>
                <w:szCs w:val="20"/>
                <w:lang w:val="pt-PT"/>
              </w:rPr>
              <w:t>- Implantação do sistema de monitoramento de perdas de cargas nas grades da UHE Jupiá, visando minimizar os impactos das limpezas de plantas aquáticas.</w:t>
            </w:r>
          </w:p>
        </w:tc>
      </w:tr>
    </w:tbl>
    <w:p w:rsidR="003E6588" w:rsidRDefault="003E6588">
      <w:pPr>
        <w:ind w:left="1418"/>
        <w:jc w:val="both"/>
        <w:rPr>
          <w:lang w:val="pt-PT"/>
        </w:rPr>
      </w:pPr>
    </w:p>
    <w:p w:rsidR="003E6588" w:rsidRDefault="003E6588">
      <w:pPr>
        <w:ind w:firstLine="1134"/>
        <w:jc w:val="both"/>
        <w:rPr>
          <w:lang w:val="pt-PT"/>
        </w:rPr>
      </w:pPr>
      <w:r>
        <w:rPr>
          <w:b/>
          <w:lang w:val="pt-PT"/>
        </w:rPr>
        <w:t xml:space="preserve">Meio Ambiente - </w:t>
      </w:r>
      <w:r>
        <w:rPr>
          <w:lang w:val="pt-PT"/>
        </w:rPr>
        <w:t>A CESP investiu R$ 17,9 milhões na implantação de diversos programas de meio ambiente, com destaque para:</w:t>
      </w:r>
    </w:p>
    <w:p w:rsidR="003E6588" w:rsidRDefault="003E6588">
      <w:pPr>
        <w:ind w:firstLine="1134"/>
        <w:jc w:val="both"/>
        <w:rPr>
          <w:lang w:val="pt-PT"/>
        </w:rPr>
      </w:pPr>
    </w:p>
    <w:p w:rsidR="003E6588" w:rsidRDefault="003E6588">
      <w:pPr>
        <w:ind w:firstLine="1134"/>
        <w:jc w:val="both"/>
        <w:rPr>
          <w:lang w:val="pt-PT"/>
        </w:rPr>
      </w:pPr>
      <w:r>
        <w:rPr>
          <w:b/>
          <w:lang w:val="pt-PT"/>
        </w:rPr>
        <w:t>Manutenção de parques estaduais -</w:t>
      </w:r>
      <w:r>
        <w:rPr>
          <w:lang w:val="pt-PT"/>
        </w:rPr>
        <w:t xml:space="preserve"> Produção de 1,5 milhões de mudas de espécies nativas nos viveiros de Primavera, Jupiá e Paraibun</w:t>
      </w:r>
      <w:r w:rsidR="009241F2">
        <w:rPr>
          <w:lang w:val="pt-PT"/>
        </w:rPr>
        <w:t>a.</w:t>
      </w:r>
    </w:p>
    <w:p w:rsidR="003E6588" w:rsidRDefault="003E6588">
      <w:pPr>
        <w:ind w:firstLine="1134"/>
        <w:jc w:val="both"/>
        <w:rPr>
          <w:lang w:val="pt-PT"/>
        </w:rPr>
      </w:pPr>
    </w:p>
    <w:p w:rsidR="003E6588" w:rsidRDefault="003E6588">
      <w:pPr>
        <w:ind w:firstLine="1134"/>
        <w:jc w:val="both"/>
        <w:rPr>
          <w:lang w:val="pt-PT"/>
        </w:rPr>
      </w:pPr>
      <w:r>
        <w:rPr>
          <w:b/>
          <w:lang w:val="pt-PT"/>
        </w:rPr>
        <w:t>Reflorestamento -</w:t>
      </w:r>
      <w:r>
        <w:rPr>
          <w:color w:val="0000FF"/>
          <w:lang w:val="pt-PT"/>
        </w:rPr>
        <w:t xml:space="preserve"> </w:t>
      </w:r>
      <w:r>
        <w:rPr>
          <w:lang w:val="pt-PT"/>
        </w:rPr>
        <w:t>400 ha, referente aos compromissos de licenciamento da UHE Eng. Sérgio Motta.</w:t>
      </w:r>
    </w:p>
    <w:p w:rsidR="003E6588" w:rsidRDefault="003E6588">
      <w:pPr>
        <w:ind w:firstLine="1134"/>
        <w:jc w:val="both"/>
      </w:pPr>
    </w:p>
    <w:p w:rsidR="003E6588" w:rsidRDefault="003E6588">
      <w:pPr>
        <w:ind w:firstLine="1134"/>
        <w:jc w:val="both"/>
        <w:rPr>
          <w:lang w:val="pt-PT"/>
        </w:rPr>
      </w:pPr>
      <w:r>
        <w:rPr>
          <w:b/>
          <w:lang w:val="pt-PT"/>
        </w:rPr>
        <w:t>Programa de Manejo Pesqueiro -</w:t>
      </w:r>
      <w:r>
        <w:rPr>
          <w:lang w:val="pt-PT"/>
        </w:rPr>
        <w:t xml:space="preserve"> Monitora a qualidade de água e produtividade do ambiente aquático, que orienta a produção de alevinos para repovoamento dos reservatórios com espécies nativas.</w:t>
      </w:r>
    </w:p>
    <w:p w:rsidR="003E6588" w:rsidRDefault="003E6588">
      <w:pPr>
        <w:ind w:firstLine="1134"/>
        <w:jc w:val="both"/>
        <w:rPr>
          <w:lang w:val="pt-PT"/>
        </w:rPr>
      </w:pPr>
    </w:p>
    <w:p w:rsidR="003E6588" w:rsidRDefault="003E6588">
      <w:pPr>
        <w:ind w:firstLine="1134"/>
        <w:jc w:val="both"/>
        <w:rPr>
          <w:lang w:val="pt-PT"/>
        </w:rPr>
      </w:pPr>
      <w:r>
        <w:rPr>
          <w:b/>
          <w:lang w:val="pt-PT"/>
        </w:rPr>
        <w:t>Produção de alevinos</w:t>
      </w:r>
      <w:r>
        <w:rPr>
          <w:lang w:val="pt-PT"/>
        </w:rPr>
        <w:t xml:space="preserve"> - Estação de Jupiá: 2.605.000 - Estação </w:t>
      </w:r>
      <w:r w:rsidR="009241F2">
        <w:rPr>
          <w:lang w:val="pt-PT"/>
        </w:rPr>
        <w:t>de Paraibuna: 441.250 alevinos.</w:t>
      </w:r>
    </w:p>
    <w:p w:rsidR="003E6588" w:rsidRDefault="003E6588">
      <w:pPr>
        <w:ind w:firstLine="1134"/>
        <w:jc w:val="both"/>
        <w:rPr>
          <w:b/>
          <w:lang w:val="pt-PT"/>
        </w:rPr>
      </w:pPr>
    </w:p>
    <w:p w:rsidR="003E6588" w:rsidRDefault="003E6588">
      <w:pPr>
        <w:ind w:firstLine="1134"/>
        <w:jc w:val="both"/>
        <w:rPr>
          <w:lang w:val="pt-PT"/>
        </w:rPr>
      </w:pPr>
      <w:r>
        <w:rPr>
          <w:b/>
          <w:lang w:val="pt-PT"/>
        </w:rPr>
        <w:t xml:space="preserve">Programa de Pesquisa e Desenvolvimento </w:t>
      </w:r>
      <w:r w:rsidR="009241F2">
        <w:rPr>
          <w:b/>
          <w:lang w:val="pt-PT"/>
        </w:rPr>
        <w:t xml:space="preserve">- </w:t>
      </w:r>
      <w:r>
        <w:rPr>
          <w:b/>
          <w:lang w:val="pt-PT"/>
        </w:rPr>
        <w:t>P&amp;D -</w:t>
      </w:r>
      <w:r>
        <w:rPr>
          <w:lang w:val="pt-PT"/>
        </w:rPr>
        <w:t xml:space="preserve"> Em cumprimento à Lei nº 9.991/2000, a CESP investiu R$ 17,3 milhões no Fundo Nacional de Desenvolvimento Científico e Tecnológico e R$ 38,3 milhões em projetos regulados e fiscalizados pela Aneel. Foram concluídos 9 projetos que estavam em andamento e iniciados 5 novos projetos.</w:t>
      </w:r>
    </w:p>
    <w:p w:rsidR="003E6588" w:rsidRDefault="003E6588">
      <w:pPr>
        <w:ind w:firstLine="1134"/>
        <w:jc w:val="both"/>
        <w:rPr>
          <w:lang w:val="pt-PT"/>
        </w:rPr>
      </w:pPr>
    </w:p>
    <w:p w:rsidR="003E6588" w:rsidRDefault="003E6588">
      <w:pPr>
        <w:ind w:firstLine="1134"/>
        <w:jc w:val="both"/>
        <w:rPr>
          <w:lang w:val="pt-PT"/>
        </w:rPr>
      </w:pPr>
      <w:r>
        <w:rPr>
          <w:b/>
          <w:lang w:val="pt-PT"/>
        </w:rPr>
        <w:t>Programa de Monitoramento Hidrométrico</w:t>
      </w:r>
      <w:r>
        <w:rPr>
          <w:lang w:val="pt-PT"/>
        </w:rPr>
        <w:t xml:space="preserve"> - Em atendimento a Resolução Conjunta ANA/ANEEL nº 03/2010, a CESP realizou a adequação da rede hidrométrica de suas usinas, com estações de monitoramento fluviométrico, pluviométrico, limnimétrico, sedimentométrico e de qualidade da água e encaminhou Plano de Trabalho para execução do levantamento das Curvas Cota-Área-Volume dos reservatórios.</w:t>
      </w:r>
    </w:p>
    <w:p w:rsidR="003E6588" w:rsidRDefault="003E6588">
      <w:pPr>
        <w:ind w:firstLine="1134"/>
        <w:jc w:val="both"/>
        <w:rPr>
          <w:lang w:val="pt-PT"/>
        </w:rPr>
      </w:pPr>
    </w:p>
    <w:p w:rsidR="003E6588" w:rsidRDefault="003E6588">
      <w:pPr>
        <w:ind w:firstLine="1134"/>
        <w:jc w:val="both"/>
        <w:rPr>
          <w:lang w:val="pt-PT"/>
        </w:rPr>
      </w:pPr>
      <w:r>
        <w:rPr>
          <w:b/>
          <w:lang w:val="pt-PT"/>
        </w:rPr>
        <w:t>Estudos de oferta de energia</w:t>
      </w:r>
      <w:r>
        <w:rPr>
          <w:lang w:val="pt-PT"/>
        </w:rPr>
        <w:t xml:space="preserve"> - Visando manter a participação da Companhia no acompanhamento do aumento da oferta de energia ao SIN, foram desenvolvidos estudos principais, na área de hidroeletricidade e de fontes alternativas de energia:</w:t>
      </w:r>
    </w:p>
    <w:p w:rsidR="003E6588" w:rsidRDefault="003E6588">
      <w:pPr>
        <w:ind w:firstLine="1134"/>
        <w:jc w:val="both"/>
        <w:rPr>
          <w:lang w:val="pt-PT"/>
        </w:rPr>
      </w:pPr>
    </w:p>
    <w:p w:rsidR="003E6588" w:rsidRDefault="003E6588">
      <w:pPr>
        <w:ind w:firstLine="1134"/>
        <w:jc w:val="both"/>
        <w:rPr>
          <w:rFonts w:eastAsia="Calibri"/>
          <w:lang w:eastAsia="en-US"/>
        </w:rPr>
      </w:pPr>
      <w:r>
        <w:rPr>
          <w:rFonts w:eastAsia="Calibri"/>
          <w:lang w:eastAsia="en-US"/>
        </w:rPr>
        <w:lastRenderedPageBreak/>
        <w:t>Plano Decenal da Expansão de Energia PDE/2023 da Empresa de Pesquisa Energética - EPE - Contribuições com a avaliação crítica do documento em relação à projeção do consumo, expansão da geração, transmissão de energia e previsões de oferta de gás natural.</w:t>
      </w:r>
    </w:p>
    <w:p w:rsidR="003E6588" w:rsidRDefault="003E6588">
      <w:pPr>
        <w:ind w:firstLine="1134"/>
        <w:jc w:val="both"/>
        <w:rPr>
          <w:rFonts w:eastAsia="Calibri"/>
          <w:lang w:eastAsia="en-US"/>
        </w:rPr>
      </w:pPr>
    </w:p>
    <w:p w:rsidR="003E6588" w:rsidRDefault="003E6588">
      <w:pPr>
        <w:ind w:firstLine="1134"/>
        <w:jc w:val="both"/>
        <w:rPr>
          <w:rFonts w:eastAsia="Calibri"/>
          <w:lang w:eastAsia="en-US"/>
        </w:rPr>
      </w:pPr>
      <w:r>
        <w:rPr>
          <w:rFonts w:eastAsia="Calibri"/>
          <w:lang w:eastAsia="en-US"/>
        </w:rPr>
        <w:t>Reavaliação dos impactos sobre a energia assegurada decorrentes da proposta de alteração dos índices de indisponibilidade forçada e programada conforme NT-068/2012-SRG/ANEEL.</w:t>
      </w:r>
    </w:p>
    <w:p w:rsidR="003E6588" w:rsidRDefault="003E6588">
      <w:pPr>
        <w:ind w:firstLine="1134"/>
        <w:jc w:val="both"/>
        <w:rPr>
          <w:lang w:val="pt-PT"/>
        </w:rPr>
      </w:pPr>
    </w:p>
    <w:p w:rsidR="003E6588" w:rsidRDefault="003E6588">
      <w:pPr>
        <w:ind w:firstLine="1134"/>
        <w:jc w:val="both"/>
        <w:rPr>
          <w:lang w:val="pt-PT"/>
        </w:rPr>
      </w:pPr>
      <w:r>
        <w:rPr>
          <w:b/>
          <w:lang w:val="pt-PT"/>
        </w:rPr>
        <w:t>Estudos de planejamento elétrico e energético</w:t>
      </w:r>
      <w:r>
        <w:rPr>
          <w:lang w:val="pt-PT"/>
        </w:rPr>
        <w:t xml:space="preserve"> - O sistema interligado está em constante evolução e transformação, tanto no aspecto físico e topológico como regulatório e metodológico. Com objetivo de acompanhar a dinâmica do sistema, oferecer visibilidade de possíveis cenários futuros e subsidiar decisões, bem como o posicionamento da empresa, são realizados premanentemente estudos e análises conjunturais, destacando-se:</w:t>
      </w:r>
    </w:p>
    <w:p w:rsidR="003E6588" w:rsidRDefault="003E6588">
      <w:pPr>
        <w:ind w:firstLine="1134"/>
        <w:jc w:val="both"/>
        <w:rPr>
          <w:lang w:val="pt-PT"/>
        </w:rPr>
      </w:pPr>
    </w:p>
    <w:p w:rsidR="003E6588" w:rsidRDefault="003E6588" w:rsidP="00723018">
      <w:pPr>
        <w:ind w:firstLine="1134"/>
        <w:jc w:val="both"/>
        <w:rPr>
          <w:rFonts w:eastAsia="Calibri"/>
          <w:lang w:eastAsia="en-US"/>
        </w:rPr>
      </w:pPr>
      <w:r>
        <w:rPr>
          <w:rFonts w:eastAsia="Calibri"/>
          <w:lang w:eastAsia="en-US"/>
        </w:rPr>
        <w:t>Boletins semanais de acompanhamento energético e avaliação das condições de atendimento ao sistema e prospecção de PLDs.</w:t>
      </w:r>
    </w:p>
    <w:p w:rsidR="003E6588" w:rsidRDefault="003E6588">
      <w:pPr>
        <w:ind w:firstLine="1276"/>
        <w:jc w:val="both"/>
        <w:rPr>
          <w:rFonts w:eastAsia="Calibri"/>
          <w:lang w:eastAsia="en-US"/>
        </w:rPr>
      </w:pPr>
    </w:p>
    <w:p w:rsidR="003E6588" w:rsidRDefault="003E6588" w:rsidP="00723018">
      <w:pPr>
        <w:ind w:firstLine="1134"/>
        <w:jc w:val="both"/>
        <w:rPr>
          <w:rFonts w:eastAsia="Calibri"/>
          <w:lang w:eastAsia="en-US"/>
        </w:rPr>
      </w:pPr>
      <w:r>
        <w:rPr>
          <w:rFonts w:eastAsia="Calibri"/>
          <w:lang w:eastAsia="en-US"/>
        </w:rPr>
        <w:t>Proposta metodológica para o cálculo do PLD máximo como contribuição para a audiência pública ANEEL nº 54/2014.</w:t>
      </w:r>
    </w:p>
    <w:p w:rsidR="003E6588" w:rsidRDefault="003E6588">
      <w:pPr>
        <w:ind w:firstLine="1276"/>
        <w:jc w:val="both"/>
        <w:rPr>
          <w:rFonts w:eastAsia="Calibri"/>
          <w:lang w:eastAsia="en-US"/>
        </w:rPr>
      </w:pPr>
    </w:p>
    <w:p w:rsidR="003E6588" w:rsidRDefault="003E6588" w:rsidP="00723018">
      <w:pPr>
        <w:ind w:firstLine="1134"/>
        <w:jc w:val="both"/>
        <w:rPr>
          <w:rFonts w:eastAsia="Calibri"/>
          <w:lang w:eastAsia="en-US"/>
        </w:rPr>
      </w:pPr>
      <w:r>
        <w:rPr>
          <w:rFonts w:eastAsia="Calibri"/>
          <w:lang w:eastAsia="en-US"/>
        </w:rPr>
        <w:t>Atualização dos níveis de potência de curto circuito para verificação de adequação dos disjuntores das usinas da empresa.</w:t>
      </w:r>
    </w:p>
    <w:p w:rsidR="003E6588" w:rsidRDefault="003E6588">
      <w:pPr>
        <w:ind w:firstLine="1276"/>
        <w:jc w:val="both"/>
        <w:rPr>
          <w:rFonts w:eastAsia="Calibri"/>
          <w:lang w:eastAsia="en-US"/>
        </w:rPr>
      </w:pPr>
    </w:p>
    <w:p w:rsidR="003E6588" w:rsidRDefault="003E6588" w:rsidP="00723018">
      <w:pPr>
        <w:ind w:firstLine="1134"/>
        <w:jc w:val="both"/>
        <w:rPr>
          <w:rFonts w:eastAsia="Calibri"/>
          <w:lang w:eastAsia="en-US"/>
        </w:rPr>
      </w:pPr>
      <w:r>
        <w:rPr>
          <w:rFonts w:eastAsia="Calibri"/>
          <w:lang w:eastAsia="en-US"/>
        </w:rPr>
        <w:t>Avaliação energética da transposição de água do reservatório da UHE Jaguari para o Sistema Cantareira.</w:t>
      </w:r>
    </w:p>
    <w:p w:rsidR="003E6588" w:rsidRDefault="003E6588">
      <w:pPr>
        <w:ind w:firstLine="1276"/>
        <w:jc w:val="both"/>
        <w:rPr>
          <w:rFonts w:eastAsia="Calibri"/>
          <w:lang w:eastAsia="en-US"/>
        </w:rPr>
      </w:pPr>
    </w:p>
    <w:p w:rsidR="003E6588" w:rsidRDefault="003E6588" w:rsidP="00723018">
      <w:pPr>
        <w:ind w:firstLine="1134"/>
        <w:jc w:val="both"/>
        <w:rPr>
          <w:rFonts w:eastAsia="Calibri"/>
          <w:lang w:eastAsia="en-US"/>
        </w:rPr>
      </w:pPr>
      <w:r>
        <w:rPr>
          <w:lang w:val="pt-PT"/>
        </w:rPr>
        <w:t>Outros estudos associados à operação do complexo Ilha Solteira - Três Irmãos, Jaguari e Paraibuna, relacionados às condições atípicas de hidrologia e a gestão de recursos hídricos para atendimento aos usos múltiplos da água.</w:t>
      </w:r>
    </w:p>
    <w:p w:rsidR="003E6588" w:rsidRDefault="003E6588">
      <w:pPr>
        <w:ind w:left="1134"/>
        <w:jc w:val="both"/>
        <w:rPr>
          <w:rFonts w:eastAsia="Calibri"/>
          <w:lang w:eastAsia="en-US"/>
        </w:rPr>
      </w:pPr>
    </w:p>
    <w:p w:rsidR="003E6588" w:rsidRDefault="003E6588">
      <w:pPr>
        <w:ind w:firstLine="1134"/>
        <w:jc w:val="both"/>
        <w:rPr>
          <w:lang w:val="pt-PT"/>
        </w:rPr>
      </w:pPr>
      <w:r>
        <w:rPr>
          <w:b/>
          <w:lang w:val="pt-PT"/>
        </w:rPr>
        <w:t xml:space="preserve">Georreferenciamento - </w:t>
      </w:r>
      <w:r>
        <w:rPr>
          <w:lang w:val="pt-PT"/>
        </w:rPr>
        <w:t>Concluída a reimplantação e sinalização da curva limite de aquisição dos reservatórios da UHE Eng. Sergio Motta (Porto Primavera) - 1.253 km, UHE Eng. Souza Dias (Jupiá) - 503 km e UHE Ilha Solteira - 2.480 km, total de 4.236 km.</w:t>
      </w:r>
    </w:p>
    <w:p w:rsidR="003E6588" w:rsidRDefault="003E6588">
      <w:pPr>
        <w:ind w:left="1854"/>
        <w:jc w:val="both"/>
        <w:rPr>
          <w:strike/>
          <w:lang w:val="pt-PT"/>
        </w:rPr>
      </w:pPr>
    </w:p>
    <w:p w:rsidR="003E6588" w:rsidRDefault="003E6588">
      <w:pPr>
        <w:ind w:firstLine="1134"/>
        <w:jc w:val="both"/>
        <w:rPr>
          <w:lang w:val="pt-PT"/>
        </w:rPr>
      </w:pPr>
      <w:r>
        <w:rPr>
          <w:b/>
          <w:lang w:val="pt-PT"/>
        </w:rPr>
        <w:t xml:space="preserve">Tecnologia da Informação – </w:t>
      </w:r>
      <w:r>
        <w:rPr>
          <w:lang w:val="pt-PT"/>
        </w:rPr>
        <w:t>Processos concluídos:</w:t>
      </w:r>
    </w:p>
    <w:p w:rsidR="003E6588" w:rsidRDefault="003E6588">
      <w:pPr>
        <w:ind w:firstLine="1134"/>
        <w:jc w:val="both"/>
        <w:rPr>
          <w:strike/>
          <w:lang w:val="pt-PT"/>
        </w:rPr>
      </w:pPr>
    </w:p>
    <w:p w:rsidR="003E6588" w:rsidRDefault="003E6588">
      <w:pPr>
        <w:pStyle w:val="NormalWeb"/>
        <w:spacing w:before="0" w:beforeAutospacing="0" w:after="0" w:afterAutospacing="0"/>
        <w:ind w:firstLine="1134"/>
        <w:jc w:val="both"/>
        <w:rPr>
          <w:lang w:val="pt-PT" w:eastAsia="en-US"/>
        </w:rPr>
      </w:pPr>
      <w:r>
        <w:rPr>
          <w:lang w:val="pt-PT" w:eastAsia="en-US"/>
        </w:rPr>
        <w:t>- Digitalização e Indexação, armazenamento e recuperação digital de documentos dos arquivos administrativos das unidades descentralizadas.no Sistema ECM;</w:t>
      </w:r>
    </w:p>
    <w:p w:rsidR="003E6588" w:rsidRDefault="003E6588">
      <w:pPr>
        <w:pStyle w:val="NormalWeb"/>
        <w:spacing w:before="0" w:beforeAutospacing="0" w:after="0" w:afterAutospacing="0"/>
        <w:ind w:firstLine="1134"/>
        <w:jc w:val="both"/>
        <w:rPr>
          <w:lang w:val="pt-PT" w:eastAsia="en-US"/>
        </w:rPr>
      </w:pPr>
    </w:p>
    <w:p w:rsidR="003E6588" w:rsidRDefault="003E6588">
      <w:pPr>
        <w:pStyle w:val="NormalWeb"/>
        <w:spacing w:before="0" w:beforeAutospacing="0" w:after="0" w:afterAutospacing="0"/>
        <w:ind w:firstLine="1134"/>
        <w:jc w:val="both"/>
        <w:rPr>
          <w:lang w:val="pt-PT" w:eastAsia="en-US"/>
        </w:rPr>
      </w:pPr>
      <w:r>
        <w:rPr>
          <w:lang w:val="pt-PT" w:eastAsia="en-US"/>
        </w:rPr>
        <w:t>- Implantação da emissão da Nota Fiscal eletrônica para venda, transferência e devolução de materiais e produtos;</w:t>
      </w:r>
    </w:p>
    <w:p w:rsidR="003E6588" w:rsidRDefault="003E6588">
      <w:pPr>
        <w:pStyle w:val="NormalWeb"/>
        <w:spacing w:before="0" w:beforeAutospacing="0" w:after="0" w:afterAutospacing="0"/>
        <w:ind w:firstLine="1134"/>
        <w:jc w:val="both"/>
        <w:rPr>
          <w:lang w:val="pt-PT" w:eastAsia="en-US"/>
        </w:rPr>
      </w:pPr>
    </w:p>
    <w:p w:rsidR="003E6588" w:rsidRDefault="003E6588">
      <w:pPr>
        <w:pStyle w:val="NormalWeb"/>
        <w:spacing w:before="0" w:beforeAutospacing="0" w:after="0" w:afterAutospacing="0"/>
        <w:ind w:firstLine="1134"/>
        <w:jc w:val="both"/>
        <w:rPr>
          <w:lang w:val="pt-PT" w:eastAsia="en-US"/>
        </w:rPr>
      </w:pPr>
      <w:r>
        <w:rPr>
          <w:lang w:val="pt-PT" w:eastAsia="en-US"/>
        </w:rPr>
        <w:t xml:space="preserve">- Implantação da Tecnologia </w:t>
      </w:r>
      <w:r>
        <w:rPr>
          <w:i/>
          <w:lang w:val="pt-PT" w:eastAsia="en-US"/>
        </w:rPr>
        <w:t>RFID - Radio Frequency Identification</w:t>
      </w:r>
      <w:r>
        <w:rPr>
          <w:lang w:val="pt-PT" w:eastAsia="en-US"/>
        </w:rPr>
        <w:t xml:space="preserve"> para identificação, rastreamento e gerenciamento de bens materiais;</w:t>
      </w:r>
    </w:p>
    <w:p w:rsidR="003E6588" w:rsidRDefault="003E6588">
      <w:pPr>
        <w:pStyle w:val="NormalWeb"/>
        <w:spacing w:before="0" w:beforeAutospacing="0" w:after="0" w:afterAutospacing="0"/>
        <w:ind w:firstLine="1134"/>
        <w:jc w:val="both"/>
        <w:rPr>
          <w:lang w:val="pt-PT" w:eastAsia="en-US"/>
        </w:rPr>
      </w:pPr>
      <w:r>
        <w:rPr>
          <w:lang w:val="pt-PT" w:eastAsia="en-US"/>
        </w:rPr>
        <w:lastRenderedPageBreak/>
        <w:t>- Implantação de sistemas para Gerenciamento de Mudanças e Controle de Acesso aos sistemas corporativos;</w:t>
      </w:r>
    </w:p>
    <w:p w:rsidR="003E6588" w:rsidRDefault="003E6588">
      <w:pPr>
        <w:pStyle w:val="NormalWeb"/>
        <w:spacing w:before="0" w:beforeAutospacing="0" w:after="0" w:afterAutospacing="0"/>
        <w:ind w:firstLine="1134"/>
        <w:jc w:val="both"/>
        <w:rPr>
          <w:lang w:val="pt-PT" w:eastAsia="en-US"/>
        </w:rPr>
      </w:pPr>
    </w:p>
    <w:p w:rsidR="003E6588" w:rsidRDefault="003E6588">
      <w:pPr>
        <w:pStyle w:val="NormalWeb"/>
        <w:spacing w:before="0" w:beforeAutospacing="0" w:after="0" w:afterAutospacing="0"/>
        <w:ind w:firstLine="1134"/>
        <w:jc w:val="both"/>
        <w:rPr>
          <w:lang w:val="pt-PT" w:eastAsia="en-US"/>
        </w:rPr>
      </w:pPr>
      <w:r>
        <w:rPr>
          <w:lang w:val="pt-PT" w:eastAsia="en-US"/>
        </w:rPr>
        <w:t>- Implantação e otimização do Sistema de Gestão Empresarial GEM (Fundo Rotativo, Carga automática de extratos Bancários para Conciliação, Recebimentos Fisais, Recebimentos de Pequenas Despesas e Faturamento);</w:t>
      </w:r>
    </w:p>
    <w:p w:rsidR="003E6588" w:rsidRDefault="003E6588">
      <w:pPr>
        <w:pStyle w:val="NormalWeb"/>
        <w:spacing w:before="0" w:beforeAutospacing="0" w:after="0" w:afterAutospacing="0"/>
        <w:ind w:firstLine="1134"/>
        <w:jc w:val="both"/>
        <w:rPr>
          <w:lang w:val="pt-PT" w:eastAsia="en-US"/>
        </w:rPr>
      </w:pPr>
    </w:p>
    <w:p w:rsidR="003E6588" w:rsidRDefault="003E6588">
      <w:pPr>
        <w:pStyle w:val="NormalWeb"/>
        <w:spacing w:before="0" w:beforeAutospacing="0" w:after="0" w:afterAutospacing="0"/>
        <w:ind w:firstLine="1134"/>
        <w:jc w:val="both"/>
        <w:rPr>
          <w:lang w:val="pt-PT" w:eastAsia="en-US"/>
        </w:rPr>
      </w:pPr>
      <w:r>
        <w:rPr>
          <w:lang w:val="pt-PT" w:eastAsia="en-US"/>
        </w:rPr>
        <w:t>- Implantação dos serviços de monitoramento e gerenciamento de todos os ativos das redes locais e corportiva;</w:t>
      </w:r>
    </w:p>
    <w:p w:rsidR="003E6588" w:rsidRDefault="003E6588">
      <w:pPr>
        <w:pStyle w:val="NormalWeb"/>
        <w:spacing w:before="0" w:beforeAutospacing="0" w:after="0" w:afterAutospacing="0"/>
        <w:ind w:firstLine="1134"/>
        <w:jc w:val="both"/>
        <w:rPr>
          <w:lang w:val="pt-PT" w:eastAsia="en-US"/>
        </w:rPr>
      </w:pPr>
    </w:p>
    <w:p w:rsidR="003E6588" w:rsidRDefault="003E6588">
      <w:pPr>
        <w:pStyle w:val="NormalWeb"/>
        <w:spacing w:before="0" w:beforeAutospacing="0" w:after="0" w:afterAutospacing="0"/>
        <w:ind w:firstLine="1134"/>
        <w:jc w:val="both"/>
        <w:rPr>
          <w:lang w:val="pt-PT" w:eastAsia="en-US"/>
        </w:rPr>
      </w:pPr>
      <w:r>
        <w:rPr>
          <w:lang w:val="pt-PT" w:eastAsia="en-US"/>
        </w:rPr>
        <w:t>- Expansão do licenciamento e renovação de suporte técnico para o ambiente virtualizado de estação de trabalho (VDI);</w:t>
      </w:r>
    </w:p>
    <w:p w:rsidR="003E6588" w:rsidRDefault="003E6588">
      <w:pPr>
        <w:pStyle w:val="NormalWeb"/>
        <w:spacing w:before="0" w:beforeAutospacing="0" w:after="0" w:afterAutospacing="0"/>
        <w:ind w:firstLine="1134"/>
        <w:jc w:val="both"/>
        <w:rPr>
          <w:lang w:val="pt-PT" w:eastAsia="en-US"/>
        </w:rPr>
      </w:pPr>
    </w:p>
    <w:p w:rsidR="003E6588" w:rsidRDefault="003E6588">
      <w:pPr>
        <w:pStyle w:val="NormalWeb"/>
        <w:spacing w:before="0" w:beforeAutospacing="0" w:after="0" w:afterAutospacing="0"/>
        <w:ind w:firstLine="1134"/>
        <w:jc w:val="both"/>
        <w:rPr>
          <w:lang w:val="pt-PT" w:eastAsia="en-US"/>
        </w:rPr>
      </w:pPr>
      <w:r>
        <w:rPr>
          <w:lang w:val="pt-PT" w:eastAsia="en-US"/>
        </w:rPr>
        <w:t xml:space="preserve">- Continuidade na ampliação dos </w:t>
      </w:r>
      <w:r>
        <w:rPr>
          <w:i/>
          <w:lang w:val="pt-PT" w:eastAsia="en-US"/>
        </w:rPr>
        <w:t>links</w:t>
      </w:r>
      <w:r>
        <w:rPr>
          <w:lang w:val="pt-PT" w:eastAsia="en-US"/>
        </w:rPr>
        <w:t xml:space="preserve"> de comunicação de dados entre a sede e as usinas;</w:t>
      </w:r>
    </w:p>
    <w:p w:rsidR="003E6588" w:rsidRDefault="003E6588">
      <w:pPr>
        <w:pStyle w:val="NormalWeb"/>
        <w:spacing w:before="0" w:beforeAutospacing="0" w:after="0" w:afterAutospacing="0"/>
        <w:ind w:firstLine="1134"/>
        <w:jc w:val="both"/>
        <w:rPr>
          <w:lang w:val="pt-PT" w:eastAsia="en-US"/>
        </w:rPr>
      </w:pPr>
    </w:p>
    <w:p w:rsidR="003E6588" w:rsidRDefault="003E6588">
      <w:pPr>
        <w:pStyle w:val="NormalWeb"/>
        <w:spacing w:before="0" w:beforeAutospacing="0" w:after="0" w:afterAutospacing="0"/>
        <w:ind w:firstLine="1134"/>
        <w:jc w:val="both"/>
        <w:rPr>
          <w:lang w:val="pt-PT" w:eastAsia="en-US"/>
        </w:rPr>
      </w:pPr>
      <w:r>
        <w:rPr>
          <w:lang w:val="pt-PT" w:eastAsia="en-US"/>
        </w:rPr>
        <w:t xml:space="preserve">- Renovação da contratação do </w:t>
      </w:r>
      <w:r>
        <w:rPr>
          <w:i/>
          <w:lang w:val="pt-PT" w:eastAsia="en-US"/>
        </w:rPr>
        <w:t>site backup</w:t>
      </w:r>
      <w:r>
        <w:rPr>
          <w:lang w:val="pt-PT" w:eastAsia="en-US"/>
        </w:rPr>
        <w:t xml:space="preserve"> (DR);</w:t>
      </w:r>
    </w:p>
    <w:p w:rsidR="003E6588" w:rsidRDefault="003E6588">
      <w:pPr>
        <w:pStyle w:val="NormalWeb"/>
        <w:spacing w:before="0" w:beforeAutospacing="0" w:after="0" w:afterAutospacing="0"/>
        <w:ind w:firstLine="1134"/>
        <w:jc w:val="both"/>
        <w:rPr>
          <w:lang w:val="pt-PT" w:eastAsia="en-US"/>
        </w:rPr>
      </w:pPr>
    </w:p>
    <w:p w:rsidR="003E6588" w:rsidRDefault="003E6588">
      <w:pPr>
        <w:ind w:firstLine="1134"/>
        <w:jc w:val="both"/>
        <w:rPr>
          <w:strike/>
          <w:lang w:val="pt-PT"/>
        </w:rPr>
      </w:pPr>
      <w:r>
        <w:rPr>
          <w:lang w:val="pt-PT" w:eastAsia="en-US"/>
        </w:rPr>
        <w:t xml:space="preserve">- Expansão da unidade de armazenamento de dados do </w:t>
      </w:r>
      <w:r>
        <w:rPr>
          <w:i/>
          <w:lang w:val="pt-PT" w:eastAsia="en-US"/>
        </w:rPr>
        <w:t>site</w:t>
      </w:r>
      <w:r>
        <w:rPr>
          <w:lang w:val="pt-PT" w:eastAsia="en-US"/>
        </w:rPr>
        <w:t xml:space="preserve"> principal.</w:t>
      </w:r>
    </w:p>
    <w:p w:rsidR="003E6588" w:rsidRDefault="003E6588">
      <w:pPr>
        <w:ind w:firstLine="1134"/>
        <w:jc w:val="both"/>
        <w:rPr>
          <w:lang w:val="pt-PT"/>
        </w:rPr>
      </w:pPr>
    </w:p>
    <w:p w:rsidR="003E6588" w:rsidRDefault="003E6588">
      <w:pPr>
        <w:pStyle w:val="NormalWeb"/>
        <w:spacing w:before="0" w:beforeAutospacing="0" w:after="0" w:afterAutospacing="0"/>
        <w:ind w:firstLine="1134"/>
        <w:jc w:val="both"/>
        <w:rPr>
          <w:b/>
          <w:lang w:val="pt-PT"/>
        </w:rPr>
      </w:pPr>
      <w:r>
        <w:rPr>
          <w:b/>
          <w:lang w:val="pt-PT"/>
        </w:rPr>
        <w:t>Prêmios</w:t>
      </w:r>
    </w:p>
    <w:p w:rsidR="003E6588" w:rsidRDefault="003E6588">
      <w:pPr>
        <w:pStyle w:val="NormalWeb"/>
        <w:spacing w:before="0" w:beforeAutospacing="0" w:after="0" w:afterAutospacing="0"/>
        <w:ind w:firstLine="1134"/>
        <w:jc w:val="both"/>
        <w:rPr>
          <w:lang w:val="pt-PT"/>
        </w:rPr>
      </w:pPr>
    </w:p>
    <w:p w:rsidR="003E6588" w:rsidRDefault="003E6588">
      <w:pPr>
        <w:pStyle w:val="NormalWeb"/>
        <w:spacing w:before="0" w:beforeAutospacing="0" w:after="0" w:afterAutospacing="0"/>
        <w:ind w:firstLine="1134"/>
        <w:jc w:val="both"/>
        <w:rPr>
          <w:bCs/>
        </w:rPr>
      </w:pPr>
      <w:r>
        <w:rPr>
          <w:b/>
          <w:bCs/>
        </w:rPr>
        <w:t>Sustentabilidade Empresarial (ISE) da BM&amp;F/Bovespa</w:t>
      </w:r>
      <w:r>
        <w:rPr>
          <w:bCs/>
          <w:color w:val="0000FF"/>
        </w:rPr>
        <w:t xml:space="preserve"> </w:t>
      </w:r>
      <w:r>
        <w:rPr>
          <w:bCs/>
        </w:rPr>
        <w:t>- A CESP continuou entre as empresas integrantes da carteira do ISE.</w:t>
      </w:r>
    </w:p>
    <w:p w:rsidR="003E6588" w:rsidRDefault="003E6588">
      <w:pPr>
        <w:pStyle w:val="NormalWeb"/>
        <w:spacing w:before="0" w:beforeAutospacing="0" w:after="0" w:afterAutospacing="0"/>
        <w:ind w:left="1134"/>
        <w:jc w:val="both"/>
        <w:rPr>
          <w:bCs/>
        </w:rPr>
      </w:pPr>
    </w:p>
    <w:p w:rsidR="003E6588" w:rsidRDefault="003E6588">
      <w:pPr>
        <w:pStyle w:val="NormalWeb"/>
        <w:spacing w:before="0" w:beforeAutospacing="0" w:after="0" w:afterAutospacing="0"/>
        <w:ind w:firstLine="1134"/>
        <w:jc w:val="both"/>
        <w:rPr>
          <w:bCs/>
        </w:rPr>
      </w:pPr>
      <w:r>
        <w:rPr>
          <w:b/>
          <w:bCs/>
        </w:rPr>
        <w:t>Prêmio “As Melhores Companhias para os Acionistas 2014” -</w:t>
      </w:r>
      <w:r>
        <w:rPr>
          <w:bCs/>
          <w:color w:val="0000FF"/>
        </w:rPr>
        <w:t xml:space="preserve"> </w:t>
      </w:r>
      <w:r>
        <w:rPr>
          <w:bCs/>
        </w:rPr>
        <w:t>A CESP foi vencedora na categoria de empresas com valor de mercado entre R$ 5 bilhões e R$ 15 bilhões. Este prêmio é promovido pela Revista Capital Aberto em parceria com a Stern Value Management.</w:t>
      </w:r>
    </w:p>
    <w:p w:rsidR="003E6588" w:rsidRDefault="003E6588">
      <w:pPr>
        <w:pStyle w:val="NormalWeb"/>
        <w:spacing w:before="0" w:beforeAutospacing="0" w:after="0" w:afterAutospacing="0"/>
        <w:ind w:left="1134"/>
        <w:jc w:val="both"/>
        <w:rPr>
          <w:bCs/>
        </w:rPr>
      </w:pPr>
    </w:p>
    <w:p w:rsidR="003E6588" w:rsidRDefault="003E6588">
      <w:pPr>
        <w:pStyle w:val="NormalWeb"/>
        <w:spacing w:before="0" w:beforeAutospacing="0" w:after="0" w:afterAutospacing="0"/>
        <w:ind w:firstLine="1134"/>
        <w:jc w:val="both"/>
        <w:rPr>
          <w:bCs/>
        </w:rPr>
      </w:pPr>
      <w:r>
        <w:rPr>
          <w:b/>
          <w:bCs/>
        </w:rPr>
        <w:t>Selo Paulista da Diversidade (Categoria Pleno)</w:t>
      </w:r>
      <w:r>
        <w:rPr>
          <w:bCs/>
        </w:rPr>
        <w:t xml:space="preserve"> -</w:t>
      </w:r>
      <w:r>
        <w:rPr>
          <w:bCs/>
          <w:color w:val="0000FF"/>
        </w:rPr>
        <w:t xml:space="preserve"> </w:t>
      </w:r>
      <w:r>
        <w:rPr>
          <w:bCs/>
        </w:rPr>
        <w:t>Empresa certificada com o prêmio outorgado pela Secretaria de Relações Institucionais do Governo de São Paulo, por suas políticas e práticas de inclusão social e igualdade de oportunidades.</w:t>
      </w:r>
    </w:p>
    <w:p w:rsidR="003E6588" w:rsidRPr="00723018" w:rsidRDefault="003E6588">
      <w:pPr>
        <w:pStyle w:val="NormalWeb"/>
        <w:spacing w:before="0" w:beforeAutospacing="0" w:after="0" w:afterAutospacing="0"/>
        <w:ind w:left="1134"/>
        <w:jc w:val="both"/>
        <w:rPr>
          <w:bCs/>
        </w:rPr>
      </w:pPr>
    </w:p>
    <w:p w:rsidR="001F7AB6" w:rsidRPr="00723018" w:rsidRDefault="001F7AB6">
      <w:pPr>
        <w:pStyle w:val="NormalWeb"/>
        <w:spacing w:before="0" w:beforeAutospacing="0" w:after="0" w:afterAutospacing="0"/>
        <w:ind w:left="1134"/>
        <w:jc w:val="both"/>
        <w:rPr>
          <w:bCs/>
        </w:rPr>
      </w:pPr>
    </w:p>
    <w:p w:rsidR="003E6588" w:rsidRDefault="003E6588">
      <w:pPr>
        <w:rPr>
          <w:rFonts w:eastAsia="Calibri"/>
          <w:b/>
          <w:lang w:eastAsia="en-US"/>
        </w:rPr>
      </w:pPr>
      <w:r>
        <w:rPr>
          <w:rFonts w:eastAsia="Calibri"/>
          <w:b/>
          <w:lang w:eastAsia="en-US"/>
        </w:rPr>
        <w:t>EMPRESA METROPOLITANA DE ÁGUAS E ENERGIA - EMAE</w:t>
      </w:r>
    </w:p>
    <w:p w:rsidR="003E6588" w:rsidRPr="00723018" w:rsidRDefault="003E6588">
      <w:pPr>
        <w:ind w:firstLine="1134"/>
        <w:jc w:val="both"/>
      </w:pPr>
    </w:p>
    <w:p w:rsidR="003E6588" w:rsidRDefault="003E6588" w:rsidP="00723018">
      <w:pPr>
        <w:jc w:val="both"/>
      </w:pPr>
    </w:p>
    <w:p w:rsidR="003E6588" w:rsidRDefault="003E6588">
      <w:pPr>
        <w:ind w:firstLine="1134"/>
        <w:jc w:val="both"/>
      </w:pPr>
      <w:r>
        <w:t>A EMAE tem características que a tornam peculiar em relação às empresas do setor elétrico brasileiro, pois a maior parte de seus ativos está localizada em áreas urbanas densamente povoadas e são utilizadas, de forma expressiva, para outros fins como abastecimento público, saneamento, controle de cheias e lazer. A empresa é responsável pela operação de controle de enchentes do Canal Pinheiros e dos reservatórios do Guarapiranga, Billings e Pirapora.</w:t>
      </w:r>
    </w:p>
    <w:p w:rsidR="003E6588" w:rsidRDefault="003E6588">
      <w:pPr>
        <w:ind w:firstLine="1134"/>
        <w:jc w:val="both"/>
      </w:pPr>
    </w:p>
    <w:p w:rsidR="003E6588" w:rsidRDefault="003E6588">
      <w:pPr>
        <w:ind w:firstLine="1134"/>
        <w:jc w:val="both"/>
      </w:pPr>
      <w:r>
        <w:lastRenderedPageBreak/>
        <w:t>Em função da prorrogação das concessões das UHEs Rasgão, Henry Borden e Porto Góes por 30 anos, pela disponibilização da energia e potência das usinas no sistema de cotas e receita estabelecida mediante tarifa regulada, a EMAE continuou a atuar no sentido de consolidar seu equilíbrio econômico-financeiro, buscando otimizar suas instalações e operações para adequá-los às suas receitas.</w:t>
      </w:r>
    </w:p>
    <w:p w:rsidR="003E6588" w:rsidRDefault="003E6588">
      <w:pPr>
        <w:ind w:firstLine="1134"/>
        <w:jc w:val="both"/>
      </w:pPr>
    </w:p>
    <w:p w:rsidR="003E6588" w:rsidRDefault="003E6588">
      <w:pPr>
        <w:ind w:firstLine="1134"/>
        <w:jc w:val="both"/>
        <w:rPr>
          <w:b/>
        </w:rPr>
      </w:pPr>
      <w:r>
        <w:rPr>
          <w:b/>
        </w:rPr>
        <w:t>Destaques</w:t>
      </w:r>
    </w:p>
    <w:p w:rsidR="003E6588" w:rsidRDefault="003E6588">
      <w:pPr>
        <w:ind w:firstLine="426"/>
        <w:jc w:val="both"/>
      </w:pPr>
    </w:p>
    <w:p w:rsidR="003E6588" w:rsidRDefault="003E6588">
      <w:pPr>
        <w:ind w:firstLine="1134"/>
        <w:jc w:val="both"/>
      </w:pPr>
      <w:r>
        <w:t>Continuidade dos serviços de desassoreamento do Canal do Rio Pinheiros.</w:t>
      </w:r>
    </w:p>
    <w:p w:rsidR="003E6588" w:rsidRDefault="003E6588">
      <w:pPr>
        <w:ind w:firstLine="1134"/>
        <w:jc w:val="both"/>
      </w:pPr>
    </w:p>
    <w:p w:rsidR="003E6588" w:rsidRDefault="003E6588">
      <w:pPr>
        <w:ind w:firstLine="1134"/>
        <w:jc w:val="both"/>
      </w:pPr>
      <w:r>
        <w:t>Conclusão da construção da PCH Pirapora, que acrescentará 25 MW ao Sistema Elétrico Nacional.</w:t>
      </w:r>
    </w:p>
    <w:p w:rsidR="003E6588" w:rsidRDefault="003E6588">
      <w:pPr>
        <w:jc w:val="both"/>
      </w:pPr>
    </w:p>
    <w:p w:rsidR="003E6588" w:rsidRDefault="003E6588">
      <w:pPr>
        <w:ind w:left="1134"/>
        <w:jc w:val="both"/>
      </w:pPr>
      <w:r>
        <w:rPr>
          <w:b/>
          <w:bCs/>
        </w:rPr>
        <w:t>Geração de energia elétrica</w:t>
      </w:r>
    </w:p>
    <w:p w:rsidR="003E6588" w:rsidRDefault="003E6588">
      <w:pPr>
        <w:ind w:left="1134"/>
        <w:jc w:val="both"/>
      </w:pPr>
    </w:p>
    <w:tbl>
      <w:tblPr>
        <w:tblW w:w="6634" w:type="dxa"/>
        <w:jc w:val="center"/>
        <w:tblInd w:w="-558" w:type="dxa"/>
        <w:tblCellMar>
          <w:left w:w="70" w:type="dxa"/>
          <w:right w:w="70" w:type="dxa"/>
        </w:tblCellMar>
        <w:tblLook w:val="04A0"/>
      </w:tblPr>
      <w:tblGrid>
        <w:gridCol w:w="1773"/>
        <w:gridCol w:w="1533"/>
        <w:gridCol w:w="1361"/>
        <w:gridCol w:w="226"/>
        <w:gridCol w:w="15"/>
        <w:gridCol w:w="1448"/>
        <w:gridCol w:w="15"/>
        <w:gridCol w:w="263"/>
      </w:tblGrid>
      <w:tr w:rsidR="003E6588" w:rsidTr="00D549F9">
        <w:trPr>
          <w:trHeight w:val="131"/>
          <w:jc w:val="center"/>
        </w:trPr>
        <w:tc>
          <w:tcPr>
            <w:tcW w:w="1773" w:type="dxa"/>
            <w:vMerge w:val="restart"/>
            <w:tcBorders>
              <w:top w:val="single" w:sz="12" w:space="0" w:color="auto"/>
              <w:left w:val="single" w:sz="12" w:space="0" w:color="auto"/>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Usina</w:t>
            </w:r>
          </w:p>
        </w:tc>
        <w:tc>
          <w:tcPr>
            <w:tcW w:w="1533" w:type="dxa"/>
            <w:vMerge w:val="restart"/>
            <w:tcBorders>
              <w:top w:val="single" w:sz="12" w:space="0" w:color="auto"/>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Potência Instalada (MW)</w:t>
            </w:r>
          </w:p>
        </w:tc>
        <w:tc>
          <w:tcPr>
            <w:tcW w:w="1361" w:type="dxa"/>
            <w:vMerge w:val="restart"/>
            <w:tcBorders>
              <w:top w:val="single" w:sz="12" w:space="0" w:color="auto"/>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Garantia Física (MW médios)</w:t>
            </w:r>
          </w:p>
        </w:tc>
        <w:tc>
          <w:tcPr>
            <w:tcW w:w="1967" w:type="dxa"/>
            <w:gridSpan w:val="5"/>
            <w:tcBorders>
              <w:top w:val="single" w:sz="12" w:space="0" w:color="auto"/>
              <w:left w:val="nil"/>
              <w:bottom w:val="nil"/>
              <w:right w:val="single" w:sz="12" w:space="0" w:color="auto"/>
            </w:tcBorders>
            <w:shd w:val="clear" w:color="auto" w:fill="auto"/>
            <w:vAlign w:val="center"/>
            <w:hideMark/>
          </w:tcPr>
          <w:p w:rsidR="003E6588" w:rsidRDefault="003E6588">
            <w:pPr>
              <w:rPr>
                <w:b/>
                <w:bCs/>
                <w:color w:val="000000"/>
                <w:sz w:val="20"/>
                <w:szCs w:val="20"/>
              </w:rPr>
            </w:pPr>
            <w:r>
              <w:rPr>
                <w:b/>
                <w:bCs/>
                <w:color w:val="000000"/>
                <w:sz w:val="20"/>
                <w:szCs w:val="20"/>
              </w:rPr>
              <w:t>Energia Produzida</w:t>
            </w:r>
          </w:p>
        </w:tc>
      </w:tr>
      <w:tr w:rsidR="003E6588" w:rsidTr="00D549F9">
        <w:trPr>
          <w:trHeight w:val="174"/>
          <w:jc w:val="center"/>
        </w:trPr>
        <w:tc>
          <w:tcPr>
            <w:tcW w:w="1773" w:type="dxa"/>
            <w:vMerge/>
            <w:tcBorders>
              <w:top w:val="single" w:sz="8" w:space="0" w:color="auto"/>
              <w:left w:val="single" w:sz="12" w:space="0" w:color="auto"/>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p>
        </w:tc>
        <w:tc>
          <w:tcPr>
            <w:tcW w:w="1533" w:type="dxa"/>
            <w:vMerge/>
            <w:tcBorders>
              <w:top w:val="single" w:sz="8" w:space="0" w:color="auto"/>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p>
        </w:tc>
        <w:tc>
          <w:tcPr>
            <w:tcW w:w="1361" w:type="dxa"/>
            <w:vMerge/>
            <w:tcBorders>
              <w:top w:val="single" w:sz="8" w:space="0" w:color="auto"/>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p>
        </w:tc>
        <w:tc>
          <w:tcPr>
            <w:tcW w:w="1967" w:type="dxa"/>
            <w:gridSpan w:val="5"/>
            <w:tcBorders>
              <w:top w:val="nil"/>
              <w:left w:val="nil"/>
              <w:bottom w:val="single" w:sz="8" w:space="0" w:color="auto"/>
              <w:right w:val="single" w:sz="12" w:space="0" w:color="auto"/>
            </w:tcBorders>
            <w:shd w:val="clear" w:color="auto" w:fill="auto"/>
            <w:vAlign w:val="center"/>
            <w:hideMark/>
          </w:tcPr>
          <w:p w:rsidR="003E6588" w:rsidRDefault="003E6588">
            <w:pPr>
              <w:rPr>
                <w:color w:val="000000"/>
                <w:sz w:val="20"/>
                <w:szCs w:val="20"/>
              </w:rPr>
            </w:pPr>
            <w:r>
              <w:rPr>
                <w:color w:val="000000"/>
                <w:sz w:val="20"/>
                <w:szCs w:val="20"/>
              </w:rPr>
              <w:t>(MW médios)</w:t>
            </w:r>
          </w:p>
        </w:tc>
      </w:tr>
      <w:tr w:rsidR="003E6588" w:rsidTr="00D549F9">
        <w:trPr>
          <w:trHeight w:val="63"/>
          <w:jc w:val="center"/>
        </w:trPr>
        <w:tc>
          <w:tcPr>
            <w:tcW w:w="1773" w:type="dxa"/>
            <w:vMerge/>
            <w:tcBorders>
              <w:top w:val="single" w:sz="8" w:space="0" w:color="auto"/>
              <w:left w:val="single" w:sz="12" w:space="0" w:color="auto"/>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p>
        </w:tc>
        <w:tc>
          <w:tcPr>
            <w:tcW w:w="1533" w:type="dxa"/>
            <w:vMerge/>
            <w:tcBorders>
              <w:top w:val="single" w:sz="8" w:space="0" w:color="auto"/>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p>
        </w:tc>
        <w:tc>
          <w:tcPr>
            <w:tcW w:w="1361" w:type="dxa"/>
            <w:vMerge/>
            <w:tcBorders>
              <w:top w:val="single" w:sz="8" w:space="0" w:color="auto"/>
              <w:left w:val="single" w:sz="8" w:space="0" w:color="000000"/>
              <w:bottom w:val="single" w:sz="8" w:space="0" w:color="000000"/>
              <w:right w:val="single" w:sz="12" w:space="0" w:color="000000"/>
            </w:tcBorders>
            <w:shd w:val="clear" w:color="auto" w:fill="auto"/>
            <w:vAlign w:val="center"/>
            <w:hideMark/>
          </w:tcPr>
          <w:p w:rsidR="003E6588" w:rsidRDefault="003E6588">
            <w:pPr>
              <w:rPr>
                <w:b/>
                <w:bCs/>
                <w:color w:val="000000"/>
                <w:sz w:val="20"/>
                <w:szCs w:val="20"/>
              </w:rPr>
            </w:pPr>
          </w:p>
        </w:tc>
        <w:tc>
          <w:tcPr>
            <w:tcW w:w="241" w:type="dxa"/>
            <w:gridSpan w:val="2"/>
            <w:tcBorders>
              <w:top w:val="nil"/>
              <w:left w:val="single" w:sz="12" w:space="0" w:color="000000"/>
              <w:bottom w:val="single" w:sz="8" w:space="0" w:color="000000"/>
            </w:tcBorders>
            <w:shd w:val="clear" w:color="auto" w:fill="auto"/>
            <w:vAlign w:val="center"/>
            <w:hideMark/>
          </w:tcPr>
          <w:p w:rsidR="003E6588" w:rsidRDefault="003E6588">
            <w:pPr>
              <w:rPr>
                <w:b/>
                <w:bCs/>
                <w:color w:val="000000"/>
                <w:sz w:val="20"/>
                <w:szCs w:val="20"/>
              </w:rPr>
            </w:pPr>
          </w:p>
        </w:tc>
        <w:tc>
          <w:tcPr>
            <w:tcW w:w="1463" w:type="dxa"/>
            <w:gridSpan w:val="2"/>
            <w:tcBorders>
              <w:top w:val="nil"/>
              <w:left w:val="nil"/>
              <w:bottom w:val="single" w:sz="8" w:space="0" w:color="000000"/>
            </w:tcBorders>
            <w:shd w:val="clear" w:color="auto" w:fill="auto"/>
            <w:vAlign w:val="center"/>
            <w:hideMark/>
          </w:tcPr>
          <w:p w:rsidR="003E6588" w:rsidRDefault="003E6588">
            <w:pPr>
              <w:rPr>
                <w:b/>
                <w:bCs/>
                <w:color w:val="000000"/>
                <w:sz w:val="20"/>
                <w:szCs w:val="20"/>
              </w:rPr>
            </w:pPr>
          </w:p>
        </w:tc>
        <w:tc>
          <w:tcPr>
            <w:tcW w:w="263" w:type="dxa"/>
            <w:tcBorders>
              <w:top w:val="nil"/>
              <w:bottom w:val="single" w:sz="8" w:space="0" w:color="000000"/>
              <w:right w:val="single" w:sz="12" w:space="0" w:color="auto"/>
            </w:tcBorders>
            <w:shd w:val="clear" w:color="auto" w:fill="auto"/>
            <w:vAlign w:val="center"/>
            <w:hideMark/>
          </w:tcPr>
          <w:p w:rsidR="003E6588" w:rsidRDefault="003E6588">
            <w:pPr>
              <w:rPr>
                <w:b/>
                <w:bCs/>
                <w:color w:val="000000"/>
                <w:sz w:val="20"/>
                <w:szCs w:val="20"/>
              </w:rPr>
            </w:pPr>
          </w:p>
        </w:tc>
      </w:tr>
      <w:tr w:rsidR="003E6588" w:rsidTr="00D549F9">
        <w:trPr>
          <w:trHeight w:val="184"/>
          <w:jc w:val="center"/>
        </w:trPr>
        <w:tc>
          <w:tcPr>
            <w:tcW w:w="1773" w:type="dxa"/>
            <w:tcBorders>
              <w:top w:val="nil"/>
              <w:left w:val="single" w:sz="12" w:space="0" w:color="auto"/>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UHE Henry Borden</w:t>
            </w:r>
          </w:p>
        </w:tc>
        <w:tc>
          <w:tcPr>
            <w:tcW w:w="1533"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889,0</w:t>
            </w:r>
          </w:p>
        </w:tc>
        <w:tc>
          <w:tcPr>
            <w:tcW w:w="1361" w:type="dxa"/>
            <w:tcBorders>
              <w:top w:val="nil"/>
              <w:left w:val="nil"/>
              <w:bottom w:val="single" w:sz="8" w:space="0" w:color="000000"/>
              <w:right w:val="single" w:sz="12" w:space="0" w:color="000000"/>
            </w:tcBorders>
            <w:shd w:val="clear" w:color="auto" w:fill="auto"/>
            <w:vAlign w:val="center"/>
            <w:hideMark/>
          </w:tcPr>
          <w:p w:rsidR="003E6588" w:rsidRDefault="003E6588">
            <w:pPr>
              <w:rPr>
                <w:color w:val="000000"/>
                <w:sz w:val="20"/>
                <w:szCs w:val="20"/>
              </w:rPr>
            </w:pPr>
            <w:r>
              <w:rPr>
                <w:color w:val="000000"/>
                <w:sz w:val="20"/>
                <w:szCs w:val="20"/>
              </w:rPr>
              <w:t>127,70</w:t>
            </w:r>
          </w:p>
        </w:tc>
        <w:tc>
          <w:tcPr>
            <w:tcW w:w="226" w:type="dxa"/>
            <w:tcBorders>
              <w:top w:val="single" w:sz="8" w:space="0" w:color="000000"/>
              <w:left w:val="single" w:sz="12" w:space="0" w:color="000000"/>
              <w:bottom w:val="single" w:sz="8" w:space="0" w:color="000000"/>
            </w:tcBorders>
            <w:shd w:val="clear" w:color="auto" w:fill="auto"/>
            <w:vAlign w:val="center"/>
            <w:hideMark/>
          </w:tcPr>
          <w:p w:rsidR="003E6588" w:rsidRDefault="003E6588">
            <w:pPr>
              <w:rPr>
                <w:color w:val="000000"/>
                <w:sz w:val="20"/>
                <w:szCs w:val="20"/>
              </w:rPr>
            </w:pPr>
          </w:p>
        </w:tc>
        <w:tc>
          <w:tcPr>
            <w:tcW w:w="1463" w:type="dxa"/>
            <w:gridSpan w:val="2"/>
            <w:tcBorders>
              <w:top w:val="nil"/>
              <w:left w:val="nil"/>
              <w:bottom w:val="single" w:sz="8" w:space="0" w:color="000000"/>
            </w:tcBorders>
            <w:shd w:val="clear" w:color="auto" w:fill="auto"/>
            <w:vAlign w:val="center"/>
          </w:tcPr>
          <w:p w:rsidR="003E6588" w:rsidRDefault="003E6588">
            <w:pPr>
              <w:rPr>
                <w:color w:val="000000"/>
                <w:sz w:val="20"/>
                <w:szCs w:val="20"/>
              </w:rPr>
            </w:pPr>
            <w:r>
              <w:rPr>
                <w:color w:val="000000"/>
                <w:sz w:val="20"/>
                <w:szCs w:val="20"/>
              </w:rPr>
              <w:t>88,5</w:t>
            </w:r>
          </w:p>
        </w:tc>
        <w:tc>
          <w:tcPr>
            <w:tcW w:w="278" w:type="dxa"/>
            <w:gridSpan w:val="2"/>
            <w:tcBorders>
              <w:top w:val="single" w:sz="8" w:space="0" w:color="000000"/>
              <w:bottom w:val="single" w:sz="8" w:space="0" w:color="000000"/>
              <w:right w:val="single" w:sz="12" w:space="0" w:color="auto"/>
            </w:tcBorders>
            <w:shd w:val="clear" w:color="auto" w:fill="auto"/>
            <w:vAlign w:val="bottom"/>
          </w:tcPr>
          <w:p w:rsidR="003E6588" w:rsidRDefault="003E6588">
            <w:pPr>
              <w:rPr>
                <w:color w:val="000000"/>
                <w:sz w:val="20"/>
                <w:szCs w:val="20"/>
              </w:rPr>
            </w:pPr>
          </w:p>
        </w:tc>
      </w:tr>
      <w:tr w:rsidR="003E6588" w:rsidTr="00D549F9">
        <w:trPr>
          <w:trHeight w:val="74"/>
          <w:jc w:val="center"/>
        </w:trPr>
        <w:tc>
          <w:tcPr>
            <w:tcW w:w="1773" w:type="dxa"/>
            <w:tcBorders>
              <w:top w:val="nil"/>
              <w:left w:val="single" w:sz="12" w:space="0" w:color="auto"/>
              <w:bottom w:val="single" w:sz="8" w:space="0" w:color="auto"/>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Porto Góes</w:t>
            </w:r>
          </w:p>
        </w:tc>
        <w:tc>
          <w:tcPr>
            <w:tcW w:w="1533" w:type="dxa"/>
            <w:tcBorders>
              <w:top w:val="nil"/>
              <w:left w:val="nil"/>
              <w:bottom w:val="single" w:sz="8" w:space="0" w:color="auto"/>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24,8</w:t>
            </w:r>
          </w:p>
        </w:tc>
        <w:tc>
          <w:tcPr>
            <w:tcW w:w="1361" w:type="dxa"/>
            <w:tcBorders>
              <w:top w:val="nil"/>
              <w:left w:val="nil"/>
              <w:bottom w:val="single" w:sz="8" w:space="0" w:color="000000"/>
              <w:right w:val="single" w:sz="12" w:space="0" w:color="000000"/>
            </w:tcBorders>
            <w:shd w:val="clear" w:color="auto" w:fill="auto"/>
            <w:vAlign w:val="center"/>
            <w:hideMark/>
          </w:tcPr>
          <w:p w:rsidR="003E6588" w:rsidRDefault="003E6588">
            <w:pPr>
              <w:rPr>
                <w:color w:val="000000"/>
                <w:sz w:val="20"/>
                <w:szCs w:val="20"/>
              </w:rPr>
            </w:pPr>
            <w:r>
              <w:rPr>
                <w:bCs/>
                <w:color w:val="000000"/>
                <w:sz w:val="20"/>
                <w:szCs w:val="20"/>
              </w:rPr>
              <w:t>17,91</w:t>
            </w:r>
          </w:p>
        </w:tc>
        <w:tc>
          <w:tcPr>
            <w:tcW w:w="226" w:type="dxa"/>
            <w:tcBorders>
              <w:top w:val="single" w:sz="8" w:space="0" w:color="000000"/>
              <w:left w:val="single" w:sz="12" w:space="0" w:color="000000"/>
              <w:bottom w:val="single" w:sz="8" w:space="0" w:color="000000"/>
            </w:tcBorders>
            <w:shd w:val="clear" w:color="auto" w:fill="auto"/>
            <w:vAlign w:val="center"/>
            <w:hideMark/>
          </w:tcPr>
          <w:p w:rsidR="003E6588" w:rsidRDefault="003E6588">
            <w:pPr>
              <w:rPr>
                <w:color w:val="000000"/>
                <w:sz w:val="20"/>
                <w:szCs w:val="20"/>
              </w:rPr>
            </w:pPr>
          </w:p>
        </w:tc>
        <w:tc>
          <w:tcPr>
            <w:tcW w:w="1463" w:type="dxa"/>
            <w:gridSpan w:val="2"/>
            <w:tcBorders>
              <w:top w:val="nil"/>
              <w:left w:val="nil"/>
              <w:bottom w:val="single" w:sz="8" w:space="0" w:color="000000"/>
            </w:tcBorders>
            <w:shd w:val="clear" w:color="auto" w:fill="auto"/>
            <w:vAlign w:val="center"/>
          </w:tcPr>
          <w:p w:rsidR="003E6588" w:rsidRDefault="003E6588">
            <w:pPr>
              <w:rPr>
                <w:color w:val="000000"/>
                <w:sz w:val="20"/>
                <w:szCs w:val="20"/>
              </w:rPr>
            </w:pPr>
            <w:r>
              <w:rPr>
                <w:color w:val="000000"/>
                <w:sz w:val="20"/>
                <w:szCs w:val="20"/>
              </w:rPr>
              <w:t>13,1</w:t>
            </w:r>
          </w:p>
        </w:tc>
        <w:tc>
          <w:tcPr>
            <w:tcW w:w="278" w:type="dxa"/>
            <w:gridSpan w:val="2"/>
            <w:tcBorders>
              <w:top w:val="single" w:sz="8" w:space="0" w:color="000000"/>
              <w:bottom w:val="single" w:sz="8" w:space="0" w:color="000000"/>
              <w:right w:val="single" w:sz="12" w:space="0" w:color="auto"/>
            </w:tcBorders>
            <w:shd w:val="clear" w:color="auto" w:fill="auto"/>
            <w:vAlign w:val="bottom"/>
          </w:tcPr>
          <w:p w:rsidR="003E6588" w:rsidRDefault="003E6588">
            <w:pPr>
              <w:rPr>
                <w:color w:val="000000"/>
                <w:sz w:val="20"/>
                <w:szCs w:val="20"/>
              </w:rPr>
            </w:pPr>
          </w:p>
        </w:tc>
      </w:tr>
      <w:tr w:rsidR="003E6588" w:rsidTr="00D549F9">
        <w:trPr>
          <w:trHeight w:val="120"/>
          <w:jc w:val="center"/>
        </w:trPr>
        <w:tc>
          <w:tcPr>
            <w:tcW w:w="1773" w:type="dxa"/>
            <w:tcBorders>
              <w:top w:val="nil"/>
              <w:left w:val="single" w:sz="12" w:space="0" w:color="auto"/>
              <w:bottom w:val="single" w:sz="8" w:space="0" w:color="auto"/>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Rasgão</w:t>
            </w:r>
          </w:p>
        </w:tc>
        <w:tc>
          <w:tcPr>
            <w:tcW w:w="1533" w:type="dxa"/>
            <w:tcBorders>
              <w:top w:val="nil"/>
              <w:left w:val="nil"/>
              <w:bottom w:val="single" w:sz="8" w:space="0" w:color="auto"/>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22,0</w:t>
            </w:r>
          </w:p>
        </w:tc>
        <w:tc>
          <w:tcPr>
            <w:tcW w:w="1361" w:type="dxa"/>
            <w:tcBorders>
              <w:top w:val="nil"/>
              <w:left w:val="nil"/>
              <w:bottom w:val="single" w:sz="8" w:space="0" w:color="000000"/>
              <w:right w:val="single" w:sz="12" w:space="0" w:color="000000"/>
            </w:tcBorders>
            <w:shd w:val="clear" w:color="auto" w:fill="auto"/>
            <w:vAlign w:val="center"/>
            <w:hideMark/>
          </w:tcPr>
          <w:p w:rsidR="003E6588" w:rsidRDefault="003E6588">
            <w:pPr>
              <w:rPr>
                <w:color w:val="000000"/>
                <w:sz w:val="20"/>
                <w:szCs w:val="20"/>
              </w:rPr>
            </w:pPr>
            <w:r>
              <w:rPr>
                <w:bCs/>
                <w:color w:val="000000"/>
                <w:sz w:val="20"/>
                <w:szCs w:val="20"/>
              </w:rPr>
              <w:t>11,84</w:t>
            </w:r>
          </w:p>
        </w:tc>
        <w:tc>
          <w:tcPr>
            <w:tcW w:w="226" w:type="dxa"/>
            <w:tcBorders>
              <w:top w:val="single" w:sz="8" w:space="0" w:color="000000"/>
              <w:left w:val="single" w:sz="12" w:space="0" w:color="000000"/>
              <w:bottom w:val="single" w:sz="8" w:space="0" w:color="000000"/>
            </w:tcBorders>
            <w:shd w:val="clear" w:color="auto" w:fill="auto"/>
            <w:vAlign w:val="center"/>
            <w:hideMark/>
          </w:tcPr>
          <w:p w:rsidR="003E6588" w:rsidRDefault="003E6588">
            <w:pPr>
              <w:rPr>
                <w:color w:val="000000"/>
                <w:sz w:val="20"/>
                <w:szCs w:val="20"/>
              </w:rPr>
            </w:pPr>
          </w:p>
        </w:tc>
        <w:tc>
          <w:tcPr>
            <w:tcW w:w="1463" w:type="dxa"/>
            <w:gridSpan w:val="2"/>
            <w:tcBorders>
              <w:top w:val="nil"/>
              <w:left w:val="nil"/>
              <w:bottom w:val="single" w:sz="8" w:space="0" w:color="000000"/>
            </w:tcBorders>
            <w:shd w:val="clear" w:color="auto" w:fill="auto"/>
            <w:vAlign w:val="center"/>
          </w:tcPr>
          <w:p w:rsidR="003E6588" w:rsidRDefault="003E6588">
            <w:pPr>
              <w:rPr>
                <w:color w:val="000000"/>
                <w:sz w:val="20"/>
                <w:szCs w:val="20"/>
              </w:rPr>
            </w:pPr>
            <w:r>
              <w:rPr>
                <w:color w:val="000000"/>
                <w:sz w:val="20"/>
                <w:szCs w:val="20"/>
              </w:rPr>
              <w:t>14,8</w:t>
            </w:r>
          </w:p>
        </w:tc>
        <w:tc>
          <w:tcPr>
            <w:tcW w:w="278" w:type="dxa"/>
            <w:gridSpan w:val="2"/>
            <w:tcBorders>
              <w:top w:val="single" w:sz="8" w:space="0" w:color="000000"/>
              <w:bottom w:val="single" w:sz="8" w:space="0" w:color="000000"/>
              <w:right w:val="single" w:sz="12" w:space="0" w:color="auto"/>
            </w:tcBorders>
            <w:shd w:val="clear" w:color="auto" w:fill="auto"/>
            <w:vAlign w:val="bottom"/>
          </w:tcPr>
          <w:p w:rsidR="003E6588" w:rsidRDefault="003E6588">
            <w:pPr>
              <w:rPr>
                <w:color w:val="000000"/>
                <w:sz w:val="20"/>
                <w:szCs w:val="20"/>
              </w:rPr>
            </w:pPr>
          </w:p>
        </w:tc>
      </w:tr>
      <w:tr w:rsidR="003E6588" w:rsidTr="00D549F9">
        <w:trPr>
          <w:trHeight w:val="151"/>
          <w:jc w:val="center"/>
        </w:trPr>
        <w:tc>
          <w:tcPr>
            <w:tcW w:w="1773" w:type="dxa"/>
            <w:tcBorders>
              <w:top w:val="nil"/>
              <w:left w:val="single" w:sz="12" w:space="0" w:color="auto"/>
              <w:bottom w:val="single" w:sz="12" w:space="0" w:color="auto"/>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Total</w:t>
            </w:r>
          </w:p>
        </w:tc>
        <w:tc>
          <w:tcPr>
            <w:tcW w:w="1533" w:type="dxa"/>
            <w:tcBorders>
              <w:top w:val="nil"/>
              <w:left w:val="nil"/>
              <w:bottom w:val="single" w:sz="12" w:space="0" w:color="auto"/>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935,8</w:t>
            </w:r>
          </w:p>
        </w:tc>
        <w:tc>
          <w:tcPr>
            <w:tcW w:w="1361" w:type="dxa"/>
            <w:tcBorders>
              <w:top w:val="nil"/>
              <w:left w:val="nil"/>
              <w:bottom w:val="single" w:sz="12" w:space="0" w:color="auto"/>
              <w:right w:val="single" w:sz="12" w:space="0" w:color="000000"/>
            </w:tcBorders>
            <w:shd w:val="clear" w:color="auto" w:fill="auto"/>
            <w:vAlign w:val="center"/>
            <w:hideMark/>
          </w:tcPr>
          <w:p w:rsidR="003E6588" w:rsidRDefault="003E6588">
            <w:pPr>
              <w:rPr>
                <w:b/>
                <w:bCs/>
                <w:color w:val="000000"/>
                <w:sz w:val="20"/>
                <w:szCs w:val="20"/>
              </w:rPr>
            </w:pPr>
            <w:r>
              <w:rPr>
                <w:b/>
                <w:bCs/>
                <w:color w:val="000000"/>
                <w:sz w:val="20"/>
                <w:szCs w:val="20"/>
              </w:rPr>
              <w:t>157,45</w:t>
            </w:r>
          </w:p>
        </w:tc>
        <w:tc>
          <w:tcPr>
            <w:tcW w:w="226" w:type="dxa"/>
            <w:tcBorders>
              <w:top w:val="single" w:sz="8" w:space="0" w:color="000000"/>
              <w:left w:val="single" w:sz="12" w:space="0" w:color="000000"/>
              <w:bottom w:val="single" w:sz="12" w:space="0" w:color="auto"/>
            </w:tcBorders>
            <w:shd w:val="clear" w:color="auto" w:fill="auto"/>
            <w:vAlign w:val="bottom"/>
            <w:hideMark/>
          </w:tcPr>
          <w:p w:rsidR="003E6588" w:rsidRDefault="003E6588">
            <w:pPr>
              <w:rPr>
                <w:b/>
                <w:color w:val="000000"/>
                <w:sz w:val="20"/>
                <w:szCs w:val="20"/>
              </w:rPr>
            </w:pPr>
          </w:p>
        </w:tc>
        <w:tc>
          <w:tcPr>
            <w:tcW w:w="1463" w:type="dxa"/>
            <w:gridSpan w:val="2"/>
            <w:tcBorders>
              <w:top w:val="nil"/>
              <w:left w:val="nil"/>
              <w:bottom w:val="single" w:sz="12" w:space="0" w:color="auto"/>
            </w:tcBorders>
            <w:shd w:val="clear" w:color="auto" w:fill="auto"/>
            <w:vAlign w:val="bottom"/>
            <w:hideMark/>
          </w:tcPr>
          <w:p w:rsidR="003E6588" w:rsidRDefault="003E6588">
            <w:pPr>
              <w:rPr>
                <w:b/>
                <w:color w:val="000000"/>
                <w:sz w:val="20"/>
                <w:szCs w:val="20"/>
              </w:rPr>
            </w:pPr>
            <w:r>
              <w:rPr>
                <w:b/>
                <w:color w:val="000000"/>
                <w:sz w:val="20"/>
                <w:szCs w:val="20"/>
              </w:rPr>
              <w:t>116,4</w:t>
            </w:r>
          </w:p>
        </w:tc>
        <w:tc>
          <w:tcPr>
            <w:tcW w:w="278" w:type="dxa"/>
            <w:gridSpan w:val="2"/>
            <w:tcBorders>
              <w:top w:val="single" w:sz="8" w:space="0" w:color="000000"/>
              <w:bottom w:val="single" w:sz="12" w:space="0" w:color="auto"/>
              <w:right w:val="single" w:sz="12" w:space="0" w:color="auto"/>
            </w:tcBorders>
            <w:shd w:val="clear" w:color="auto" w:fill="auto"/>
            <w:vAlign w:val="bottom"/>
          </w:tcPr>
          <w:p w:rsidR="003E6588" w:rsidRDefault="003E6588">
            <w:pPr>
              <w:rPr>
                <w:b/>
                <w:color w:val="000000"/>
                <w:sz w:val="20"/>
                <w:szCs w:val="20"/>
              </w:rPr>
            </w:pPr>
          </w:p>
        </w:tc>
      </w:tr>
    </w:tbl>
    <w:p w:rsidR="003E6588" w:rsidRDefault="003E6588">
      <w:pPr>
        <w:ind w:left="1134"/>
        <w:jc w:val="both"/>
        <w:rPr>
          <w:b/>
          <w:bCs/>
        </w:rPr>
      </w:pPr>
    </w:p>
    <w:p w:rsidR="003E6588" w:rsidRDefault="003E6588">
      <w:pPr>
        <w:ind w:left="1134"/>
        <w:jc w:val="both"/>
        <w:rPr>
          <w:b/>
          <w:bCs/>
        </w:rPr>
      </w:pPr>
      <w:r>
        <w:rPr>
          <w:b/>
          <w:bCs/>
        </w:rPr>
        <w:t>Comercialização de energia</w:t>
      </w:r>
    </w:p>
    <w:p w:rsidR="003E6588" w:rsidRDefault="003E6588">
      <w:pPr>
        <w:ind w:left="1134"/>
        <w:jc w:val="both"/>
        <w:rPr>
          <w:b/>
          <w:bCs/>
        </w:rPr>
      </w:pPr>
    </w:p>
    <w:tbl>
      <w:tblPr>
        <w:tblW w:w="7143" w:type="dxa"/>
        <w:jc w:val="center"/>
        <w:tblInd w:w="-658" w:type="dxa"/>
        <w:tblCellMar>
          <w:left w:w="70" w:type="dxa"/>
          <w:right w:w="70" w:type="dxa"/>
        </w:tblCellMar>
        <w:tblLook w:val="04A0"/>
      </w:tblPr>
      <w:tblGrid>
        <w:gridCol w:w="2693"/>
        <w:gridCol w:w="2960"/>
        <w:gridCol w:w="176"/>
        <w:gridCol w:w="1314"/>
      </w:tblGrid>
      <w:tr w:rsidR="003E6588">
        <w:trPr>
          <w:trHeight w:val="173"/>
          <w:jc w:val="center"/>
        </w:trPr>
        <w:tc>
          <w:tcPr>
            <w:tcW w:w="5653" w:type="dxa"/>
            <w:gridSpan w:val="2"/>
            <w:tcBorders>
              <w:top w:val="single" w:sz="12" w:space="0" w:color="auto"/>
              <w:left w:val="single" w:sz="12" w:space="0" w:color="auto"/>
              <w:bottom w:val="single" w:sz="8" w:space="0" w:color="000000"/>
              <w:right w:val="single" w:sz="4" w:space="0" w:color="auto"/>
            </w:tcBorders>
            <w:shd w:val="clear" w:color="auto" w:fill="auto"/>
            <w:vAlign w:val="center"/>
            <w:hideMark/>
          </w:tcPr>
          <w:p w:rsidR="003E6588" w:rsidRDefault="003E6588">
            <w:pPr>
              <w:rPr>
                <w:b/>
                <w:bCs/>
                <w:color w:val="000000"/>
                <w:sz w:val="20"/>
                <w:szCs w:val="20"/>
              </w:rPr>
            </w:pPr>
            <w:r>
              <w:rPr>
                <w:b/>
                <w:bCs/>
                <w:color w:val="000000"/>
                <w:sz w:val="20"/>
                <w:szCs w:val="20"/>
              </w:rPr>
              <w:t>MODALIDADES DE VENDA</w:t>
            </w:r>
          </w:p>
        </w:tc>
        <w:tc>
          <w:tcPr>
            <w:tcW w:w="1490" w:type="dxa"/>
            <w:gridSpan w:val="2"/>
            <w:tcBorders>
              <w:top w:val="single" w:sz="12" w:space="0" w:color="auto"/>
              <w:left w:val="nil"/>
              <w:bottom w:val="single" w:sz="4" w:space="0" w:color="auto"/>
              <w:right w:val="single" w:sz="12" w:space="0" w:color="auto"/>
            </w:tcBorders>
            <w:shd w:val="clear" w:color="auto" w:fill="auto"/>
            <w:vAlign w:val="center"/>
            <w:hideMark/>
          </w:tcPr>
          <w:p w:rsidR="003E6588" w:rsidRDefault="003E6588">
            <w:pPr>
              <w:rPr>
                <w:b/>
                <w:bCs/>
                <w:color w:val="000000"/>
                <w:sz w:val="20"/>
                <w:szCs w:val="20"/>
              </w:rPr>
            </w:pPr>
            <w:r>
              <w:rPr>
                <w:b/>
                <w:bCs/>
                <w:color w:val="000000"/>
                <w:sz w:val="20"/>
                <w:szCs w:val="20"/>
              </w:rPr>
              <w:t>(MW médios</w:t>
            </w:r>
            <w:r>
              <w:rPr>
                <w:color w:val="000000"/>
                <w:sz w:val="20"/>
                <w:szCs w:val="20"/>
              </w:rPr>
              <w:t>)</w:t>
            </w:r>
          </w:p>
        </w:tc>
      </w:tr>
      <w:tr w:rsidR="003E6588" w:rsidTr="00F74CD7">
        <w:trPr>
          <w:trHeight w:val="364"/>
          <w:jc w:val="center"/>
        </w:trPr>
        <w:tc>
          <w:tcPr>
            <w:tcW w:w="5653" w:type="dxa"/>
            <w:gridSpan w:val="2"/>
            <w:tcBorders>
              <w:top w:val="single" w:sz="12" w:space="0" w:color="auto"/>
              <w:left w:val="single" w:sz="12" w:space="0" w:color="auto"/>
              <w:bottom w:val="single" w:sz="12" w:space="0" w:color="auto"/>
              <w:right w:val="single" w:sz="4" w:space="0" w:color="auto"/>
            </w:tcBorders>
            <w:shd w:val="clear" w:color="auto" w:fill="auto"/>
            <w:vAlign w:val="center"/>
            <w:hideMark/>
          </w:tcPr>
          <w:p w:rsidR="003E6588" w:rsidRDefault="003E6588">
            <w:pPr>
              <w:rPr>
                <w:color w:val="000000"/>
                <w:sz w:val="20"/>
                <w:szCs w:val="20"/>
              </w:rPr>
            </w:pPr>
            <w:r>
              <w:rPr>
                <w:b/>
                <w:color w:val="000000"/>
                <w:sz w:val="20"/>
                <w:szCs w:val="20"/>
              </w:rPr>
              <w:t>ACR</w:t>
            </w:r>
            <w:r>
              <w:rPr>
                <w:color w:val="000000"/>
                <w:sz w:val="20"/>
                <w:szCs w:val="20"/>
              </w:rPr>
              <w:t xml:space="preserve"> - Ambiente de Contratação Regulado</w:t>
            </w:r>
          </w:p>
          <w:p w:rsidR="003E6588" w:rsidRDefault="003E6588">
            <w:pPr>
              <w:rPr>
                <w:color w:val="000000"/>
                <w:sz w:val="20"/>
                <w:szCs w:val="20"/>
              </w:rPr>
            </w:pPr>
            <w:r>
              <w:rPr>
                <w:color w:val="000000"/>
                <w:sz w:val="20"/>
                <w:szCs w:val="20"/>
              </w:rPr>
              <w:t>(Em 2013 e 2014 - regime de cotas)</w:t>
            </w:r>
          </w:p>
        </w:tc>
        <w:tc>
          <w:tcPr>
            <w:tcW w:w="176" w:type="dxa"/>
            <w:tcBorders>
              <w:top w:val="single" w:sz="12" w:space="0" w:color="auto"/>
              <w:left w:val="single" w:sz="4" w:space="0" w:color="auto"/>
              <w:bottom w:val="single" w:sz="12" w:space="0" w:color="auto"/>
            </w:tcBorders>
            <w:shd w:val="clear" w:color="auto" w:fill="auto"/>
            <w:vAlign w:val="center"/>
          </w:tcPr>
          <w:p w:rsidR="003E6588" w:rsidRDefault="003E6588">
            <w:pPr>
              <w:rPr>
                <w:color w:val="000000"/>
                <w:sz w:val="20"/>
                <w:szCs w:val="20"/>
              </w:rPr>
            </w:pPr>
          </w:p>
        </w:tc>
        <w:tc>
          <w:tcPr>
            <w:tcW w:w="1314" w:type="dxa"/>
            <w:tcBorders>
              <w:top w:val="single" w:sz="12" w:space="0" w:color="auto"/>
              <w:left w:val="nil"/>
              <w:bottom w:val="single" w:sz="12" w:space="0" w:color="auto"/>
              <w:right w:val="single" w:sz="12" w:space="0" w:color="auto"/>
            </w:tcBorders>
            <w:shd w:val="clear" w:color="auto" w:fill="auto"/>
            <w:vAlign w:val="center"/>
          </w:tcPr>
          <w:p w:rsidR="003E6588" w:rsidRDefault="003E6588">
            <w:pPr>
              <w:rPr>
                <w:color w:val="000000"/>
                <w:sz w:val="20"/>
                <w:szCs w:val="20"/>
              </w:rPr>
            </w:pPr>
            <w:r>
              <w:rPr>
                <w:color w:val="000000"/>
                <w:sz w:val="20"/>
                <w:szCs w:val="20"/>
              </w:rPr>
              <w:t>157,45</w:t>
            </w:r>
          </w:p>
        </w:tc>
      </w:tr>
      <w:tr w:rsidR="003E6588" w:rsidTr="00F74CD7">
        <w:trPr>
          <w:trHeight w:val="268"/>
          <w:jc w:val="center"/>
        </w:trPr>
        <w:tc>
          <w:tcPr>
            <w:tcW w:w="2693"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rsidR="003E6588" w:rsidRDefault="003E6588">
            <w:pPr>
              <w:rPr>
                <w:color w:val="000000"/>
                <w:sz w:val="20"/>
                <w:szCs w:val="20"/>
              </w:rPr>
            </w:pPr>
            <w:r>
              <w:rPr>
                <w:b/>
                <w:color w:val="000000"/>
                <w:sz w:val="20"/>
                <w:szCs w:val="20"/>
              </w:rPr>
              <w:t>ACL</w:t>
            </w:r>
            <w:r>
              <w:rPr>
                <w:b/>
                <w:bCs/>
                <w:color w:val="000000"/>
                <w:sz w:val="20"/>
                <w:szCs w:val="20"/>
              </w:rPr>
              <w:t xml:space="preserve"> </w:t>
            </w:r>
            <w:r>
              <w:rPr>
                <w:color w:val="000000"/>
                <w:sz w:val="20"/>
                <w:szCs w:val="20"/>
              </w:rPr>
              <w:t>- Ambiente de Contratação Livre</w:t>
            </w:r>
          </w:p>
        </w:tc>
        <w:tc>
          <w:tcPr>
            <w:tcW w:w="2960" w:type="dxa"/>
            <w:tcBorders>
              <w:top w:val="single" w:sz="12" w:space="0" w:color="auto"/>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Vendas de Longo Prazo</w:t>
            </w:r>
          </w:p>
          <w:p w:rsidR="003E6588" w:rsidRDefault="003E6588">
            <w:pPr>
              <w:rPr>
                <w:color w:val="000000"/>
                <w:sz w:val="20"/>
                <w:szCs w:val="20"/>
              </w:rPr>
            </w:pPr>
            <w:r>
              <w:rPr>
                <w:color w:val="000000"/>
                <w:sz w:val="20"/>
                <w:szCs w:val="20"/>
              </w:rPr>
              <w:t>(contratos superiores há um ano)</w:t>
            </w:r>
          </w:p>
        </w:tc>
        <w:tc>
          <w:tcPr>
            <w:tcW w:w="176" w:type="dxa"/>
            <w:tcBorders>
              <w:top w:val="single" w:sz="12" w:space="0" w:color="auto"/>
              <w:left w:val="single" w:sz="4" w:space="0" w:color="auto"/>
              <w:bottom w:val="single" w:sz="4" w:space="0" w:color="auto"/>
            </w:tcBorders>
            <w:shd w:val="clear" w:color="auto" w:fill="auto"/>
            <w:vAlign w:val="center"/>
          </w:tcPr>
          <w:p w:rsidR="003E6588" w:rsidRDefault="003E6588">
            <w:pPr>
              <w:rPr>
                <w:color w:val="000000"/>
                <w:sz w:val="20"/>
                <w:szCs w:val="20"/>
              </w:rPr>
            </w:pPr>
          </w:p>
        </w:tc>
        <w:tc>
          <w:tcPr>
            <w:tcW w:w="1314" w:type="dxa"/>
            <w:tcBorders>
              <w:top w:val="single" w:sz="12" w:space="0" w:color="auto"/>
              <w:left w:val="nil"/>
              <w:bottom w:val="single" w:sz="4" w:space="0" w:color="auto"/>
              <w:right w:val="single" w:sz="12" w:space="0" w:color="auto"/>
            </w:tcBorders>
            <w:shd w:val="clear" w:color="auto" w:fill="auto"/>
            <w:vAlign w:val="center"/>
          </w:tcPr>
          <w:p w:rsidR="003E6588" w:rsidRDefault="003E6588">
            <w:pPr>
              <w:rPr>
                <w:color w:val="000000"/>
                <w:sz w:val="20"/>
                <w:szCs w:val="20"/>
              </w:rPr>
            </w:pPr>
            <w:r>
              <w:rPr>
                <w:color w:val="000000"/>
                <w:sz w:val="20"/>
                <w:szCs w:val="20"/>
              </w:rPr>
              <w:t>12,5</w:t>
            </w:r>
          </w:p>
        </w:tc>
      </w:tr>
      <w:tr w:rsidR="003E6588" w:rsidTr="00F74CD7">
        <w:trPr>
          <w:trHeight w:val="104"/>
          <w:jc w:val="center"/>
        </w:trPr>
        <w:tc>
          <w:tcPr>
            <w:tcW w:w="2693" w:type="dxa"/>
            <w:vMerge/>
            <w:tcBorders>
              <w:top w:val="single" w:sz="8" w:space="0" w:color="auto"/>
              <w:left w:val="single" w:sz="12" w:space="0" w:color="auto"/>
              <w:bottom w:val="single" w:sz="4" w:space="0" w:color="auto"/>
              <w:right w:val="single" w:sz="4" w:space="0" w:color="auto"/>
            </w:tcBorders>
            <w:shd w:val="clear" w:color="auto" w:fill="auto"/>
            <w:vAlign w:val="center"/>
            <w:hideMark/>
          </w:tcPr>
          <w:p w:rsidR="003E6588" w:rsidRDefault="003E6588">
            <w:pPr>
              <w:rPr>
                <w:color w:val="000000"/>
                <w:sz w:val="20"/>
                <w:szCs w:val="20"/>
              </w:rPr>
            </w:pPr>
          </w:p>
        </w:tc>
        <w:tc>
          <w:tcPr>
            <w:tcW w:w="2960" w:type="dxa"/>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Vendas de Curto Prazo</w:t>
            </w:r>
          </w:p>
        </w:tc>
        <w:tc>
          <w:tcPr>
            <w:tcW w:w="176" w:type="dxa"/>
            <w:tcBorders>
              <w:top w:val="nil"/>
              <w:left w:val="single" w:sz="4" w:space="0" w:color="auto"/>
              <w:bottom w:val="single" w:sz="4" w:space="0" w:color="auto"/>
            </w:tcBorders>
            <w:shd w:val="clear" w:color="auto" w:fill="auto"/>
            <w:vAlign w:val="center"/>
          </w:tcPr>
          <w:p w:rsidR="003E6588" w:rsidRDefault="003E6588">
            <w:pPr>
              <w:rPr>
                <w:color w:val="000000"/>
                <w:sz w:val="20"/>
                <w:szCs w:val="20"/>
              </w:rPr>
            </w:pPr>
          </w:p>
        </w:tc>
        <w:tc>
          <w:tcPr>
            <w:tcW w:w="1314" w:type="dxa"/>
            <w:tcBorders>
              <w:top w:val="nil"/>
              <w:left w:val="nil"/>
              <w:bottom w:val="single" w:sz="4" w:space="0" w:color="auto"/>
              <w:right w:val="single" w:sz="12" w:space="0" w:color="auto"/>
            </w:tcBorders>
            <w:shd w:val="clear" w:color="auto" w:fill="auto"/>
            <w:vAlign w:val="center"/>
          </w:tcPr>
          <w:p w:rsidR="003E6588" w:rsidRDefault="003E6588">
            <w:pPr>
              <w:rPr>
                <w:color w:val="000000"/>
                <w:sz w:val="20"/>
                <w:szCs w:val="20"/>
              </w:rPr>
            </w:pPr>
            <w:r>
              <w:rPr>
                <w:color w:val="000000"/>
                <w:sz w:val="20"/>
                <w:szCs w:val="20"/>
              </w:rPr>
              <w:t>0,5</w:t>
            </w:r>
          </w:p>
        </w:tc>
      </w:tr>
      <w:tr w:rsidR="003E6588" w:rsidTr="00F74CD7">
        <w:trPr>
          <w:trHeight w:val="135"/>
          <w:jc w:val="center"/>
        </w:trPr>
        <w:tc>
          <w:tcPr>
            <w:tcW w:w="2693" w:type="dxa"/>
            <w:vMerge/>
            <w:tcBorders>
              <w:top w:val="single" w:sz="8" w:space="0" w:color="auto"/>
              <w:left w:val="single" w:sz="12" w:space="0" w:color="auto"/>
              <w:bottom w:val="single" w:sz="12" w:space="0" w:color="auto"/>
              <w:right w:val="single" w:sz="4" w:space="0" w:color="auto"/>
            </w:tcBorders>
            <w:shd w:val="clear" w:color="auto" w:fill="auto"/>
            <w:vAlign w:val="center"/>
            <w:hideMark/>
          </w:tcPr>
          <w:p w:rsidR="003E6588" w:rsidRDefault="003E6588">
            <w:pPr>
              <w:rPr>
                <w:color w:val="000000"/>
                <w:sz w:val="20"/>
                <w:szCs w:val="20"/>
              </w:rPr>
            </w:pPr>
          </w:p>
        </w:tc>
        <w:tc>
          <w:tcPr>
            <w:tcW w:w="2960" w:type="dxa"/>
            <w:tcBorders>
              <w:top w:val="nil"/>
              <w:left w:val="nil"/>
              <w:bottom w:val="single" w:sz="12" w:space="0" w:color="auto"/>
              <w:right w:val="single" w:sz="4" w:space="0" w:color="auto"/>
            </w:tcBorders>
            <w:shd w:val="clear" w:color="auto" w:fill="auto"/>
            <w:vAlign w:val="center"/>
            <w:hideMark/>
          </w:tcPr>
          <w:p w:rsidR="003E6588" w:rsidRDefault="003E6588">
            <w:pPr>
              <w:rPr>
                <w:b/>
                <w:bCs/>
                <w:color w:val="000000"/>
                <w:sz w:val="20"/>
                <w:szCs w:val="20"/>
              </w:rPr>
            </w:pPr>
            <w:r>
              <w:rPr>
                <w:b/>
                <w:bCs/>
                <w:color w:val="000000"/>
                <w:sz w:val="20"/>
                <w:szCs w:val="20"/>
              </w:rPr>
              <w:t>Total</w:t>
            </w:r>
          </w:p>
        </w:tc>
        <w:tc>
          <w:tcPr>
            <w:tcW w:w="176" w:type="dxa"/>
            <w:tcBorders>
              <w:top w:val="nil"/>
              <w:left w:val="single" w:sz="4" w:space="0" w:color="auto"/>
              <w:bottom w:val="single" w:sz="12" w:space="0" w:color="auto"/>
            </w:tcBorders>
            <w:shd w:val="clear" w:color="auto" w:fill="auto"/>
            <w:vAlign w:val="center"/>
          </w:tcPr>
          <w:p w:rsidR="003E6588" w:rsidRDefault="003E6588">
            <w:pPr>
              <w:rPr>
                <w:color w:val="000000"/>
                <w:sz w:val="20"/>
                <w:szCs w:val="20"/>
              </w:rPr>
            </w:pPr>
          </w:p>
        </w:tc>
        <w:tc>
          <w:tcPr>
            <w:tcW w:w="1314" w:type="dxa"/>
            <w:tcBorders>
              <w:top w:val="nil"/>
              <w:left w:val="nil"/>
              <w:bottom w:val="single" w:sz="12" w:space="0" w:color="auto"/>
              <w:right w:val="single" w:sz="12" w:space="0" w:color="auto"/>
            </w:tcBorders>
            <w:shd w:val="clear" w:color="auto" w:fill="auto"/>
            <w:vAlign w:val="center"/>
          </w:tcPr>
          <w:p w:rsidR="003E6588" w:rsidRDefault="003E6588">
            <w:pPr>
              <w:rPr>
                <w:color w:val="000000"/>
                <w:sz w:val="20"/>
                <w:szCs w:val="20"/>
              </w:rPr>
            </w:pPr>
            <w:r>
              <w:rPr>
                <w:color w:val="000000"/>
                <w:sz w:val="20"/>
                <w:szCs w:val="20"/>
              </w:rPr>
              <w:t>13,0</w:t>
            </w:r>
          </w:p>
        </w:tc>
      </w:tr>
      <w:tr w:rsidR="003E6588" w:rsidTr="00F74CD7">
        <w:trPr>
          <w:trHeight w:val="158"/>
          <w:jc w:val="center"/>
        </w:trPr>
        <w:tc>
          <w:tcPr>
            <w:tcW w:w="5653" w:type="dxa"/>
            <w:gridSpan w:val="2"/>
            <w:tcBorders>
              <w:top w:val="single" w:sz="12" w:space="0" w:color="auto"/>
              <w:left w:val="single" w:sz="12" w:space="0" w:color="auto"/>
              <w:bottom w:val="single" w:sz="12" w:space="0" w:color="auto"/>
              <w:right w:val="single" w:sz="4" w:space="0" w:color="auto"/>
            </w:tcBorders>
            <w:shd w:val="clear" w:color="auto" w:fill="auto"/>
            <w:vAlign w:val="center"/>
            <w:hideMark/>
          </w:tcPr>
          <w:p w:rsidR="003E6588" w:rsidRDefault="003E6588">
            <w:pPr>
              <w:jc w:val="both"/>
              <w:rPr>
                <w:b/>
                <w:bCs/>
                <w:color w:val="000000"/>
                <w:sz w:val="20"/>
                <w:szCs w:val="20"/>
              </w:rPr>
            </w:pPr>
            <w:r>
              <w:rPr>
                <w:b/>
                <w:bCs/>
                <w:color w:val="000000"/>
                <w:sz w:val="20"/>
                <w:szCs w:val="20"/>
              </w:rPr>
              <w:t>Total ACR + ACL</w:t>
            </w:r>
          </w:p>
        </w:tc>
        <w:tc>
          <w:tcPr>
            <w:tcW w:w="176" w:type="dxa"/>
            <w:tcBorders>
              <w:top w:val="single" w:sz="12" w:space="0" w:color="auto"/>
              <w:left w:val="single" w:sz="4" w:space="0" w:color="auto"/>
              <w:bottom w:val="single" w:sz="12" w:space="0" w:color="auto"/>
            </w:tcBorders>
            <w:shd w:val="clear" w:color="auto" w:fill="auto"/>
            <w:vAlign w:val="center"/>
          </w:tcPr>
          <w:p w:rsidR="003E6588" w:rsidRDefault="003E6588">
            <w:pPr>
              <w:rPr>
                <w:b/>
                <w:bCs/>
                <w:color w:val="000000"/>
                <w:sz w:val="20"/>
                <w:szCs w:val="20"/>
              </w:rPr>
            </w:pPr>
          </w:p>
        </w:tc>
        <w:tc>
          <w:tcPr>
            <w:tcW w:w="1314" w:type="dxa"/>
            <w:tcBorders>
              <w:top w:val="single" w:sz="12" w:space="0" w:color="auto"/>
              <w:left w:val="nil"/>
              <w:bottom w:val="single" w:sz="12" w:space="0" w:color="auto"/>
              <w:right w:val="single" w:sz="12" w:space="0" w:color="auto"/>
            </w:tcBorders>
            <w:shd w:val="clear" w:color="auto" w:fill="auto"/>
            <w:vAlign w:val="center"/>
          </w:tcPr>
          <w:p w:rsidR="003E6588" w:rsidRDefault="003E6588">
            <w:pPr>
              <w:rPr>
                <w:b/>
                <w:bCs/>
                <w:color w:val="000000"/>
                <w:sz w:val="20"/>
                <w:szCs w:val="20"/>
              </w:rPr>
            </w:pPr>
            <w:r>
              <w:rPr>
                <w:b/>
                <w:bCs/>
                <w:color w:val="000000"/>
                <w:sz w:val="20"/>
                <w:szCs w:val="20"/>
              </w:rPr>
              <w:t>183,45</w:t>
            </w:r>
          </w:p>
        </w:tc>
      </w:tr>
    </w:tbl>
    <w:p w:rsidR="003E6588" w:rsidRDefault="003E6588">
      <w:pPr>
        <w:ind w:firstLine="1134"/>
        <w:jc w:val="both"/>
        <w:rPr>
          <w:b/>
          <w:bCs/>
        </w:rPr>
      </w:pPr>
    </w:p>
    <w:p w:rsidR="003E6588" w:rsidRDefault="003E6588">
      <w:pPr>
        <w:ind w:firstLine="1134"/>
        <w:jc w:val="both"/>
      </w:pPr>
      <w:r>
        <w:rPr>
          <w:b/>
          <w:bCs/>
        </w:rPr>
        <w:t xml:space="preserve">Arrendamento de ativos da UTE Piratininga - </w:t>
      </w:r>
      <w:r>
        <w:t>Mantiveram-se em andamento normal os pagamentos feitos à EMAE pela Baixada Santista Energia, subsidiária integral da Petrobras, referentes aos contratos de arrendamento e de operação e manutenção da Usina Termelétrica Piratininga.</w:t>
      </w:r>
    </w:p>
    <w:p w:rsidR="003E6588" w:rsidRDefault="003E6588">
      <w:pPr>
        <w:ind w:firstLine="1134"/>
        <w:jc w:val="both"/>
        <w:rPr>
          <w:b/>
          <w:bCs/>
        </w:rPr>
      </w:pPr>
    </w:p>
    <w:p w:rsidR="003E6588" w:rsidRDefault="003E6588">
      <w:pPr>
        <w:ind w:firstLine="1134"/>
        <w:jc w:val="both"/>
      </w:pPr>
      <w:r>
        <w:rPr>
          <w:b/>
          <w:bCs/>
        </w:rPr>
        <w:t xml:space="preserve">Pequena Central Hidrelétrica Pirapora </w:t>
      </w:r>
      <w:r w:rsidR="00D549F9">
        <w:rPr>
          <w:b/>
          <w:bCs/>
        </w:rPr>
        <w:t>-</w:t>
      </w:r>
      <w:r>
        <w:rPr>
          <w:b/>
          <w:bCs/>
        </w:rPr>
        <w:t xml:space="preserve"> </w:t>
      </w:r>
      <w:r>
        <w:t>Concluída a construção da PCH Pirapora, no Rio Tietê, Município de Pirapora do Bom Jesus, na já existente barragem de Pirapora, de propriedade da EMAE, pela Pirapora Energia S. A., subsidiária integral da EMAE. A usina conta com duas unidades geradoras, com potência instalada total de 25</w:t>
      </w:r>
      <w:r w:rsidR="00D549F9">
        <w:t>mw</w:t>
      </w:r>
      <w:r>
        <w:t xml:space="preserve"> e garantia física de 17,2</w:t>
      </w:r>
      <w:r w:rsidR="00D549F9">
        <w:t xml:space="preserve">mw </w:t>
      </w:r>
      <w:r>
        <w:t xml:space="preserve">médios. A Pirapora Energia S.A. possui autorização da Aneel para atuar como Produtor Independente de Energia. </w:t>
      </w:r>
      <w:r>
        <w:lastRenderedPageBreak/>
        <w:t>Foram comercializados 16</w:t>
      </w:r>
      <w:r w:rsidR="00D549F9">
        <w:t>mw</w:t>
      </w:r>
      <w:r>
        <w:t xml:space="preserve"> médios dessa usina, em leilão promovido pela Aneel, para atendimento a 27 distribuidoras de energia (mercado regulado), pelo prazo de 30 anos.</w:t>
      </w:r>
    </w:p>
    <w:p w:rsidR="003E6588" w:rsidRDefault="003E6588">
      <w:pPr>
        <w:ind w:firstLine="1134"/>
        <w:jc w:val="both"/>
      </w:pPr>
    </w:p>
    <w:p w:rsidR="003E6588" w:rsidRDefault="003E6588">
      <w:pPr>
        <w:ind w:firstLine="1134"/>
        <w:jc w:val="both"/>
      </w:pPr>
      <w:r>
        <w:rPr>
          <w:b/>
          <w:bCs/>
        </w:rPr>
        <w:t>Controle de cheias</w:t>
      </w:r>
      <w:r>
        <w:rPr>
          <w:b/>
          <w:color w:val="000000"/>
        </w:rPr>
        <w:t xml:space="preserve"> - </w:t>
      </w:r>
      <w:r>
        <w:t>Visando aumento da confiabilidade e da eficiência operacionais do sistema de reversão instalado no Canal Pinheiros, a empresa vem atuando em duas frentes:</w:t>
      </w:r>
    </w:p>
    <w:p w:rsidR="003E6588" w:rsidRDefault="003E6588">
      <w:pPr>
        <w:ind w:firstLine="1134"/>
        <w:jc w:val="both"/>
      </w:pPr>
    </w:p>
    <w:p w:rsidR="003E6588" w:rsidRDefault="003E6588">
      <w:pPr>
        <w:ind w:firstLine="1134"/>
        <w:jc w:val="both"/>
        <w:rPr>
          <w:bCs/>
          <w:strike/>
        </w:rPr>
      </w:pPr>
      <w:r>
        <w:rPr>
          <w:b/>
          <w:bCs/>
        </w:rPr>
        <w:t>Desassoreamento -</w:t>
      </w:r>
      <w:r>
        <w:rPr>
          <w:bCs/>
        </w:rPr>
        <w:t xml:space="preserve"> Os serviços de desassoreamento do Canal do Rio Pinheiros continuam em progresso. Foram retirados cerca de 2,0 milhões de metros cúbicos (m³) de assoreamento.</w:t>
      </w:r>
    </w:p>
    <w:p w:rsidR="003E6588" w:rsidRDefault="003E6588">
      <w:pPr>
        <w:ind w:firstLine="1134"/>
        <w:jc w:val="both"/>
        <w:rPr>
          <w:bCs/>
          <w:strike/>
        </w:rPr>
      </w:pPr>
    </w:p>
    <w:p w:rsidR="003E6588" w:rsidRDefault="003E6588">
      <w:pPr>
        <w:ind w:firstLine="1134"/>
        <w:jc w:val="both"/>
      </w:pPr>
      <w:r>
        <w:rPr>
          <w:b/>
          <w:bCs/>
        </w:rPr>
        <w:t>Serviços associados ao sistema hidroenergético -</w:t>
      </w:r>
      <w:r>
        <w:rPr>
          <w:bCs/>
        </w:rPr>
        <w:t xml:space="preserve"> Destaque para:</w:t>
      </w:r>
    </w:p>
    <w:p w:rsidR="003E6588" w:rsidRDefault="003E6588">
      <w:pPr>
        <w:ind w:firstLine="1134"/>
        <w:jc w:val="both"/>
      </w:pPr>
    </w:p>
    <w:p w:rsidR="003E6588" w:rsidRDefault="003E6588">
      <w:pPr>
        <w:autoSpaceDE w:val="0"/>
        <w:autoSpaceDN w:val="0"/>
        <w:adjustRightInd w:val="0"/>
        <w:ind w:firstLine="1134"/>
        <w:jc w:val="both"/>
      </w:pPr>
      <w:r>
        <w:t>Balsas - Opera três pontos de travessias no Reservatório Billings. O serviço é oferecido de forma ininterrupta e gratuita, transportando, anualmente, cerca de 1,4 milhão de veículos e 3,2 milhões de pedestres.</w:t>
      </w:r>
    </w:p>
    <w:p w:rsidR="003E6588" w:rsidRDefault="003E6588">
      <w:pPr>
        <w:autoSpaceDE w:val="0"/>
        <w:autoSpaceDN w:val="0"/>
        <w:adjustRightInd w:val="0"/>
        <w:ind w:firstLine="1134"/>
        <w:jc w:val="both"/>
      </w:pPr>
    </w:p>
    <w:p w:rsidR="003E6588" w:rsidRDefault="003E6588">
      <w:pPr>
        <w:ind w:firstLine="1134"/>
        <w:jc w:val="both"/>
      </w:pPr>
      <w:r>
        <w:t xml:space="preserve">Retirada anual de lixo - </w:t>
      </w:r>
      <w:r w:rsidRPr="00723018">
        <w:t>Canal Pinheiros</w:t>
      </w:r>
      <w:r>
        <w:t xml:space="preserve"> - Usinas de Pedreira e Traição, anualmente, 6.000 m³ de lixo, o que equivale a 2.400 toneladas; </w:t>
      </w:r>
      <w:r w:rsidRPr="00723018">
        <w:t>Rio Tietê -</w:t>
      </w:r>
      <w:r>
        <w:t xml:space="preserve"> Usinas de Rasgão e Porto Goes, 6.300 m³ de lixo (2.500 toneladas).</w:t>
      </w:r>
    </w:p>
    <w:p w:rsidR="003E6588" w:rsidRDefault="003E6588">
      <w:pPr>
        <w:ind w:firstLine="1134"/>
        <w:jc w:val="both"/>
      </w:pPr>
    </w:p>
    <w:p w:rsidR="003E6588" w:rsidRDefault="003E6588">
      <w:pPr>
        <w:ind w:firstLine="1134"/>
        <w:jc w:val="both"/>
      </w:pPr>
      <w:r>
        <w:t>Retirada de vegetação aquática do Canal Pinheiros - Média de 9.000 m³ por ano;</w:t>
      </w:r>
    </w:p>
    <w:p w:rsidR="003E6588" w:rsidRDefault="003E6588">
      <w:pPr>
        <w:ind w:firstLine="1134"/>
        <w:jc w:val="both"/>
      </w:pPr>
    </w:p>
    <w:p w:rsidR="003E6588" w:rsidRDefault="003E6588">
      <w:pPr>
        <w:autoSpaceDE w:val="0"/>
        <w:autoSpaceDN w:val="0"/>
        <w:adjustRightInd w:val="0"/>
        <w:ind w:firstLine="1134"/>
        <w:jc w:val="both"/>
      </w:pPr>
      <w:r>
        <w:t>Combate à proliferação de pernilongos - Ação conjunta com a Prefeitura do Município de São Paulo. Couberam à EMAE as retiradas de vegetação aquática e lixo do Canal e roçagem dos 50 km de margens do Canal (área de cerca de 500.000 m²/mês).</w:t>
      </w:r>
    </w:p>
    <w:p w:rsidR="003E6588" w:rsidRDefault="003E6588">
      <w:pPr>
        <w:autoSpaceDE w:val="0"/>
        <w:autoSpaceDN w:val="0"/>
        <w:adjustRightInd w:val="0"/>
        <w:jc w:val="both"/>
      </w:pPr>
    </w:p>
    <w:p w:rsidR="003E6588" w:rsidRDefault="003E6588">
      <w:pPr>
        <w:ind w:firstLine="1134"/>
        <w:jc w:val="both"/>
      </w:pPr>
      <w:r>
        <w:rPr>
          <w:b/>
          <w:bCs/>
        </w:rPr>
        <w:t xml:space="preserve">Meio Ambiente - </w:t>
      </w:r>
      <w:r>
        <w:t>Os principais destaques foram:</w:t>
      </w:r>
    </w:p>
    <w:p w:rsidR="003E6588" w:rsidRDefault="003E6588">
      <w:pPr>
        <w:ind w:firstLine="1134"/>
        <w:jc w:val="both"/>
      </w:pPr>
    </w:p>
    <w:p w:rsidR="003E6588" w:rsidRDefault="003E6588">
      <w:pPr>
        <w:ind w:firstLine="1134"/>
        <w:jc w:val="both"/>
      </w:pPr>
      <w:r>
        <w:t>Programas institucionais - Coleta seletiva na sede da Empresa e na U.E de Traição; coleta de óleo comestível usado nas instalações da EMAE e na escola da Usina de Henry Borden; coleta de filme radiográfico, utilização do papel sulfite produzido por bagaço da cana-de-açúcar.</w:t>
      </w:r>
    </w:p>
    <w:p w:rsidR="003E6588" w:rsidRDefault="003E6588">
      <w:pPr>
        <w:ind w:firstLine="1134"/>
        <w:jc w:val="both"/>
      </w:pPr>
    </w:p>
    <w:p w:rsidR="003E6588" w:rsidRDefault="003E6588">
      <w:pPr>
        <w:ind w:firstLine="1134"/>
        <w:jc w:val="both"/>
      </w:pPr>
      <w:r>
        <w:t>Viveiro de mudas - Doação de 400 mudas a duas comunidades da orla do Reservatório Billings, no entorno das instalações da empresa.</w:t>
      </w:r>
    </w:p>
    <w:p w:rsidR="003E6588" w:rsidRDefault="003E6588">
      <w:pPr>
        <w:ind w:firstLine="1134"/>
        <w:jc w:val="both"/>
      </w:pPr>
    </w:p>
    <w:p w:rsidR="003E6588" w:rsidRDefault="003E6588">
      <w:pPr>
        <w:ind w:firstLine="1134"/>
        <w:jc w:val="both"/>
      </w:pPr>
      <w:r>
        <w:t>Projeto Parques e Áreas Verdes Saudáveis PAVS - Realização de trabalhos de formação socioambiental e de apresentação do complexo hidroenergético da RMSP, para agentes dos postos de saúde do entorno do Reservatório Billings.</w:t>
      </w:r>
    </w:p>
    <w:p w:rsidR="003E6588" w:rsidRDefault="003E6588">
      <w:pPr>
        <w:ind w:firstLine="1134"/>
        <w:jc w:val="both"/>
      </w:pPr>
    </w:p>
    <w:p w:rsidR="003E6588" w:rsidRDefault="003E6588">
      <w:pPr>
        <w:ind w:firstLine="1134"/>
        <w:jc w:val="both"/>
      </w:pPr>
      <w:r>
        <w:t>Programa de Visitação para professores e estudantes de ensino superior na sede da Empresa e na Usina Henry Borden.</w:t>
      </w:r>
    </w:p>
    <w:p w:rsidR="00723018" w:rsidRDefault="00723018">
      <w:pPr>
        <w:ind w:firstLine="1134"/>
        <w:jc w:val="both"/>
      </w:pPr>
    </w:p>
    <w:p w:rsidR="003E6588" w:rsidRDefault="003E6588">
      <w:pPr>
        <w:ind w:firstLine="1134"/>
        <w:jc w:val="both"/>
      </w:pPr>
      <w:r>
        <w:t xml:space="preserve">Gerenciamento de Resíduos - A EMAE coletou, para descontaminação e reaproveitamento, 2.652 lâmpadas contendo vapor de mercúrio, 60 kg de pilhas e baterias retiradas de suas instalações e </w:t>
      </w:r>
      <w:r>
        <w:lastRenderedPageBreak/>
        <w:t>do uso de seus colaboradores; 1,5 mil pneus recolhidos do canal do Rio Pinheiros; 553 litros de óleo de cozinha e 60 kg de sucata de filme de raio X. Foram coletados em suas instalações e junto aos seus colaboradores 38,6 mil kg de materiais recicláveis, que foram destinados ao sistema cooperativo em apoio à manutenção de 60 postos de trabalho. Mantida a logística reversa, em consonância com a Política Estadual de Resíduos Sólidos, destinando 122 cartuchos e 203 toners de impressora usados; destinados 8.400 litros de óleo lubrificante contaminado.</w:t>
      </w:r>
    </w:p>
    <w:p w:rsidR="003E6588" w:rsidRDefault="003E6588">
      <w:pPr>
        <w:jc w:val="both"/>
      </w:pPr>
    </w:p>
    <w:p w:rsidR="003E6588" w:rsidRDefault="003E6588">
      <w:pPr>
        <w:ind w:firstLine="1134"/>
        <w:jc w:val="both"/>
      </w:pPr>
      <w:r>
        <w:rPr>
          <w:b/>
          <w:bCs/>
        </w:rPr>
        <w:t xml:space="preserve">Usina de Recuperação Energética - URE - </w:t>
      </w:r>
      <w:r>
        <w:t xml:space="preserve">Os estudos que a EMAE vem desenvolvendo visam apresentar solução energética e de saneamento para destinação de </w:t>
      </w:r>
      <w:r w:rsidR="00D549F9">
        <w:t xml:space="preserve">Resíduos Sólidos Urbanos - </w:t>
      </w:r>
      <w:r>
        <w:t>RSU. Tem analisado parcerias e trabalhado na formatação jurídica de Contratos de Programas com municípios. Dentre esses trabalhos, figuram a URE Caraguatatuba, utilizando resíduos sólidos urbanos, e a URE São Paulo, utilizando resíduos industriais e hospitalares.</w:t>
      </w:r>
    </w:p>
    <w:p w:rsidR="003E6588" w:rsidRDefault="003E6588">
      <w:pPr>
        <w:ind w:firstLine="1134"/>
        <w:jc w:val="both"/>
        <w:rPr>
          <w:b/>
          <w:bCs/>
        </w:rPr>
      </w:pPr>
    </w:p>
    <w:p w:rsidR="003E6588" w:rsidRDefault="003E6588">
      <w:pPr>
        <w:ind w:firstLine="1134"/>
        <w:jc w:val="both"/>
        <w:rPr>
          <w:strike/>
        </w:rPr>
      </w:pPr>
      <w:r>
        <w:rPr>
          <w:b/>
          <w:bCs/>
        </w:rPr>
        <w:t xml:space="preserve">Energia eólica - </w:t>
      </w:r>
      <w:r>
        <w:t>A empresa concluiu estudos de viabilidade técnica-econômica visando à implantação de sitio eólico no Alto da Serra do Mar, em terreno de propriedade da EMAE.</w:t>
      </w:r>
    </w:p>
    <w:p w:rsidR="003E6588" w:rsidRDefault="003E6588">
      <w:pPr>
        <w:ind w:firstLine="1134"/>
        <w:jc w:val="both"/>
        <w:rPr>
          <w:b/>
          <w:bCs/>
        </w:rPr>
      </w:pPr>
    </w:p>
    <w:p w:rsidR="003E6588" w:rsidRDefault="003E6588">
      <w:pPr>
        <w:ind w:firstLine="1134"/>
        <w:jc w:val="both"/>
        <w:rPr>
          <w:strike/>
        </w:rPr>
      </w:pPr>
      <w:r>
        <w:rPr>
          <w:b/>
          <w:bCs/>
        </w:rPr>
        <w:t xml:space="preserve">Energia solar - </w:t>
      </w:r>
      <w:r>
        <w:t>A empresa vem desenvolvendo estudos de viabilidade técnica-econômica visando à implantação de plantas solares.</w:t>
      </w:r>
    </w:p>
    <w:p w:rsidR="003E6588" w:rsidRDefault="003E6588">
      <w:pPr>
        <w:ind w:firstLine="1134"/>
        <w:jc w:val="both"/>
        <w:rPr>
          <w:b/>
          <w:bCs/>
        </w:rPr>
      </w:pPr>
    </w:p>
    <w:p w:rsidR="003E6588" w:rsidRDefault="003E6588">
      <w:pPr>
        <w:ind w:firstLine="1134"/>
        <w:jc w:val="both"/>
      </w:pPr>
      <w:r>
        <w:rPr>
          <w:b/>
          <w:bCs/>
        </w:rPr>
        <w:t xml:space="preserve">PCH - </w:t>
      </w:r>
      <w:r>
        <w:t>Foram analisadas as viabilidades técnicas dos empreendimentos Ado Popinhaki (19,3</w:t>
      </w:r>
      <w:r w:rsidR="00D549F9">
        <w:t>mw</w:t>
      </w:r>
      <w:r>
        <w:t>), situado na bacia do rio Canoas, em Santa Catarina, e Paredão de Minas (27,0</w:t>
      </w:r>
      <w:r w:rsidR="00D549F9">
        <w:t>mw</w:t>
      </w:r>
      <w:r>
        <w:t>), situado no rio do Sono, em Minas Gerais. Teve continuidade o estudo da PCH Santa Maria da Serra (11,0</w:t>
      </w:r>
      <w:r w:rsidR="00D549F9">
        <w:t>mw</w:t>
      </w:r>
      <w:r>
        <w:t>), no rio Piracicaba, em São Paulo, em parceria com o Departamento Hidroviário - DH. Permanecem as gestões junto à ANEEL e MME para liberação da repotenciação da PCH Edgard de Souza (23,0</w:t>
      </w:r>
      <w:r w:rsidR="00D549F9">
        <w:t>mw</w:t>
      </w:r>
      <w:r>
        <w:t>), no Rio Tietê.</w:t>
      </w:r>
    </w:p>
    <w:p w:rsidR="003E6588" w:rsidRDefault="003E6588">
      <w:pPr>
        <w:ind w:firstLine="1134"/>
        <w:jc w:val="both"/>
        <w:rPr>
          <w:b/>
          <w:bCs/>
        </w:rPr>
      </w:pPr>
    </w:p>
    <w:p w:rsidR="003E6588" w:rsidRDefault="003E6588">
      <w:pPr>
        <w:ind w:firstLine="1134"/>
        <w:jc w:val="both"/>
      </w:pPr>
      <w:r>
        <w:rPr>
          <w:b/>
          <w:bCs/>
        </w:rPr>
        <w:t xml:space="preserve">Eficientização energética - Iluminação Pública - </w:t>
      </w:r>
      <w:r>
        <w:t>A empresa deu continuidade aos estudos atinentes ao desenvolvimento desta atividade. Tem analisado parcerias e trabalhado na formatação jurídica de Contratos de Programas com municípios.</w:t>
      </w:r>
    </w:p>
    <w:p w:rsidR="003E6588" w:rsidRDefault="003E6588">
      <w:pPr>
        <w:ind w:firstLine="1134"/>
        <w:jc w:val="both"/>
        <w:rPr>
          <w:b/>
          <w:bCs/>
          <w:color w:val="000000"/>
        </w:rPr>
      </w:pPr>
    </w:p>
    <w:p w:rsidR="003E6588" w:rsidRDefault="003E6588">
      <w:pPr>
        <w:ind w:firstLine="1134"/>
        <w:jc w:val="both"/>
      </w:pPr>
      <w:r>
        <w:rPr>
          <w:b/>
          <w:bCs/>
          <w:color w:val="000000"/>
        </w:rPr>
        <w:t xml:space="preserve">Prestação de serviços para terceiros - </w:t>
      </w:r>
      <w:r>
        <w:t>Destaca-se a continuidade dos seguintes contratos de operação e manutenção: do complexo termelétrico composto pelas usinas Piratininga e Fernando Gasparian, da Baixada Santista Energia, subsidiária da Petrobras; da estação de bombeamento Eduardo Yassuda (córrego Água Espraiada), da Prefeitura do Município de São Paulo.</w:t>
      </w:r>
    </w:p>
    <w:p w:rsidR="003E6588" w:rsidRDefault="003E6588">
      <w:pPr>
        <w:ind w:firstLine="1134"/>
        <w:jc w:val="both"/>
        <w:rPr>
          <w:b/>
          <w:bCs/>
        </w:rPr>
      </w:pPr>
    </w:p>
    <w:p w:rsidR="003E6588" w:rsidRDefault="003E6588">
      <w:pPr>
        <w:ind w:firstLine="1134"/>
        <w:jc w:val="both"/>
        <w:rPr>
          <w:b/>
          <w:bCs/>
        </w:rPr>
      </w:pPr>
      <w:r>
        <w:rPr>
          <w:b/>
          <w:bCs/>
        </w:rPr>
        <w:t>Pesquisa e Desenvolvimento</w:t>
      </w:r>
      <w:r>
        <w:rPr>
          <w:bCs/>
        </w:rPr>
        <w:t xml:space="preserve"> - </w:t>
      </w:r>
      <w:r>
        <w:t xml:space="preserve">Permaneceram em andamento os projetos cooperados com outras Concessionárias “Aperfeiçoamento do Processo de Contratação da Expansão do Parque Gerador” e “Modelo de Otimização do Despacho Hidrotérmico” e de autoria da Empresa “Desenvolvimento de Metodologia para Precificação do Espaço dos Reservatórios de Geração de Energia Elétrica para seu uso como Área de Servidão (Dutos)”. Foram iniciados os seguintes projetos: “Arranjos Técnicos e Comerciais para Inserção da Geração de Energia Elétrica a partir de Biogás Oriundo de Resíduos e Efluentes Líquidos na Matriz Energética Brasileira”, “Desenvolvimento de Metodologia de Revisão Tarifária para Usinas Geradoras sob o Regime de Cotas - Aspectos de </w:t>
      </w:r>
      <w:r>
        <w:lastRenderedPageBreak/>
        <w:t>Regulação Econômica” e “Desenvolvimento de Metodologia de Revisão Tarifária para Usinas Geradoras sob o Regime de Cotas - Aspectos de Regulação em Engenharia”; concluído o projeto cooperado “Efeito das Mudanças Climáticas no Regime Hidrológico de Bacias Hidrográficas e na Energia Assegurada de Ap</w:t>
      </w:r>
      <w:r w:rsidR="00D549F9">
        <w:t>roveitamentos Hidroelétricos”.</w:t>
      </w:r>
    </w:p>
    <w:p w:rsidR="003E6588" w:rsidRPr="00723018" w:rsidRDefault="003E6588">
      <w:pPr>
        <w:ind w:firstLine="1134"/>
        <w:jc w:val="both"/>
        <w:rPr>
          <w:b/>
          <w:bCs/>
          <w:sz w:val="16"/>
          <w:szCs w:val="16"/>
        </w:rPr>
      </w:pPr>
    </w:p>
    <w:p w:rsidR="003E6588" w:rsidRPr="00723018" w:rsidRDefault="003E6588">
      <w:pPr>
        <w:ind w:firstLine="1134"/>
        <w:jc w:val="both"/>
        <w:rPr>
          <w:b/>
          <w:bCs/>
          <w:sz w:val="16"/>
          <w:szCs w:val="16"/>
        </w:rPr>
      </w:pPr>
    </w:p>
    <w:p w:rsidR="003E6588" w:rsidRDefault="003E6588">
      <w:pPr>
        <w:rPr>
          <w:rFonts w:eastAsia="Calibri"/>
          <w:b/>
          <w:lang w:eastAsia="en-US"/>
        </w:rPr>
      </w:pPr>
      <w:r>
        <w:rPr>
          <w:rFonts w:eastAsia="Calibri"/>
          <w:b/>
          <w:lang w:eastAsia="en-US"/>
        </w:rPr>
        <w:t>AGÊNCIA REGULADORA DE SANEAMENTO E ENERGIA - ARSESP</w:t>
      </w:r>
    </w:p>
    <w:p w:rsidR="003E6588" w:rsidRPr="00723018" w:rsidRDefault="003E6588">
      <w:pPr>
        <w:ind w:firstLine="1134"/>
        <w:jc w:val="both"/>
        <w:rPr>
          <w:rFonts w:eastAsia="Calibri"/>
          <w:b/>
          <w:sz w:val="16"/>
          <w:szCs w:val="16"/>
          <w:lang w:eastAsia="en-US"/>
        </w:rPr>
      </w:pPr>
    </w:p>
    <w:p w:rsidR="00D549F9" w:rsidRPr="00723018" w:rsidRDefault="00D549F9">
      <w:pPr>
        <w:ind w:firstLine="1134"/>
        <w:jc w:val="both"/>
        <w:rPr>
          <w:rFonts w:eastAsia="Calibri"/>
          <w:b/>
          <w:sz w:val="16"/>
          <w:szCs w:val="16"/>
          <w:lang w:eastAsia="en-US"/>
        </w:rPr>
      </w:pPr>
    </w:p>
    <w:p w:rsidR="003E6588" w:rsidRDefault="003E6588" w:rsidP="00D549F9">
      <w:pPr>
        <w:shd w:val="clear" w:color="auto" w:fill="FFFFFF"/>
        <w:ind w:right="5263" w:firstLine="1134"/>
        <w:jc w:val="both"/>
        <w:rPr>
          <w:b/>
          <w:bCs/>
        </w:rPr>
      </w:pPr>
      <w:r>
        <w:rPr>
          <w:b/>
          <w:bCs/>
        </w:rPr>
        <w:t>Saneamento básico</w:t>
      </w:r>
    </w:p>
    <w:p w:rsidR="003E6588" w:rsidRDefault="003E6588">
      <w:pPr>
        <w:shd w:val="clear" w:color="auto" w:fill="FFFFFF"/>
        <w:ind w:right="5263" w:firstLine="1134"/>
        <w:rPr>
          <w:b/>
          <w:bCs/>
        </w:rPr>
      </w:pPr>
    </w:p>
    <w:p w:rsidR="003E6588" w:rsidRDefault="003E6588">
      <w:pPr>
        <w:widowControl w:val="0"/>
        <w:autoSpaceDE w:val="0"/>
        <w:autoSpaceDN w:val="0"/>
        <w:adjustRightInd w:val="0"/>
        <w:ind w:firstLine="1134"/>
        <w:jc w:val="both"/>
        <w:rPr>
          <w:b/>
        </w:rPr>
      </w:pPr>
      <w:r>
        <w:rPr>
          <w:b/>
        </w:rPr>
        <w:t>Abastecimento de água e esgotamento sanitário</w:t>
      </w:r>
    </w:p>
    <w:p w:rsidR="003E6588" w:rsidRDefault="003E6588">
      <w:pPr>
        <w:widowControl w:val="0"/>
        <w:autoSpaceDE w:val="0"/>
        <w:autoSpaceDN w:val="0"/>
        <w:adjustRightInd w:val="0"/>
        <w:ind w:firstLine="1134"/>
        <w:jc w:val="both"/>
      </w:pPr>
    </w:p>
    <w:tbl>
      <w:tblPr>
        <w:tblW w:w="7796" w:type="dxa"/>
        <w:jc w:val="center"/>
        <w:tblInd w:w="95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4909"/>
        <w:gridCol w:w="2887"/>
      </w:tblGrid>
      <w:tr w:rsidR="003E6588" w:rsidTr="00D549F9">
        <w:trPr>
          <w:trHeight w:val="213"/>
          <w:jc w:val="center"/>
        </w:trPr>
        <w:tc>
          <w:tcPr>
            <w:tcW w:w="4909" w:type="dxa"/>
            <w:shd w:val="clear" w:color="auto" w:fill="auto"/>
          </w:tcPr>
          <w:p w:rsidR="003E6588" w:rsidRDefault="003E6588">
            <w:pPr>
              <w:spacing w:before="100" w:beforeAutospacing="1"/>
              <w:rPr>
                <w:b/>
                <w:sz w:val="20"/>
                <w:szCs w:val="20"/>
              </w:rPr>
            </w:pPr>
            <w:r>
              <w:rPr>
                <w:b/>
                <w:sz w:val="20"/>
                <w:szCs w:val="20"/>
              </w:rPr>
              <w:t>Operadoras</w:t>
            </w:r>
          </w:p>
        </w:tc>
        <w:tc>
          <w:tcPr>
            <w:tcW w:w="2887" w:type="dxa"/>
            <w:shd w:val="clear" w:color="auto" w:fill="auto"/>
          </w:tcPr>
          <w:p w:rsidR="003E6588" w:rsidRDefault="003E6588">
            <w:pPr>
              <w:spacing w:before="100" w:beforeAutospacing="1"/>
              <w:rPr>
                <w:b/>
                <w:sz w:val="20"/>
                <w:szCs w:val="20"/>
              </w:rPr>
            </w:pPr>
            <w:r>
              <w:rPr>
                <w:b/>
                <w:sz w:val="20"/>
                <w:szCs w:val="20"/>
              </w:rPr>
              <w:t>Qtde de municípios</w:t>
            </w:r>
          </w:p>
        </w:tc>
      </w:tr>
      <w:tr w:rsidR="003E6588" w:rsidTr="00D549F9">
        <w:trPr>
          <w:trHeight w:val="155"/>
          <w:jc w:val="center"/>
        </w:trPr>
        <w:tc>
          <w:tcPr>
            <w:tcW w:w="4909" w:type="dxa"/>
            <w:shd w:val="clear" w:color="auto" w:fill="auto"/>
          </w:tcPr>
          <w:p w:rsidR="003E6588" w:rsidRDefault="003E6588">
            <w:pPr>
              <w:spacing w:before="60"/>
              <w:jc w:val="both"/>
              <w:rPr>
                <w:sz w:val="20"/>
                <w:szCs w:val="20"/>
              </w:rPr>
            </w:pPr>
            <w:r>
              <w:rPr>
                <w:sz w:val="20"/>
                <w:szCs w:val="20"/>
              </w:rPr>
              <w:t>Sabesp</w:t>
            </w:r>
          </w:p>
        </w:tc>
        <w:tc>
          <w:tcPr>
            <w:tcW w:w="2887" w:type="dxa"/>
            <w:shd w:val="clear" w:color="auto" w:fill="auto"/>
            <w:vAlign w:val="center"/>
          </w:tcPr>
          <w:p w:rsidR="003E6588" w:rsidRDefault="003E6588">
            <w:pPr>
              <w:spacing w:before="100" w:beforeAutospacing="1"/>
              <w:rPr>
                <w:sz w:val="20"/>
                <w:szCs w:val="20"/>
              </w:rPr>
            </w:pPr>
            <w:r>
              <w:rPr>
                <w:sz w:val="20"/>
                <w:szCs w:val="20"/>
              </w:rPr>
              <w:t>275</w:t>
            </w:r>
          </w:p>
        </w:tc>
      </w:tr>
      <w:tr w:rsidR="003E6588" w:rsidTr="00D549F9">
        <w:trPr>
          <w:trHeight w:val="70"/>
          <w:jc w:val="center"/>
        </w:trPr>
        <w:tc>
          <w:tcPr>
            <w:tcW w:w="4909" w:type="dxa"/>
            <w:shd w:val="clear" w:color="auto" w:fill="auto"/>
          </w:tcPr>
          <w:p w:rsidR="003E6588" w:rsidRDefault="003E6588">
            <w:pPr>
              <w:spacing w:before="60"/>
              <w:jc w:val="both"/>
              <w:rPr>
                <w:sz w:val="20"/>
                <w:szCs w:val="20"/>
              </w:rPr>
            </w:pPr>
            <w:r>
              <w:rPr>
                <w:sz w:val="20"/>
                <w:szCs w:val="20"/>
              </w:rPr>
              <w:t>Foz de Santa Gertrudes, Saneaqua (Mairinque)</w:t>
            </w:r>
          </w:p>
        </w:tc>
        <w:tc>
          <w:tcPr>
            <w:tcW w:w="2887" w:type="dxa"/>
            <w:shd w:val="clear" w:color="auto" w:fill="auto"/>
            <w:vAlign w:val="center"/>
          </w:tcPr>
          <w:p w:rsidR="003E6588" w:rsidRDefault="003E6588">
            <w:pPr>
              <w:spacing w:before="100" w:beforeAutospacing="1"/>
              <w:rPr>
                <w:sz w:val="20"/>
                <w:szCs w:val="20"/>
              </w:rPr>
            </w:pPr>
            <w:r>
              <w:rPr>
                <w:sz w:val="20"/>
                <w:szCs w:val="20"/>
              </w:rPr>
              <w:t xml:space="preserve">    2</w:t>
            </w:r>
          </w:p>
        </w:tc>
      </w:tr>
      <w:tr w:rsidR="003E6588" w:rsidTr="00D549F9">
        <w:trPr>
          <w:trHeight w:val="119"/>
          <w:jc w:val="center"/>
        </w:trPr>
        <w:tc>
          <w:tcPr>
            <w:tcW w:w="4909" w:type="dxa"/>
            <w:shd w:val="clear" w:color="auto" w:fill="auto"/>
          </w:tcPr>
          <w:p w:rsidR="003E6588" w:rsidRDefault="003E6588">
            <w:pPr>
              <w:spacing w:before="100" w:beforeAutospacing="1"/>
              <w:jc w:val="both"/>
              <w:rPr>
                <w:b/>
                <w:sz w:val="20"/>
                <w:szCs w:val="20"/>
              </w:rPr>
            </w:pPr>
            <w:r>
              <w:rPr>
                <w:b/>
                <w:sz w:val="20"/>
                <w:szCs w:val="20"/>
              </w:rPr>
              <w:t>Total</w:t>
            </w:r>
          </w:p>
        </w:tc>
        <w:tc>
          <w:tcPr>
            <w:tcW w:w="2887" w:type="dxa"/>
            <w:shd w:val="clear" w:color="auto" w:fill="auto"/>
          </w:tcPr>
          <w:p w:rsidR="003E6588" w:rsidRDefault="003E6588">
            <w:pPr>
              <w:spacing w:before="100" w:beforeAutospacing="1"/>
              <w:rPr>
                <w:b/>
                <w:sz w:val="20"/>
                <w:szCs w:val="20"/>
              </w:rPr>
            </w:pPr>
            <w:r>
              <w:rPr>
                <w:b/>
                <w:sz w:val="20"/>
                <w:szCs w:val="20"/>
              </w:rPr>
              <w:t>277</w:t>
            </w:r>
          </w:p>
        </w:tc>
      </w:tr>
    </w:tbl>
    <w:p w:rsidR="003E6588" w:rsidRDefault="003E6588">
      <w:pPr>
        <w:jc w:val="both"/>
      </w:pPr>
    </w:p>
    <w:p w:rsidR="003E6588" w:rsidRDefault="003E6588">
      <w:pPr>
        <w:ind w:firstLine="1134"/>
        <w:jc w:val="both"/>
      </w:pPr>
      <w:r>
        <w:t>A atuação da Arsesp abrange também municípios das regiões metropolitanas de São Paulo, Baixada Santista, Campinas e Vale do Paraíba e Litoral Norte, operados pela Sabesp.</w:t>
      </w:r>
    </w:p>
    <w:p w:rsidR="003E6588" w:rsidRDefault="003E6588">
      <w:pPr>
        <w:jc w:val="both"/>
        <w:rPr>
          <w:color w:val="000000"/>
        </w:rPr>
      </w:pPr>
    </w:p>
    <w:p w:rsidR="003E6588" w:rsidRDefault="003E6588">
      <w:pPr>
        <w:ind w:firstLine="1134"/>
        <w:jc w:val="both"/>
        <w:rPr>
          <w:color w:val="000000"/>
        </w:rPr>
      </w:pPr>
      <w:r>
        <w:rPr>
          <w:b/>
          <w:color w:val="000000"/>
        </w:rPr>
        <w:t>Regulação -</w:t>
      </w:r>
      <w:r>
        <w:rPr>
          <w:color w:val="000000"/>
        </w:rPr>
        <w:t xml:space="preserve"> </w:t>
      </w:r>
      <w:r>
        <w:t>Entraram em vigor 20 deliberações envolvendo assuntos econômico-financeiros, incluindo as de reajustes e revisões tarifárias. A Agência deu continuidade aos trabalhos de regulação, elaborando e aperfeiçoando normas e procedimentos que disciplinam a prestação de serviços de saneamento, com ênfase em Consultas Públicas sobre conceito de economias não residenciais e prazos para reparos de vazamentos e revisão das Deliberações sobre condições gerais da prestação dos serviços e penalidades. Foram analisados os indicadores contratuais e de qualidade da água de 73 Municípios atendidos pela Sabesp, dos anos 2011, 2012 e 2013</w:t>
      </w:r>
    </w:p>
    <w:p w:rsidR="003E6588" w:rsidRDefault="003E6588">
      <w:pPr>
        <w:ind w:left="720"/>
        <w:jc w:val="both"/>
        <w:rPr>
          <w:color w:val="000000"/>
        </w:rPr>
      </w:pPr>
    </w:p>
    <w:p w:rsidR="003E6588" w:rsidRDefault="003E6588">
      <w:pPr>
        <w:ind w:left="1134"/>
        <w:jc w:val="both"/>
        <w:rPr>
          <w:b/>
          <w:color w:val="000000"/>
        </w:rPr>
      </w:pPr>
      <w:r>
        <w:rPr>
          <w:b/>
          <w:color w:val="000000"/>
        </w:rPr>
        <w:t>Fiscalização</w:t>
      </w:r>
    </w:p>
    <w:p w:rsidR="003E6588" w:rsidRDefault="003E6588">
      <w:pPr>
        <w:ind w:left="720"/>
        <w:jc w:val="both"/>
        <w:rPr>
          <w:color w:val="000000"/>
        </w:rPr>
      </w:pPr>
    </w:p>
    <w:tbl>
      <w:tblPr>
        <w:tblW w:w="8032" w:type="dxa"/>
        <w:jc w:val="center"/>
        <w:tblInd w:w="114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4721"/>
        <w:gridCol w:w="3311"/>
      </w:tblGrid>
      <w:tr w:rsidR="003E6588" w:rsidTr="00D549F9">
        <w:trPr>
          <w:trHeight w:val="81"/>
          <w:jc w:val="center"/>
        </w:trPr>
        <w:tc>
          <w:tcPr>
            <w:tcW w:w="4721" w:type="dxa"/>
            <w:shd w:val="clear" w:color="auto" w:fill="auto"/>
          </w:tcPr>
          <w:p w:rsidR="003E6588" w:rsidRDefault="003E6588">
            <w:pPr>
              <w:rPr>
                <w:b/>
                <w:color w:val="000000"/>
                <w:sz w:val="20"/>
                <w:szCs w:val="20"/>
              </w:rPr>
            </w:pPr>
            <w:r>
              <w:rPr>
                <w:b/>
                <w:color w:val="000000"/>
                <w:sz w:val="20"/>
                <w:szCs w:val="20"/>
              </w:rPr>
              <w:t>Fiscalizações</w:t>
            </w:r>
          </w:p>
        </w:tc>
        <w:tc>
          <w:tcPr>
            <w:tcW w:w="3311" w:type="dxa"/>
            <w:shd w:val="clear" w:color="auto" w:fill="auto"/>
          </w:tcPr>
          <w:p w:rsidR="003E6588" w:rsidRDefault="003E6588">
            <w:pPr>
              <w:rPr>
                <w:b/>
                <w:color w:val="000000"/>
                <w:sz w:val="20"/>
                <w:szCs w:val="20"/>
              </w:rPr>
            </w:pPr>
            <w:r>
              <w:rPr>
                <w:b/>
                <w:color w:val="000000"/>
                <w:sz w:val="20"/>
                <w:szCs w:val="20"/>
              </w:rPr>
              <w:t>Quantidade</w:t>
            </w:r>
          </w:p>
        </w:tc>
      </w:tr>
      <w:tr w:rsidR="003E6588" w:rsidTr="00D549F9">
        <w:trPr>
          <w:trHeight w:val="155"/>
          <w:jc w:val="center"/>
        </w:trPr>
        <w:tc>
          <w:tcPr>
            <w:tcW w:w="4721" w:type="dxa"/>
            <w:shd w:val="clear" w:color="auto" w:fill="auto"/>
          </w:tcPr>
          <w:p w:rsidR="003E6588" w:rsidRDefault="003E6588">
            <w:pPr>
              <w:spacing w:before="60"/>
              <w:jc w:val="both"/>
              <w:rPr>
                <w:sz w:val="20"/>
                <w:szCs w:val="20"/>
              </w:rPr>
            </w:pPr>
            <w:r>
              <w:rPr>
                <w:sz w:val="20"/>
                <w:szCs w:val="20"/>
              </w:rPr>
              <w:t>Técnicas operacionais</w:t>
            </w:r>
          </w:p>
        </w:tc>
        <w:tc>
          <w:tcPr>
            <w:tcW w:w="3311" w:type="dxa"/>
            <w:shd w:val="clear" w:color="auto" w:fill="auto"/>
            <w:vAlign w:val="center"/>
          </w:tcPr>
          <w:p w:rsidR="003E6588" w:rsidRDefault="003E6588">
            <w:pPr>
              <w:spacing w:before="100" w:beforeAutospacing="1"/>
              <w:rPr>
                <w:sz w:val="20"/>
                <w:szCs w:val="20"/>
              </w:rPr>
            </w:pPr>
            <w:r>
              <w:rPr>
                <w:bCs/>
                <w:sz w:val="20"/>
                <w:szCs w:val="20"/>
              </w:rPr>
              <w:t>715</w:t>
            </w:r>
          </w:p>
        </w:tc>
      </w:tr>
      <w:tr w:rsidR="003E6588" w:rsidTr="00D549F9">
        <w:trPr>
          <w:trHeight w:val="70"/>
          <w:jc w:val="center"/>
        </w:trPr>
        <w:tc>
          <w:tcPr>
            <w:tcW w:w="4721" w:type="dxa"/>
            <w:shd w:val="clear" w:color="auto" w:fill="auto"/>
          </w:tcPr>
          <w:p w:rsidR="003E6588" w:rsidRDefault="003E6588">
            <w:pPr>
              <w:spacing w:before="60"/>
              <w:jc w:val="both"/>
              <w:rPr>
                <w:sz w:val="20"/>
                <w:szCs w:val="20"/>
              </w:rPr>
            </w:pPr>
            <w:r>
              <w:rPr>
                <w:sz w:val="20"/>
                <w:szCs w:val="20"/>
              </w:rPr>
              <w:t>Comerciais</w:t>
            </w:r>
          </w:p>
        </w:tc>
        <w:tc>
          <w:tcPr>
            <w:tcW w:w="3311" w:type="dxa"/>
            <w:shd w:val="clear" w:color="auto" w:fill="auto"/>
            <w:vAlign w:val="center"/>
          </w:tcPr>
          <w:p w:rsidR="003E6588" w:rsidRDefault="003E6588">
            <w:pPr>
              <w:spacing w:before="100" w:beforeAutospacing="1"/>
              <w:rPr>
                <w:sz w:val="20"/>
                <w:szCs w:val="20"/>
              </w:rPr>
            </w:pPr>
            <w:r>
              <w:rPr>
                <w:sz w:val="20"/>
                <w:szCs w:val="20"/>
              </w:rPr>
              <w:t>233</w:t>
            </w:r>
          </w:p>
        </w:tc>
      </w:tr>
      <w:tr w:rsidR="003E6588" w:rsidTr="00D549F9">
        <w:trPr>
          <w:trHeight w:val="70"/>
          <w:jc w:val="center"/>
        </w:trPr>
        <w:tc>
          <w:tcPr>
            <w:tcW w:w="4721" w:type="dxa"/>
            <w:shd w:val="clear" w:color="auto" w:fill="auto"/>
          </w:tcPr>
          <w:p w:rsidR="003E6588" w:rsidRDefault="003E6588">
            <w:pPr>
              <w:spacing w:before="60"/>
              <w:jc w:val="both"/>
              <w:rPr>
                <w:b/>
                <w:sz w:val="20"/>
                <w:szCs w:val="20"/>
              </w:rPr>
            </w:pPr>
            <w:r>
              <w:rPr>
                <w:b/>
                <w:sz w:val="20"/>
                <w:szCs w:val="20"/>
              </w:rPr>
              <w:t>Total</w:t>
            </w:r>
          </w:p>
        </w:tc>
        <w:tc>
          <w:tcPr>
            <w:tcW w:w="3311" w:type="dxa"/>
            <w:shd w:val="clear" w:color="auto" w:fill="auto"/>
            <w:vAlign w:val="center"/>
          </w:tcPr>
          <w:p w:rsidR="003E6588" w:rsidRDefault="003E6588">
            <w:pPr>
              <w:spacing w:before="100" w:beforeAutospacing="1"/>
              <w:rPr>
                <w:b/>
                <w:sz w:val="20"/>
                <w:szCs w:val="20"/>
              </w:rPr>
            </w:pPr>
            <w:r>
              <w:rPr>
                <w:b/>
                <w:sz w:val="20"/>
                <w:szCs w:val="20"/>
              </w:rPr>
              <w:t>948</w:t>
            </w:r>
          </w:p>
        </w:tc>
      </w:tr>
      <w:tr w:rsidR="003E6588" w:rsidTr="00D549F9">
        <w:trPr>
          <w:trHeight w:val="311"/>
          <w:jc w:val="center"/>
        </w:trPr>
        <w:tc>
          <w:tcPr>
            <w:tcW w:w="8032" w:type="dxa"/>
            <w:gridSpan w:val="2"/>
            <w:shd w:val="clear" w:color="auto" w:fill="auto"/>
          </w:tcPr>
          <w:p w:rsidR="003E6588" w:rsidRDefault="003E6588">
            <w:pPr>
              <w:spacing w:before="60"/>
              <w:jc w:val="both"/>
              <w:rPr>
                <w:sz w:val="20"/>
                <w:szCs w:val="20"/>
              </w:rPr>
            </w:pPr>
            <w:r>
              <w:rPr>
                <w:sz w:val="20"/>
                <w:szCs w:val="20"/>
              </w:rPr>
              <w:t>Resultado das fiscalizações: emissão de 279 Termos de Notificação de Saneamento (TNS)</w:t>
            </w:r>
          </w:p>
        </w:tc>
      </w:tr>
    </w:tbl>
    <w:p w:rsidR="003E6588" w:rsidRDefault="003E6588">
      <w:pPr>
        <w:jc w:val="both"/>
        <w:rPr>
          <w:color w:val="000000"/>
        </w:rPr>
      </w:pPr>
    </w:p>
    <w:p w:rsidR="003E6588" w:rsidRDefault="003E6588" w:rsidP="00D549F9">
      <w:pPr>
        <w:ind w:firstLine="1134"/>
        <w:jc w:val="both"/>
        <w:rPr>
          <w:b/>
          <w:color w:val="000000"/>
        </w:rPr>
      </w:pPr>
      <w:r>
        <w:rPr>
          <w:b/>
          <w:color w:val="000000"/>
        </w:rPr>
        <w:t>Serviço de Atendimento ao Usuário - SAU na área de Saneamento</w:t>
      </w:r>
    </w:p>
    <w:p w:rsidR="003E6588" w:rsidRDefault="003E6588">
      <w:pPr>
        <w:ind w:left="142"/>
        <w:jc w:val="both"/>
        <w:rPr>
          <w:color w:val="000000"/>
        </w:rPr>
      </w:pPr>
    </w:p>
    <w:tbl>
      <w:tblPr>
        <w:tblW w:w="0" w:type="auto"/>
        <w:jc w:val="center"/>
        <w:tblInd w:w="-96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tblPr>
      <w:tblGrid>
        <w:gridCol w:w="4088"/>
        <w:gridCol w:w="2398"/>
      </w:tblGrid>
      <w:tr w:rsidR="003E6588" w:rsidTr="00D549F9">
        <w:trPr>
          <w:trHeight w:val="188"/>
          <w:jc w:val="center"/>
        </w:trPr>
        <w:tc>
          <w:tcPr>
            <w:tcW w:w="4088" w:type="dxa"/>
            <w:shd w:val="clear" w:color="auto" w:fill="auto"/>
            <w:vAlign w:val="center"/>
          </w:tcPr>
          <w:p w:rsidR="003E6588" w:rsidRDefault="003E6588">
            <w:pPr>
              <w:tabs>
                <w:tab w:val="left" w:pos="0"/>
              </w:tabs>
              <w:rPr>
                <w:b/>
                <w:sz w:val="20"/>
                <w:szCs w:val="20"/>
              </w:rPr>
            </w:pPr>
            <w:r>
              <w:rPr>
                <w:b/>
                <w:sz w:val="20"/>
                <w:szCs w:val="20"/>
              </w:rPr>
              <w:t>Indicador</w:t>
            </w:r>
          </w:p>
        </w:tc>
        <w:tc>
          <w:tcPr>
            <w:tcW w:w="2398" w:type="dxa"/>
            <w:shd w:val="clear" w:color="auto" w:fill="auto"/>
            <w:vAlign w:val="center"/>
          </w:tcPr>
          <w:p w:rsidR="003E6588" w:rsidRDefault="003E6588">
            <w:pPr>
              <w:tabs>
                <w:tab w:val="left" w:pos="0"/>
              </w:tabs>
              <w:rPr>
                <w:b/>
                <w:sz w:val="20"/>
                <w:szCs w:val="20"/>
              </w:rPr>
            </w:pPr>
            <w:r>
              <w:rPr>
                <w:b/>
                <w:sz w:val="20"/>
                <w:szCs w:val="20"/>
              </w:rPr>
              <w:t>Quantidade</w:t>
            </w:r>
          </w:p>
        </w:tc>
      </w:tr>
      <w:tr w:rsidR="003E6588" w:rsidTr="00D549F9">
        <w:trPr>
          <w:trHeight w:val="251"/>
          <w:jc w:val="center"/>
        </w:trPr>
        <w:tc>
          <w:tcPr>
            <w:tcW w:w="4088" w:type="dxa"/>
            <w:shd w:val="clear" w:color="auto" w:fill="auto"/>
            <w:vAlign w:val="center"/>
          </w:tcPr>
          <w:p w:rsidR="003E6588" w:rsidRDefault="003E6588" w:rsidP="00D549F9">
            <w:pPr>
              <w:tabs>
                <w:tab w:val="left" w:pos="0"/>
              </w:tabs>
              <w:jc w:val="left"/>
              <w:rPr>
                <w:sz w:val="20"/>
                <w:szCs w:val="20"/>
              </w:rPr>
            </w:pPr>
            <w:r>
              <w:rPr>
                <w:sz w:val="20"/>
                <w:szCs w:val="20"/>
              </w:rPr>
              <w:t>Informações e Orientações</w:t>
            </w:r>
          </w:p>
          <w:p w:rsidR="003E6588" w:rsidRDefault="003E6588" w:rsidP="00D549F9">
            <w:pPr>
              <w:tabs>
                <w:tab w:val="left" w:pos="0"/>
              </w:tabs>
              <w:jc w:val="left"/>
              <w:rPr>
                <w:sz w:val="20"/>
                <w:szCs w:val="20"/>
              </w:rPr>
            </w:pPr>
            <w:r>
              <w:rPr>
                <w:sz w:val="20"/>
                <w:szCs w:val="20"/>
              </w:rPr>
              <w:t>Reclamações</w:t>
            </w:r>
          </w:p>
        </w:tc>
        <w:tc>
          <w:tcPr>
            <w:tcW w:w="2398" w:type="dxa"/>
            <w:shd w:val="clear" w:color="auto" w:fill="auto"/>
            <w:vAlign w:val="center"/>
          </w:tcPr>
          <w:p w:rsidR="003E6588" w:rsidRDefault="003E6588">
            <w:pPr>
              <w:tabs>
                <w:tab w:val="left" w:pos="0"/>
              </w:tabs>
              <w:rPr>
                <w:sz w:val="20"/>
                <w:szCs w:val="20"/>
              </w:rPr>
            </w:pPr>
            <w:r>
              <w:rPr>
                <w:sz w:val="20"/>
                <w:szCs w:val="20"/>
              </w:rPr>
              <w:t>7.845</w:t>
            </w:r>
          </w:p>
          <w:p w:rsidR="003E6588" w:rsidRDefault="003E6588">
            <w:pPr>
              <w:tabs>
                <w:tab w:val="left" w:pos="0"/>
              </w:tabs>
              <w:rPr>
                <w:sz w:val="20"/>
                <w:szCs w:val="20"/>
              </w:rPr>
            </w:pPr>
            <w:r>
              <w:rPr>
                <w:sz w:val="20"/>
                <w:szCs w:val="20"/>
              </w:rPr>
              <w:t>3.805</w:t>
            </w:r>
          </w:p>
        </w:tc>
      </w:tr>
      <w:tr w:rsidR="003E6588" w:rsidTr="00D549F9">
        <w:trPr>
          <w:trHeight w:val="44"/>
          <w:jc w:val="center"/>
        </w:trPr>
        <w:tc>
          <w:tcPr>
            <w:tcW w:w="4088" w:type="dxa"/>
            <w:shd w:val="clear" w:color="auto" w:fill="auto"/>
            <w:vAlign w:val="center"/>
          </w:tcPr>
          <w:p w:rsidR="003E6588" w:rsidRDefault="003E6588" w:rsidP="00D549F9">
            <w:pPr>
              <w:tabs>
                <w:tab w:val="left" w:pos="0"/>
              </w:tabs>
              <w:jc w:val="left"/>
              <w:rPr>
                <w:b/>
                <w:sz w:val="20"/>
                <w:szCs w:val="20"/>
              </w:rPr>
            </w:pPr>
            <w:r>
              <w:rPr>
                <w:b/>
                <w:sz w:val="20"/>
                <w:szCs w:val="20"/>
              </w:rPr>
              <w:t>Total</w:t>
            </w:r>
          </w:p>
        </w:tc>
        <w:tc>
          <w:tcPr>
            <w:tcW w:w="2398" w:type="dxa"/>
            <w:shd w:val="clear" w:color="auto" w:fill="auto"/>
            <w:vAlign w:val="center"/>
          </w:tcPr>
          <w:p w:rsidR="003E6588" w:rsidRDefault="003E6588">
            <w:pPr>
              <w:tabs>
                <w:tab w:val="left" w:pos="0"/>
              </w:tabs>
              <w:rPr>
                <w:b/>
                <w:sz w:val="20"/>
                <w:szCs w:val="20"/>
              </w:rPr>
            </w:pPr>
            <w:r>
              <w:rPr>
                <w:b/>
                <w:sz w:val="20"/>
                <w:szCs w:val="20"/>
              </w:rPr>
              <w:t>11.650</w:t>
            </w:r>
          </w:p>
        </w:tc>
      </w:tr>
      <w:tr w:rsidR="003E6588" w:rsidTr="00D549F9">
        <w:trPr>
          <w:trHeight w:val="87"/>
          <w:jc w:val="center"/>
        </w:trPr>
        <w:tc>
          <w:tcPr>
            <w:tcW w:w="4088" w:type="dxa"/>
            <w:shd w:val="clear" w:color="auto" w:fill="auto"/>
            <w:vAlign w:val="center"/>
          </w:tcPr>
          <w:p w:rsidR="003E6588" w:rsidRDefault="003E6588" w:rsidP="00D549F9">
            <w:pPr>
              <w:tabs>
                <w:tab w:val="left" w:pos="0"/>
              </w:tabs>
              <w:jc w:val="left"/>
              <w:rPr>
                <w:sz w:val="20"/>
                <w:szCs w:val="20"/>
              </w:rPr>
            </w:pPr>
            <w:r>
              <w:rPr>
                <w:sz w:val="20"/>
                <w:szCs w:val="20"/>
              </w:rPr>
              <w:t>Principais tipos de reclamação</w:t>
            </w:r>
          </w:p>
        </w:tc>
        <w:tc>
          <w:tcPr>
            <w:tcW w:w="2398" w:type="dxa"/>
            <w:shd w:val="clear" w:color="auto" w:fill="auto"/>
            <w:vAlign w:val="center"/>
          </w:tcPr>
          <w:p w:rsidR="003E6588" w:rsidRDefault="003E6588">
            <w:pPr>
              <w:tabs>
                <w:tab w:val="left" w:pos="0"/>
              </w:tabs>
              <w:rPr>
                <w:sz w:val="20"/>
                <w:szCs w:val="20"/>
              </w:rPr>
            </w:pPr>
            <w:r>
              <w:rPr>
                <w:sz w:val="20"/>
                <w:szCs w:val="20"/>
              </w:rPr>
              <w:t>%</w:t>
            </w:r>
          </w:p>
        </w:tc>
      </w:tr>
      <w:tr w:rsidR="003E6588" w:rsidTr="00D549F9">
        <w:trPr>
          <w:trHeight w:val="137"/>
          <w:jc w:val="center"/>
        </w:trPr>
        <w:tc>
          <w:tcPr>
            <w:tcW w:w="4088" w:type="dxa"/>
            <w:shd w:val="clear" w:color="auto" w:fill="auto"/>
            <w:vAlign w:val="center"/>
          </w:tcPr>
          <w:p w:rsidR="003E6588" w:rsidRDefault="003E6588" w:rsidP="00D549F9">
            <w:pPr>
              <w:tabs>
                <w:tab w:val="left" w:pos="0"/>
              </w:tabs>
              <w:jc w:val="left"/>
              <w:rPr>
                <w:sz w:val="20"/>
                <w:szCs w:val="20"/>
              </w:rPr>
            </w:pPr>
            <w:r>
              <w:rPr>
                <w:sz w:val="20"/>
                <w:szCs w:val="20"/>
              </w:rPr>
              <w:lastRenderedPageBreak/>
              <w:t>Descontinuidade no abastecimento de água</w:t>
            </w:r>
          </w:p>
        </w:tc>
        <w:tc>
          <w:tcPr>
            <w:tcW w:w="2398" w:type="dxa"/>
            <w:shd w:val="clear" w:color="auto" w:fill="auto"/>
            <w:vAlign w:val="center"/>
          </w:tcPr>
          <w:p w:rsidR="003E6588" w:rsidRDefault="003E6588">
            <w:pPr>
              <w:tabs>
                <w:tab w:val="left" w:pos="0"/>
              </w:tabs>
              <w:rPr>
                <w:sz w:val="20"/>
                <w:szCs w:val="20"/>
              </w:rPr>
            </w:pPr>
            <w:r>
              <w:rPr>
                <w:sz w:val="20"/>
                <w:szCs w:val="20"/>
              </w:rPr>
              <w:t>28,02%</w:t>
            </w:r>
          </w:p>
        </w:tc>
      </w:tr>
      <w:tr w:rsidR="003E6588" w:rsidTr="00D549F9">
        <w:trPr>
          <w:trHeight w:val="137"/>
          <w:jc w:val="center"/>
        </w:trPr>
        <w:tc>
          <w:tcPr>
            <w:tcW w:w="4088" w:type="dxa"/>
            <w:shd w:val="clear" w:color="auto" w:fill="auto"/>
            <w:vAlign w:val="center"/>
          </w:tcPr>
          <w:p w:rsidR="003E6588" w:rsidRDefault="003E6588" w:rsidP="00D549F9">
            <w:pPr>
              <w:tabs>
                <w:tab w:val="left" w:pos="0"/>
              </w:tabs>
              <w:jc w:val="left"/>
              <w:rPr>
                <w:sz w:val="20"/>
                <w:szCs w:val="20"/>
              </w:rPr>
            </w:pPr>
            <w:r>
              <w:rPr>
                <w:sz w:val="20"/>
                <w:szCs w:val="20"/>
              </w:rPr>
              <w:t>Obstrução/Refluxo de esgoto</w:t>
            </w:r>
          </w:p>
        </w:tc>
        <w:tc>
          <w:tcPr>
            <w:tcW w:w="2398" w:type="dxa"/>
            <w:shd w:val="clear" w:color="auto" w:fill="auto"/>
            <w:vAlign w:val="center"/>
          </w:tcPr>
          <w:p w:rsidR="003E6588" w:rsidRDefault="003E6588">
            <w:pPr>
              <w:tabs>
                <w:tab w:val="left" w:pos="0"/>
              </w:tabs>
              <w:rPr>
                <w:sz w:val="20"/>
                <w:szCs w:val="20"/>
              </w:rPr>
            </w:pPr>
            <w:r>
              <w:rPr>
                <w:sz w:val="20"/>
                <w:szCs w:val="20"/>
              </w:rPr>
              <w:t>9,01%</w:t>
            </w:r>
          </w:p>
        </w:tc>
      </w:tr>
      <w:tr w:rsidR="003E6588" w:rsidTr="00D549F9">
        <w:trPr>
          <w:trHeight w:val="137"/>
          <w:jc w:val="center"/>
        </w:trPr>
        <w:tc>
          <w:tcPr>
            <w:tcW w:w="4088" w:type="dxa"/>
            <w:shd w:val="clear" w:color="auto" w:fill="auto"/>
            <w:vAlign w:val="center"/>
          </w:tcPr>
          <w:p w:rsidR="003E6588" w:rsidRDefault="003E6588" w:rsidP="00D549F9">
            <w:pPr>
              <w:tabs>
                <w:tab w:val="left" w:pos="0"/>
              </w:tabs>
              <w:jc w:val="left"/>
              <w:rPr>
                <w:sz w:val="20"/>
                <w:szCs w:val="20"/>
              </w:rPr>
            </w:pPr>
            <w:r>
              <w:rPr>
                <w:sz w:val="20"/>
                <w:szCs w:val="20"/>
              </w:rPr>
              <w:t>Vazamento de água</w:t>
            </w:r>
          </w:p>
        </w:tc>
        <w:tc>
          <w:tcPr>
            <w:tcW w:w="2398" w:type="dxa"/>
            <w:shd w:val="clear" w:color="auto" w:fill="auto"/>
            <w:vAlign w:val="center"/>
          </w:tcPr>
          <w:p w:rsidR="003E6588" w:rsidRDefault="003E6588">
            <w:pPr>
              <w:tabs>
                <w:tab w:val="left" w:pos="0"/>
              </w:tabs>
              <w:rPr>
                <w:sz w:val="20"/>
                <w:szCs w:val="20"/>
              </w:rPr>
            </w:pPr>
            <w:r>
              <w:rPr>
                <w:sz w:val="20"/>
                <w:szCs w:val="20"/>
              </w:rPr>
              <w:t>8,62%</w:t>
            </w:r>
          </w:p>
        </w:tc>
      </w:tr>
      <w:tr w:rsidR="003E6588" w:rsidTr="00D549F9">
        <w:trPr>
          <w:trHeight w:val="137"/>
          <w:jc w:val="center"/>
        </w:trPr>
        <w:tc>
          <w:tcPr>
            <w:tcW w:w="4088" w:type="dxa"/>
            <w:shd w:val="clear" w:color="auto" w:fill="auto"/>
            <w:vAlign w:val="center"/>
          </w:tcPr>
          <w:p w:rsidR="003E6588" w:rsidRDefault="003E6588" w:rsidP="00D549F9">
            <w:pPr>
              <w:tabs>
                <w:tab w:val="left" w:pos="0"/>
              </w:tabs>
              <w:jc w:val="left"/>
              <w:rPr>
                <w:sz w:val="20"/>
                <w:szCs w:val="20"/>
              </w:rPr>
            </w:pPr>
            <w:r>
              <w:rPr>
                <w:sz w:val="20"/>
                <w:szCs w:val="20"/>
              </w:rPr>
              <w:t>Vazamento de esgoto</w:t>
            </w:r>
          </w:p>
        </w:tc>
        <w:tc>
          <w:tcPr>
            <w:tcW w:w="2398" w:type="dxa"/>
            <w:shd w:val="clear" w:color="auto" w:fill="auto"/>
            <w:vAlign w:val="center"/>
          </w:tcPr>
          <w:p w:rsidR="003E6588" w:rsidRDefault="003E6588">
            <w:pPr>
              <w:tabs>
                <w:tab w:val="left" w:pos="0"/>
              </w:tabs>
              <w:rPr>
                <w:sz w:val="20"/>
                <w:szCs w:val="20"/>
              </w:rPr>
            </w:pPr>
            <w:r>
              <w:rPr>
                <w:sz w:val="20"/>
                <w:szCs w:val="20"/>
              </w:rPr>
              <w:t xml:space="preserve">  7,75%</w:t>
            </w:r>
          </w:p>
        </w:tc>
      </w:tr>
      <w:tr w:rsidR="003E6588" w:rsidTr="00D549F9">
        <w:trPr>
          <w:trHeight w:val="187"/>
          <w:jc w:val="center"/>
        </w:trPr>
        <w:tc>
          <w:tcPr>
            <w:tcW w:w="4088" w:type="dxa"/>
            <w:shd w:val="clear" w:color="auto" w:fill="auto"/>
            <w:vAlign w:val="center"/>
          </w:tcPr>
          <w:p w:rsidR="003E6588" w:rsidRDefault="003E6588" w:rsidP="00D549F9">
            <w:pPr>
              <w:tabs>
                <w:tab w:val="left" w:pos="0"/>
              </w:tabs>
              <w:jc w:val="left"/>
              <w:rPr>
                <w:sz w:val="20"/>
                <w:szCs w:val="20"/>
              </w:rPr>
            </w:pPr>
            <w:r>
              <w:rPr>
                <w:sz w:val="20"/>
                <w:szCs w:val="20"/>
              </w:rPr>
              <w:t>Faturamento/Consumo</w:t>
            </w:r>
          </w:p>
        </w:tc>
        <w:tc>
          <w:tcPr>
            <w:tcW w:w="2398" w:type="dxa"/>
            <w:shd w:val="clear" w:color="auto" w:fill="auto"/>
            <w:vAlign w:val="center"/>
          </w:tcPr>
          <w:p w:rsidR="003E6588" w:rsidRDefault="003E6588">
            <w:pPr>
              <w:tabs>
                <w:tab w:val="left" w:pos="0"/>
              </w:tabs>
              <w:rPr>
                <w:sz w:val="20"/>
                <w:szCs w:val="20"/>
              </w:rPr>
            </w:pPr>
            <w:r>
              <w:rPr>
                <w:sz w:val="20"/>
                <w:szCs w:val="20"/>
              </w:rPr>
              <w:t xml:space="preserve">  7,65%</w:t>
            </w:r>
          </w:p>
        </w:tc>
      </w:tr>
    </w:tbl>
    <w:p w:rsidR="003E6588" w:rsidRDefault="003E6588">
      <w:pPr>
        <w:ind w:firstLine="1134"/>
        <w:jc w:val="both"/>
      </w:pPr>
    </w:p>
    <w:p w:rsidR="003E6588" w:rsidRDefault="003E6588">
      <w:pPr>
        <w:ind w:firstLine="1134"/>
        <w:jc w:val="both"/>
      </w:pPr>
      <w:r>
        <w:t>Abrangendo todos os assuntos, o SAU atendeu usuários de 288 municípios.</w:t>
      </w:r>
    </w:p>
    <w:p w:rsidR="003E6588" w:rsidRPr="00723018" w:rsidRDefault="003E6588">
      <w:pPr>
        <w:jc w:val="both"/>
        <w:rPr>
          <w:bCs/>
        </w:rPr>
      </w:pPr>
    </w:p>
    <w:p w:rsidR="003E6588" w:rsidRDefault="003E6588">
      <w:pPr>
        <w:ind w:firstLine="1134"/>
        <w:jc w:val="both"/>
      </w:pPr>
      <w:r>
        <w:rPr>
          <w:b/>
          <w:bCs/>
        </w:rPr>
        <w:t xml:space="preserve">Energia elétrica - </w:t>
      </w:r>
      <w:r>
        <w:t xml:space="preserve">Atuando por delegação da Aneel, deu continuidade à fiscalização dos serviços de distribuição de energia elétrica realizado pelas 14 concessionárias de distribuição do Estado, 12 permissionárias e dos serviços prEstados por Pequenas Centrais Hidroelétricas </w:t>
      </w:r>
      <w:r w:rsidR="00D549F9">
        <w:t xml:space="preserve">- </w:t>
      </w:r>
      <w:r>
        <w:t xml:space="preserve">PCHs e Pequenas Centrais Termoelétricas </w:t>
      </w:r>
      <w:r w:rsidR="00D549F9">
        <w:t xml:space="preserve">- </w:t>
      </w:r>
      <w:r>
        <w:t>PCTs.</w:t>
      </w:r>
    </w:p>
    <w:p w:rsidR="003E6588" w:rsidRDefault="003E6588">
      <w:pPr>
        <w:ind w:firstLine="1134"/>
        <w:jc w:val="both"/>
      </w:pPr>
    </w:p>
    <w:p w:rsidR="003E6588" w:rsidRDefault="003E6588">
      <w:pPr>
        <w:ind w:firstLine="1134"/>
        <w:jc w:val="both"/>
        <w:rPr>
          <w:b/>
        </w:rPr>
      </w:pPr>
      <w:r>
        <w:rPr>
          <w:b/>
        </w:rPr>
        <w:t>Ações de fiscalização</w:t>
      </w:r>
    </w:p>
    <w:p w:rsidR="003E6588" w:rsidRDefault="003E6588">
      <w:pPr>
        <w:ind w:firstLine="1134"/>
        <w:jc w:val="both"/>
      </w:pPr>
    </w:p>
    <w:tbl>
      <w:tblPr>
        <w:tblW w:w="6447" w:type="dxa"/>
        <w:jc w:val="center"/>
        <w:tblInd w:w="-68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4102"/>
        <w:gridCol w:w="2345"/>
      </w:tblGrid>
      <w:tr w:rsidR="003E6588" w:rsidTr="00D549F9">
        <w:trPr>
          <w:trHeight w:val="81"/>
          <w:jc w:val="center"/>
        </w:trPr>
        <w:tc>
          <w:tcPr>
            <w:tcW w:w="4102" w:type="dxa"/>
            <w:shd w:val="clear" w:color="auto" w:fill="auto"/>
          </w:tcPr>
          <w:p w:rsidR="003E6588" w:rsidRDefault="003E6588">
            <w:pPr>
              <w:rPr>
                <w:b/>
                <w:color w:val="000000"/>
                <w:sz w:val="20"/>
                <w:szCs w:val="20"/>
              </w:rPr>
            </w:pPr>
            <w:r>
              <w:rPr>
                <w:b/>
                <w:color w:val="000000"/>
                <w:sz w:val="20"/>
                <w:szCs w:val="20"/>
              </w:rPr>
              <w:t>Fiscalizações do setor</w:t>
            </w:r>
          </w:p>
        </w:tc>
        <w:tc>
          <w:tcPr>
            <w:tcW w:w="2345" w:type="dxa"/>
            <w:shd w:val="clear" w:color="auto" w:fill="auto"/>
          </w:tcPr>
          <w:p w:rsidR="003E6588" w:rsidRDefault="003E6588">
            <w:pPr>
              <w:rPr>
                <w:b/>
                <w:color w:val="000000"/>
                <w:sz w:val="20"/>
                <w:szCs w:val="20"/>
              </w:rPr>
            </w:pPr>
            <w:r>
              <w:rPr>
                <w:b/>
                <w:color w:val="000000"/>
                <w:sz w:val="20"/>
                <w:szCs w:val="20"/>
              </w:rPr>
              <w:t>Quantidade</w:t>
            </w:r>
          </w:p>
        </w:tc>
      </w:tr>
      <w:tr w:rsidR="003E6588" w:rsidTr="00D549F9">
        <w:trPr>
          <w:trHeight w:val="82"/>
          <w:jc w:val="center"/>
        </w:trPr>
        <w:tc>
          <w:tcPr>
            <w:tcW w:w="4102" w:type="dxa"/>
            <w:shd w:val="clear" w:color="auto" w:fill="auto"/>
          </w:tcPr>
          <w:p w:rsidR="003E6588" w:rsidRDefault="003E6588">
            <w:pPr>
              <w:jc w:val="both"/>
              <w:rPr>
                <w:sz w:val="20"/>
                <w:szCs w:val="20"/>
              </w:rPr>
            </w:pPr>
            <w:r>
              <w:rPr>
                <w:sz w:val="20"/>
                <w:szCs w:val="20"/>
              </w:rPr>
              <w:t>Comerciais</w:t>
            </w:r>
          </w:p>
        </w:tc>
        <w:tc>
          <w:tcPr>
            <w:tcW w:w="2345" w:type="dxa"/>
            <w:shd w:val="clear" w:color="auto" w:fill="auto"/>
            <w:vAlign w:val="center"/>
          </w:tcPr>
          <w:p w:rsidR="003E6588" w:rsidRDefault="003E6588">
            <w:pPr>
              <w:rPr>
                <w:sz w:val="20"/>
                <w:szCs w:val="20"/>
              </w:rPr>
            </w:pPr>
            <w:r>
              <w:rPr>
                <w:sz w:val="20"/>
                <w:szCs w:val="20"/>
              </w:rPr>
              <w:t>19</w:t>
            </w:r>
          </w:p>
        </w:tc>
      </w:tr>
      <w:tr w:rsidR="003E6588" w:rsidTr="00D549F9">
        <w:trPr>
          <w:trHeight w:val="86"/>
          <w:jc w:val="center"/>
        </w:trPr>
        <w:tc>
          <w:tcPr>
            <w:tcW w:w="4102" w:type="dxa"/>
            <w:shd w:val="clear" w:color="auto" w:fill="auto"/>
          </w:tcPr>
          <w:p w:rsidR="003E6588" w:rsidRDefault="003E6588">
            <w:pPr>
              <w:jc w:val="both"/>
              <w:rPr>
                <w:sz w:val="20"/>
                <w:szCs w:val="20"/>
              </w:rPr>
            </w:pPr>
            <w:r>
              <w:rPr>
                <w:sz w:val="20"/>
                <w:szCs w:val="20"/>
              </w:rPr>
              <w:t>Técnicas</w:t>
            </w:r>
          </w:p>
        </w:tc>
        <w:tc>
          <w:tcPr>
            <w:tcW w:w="2345" w:type="dxa"/>
            <w:shd w:val="clear" w:color="auto" w:fill="auto"/>
            <w:vAlign w:val="center"/>
          </w:tcPr>
          <w:p w:rsidR="003E6588" w:rsidRDefault="003E6588">
            <w:pPr>
              <w:rPr>
                <w:sz w:val="20"/>
                <w:szCs w:val="20"/>
              </w:rPr>
            </w:pPr>
            <w:r>
              <w:rPr>
                <w:sz w:val="20"/>
                <w:szCs w:val="20"/>
              </w:rPr>
              <w:t>11</w:t>
            </w:r>
          </w:p>
        </w:tc>
      </w:tr>
      <w:tr w:rsidR="003E6588" w:rsidTr="00D549F9">
        <w:trPr>
          <w:trHeight w:val="70"/>
          <w:jc w:val="center"/>
        </w:trPr>
        <w:tc>
          <w:tcPr>
            <w:tcW w:w="4102" w:type="dxa"/>
            <w:shd w:val="clear" w:color="auto" w:fill="auto"/>
          </w:tcPr>
          <w:p w:rsidR="003E6588" w:rsidRDefault="003E6588">
            <w:pPr>
              <w:jc w:val="both"/>
              <w:rPr>
                <w:sz w:val="20"/>
                <w:szCs w:val="20"/>
              </w:rPr>
            </w:pPr>
            <w:r>
              <w:rPr>
                <w:sz w:val="20"/>
                <w:szCs w:val="20"/>
              </w:rPr>
              <w:t>Monitoramento</w:t>
            </w:r>
          </w:p>
        </w:tc>
        <w:tc>
          <w:tcPr>
            <w:tcW w:w="2345" w:type="dxa"/>
            <w:shd w:val="clear" w:color="auto" w:fill="auto"/>
            <w:vAlign w:val="center"/>
          </w:tcPr>
          <w:p w:rsidR="003E6588" w:rsidRDefault="003E6588">
            <w:pPr>
              <w:rPr>
                <w:sz w:val="20"/>
                <w:szCs w:val="20"/>
              </w:rPr>
            </w:pPr>
            <w:r>
              <w:rPr>
                <w:sz w:val="20"/>
                <w:szCs w:val="20"/>
              </w:rPr>
              <w:t>5</w:t>
            </w:r>
          </w:p>
        </w:tc>
      </w:tr>
      <w:tr w:rsidR="003E6588" w:rsidTr="00D549F9">
        <w:trPr>
          <w:trHeight w:val="70"/>
          <w:jc w:val="center"/>
        </w:trPr>
        <w:tc>
          <w:tcPr>
            <w:tcW w:w="4102" w:type="dxa"/>
            <w:shd w:val="clear" w:color="auto" w:fill="auto"/>
          </w:tcPr>
          <w:p w:rsidR="003E6588" w:rsidRDefault="003E6588">
            <w:pPr>
              <w:jc w:val="both"/>
              <w:rPr>
                <w:sz w:val="20"/>
                <w:szCs w:val="20"/>
              </w:rPr>
            </w:pPr>
            <w:r>
              <w:rPr>
                <w:sz w:val="20"/>
                <w:szCs w:val="20"/>
              </w:rPr>
              <w:t>Indicadores de Continuidade Individual</w:t>
            </w:r>
          </w:p>
        </w:tc>
        <w:tc>
          <w:tcPr>
            <w:tcW w:w="2345" w:type="dxa"/>
            <w:shd w:val="clear" w:color="auto" w:fill="auto"/>
            <w:vAlign w:val="center"/>
          </w:tcPr>
          <w:p w:rsidR="003E6588" w:rsidRDefault="003E6588">
            <w:pPr>
              <w:rPr>
                <w:sz w:val="20"/>
                <w:szCs w:val="20"/>
              </w:rPr>
            </w:pPr>
            <w:r>
              <w:rPr>
                <w:sz w:val="20"/>
                <w:szCs w:val="20"/>
              </w:rPr>
              <w:t>9</w:t>
            </w:r>
          </w:p>
        </w:tc>
      </w:tr>
      <w:tr w:rsidR="003E6588" w:rsidTr="00D549F9">
        <w:trPr>
          <w:trHeight w:val="70"/>
          <w:jc w:val="center"/>
        </w:trPr>
        <w:tc>
          <w:tcPr>
            <w:tcW w:w="4102" w:type="dxa"/>
            <w:shd w:val="clear" w:color="auto" w:fill="auto"/>
          </w:tcPr>
          <w:p w:rsidR="003E6588" w:rsidRDefault="003E6588">
            <w:pPr>
              <w:jc w:val="both"/>
              <w:rPr>
                <w:sz w:val="20"/>
                <w:szCs w:val="20"/>
              </w:rPr>
            </w:pPr>
            <w:r>
              <w:rPr>
                <w:sz w:val="20"/>
                <w:szCs w:val="20"/>
              </w:rPr>
              <w:t>Baixa Renda</w:t>
            </w:r>
          </w:p>
        </w:tc>
        <w:tc>
          <w:tcPr>
            <w:tcW w:w="2345" w:type="dxa"/>
            <w:shd w:val="clear" w:color="auto" w:fill="auto"/>
            <w:vAlign w:val="center"/>
          </w:tcPr>
          <w:p w:rsidR="003E6588" w:rsidRDefault="003E6588">
            <w:pPr>
              <w:rPr>
                <w:sz w:val="20"/>
                <w:szCs w:val="20"/>
              </w:rPr>
            </w:pPr>
            <w:r>
              <w:rPr>
                <w:sz w:val="20"/>
                <w:szCs w:val="20"/>
              </w:rPr>
              <w:t>6</w:t>
            </w:r>
          </w:p>
        </w:tc>
      </w:tr>
      <w:tr w:rsidR="003E6588" w:rsidTr="00D549F9">
        <w:trPr>
          <w:trHeight w:val="156"/>
          <w:jc w:val="center"/>
        </w:trPr>
        <w:tc>
          <w:tcPr>
            <w:tcW w:w="4102" w:type="dxa"/>
            <w:shd w:val="clear" w:color="auto" w:fill="auto"/>
          </w:tcPr>
          <w:p w:rsidR="003E6588" w:rsidRDefault="003E6588">
            <w:pPr>
              <w:jc w:val="both"/>
              <w:rPr>
                <w:b/>
                <w:sz w:val="20"/>
                <w:szCs w:val="20"/>
              </w:rPr>
            </w:pPr>
            <w:r>
              <w:rPr>
                <w:b/>
                <w:sz w:val="20"/>
                <w:szCs w:val="20"/>
              </w:rPr>
              <w:t>Total</w:t>
            </w:r>
          </w:p>
        </w:tc>
        <w:tc>
          <w:tcPr>
            <w:tcW w:w="2345" w:type="dxa"/>
            <w:shd w:val="clear" w:color="auto" w:fill="auto"/>
            <w:vAlign w:val="center"/>
          </w:tcPr>
          <w:p w:rsidR="003E6588" w:rsidRDefault="003E6588">
            <w:pPr>
              <w:rPr>
                <w:b/>
                <w:sz w:val="20"/>
                <w:szCs w:val="20"/>
              </w:rPr>
            </w:pPr>
            <w:r>
              <w:rPr>
                <w:b/>
                <w:sz w:val="20"/>
                <w:szCs w:val="20"/>
              </w:rPr>
              <w:t>50</w:t>
            </w:r>
          </w:p>
        </w:tc>
      </w:tr>
      <w:tr w:rsidR="003E6588" w:rsidTr="00D549F9">
        <w:trPr>
          <w:trHeight w:val="60"/>
          <w:jc w:val="center"/>
        </w:trPr>
        <w:tc>
          <w:tcPr>
            <w:tcW w:w="4102" w:type="dxa"/>
            <w:shd w:val="clear" w:color="auto" w:fill="auto"/>
            <w:vAlign w:val="center"/>
          </w:tcPr>
          <w:p w:rsidR="003E6588" w:rsidRDefault="003E6588">
            <w:pPr>
              <w:jc w:val="both"/>
              <w:rPr>
                <w:sz w:val="20"/>
                <w:szCs w:val="20"/>
              </w:rPr>
            </w:pPr>
            <w:r>
              <w:rPr>
                <w:sz w:val="20"/>
                <w:szCs w:val="20"/>
              </w:rPr>
              <w:t>Fiscalizações de PCTs/PCHs</w:t>
            </w:r>
          </w:p>
        </w:tc>
        <w:tc>
          <w:tcPr>
            <w:tcW w:w="2345" w:type="dxa"/>
            <w:shd w:val="clear" w:color="auto" w:fill="auto"/>
            <w:vAlign w:val="center"/>
          </w:tcPr>
          <w:p w:rsidR="003E6588" w:rsidRDefault="003E6588">
            <w:pPr>
              <w:rPr>
                <w:sz w:val="20"/>
                <w:szCs w:val="20"/>
              </w:rPr>
            </w:pPr>
            <w:r>
              <w:rPr>
                <w:sz w:val="20"/>
                <w:szCs w:val="20"/>
              </w:rPr>
              <w:t>66</w:t>
            </w:r>
          </w:p>
        </w:tc>
      </w:tr>
    </w:tbl>
    <w:p w:rsidR="003E6588" w:rsidRDefault="003E6588">
      <w:pPr>
        <w:jc w:val="both"/>
      </w:pPr>
    </w:p>
    <w:p w:rsidR="003E6588" w:rsidRDefault="003E6588">
      <w:pPr>
        <w:pStyle w:val="PargrafodaLista"/>
        <w:ind w:left="1134"/>
        <w:rPr>
          <w:rFonts w:ascii="Times New Roman" w:hAnsi="Times New Roman"/>
          <w:b/>
          <w:sz w:val="24"/>
          <w:szCs w:val="24"/>
        </w:rPr>
      </w:pPr>
      <w:r>
        <w:rPr>
          <w:rFonts w:ascii="Times New Roman" w:hAnsi="Times New Roman"/>
          <w:b/>
          <w:sz w:val="24"/>
          <w:szCs w:val="24"/>
        </w:rPr>
        <w:t xml:space="preserve">Autos de Infração </w:t>
      </w:r>
      <w:r w:rsidR="00723018">
        <w:rPr>
          <w:rFonts w:ascii="Times New Roman" w:hAnsi="Times New Roman"/>
          <w:b/>
          <w:sz w:val="24"/>
          <w:szCs w:val="24"/>
        </w:rPr>
        <w:t xml:space="preserve">- </w:t>
      </w:r>
      <w:r>
        <w:rPr>
          <w:rFonts w:ascii="Times New Roman" w:hAnsi="Times New Roman"/>
          <w:b/>
          <w:sz w:val="24"/>
          <w:szCs w:val="24"/>
        </w:rPr>
        <w:t>AIs</w:t>
      </w:r>
    </w:p>
    <w:p w:rsidR="003E6588" w:rsidRDefault="003E6588">
      <w:pPr>
        <w:pStyle w:val="PargrafodaLista"/>
        <w:ind w:left="142"/>
        <w:rPr>
          <w:rFonts w:ascii="Times New Roman" w:hAnsi="Times New Roman"/>
          <w:sz w:val="24"/>
          <w:szCs w:val="24"/>
        </w:rPr>
      </w:pPr>
    </w:p>
    <w:p w:rsidR="003E6588" w:rsidRDefault="003E6588">
      <w:pPr>
        <w:tabs>
          <w:tab w:val="left" w:pos="0"/>
        </w:tabs>
        <w:ind w:firstLine="1134"/>
        <w:jc w:val="both"/>
      </w:pPr>
      <w:r>
        <w:t>Emitidos - 32 Autos de Infração</w:t>
      </w:r>
    </w:p>
    <w:p w:rsidR="003E6588" w:rsidRDefault="003E6588">
      <w:pPr>
        <w:tabs>
          <w:tab w:val="left" w:pos="0"/>
        </w:tabs>
        <w:ind w:firstLine="1134"/>
        <w:jc w:val="both"/>
      </w:pPr>
    </w:p>
    <w:p w:rsidR="003E6588" w:rsidRDefault="003E6588">
      <w:pPr>
        <w:tabs>
          <w:tab w:val="left" w:pos="0"/>
        </w:tabs>
        <w:ind w:firstLine="1134"/>
        <w:jc w:val="both"/>
      </w:pPr>
      <w:r>
        <w:t>Resultado - 24 geraram multas e 8 foram advertências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Montante das multas - cerca de R$ 18 milhões</w:t>
      </w:r>
    </w:p>
    <w:p w:rsidR="003E6588" w:rsidRDefault="003E6588">
      <w:pPr>
        <w:pStyle w:val="PargrafodaLista"/>
        <w:ind w:left="142" w:firstLine="1134"/>
        <w:rPr>
          <w:rFonts w:ascii="Times New Roman" w:hAnsi="Times New Roman"/>
          <w:sz w:val="24"/>
          <w:szCs w:val="24"/>
        </w:rPr>
      </w:pPr>
    </w:p>
    <w:p w:rsidR="003E6588" w:rsidRDefault="003E6588">
      <w:pPr>
        <w:ind w:firstLine="1134"/>
        <w:jc w:val="both"/>
        <w:rPr>
          <w:b/>
          <w:bCs/>
        </w:rPr>
      </w:pPr>
      <w:r>
        <w:rPr>
          <w:b/>
          <w:bCs/>
        </w:rPr>
        <w:t>Demandas atendidas</w:t>
      </w:r>
    </w:p>
    <w:p w:rsidR="003E6588" w:rsidRDefault="003E6588">
      <w:pPr>
        <w:ind w:firstLine="1134"/>
        <w:jc w:val="both"/>
        <w:rPr>
          <w:b/>
        </w:rPr>
      </w:pPr>
    </w:p>
    <w:tbl>
      <w:tblPr>
        <w:tblW w:w="7357" w:type="dxa"/>
        <w:jc w:val="center"/>
        <w:tblInd w:w="-2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5373"/>
        <w:gridCol w:w="1984"/>
      </w:tblGrid>
      <w:tr w:rsidR="003E6588" w:rsidTr="0037781E">
        <w:trPr>
          <w:trHeight w:val="178"/>
          <w:jc w:val="center"/>
        </w:trPr>
        <w:tc>
          <w:tcPr>
            <w:tcW w:w="5373" w:type="dxa"/>
            <w:shd w:val="clear" w:color="auto" w:fill="auto"/>
          </w:tcPr>
          <w:p w:rsidR="003E6588" w:rsidRDefault="003E6588">
            <w:pPr>
              <w:rPr>
                <w:b/>
                <w:color w:val="000000"/>
                <w:sz w:val="20"/>
                <w:szCs w:val="20"/>
              </w:rPr>
            </w:pPr>
            <w:r>
              <w:rPr>
                <w:b/>
                <w:color w:val="000000"/>
                <w:sz w:val="20"/>
                <w:szCs w:val="20"/>
              </w:rPr>
              <w:t>Indicador</w:t>
            </w:r>
          </w:p>
        </w:tc>
        <w:tc>
          <w:tcPr>
            <w:tcW w:w="1984" w:type="dxa"/>
            <w:shd w:val="clear" w:color="auto" w:fill="auto"/>
          </w:tcPr>
          <w:p w:rsidR="003E6588" w:rsidRDefault="003E6588">
            <w:pPr>
              <w:rPr>
                <w:b/>
                <w:color w:val="000000"/>
                <w:sz w:val="20"/>
                <w:szCs w:val="20"/>
              </w:rPr>
            </w:pPr>
            <w:r>
              <w:rPr>
                <w:b/>
                <w:color w:val="000000"/>
                <w:sz w:val="20"/>
                <w:szCs w:val="20"/>
              </w:rPr>
              <w:t>Quantidade</w:t>
            </w:r>
          </w:p>
        </w:tc>
      </w:tr>
      <w:tr w:rsidR="003E6588" w:rsidTr="0037781E">
        <w:trPr>
          <w:trHeight w:val="80"/>
          <w:jc w:val="center"/>
        </w:trPr>
        <w:tc>
          <w:tcPr>
            <w:tcW w:w="5373" w:type="dxa"/>
            <w:shd w:val="clear" w:color="auto" w:fill="auto"/>
          </w:tcPr>
          <w:p w:rsidR="003E6588" w:rsidRDefault="003E6588">
            <w:pPr>
              <w:spacing w:before="40"/>
              <w:jc w:val="both"/>
              <w:rPr>
                <w:sz w:val="20"/>
                <w:szCs w:val="20"/>
              </w:rPr>
            </w:pPr>
            <w:r>
              <w:rPr>
                <w:sz w:val="20"/>
                <w:szCs w:val="20"/>
              </w:rPr>
              <w:t>Solicitações da Aneel</w:t>
            </w:r>
          </w:p>
        </w:tc>
        <w:tc>
          <w:tcPr>
            <w:tcW w:w="1984" w:type="dxa"/>
            <w:shd w:val="clear" w:color="auto" w:fill="auto"/>
            <w:vAlign w:val="center"/>
          </w:tcPr>
          <w:p w:rsidR="003E6588" w:rsidRDefault="003E6588">
            <w:pPr>
              <w:spacing w:before="40"/>
              <w:rPr>
                <w:sz w:val="20"/>
                <w:szCs w:val="20"/>
              </w:rPr>
            </w:pPr>
            <w:r>
              <w:rPr>
                <w:sz w:val="20"/>
                <w:szCs w:val="20"/>
              </w:rPr>
              <w:t>37</w:t>
            </w:r>
          </w:p>
        </w:tc>
      </w:tr>
      <w:tr w:rsidR="003E6588" w:rsidTr="0037781E">
        <w:trPr>
          <w:trHeight w:val="70"/>
          <w:jc w:val="center"/>
        </w:trPr>
        <w:tc>
          <w:tcPr>
            <w:tcW w:w="5373" w:type="dxa"/>
            <w:shd w:val="clear" w:color="auto" w:fill="auto"/>
          </w:tcPr>
          <w:p w:rsidR="003E6588" w:rsidRDefault="003E6588">
            <w:pPr>
              <w:spacing w:before="40"/>
              <w:jc w:val="both"/>
              <w:rPr>
                <w:sz w:val="20"/>
                <w:szCs w:val="20"/>
              </w:rPr>
            </w:pPr>
            <w:r>
              <w:rPr>
                <w:sz w:val="20"/>
                <w:szCs w:val="20"/>
              </w:rPr>
              <w:t>Solicitações de câmaras, prefeituras e procuradoria.</w:t>
            </w:r>
          </w:p>
        </w:tc>
        <w:tc>
          <w:tcPr>
            <w:tcW w:w="1984" w:type="dxa"/>
            <w:shd w:val="clear" w:color="auto" w:fill="auto"/>
            <w:vAlign w:val="center"/>
          </w:tcPr>
          <w:p w:rsidR="003E6588" w:rsidRDefault="003E6588">
            <w:pPr>
              <w:spacing w:before="40"/>
              <w:rPr>
                <w:sz w:val="20"/>
                <w:szCs w:val="20"/>
              </w:rPr>
            </w:pPr>
            <w:r>
              <w:rPr>
                <w:sz w:val="20"/>
                <w:szCs w:val="20"/>
              </w:rPr>
              <w:t>253</w:t>
            </w:r>
          </w:p>
        </w:tc>
      </w:tr>
      <w:tr w:rsidR="003E6588" w:rsidTr="0037781E">
        <w:trPr>
          <w:trHeight w:val="231"/>
          <w:jc w:val="center"/>
        </w:trPr>
        <w:tc>
          <w:tcPr>
            <w:tcW w:w="5373" w:type="dxa"/>
            <w:shd w:val="clear" w:color="auto" w:fill="auto"/>
          </w:tcPr>
          <w:p w:rsidR="003E6588" w:rsidRDefault="003E6588">
            <w:pPr>
              <w:spacing w:before="40"/>
              <w:jc w:val="both"/>
              <w:rPr>
                <w:sz w:val="20"/>
                <w:szCs w:val="20"/>
              </w:rPr>
            </w:pPr>
            <w:r>
              <w:rPr>
                <w:sz w:val="20"/>
                <w:szCs w:val="20"/>
              </w:rPr>
              <w:t>Processos administrativos oriundos de reclamações de ouvidoria</w:t>
            </w:r>
          </w:p>
        </w:tc>
        <w:tc>
          <w:tcPr>
            <w:tcW w:w="1984" w:type="dxa"/>
            <w:shd w:val="clear" w:color="auto" w:fill="auto"/>
            <w:vAlign w:val="center"/>
          </w:tcPr>
          <w:p w:rsidR="003E6588" w:rsidRDefault="003E6588">
            <w:pPr>
              <w:spacing w:before="40"/>
              <w:rPr>
                <w:sz w:val="20"/>
                <w:szCs w:val="20"/>
              </w:rPr>
            </w:pPr>
            <w:r>
              <w:rPr>
                <w:sz w:val="20"/>
                <w:szCs w:val="20"/>
              </w:rPr>
              <w:t>45</w:t>
            </w:r>
          </w:p>
        </w:tc>
      </w:tr>
      <w:tr w:rsidR="003E6588" w:rsidTr="0037781E">
        <w:trPr>
          <w:trHeight w:val="154"/>
          <w:jc w:val="center"/>
        </w:trPr>
        <w:tc>
          <w:tcPr>
            <w:tcW w:w="5373" w:type="dxa"/>
            <w:shd w:val="clear" w:color="auto" w:fill="auto"/>
          </w:tcPr>
          <w:p w:rsidR="003E6588" w:rsidRDefault="003E6588">
            <w:pPr>
              <w:spacing w:before="60"/>
              <w:jc w:val="both"/>
              <w:rPr>
                <w:b/>
                <w:sz w:val="20"/>
                <w:szCs w:val="20"/>
              </w:rPr>
            </w:pPr>
            <w:r>
              <w:rPr>
                <w:b/>
                <w:sz w:val="20"/>
                <w:szCs w:val="20"/>
              </w:rPr>
              <w:t>Total</w:t>
            </w:r>
          </w:p>
        </w:tc>
        <w:tc>
          <w:tcPr>
            <w:tcW w:w="1984" w:type="dxa"/>
            <w:shd w:val="clear" w:color="auto" w:fill="auto"/>
            <w:vAlign w:val="center"/>
          </w:tcPr>
          <w:p w:rsidR="003E6588" w:rsidRDefault="003E6588">
            <w:pPr>
              <w:spacing w:before="100" w:beforeAutospacing="1"/>
              <w:rPr>
                <w:b/>
                <w:sz w:val="20"/>
                <w:szCs w:val="20"/>
              </w:rPr>
            </w:pPr>
            <w:r>
              <w:rPr>
                <w:b/>
                <w:sz w:val="20"/>
                <w:szCs w:val="20"/>
              </w:rPr>
              <w:t>335</w:t>
            </w:r>
          </w:p>
        </w:tc>
      </w:tr>
    </w:tbl>
    <w:p w:rsidR="00723018" w:rsidRDefault="00723018" w:rsidP="0037781E">
      <w:pPr>
        <w:tabs>
          <w:tab w:val="left" w:pos="0"/>
        </w:tabs>
        <w:ind w:right="-164" w:firstLine="1134"/>
        <w:jc w:val="both"/>
        <w:rPr>
          <w:b/>
        </w:rPr>
      </w:pPr>
    </w:p>
    <w:p w:rsidR="003E6588" w:rsidRDefault="003E6588" w:rsidP="0037781E">
      <w:pPr>
        <w:tabs>
          <w:tab w:val="left" w:pos="0"/>
        </w:tabs>
        <w:ind w:right="-164" w:firstLine="1134"/>
        <w:jc w:val="both"/>
        <w:rPr>
          <w:b/>
        </w:rPr>
      </w:pPr>
      <w:r>
        <w:rPr>
          <w:b/>
        </w:rPr>
        <w:t xml:space="preserve">Serviço de Atendimento ao Usuário </w:t>
      </w:r>
      <w:r w:rsidR="0037781E">
        <w:rPr>
          <w:b/>
        </w:rPr>
        <w:t xml:space="preserve">- </w:t>
      </w:r>
      <w:r>
        <w:rPr>
          <w:b/>
        </w:rPr>
        <w:t>SAU</w:t>
      </w:r>
    </w:p>
    <w:p w:rsidR="003E6588" w:rsidRDefault="003E6588">
      <w:pPr>
        <w:tabs>
          <w:tab w:val="left" w:pos="0"/>
        </w:tabs>
        <w:ind w:right="-164" w:firstLine="1134"/>
      </w:pPr>
    </w:p>
    <w:tbl>
      <w:tblPr>
        <w:tblW w:w="0" w:type="auto"/>
        <w:jc w:val="center"/>
        <w:tblInd w:w="-2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tblPr>
      <w:tblGrid>
        <w:gridCol w:w="4641"/>
        <w:gridCol w:w="2120"/>
      </w:tblGrid>
      <w:tr w:rsidR="003E6588" w:rsidTr="0037781E">
        <w:trPr>
          <w:jc w:val="center"/>
        </w:trPr>
        <w:tc>
          <w:tcPr>
            <w:tcW w:w="4641" w:type="dxa"/>
            <w:shd w:val="clear" w:color="auto" w:fill="auto"/>
            <w:vAlign w:val="center"/>
          </w:tcPr>
          <w:p w:rsidR="003E6588" w:rsidRDefault="003E6588">
            <w:pPr>
              <w:tabs>
                <w:tab w:val="left" w:pos="0"/>
              </w:tabs>
              <w:rPr>
                <w:b/>
                <w:sz w:val="20"/>
                <w:szCs w:val="20"/>
              </w:rPr>
            </w:pPr>
            <w:r>
              <w:rPr>
                <w:b/>
                <w:sz w:val="20"/>
                <w:szCs w:val="20"/>
              </w:rPr>
              <w:t>Indicador</w:t>
            </w:r>
          </w:p>
        </w:tc>
        <w:tc>
          <w:tcPr>
            <w:tcW w:w="2120" w:type="dxa"/>
            <w:shd w:val="clear" w:color="auto" w:fill="auto"/>
            <w:vAlign w:val="center"/>
          </w:tcPr>
          <w:p w:rsidR="003E6588" w:rsidRDefault="003E6588">
            <w:pPr>
              <w:tabs>
                <w:tab w:val="left" w:pos="0"/>
              </w:tabs>
              <w:rPr>
                <w:b/>
                <w:sz w:val="20"/>
                <w:szCs w:val="20"/>
              </w:rPr>
            </w:pPr>
            <w:r>
              <w:rPr>
                <w:b/>
                <w:sz w:val="20"/>
                <w:szCs w:val="20"/>
              </w:rPr>
              <w:t>Quantidade</w:t>
            </w:r>
          </w:p>
        </w:tc>
      </w:tr>
      <w:tr w:rsidR="003E6588" w:rsidTr="0037781E">
        <w:trPr>
          <w:trHeight w:val="195"/>
          <w:jc w:val="center"/>
        </w:trPr>
        <w:tc>
          <w:tcPr>
            <w:tcW w:w="4641" w:type="dxa"/>
            <w:shd w:val="clear" w:color="auto" w:fill="auto"/>
            <w:vAlign w:val="center"/>
          </w:tcPr>
          <w:p w:rsidR="003E6588" w:rsidRDefault="003E6588" w:rsidP="0037781E">
            <w:pPr>
              <w:tabs>
                <w:tab w:val="left" w:pos="0"/>
              </w:tabs>
              <w:jc w:val="left"/>
              <w:rPr>
                <w:sz w:val="20"/>
                <w:szCs w:val="20"/>
              </w:rPr>
            </w:pPr>
            <w:r>
              <w:rPr>
                <w:sz w:val="20"/>
                <w:szCs w:val="20"/>
              </w:rPr>
              <w:t>Informações e Orientações</w:t>
            </w:r>
          </w:p>
          <w:p w:rsidR="003E6588" w:rsidRDefault="003E6588" w:rsidP="0037781E">
            <w:pPr>
              <w:tabs>
                <w:tab w:val="left" w:pos="-109"/>
              </w:tabs>
              <w:jc w:val="left"/>
              <w:rPr>
                <w:sz w:val="20"/>
                <w:szCs w:val="20"/>
              </w:rPr>
            </w:pPr>
            <w:r>
              <w:rPr>
                <w:sz w:val="20"/>
                <w:szCs w:val="20"/>
              </w:rPr>
              <w:lastRenderedPageBreak/>
              <w:t>Reclamações</w:t>
            </w:r>
          </w:p>
        </w:tc>
        <w:tc>
          <w:tcPr>
            <w:tcW w:w="2120" w:type="dxa"/>
            <w:shd w:val="clear" w:color="auto" w:fill="auto"/>
            <w:vAlign w:val="center"/>
          </w:tcPr>
          <w:p w:rsidR="003E6588" w:rsidRDefault="003E6588">
            <w:pPr>
              <w:tabs>
                <w:tab w:val="left" w:pos="0"/>
              </w:tabs>
              <w:rPr>
                <w:sz w:val="20"/>
                <w:szCs w:val="20"/>
              </w:rPr>
            </w:pPr>
            <w:r>
              <w:rPr>
                <w:sz w:val="20"/>
                <w:szCs w:val="20"/>
              </w:rPr>
              <w:lastRenderedPageBreak/>
              <w:t>196.059</w:t>
            </w:r>
          </w:p>
          <w:p w:rsidR="003E6588" w:rsidRDefault="003E6588">
            <w:pPr>
              <w:tabs>
                <w:tab w:val="left" w:pos="0"/>
              </w:tabs>
              <w:rPr>
                <w:sz w:val="20"/>
                <w:szCs w:val="20"/>
              </w:rPr>
            </w:pPr>
            <w:r>
              <w:rPr>
                <w:sz w:val="20"/>
                <w:szCs w:val="20"/>
              </w:rPr>
              <w:lastRenderedPageBreak/>
              <w:t xml:space="preserve">  26.873</w:t>
            </w:r>
          </w:p>
        </w:tc>
      </w:tr>
      <w:tr w:rsidR="003E6588" w:rsidTr="0037781E">
        <w:trPr>
          <w:trHeight w:val="60"/>
          <w:jc w:val="center"/>
        </w:trPr>
        <w:tc>
          <w:tcPr>
            <w:tcW w:w="4641" w:type="dxa"/>
            <w:shd w:val="clear" w:color="auto" w:fill="auto"/>
            <w:vAlign w:val="center"/>
          </w:tcPr>
          <w:p w:rsidR="003E6588" w:rsidRDefault="003E6588" w:rsidP="0037781E">
            <w:pPr>
              <w:tabs>
                <w:tab w:val="left" w:pos="0"/>
              </w:tabs>
              <w:jc w:val="left"/>
              <w:rPr>
                <w:sz w:val="20"/>
                <w:szCs w:val="20"/>
              </w:rPr>
            </w:pPr>
            <w:r>
              <w:rPr>
                <w:sz w:val="20"/>
                <w:szCs w:val="20"/>
              </w:rPr>
              <w:lastRenderedPageBreak/>
              <w:t>Total</w:t>
            </w:r>
          </w:p>
        </w:tc>
        <w:tc>
          <w:tcPr>
            <w:tcW w:w="2120" w:type="dxa"/>
            <w:shd w:val="clear" w:color="auto" w:fill="auto"/>
            <w:vAlign w:val="center"/>
          </w:tcPr>
          <w:p w:rsidR="003E6588" w:rsidRDefault="003E6588">
            <w:pPr>
              <w:tabs>
                <w:tab w:val="left" w:pos="0"/>
              </w:tabs>
              <w:rPr>
                <w:sz w:val="20"/>
                <w:szCs w:val="20"/>
              </w:rPr>
            </w:pPr>
            <w:r>
              <w:rPr>
                <w:sz w:val="20"/>
                <w:szCs w:val="20"/>
              </w:rPr>
              <w:t>222.932</w:t>
            </w:r>
          </w:p>
        </w:tc>
      </w:tr>
      <w:tr w:rsidR="003E6588" w:rsidTr="0037781E">
        <w:trPr>
          <w:jc w:val="center"/>
        </w:trPr>
        <w:tc>
          <w:tcPr>
            <w:tcW w:w="4641" w:type="dxa"/>
            <w:shd w:val="clear" w:color="auto" w:fill="auto"/>
            <w:vAlign w:val="center"/>
          </w:tcPr>
          <w:p w:rsidR="003E6588" w:rsidRDefault="003E6588" w:rsidP="0037781E">
            <w:pPr>
              <w:tabs>
                <w:tab w:val="left" w:pos="0"/>
              </w:tabs>
              <w:jc w:val="left"/>
              <w:rPr>
                <w:b/>
                <w:sz w:val="20"/>
                <w:szCs w:val="20"/>
              </w:rPr>
            </w:pPr>
            <w:r>
              <w:rPr>
                <w:b/>
                <w:sz w:val="20"/>
                <w:szCs w:val="20"/>
              </w:rPr>
              <w:t>Principais tipos de reclamação</w:t>
            </w:r>
          </w:p>
        </w:tc>
        <w:tc>
          <w:tcPr>
            <w:tcW w:w="2120" w:type="dxa"/>
            <w:shd w:val="clear" w:color="auto" w:fill="auto"/>
            <w:vAlign w:val="center"/>
          </w:tcPr>
          <w:p w:rsidR="003E6588" w:rsidRDefault="003E6588">
            <w:pPr>
              <w:tabs>
                <w:tab w:val="left" w:pos="0"/>
              </w:tabs>
              <w:rPr>
                <w:b/>
                <w:sz w:val="20"/>
                <w:szCs w:val="20"/>
              </w:rPr>
            </w:pPr>
            <w:r>
              <w:rPr>
                <w:b/>
                <w:sz w:val="20"/>
                <w:szCs w:val="20"/>
              </w:rPr>
              <w:t>%</w:t>
            </w:r>
          </w:p>
        </w:tc>
      </w:tr>
      <w:tr w:rsidR="003E6588" w:rsidTr="0037781E">
        <w:trPr>
          <w:trHeight w:val="137"/>
          <w:jc w:val="center"/>
        </w:trPr>
        <w:tc>
          <w:tcPr>
            <w:tcW w:w="4641" w:type="dxa"/>
            <w:shd w:val="clear" w:color="auto" w:fill="auto"/>
            <w:vAlign w:val="center"/>
          </w:tcPr>
          <w:p w:rsidR="003E6588" w:rsidRDefault="003E6588" w:rsidP="0037781E">
            <w:pPr>
              <w:tabs>
                <w:tab w:val="left" w:pos="0"/>
              </w:tabs>
              <w:jc w:val="left"/>
              <w:rPr>
                <w:sz w:val="20"/>
                <w:szCs w:val="20"/>
              </w:rPr>
            </w:pPr>
            <w:r>
              <w:rPr>
                <w:sz w:val="20"/>
                <w:szCs w:val="20"/>
              </w:rPr>
              <w:t xml:space="preserve">Ressarcimento de danos elétricos </w:t>
            </w:r>
          </w:p>
        </w:tc>
        <w:tc>
          <w:tcPr>
            <w:tcW w:w="2120" w:type="dxa"/>
            <w:shd w:val="clear" w:color="auto" w:fill="auto"/>
            <w:vAlign w:val="center"/>
          </w:tcPr>
          <w:p w:rsidR="003E6588" w:rsidRDefault="003E6588">
            <w:pPr>
              <w:tabs>
                <w:tab w:val="left" w:pos="0"/>
              </w:tabs>
              <w:rPr>
                <w:sz w:val="20"/>
                <w:szCs w:val="20"/>
              </w:rPr>
            </w:pPr>
            <w:r>
              <w:rPr>
                <w:sz w:val="20"/>
                <w:szCs w:val="20"/>
              </w:rPr>
              <w:t>20,47%</w:t>
            </w:r>
          </w:p>
        </w:tc>
      </w:tr>
      <w:tr w:rsidR="003E6588" w:rsidTr="0037781E">
        <w:trPr>
          <w:trHeight w:val="137"/>
          <w:jc w:val="center"/>
        </w:trPr>
        <w:tc>
          <w:tcPr>
            <w:tcW w:w="4641" w:type="dxa"/>
            <w:shd w:val="clear" w:color="auto" w:fill="auto"/>
            <w:vAlign w:val="center"/>
          </w:tcPr>
          <w:p w:rsidR="003E6588" w:rsidRDefault="003E6588" w:rsidP="0037781E">
            <w:pPr>
              <w:tabs>
                <w:tab w:val="left" w:pos="0"/>
              </w:tabs>
              <w:jc w:val="left"/>
              <w:rPr>
                <w:sz w:val="20"/>
                <w:szCs w:val="20"/>
              </w:rPr>
            </w:pPr>
            <w:r>
              <w:rPr>
                <w:sz w:val="20"/>
                <w:szCs w:val="20"/>
              </w:rPr>
              <w:t>Interrupção no fornecimento (falta de energia)</w:t>
            </w:r>
          </w:p>
        </w:tc>
        <w:tc>
          <w:tcPr>
            <w:tcW w:w="2120" w:type="dxa"/>
            <w:shd w:val="clear" w:color="auto" w:fill="auto"/>
            <w:vAlign w:val="center"/>
          </w:tcPr>
          <w:p w:rsidR="003E6588" w:rsidRDefault="003E6588">
            <w:pPr>
              <w:tabs>
                <w:tab w:val="left" w:pos="0"/>
              </w:tabs>
              <w:rPr>
                <w:sz w:val="20"/>
                <w:szCs w:val="20"/>
              </w:rPr>
            </w:pPr>
            <w:r>
              <w:rPr>
                <w:sz w:val="20"/>
                <w:szCs w:val="20"/>
              </w:rPr>
              <w:t>14,09%</w:t>
            </w:r>
          </w:p>
        </w:tc>
      </w:tr>
      <w:tr w:rsidR="003E6588" w:rsidTr="0037781E">
        <w:trPr>
          <w:trHeight w:val="137"/>
          <w:jc w:val="center"/>
        </w:trPr>
        <w:tc>
          <w:tcPr>
            <w:tcW w:w="4641" w:type="dxa"/>
            <w:shd w:val="clear" w:color="auto" w:fill="auto"/>
            <w:vAlign w:val="center"/>
          </w:tcPr>
          <w:p w:rsidR="003E6588" w:rsidRDefault="003E6588" w:rsidP="0037781E">
            <w:pPr>
              <w:tabs>
                <w:tab w:val="left" w:pos="0"/>
              </w:tabs>
              <w:jc w:val="left"/>
              <w:rPr>
                <w:sz w:val="20"/>
                <w:szCs w:val="20"/>
              </w:rPr>
            </w:pPr>
            <w:r>
              <w:rPr>
                <w:sz w:val="20"/>
                <w:szCs w:val="20"/>
              </w:rPr>
              <w:t>Variação de consumo/consumo elevado/erro de leitura</w:t>
            </w:r>
          </w:p>
        </w:tc>
        <w:tc>
          <w:tcPr>
            <w:tcW w:w="2120" w:type="dxa"/>
            <w:shd w:val="clear" w:color="auto" w:fill="auto"/>
            <w:vAlign w:val="center"/>
          </w:tcPr>
          <w:p w:rsidR="003E6588" w:rsidRDefault="003E6588">
            <w:pPr>
              <w:tabs>
                <w:tab w:val="left" w:pos="0"/>
              </w:tabs>
              <w:rPr>
                <w:sz w:val="20"/>
                <w:szCs w:val="20"/>
              </w:rPr>
            </w:pPr>
            <w:r>
              <w:rPr>
                <w:sz w:val="20"/>
                <w:szCs w:val="20"/>
              </w:rPr>
              <w:t xml:space="preserve">  11,96%</w:t>
            </w:r>
          </w:p>
        </w:tc>
      </w:tr>
      <w:tr w:rsidR="003E6588" w:rsidTr="0037781E">
        <w:trPr>
          <w:trHeight w:val="137"/>
          <w:jc w:val="center"/>
        </w:trPr>
        <w:tc>
          <w:tcPr>
            <w:tcW w:w="4641" w:type="dxa"/>
            <w:shd w:val="clear" w:color="auto" w:fill="auto"/>
            <w:vAlign w:val="center"/>
          </w:tcPr>
          <w:p w:rsidR="003E6588" w:rsidRDefault="003E6588" w:rsidP="0037781E">
            <w:pPr>
              <w:tabs>
                <w:tab w:val="left" w:pos="0"/>
              </w:tabs>
              <w:jc w:val="left"/>
              <w:rPr>
                <w:sz w:val="20"/>
                <w:szCs w:val="20"/>
              </w:rPr>
            </w:pPr>
            <w:r>
              <w:rPr>
                <w:sz w:val="20"/>
                <w:szCs w:val="20"/>
              </w:rPr>
              <w:t>Ligação</w:t>
            </w:r>
          </w:p>
        </w:tc>
        <w:tc>
          <w:tcPr>
            <w:tcW w:w="2120" w:type="dxa"/>
            <w:shd w:val="clear" w:color="auto" w:fill="auto"/>
            <w:vAlign w:val="center"/>
          </w:tcPr>
          <w:p w:rsidR="003E6588" w:rsidRDefault="003E6588">
            <w:pPr>
              <w:tabs>
                <w:tab w:val="left" w:pos="0"/>
              </w:tabs>
              <w:rPr>
                <w:sz w:val="20"/>
                <w:szCs w:val="20"/>
              </w:rPr>
            </w:pPr>
            <w:r>
              <w:rPr>
                <w:sz w:val="20"/>
                <w:szCs w:val="20"/>
              </w:rPr>
              <w:t xml:space="preserve">  8,98%</w:t>
            </w:r>
          </w:p>
        </w:tc>
      </w:tr>
      <w:tr w:rsidR="003E6588" w:rsidTr="0037781E">
        <w:trPr>
          <w:trHeight w:val="187"/>
          <w:jc w:val="center"/>
        </w:trPr>
        <w:tc>
          <w:tcPr>
            <w:tcW w:w="4641" w:type="dxa"/>
            <w:shd w:val="clear" w:color="auto" w:fill="auto"/>
          </w:tcPr>
          <w:p w:rsidR="003E6588" w:rsidRDefault="003E6588" w:rsidP="0037781E">
            <w:pPr>
              <w:tabs>
                <w:tab w:val="left" w:pos="0"/>
              </w:tabs>
              <w:jc w:val="left"/>
              <w:rPr>
                <w:sz w:val="20"/>
                <w:szCs w:val="20"/>
              </w:rPr>
            </w:pPr>
            <w:r>
              <w:rPr>
                <w:sz w:val="20"/>
                <w:szCs w:val="20"/>
              </w:rPr>
              <w:t>Faturamento por média</w:t>
            </w:r>
          </w:p>
        </w:tc>
        <w:tc>
          <w:tcPr>
            <w:tcW w:w="2120" w:type="dxa"/>
            <w:shd w:val="clear" w:color="auto" w:fill="auto"/>
            <w:vAlign w:val="center"/>
          </w:tcPr>
          <w:p w:rsidR="003E6588" w:rsidRDefault="003E6588">
            <w:pPr>
              <w:tabs>
                <w:tab w:val="left" w:pos="0"/>
              </w:tabs>
              <w:rPr>
                <w:sz w:val="20"/>
                <w:szCs w:val="20"/>
              </w:rPr>
            </w:pPr>
            <w:r>
              <w:rPr>
                <w:sz w:val="20"/>
                <w:szCs w:val="20"/>
              </w:rPr>
              <w:t xml:space="preserve">  6,73%</w:t>
            </w:r>
          </w:p>
        </w:tc>
      </w:tr>
    </w:tbl>
    <w:p w:rsidR="003E6588" w:rsidRDefault="003E6588">
      <w:pPr>
        <w:ind w:firstLine="1134"/>
        <w:jc w:val="both"/>
        <w:rPr>
          <w:bCs/>
        </w:rPr>
      </w:pPr>
    </w:p>
    <w:p w:rsidR="003E6588" w:rsidRDefault="003E6588">
      <w:pPr>
        <w:ind w:firstLine="1134"/>
        <w:jc w:val="both"/>
      </w:pPr>
      <w:r>
        <w:rPr>
          <w:b/>
          <w:bCs/>
        </w:rPr>
        <w:t>Gás canalizado -</w:t>
      </w:r>
      <w:r>
        <w:rPr>
          <w:b/>
          <w:bCs/>
          <w:color w:val="0000FF"/>
        </w:rPr>
        <w:t xml:space="preserve"> </w:t>
      </w:r>
      <w:r>
        <w:t>Os serviços de distribuição de gás canalizado foram fiscalizados nas três áreas de concessão definidas pelo Governo do Estado, tanto no que diz respeito à apuração de Indicadores de Qualidade e ao cumprimento de Expansões e Metas, consideradas nos Contratos de Concessão e/ou nos Processos de Revisão Tarifária, quanto em relação a Programas de Pesquisa e Desenvolvimento Tecnológico/Conservação e Racionalização do uso de gás natural e a Outras Obrigações Contratuais.</w:t>
      </w:r>
    </w:p>
    <w:p w:rsidR="003E6588" w:rsidRDefault="003E6588">
      <w:pPr>
        <w:ind w:firstLine="708"/>
        <w:jc w:val="both"/>
      </w:pPr>
    </w:p>
    <w:p w:rsidR="003E6588" w:rsidRDefault="003E6588">
      <w:pPr>
        <w:ind w:firstLine="1134"/>
        <w:jc w:val="both"/>
      </w:pPr>
      <w:r>
        <w:t>Além das fiscalizações executadas internamente, a partir da análise de documentos de entrega obrigatória, a Arsesp realizou 54 fiscalizações de campo, assim distribuídas:</w:t>
      </w:r>
    </w:p>
    <w:p w:rsidR="003E6588" w:rsidRDefault="003E6588">
      <w:pPr>
        <w:ind w:firstLine="1134"/>
        <w:jc w:val="both"/>
      </w:pPr>
    </w:p>
    <w:tbl>
      <w:tblPr>
        <w:tblW w:w="0" w:type="auto"/>
        <w:jc w:val="center"/>
        <w:tblInd w:w="269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tblPr>
      <w:tblGrid>
        <w:gridCol w:w="3504"/>
        <w:gridCol w:w="2389"/>
      </w:tblGrid>
      <w:tr w:rsidR="003E6588" w:rsidTr="0037781E">
        <w:trPr>
          <w:jc w:val="center"/>
        </w:trPr>
        <w:tc>
          <w:tcPr>
            <w:tcW w:w="3504" w:type="dxa"/>
            <w:shd w:val="clear" w:color="auto" w:fill="auto"/>
          </w:tcPr>
          <w:p w:rsidR="003E6588" w:rsidRDefault="003E6588">
            <w:pPr>
              <w:rPr>
                <w:b/>
                <w:sz w:val="20"/>
                <w:szCs w:val="20"/>
              </w:rPr>
            </w:pPr>
            <w:r>
              <w:rPr>
                <w:b/>
                <w:sz w:val="20"/>
                <w:szCs w:val="20"/>
              </w:rPr>
              <w:t>Concessionárias</w:t>
            </w:r>
          </w:p>
        </w:tc>
        <w:tc>
          <w:tcPr>
            <w:tcW w:w="2389" w:type="dxa"/>
            <w:shd w:val="clear" w:color="auto" w:fill="auto"/>
          </w:tcPr>
          <w:p w:rsidR="003E6588" w:rsidRDefault="003E6588">
            <w:pPr>
              <w:rPr>
                <w:b/>
                <w:sz w:val="20"/>
                <w:szCs w:val="20"/>
              </w:rPr>
            </w:pPr>
            <w:r>
              <w:rPr>
                <w:b/>
                <w:sz w:val="20"/>
                <w:szCs w:val="20"/>
              </w:rPr>
              <w:t>Número de fiscalizações</w:t>
            </w:r>
          </w:p>
        </w:tc>
      </w:tr>
      <w:tr w:rsidR="003E6588" w:rsidTr="0037781E">
        <w:trPr>
          <w:trHeight w:val="137"/>
          <w:jc w:val="center"/>
        </w:trPr>
        <w:tc>
          <w:tcPr>
            <w:tcW w:w="3504" w:type="dxa"/>
            <w:shd w:val="clear" w:color="auto" w:fill="auto"/>
          </w:tcPr>
          <w:p w:rsidR="003E6588" w:rsidRDefault="003E6588" w:rsidP="0037781E">
            <w:pPr>
              <w:ind w:firstLine="17"/>
              <w:jc w:val="left"/>
              <w:rPr>
                <w:sz w:val="20"/>
                <w:szCs w:val="20"/>
              </w:rPr>
            </w:pPr>
            <w:r>
              <w:rPr>
                <w:sz w:val="20"/>
                <w:szCs w:val="20"/>
              </w:rPr>
              <w:t>Comgás</w:t>
            </w:r>
          </w:p>
        </w:tc>
        <w:tc>
          <w:tcPr>
            <w:tcW w:w="2389" w:type="dxa"/>
            <w:shd w:val="clear" w:color="auto" w:fill="auto"/>
          </w:tcPr>
          <w:p w:rsidR="003E6588" w:rsidRDefault="003E6588">
            <w:pPr>
              <w:rPr>
                <w:smallCaps/>
                <w:sz w:val="20"/>
                <w:szCs w:val="20"/>
              </w:rPr>
            </w:pPr>
            <w:r>
              <w:rPr>
                <w:smallCaps/>
                <w:sz w:val="20"/>
                <w:szCs w:val="20"/>
              </w:rPr>
              <w:t>26</w:t>
            </w:r>
          </w:p>
        </w:tc>
      </w:tr>
      <w:tr w:rsidR="003E6588" w:rsidTr="0037781E">
        <w:trPr>
          <w:trHeight w:val="137"/>
          <w:jc w:val="center"/>
        </w:trPr>
        <w:tc>
          <w:tcPr>
            <w:tcW w:w="3504" w:type="dxa"/>
            <w:shd w:val="clear" w:color="auto" w:fill="auto"/>
          </w:tcPr>
          <w:p w:rsidR="003E6588" w:rsidRDefault="003E6588" w:rsidP="0037781E">
            <w:pPr>
              <w:ind w:firstLine="17"/>
              <w:jc w:val="left"/>
              <w:rPr>
                <w:sz w:val="20"/>
                <w:szCs w:val="20"/>
              </w:rPr>
            </w:pPr>
            <w:r>
              <w:rPr>
                <w:sz w:val="20"/>
                <w:szCs w:val="20"/>
              </w:rPr>
              <w:t>Gás Natural SPS</w:t>
            </w:r>
          </w:p>
        </w:tc>
        <w:tc>
          <w:tcPr>
            <w:tcW w:w="2389" w:type="dxa"/>
            <w:shd w:val="clear" w:color="auto" w:fill="auto"/>
          </w:tcPr>
          <w:p w:rsidR="003E6588" w:rsidRDefault="003E6588">
            <w:pPr>
              <w:rPr>
                <w:smallCaps/>
                <w:sz w:val="20"/>
                <w:szCs w:val="20"/>
              </w:rPr>
            </w:pPr>
            <w:r>
              <w:rPr>
                <w:smallCaps/>
                <w:sz w:val="20"/>
                <w:szCs w:val="20"/>
              </w:rPr>
              <w:t>18</w:t>
            </w:r>
          </w:p>
        </w:tc>
      </w:tr>
      <w:tr w:rsidR="003E6588" w:rsidTr="0037781E">
        <w:trPr>
          <w:trHeight w:val="137"/>
          <w:jc w:val="center"/>
        </w:trPr>
        <w:tc>
          <w:tcPr>
            <w:tcW w:w="3504" w:type="dxa"/>
            <w:shd w:val="clear" w:color="auto" w:fill="auto"/>
          </w:tcPr>
          <w:p w:rsidR="003E6588" w:rsidRDefault="003E6588" w:rsidP="0037781E">
            <w:pPr>
              <w:ind w:firstLine="17"/>
              <w:jc w:val="left"/>
              <w:rPr>
                <w:sz w:val="20"/>
                <w:szCs w:val="20"/>
              </w:rPr>
            </w:pPr>
            <w:r>
              <w:rPr>
                <w:sz w:val="20"/>
                <w:szCs w:val="20"/>
              </w:rPr>
              <w:t>Gás Brasiliano</w:t>
            </w:r>
          </w:p>
        </w:tc>
        <w:tc>
          <w:tcPr>
            <w:tcW w:w="2389" w:type="dxa"/>
            <w:shd w:val="clear" w:color="auto" w:fill="auto"/>
          </w:tcPr>
          <w:p w:rsidR="003E6588" w:rsidRDefault="003E6588">
            <w:pPr>
              <w:rPr>
                <w:smallCaps/>
                <w:sz w:val="20"/>
                <w:szCs w:val="20"/>
              </w:rPr>
            </w:pPr>
            <w:r>
              <w:rPr>
                <w:smallCaps/>
                <w:sz w:val="20"/>
                <w:szCs w:val="20"/>
              </w:rPr>
              <w:t>10</w:t>
            </w:r>
          </w:p>
        </w:tc>
      </w:tr>
      <w:tr w:rsidR="003E6588" w:rsidTr="0037781E">
        <w:trPr>
          <w:trHeight w:val="137"/>
          <w:jc w:val="center"/>
        </w:trPr>
        <w:tc>
          <w:tcPr>
            <w:tcW w:w="3504" w:type="dxa"/>
            <w:shd w:val="clear" w:color="auto" w:fill="auto"/>
          </w:tcPr>
          <w:p w:rsidR="003E6588" w:rsidRDefault="003E6588" w:rsidP="0037781E">
            <w:pPr>
              <w:ind w:firstLine="17"/>
              <w:jc w:val="left"/>
              <w:rPr>
                <w:b/>
                <w:sz w:val="20"/>
                <w:szCs w:val="20"/>
              </w:rPr>
            </w:pPr>
            <w:r>
              <w:rPr>
                <w:b/>
                <w:sz w:val="20"/>
                <w:szCs w:val="20"/>
              </w:rPr>
              <w:t>Total</w:t>
            </w:r>
          </w:p>
        </w:tc>
        <w:tc>
          <w:tcPr>
            <w:tcW w:w="2389" w:type="dxa"/>
            <w:shd w:val="clear" w:color="auto" w:fill="auto"/>
          </w:tcPr>
          <w:p w:rsidR="003E6588" w:rsidRDefault="003E6588">
            <w:pPr>
              <w:rPr>
                <w:b/>
                <w:smallCaps/>
                <w:sz w:val="20"/>
                <w:szCs w:val="20"/>
              </w:rPr>
            </w:pPr>
            <w:r>
              <w:rPr>
                <w:b/>
                <w:smallCaps/>
                <w:sz w:val="20"/>
                <w:szCs w:val="20"/>
              </w:rPr>
              <w:t>54</w:t>
            </w:r>
          </w:p>
        </w:tc>
      </w:tr>
    </w:tbl>
    <w:p w:rsidR="003E6588" w:rsidRDefault="003E6588">
      <w:pPr>
        <w:ind w:firstLine="1134"/>
        <w:jc w:val="both"/>
        <w:rPr>
          <w:b/>
        </w:rPr>
      </w:pPr>
    </w:p>
    <w:p w:rsidR="003E6588" w:rsidRDefault="003E6588">
      <w:pPr>
        <w:ind w:firstLine="1134"/>
        <w:jc w:val="both"/>
      </w:pPr>
      <w:r>
        <w:rPr>
          <w:b/>
        </w:rPr>
        <w:t>Desempenho -</w:t>
      </w:r>
      <w:r>
        <w:t xml:space="preserve"> Em termos de comprimento das redes de distribuição em operação e de número de usuários, os resultados totais alcançados, nas três áreas de concessão, foram os seguintes:</w:t>
      </w:r>
    </w:p>
    <w:p w:rsidR="003E6588" w:rsidRDefault="003E6588">
      <w:pPr>
        <w:jc w:val="both"/>
      </w:pPr>
    </w:p>
    <w:tbl>
      <w:tblPr>
        <w:tblW w:w="8145" w:type="dxa"/>
        <w:jc w:val="center"/>
        <w:tblInd w:w="134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661"/>
        <w:gridCol w:w="2718"/>
        <w:gridCol w:w="1766"/>
      </w:tblGrid>
      <w:tr w:rsidR="003E6588" w:rsidTr="0037781E">
        <w:trPr>
          <w:trHeight w:val="204"/>
          <w:jc w:val="center"/>
        </w:trPr>
        <w:tc>
          <w:tcPr>
            <w:tcW w:w="3661" w:type="dxa"/>
            <w:shd w:val="clear" w:color="auto" w:fill="auto"/>
            <w:vAlign w:val="center"/>
          </w:tcPr>
          <w:p w:rsidR="003E6588" w:rsidRDefault="003E6588">
            <w:pPr>
              <w:rPr>
                <w:b/>
                <w:bCs/>
                <w:sz w:val="20"/>
                <w:szCs w:val="20"/>
              </w:rPr>
            </w:pPr>
            <w:r>
              <w:rPr>
                <w:b/>
                <w:sz w:val="20"/>
                <w:szCs w:val="20"/>
              </w:rPr>
              <w:t>Concessionárias</w:t>
            </w:r>
          </w:p>
        </w:tc>
        <w:tc>
          <w:tcPr>
            <w:tcW w:w="2718" w:type="dxa"/>
            <w:shd w:val="clear" w:color="auto" w:fill="auto"/>
            <w:vAlign w:val="center"/>
          </w:tcPr>
          <w:p w:rsidR="003E6588" w:rsidRDefault="003E6588">
            <w:pPr>
              <w:rPr>
                <w:b/>
                <w:sz w:val="20"/>
                <w:szCs w:val="20"/>
              </w:rPr>
            </w:pPr>
            <w:r>
              <w:rPr>
                <w:b/>
                <w:sz w:val="20"/>
                <w:szCs w:val="20"/>
              </w:rPr>
              <w:t>Redes de distribuição (km)</w:t>
            </w:r>
          </w:p>
        </w:tc>
        <w:tc>
          <w:tcPr>
            <w:tcW w:w="1766" w:type="dxa"/>
            <w:shd w:val="clear" w:color="auto" w:fill="auto"/>
            <w:vAlign w:val="center"/>
          </w:tcPr>
          <w:p w:rsidR="003E6588" w:rsidRDefault="003E6588">
            <w:pPr>
              <w:rPr>
                <w:b/>
                <w:sz w:val="20"/>
                <w:szCs w:val="20"/>
              </w:rPr>
            </w:pPr>
            <w:r>
              <w:rPr>
                <w:b/>
                <w:sz w:val="20"/>
                <w:szCs w:val="20"/>
              </w:rPr>
              <w:t>N</w:t>
            </w:r>
            <w:r>
              <w:rPr>
                <w:b/>
                <w:sz w:val="20"/>
                <w:szCs w:val="20"/>
                <w:u w:val="single"/>
                <w:vertAlign w:val="superscript"/>
              </w:rPr>
              <w:t>o</w:t>
            </w:r>
            <w:r>
              <w:rPr>
                <w:b/>
                <w:sz w:val="20"/>
                <w:szCs w:val="20"/>
              </w:rPr>
              <w:t xml:space="preserve"> Usuários (*)</w:t>
            </w:r>
          </w:p>
        </w:tc>
      </w:tr>
      <w:tr w:rsidR="003E6588" w:rsidTr="0037781E">
        <w:trPr>
          <w:trHeight w:val="180"/>
          <w:jc w:val="center"/>
        </w:trPr>
        <w:tc>
          <w:tcPr>
            <w:tcW w:w="3661" w:type="dxa"/>
            <w:shd w:val="clear" w:color="auto" w:fill="auto"/>
            <w:vAlign w:val="center"/>
          </w:tcPr>
          <w:p w:rsidR="003E6588" w:rsidRDefault="003E6588" w:rsidP="0037781E">
            <w:pPr>
              <w:jc w:val="left"/>
              <w:rPr>
                <w:sz w:val="20"/>
                <w:szCs w:val="20"/>
              </w:rPr>
            </w:pPr>
            <w:r>
              <w:rPr>
                <w:bCs/>
                <w:sz w:val="20"/>
                <w:szCs w:val="20"/>
              </w:rPr>
              <w:t>Comgás</w:t>
            </w:r>
          </w:p>
        </w:tc>
        <w:tc>
          <w:tcPr>
            <w:tcW w:w="2718" w:type="dxa"/>
            <w:shd w:val="clear" w:color="auto" w:fill="auto"/>
            <w:vAlign w:val="center"/>
          </w:tcPr>
          <w:p w:rsidR="003E6588" w:rsidRDefault="003E6588">
            <w:pPr>
              <w:rPr>
                <w:sz w:val="20"/>
                <w:szCs w:val="20"/>
              </w:rPr>
            </w:pPr>
            <w:r>
              <w:rPr>
                <w:sz w:val="20"/>
                <w:szCs w:val="20"/>
              </w:rPr>
              <w:t>11.510</w:t>
            </w:r>
          </w:p>
        </w:tc>
        <w:tc>
          <w:tcPr>
            <w:tcW w:w="1766" w:type="dxa"/>
            <w:shd w:val="clear" w:color="auto" w:fill="auto"/>
            <w:vAlign w:val="center"/>
          </w:tcPr>
          <w:p w:rsidR="003E6588" w:rsidRDefault="003E6588">
            <w:pPr>
              <w:tabs>
                <w:tab w:val="left" w:pos="1310"/>
              </w:tabs>
              <w:ind w:left="176" w:right="209"/>
              <w:rPr>
                <w:sz w:val="20"/>
                <w:szCs w:val="20"/>
              </w:rPr>
            </w:pPr>
            <w:r>
              <w:rPr>
                <w:sz w:val="20"/>
                <w:szCs w:val="20"/>
              </w:rPr>
              <w:t>1.026.058</w:t>
            </w:r>
          </w:p>
        </w:tc>
      </w:tr>
      <w:tr w:rsidR="003E6588" w:rsidTr="0037781E">
        <w:trPr>
          <w:trHeight w:val="128"/>
          <w:jc w:val="center"/>
        </w:trPr>
        <w:tc>
          <w:tcPr>
            <w:tcW w:w="3661" w:type="dxa"/>
            <w:shd w:val="clear" w:color="auto" w:fill="auto"/>
            <w:vAlign w:val="center"/>
          </w:tcPr>
          <w:p w:rsidR="003E6588" w:rsidRDefault="003E6588" w:rsidP="0037781E">
            <w:pPr>
              <w:jc w:val="left"/>
              <w:rPr>
                <w:sz w:val="20"/>
                <w:szCs w:val="20"/>
              </w:rPr>
            </w:pPr>
            <w:r>
              <w:rPr>
                <w:bCs/>
                <w:sz w:val="20"/>
                <w:szCs w:val="20"/>
              </w:rPr>
              <w:t>Gás Natural SP Sul S.A.- GNSPS</w:t>
            </w:r>
          </w:p>
        </w:tc>
        <w:tc>
          <w:tcPr>
            <w:tcW w:w="2718" w:type="dxa"/>
            <w:shd w:val="clear" w:color="auto" w:fill="auto"/>
            <w:vAlign w:val="center"/>
          </w:tcPr>
          <w:p w:rsidR="003E6588" w:rsidRDefault="003E6588">
            <w:pPr>
              <w:rPr>
                <w:sz w:val="20"/>
                <w:szCs w:val="20"/>
              </w:rPr>
            </w:pPr>
            <w:r>
              <w:rPr>
                <w:sz w:val="20"/>
                <w:szCs w:val="20"/>
              </w:rPr>
              <w:t>1.400</w:t>
            </w:r>
          </w:p>
        </w:tc>
        <w:tc>
          <w:tcPr>
            <w:tcW w:w="1766" w:type="dxa"/>
            <w:shd w:val="clear" w:color="auto" w:fill="auto"/>
            <w:vAlign w:val="center"/>
          </w:tcPr>
          <w:p w:rsidR="003E6588" w:rsidRDefault="003E6588">
            <w:pPr>
              <w:rPr>
                <w:sz w:val="20"/>
                <w:szCs w:val="20"/>
              </w:rPr>
            </w:pPr>
            <w:r>
              <w:rPr>
                <w:sz w:val="20"/>
                <w:szCs w:val="20"/>
              </w:rPr>
              <w:t>32.707</w:t>
            </w:r>
          </w:p>
        </w:tc>
      </w:tr>
      <w:tr w:rsidR="003E6588" w:rsidTr="0037781E">
        <w:trPr>
          <w:trHeight w:val="263"/>
          <w:jc w:val="center"/>
        </w:trPr>
        <w:tc>
          <w:tcPr>
            <w:tcW w:w="3661" w:type="dxa"/>
            <w:shd w:val="clear" w:color="auto" w:fill="auto"/>
            <w:vAlign w:val="center"/>
          </w:tcPr>
          <w:p w:rsidR="003E6588" w:rsidRDefault="003E6588" w:rsidP="0037781E">
            <w:pPr>
              <w:jc w:val="left"/>
              <w:rPr>
                <w:sz w:val="20"/>
                <w:szCs w:val="20"/>
              </w:rPr>
            </w:pPr>
            <w:r>
              <w:rPr>
                <w:bCs/>
                <w:sz w:val="20"/>
                <w:szCs w:val="20"/>
              </w:rPr>
              <w:t>Gás Brasiliano Distribuidora S.A.</w:t>
            </w:r>
            <w:r>
              <w:rPr>
                <w:sz w:val="20"/>
                <w:szCs w:val="20"/>
              </w:rPr>
              <w:t xml:space="preserve"> </w:t>
            </w:r>
            <w:r>
              <w:rPr>
                <w:bCs/>
                <w:sz w:val="20"/>
                <w:szCs w:val="20"/>
              </w:rPr>
              <w:t>- GBD</w:t>
            </w:r>
          </w:p>
        </w:tc>
        <w:tc>
          <w:tcPr>
            <w:tcW w:w="2718" w:type="dxa"/>
            <w:shd w:val="clear" w:color="auto" w:fill="auto"/>
            <w:vAlign w:val="center"/>
          </w:tcPr>
          <w:p w:rsidR="003E6588" w:rsidRDefault="003E6588">
            <w:pPr>
              <w:ind w:left="-108" w:right="-108"/>
              <w:rPr>
                <w:sz w:val="20"/>
                <w:szCs w:val="20"/>
              </w:rPr>
            </w:pPr>
            <w:r>
              <w:rPr>
                <w:sz w:val="20"/>
                <w:szCs w:val="20"/>
              </w:rPr>
              <w:t>884</w:t>
            </w:r>
          </w:p>
        </w:tc>
        <w:tc>
          <w:tcPr>
            <w:tcW w:w="1766" w:type="dxa"/>
            <w:shd w:val="clear" w:color="auto" w:fill="auto"/>
            <w:vAlign w:val="center"/>
          </w:tcPr>
          <w:p w:rsidR="003E6588" w:rsidRDefault="003E6588">
            <w:pPr>
              <w:ind w:left="-108" w:right="-108"/>
              <w:rPr>
                <w:sz w:val="20"/>
                <w:szCs w:val="20"/>
              </w:rPr>
            </w:pPr>
            <w:r>
              <w:rPr>
                <w:sz w:val="20"/>
                <w:szCs w:val="20"/>
              </w:rPr>
              <w:t>9.819</w:t>
            </w:r>
          </w:p>
        </w:tc>
      </w:tr>
      <w:tr w:rsidR="003E6588" w:rsidTr="0037781E">
        <w:trPr>
          <w:trHeight w:val="263"/>
          <w:jc w:val="center"/>
        </w:trPr>
        <w:tc>
          <w:tcPr>
            <w:tcW w:w="3661" w:type="dxa"/>
            <w:shd w:val="clear" w:color="auto" w:fill="auto"/>
            <w:vAlign w:val="center"/>
          </w:tcPr>
          <w:p w:rsidR="003E6588" w:rsidRDefault="003E6588" w:rsidP="0037781E">
            <w:pPr>
              <w:jc w:val="left"/>
              <w:rPr>
                <w:b/>
                <w:bCs/>
                <w:sz w:val="20"/>
                <w:szCs w:val="20"/>
              </w:rPr>
            </w:pPr>
            <w:r>
              <w:rPr>
                <w:b/>
                <w:bCs/>
                <w:sz w:val="20"/>
                <w:szCs w:val="20"/>
              </w:rPr>
              <w:t>TOTAL</w:t>
            </w:r>
          </w:p>
        </w:tc>
        <w:tc>
          <w:tcPr>
            <w:tcW w:w="2718" w:type="dxa"/>
            <w:shd w:val="clear" w:color="auto" w:fill="auto"/>
            <w:vAlign w:val="center"/>
          </w:tcPr>
          <w:p w:rsidR="003E6588" w:rsidRDefault="003E6588">
            <w:pPr>
              <w:ind w:right="175"/>
              <w:rPr>
                <w:b/>
                <w:sz w:val="20"/>
                <w:szCs w:val="20"/>
              </w:rPr>
            </w:pPr>
            <w:r>
              <w:rPr>
                <w:b/>
                <w:sz w:val="20"/>
                <w:szCs w:val="20"/>
              </w:rPr>
              <w:t>13.794</w:t>
            </w:r>
          </w:p>
        </w:tc>
        <w:tc>
          <w:tcPr>
            <w:tcW w:w="1766" w:type="dxa"/>
            <w:shd w:val="clear" w:color="auto" w:fill="auto"/>
            <w:vAlign w:val="center"/>
          </w:tcPr>
          <w:p w:rsidR="003E6588" w:rsidRDefault="003E6588">
            <w:pPr>
              <w:ind w:right="68"/>
              <w:rPr>
                <w:b/>
                <w:sz w:val="20"/>
                <w:szCs w:val="20"/>
              </w:rPr>
            </w:pPr>
            <w:r>
              <w:rPr>
                <w:b/>
                <w:sz w:val="20"/>
                <w:szCs w:val="20"/>
              </w:rPr>
              <w:t>1.068.577</w:t>
            </w:r>
          </w:p>
        </w:tc>
      </w:tr>
    </w:tbl>
    <w:p w:rsidR="003E6588" w:rsidRDefault="0037781E">
      <w:pPr>
        <w:spacing w:before="40"/>
        <w:ind w:left="284" w:firstLine="424"/>
        <w:jc w:val="both"/>
        <w:rPr>
          <w:sz w:val="16"/>
          <w:szCs w:val="16"/>
        </w:rPr>
      </w:pPr>
      <w:r>
        <w:rPr>
          <w:sz w:val="16"/>
          <w:szCs w:val="16"/>
        </w:rPr>
        <w:t xml:space="preserve">      </w:t>
      </w:r>
      <w:r w:rsidR="003E6588">
        <w:rPr>
          <w:sz w:val="16"/>
          <w:szCs w:val="16"/>
        </w:rPr>
        <w:t>Fonte: Relatório Trimestral de Situação do Sistema de Distribuição</w:t>
      </w:r>
    </w:p>
    <w:p w:rsidR="003E6588" w:rsidRDefault="0037781E">
      <w:pPr>
        <w:ind w:left="284" w:firstLine="424"/>
        <w:jc w:val="both"/>
        <w:rPr>
          <w:sz w:val="16"/>
          <w:szCs w:val="16"/>
        </w:rPr>
      </w:pPr>
      <w:r>
        <w:rPr>
          <w:sz w:val="16"/>
          <w:szCs w:val="16"/>
        </w:rPr>
        <w:t xml:space="preserve">      </w:t>
      </w:r>
      <w:r w:rsidR="003E6588">
        <w:rPr>
          <w:sz w:val="16"/>
          <w:szCs w:val="16"/>
        </w:rPr>
        <w:t>(*) corresponde ao número de medidores faturados</w:t>
      </w:r>
    </w:p>
    <w:p w:rsidR="003E6588" w:rsidRDefault="003E6588">
      <w:pPr>
        <w:jc w:val="both"/>
        <w:rPr>
          <w:bCs/>
        </w:rPr>
      </w:pPr>
    </w:p>
    <w:p w:rsidR="003E6588" w:rsidRDefault="003E6588">
      <w:pPr>
        <w:ind w:firstLine="1134"/>
        <w:jc w:val="both"/>
        <w:rPr>
          <w:bCs/>
        </w:rPr>
      </w:pPr>
      <w:r>
        <w:t xml:space="preserve">Foram editadas 38 deliberações, referentes ao setor de gás canalizado. As regulações publicadas, referentes ao processo de revisão tarifária das três concessionárias paulistas, foram precedidas de consulta pública </w:t>
      </w:r>
      <w:r>
        <w:rPr>
          <w:bCs/>
        </w:rPr>
        <w:t>com objetivo de dar oportunidade à sociedade para manifestar sua opinião e obter dados e informações que possibilitem maior grau de confiabilidade, clareza e segurança no processo decisório d</w:t>
      </w:r>
      <w:r w:rsidR="0037781E">
        <w:rPr>
          <w:bCs/>
        </w:rPr>
        <w:t>a Arsesp.</w:t>
      </w:r>
    </w:p>
    <w:p w:rsidR="00723018" w:rsidRDefault="00723018">
      <w:pPr>
        <w:ind w:firstLine="1134"/>
        <w:jc w:val="both"/>
        <w:rPr>
          <w:bCs/>
        </w:rPr>
      </w:pPr>
    </w:p>
    <w:p w:rsidR="00723018" w:rsidRDefault="00723018">
      <w:pPr>
        <w:ind w:firstLine="1134"/>
        <w:jc w:val="both"/>
      </w:pPr>
    </w:p>
    <w:p w:rsidR="003E6588" w:rsidRDefault="003E6588" w:rsidP="0037781E">
      <w:pPr>
        <w:tabs>
          <w:tab w:val="left" w:pos="0"/>
        </w:tabs>
        <w:ind w:right="-164" w:firstLine="1134"/>
        <w:jc w:val="both"/>
        <w:rPr>
          <w:b/>
        </w:rPr>
      </w:pPr>
      <w:r>
        <w:rPr>
          <w:b/>
        </w:rPr>
        <w:t>Serviço de Atendimento ao Usuário - SAU</w:t>
      </w:r>
    </w:p>
    <w:p w:rsidR="003E6588" w:rsidRDefault="003E6588">
      <w:pPr>
        <w:tabs>
          <w:tab w:val="left" w:pos="0"/>
        </w:tabs>
        <w:ind w:right="-164" w:firstLine="1134"/>
      </w:pPr>
    </w:p>
    <w:tbl>
      <w:tblPr>
        <w:tblW w:w="0" w:type="auto"/>
        <w:jc w:val="center"/>
        <w:tblInd w:w="17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tblPr>
      <w:tblGrid>
        <w:gridCol w:w="3831"/>
        <w:gridCol w:w="2117"/>
      </w:tblGrid>
      <w:tr w:rsidR="003E6588" w:rsidTr="0037781E">
        <w:trPr>
          <w:trHeight w:val="71"/>
          <w:jc w:val="center"/>
        </w:trPr>
        <w:tc>
          <w:tcPr>
            <w:tcW w:w="3831" w:type="dxa"/>
            <w:shd w:val="clear" w:color="auto" w:fill="auto"/>
            <w:vAlign w:val="center"/>
          </w:tcPr>
          <w:p w:rsidR="003E6588" w:rsidRDefault="003E6588">
            <w:pPr>
              <w:tabs>
                <w:tab w:val="left" w:pos="0"/>
              </w:tabs>
              <w:rPr>
                <w:b/>
                <w:sz w:val="20"/>
                <w:szCs w:val="20"/>
              </w:rPr>
            </w:pPr>
            <w:r>
              <w:rPr>
                <w:b/>
                <w:sz w:val="20"/>
                <w:szCs w:val="20"/>
              </w:rPr>
              <w:lastRenderedPageBreak/>
              <w:t>Indicador</w:t>
            </w:r>
          </w:p>
        </w:tc>
        <w:tc>
          <w:tcPr>
            <w:tcW w:w="2117" w:type="dxa"/>
            <w:shd w:val="clear" w:color="auto" w:fill="auto"/>
            <w:vAlign w:val="center"/>
          </w:tcPr>
          <w:p w:rsidR="003E6588" w:rsidRDefault="003E6588">
            <w:pPr>
              <w:tabs>
                <w:tab w:val="left" w:pos="0"/>
              </w:tabs>
              <w:rPr>
                <w:b/>
                <w:sz w:val="20"/>
                <w:szCs w:val="20"/>
              </w:rPr>
            </w:pPr>
            <w:r>
              <w:rPr>
                <w:b/>
                <w:sz w:val="20"/>
                <w:szCs w:val="20"/>
              </w:rPr>
              <w:t>Quantidade</w:t>
            </w:r>
          </w:p>
        </w:tc>
      </w:tr>
      <w:tr w:rsidR="003E6588" w:rsidTr="0037781E">
        <w:trPr>
          <w:trHeight w:val="313"/>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Informações e Orientações</w:t>
            </w:r>
          </w:p>
          <w:p w:rsidR="003E6588" w:rsidRDefault="003E6588" w:rsidP="0037781E">
            <w:pPr>
              <w:tabs>
                <w:tab w:val="left" w:pos="0"/>
              </w:tabs>
              <w:jc w:val="left"/>
              <w:rPr>
                <w:sz w:val="20"/>
                <w:szCs w:val="20"/>
              </w:rPr>
            </w:pPr>
            <w:r>
              <w:rPr>
                <w:sz w:val="20"/>
                <w:szCs w:val="20"/>
              </w:rPr>
              <w:t>Reclamações</w:t>
            </w:r>
          </w:p>
        </w:tc>
        <w:tc>
          <w:tcPr>
            <w:tcW w:w="2117" w:type="dxa"/>
            <w:shd w:val="clear" w:color="auto" w:fill="auto"/>
            <w:vAlign w:val="center"/>
          </w:tcPr>
          <w:p w:rsidR="003E6588" w:rsidRDefault="003E6588">
            <w:pPr>
              <w:tabs>
                <w:tab w:val="left" w:pos="0"/>
              </w:tabs>
              <w:rPr>
                <w:sz w:val="20"/>
                <w:szCs w:val="20"/>
              </w:rPr>
            </w:pPr>
            <w:r>
              <w:rPr>
                <w:sz w:val="20"/>
                <w:szCs w:val="20"/>
              </w:rPr>
              <w:t>1.424</w:t>
            </w:r>
          </w:p>
          <w:p w:rsidR="003E6588" w:rsidRDefault="003E6588">
            <w:pPr>
              <w:tabs>
                <w:tab w:val="left" w:pos="0"/>
              </w:tabs>
              <w:rPr>
                <w:sz w:val="20"/>
                <w:szCs w:val="20"/>
              </w:rPr>
            </w:pPr>
            <w:r>
              <w:rPr>
                <w:sz w:val="20"/>
                <w:szCs w:val="20"/>
              </w:rPr>
              <w:t>1.182</w:t>
            </w:r>
          </w:p>
        </w:tc>
      </w:tr>
      <w:tr w:rsidR="003E6588" w:rsidTr="0037781E">
        <w:trPr>
          <w:trHeight w:val="143"/>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Total</w:t>
            </w:r>
          </w:p>
        </w:tc>
        <w:tc>
          <w:tcPr>
            <w:tcW w:w="2117" w:type="dxa"/>
            <w:shd w:val="clear" w:color="auto" w:fill="auto"/>
            <w:vAlign w:val="center"/>
          </w:tcPr>
          <w:p w:rsidR="003E6588" w:rsidRDefault="003E6588">
            <w:pPr>
              <w:tabs>
                <w:tab w:val="left" w:pos="0"/>
              </w:tabs>
              <w:rPr>
                <w:sz w:val="20"/>
                <w:szCs w:val="20"/>
              </w:rPr>
            </w:pPr>
            <w:r>
              <w:rPr>
                <w:sz w:val="20"/>
                <w:szCs w:val="20"/>
              </w:rPr>
              <w:t>2.606</w:t>
            </w:r>
          </w:p>
        </w:tc>
      </w:tr>
      <w:tr w:rsidR="003E6588" w:rsidTr="0037781E">
        <w:trPr>
          <w:trHeight w:val="46"/>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Principais tipos de reclamação</w:t>
            </w:r>
          </w:p>
        </w:tc>
        <w:tc>
          <w:tcPr>
            <w:tcW w:w="2117" w:type="dxa"/>
            <w:shd w:val="clear" w:color="auto" w:fill="auto"/>
            <w:vAlign w:val="center"/>
          </w:tcPr>
          <w:p w:rsidR="003E6588" w:rsidRDefault="003E6588">
            <w:pPr>
              <w:tabs>
                <w:tab w:val="left" w:pos="0"/>
              </w:tabs>
              <w:rPr>
                <w:sz w:val="20"/>
                <w:szCs w:val="20"/>
              </w:rPr>
            </w:pPr>
            <w:r>
              <w:rPr>
                <w:sz w:val="20"/>
                <w:szCs w:val="20"/>
              </w:rPr>
              <w:t>%</w:t>
            </w:r>
          </w:p>
        </w:tc>
      </w:tr>
      <w:tr w:rsidR="003E6588" w:rsidTr="0037781E">
        <w:trPr>
          <w:trHeight w:val="78"/>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Cobranças</w:t>
            </w:r>
          </w:p>
        </w:tc>
        <w:tc>
          <w:tcPr>
            <w:tcW w:w="2117" w:type="dxa"/>
            <w:shd w:val="clear" w:color="auto" w:fill="auto"/>
            <w:vAlign w:val="center"/>
          </w:tcPr>
          <w:p w:rsidR="003E6588" w:rsidRDefault="003E6588">
            <w:pPr>
              <w:tabs>
                <w:tab w:val="left" w:pos="0"/>
              </w:tabs>
              <w:rPr>
                <w:sz w:val="20"/>
                <w:szCs w:val="20"/>
              </w:rPr>
            </w:pPr>
            <w:r>
              <w:rPr>
                <w:sz w:val="20"/>
                <w:szCs w:val="20"/>
              </w:rPr>
              <w:t>17,17%</w:t>
            </w:r>
          </w:p>
        </w:tc>
      </w:tr>
      <w:tr w:rsidR="003E6588" w:rsidTr="0037781E">
        <w:trPr>
          <w:trHeight w:val="159"/>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Faturamento/</w:t>
            </w:r>
          </w:p>
          <w:p w:rsidR="003E6588" w:rsidRDefault="003E6588" w:rsidP="0037781E">
            <w:pPr>
              <w:tabs>
                <w:tab w:val="left" w:pos="0"/>
              </w:tabs>
              <w:jc w:val="left"/>
              <w:rPr>
                <w:sz w:val="20"/>
                <w:szCs w:val="20"/>
              </w:rPr>
            </w:pPr>
            <w:r>
              <w:rPr>
                <w:sz w:val="20"/>
                <w:szCs w:val="20"/>
              </w:rPr>
              <w:t>Consumo</w:t>
            </w:r>
          </w:p>
        </w:tc>
        <w:tc>
          <w:tcPr>
            <w:tcW w:w="2117" w:type="dxa"/>
            <w:shd w:val="clear" w:color="auto" w:fill="auto"/>
            <w:vAlign w:val="center"/>
          </w:tcPr>
          <w:p w:rsidR="003E6588" w:rsidRDefault="003E6588">
            <w:pPr>
              <w:tabs>
                <w:tab w:val="left" w:pos="0"/>
              </w:tabs>
              <w:rPr>
                <w:sz w:val="20"/>
                <w:szCs w:val="20"/>
              </w:rPr>
            </w:pPr>
            <w:r>
              <w:rPr>
                <w:sz w:val="20"/>
                <w:szCs w:val="20"/>
              </w:rPr>
              <w:t>15,48%</w:t>
            </w:r>
          </w:p>
        </w:tc>
      </w:tr>
      <w:tr w:rsidR="003E6588" w:rsidTr="0037781E">
        <w:trPr>
          <w:trHeight w:val="219"/>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Ligação</w:t>
            </w:r>
          </w:p>
        </w:tc>
        <w:tc>
          <w:tcPr>
            <w:tcW w:w="2117" w:type="dxa"/>
            <w:shd w:val="clear" w:color="auto" w:fill="auto"/>
            <w:vAlign w:val="center"/>
          </w:tcPr>
          <w:p w:rsidR="003E6588" w:rsidRDefault="003E6588">
            <w:pPr>
              <w:tabs>
                <w:tab w:val="left" w:pos="0"/>
              </w:tabs>
              <w:rPr>
                <w:sz w:val="20"/>
                <w:szCs w:val="20"/>
              </w:rPr>
            </w:pPr>
            <w:r>
              <w:rPr>
                <w:sz w:val="20"/>
                <w:szCs w:val="20"/>
              </w:rPr>
              <w:t>11,34%</w:t>
            </w:r>
          </w:p>
        </w:tc>
      </w:tr>
      <w:tr w:rsidR="003E6588" w:rsidTr="0037781E">
        <w:trPr>
          <w:trHeight w:val="137"/>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Fatura/Conta</w:t>
            </w:r>
          </w:p>
        </w:tc>
        <w:tc>
          <w:tcPr>
            <w:tcW w:w="2117" w:type="dxa"/>
            <w:shd w:val="clear" w:color="auto" w:fill="auto"/>
            <w:vAlign w:val="center"/>
          </w:tcPr>
          <w:p w:rsidR="003E6588" w:rsidRDefault="003E6588">
            <w:pPr>
              <w:tabs>
                <w:tab w:val="left" w:pos="0"/>
              </w:tabs>
              <w:rPr>
                <w:sz w:val="20"/>
                <w:szCs w:val="20"/>
              </w:rPr>
            </w:pPr>
            <w:r>
              <w:rPr>
                <w:sz w:val="20"/>
                <w:szCs w:val="20"/>
              </w:rPr>
              <w:t xml:space="preserve">  9,98%</w:t>
            </w:r>
          </w:p>
        </w:tc>
      </w:tr>
      <w:tr w:rsidR="003E6588" w:rsidTr="0037781E">
        <w:trPr>
          <w:trHeight w:val="55"/>
          <w:jc w:val="center"/>
        </w:trPr>
        <w:tc>
          <w:tcPr>
            <w:tcW w:w="3831" w:type="dxa"/>
            <w:shd w:val="clear" w:color="auto" w:fill="auto"/>
            <w:vAlign w:val="center"/>
          </w:tcPr>
          <w:p w:rsidR="003E6588" w:rsidRDefault="003E6588" w:rsidP="0037781E">
            <w:pPr>
              <w:tabs>
                <w:tab w:val="left" w:pos="0"/>
              </w:tabs>
              <w:jc w:val="left"/>
              <w:rPr>
                <w:sz w:val="20"/>
                <w:szCs w:val="20"/>
              </w:rPr>
            </w:pPr>
            <w:r>
              <w:rPr>
                <w:sz w:val="20"/>
                <w:szCs w:val="20"/>
              </w:rPr>
              <w:t>Atendimento da concessionária</w:t>
            </w:r>
          </w:p>
        </w:tc>
        <w:tc>
          <w:tcPr>
            <w:tcW w:w="2117" w:type="dxa"/>
            <w:shd w:val="clear" w:color="auto" w:fill="auto"/>
            <w:vAlign w:val="center"/>
          </w:tcPr>
          <w:p w:rsidR="003E6588" w:rsidRDefault="003E6588">
            <w:pPr>
              <w:tabs>
                <w:tab w:val="left" w:pos="0"/>
              </w:tabs>
              <w:rPr>
                <w:sz w:val="20"/>
                <w:szCs w:val="20"/>
              </w:rPr>
            </w:pPr>
            <w:r>
              <w:rPr>
                <w:sz w:val="20"/>
                <w:szCs w:val="20"/>
              </w:rPr>
              <w:t xml:space="preserve">  8,38%</w:t>
            </w:r>
          </w:p>
        </w:tc>
      </w:tr>
    </w:tbl>
    <w:p w:rsidR="003E6588" w:rsidRDefault="003E6588">
      <w:pPr>
        <w:jc w:val="both"/>
      </w:pPr>
    </w:p>
    <w:p w:rsidR="003E6588" w:rsidRDefault="003E6588">
      <w:pPr>
        <w:ind w:firstLine="1134"/>
        <w:jc w:val="both"/>
      </w:pPr>
      <w:r>
        <w:rPr>
          <w:b/>
        </w:rPr>
        <w:t>Pesquisa de satisfação com usuários de gás canalizado</w:t>
      </w:r>
      <w:r>
        <w:t xml:space="preserve"> - A pesquisa de satisfação dos usuários dos serviços de distribuição de gás canalizado do Estado, iniciada em 2013, foi concluída. Foram entrevistados 5.343 usuários de gás canalizado dos segmentos residencial, comercial, industrial e GNV, das três concessionárias paulistas, Comgás, Gás Natural Fenosa e Gás Brasiliano. Os resultados foram publicados no endereço eletrônico da Arsesp - www.arsesp.sp.gov.br - no </w:t>
      </w:r>
      <w:r>
        <w:rPr>
          <w:i/>
        </w:rPr>
        <w:t xml:space="preserve">link </w:t>
      </w:r>
      <w:r>
        <w:t>“Pesquisa de Satisfação”. Os resultados da pesquisa são utilizados para balizar as atividades de fiscalização e regulação da Arsesp, no setor de gás canalizado.</w:t>
      </w:r>
    </w:p>
    <w:p w:rsidR="003E6588" w:rsidRDefault="003E6588">
      <w:pPr>
        <w:shd w:val="clear" w:color="auto" w:fill="FFFFFF"/>
        <w:ind w:right="-2" w:firstLine="1134"/>
        <w:rPr>
          <w:bCs/>
        </w:rPr>
      </w:pPr>
    </w:p>
    <w:p w:rsidR="003E6588" w:rsidRDefault="003E6588">
      <w:pPr>
        <w:shd w:val="clear" w:color="auto" w:fill="FFFFFF"/>
        <w:ind w:right="-2" w:firstLine="1134"/>
        <w:jc w:val="both"/>
      </w:pPr>
      <w:r>
        <w:rPr>
          <w:b/>
          <w:bCs/>
        </w:rPr>
        <w:t xml:space="preserve">Diretoria Econômico-Financeiro e de Mercados - </w:t>
      </w:r>
      <w:r>
        <w:t>Gás Canalizado, Abastecimento de Água, Esgotamento Sanitário e Energia Elétrica.</w:t>
      </w:r>
    </w:p>
    <w:p w:rsidR="003E6588" w:rsidRDefault="003E6588">
      <w:pPr>
        <w:shd w:val="clear" w:color="auto" w:fill="FFFFFF"/>
        <w:ind w:right="-2" w:firstLine="1134"/>
        <w:jc w:val="both"/>
      </w:pPr>
    </w:p>
    <w:tbl>
      <w:tblPr>
        <w:tblW w:w="7655" w:type="dxa"/>
        <w:jc w:val="center"/>
        <w:tblInd w:w="8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5812"/>
        <w:gridCol w:w="1843"/>
      </w:tblGrid>
      <w:tr w:rsidR="003E6588" w:rsidTr="0037781E">
        <w:trPr>
          <w:trHeight w:val="213"/>
          <w:jc w:val="center"/>
        </w:trPr>
        <w:tc>
          <w:tcPr>
            <w:tcW w:w="5812" w:type="dxa"/>
            <w:shd w:val="clear" w:color="auto" w:fill="auto"/>
          </w:tcPr>
          <w:p w:rsidR="003E6588" w:rsidRDefault="003E6588">
            <w:pPr>
              <w:spacing w:before="100" w:beforeAutospacing="1"/>
              <w:rPr>
                <w:b/>
                <w:sz w:val="20"/>
                <w:szCs w:val="20"/>
              </w:rPr>
            </w:pPr>
            <w:r>
              <w:rPr>
                <w:b/>
                <w:sz w:val="20"/>
                <w:szCs w:val="20"/>
              </w:rPr>
              <w:t>Operadoras</w:t>
            </w:r>
          </w:p>
        </w:tc>
        <w:tc>
          <w:tcPr>
            <w:tcW w:w="1843" w:type="dxa"/>
            <w:shd w:val="clear" w:color="auto" w:fill="auto"/>
          </w:tcPr>
          <w:p w:rsidR="003E6588" w:rsidRDefault="003E6588">
            <w:pPr>
              <w:spacing w:before="100" w:beforeAutospacing="1"/>
              <w:rPr>
                <w:b/>
                <w:sz w:val="20"/>
                <w:szCs w:val="20"/>
              </w:rPr>
            </w:pPr>
            <w:r>
              <w:rPr>
                <w:b/>
                <w:sz w:val="20"/>
                <w:szCs w:val="20"/>
              </w:rPr>
              <w:t>Qtde de empresas</w:t>
            </w:r>
          </w:p>
        </w:tc>
      </w:tr>
      <w:tr w:rsidR="003E6588" w:rsidTr="0037781E">
        <w:trPr>
          <w:trHeight w:val="155"/>
          <w:jc w:val="center"/>
        </w:trPr>
        <w:tc>
          <w:tcPr>
            <w:tcW w:w="5812" w:type="dxa"/>
            <w:shd w:val="clear" w:color="auto" w:fill="auto"/>
          </w:tcPr>
          <w:p w:rsidR="003E6588" w:rsidRDefault="003E6588">
            <w:pPr>
              <w:spacing w:before="60"/>
              <w:jc w:val="both"/>
              <w:rPr>
                <w:sz w:val="20"/>
                <w:szCs w:val="20"/>
              </w:rPr>
            </w:pPr>
            <w:r>
              <w:rPr>
                <w:sz w:val="20"/>
                <w:szCs w:val="20"/>
              </w:rPr>
              <w:t>Gás Canalizado: Comgá</w:t>
            </w:r>
            <w:r w:rsidR="0037781E">
              <w:rPr>
                <w:sz w:val="20"/>
                <w:szCs w:val="20"/>
              </w:rPr>
              <w:t>s, Gás Brasiliano e Gás Natural</w:t>
            </w:r>
          </w:p>
        </w:tc>
        <w:tc>
          <w:tcPr>
            <w:tcW w:w="1843" w:type="dxa"/>
            <w:shd w:val="clear" w:color="auto" w:fill="auto"/>
            <w:vAlign w:val="center"/>
          </w:tcPr>
          <w:p w:rsidR="003E6588" w:rsidRDefault="003E6588">
            <w:pPr>
              <w:spacing w:before="100" w:beforeAutospacing="1"/>
              <w:rPr>
                <w:sz w:val="20"/>
                <w:szCs w:val="20"/>
              </w:rPr>
            </w:pPr>
            <w:r>
              <w:rPr>
                <w:sz w:val="20"/>
                <w:szCs w:val="20"/>
              </w:rPr>
              <w:t>3</w:t>
            </w:r>
          </w:p>
        </w:tc>
      </w:tr>
      <w:tr w:rsidR="003E6588" w:rsidTr="0037781E">
        <w:trPr>
          <w:trHeight w:val="70"/>
          <w:jc w:val="center"/>
        </w:trPr>
        <w:tc>
          <w:tcPr>
            <w:tcW w:w="5812" w:type="dxa"/>
            <w:shd w:val="clear" w:color="auto" w:fill="auto"/>
          </w:tcPr>
          <w:p w:rsidR="003E6588" w:rsidRDefault="003E6588">
            <w:pPr>
              <w:spacing w:before="60"/>
              <w:jc w:val="both"/>
              <w:rPr>
                <w:sz w:val="20"/>
                <w:szCs w:val="20"/>
              </w:rPr>
            </w:pPr>
            <w:r>
              <w:rPr>
                <w:sz w:val="20"/>
                <w:szCs w:val="20"/>
              </w:rPr>
              <w:t>Saneamento: Sabesp, Foz de Santa</w:t>
            </w:r>
            <w:r w:rsidR="0037781E">
              <w:rPr>
                <w:sz w:val="20"/>
                <w:szCs w:val="20"/>
              </w:rPr>
              <w:t xml:space="preserve"> Gertrudes e Saneaqua Mairinque</w:t>
            </w:r>
          </w:p>
        </w:tc>
        <w:tc>
          <w:tcPr>
            <w:tcW w:w="1843" w:type="dxa"/>
            <w:shd w:val="clear" w:color="auto" w:fill="auto"/>
            <w:vAlign w:val="center"/>
          </w:tcPr>
          <w:p w:rsidR="003E6588" w:rsidRDefault="003E6588">
            <w:pPr>
              <w:spacing w:before="100" w:beforeAutospacing="1"/>
              <w:rPr>
                <w:sz w:val="20"/>
                <w:szCs w:val="20"/>
              </w:rPr>
            </w:pPr>
            <w:r>
              <w:rPr>
                <w:sz w:val="20"/>
                <w:szCs w:val="20"/>
              </w:rPr>
              <w:t>3</w:t>
            </w:r>
          </w:p>
        </w:tc>
      </w:tr>
      <w:tr w:rsidR="003E6588" w:rsidTr="0037781E">
        <w:trPr>
          <w:trHeight w:val="70"/>
          <w:jc w:val="center"/>
        </w:trPr>
        <w:tc>
          <w:tcPr>
            <w:tcW w:w="5812" w:type="dxa"/>
            <w:shd w:val="clear" w:color="auto" w:fill="auto"/>
          </w:tcPr>
          <w:p w:rsidR="003E6588" w:rsidRDefault="003E6588">
            <w:pPr>
              <w:spacing w:before="60"/>
              <w:jc w:val="both"/>
              <w:rPr>
                <w:sz w:val="20"/>
                <w:szCs w:val="20"/>
              </w:rPr>
            </w:pPr>
            <w:r>
              <w:rPr>
                <w:sz w:val="20"/>
                <w:szCs w:val="20"/>
              </w:rPr>
              <w:t>Energia Elétrica: Concessionárias, Permissionárias e Cooperativas</w:t>
            </w:r>
          </w:p>
        </w:tc>
        <w:tc>
          <w:tcPr>
            <w:tcW w:w="1843" w:type="dxa"/>
            <w:shd w:val="clear" w:color="auto" w:fill="auto"/>
            <w:vAlign w:val="center"/>
          </w:tcPr>
          <w:p w:rsidR="003E6588" w:rsidRDefault="003E6588">
            <w:pPr>
              <w:spacing w:before="100" w:beforeAutospacing="1"/>
              <w:rPr>
                <w:sz w:val="20"/>
                <w:szCs w:val="20"/>
              </w:rPr>
            </w:pPr>
            <w:r>
              <w:rPr>
                <w:sz w:val="20"/>
                <w:szCs w:val="20"/>
              </w:rPr>
              <w:t>24</w:t>
            </w:r>
          </w:p>
        </w:tc>
      </w:tr>
      <w:tr w:rsidR="003E6588" w:rsidTr="0037781E">
        <w:trPr>
          <w:trHeight w:val="119"/>
          <w:jc w:val="center"/>
        </w:trPr>
        <w:tc>
          <w:tcPr>
            <w:tcW w:w="5812" w:type="dxa"/>
            <w:shd w:val="clear" w:color="auto" w:fill="auto"/>
          </w:tcPr>
          <w:p w:rsidR="003E6588" w:rsidRDefault="003E6588">
            <w:pPr>
              <w:spacing w:before="100" w:beforeAutospacing="1"/>
              <w:jc w:val="both"/>
              <w:rPr>
                <w:b/>
                <w:sz w:val="20"/>
                <w:szCs w:val="20"/>
              </w:rPr>
            </w:pPr>
            <w:r>
              <w:rPr>
                <w:b/>
                <w:sz w:val="20"/>
                <w:szCs w:val="20"/>
              </w:rPr>
              <w:t>Total</w:t>
            </w:r>
          </w:p>
        </w:tc>
        <w:tc>
          <w:tcPr>
            <w:tcW w:w="1843" w:type="dxa"/>
            <w:shd w:val="clear" w:color="auto" w:fill="auto"/>
          </w:tcPr>
          <w:p w:rsidR="003E6588" w:rsidRDefault="003E6588">
            <w:pPr>
              <w:spacing w:before="100" w:beforeAutospacing="1"/>
              <w:rPr>
                <w:b/>
                <w:sz w:val="20"/>
                <w:szCs w:val="20"/>
              </w:rPr>
            </w:pPr>
            <w:r>
              <w:rPr>
                <w:b/>
                <w:sz w:val="20"/>
                <w:szCs w:val="20"/>
              </w:rPr>
              <w:t>30</w:t>
            </w:r>
          </w:p>
        </w:tc>
      </w:tr>
    </w:tbl>
    <w:p w:rsidR="003E6588" w:rsidRDefault="003E6588">
      <w:pPr>
        <w:jc w:val="both"/>
      </w:pPr>
    </w:p>
    <w:p w:rsidR="003E6588" w:rsidRDefault="003E6588">
      <w:pPr>
        <w:ind w:firstLine="1134"/>
        <w:jc w:val="both"/>
      </w:pPr>
      <w:r>
        <w:t>A atuação da Arsesp, no aspecto econômico-financeiro e de mercado, abrange a regulação e a fiscalização. Na regulação envolve as companhias de gás canalizado e saneamento básico. Na fiscalização, a Arsesp, além das companhias de gás e das companhias de saneamento básico, também executa a fiscalização das companhias de distribuição de energia elétrica no Estado, por meio de Convênio com a Aneel.</w:t>
      </w:r>
    </w:p>
    <w:p w:rsidR="003E6588" w:rsidRDefault="003E6588">
      <w:pPr>
        <w:ind w:firstLine="1134"/>
        <w:jc w:val="both"/>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Regulação -</w:t>
      </w:r>
      <w:r>
        <w:rPr>
          <w:rFonts w:ascii="Times New Roman" w:hAnsi="Times New Roman"/>
          <w:color w:val="000000"/>
          <w:sz w:val="24"/>
          <w:szCs w:val="24"/>
        </w:rPr>
        <w:t xml:space="preserve"> </w:t>
      </w:r>
      <w:r>
        <w:rPr>
          <w:rFonts w:ascii="Times New Roman" w:hAnsi="Times New Roman"/>
          <w:sz w:val="24"/>
          <w:szCs w:val="24"/>
        </w:rPr>
        <w:t>Entraram em vigor 40 deliberações, incluindo os reajustes e revisões tarifárias, demanda firme e descontos. A Agência deu continuidade aos trabalhos de regulação econômico-financeira, elaborando e aperfeiçoando normas e procedimentos que disciplinam a prestação de serviços. Encontra-se em andamento a normatização de questões como adequação de estruturas tarifárias da Sabesp e o desconto no valor da conta por redução do consumo em face da crise hídrica do Estado. Dado início aos estudos para metodologia das revisões tarifárias das concessionárias de gás canalizado, tais como base de remuneração regulatória, remuneração do investimento (WACC) e fator de produtividade (fator X).</w:t>
      </w:r>
    </w:p>
    <w:p w:rsidR="003E6588" w:rsidRDefault="003E6588">
      <w:pPr>
        <w:jc w:val="both"/>
        <w:rPr>
          <w:color w:val="000000"/>
        </w:rPr>
      </w:pPr>
    </w:p>
    <w:p w:rsidR="003E6588" w:rsidRDefault="003E6588">
      <w:pPr>
        <w:ind w:left="1134"/>
        <w:jc w:val="both"/>
        <w:rPr>
          <w:b/>
          <w:color w:val="000000"/>
        </w:rPr>
      </w:pPr>
      <w:r>
        <w:rPr>
          <w:b/>
          <w:color w:val="000000"/>
        </w:rPr>
        <w:lastRenderedPageBreak/>
        <w:t>Fiscalização</w:t>
      </w:r>
    </w:p>
    <w:p w:rsidR="003E6588" w:rsidRDefault="003E6588">
      <w:pPr>
        <w:jc w:val="both"/>
        <w:rPr>
          <w:color w:val="000000"/>
        </w:rPr>
      </w:pPr>
    </w:p>
    <w:tbl>
      <w:tblPr>
        <w:tblW w:w="7371" w:type="dxa"/>
        <w:jc w:val="center"/>
        <w:tblInd w:w="19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4536"/>
        <w:gridCol w:w="2835"/>
      </w:tblGrid>
      <w:tr w:rsidR="003E6588" w:rsidTr="00CF64D0">
        <w:trPr>
          <w:trHeight w:val="81"/>
          <w:jc w:val="center"/>
        </w:trPr>
        <w:tc>
          <w:tcPr>
            <w:tcW w:w="4536" w:type="dxa"/>
            <w:shd w:val="clear" w:color="auto" w:fill="auto"/>
          </w:tcPr>
          <w:p w:rsidR="003E6588" w:rsidRDefault="003E6588">
            <w:pPr>
              <w:rPr>
                <w:b/>
                <w:color w:val="000000"/>
                <w:sz w:val="20"/>
                <w:szCs w:val="20"/>
              </w:rPr>
            </w:pPr>
            <w:r>
              <w:rPr>
                <w:b/>
                <w:color w:val="000000"/>
                <w:sz w:val="20"/>
                <w:szCs w:val="20"/>
              </w:rPr>
              <w:t>Fiscalizações econômico-financeiras</w:t>
            </w:r>
          </w:p>
        </w:tc>
        <w:tc>
          <w:tcPr>
            <w:tcW w:w="2835" w:type="dxa"/>
            <w:shd w:val="clear" w:color="auto" w:fill="auto"/>
          </w:tcPr>
          <w:p w:rsidR="003E6588" w:rsidRDefault="003E6588">
            <w:pPr>
              <w:rPr>
                <w:b/>
                <w:color w:val="000000"/>
                <w:sz w:val="20"/>
                <w:szCs w:val="20"/>
              </w:rPr>
            </w:pPr>
            <w:r>
              <w:rPr>
                <w:b/>
                <w:color w:val="000000"/>
                <w:sz w:val="20"/>
                <w:szCs w:val="20"/>
              </w:rPr>
              <w:t>Número de fiscalizações</w:t>
            </w:r>
          </w:p>
        </w:tc>
      </w:tr>
      <w:tr w:rsidR="003E6588" w:rsidTr="00CF64D0">
        <w:trPr>
          <w:trHeight w:val="155"/>
          <w:jc w:val="center"/>
        </w:trPr>
        <w:tc>
          <w:tcPr>
            <w:tcW w:w="4536" w:type="dxa"/>
            <w:shd w:val="clear" w:color="auto" w:fill="auto"/>
          </w:tcPr>
          <w:p w:rsidR="003E6588" w:rsidRDefault="003E6588">
            <w:pPr>
              <w:spacing w:before="60"/>
              <w:jc w:val="both"/>
              <w:rPr>
                <w:sz w:val="20"/>
                <w:szCs w:val="20"/>
              </w:rPr>
            </w:pPr>
            <w:r>
              <w:rPr>
                <w:sz w:val="20"/>
                <w:szCs w:val="20"/>
              </w:rPr>
              <w:t>Saneamento</w:t>
            </w:r>
          </w:p>
        </w:tc>
        <w:tc>
          <w:tcPr>
            <w:tcW w:w="2835" w:type="dxa"/>
            <w:shd w:val="clear" w:color="auto" w:fill="auto"/>
            <w:vAlign w:val="center"/>
          </w:tcPr>
          <w:p w:rsidR="003E6588" w:rsidRDefault="003E6588">
            <w:pPr>
              <w:spacing w:before="100" w:beforeAutospacing="1"/>
              <w:rPr>
                <w:sz w:val="20"/>
                <w:szCs w:val="20"/>
              </w:rPr>
            </w:pPr>
            <w:r>
              <w:rPr>
                <w:sz w:val="20"/>
                <w:szCs w:val="20"/>
              </w:rPr>
              <w:t>3</w:t>
            </w:r>
          </w:p>
        </w:tc>
      </w:tr>
      <w:tr w:rsidR="003E6588" w:rsidTr="00CF64D0">
        <w:trPr>
          <w:trHeight w:val="70"/>
          <w:jc w:val="center"/>
        </w:trPr>
        <w:tc>
          <w:tcPr>
            <w:tcW w:w="4536" w:type="dxa"/>
            <w:shd w:val="clear" w:color="auto" w:fill="auto"/>
          </w:tcPr>
          <w:p w:rsidR="003E6588" w:rsidRDefault="003E6588">
            <w:pPr>
              <w:spacing w:before="60"/>
              <w:jc w:val="both"/>
              <w:rPr>
                <w:sz w:val="20"/>
                <w:szCs w:val="20"/>
              </w:rPr>
            </w:pPr>
            <w:r>
              <w:rPr>
                <w:sz w:val="20"/>
                <w:szCs w:val="20"/>
              </w:rPr>
              <w:t>Energia Elétrica</w:t>
            </w:r>
          </w:p>
        </w:tc>
        <w:tc>
          <w:tcPr>
            <w:tcW w:w="2835" w:type="dxa"/>
            <w:shd w:val="clear" w:color="auto" w:fill="auto"/>
            <w:vAlign w:val="center"/>
          </w:tcPr>
          <w:p w:rsidR="003E6588" w:rsidRDefault="003E6588">
            <w:pPr>
              <w:spacing w:before="100" w:beforeAutospacing="1"/>
              <w:rPr>
                <w:sz w:val="20"/>
                <w:szCs w:val="20"/>
              </w:rPr>
            </w:pPr>
            <w:r>
              <w:rPr>
                <w:sz w:val="20"/>
                <w:szCs w:val="20"/>
              </w:rPr>
              <w:t>21</w:t>
            </w:r>
          </w:p>
        </w:tc>
      </w:tr>
      <w:tr w:rsidR="003E6588" w:rsidTr="00CF64D0">
        <w:trPr>
          <w:trHeight w:val="70"/>
          <w:jc w:val="center"/>
        </w:trPr>
        <w:tc>
          <w:tcPr>
            <w:tcW w:w="4536" w:type="dxa"/>
            <w:shd w:val="clear" w:color="auto" w:fill="auto"/>
          </w:tcPr>
          <w:p w:rsidR="003E6588" w:rsidRDefault="003E6588">
            <w:pPr>
              <w:spacing w:before="60"/>
              <w:jc w:val="both"/>
              <w:rPr>
                <w:b/>
                <w:sz w:val="20"/>
                <w:szCs w:val="20"/>
              </w:rPr>
            </w:pPr>
            <w:r>
              <w:rPr>
                <w:b/>
                <w:sz w:val="20"/>
                <w:szCs w:val="20"/>
              </w:rPr>
              <w:t>Total</w:t>
            </w:r>
          </w:p>
        </w:tc>
        <w:tc>
          <w:tcPr>
            <w:tcW w:w="2835" w:type="dxa"/>
            <w:shd w:val="clear" w:color="auto" w:fill="auto"/>
            <w:vAlign w:val="center"/>
          </w:tcPr>
          <w:p w:rsidR="003E6588" w:rsidRDefault="003E6588">
            <w:pPr>
              <w:spacing w:before="100" w:beforeAutospacing="1"/>
              <w:rPr>
                <w:b/>
                <w:sz w:val="20"/>
                <w:szCs w:val="20"/>
              </w:rPr>
            </w:pPr>
            <w:r>
              <w:rPr>
                <w:b/>
                <w:sz w:val="20"/>
                <w:szCs w:val="20"/>
              </w:rPr>
              <w:t>29</w:t>
            </w:r>
          </w:p>
        </w:tc>
      </w:tr>
      <w:tr w:rsidR="003E6588" w:rsidTr="00CF64D0">
        <w:trPr>
          <w:trHeight w:val="311"/>
          <w:jc w:val="center"/>
        </w:trPr>
        <w:tc>
          <w:tcPr>
            <w:tcW w:w="7371" w:type="dxa"/>
            <w:gridSpan w:val="2"/>
            <w:shd w:val="clear" w:color="auto" w:fill="auto"/>
          </w:tcPr>
          <w:p w:rsidR="003E6588" w:rsidRDefault="003E6588">
            <w:pPr>
              <w:spacing w:before="60"/>
              <w:jc w:val="both"/>
              <w:rPr>
                <w:sz w:val="20"/>
                <w:szCs w:val="20"/>
              </w:rPr>
            </w:pPr>
            <w:r>
              <w:rPr>
                <w:sz w:val="20"/>
                <w:szCs w:val="20"/>
              </w:rPr>
              <w:t>Resultado das fiscalizações: emissão de 6 Termos de Notificação de Saneamento (</w:t>
            </w:r>
            <w:r w:rsidR="00167206">
              <w:rPr>
                <w:sz w:val="20"/>
                <w:szCs w:val="20"/>
              </w:rPr>
              <w:t>TNs) e 7 Autos de Infração (AI)</w:t>
            </w:r>
          </w:p>
        </w:tc>
      </w:tr>
    </w:tbl>
    <w:p w:rsidR="003E6588" w:rsidRDefault="003E6588">
      <w:pPr>
        <w:jc w:val="both"/>
        <w:rPr>
          <w:bCs/>
        </w:rPr>
      </w:pPr>
    </w:p>
    <w:p w:rsidR="003E6588" w:rsidRDefault="003E6588">
      <w:pPr>
        <w:ind w:firstLine="1134"/>
        <w:jc w:val="both"/>
        <w:rPr>
          <w:bCs/>
        </w:rPr>
      </w:pPr>
      <w:r>
        <w:rPr>
          <w:b/>
          <w:bCs/>
        </w:rPr>
        <w:t xml:space="preserve">Ouvidoria - </w:t>
      </w:r>
      <w:r>
        <w:rPr>
          <w:bCs/>
        </w:rPr>
        <w:t>Foram registradas 1.190 manifestações, classificadas como reclamação, solicitação de informação, denúncia, elogio e sugestão.</w:t>
      </w:r>
    </w:p>
    <w:p w:rsidR="003E6588" w:rsidRDefault="003E6588">
      <w:pPr>
        <w:pStyle w:val="Ttulo"/>
        <w:jc w:val="both"/>
        <w:rPr>
          <w:b w:val="0"/>
          <w:bCs w:val="0"/>
        </w:rPr>
      </w:pPr>
    </w:p>
    <w:p w:rsidR="003E6588" w:rsidRDefault="003E6588">
      <w:pPr>
        <w:jc w:val="both"/>
      </w:pPr>
    </w:p>
    <w:p w:rsidR="003E6588" w:rsidRDefault="003E6588">
      <w:pPr>
        <w:rPr>
          <w:b/>
          <w:bCs/>
        </w:rPr>
      </w:pPr>
      <w:r>
        <w:br w:type="page"/>
      </w:r>
      <w:r>
        <w:rPr>
          <w:b/>
          <w:bCs/>
        </w:rPr>
        <w:lastRenderedPageBreak/>
        <w:t>SECRETARIA DE ESPORTE, LAZER E JUVENTUDE</w:t>
      </w:r>
    </w:p>
    <w:p w:rsidR="003E6588" w:rsidRDefault="003E6588"/>
    <w:p w:rsidR="003E6588" w:rsidRDefault="003E6588"/>
    <w:p w:rsidR="003E6588" w:rsidRDefault="003E6588">
      <w:pPr>
        <w:ind w:firstLine="1134"/>
        <w:jc w:val="both"/>
        <w:rPr>
          <w:strike/>
          <w:color w:val="000000"/>
        </w:rPr>
      </w:pPr>
      <w:r>
        <w:rPr>
          <w:color w:val="000000"/>
        </w:rPr>
        <w:t xml:space="preserve">Realizações, ações e programas - A Secretaria de Esporte, Lazer e Juventude </w:t>
      </w:r>
      <w:r w:rsidR="00E87CBE">
        <w:rPr>
          <w:color w:val="000000"/>
        </w:rPr>
        <w:t xml:space="preserve">- </w:t>
      </w:r>
      <w:r>
        <w:rPr>
          <w:color w:val="000000"/>
        </w:rPr>
        <w:t>SELJ executa suas ações, eventos, projetos, programas e contrato através da Coordenadoria de Esporte e Lazer, Coordenadoria de Programas para Juventude, além de Programas ligados diretamente ao Gabinete do Secretário e do Núcleo de Apoio e Gestão a Contratos. Passamos a apresentar, portanto as seguintes realizações:</w:t>
      </w:r>
    </w:p>
    <w:p w:rsidR="003E6588" w:rsidRDefault="003E6588">
      <w:pPr>
        <w:ind w:firstLine="1134"/>
        <w:jc w:val="both"/>
        <w:rPr>
          <w:color w:val="000000"/>
        </w:rPr>
      </w:pPr>
    </w:p>
    <w:p w:rsidR="003E6588" w:rsidRDefault="003E6588" w:rsidP="00E87CBE">
      <w:pPr>
        <w:ind w:firstLine="1134"/>
        <w:jc w:val="both"/>
        <w:rPr>
          <w:b/>
          <w:color w:val="000000"/>
        </w:rPr>
      </w:pPr>
      <w:r>
        <w:rPr>
          <w:b/>
          <w:color w:val="000000"/>
        </w:rPr>
        <w:t>Coordenadoria de Esporte e Lazer</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Calendário Esportivo Oficial 2014 - </w:t>
      </w:r>
      <w:r>
        <w:rPr>
          <w:color w:val="000000"/>
        </w:rPr>
        <w:t xml:space="preserve">A Coordenadoria de Esporte e Lazer </w:t>
      </w:r>
      <w:r w:rsidR="00E87CBE">
        <w:rPr>
          <w:color w:val="000000"/>
        </w:rPr>
        <w:t xml:space="preserve">- </w:t>
      </w:r>
      <w:r>
        <w:rPr>
          <w:color w:val="000000"/>
        </w:rPr>
        <w:t>CEL executa anualmente, tradicional calendário oficial de eventos esportivos, com a participação de 550 municípios 25.042 Equipes e 623.187 participantes.</w:t>
      </w:r>
    </w:p>
    <w:p w:rsidR="003E6588" w:rsidRDefault="003E6588">
      <w:pPr>
        <w:ind w:firstLine="1134"/>
        <w:jc w:val="both"/>
        <w:rPr>
          <w:color w:val="000000"/>
        </w:rPr>
      </w:pPr>
    </w:p>
    <w:p w:rsidR="003E6588" w:rsidRDefault="003E6588">
      <w:pPr>
        <w:ind w:firstLine="1134"/>
        <w:jc w:val="both"/>
        <w:rPr>
          <w:strike/>
          <w:color w:val="000000"/>
        </w:rPr>
      </w:pPr>
      <w:r>
        <w:rPr>
          <w:color w:val="000000"/>
        </w:rPr>
        <w:t>Por meio dos convênios realizados com as prefeituras municipais e entidades esportivas foram desenvolvidos:</w:t>
      </w:r>
    </w:p>
    <w:p w:rsidR="003E6588" w:rsidRDefault="003E6588">
      <w:pPr>
        <w:ind w:firstLine="1134"/>
        <w:jc w:val="both"/>
        <w:rPr>
          <w:b/>
          <w:color w:val="000000"/>
          <w:u w:val="single"/>
        </w:rPr>
      </w:pPr>
    </w:p>
    <w:p w:rsidR="003E6588" w:rsidRDefault="003E6588">
      <w:pPr>
        <w:ind w:firstLine="1134"/>
        <w:jc w:val="both"/>
        <w:rPr>
          <w:strike/>
          <w:color w:val="000000"/>
        </w:rPr>
      </w:pPr>
      <w:r>
        <w:rPr>
          <w:b/>
          <w:color w:val="000000"/>
        </w:rPr>
        <w:t xml:space="preserve">58º Jogos Regionais - </w:t>
      </w:r>
      <w:r>
        <w:rPr>
          <w:color w:val="000000"/>
        </w:rPr>
        <w:t xml:space="preserve">Tem por objetivo fomentar o esporte de alto rendimento e incentivar o desenvolvimento da prática esportiva nos Municípios do Estado de São Paulo por meio dos jogos e competições, revelando os melhores atletas e ou equipes nas 8 regiões esportivas, visando à classificação para os Jogos Abertos Horácio Baby Barioni em 22 modalidades (Atletismo, Atletismo Pessoas com Deficiência </w:t>
      </w:r>
      <w:r w:rsidR="00E87CBE">
        <w:rPr>
          <w:color w:val="000000"/>
        </w:rPr>
        <w:t xml:space="preserve">- </w:t>
      </w:r>
      <w:r>
        <w:rPr>
          <w:color w:val="000000"/>
        </w:rPr>
        <w:t xml:space="preserve">PCD, Basquetebol, Biribol, Bocha, Capoeira, Ciclismo, Damas, Futsal, Ginástica Artística, Ginástica Rítmica, Handebol, Judô, </w:t>
      </w:r>
      <w:r>
        <w:rPr>
          <w:i/>
          <w:color w:val="000000"/>
        </w:rPr>
        <w:t>Karate</w:t>
      </w:r>
      <w:r>
        <w:rPr>
          <w:color w:val="000000"/>
        </w:rPr>
        <w:t xml:space="preserve">, Malha, Natação, Natação PCD, Boxe, </w:t>
      </w:r>
      <w:r>
        <w:rPr>
          <w:i/>
          <w:color w:val="000000"/>
        </w:rPr>
        <w:t>Taekwondo</w:t>
      </w:r>
      <w:r>
        <w:rPr>
          <w:color w:val="000000"/>
        </w:rPr>
        <w:t>, Tênis, Tênis de Mesa, Voleibol, Voleibol de Praia e Xadrez).</w:t>
      </w:r>
    </w:p>
    <w:p w:rsidR="003E6588" w:rsidRDefault="003E6588">
      <w:pPr>
        <w:jc w:val="both"/>
        <w:rPr>
          <w:color w:val="000000"/>
        </w:rPr>
      </w:pPr>
    </w:p>
    <w:tbl>
      <w:tblPr>
        <w:tblW w:w="7528" w:type="dxa"/>
        <w:jc w:val="center"/>
        <w:tblInd w:w="947" w:type="dxa"/>
        <w:tblCellMar>
          <w:left w:w="70" w:type="dxa"/>
          <w:right w:w="70" w:type="dxa"/>
        </w:tblCellMar>
        <w:tblLook w:val="04A0"/>
      </w:tblPr>
      <w:tblGrid>
        <w:gridCol w:w="2324"/>
        <w:gridCol w:w="1860"/>
        <w:gridCol w:w="1224"/>
        <w:gridCol w:w="1000"/>
        <w:gridCol w:w="1120"/>
      </w:tblGrid>
      <w:tr w:rsidR="003E6588" w:rsidTr="00DB2448">
        <w:trPr>
          <w:trHeight w:val="86"/>
          <w:jc w:val="center"/>
        </w:trPr>
        <w:tc>
          <w:tcPr>
            <w:tcW w:w="7528"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58º Jogos Regionais.</w:t>
            </w:r>
          </w:p>
        </w:tc>
      </w:tr>
      <w:tr w:rsidR="003E6588" w:rsidTr="00123C69">
        <w:trPr>
          <w:trHeight w:val="118"/>
          <w:jc w:val="center"/>
        </w:trPr>
        <w:tc>
          <w:tcPr>
            <w:tcW w:w="2324"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Região Esportiva</w:t>
            </w:r>
          </w:p>
        </w:tc>
        <w:tc>
          <w:tcPr>
            <w:tcW w:w="1860"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Município</w:t>
            </w:r>
          </w:p>
        </w:tc>
        <w:tc>
          <w:tcPr>
            <w:tcW w:w="1224"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Municípios</w:t>
            </w:r>
          </w:p>
        </w:tc>
        <w:tc>
          <w:tcPr>
            <w:tcW w:w="1000"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Equipes</w:t>
            </w:r>
          </w:p>
        </w:tc>
        <w:tc>
          <w:tcPr>
            <w:tcW w:w="1120"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Partic.</w:t>
            </w:r>
          </w:p>
        </w:tc>
      </w:tr>
      <w:tr w:rsidR="003E6588" w:rsidTr="00123C69">
        <w:trPr>
          <w:trHeight w:val="150"/>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1ª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Osasco</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27</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658</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5.532</w:t>
            </w:r>
          </w:p>
        </w:tc>
      </w:tr>
      <w:tr w:rsidR="003E6588" w:rsidTr="00123C69">
        <w:trPr>
          <w:trHeight w:val="182"/>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2ª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Caraguatatuba</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40</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759</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7.297</w:t>
            </w:r>
          </w:p>
        </w:tc>
      </w:tr>
      <w:tr w:rsidR="003E6588" w:rsidTr="00123C69">
        <w:trPr>
          <w:trHeight w:val="72"/>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3ª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Lins</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42</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567</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4.862</w:t>
            </w:r>
          </w:p>
        </w:tc>
      </w:tr>
      <w:tr w:rsidR="003E6588" w:rsidTr="00123C69">
        <w:trPr>
          <w:trHeight w:val="118"/>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4ª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Itatiba</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50</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834</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6.840</w:t>
            </w:r>
          </w:p>
        </w:tc>
      </w:tr>
      <w:tr w:rsidR="003E6588" w:rsidTr="00123C69">
        <w:trPr>
          <w:trHeight w:val="149"/>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5ª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Araquarara</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58</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649</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7.013</w:t>
            </w:r>
          </w:p>
        </w:tc>
      </w:tr>
      <w:tr w:rsidR="003E6588" w:rsidTr="00123C69">
        <w:trPr>
          <w:trHeight w:val="34"/>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6ª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Jales</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60</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579</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4.984</w:t>
            </w:r>
          </w:p>
        </w:tc>
      </w:tr>
      <w:tr w:rsidR="003E6588" w:rsidTr="00123C69">
        <w:trPr>
          <w:trHeight w:val="71"/>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7ª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Osvaldo Cruz</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65</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654</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5.688</w:t>
            </w:r>
          </w:p>
        </w:tc>
      </w:tr>
      <w:tr w:rsidR="003E6588" w:rsidTr="00123C69">
        <w:trPr>
          <w:trHeight w:val="104"/>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8ª Região Esportiva</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rsidP="00123C69">
            <w:pPr>
              <w:rPr>
                <w:color w:val="000000"/>
                <w:sz w:val="20"/>
                <w:szCs w:val="20"/>
              </w:rPr>
            </w:pPr>
            <w:r>
              <w:rPr>
                <w:color w:val="000000"/>
                <w:sz w:val="20"/>
                <w:szCs w:val="20"/>
              </w:rPr>
              <w:t>Sorocaba</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60</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756</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6.733</w:t>
            </w:r>
          </w:p>
        </w:tc>
      </w:tr>
      <w:tr w:rsidR="003E6588" w:rsidTr="00123C69">
        <w:trPr>
          <w:trHeight w:val="136"/>
          <w:jc w:val="center"/>
        </w:trPr>
        <w:tc>
          <w:tcPr>
            <w:tcW w:w="2324"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Total</w:t>
            </w:r>
          </w:p>
        </w:tc>
        <w:tc>
          <w:tcPr>
            <w:tcW w:w="1860"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 </w:t>
            </w:r>
          </w:p>
        </w:tc>
        <w:tc>
          <w:tcPr>
            <w:tcW w:w="1224"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402</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5.456</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48.949</w:t>
            </w:r>
          </w:p>
        </w:tc>
      </w:tr>
    </w:tbl>
    <w:p w:rsidR="003E6588" w:rsidRDefault="003E6588">
      <w:pPr>
        <w:jc w:val="both"/>
        <w:rPr>
          <w:b/>
          <w:color w:val="000000"/>
        </w:rPr>
      </w:pPr>
    </w:p>
    <w:p w:rsidR="003E6588" w:rsidRDefault="003E6588">
      <w:pPr>
        <w:ind w:firstLine="1134"/>
        <w:jc w:val="both"/>
        <w:rPr>
          <w:strike/>
          <w:color w:val="000000"/>
        </w:rPr>
      </w:pPr>
      <w:r>
        <w:rPr>
          <w:b/>
          <w:color w:val="000000"/>
        </w:rPr>
        <w:t xml:space="preserve">78º Jogos Abertos “Horácio Baby Barioni” - </w:t>
      </w:r>
      <w:r>
        <w:rPr>
          <w:color w:val="000000"/>
        </w:rPr>
        <w:t xml:space="preserve">Tem por objetivo o desenvolvimento da prática desportiva dos municípios classificados nas 8 regiões esportivas dos Jogos Regionais e fomentar o aprimoramento técnico nas 30 modalidades (Atletismo, Basquetebol, Biribol, Bocha, Boxe, Capoeira, Ciclismo, Damas, Futebol, Futsal, Ginástica Artística, Ginástica Rítmica, Handebol, Judô, </w:t>
      </w:r>
      <w:r>
        <w:rPr>
          <w:i/>
          <w:color w:val="000000"/>
        </w:rPr>
        <w:t>Karate</w:t>
      </w:r>
      <w:r>
        <w:rPr>
          <w:color w:val="000000"/>
        </w:rPr>
        <w:t xml:space="preserve">, </w:t>
      </w:r>
      <w:r>
        <w:rPr>
          <w:i/>
          <w:color w:val="000000"/>
        </w:rPr>
        <w:t>Kickboxing</w:t>
      </w:r>
      <w:r>
        <w:rPr>
          <w:color w:val="000000"/>
        </w:rPr>
        <w:t xml:space="preserve">, Luta Olímpica, Malha, Natação, </w:t>
      </w:r>
      <w:r>
        <w:rPr>
          <w:i/>
          <w:color w:val="000000"/>
        </w:rPr>
        <w:t>Taekwondo</w:t>
      </w:r>
      <w:r>
        <w:rPr>
          <w:color w:val="000000"/>
        </w:rPr>
        <w:t>, Tênis, Tênis de Mesa, Voleibol, Vôlei de Praia e Xadrez).</w:t>
      </w:r>
    </w:p>
    <w:tbl>
      <w:tblPr>
        <w:tblW w:w="8172" w:type="dxa"/>
        <w:jc w:val="center"/>
        <w:tblInd w:w="523" w:type="dxa"/>
        <w:tblCellMar>
          <w:left w:w="70" w:type="dxa"/>
          <w:right w:w="70" w:type="dxa"/>
        </w:tblCellMar>
        <w:tblLook w:val="04A0"/>
      </w:tblPr>
      <w:tblGrid>
        <w:gridCol w:w="2852"/>
        <w:gridCol w:w="1900"/>
        <w:gridCol w:w="1240"/>
        <w:gridCol w:w="1020"/>
        <w:gridCol w:w="1160"/>
      </w:tblGrid>
      <w:tr w:rsidR="003E6588" w:rsidTr="00DB2448">
        <w:trPr>
          <w:trHeight w:val="41"/>
          <w:jc w:val="center"/>
        </w:trPr>
        <w:tc>
          <w:tcPr>
            <w:tcW w:w="8172" w:type="dxa"/>
            <w:gridSpan w:val="5"/>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bCs/>
                <w:color w:val="000000"/>
                <w:sz w:val="20"/>
                <w:szCs w:val="20"/>
              </w:rPr>
            </w:pPr>
            <w:r>
              <w:rPr>
                <w:b/>
                <w:bCs/>
                <w:color w:val="000000"/>
                <w:sz w:val="20"/>
                <w:szCs w:val="20"/>
              </w:rPr>
              <w:lastRenderedPageBreak/>
              <w:t>78º Jogos Abertos “Horácio Baby Barioni”.</w:t>
            </w:r>
          </w:p>
        </w:tc>
      </w:tr>
      <w:tr w:rsidR="003E6588" w:rsidTr="00E87CBE">
        <w:trPr>
          <w:trHeight w:val="73"/>
          <w:jc w:val="center"/>
        </w:trPr>
        <w:tc>
          <w:tcPr>
            <w:tcW w:w="2852"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Esportiva</w:t>
            </w:r>
          </w:p>
        </w:tc>
        <w:tc>
          <w:tcPr>
            <w:tcW w:w="1900" w:type="dxa"/>
            <w:tcBorders>
              <w:top w:val="nil"/>
              <w:left w:val="single" w:sz="8" w:space="0" w:color="auto"/>
              <w:bottom w:val="single" w:sz="8" w:space="0" w:color="auto"/>
              <w:right w:val="single" w:sz="8" w:space="0" w:color="auto"/>
            </w:tcBorders>
            <w:shd w:val="clear" w:color="auto" w:fill="auto"/>
            <w:vAlign w:val="center"/>
            <w:hideMark/>
          </w:tcPr>
          <w:p w:rsidR="003E6588" w:rsidRDefault="003E6588">
            <w:pPr>
              <w:rPr>
                <w:b/>
                <w:color w:val="000000"/>
                <w:sz w:val="20"/>
                <w:szCs w:val="20"/>
              </w:rPr>
            </w:pPr>
            <w:r>
              <w:rPr>
                <w:b/>
                <w:color w:val="000000"/>
                <w:sz w:val="20"/>
                <w:szCs w:val="20"/>
              </w:rPr>
              <w:t>Sede</w:t>
            </w:r>
          </w:p>
        </w:tc>
        <w:tc>
          <w:tcPr>
            <w:tcW w:w="1240" w:type="dxa"/>
            <w:tcBorders>
              <w:top w:val="nil"/>
              <w:left w:val="nil"/>
              <w:bottom w:val="single" w:sz="8" w:space="0" w:color="auto"/>
              <w:right w:val="single" w:sz="8" w:space="0" w:color="auto"/>
            </w:tcBorders>
            <w:shd w:val="clear" w:color="auto" w:fill="auto"/>
            <w:vAlign w:val="center"/>
            <w:hideMark/>
          </w:tcPr>
          <w:p w:rsidR="003E6588" w:rsidRDefault="003E6588">
            <w:pPr>
              <w:rPr>
                <w:b/>
                <w:color w:val="000000"/>
                <w:sz w:val="20"/>
                <w:szCs w:val="20"/>
              </w:rPr>
            </w:pPr>
            <w:r>
              <w:rPr>
                <w:b/>
                <w:color w:val="000000"/>
                <w:sz w:val="20"/>
                <w:szCs w:val="20"/>
              </w:rPr>
              <w:t>Municípios</w:t>
            </w:r>
          </w:p>
        </w:tc>
        <w:tc>
          <w:tcPr>
            <w:tcW w:w="1020" w:type="dxa"/>
            <w:tcBorders>
              <w:top w:val="nil"/>
              <w:left w:val="nil"/>
              <w:bottom w:val="single" w:sz="8" w:space="0" w:color="auto"/>
              <w:right w:val="single" w:sz="8" w:space="0" w:color="auto"/>
            </w:tcBorders>
            <w:shd w:val="clear" w:color="auto" w:fill="auto"/>
            <w:vAlign w:val="center"/>
            <w:hideMark/>
          </w:tcPr>
          <w:p w:rsidR="003E6588" w:rsidRDefault="003E6588">
            <w:pPr>
              <w:rPr>
                <w:b/>
                <w:color w:val="000000"/>
                <w:sz w:val="20"/>
                <w:szCs w:val="20"/>
              </w:rPr>
            </w:pPr>
            <w:r>
              <w:rPr>
                <w:b/>
                <w:color w:val="000000"/>
                <w:sz w:val="20"/>
                <w:szCs w:val="20"/>
              </w:rPr>
              <w:t>Equipes</w:t>
            </w:r>
          </w:p>
        </w:tc>
        <w:tc>
          <w:tcPr>
            <w:tcW w:w="116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Partic.</w:t>
            </w:r>
          </w:p>
        </w:tc>
      </w:tr>
      <w:tr w:rsidR="003E6588" w:rsidTr="00E87CBE">
        <w:trPr>
          <w:trHeight w:val="105"/>
          <w:jc w:val="center"/>
        </w:trPr>
        <w:tc>
          <w:tcPr>
            <w:tcW w:w="2852"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rsidP="00E87CBE">
            <w:pPr>
              <w:rPr>
                <w:color w:val="000000"/>
                <w:sz w:val="20"/>
                <w:szCs w:val="20"/>
              </w:rPr>
            </w:pPr>
            <w:r>
              <w:rPr>
                <w:color w:val="000000"/>
                <w:sz w:val="20"/>
                <w:szCs w:val="20"/>
              </w:rPr>
              <w:t>3ª Região Esportiva</w:t>
            </w:r>
          </w:p>
        </w:tc>
        <w:tc>
          <w:tcPr>
            <w:tcW w:w="1900" w:type="dxa"/>
            <w:tcBorders>
              <w:top w:val="nil"/>
              <w:left w:val="single" w:sz="8" w:space="0" w:color="auto"/>
              <w:bottom w:val="single" w:sz="8" w:space="0" w:color="auto"/>
              <w:right w:val="single" w:sz="8" w:space="0" w:color="auto"/>
            </w:tcBorders>
            <w:shd w:val="clear" w:color="auto" w:fill="auto"/>
            <w:vAlign w:val="center"/>
            <w:hideMark/>
          </w:tcPr>
          <w:p w:rsidR="003E6588" w:rsidRDefault="003E6588">
            <w:pPr>
              <w:rPr>
                <w:color w:val="000000"/>
                <w:sz w:val="20"/>
                <w:szCs w:val="20"/>
              </w:rPr>
            </w:pPr>
            <w:r>
              <w:rPr>
                <w:color w:val="000000"/>
                <w:sz w:val="20"/>
                <w:szCs w:val="20"/>
              </w:rPr>
              <w:t>Bauru</w:t>
            </w:r>
          </w:p>
        </w:tc>
        <w:tc>
          <w:tcPr>
            <w:tcW w:w="1240" w:type="dxa"/>
            <w:tcBorders>
              <w:top w:val="nil"/>
              <w:left w:val="nil"/>
              <w:bottom w:val="single" w:sz="8" w:space="0" w:color="auto"/>
              <w:right w:val="single" w:sz="8" w:space="0" w:color="auto"/>
            </w:tcBorders>
            <w:shd w:val="clear" w:color="auto" w:fill="auto"/>
            <w:vAlign w:val="center"/>
            <w:hideMark/>
          </w:tcPr>
          <w:p w:rsidR="003E6588" w:rsidRDefault="003E6588">
            <w:pPr>
              <w:rPr>
                <w:color w:val="000000"/>
                <w:sz w:val="20"/>
                <w:szCs w:val="20"/>
              </w:rPr>
            </w:pPr>
            <w:r>
              <w:rPr>
                <w:color w:val="000000"/>
                <w:sz w:val="20"/>
                <w:szCs w:val="20"/>
              </w:rPr>
              <w:t>203</w:t>
            </w:r>
          </w:p>
        </w:tc>
        <w:tc>
          <w:tcPr>
            <w:tcW w:w="1020" w:type="dxa"/>
            <w:tcBorders>
              <w:top w:val="nil"/>
              <w:left w:val="nil"/>
              <w:bottom w:val="single" w:sz="8" w:space="0" w:color="auto"/>
              <w:right w:val="single" w:sz="8" w:space="0" w:color="auto"/>
            </w:tcBorders>
            <w:shd w:val="clear" w:color="auto" w:fill="auto"/>
            <w:vAlign w:val="center"/>
            <w:hideMark/>
          </w:tcPr>
          <w:p w:rsidR="003E6588" w:rsidRDefault="003E6588">
            <w:pPr>
              <w:rPr>
                <w:color w:val="000000"/>
                <w:sz w:val="20"/>
                <w:szCs w:val="20"/>
              </w:rPr>
            </w:pPr>
            <w:r>
              <w:rPr>
                <w:color w:val="000000"/>
                <w:sz w:val="20"/>
                <w:szCs w:val="20"/>
              </w:rPr>
              <w:t>1.672</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rsidR="003E6588" w:rsidRDefault="003E6588">
            <w:pPr>
              <w:rPr>
                <w:color w:val="000000"/>
                <w:sz w:val="20"/>
                <w:szCs w:val="20"/>
              </w:rPr>
            </w:pPr>
            <w:r>
              <w:rPr>
                <w:color w:val="000000"/>
                <w:sz w:val="20"/>
                <w:szCs w:val="20"/>
              </w:rPr>
              <w:t>15.373</w:t>
            </w:r>
          </w:p>
        </w:tc>
      </w:tr>
    </w:tbl>
    <w:p w:rsidR="003E6588" w:rsidRDefault="003E6588" w:rsidP="00E87CBE">
      <w:pPr>
        <w:pStyle w:val="Contedodatabela"/>
        <w:jc w:val="both"/>
        <w:rPr>
          <w:b/>
          <w:color w:val="000000"/>
        </w:rPr>
      </w:pPr>
    </w:p>
    <w:p w:rsidR="003E6588" w:rsidRDefault="003E6588">
      <w:pPr>
        <w:pStyle w:val="Contedodatabela"/>
        <w:ind w:firstLine="1134"/>
        <w:jc w:val="both"/>
        <w:rPr>
          <w:strike/>
          <w:color w:val="000000"/>
        </w:rPr>
      </w:pPr>
      <w:r>
        <w:rPr>
          <w:b/>
          <w:color w:val="000000"/>
        </w:rPr>
        <w:t xml:space="preserve">18º JORI - Jogos Regionais do Idoso - </w:t>
      </w:r>
      <w:r>
        <w:rPr>
          <w:color w:val="000000"/>
        </w:rPr>
        <w:t>Realizados em parceria com o Fundo Social de Solidariedade e a Secretaria da Educação, têm como objetivos valorizar e estimular a prática esportiva, como fator de promoção de saúde e bem estar da melhor idade, resgatando a autoestima para melhor convívio social dos idosos do Estado, proporcionando integração dos atletas das regiões administrativas por meio de disputas de 14 modalidades (atletismo, bocha, buraco, coreografia, damas, dança de salão, dominó, malha, natação, tênis de mesa adaptado, truco, voleibol adaptado e xadrez) e visando à classificação para os Jogos Abertos do Idoso - JAI.</w:t>
      </w:r>
    </w:p>
    <w:p w:rsidR="003E6588" w:rsidRDefault="003E6588">
      <w:pPr>
        <w:jc w:val="both"/>
        <w:rPr>
          <w:color w:val="000000"/>
        </w:rPr>
      </w:pPr>
    </w:p>
    <w:tbl>
      <w:tblPr>
        <w:tblW w:w="8203" w:type="dxa"/>
        <w:jc w:val="center"/>
        <w:tblInd w:w="272" w:type="dxa"/>
        <w:tblLayout w:type="fixed"/>
        <w:tblCellMar>
          <w:left w:w="70" w:type="dxa"/>
          <w:right w:w="70" w:type="dxa"/>
        </w:tblCellMar>
        <w:tblLook w:val="04A0"/>
      </w:tblPr>
      <w:tblGrid>
        <w:gridCol w:w="3001"/>
        <w:gridCol w:w="1759"/>
        <w:gridCol w:w="1364"/>
        <w:gridCol w:w="1019"/>
        <w:gridCol w:w="1060"/>
      </w:tblGrid>
      <w:tr w:rsidR="003E6588" w:rsidTr="00DB2448">
        <w:trPr>
          <w:trHeight w:val="34"/>
          <w:jc w:val="center"/>
        </w:trPr>
        <w:tc>
          <w:tcPr>
            <w:tcW w:w="8203"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18º JORI - Jogos Regionais do Idoso</w:t>
            </w:r>
          </w:p>
        </w:tc>
      </w:tr>
      <w:tr w:rsidR="003E6588" w:rsidTr="00E87CBE">
        <w:trPr>
          <w:trHeight w:val="75"/>
          <w:jc w:val="center"/>
        </w:trPr>
        <w:tc>
          <w:tcPr>
            <w:tcW w:w="3001"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Região Administrativa</w:t>
            </w:r>
          </w:p>
        </w:tc>
        <w:tc>
          <w:tcPr>
            <w:tcW w:w="1759"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Sede</w:t>
            </w:r>
          </w:p>
        </w:tc>
        <w:tc>
          <w:tcPr>
            <w:tcW w:w="1364"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Municípios</w:t>
            </w:r>
          </w:p>
        </w:tc>
        <w:tc>
          <w:tcPr>
            <w:tcW w:w="1019"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Equipes</w:t>
            </w:r>
          </w:p>
        </w:tc>
        <w:tc>
          <w:tcPr>
            <w:tcW w:w="1060" w:type="dxa"/>
            <w:tcBorders>
              <w:top w:val="nil"/>
              <w:left w:val="nil"/>
              <w:bottom w:val="single" w:sz="8" w:space="0" w:color="000000"/>
              <w:right w:val="single" w:sz="8" w:space="0" w:color="000000"/>
            </w:tcBorders>
            <w:shd w:val="clear" w:color="000000" w:fill="FFFFFF"/>
            <w:vAlign w:val="center"/>
            <w:hideMark/>
          </w:tcPr>
          <w:p w:rsidR="003E6588" w:rsidRDefault="003E6588">
            <w:pPr>
              <w:rPr>
                <w:b/>
                <w:bCs/>
                <w:color w:val="000000"/>
                <w:sz w:val="20"/>
                <w:szCs w:val="20"/>
              </w:rPr>
            </w:pPr>
            <w:r>
              <w:rPr>
                <w:b/>
                <w:bCs/>
                <w:color w:val="000000"/>
                <w:sz w:val="20"/>
                <w:szCs w:val="20"/>
              </w:rPr>
              <w:t>Partic.</w:t>
            </w:r>
          </w:p>
        </w:tc>
      </w:tr>
      <w:tr w:rsidR="003E6588" w:rsidTr="00E87CBE">
        <w:trPr>
          <w:trHeight w:val="108"/>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1ª Região Administrativa</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Penápolis</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36</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231</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1.003</w:t>
            </w:r>
          </w:p>
        </w:tc>
      </w:tr>
      <w:tr w:rsidR="003E6588" w:rsidTr="00E87CBE">
        <w:trPr>
          <w:trHeight w:val="34"/>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2ª/4ª Regiões Administrativas</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Lençóis Paulista</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51</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459</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2.029</w:t>
            </w:r>
          </w:p>
        </w:tc>
      </w:tr>
      <w:tr w:rsidR="003E6588" w:rsidTr="00E87CBE">
        <w:trPr>
          <w:trHeight w:val="34"/>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3ª/6ª/10ª Regiões Administrativas</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Batatais</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46</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426</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2.008</w:t>
            </w:r>
          </w:p>
        </w:tc>
      </w:tr>
      <w:tr w:rsidR="003E6588" w:rsidTr="00E87CBE">
        <w:trPr>
          <w:trHeight w:val="62"/>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5ª Região Administrativa</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Mogi Guaçu</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60</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725</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3.350</w:t>
            </w:r>
          </w:p>
        </w:tc>
      </w:tr>
      <w:tr w:rsidR="003E6588" w:rsidTr="00E87CBE">
        <w:trPr>
          <w:trHeight w:val="34"/>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7ª/11ª Regiões Administrativas</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Osasco</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42</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716</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2.603</w:t>
            </w:r>
          </w:p>
        </w:tc>
      </w:tr>
      <w:tr w:rsidR="003E6588" w:rsidTr="00E87CBE">
        <w:trPr>
          <w:trHeight w:val="34"/>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8ª Região Administrativa</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Garça</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30</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206</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943</w:t>
            </w:r>
          </w:p>
        </w:tc>
      </w:tr>
      <w:tr w:rsidR="003E6588" w:rsidTr="00E87CBE">
        <w:trPr>
          <w:trHeight w:val="34"/>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9ª Região Administrativa</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Pres. Venceslau</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35</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300</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1.359</w:t>
            </w:r>
          </w:p>
        </w:tc>
      </w:tr>
      <w:tr w:rsidR="003E6588" w:rsidTr="00E87CBE">
        <w:trPr>
          <w:trHeight w:val="62"/>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12ª Região Administrativa</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Caraguatatuba</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24</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386</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1.414</w:t>
            </w:r>
          </w:p>
        </w:tc>
      </w:tr>
      <w:tr w:rsidR="003E6588" w:rsidTr="00E87CBE">
        <w:trPr>
          <w:trHeight w:val="93"/>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13ª Região Administrativa</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Catanduva</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53</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479</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1.992</w:t>
            </w:r>
          </w:p>
        </w:tc>
      </w:tr>
      <w:tr w:rsidR="003E6588" w:rsidTr="00E87CBE">
        <w:trPr>
          <w:trHeight w:val="126"/>
          <w:jc w:val="center"/>
        </w:trPr>
        <w:tc>
          <w:tcPr>
            <w:tcW w:w="3001"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14ª Região Administrativa</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São Roque</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37</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351</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1.615</w:t>
            </w:r>
          </w:p>
        </w:tc>
      </w:tr>
      <w:tr w:rsidR="003E6588" w:rsidTr="00E87CBE">
        <w:trPr>
          <w:trHeight w:val="34"/>
          <w:jc w:val="center"/>
        </w:trPr>
        <w:tc>
          <w:tcPr>
            <w:tcW w:w="3001"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Total</w:t>
            </w:r>
          </w:p>
        </w:tc>
        <w:tc>
          <w:tcPr>
            <w:tcW w:w="1759"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 </w:t>
            </w:r>
          </w:p>
        </w:tc>
        <w:tc>
          <w:tcPr>
            <w:tcW w:w="1364"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414</w:t>
            </w:r>
          </w:p>
        </w:tc>
        <w:tc>
          <w:tcPr>
            <w:tcW w:w="1019"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4.279</w:t>
            </w:r>
          </w:p>
        </w:tc>
        <w:tc>
          <w:tcPr>
            <w:tcW w:w="1060"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18.316</w:t>
            </w:r>
          </w:p>
        </w:tc>
      </w:tr>
    </w:tbl>
    <w:p w:rsidR="003E6588" w:rsidRDefault="003E6588">
      <w:pPr>
        <w:pStyle w:val="Contedodatabela"/>
        <w:rPr>
          <w:b/>
          <w:color w:val="000000"/>
        </w:rPr>
      </w:pPr>
    </w:p>
    <w:p w:rsidR="003E6588" w:rsidRDefault="003E6588">
      <w:pPr>
        <w:pStyle w:val="Contedodatabela"/>
        <w:ind w:firstLine="1134"/>
        <w:jc w:val="both"/>
        <w:rPr>
          <w:color w:val="000000"/>
        </w:rPr>
      </w:pPr>
      <w:r>
        <w:rPr>
          <w:b/>
          <w:color w:val="000000"/>
        </w:rPr>
        <w:t xml:space="preserve">18º JAI - Jogos Abertos do Idoso - </w:t>
      </w:r>
      <w:r>
        <w:rPr>
          <w:color w:val="000000"/>
        </w:rPr>
        <w:t>Tem por objetivo o desempenho dos atletas e equipes classificados nas etapas das 14 regiões administrativas dos JORI - Jogos Regionais do Idoso e prática esportiva nos municípios do Estado, por meio dos jogos e competições nas 14 modalidades esportivas (atletismo, bocha, buraco, coreografia, damas, dança de salão, dominó, malha, natação, tênis de mesa adaptado, truco, voleibol adaptado e xadrez).</w:t>
      </w:r>
    </w:p>
    <w:p w:rsidR="003E6588" w:rsidRDefault="003E6588">
      <w:pPr>
        <w:jc w:val="both"/>
        <w:rPr>
          <w:color w:val="000000"/>
        </w:rPr>
      </w:pPr>
    </w:p>
    <w:tbl>
      <w:tblPr>
        <w:tblW w:w="8313" w:type="dxa"/>
        <w:jc w:val="center"/>
        <w:tblInd w:w="382" w:type="dxa"/>
        <w:tblCellMar>
          <w:left w:w="70" w:type="dxa"/>
          <w:right w:w="70" w:type="dxa"/>
        </w:tblCellMar>
        <w:tblLook w:val="04A0"/>
      </w:tblPr>
      <w:tblGrid>
        <w:gridCol w:w="2993"/>
        <w:gridCol w:w="1900"/>
        <w:gridCol w:w="1240"/>
        <w:gridCol w:w="1020"/>
        <w:gridCol w:w="1160"/>
      </w:tblGrid>
      <w:tr w:rsidR="003E6588" w:rsidTr="00DB2448">
        <w:trPr>
          <w:trHeight w:val="34"/>
          <w:jc w:val="center"/>
        </w:trPr>
        <w:tc>
          <w:tcPr>
            <w:tcW w:w="8313"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18º JAI - Jogos Abertos do Idoso</w:t>
            </w:r>
          </w:p>
        </w:tc>
      </w:tr>
      <w:tr w:rsidR="003E6588" w:rsidTr="00E87CBE">
        <w:trPr>
          <w:trHeight w:val="108"/>
          <w:jc w:val="center"/>
        </w:trPr>
        <w:tc>
          <w:tcPr>
            <w:tcW w:w="2993"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Administrativa</w:t>
            </w:r>
          </w:p>
        </w:tc>
        <w:tc>
          <w:tcPr>
            <w:tcW w:w="190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Sede</w:t>
            </w:r>
          </w:p>
        </w:tc>
        <w:tc>
          <w:tcPr>
            <w:tcW w:w="124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Municípios</w:t>
            </w:r>
          </w:p>
        </w:tc>
        <w:tc>
          <w:tcPr>
            <w:tcW w:w="10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Equipes</w:t>
            </w:r>
          </w:p>
        </w:tc>
        <w:tc>
          <w:tcPr>
            <w:tcW w:w="116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Partic.</w:t>
            </w:r>
          </w:p>
        </w:tc>
      </w:tr>
      <w:tr w:rsidR="003E6588" w:rsidTr="00E87CBE">
        <w:trPr>
          <w:trHeight w:val="34"/>
          <w:jc w:val="center"/>
        </w:trPr>
        <w:tc>
          <w:tcPr>
            <w:tcW w:w="2993"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9ª Região Administrativa</w:t>
            </w:r>
          </w:p>
        </w:tc>
        <w:tc>
          <w:tcPr>
            <w:tcW w:w="19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Presidente Prudente</w:t>
            </w:r>
          </w:p>
        </w:tc>
        <w:tc>
          <w:tcPr>
            <w:tcW w:w="124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201</w:t>
            </w:r>
          </w:p>
        </w:tc>
        <w:tc>
          <w:tcPr>
            <w:tcW w:w="10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1.363 </w:t>
            </w:r>
          </w:p>
        </w:tc>
        <w:tc>
          <w:tcPr>
            <w:tcW w:w="116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3.000</w:t>
            </w:r>
          </w:p>
        </w:tc>
      </w:tr>
    </w:tbl>
    <w:p w:rsidR="003E6588" w:rsidRDefault="003E6588">
      <w:pPr>
        <w:rPr>
          <w:b/>
          <w:color w:val="000000"/>
          <w:u w:val="single"/>
        </w:rPr>
      </w:pPr>
    </w:p>
    <w:p w:rsidR="003E6588" w:rsidRDefault="003E6588">
      <w:pPr>
        <w:pStyle w:val="SemEspaamento"/>
        <w:ind w:firstLine="1134"/>
        <w:jc w:val="both"/>
        <w:rPr>
          <w:rFonts w:ascii="Times New Roman" w:hAnsi="Times New Roman"/>
          <w:color w:val="000000"/>
          <w:sz w:val="24"/>
          <w:szCs w:val="24"/>
        </w:rPr>
      </w:pPr>
      <w:r>
        <w:rPr>
          <w:rFonts w:ascii="Times New Roman" w:hAnsi="Times New Roman"/>
          <w:b/>
          <w:color w:val="000000"/>
          <w:sz w:val="24"/>
          <w:szCs w:val="24"/>
        </w:rPr>
        <w:t xml:space="preserve">31º Jogos Abertos da Juventude - </w:t>
      </w:r>
      <w:r>
        <w:rPr>
          <w:rFonts w:ascii="Times New Roman" w:hAnsi="Times New Roman"/>
          <w:color w:val="000000"/>
          <w:sz w:val="24"/>
          <w:szCs w:val="24"/>
        </w:rPr>
        <w:t>Tem como objetivos desenvolver o intercâmbio social e esportivo, difundir a prática de 14 modalidades esportivas (Atletismo, Basquetebol, Damas, Futebol, Ginástica Artística, Ginástica Rítmica, Futsal, Handebol, Judô, Natação, Tênis, Tênis de Mesa, Voleibol e Xadrez) e, dar aos jovens de ate 19 anos a oportunidade de desenvolvimento físico, técnico e tático, fazendo surgir novos valores no panorama desportivo.</w:t>
      </w:r>
    </w:p>
    <w:p w:rsidR="003E6588" w:rsidRDefault="003E6588">
      <w:pPr>
        <w:jc w:val="both"/>
        <w:rPr>
          <w:color w:val="000000"/>
        </w:rPr>
      </w:pPr>
    </w:p>
    <w:tbl>
      <w:tblPr>
        <w:tblW w:w="8345" w:type="dxa"/>
        <w:jc w:val="center"/>
        <w:tblInd w:w="130" w:type="dxa"/>
        <w:tblCellMar>
          <w:left w:w="70" w:type="dxa"/>
          <w:right w:w="70" w:type="dxa"/>
        </w:tblCellMar>
        <w:tblLook w:val="04A0"/>
      </w:tblPr>
      <w:tblGrid>
        <w:gridCol w:w="3145"/>
        <w:gridCol w:w="1860"/>
        <w:gridCol w:w="1220"/>
        <w:gridCol w:w="1000"/>
        <w:gridCol w:w="1120"/>
      </w:tblGrid>
      <w:tr w:rsidR="003E6588" w:rsidTr="00DB2448">
        <w:trPr>
          <w:trHeight w:val="72"/>
          <w:jc w:val="center"/>
        </w:trPr>
        <w:tc>
          <w:tcPr>
            <w:tcW w:w="8345"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31º JAJ - Jogos Abertos da Juventude</w:t>
            </w:r>
          </w:p>
        </w:tc>
      </w:tr>
      <w:tr w:rsidR="003E6588" w:rsidTr="00E87CBE">
        <w:trPr>
          <w:trHeight w:val="104"/>
          <w:jc w:val="center"/>
        </w:trPr>
        <w:tc>
          <w:tcPr>
            <w:tcW w:w="3145"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Administrativa</w:t>
            </w:r>
          </w:p>
        </w:tc>
        <w:tc>
          <w:tcPr>
            <w:tcW w:w="186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Sede</w:t>
            </w:r>
          </w:p>
        </w:tc>
        <w:tc>
          <w:tcPr>
            <w:tcW w:w="12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Municípios</w:t>
            </w:r>
          </w:p>
        </w:tc>
        <w:tc>
          <w:tcPr>
            <w:tcW w:w="100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Equipes</w:t>
            </w:r>
          </w:p>
        </w:tc>
        <w:tc>
          <w:tcPr>
            <w:tcW w:w="11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Partic.</w:t>
            </w:r>
          </w:p>
        </w:tc>
      </w:tr>
      <w:tr w:rsidR="003E6588" w:rsidTr="00E87CBE">
        <w:trPr>
          <w:trHeight w:val="136"/>
          <w:jc w:val="center"/>
        </w:trPr>
        <w:tc>
          <w:tcPr>
            <w:tcW w:w="3145"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14ª Região Administrativa</w:t>
            </w:r>
          </w:p>
        </w:tc>
        <w:tc>
          <w:tcPr>
            <w:tcW w:w="1860" w:type="dxa"/>
            <w:tcBorders>
              <w:top w:val="nil"/>
              <w:left w:val="nil"/>
              <w:bottom w:val="single" w:sz="8" w:space="0" w:color="000000"/>
              <w:right w:val="single" w:sz="8" w:space="0" w:color="000000"/>
            </w:tcBorders>
            <w:shd w:val="clear" w:color="auto" w:fill="auto"/>
            <w:noWrap/>
            <w:vAlign w:val="center"/>
            <w:hideMark/>
          </w:tcPr>
          <w:p w:rsidR="003E6588" w:rsidRDefault="003E6588">
            <w:pPr>
              <w:rPr>
                <w:color w:val="000000"/>
                <w:sz w:val="20"/>
                <w:szCs w:val="20"/>
              </w:rPr>
            </w:pPr>
            <w:r>
              <w:rPr>
                <w:color w:val="000000"/>
                <w:sz w:val="20"/>
                <w:szCs w:val="20"/>
              </w:rPr>
              <w:t>Itapetininga</w:t>
            </w:r>
          </w:p>
        </w:tc>
        <w:tc>
          <w:tcPr>
            <w:tcW w:w="12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354</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1.685</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34.586</w:t>
            </w:r>
          </w:p>
        </w:tc>
      </w:tr>
    </w:tbl>
    <w:p w:rsidR="003E6588" w:rsidRDefault="003E6588">
      <w:pPr>
        <w:ind w:firstLine="1134"/>
        <w:jc w:val="both"/>
        <w:rPr>
          <w:color w:val="000000"/>
        </w:rPr>
      </w:pPr>
      <w:r>
        <w:rPr>
          <w:b/>
          <w:color w:val="000000"/>
        </w:rPr>
        <w:lastRenderedPageBreak/>
        <w:t xml:space="preserve">43º Campeonato Estadual de Futebol - </w:t>
      </w:r>
      <w:r>
        <w:rPr>
          <w:color w:val="000000"/>
        </w:rPr>
        <w:t>Está vinculado ao rendimento educacional, pois todos os atletas inscritos devem apresentar declaração escolar com notas ou conceitos obtidos; o atleta precisa ter boas notas ou conceitos para poder participar da competição, promovendo o intercâmbio social e esportivo e contribuindo com o aprimoramento técnico da modalidade. É disputado nas categorias Fraldinha, Dentinho, Dente de Leite, e Dentão.</w:t>
      </w:r>
    </w:p>
    <w:p w:rsidR="003E6588" w:rsidRDefault="003E6588">
      <w:pPr>
        <w:jc w:val="both"/>
        <w:rPr>
          <w:color w:val="000000"/>
        </w:rPr>
      </w:pPr>
    </w:p>
    <w:tbl>
      <w:tblPr>
        <w:tblW w:w="8640" w:type="dxa"/>
        <w:jc w:val="center"/>
        <w:tblInd w:w="55" w:type="dxa"/>
        <w:tblCellMar>
          <w:left w:w="70" w:type="dxa"/>
          <w:right w:w="70" w:type="dxa"/>
        </w:tblCellMar>
        <w:tblLook w:val="04A0"/>
      </w:tblPr>
      <w:tblGrid>
        <w:gridCol w:w="3134"/>
        <w:gridCol w:w="2086"/>
        <w:gridCol w:w="1240"/>
        <w:gridCol w:w="1020"/>
        <w:gridCol w:w="1160"/>
      </w:tblGrid>
      <w:tr w:rsidR="003E6588" w:rsidTr="00DB2448">
        <w:trPr>
          <w:trHeight w:val="78"/>
          <w:jc w:val="center"/>
        </w:trPr>
        <w:tc>
          <w:tcPr>
            <w:tcW w:w="8640"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43º Campeonato Estadual de Futebol</w:t>
            </w:r>
          </w:p>
        </w:tc>
      </w:tr>
      <w:tr w:rsidR="003E6588">
        <w:trPr>
          <w:trHeight w:val="110"/>
          <w:jc w:val="center"/>
        </w:trPr>
        <w:tc>
          <w:tcPr>
            <w:tcW w:w="3134"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Administrativa</w:t>
            </w:r>
          </w:p>
        </w:tc>
        <w:tc>
          <w:tcPr>
            <w:tcW w:w="2086"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Sedes</w:t>
            </w:r>
          </w:p>
        </w:tc>
        <w:tc>
          <w:tcPr>
            <w:tcW w:w="124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Municípios</w:t>
            </w:r>
          </w:p>
        </w:tc>
        <w:tc>
          <w:tcPr>
            <w:tcW w:w="10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Equipes</w:t>
            </w:r>
          </w:p>
        </w:tc>
        <w:tc>
          <w:tcPr>
            <w:tcW w:w="116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Partic.</w:t>
            </w:r>
          </w:p>
        </w:tc>
      </w:tr>
      <w:tr w:rsidR="003E6588">
        <w:trPr>
          <w:trHeight w:val="34"/>
          <w:jc w:val="center"/>
        </w:trPr>
        <w:tc>
          <w:tcPr>
            <w:tcW w:w="3134"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6ª Região Administrativa</w:t>
            </w:r>
          </w:p>
        </w:tc>
        <w:tc>
          <w:tcPr>
            <w:tcW w:w="2086" w:type="dxa"/>
            <w:tcBorders>
              <w:top w:val="nil"/>
              <w:left w:val="nil"/>
              <w:bottom w:val="single" w:sz="8" w:space="0" w:color="000000"/>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Patrocínio Paulista</w:t>
            </w:r>
          </w:p>
        </w:tc>
        <w:tc>
          <w:tcPr>
            <w:tcW w:w="1240" w:type="dxa"/>
            <w:tcBorders>
              <w:top w:val="nil"/>
              <w:left w:val="nil"/>
              <w:bottom w:val="nil"/>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 </w:t>
            </w:r>
          </w:p>
        </w:tc>
        <w:tc>
          <w:tcPr>
            <w:tcW w:w="1020" w:type="dxa"/>
            <w:tcBorders>
              <w:top w:val="nil"/>
              <w:left w:val="nil"/>
              <w:bottom w:val="nil"/>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 </w:t>
            </w:r>
          </w:p>
        </w:tc>
        <w:tc>
          <w:tcPr>
            <w:tcW w:w="1160" w:type="dxa"/>
            <w:tcBorders>
              <w:top w:val="nil"/>
              <w:left w:val="nil"/>
              <w:bottom w:val="nil"/>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 </w:t>
            </w:r>
          </w:p>
        </w:tc>
      </w:tr>
      <w:tr w:rsidR="003E6588">
        <w:trPr>
          <w:trHeight w:val="34"/>
          <w:jc w:val="center"/>
        </w:trPr>
        <w:tc>
          <w:tcPr>
            <w:tcW w:w="3134"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14ª Região Administrativa</w:t>
            </w:r>
          </w:p>
        </w:tc>
        <w:tc>
          <w:tcPr>
            <w:tcW w:w="2086" w:type="dxa"/>
            <w:tcBorders>
              <w:top w:val="nil"/>
              <w:left w:val="nil"/>
              <w:bottom w:val="single" w:sz="8" w:space="0" w:color="000000"/>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Itapeva</w:t>
            </w:r>
          </w:p>
        </w:tc>
        <w:tc>
          <w:tcPr>
            <w:tcW w:w="1240" w:type="dxa"/>
            <w:tcBorders>
              <w:top w:val="nil"/>
              <w:left w:val="nil"/>
              <w:bottom w:val="nil"/>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260</w:t>
            </w:r>
          </w:p>
        </w:tc>
        <w:tc>
          <w:tcPr>
            <w:tcW w:w="1020" w:type="dxa"/>
            <w:tcBorders>
              <w:top w:val="nil"/>
              <w:left w:val="nil"/>
              <w:bottom w:val="nil"/>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1.239</w:t>
            </w:r>
          </w:p>
        </w:tc>
        <w:tc>
          <w:tcPr>
            <w:tcW w:w="1160" w:type="dxa"/>
            <w:tcBorders>
              <w:top w:val="nil"/>
              <w:left w:val="nil"/>
              <w:bottom w:val="nil"/>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34.630</w:t>
            </w:r>
          </w:p>
        </w:tc>
      </w:tr>
      <w:tr w:rsidR="003E6588">
        <w:trPr>
          <w:trHeight w:val="64"/>
          <w:jc w:val="center"/>
        </w:trPr>
        <w:tc>
          <w:tcPr>
            <w:tcW w:w="3134"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5ª Região Administrativa</w:t>
            </w:r>
          </w:p>
        </w:tc>
        <w:tc>
          <w:tcPr>
            <w:tcW w:w="2086" w:type="dxa"/>
            <w:tcBorders>
              <w:top w:val="nil"/>
              <w:left w:val="nil"/>
              <w:bottom w:val="single" w:sz="8" w:space="0" w:color="000000"/>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Cerquilho</w:t>
            </w:r>
          </w:p>
        </w:tc>
        <w:tc>
          <w:tcPr>
            <w:tcW w:w="1240" w:type="dxa"/>
            <w:tcBorders>
              <w:top w:val="nil"/>
              <w:left w:val="nil"/>
              <w:bottom w:val="single" w:sz="8" w:space="0" w:color="000000"/>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 </w:t>
            </w:r>
          </w:p>
        </w:tc>
        <w:tc>
          <w:tcPr>
            <w:tcW w:w="1020" w:type="dxa"/>
            <w:tcBorders>
              <w:top w:val="nil"/>
              <w:left w:val="nil"/>
              <w:bottom w:val="single" w:sz="8" w:space="0" w:color="000000"/>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 </w:t>
            </w:r>
          </w:p>
        </w:tc>
        <w:tc>
          <w:tcPr>
            <w:tcW w:w="1160" w:type="dxa"/>
            <w:tcBorders>
              <w:top w:val="nil"/>
              <w:left w:val="nil"/>
              <w:bottom w:val="single" w:sz="8" w:space="0" w:color="000000"/>
              <w:right w:val="single" w:sz="8" w:space="0" w:color="000000"/>
            </w:tcBorders>
            <w:shd w:val="clear" w:color="auto" w:fill="auto"/>
            <w:noWrap/>
            <w:vAlign w:val="bottom"/>
            <w:hideMark/>
          </w:tcPr>
          <w:p w:rsidR="003E6588" w:rsidRDefault="003E6588">
            <w:pPr>
              <w:rPr>
                <w:color w:val="000000"/>
                <w:sz w:val="20"/>
                <w:szCs w:val="20"/>
              </w:rPr>
            </w:pPr>
            <w:r>
              <w:rPr>
                <w:color w:val="000000"/>
                <w:sz w:val="20"/>
                <w:szCs w:val="20"/>
              </w:rPr>
              <w:t> </w:t>
            </w:r>
          </w:p>
        </w:tc>
      </w:tr>
    </w:tbl>
    <w:p w:rsidR="003E6588" w:rsidRDefault="003E6588">
      <w:pPr>
        <w:jc w:val="both"/>
        <w:rPr>
          <w:color w:val="000000"/>
        </w:rPr>
      </w:pPr>
    </w:p>
    <w:p w:rsidR="003E6588" w:rsidRDefault="003E6588">
      <w:pPr>
        <w:pStyle w:val="Contedodatabela"/>
        <w:ind w:firstLine="1134"/>
        <w:jc w:val="both"/>
        <w:rPr>
          <w:strike/>
          <w:color w:val="000000"/>
        </w:rPr>
      </w:pPr>
      <w:r>
        <w:rPr>
          <w:b/>
          <w:bCs/>
          <w:color w:val="000000"/>
          <w:lang w:eastAsia="pt-BR"/>
        </w:rPr>
        <w:t>4º</w:t>
      </w:r>
      <w:r>
        <w:rPr>
          <w:b/>
          <w:color w:val="000000"/>
        </w:rPr>
        <w:t xml:space="preserve"> Copa de Basquetebol - </w:t>
      </w:r>
      <w:r>
        <w:rPr>
          <w:color w:val="000000"/>
        </w:rPr>
        <w:t xml:space="preserve">Tem como objetivo estimular a atividade esportiva e fomentar a prática da modalidade entre atletas na faixa etária entre 14 a 16 anos, inserindo a aprendizagem dos fundamentos da modalidade nas novas gerações e visando à descoberta de novos </w:t>
      </w:r>
      <w:r w:rsidRPr="00E87CBE">
        <w:rPr>
          <w:color w:val="000000"/>
        </w:rPr>
        <w:t>talentos.</w:t>
      </w:r>
    </w:p>
    <w:p w:rsidR="003E6588" w:rsidRDefault="003E6588">
      <w:pPr>
        <w:jc w:val="both"/>
        <w:rPr>
          <w:color w:val="000000"/>
        </w:rPr>
      </w:pPr>
    </w:p>
    <w:tbl>
      <w:tblPr>
        <w:tblW w:w="8420" w:type="dxa"/>
        <w:jc w:val="center"/>
        <w:tblInd w:w="55" w:type="dxa"/>
        <w:tblCellMar>
          <w:left w:w="70" w:type="dxa"/>
          <w:right w:w="70" w:type="dxa"/>
        </w:tblCellMar>
        <w:tblLook w:val="04A0"/>
      </w:tblPr>
      <w:tblGrid>
        <w:gridCol w:w="3220"/>
        <w:gridCol w:w="1860"/>
        <w:gridCol w:w="1220"/>
        <w:gridCol w:w="1000"/>
        <w:gridCol w:w="1120"/>
      </w:tblGrid>
      <w:tr w:rsidR="003E6588" w:rsidTr="00DB2448">
        <w:trPr>
          <w:trHeight w:val="34"/>
          <w:jc w:val="center"/>
        </w:trPr>
        <w:tc>
          <w:tcPr>
            <w:tcW w:w="8420"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4º CB - Copa de Basquetebol</w:t>
            </w:r>
          </w:p>
        </w:tc>
      </w:tr>
      <w:tr w:rsidR="003E6588">
        <w:trPr>
          <w:trHeight w:val="34"/>
          <w:jc w:val="center"/>
        </w:trPr>
        <w:tc>
          <w:tcPr>
            <w:tcW w:w="3220"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Administrativa</w:t>
            </w:r>
          </w:p>
        </w:tc>
        <w:tc>
          <w:tcPr>
            <w:tcW w:w="186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Sede</w:t>
            </w:r>
          </w:p>
        </w:tc>
        <w:tc>
          <w:tcPr>
            <w:tcW w:w="12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Municípios</w:t>
            </w:r>
          </w:p>
        </w:tc>
        <w:tc>
          <w:tcPr>
            <w:tcW w:w="100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Equipes</w:t>
            </w:r>
          </w:p>
        </w:tc>
        <w:tc>
          <w:tcPr>
            <w:tcW w:w="11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Partic.</w:t>
            </w:r>
          </w:p>
        </w:tc>
      </w:tr>
      <w:tr w:rsidR="003E6588">
        <w:trPr>
          <w:trHeight w:val="38"/>
          <w:jc w:val="center"/>
        </w:trPr>
        <w:tc>
          <w:tcPr>
            <w:tcW w:w="3220"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 xml:space="preserve">1ª Região Administrativa </w:t>
            </w:r>
          </w:p>
        </w:tc>
        <w:tc>
          <w:tcPr>
            <w:tcW w:w="1860" w:type="dxa"/>
            <w:tcBorders>
              <w:top w:val="nil"/>
              <w:left w:val="nil"/>
              <w:bottom w:val="single" w:sz="8" w:space="0" w:color="000000"/>
              <w:right w:val="single" w:sz="8" w:space="0" w:color="000000"/>
            </w:tcBorders>
            <w:shd w:val="clear" w:color="auto" w:fill="auto"/>
            <w:noWrap/>
            <w:vAlign w:val="center"/>
            <w:hideMark/>
          </w:tcPr>
          <w:p w:rsidR="003E6588" w:rsidRDefault="003E6588">
            <w:pPr>
              <w:rPr>
                <w:color w:val="000000"/>
                <w:sz w:val="20"/>
                <w:szCs w:val="20"/>
              </w:rPr>
            </w:pPr>
            <w:r>
              <w:rPr>
                <w:color w:val="000000"/>
                <w:sz w:val="20"/>
                <w:szCs w:val="20"/>
              </w:rPr>
              <w:t>Birigui</w:t>
            </w:r>
          </w:p>
        </w:tc>
        <w:tc>
          <w:tcPr>
            <w:tcW w:w="12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96</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134</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2.316</w:t>
            </w:r>
          </w:p>
        </w:tc>
      </w:tr>
    </w:tbl>
    <w:p w:rsidR="003E6588" w:rsidRDefault="003E6588" w:rsidP="00123C69">
      <w:pPr>
        <w:jc w:val="both"/>
        <w:rPr>
          <w:b/>
          <w:bCs/>
          <w:color w:val="000000"/>
        </w:rPr>
      </w:pPr>
    </w:p>
    <w:p w:rsidR="003E6588" w:rsidRDefault="003E6588">
      <w:pPr>
        <w:ind w:firstLine="1134"/>
        <w:jc w:val="both"/>
        <w:rPr>
          <w:color w:val="000000"/>
        </w:rPr>
      </w:pPr>
      <w:r>
        <w:rPr>
          <w:b/>
          <w:bCs/>
          <w:color w:val="000000"/>
        </w:rPr>
        <w:t>15º</w:t>
      </w:r>
      <w:r>
        <w:rPr>
          <w:b/>
          <w:color w:val="000000"/>
        </w:rPr>
        <w:t xml:space="preserve"> XV Copa de Handebol - </w:t>
      </w:r>
      <w:r>
        <w:rPr>
          <w:color w:val="000000"/>
        </w:rPr>
        <w:t>Tem como objetivo estimular a atividade esportiva e fomentar a prática da modalidade entre atletas na faixa etária entre 14 a 16 anos, inserindo a aprendizagem dos fundamentos da modalidade nas novas gerações e visando à descoberta de novos talentos.</w:t>
      </w:r>
    </w:p>
    <w:p w:rsidR="003E6588" w:rsidRDefault="003E6588">
      <w:pPr>
        <w:jc w:val="both"/>
        <w:rPr>
          <w:color w:val="000000"/>
        </w:rPr>
      </w:pPr>
    </w:p>
    <w:tbl>
      <w:tblPr>
        <w:tblW w:w="8420" w:type="dxa"/>
        <w:jc w:val="center"/>
        <w:tblInd w:w="55" w:type="dxa"/>
        <w:tblCellMar>
          <w:left w:w="70" w:type="dxa"/>
          <w:right w:w="70" w:type="dxa"/>
        </w:tblCellMar>
        <w:tblLook w:val="04A0"/>
      </w:tblPr>
      <w:tblGrid>
        <w:gridCol w:w="3220"/>
        <w:gridCol w:w="1860"/>
        <w:gridCol w:w="1220"/>
        <w:gridCol w:w="1000"/>
        <w:gridCol w:w="1120"/>
      </w:tblGrid>
      <w:tr w:rsidR="003E6588" w:rsidTr="00DB2448">
        <w:trPr>
          <w:trHeight w:val="108"/>
          <w:jc w:val="center"/>
        </w:trPr>
        <w:tc>
          <w:tcPr>
            <w:tcW w:w="8420"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15º CH - Copa de Handebol</w:t>
            </w:r>
          </w:p>
        </w:tc>
      </w:tr>
      <w:tr w:rsidR="003E6588">
        <w:trPr>
          <w:trHeight w:val="34"/>
          <w:jc w:val="center"/>
        </w:trPr>
        <w:tc>
          <w:tcPr>
            <w:tcW w:w="3220"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Administrativa</w:t>
            </w:r>
          </w:p>
        </w:tc>
        <w:tc>
          <w:tcPr>
            <w:tcW w:w="186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Sede</w:t>
            </w:r>
          </w:p>
        </w:tc>
        <w:tc>
          <w:tcPr>
            <w:tcW w:w="12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Municípios</w:t>
            </w:r>
          </w:p>
        </w:tc>
        <w:tc>
          <w:tcPr>
            <w:tcW w:w="100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Equipes</w:t>
            </w:r>
          </w:p>
        </w:tc>
        <w:tc>
          <w:tcPr>
            <w:tcW w:w="1120"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Partic.</w:t>
            </w:r>
          </w:p>
        </w:tc>
      </w:tr>
      <w:tr w:rsidR="003E6588">
        <w:trPr>
          <w:trHeight w:val="34"/>
          <w:jc w:val="center"/>
        </w:trPr>
        <w:tc>
          <w:tcPr>
            <w:tcW w:w="3220"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14ª Região Administrativa</w:t>
            </w:r>
          </w:p>
        </w:tc>
        <w:tc>
          <w:tcPr>
            <w:tcW w:w="1860" w:type="dxa"/>
            <w:tcBorders>
              <w:top w:val="nil"/>
              <w:left w:val="nil"/>
              <w:bottom w:val="single" w:sz="8" w:space="0" w:color="000000"/>
              <w:right w:val="single" w:sz="8" w:space="0" w:color="000000"/>
            </w:tcBorders>
            <w:shd w:val="clear" w:color="auto" w:fill="auto"/>
            <w:noWrap/>
            <w:vAlign w:val="center"/>
            <w:hideMark/>
          </w:tcPr>
          <w:p w:rsidR="003E6588" w:rsidRDefault="003E6588">
            <w:pPr>
              <w:rPr>
                <w:color w:val="000000"/>
                <w:sz w:val="20"/>
                <w:szCs w:val="20"/>
              </w:rPr>
            </w:pPr>
            <w:r>
              <w:rPr>
                <w:color w:val="000000"/>
                <w:sz w:val="20"/>
                <w:szCs w:val="20"/>
              </w:rPr>
              <w:t>São Roque</w:t>
            </w:r>
          </w:p>
        </w:tc>
        <w:tc>
          <w:tcPr>
            <w:tcW w:w="12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73</w:t>
            </w:r>
          </w:p>
        </w:tc>
        <w:tc>
          <w:tcPr>
            <w:tcW w:w="100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120</w:t>
            </w:r>
          </w:p>
        </w:tc>
        <w:tc>
          <w:tcPr>
            <w:tcW w:w="1120"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2.367</w:t>
            </w:r>
          </w:p>
        </w:tc>
      </w:tr>
    </w:tbl>
    <w:p w:rsidR="003E6588" w:rsidRDefault="003E6588">
      <w:pPr>
        <w:pStyle w:val="Contedodatabela"/>
        <w:jc w:val="both"/>
        <w:rPr>
          <w:b/>
          <w:color w:val="000000"/>
        </w:rPr>
      </w:pPr>
    </w:p>
    <w:p w:rsidR="003E6588" w:rsidRDefault="003E6588">
      <w:pPr>
        <w:pStyle w:val="Contedodatabela"/>
        <w:ind w:firstLine="1134"/>
        <w:jc w:val="both"/>
        <w:rPr>
          <w:strike/>
          <w:color w:val="000000"/>
        </w:rPr>
      </w:pPr>
      <w:r>
        <w:rPr>
          <w:b/>
          <w:bCs/>
          <w:color w:val="000000"/>
          <w:lang w:eastAsia="pt-BR"/>
        </w:rPr>
        <w:t>1º</w:t>
      </w:r>
      <w:r>
        <w:rPr>
          <w:b/>
          <w:color w:val="000000"/>
        </w:rPr>
        <w:t xml:space="preserve"> Copa de Voleibol - </w:t>
      </w:r>
      <w:r>
        <w:rPr>
          <w:color w:val="000000"/>
        </w:rPr>
        <w:t>Tem como objetivo estimular a atividade esportiva e fomentar a prática da modalidade entre atletas na faixa etária entre 14 a 16 anos, inserindo a aprendizagem dos fundamentos da modalidade nas novas gerações e visando à descoberta de novos talentos.</w:t>
      </w:r>
    </w:p>
    <w:p w:rsidR="003E6588" w:rsidRDefault="003E6588">
      <w:pPr>
        <w:jc w:val="both"/>
        <w:rPr>
          <w:color w:val="000000"/>
        </w:rPr>
      </w:pPr>
    </w:p>
    <w:tbl>
      <w:tblPr>
        <w:tblW w:w="8420" w:type="dxa"/>
        <w:jc w:val="center"/>
        <w:tblInd w:w="55" w:type="dxa"/>
        <w:tblCellMar>
          <w:left w:w="70" w:type="dxa"/>
          <w:right w:w="70" w:type="dxa"/>
        </w:tblCellMar>
        <w:tblLook w:val="04A0"/>
      </w:tblPr>
      <w:tblGrid>
        <w:gridCol w:w="3158"/>
        <w:gridCol w:w="1758"/>
        <w:gridCol w:w="1203"/>
        <w:gridCol w:w="978"/>
        <w:gridCol w:w="1323"/>
      </w:tblGrid>
      <w:tr w:rsidR="003E6588" w:rsidTr="00DB2448">
        <w:trPr>
          <w:trHeight w:val="82"/>
          <w:jc w:val="center"/>
        </w:trPr>
        <w:tc>
          <w:tcPr>
            <w:tcW w:w="8420" w:type="dxa"/>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sz w:val="20"/>
                <w:szCs w:val="20"/>
              </w:rPr>
              <w:t>1º CV - Copa de Voleibol</w:t>
            </w:r>
          </w:p>
        </w:tc>
      </w:tr>
      <w:tr w:rsidR="003E6588">
        <w:trPr>
          <w:trHeight w:val="114"/>
          <w:jc w:val="center"/>
        </w:trPr>
        <w:tc>
          <w:tcPr>
            <w:tcW w:w="3158" w:type="dxa"/>
            <w:tcBorders>
              <w:top w:val="nil"/>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Administrativa</w:t>
            </w:r>
          </w:p>
        </w:tc>
        <w:tc>
          <w:tcPr>
            <w:tcW w:w="1758" w:type="dxa"/>
            <w:tcBorders>
              <w:top w:val="nil"/>
              <w:left w:val="nil"/>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Sede</w:t>
            </w:r>
          </w:p>
        </w:tc>
        <w:tc>
          <w:tcPr>
            <w:tcW w:w="1203" w:type="dxa"/>
            <w:tcBorders>
              <w:top w:val="nil"/>
              <w:left w:val="nil"/>
              <w:bottom w:val="single" w:sz="8" w:space="0" w:color="000000"/>
              <w:right w:val="single" w:sz="8" w:space="0" w:color="000000"/>
            </w:tcBorders>
            <w:shd w:val="clear" w:color="auto" w:fill="auto"/>
            <w:vAlign w:val="center"/>
            <w:hideMark/>
          </w:tcPr>
          <w:p w:rsidR="003E6588" w:rsidRDefault="003E6588">
            <w:pPr>
              <w:rPr>
                <w:b/>
                <w:color w:val="000000"/>
                <w:sz w:val="20"/>
                <w:szCs w:val="20"/>
              </w:rPr>
            </w:pPr>
            <w:r>
              <w:rPr>
                <w:b/>
                <w:color w:val="000000"/>
                <w:sz w:val="20"/>
                <w:szCs w:val="20"/>
              </w:rPr>
              <w:t>Municípios</w:t>
            </w:r>
          </w:p>
        </w:tc>
        <w:tc>
          <w:tcPr>
            <w:tcW w:w="978" w:type="dxa"/>
            <w:tcBorders>
              <w:top w:val="nil"/>
              <w:left w:val="nil"/>
              <w:bottom w:val="single" w:sz="8" w:space="0" w:color="000000"/>
              <w:right w:val="single" w:sz="8" w:space="0" w:color="000000"/>
            </w:tcBorders>
            <w:shd w:val="clear" w:color="auto" w:fill="auto"/>
            <w:vAlign w:val="center"/>
            <w:hideMark/>
          </w:tcPr>
          <w:p w:rsidR="003E6588" w:rsidRDefault="003E6588">
            <w:pPr>
              <w:rPr>
                <w:b/>
                <w:color w:val="000000"/>
                <w:sz w:val="20"/>
                <w:szCs w:val="20"/>
              </w:rPr>
            </w:pPr>
            <w:r>
              <w:rPr>
                <w:b/>
                <w:color w:val="000000"/>
                <w:sz w:val="20"/>
                <w:szCs w:val="20"/>
              </w:rPr>
              <w:t>Equipes</w:t>
            </w:r>
          </w:p>
        </w:tc>
        <w:tc>
          <w:tcPr>
            <w:tcW w:w="1323" w:type="dxa"/>
            <w:tcBorders>
              <w:top w:val="nil"/>
              <w:left w:val="nil"/>
              <w:bottom w:val="single" w:sz="8" w:space="0" w:color="000000"/>
              <w:right w:val="single" w:sz="8" w:space="0" w:color="000000"/>
            </w:tcBorders>
            <w:shd w:val="clear" w:color="auto" w:fill="auto"/>
            <w:vAlign w:val="center"/>
            <w:hideMark/>
          </w:tcPr>
          <w:p w:rsidR="003E6588" w:rsidRDefault="003E6588">
            <w:pPr>
              <w:rPr>
                <w:b/>
                <w:color w:val="000000"/>
                <w:sz w:val="20"/>
                <w:szCs w:val="20"/>
              </w:rPr>
            </w:pPr>
            <w:r>
              <w:rPr>
                <w:b/>
                <w:color w:val="000000"/>
                <w:sz w:val="20"/>
                <w:szCs w:val="20"/>
              </w:rPr>
              <w:t>Participantes</w:t>
            </w:r>
          </w:p>
        </w:tc>
      </w:tr>
      <w:tr w:rsidR="003E6588">
        <w:trPr>
          <w:trHeight w:val="34"/>
          <w:jc w:val="center"/>
        </w:trPr>
        <w:tc>
          <w:tcPr>
            <w:tcW w:w="3158" w:type="dxa"/>
            <w:tcBorders>
              <w:top w:val="nil"/>
              <w:left w:val="single" w:sz="8" w:space="0" w:color="000000"/>
              <w:bottom w:val="single" w:sz="8" w:space="0" w:color="000000"/>
              <w:right w:val="single" w:sz="8" w:space="0" w:color="000000"/>
            </w:tcBorders>
            <w:shd w:val="clear" w:color="000000" w:fill="FFFFFF"/>
            <w:noWrap/>
            <w:vAlign w:val="center"/>
            <w:hideMark/>
          </w:tcPr>
          <w:p w:rsidR="003E6588" w:rsidRDefault="003E6588">
            <w:pPr>
              <w:rPr>
                <w:color w:val="000000"/>
                <w:sz w:val="20"/>
                <w:szCs w:val="20"/>
              </w:rPr>
            </w:pPr>
            <w:r>
              <w:rPr>
                <w:color w:val="000000"/>
                <w:sz w:val="20"/>
                <w:szCs w:val="20"/>
              </w:rPr>
              <w:t>13ª Região Administrativa</w:t>
            </w:r>
          </w:p>
        </w:tc>
        <w:tc>
          <w:tcPr>
            <w:tcW w:w="1758" w:type="dxa"/>
            <w:tcBorders>
              <w:top w:val="nil"/>
              <w:left w:val="nil"/>
              <w:bottom w:val="single" w:sz="8" w:space="0" w:color="000000"/>
              <w:right w:val="single" w:sz="8" w:space="0" w:color="000000"/>
            </w:tcBorders>
            <w:shd w:val="clear" w:color="auto" w:fill="auto"/>
            <w:noWrap/>
            <w:vAlign w:val="center"/>
            <w:hideMark/>
          </w:tcPr>
          <w:p w:rsidR="003E6588" w:rsidRDefault="003E6588">
            <w:pPr>
              <w:rPr>
                <w:color w:val="000000"/>
                <w:sz w:val="20"/>
                <w:szCs w:val="20"/>
              </w:rPr>
            </w:pPr>
            <w:r>
              <w:rPr>
                <w:color w:val="000000"/>
                <w:sz w:val="20"/>
                <w:szCs w:val="20"/>
              </w:rPr>
              <w:t>Ouroeste</w:t>
            </w:r>
          </w:p>
        </w:tc>
        <w:tc>
          <w:tcPr>
            <w:tcW w:w="1203"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125</w:t>
            </w:r>
          </w:p>
        </w:tc>
        <w:tc>
          <w:tcPr>
            <w:tcW w:w="978"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190</w:t>
            </w:r>
          </w:p>
        </w:tc>
        <w:tc>
          <w:tcPr>
            <w:tcW w:w="1323"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3.419</w:t>
            </w:r>
          </w:p>
        </w:tc>
      </w:tr>
    </w:tbl>
    <w:p w:rsidR="003E6588" w:rsidRDefault="003E6588">
      <w:pPr>
        <w:rPr>
          <w:color w:val="000000"/>
        </w:rPr>
      </w:pPr>
    </w:p>
    <w:p w:rsidR="003E6588" w:rsidRDefault="003E6588">
      <w:pPr>
        <w:ind w:firstLine="1134"/>
        <w:jc w:val="both"/>
        <w:rPr>
          <w:rFonts w:eastAsia="Calibri"/>
          <w:strike/>
          <w:color w:val="000000"/>
          <w:lang w:eastAsia="en-US"/>
        </w:rPr>
      </w:pPr>
      <w:r>
        <w:rPr>
          <w:rFonts w:eastAsia="Calibri"/>
          <w:b/>
          <w:color w:val="000000"/>
          <w:lang w:eastAsia="en-US"/>
        </w:rPr>
        <w:t xml:space="preserve">Desporto Escolar - </w:t>
      </w:r>
      <w:r>
        <w:rPr>
          <w:color w:val="000000"/>
        </w:rPr>
        <w:t>Tem</w:t>
      </w:r>
      <w:r>
        <w:rPr>
          <w:rFonts w:eastAsia="Arial"/>
          <w:color w:val="000000"/>
        </w:rPr>
        <w:t xml:space="preserve"> </w:t>
      </w:r>
      <w:r>
        <w:rPr>
          <w:color w:val="000000"/>
        </w:rPr>
        <w:t>como</w:t>
      </w:r>
      <w:r>
        <w:rPr>
          <w:rFonts w:eastAsia="Arial"/>
          <w:color w:val="000000"/>
        </w:rPr>
        <w:t xml:space="preserve"> </w:t>
      </w:r>
      <w:r>
        <w:rPr>
          <w:color w:val="000000"/>
        </w:rPr>
        <w:t>objetivos</w:t>
      </w:r>
      <w:r>
        <w:rPr>
          <w:rFonts w:eastAsia="Arial"/>
          <w:color w:val="000000"/>
        </w:rPr>
        <w:t xml:space="preserve"> </w:t>
      </w:r>
      <w:r>
        <w:rPr>
          <w:color w:val="000000"/>
        </w:rPr>
        <w:t>promover através da</w:t>
      </w:r>
      <w:r>
        <w:rPr>
          <w:rFonts w:eastAsia="Arial"/>
          <w:color w:val="000000"/>
        </w:rPr>
        <w:t xml:space="preserve"> </w:t>
      </w:r>
      <w:r>
        <w:rPr>
          <w:color w:val="000000"/>
        </w:rPr>
        <w:t>prática</w:t>
      </w:r>
      <w:r>
        <w:rPr>
          <w:rFonts w:eastAsia="Arial"/>
          <w:color w:val="000000"/>
        </w:rPr>
        <w:t xml:space="preserve"> </w:t>
      </w:r>
      <w:r>
        <w:rPr>
          <w:color w:val="000000"/>
        </w:rPr>
        <w:t>esportiva,</w:t>
      </w:r>
      <w:r>
        <w:rPr>
          <w:rFonts w:eastAsia="Arial"/>
          <w:color w:val="000000"/>
        </w:rPr>
        <w:t xml:space="preserve"> </w:t>
      </w:r>
      <w:r>
        <w:rPr>
          <w:color w:val="000000"/>
        </w:rPr>
        <w:t>a</w:t>
      </w:r>
      <w:r>
        <w:rPr>
          <w:rFonts w:eastAsia="Arial"/>
          <w:color w:val="000000"/>
        </w:rPr>
        <w:t xml:space="preserve"> </w:t>
      </w:r>
      <w:r>
        <w:rPr>
          <w:color w:val="000000"/>
        </w:rPr>
        <w:t>integração</w:t>
      </w:r>
      <w:r>
        <w:rPr>
          <w:rFonts w:eastAsia="Arial"/>
          <w:color w:val="000000"/>
        </w:rPr>
        <w:t xml:space="preserve"> </w:t>
      </w:r>
      <w:r>
        <w:rPr>
          <w:color w:val="000000"/>
        </w:rPr>
        <w:t>e</w:t>
      </w:r>
      <w:r>
        <w:rPr>
          <w:rFonts w:eastAsia="Arial"/>
          <w:color w:val="000000"/>
        </w:rPr>
        <w:t xml:space="preserve"> </w:t>
      </w:r>
      <w:r>
        <w:rPr>
          <w:color w:val="000000"/>
        </w:rPr>
        <w:t>o</w:t>
      </w:r>
      <w:r>
        <w:rPr>
          <w:rFonts w:eastAsia="Arial"/>
          <w:color w:val="000000"/>
        </w:rPr>
        <w:t xml:space="preserve"> </w:t>
      </w:r>
      <w:r>
        <w:rPr>
          <w:color w:val="000000"/>
        </w:rPr>
        <w:t>intercâmbio</w:t>
      </w:r>
      <w:r>
        <w:rPr>
          <w:rFonts w:eastAsia="Arial"/>
          <w:color w:val="000000"/>
        </w:rPr>
        <w:t xml:space="preserve"> d</w:t>
      </w:r>
      <w:r>
        <w:rPr>
          <w:color w:val="000000"/>
        </w:rPr>
        <w:t>os alunos das unidades escolares do ensino fundamental e médio</w:t>
      </w:r>
      <w:r>
        <w:rPr>
          <w:rFonts w:eastAsia="Arial"/>
          <w:color w:val="000000"/>
        </w:rPr>
        <w:t xml:space="preserve"> (</w:t>
      </w:r>
      <w:r>
        <w:rPr>
          <w:rFonts w:eastAsia="Calibri"/>
          <w:color w:val="000000"/>
          <w:lang w:eastAsia="en-US"/>
        </w:rPr>
        <w:t>20 modalidades esportivas: Atletismo,</w:t>
      </w:r>
      <w:r>
        <w:rPr>
          <w:rFonts w:eastAsia="Arial"/>
          <w:color w:val="000000"/>
          <w:lang w:eastAsia="en-US"/>
        </w:rPr>
        <w:t xml:space="preserve"> </w:t>
      </w:r>
      <w:r>
        <w:rPr>
          <w:rFonts w:eastAsia="Arial"/>
          <w:i/>
          <w:color w:val="000000"/>
          <w:lang w:eastAsia="en-US"/>
        </w:rPr>
        <w:t>Badminto</w:t>
      </w:r>
      <w:r>
        <w:rPr>
          <w:rFonts w:eastAsia="Arial"/>
          <w:color w:val="000000"/>
          <w:lang w:eastAsia="en-US"/>
        </w:rPr>
        <w:t xml:space="preserve">n, </w:t>
      </w:r>
      <w:r>
        <w:rPr>
          <w:rFonts w:eastAsia="Calibri"/>
          <w:color w:val="000000"/>
          <w:lang w:eastAsia="en-US"/>
        </w:rPr>
        <w:t>Basquetebol,</w:t>
      </w:r>
      <w:r>
        <w:rPr>
          <w:rFonts w:eastAsia="Arial"/>
          <w:color w:val="000000"/>
          <w:lang w:eastAsia="en-US"/>
        </w:rPr>
        <w:t xml:space="preserve"> Ciclismo, </w:t>
      </w:r>
      <w:r>
        <w:rPr>
          <w:rFonts w:eastAsia="Calibri"/>
          <w:color w:val="000000"/>
          <w:lang w:eastAsia="en-US"/>
        </w:rPr>
        <w:t>Futsal,</w:t>
      </w:r>
      <w:r>
        <w:rPr>
          <w:rFonts w:eastAsia="Arial"/>
          <w:color w:val="000000"/>
          <w:lang w:eastAsia="en-US"/>
        </w:rPr>
        <w:t xml:space="preserve"> Ginástica Rítmica, </w:t>
      </w:r>
      <w:r>
        <w:rPr>
          <w:rFonts w:eastAsia="Calibri"/>
          <w:color w:val="000000"/>
          <w:lang w:eastAsia="en-US"/>
        </w:rPr>
        <w:t>Handebol, Judô, Luta Olímpica, Natação, Tênis</w:t>
      </w:r>
      <w:r>
        <w:rPr>
          <w:rFonts w:eastAsia="Arial"/>
          <w:color w:val="000000"/>
          <w:lang w:eastAsia="en-US"/>
        </w:rPr>
        <w:t xml:space="preserve"> </w:t>
      </w:r>
      <w:r>
        <w:rPr>
          <w:rFonts w:eastAsia="Calibri"/>
          <w:color w:val="000000"/>
          <w:lang w:eastAsia="en-US"/>
        </w:rPr>
        <w:t>de</w:t>
      </w:r>
      <w:r>
        <w:rPr>
          <w:rFonts w:eastAsia="Arial"/>
          <w:color w:val="000000"/>
          <w:lang w:eastAsia="en-US"/>
        </w:rPr>
        <w:t xml:space="preserve"> </w:t>
      </w:r>
      <w:r>
        <w:rPr>
          <w:rFonts w:eastAsia="Calibri"/>
          <w:color w:val="000000"/>
          <w:lang w:eastAsia="en-US"/>
        </w:rPr>
        <w:t>Mesa,</w:t>
      </w:r>
      <w:r>
        <w:rPr>
          <w:rFonts w:eastAsia="Arial"/>
          <w:color w:val="000000"/>
          <w:lang w:eastAsia="en-US"/>
        </w:rPr>
        <w:t xml:space="preserve"> </w:t>
      </w:r>
      <w:r>
        <w:rPr>
          <w:rFonts w:eastAsia="Calibri"/>
          <w:color w:val="000000"/>
          <w:lang w:eastAsia="en-US"/>
        </w:rPr>
        <w:t>Voleibol, Vôlei de Praia,</w:t>
      </w:r>
      <w:r>
        <w:rPr>
          <w:rFonts w:eastAsia="Arial"/>
          <w:color w:val="000000"/>
          <w:lang w:eastAsia="en-US"/>
        </w:rPr>
        <w:t xml:space="preserve"> </w:t>
      </w:r>
      <w:r>
        <w:rPr>
          <w:rFonts w:eastAsia="Calibri"/>
          <w:color w:val="000000"/>
          <w:lang w:eastAsia="en-US"/>
        </w:rPr>
        <w:t xml:space="preserve">Xadrez, Bocha Paralímpica, Futebol de 7 Paralímpico, </w:t>
      </w:r>
      <w:r>
        <w:rPr>
          <w:rFonts w:eastAsia="Calibri"/>
          <w:i/>
          <w:color w:val="000000"/>
          <w:lang w:eastAsia="en-US"/>
        </w:rPr>
        <w:t>Goalball</w:t>
      </w:r>
      <w:r>
        <w:rPr>
          <w:rFonts w:eastAsia="Calibri"/>
          <w:color w:val="000000"/>
          <w:lang w:eastAsia="en-US"/>
        </w:rPr>
        <w:t xml:space="preserve"> Paralímpico, Tênis de Cadeira de Rodas, Tênis de Mesa Paralímpico, Voleibol Paralímpico).</w:t>
      </w:r>
    </w:p>
    <w:p w:rsidR="003E6588" w:rsidRDefault="003E6588">
      <w:pPr>
        <w:jc w:val="both"/>
        <w:rPr>
          <w:rFonts w:eastAsia="Calibri"/>
          <w:color w:val="000000"/>
          <w:lang w:eastAsia="en-US"/>
        </w:rPr>
      </w:pPr>
    </w:p>
    <w:tbl>
      <w:tblPr>
        <w:tblW w:w="8261" w:type="dxa"/>
        <w:jc w:val="center"/>
        <w:tblInd w:w="55" w:type="dxa"/>
        <w:tblCellMar>
          <w:left w:w="70" w:type="dxa"/>
          <w:right w:w="70" w:type="dxa"/>
        </w:tblCellMar>
        <w:tblLook w:val="04A0"/>
      </w:tblPr>
      <w:tblGrid>
        <w:gridCol w:w="2974"/>
        <w:gridCol w:w="1394"/>
        <w:gridCol w:w="659"/>
        <w:gridCol w:w="1060"/>
        <w:gridCol w:w="839"/>
        <w:gridCol w:w="1335"/>
      </w:tblGrid>
      <w:tr w:rsidR="003E6588" w:rsidTr="00DB2448">
        <w:trPr>
          <w:trHeight w:val="41"/>
          <w:jc w:val="center"/>
        </w:trPr>
        <w:tc>
          <w:tcPr>
            <w:tcW w:w="8261" w:type="dxa"/>
            <w:gridSpan w:val="6"/>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lastRenderedPageBreak/>
              <w:t>Desporto Escolar</w:t>
            </w:r>
          </w:p>
        </w:tc>
      </w:tr>
      <w:tr w:rsidR="003E6588">
        <w:trPr>
          <w:trHeight w:val="73"/>
          <w:jc w:val="center"/>
        </w:trPr>
        <w:tc>
          <w:tcPr>
            <w:tcW w:w="2974" w:type="dxa"/>
            <w:tcBorders>
              <w:top w:val="single" w:sz="8" w:space="0" w:color="000000"/>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Região Administrativa</w:t>
            </w:r>
          </w:p>
        </w:tc>
        <w:tc>
          <w:tcPr>
            <w:tcW w:w="1394" w:type="dxa"/>
            <w:tcBorders>
              <w:top w:val="nil"/>
              <w:left w:val="single" w:sz="8" w:space="0" w:color="auto"/>
              <w:bottom w:val="single" w:sz="8" w:space="0" w:color="auto"/>
              <w:right w:val="single" w:sz="8" w:space="0" w:color="auto"/>
            </w:tcBorders>
            <w:shd w:val="clear" w:color="auto" w:fill="auto"/>
            <w:noWrap/>
            <w:vAlign w:val="center"/>
            <w:hideMark/>
          </w:tcPr>
          <w:p w:rsidR="003E6588" w:rsidRDefault="003E6588">
            <w:pPr>
              <w:rPr>
                <w:b/>
                <w:color w:val="000000"/>
                <w:sz w:val="20"/>
                <w:szCs w:val="20"/>
              </w:rPr>
            </w:pPr>
            <w:r>
              <w:rPr>
                <w:b/>
                <w:color w:val="000000"/>
                <w:sz w:val="20"/>
                <w:szCs w:val="20"/>
              </w:rPr>
              <w:t>Sedes</w:t>
            </w:r>
          </w:p>
        </w:tc>
        <w:tc>
          <w:tcPr>
            <w:tcW w:w="659" w:type="dxa"/>
            <w:tcBorders>
              <w:top w:val="nil"/>
              <w:left w:val="nil"/>
              <w:bottom w:val="single" w:sz="8" w:space="0" w:color="auto"/>
              <w:right w:val="single" w:sz="8" w:space="0" w:color="auto"/>
            </w:tcBorders>
            <w:shd w:val="clear" w:color="auto" w:fill="auto"/>
            <w:noWrap/>
            <w:vAlign w:val="center"/>
            <w:hideMark/>
          </w:tcPr>
          <w:p w:rsidR="003E6588" w:rsidRDefault="003E6588">
            <w:pPr>
              <w:rPr>
                <w:b/>
                <w:color w:val="000000"/>
                <w:sz w:val="20"/>
                <w:szCs w:val="20"/>
              </w:rPr>
            </w:pPr>
            <w:r>
              <w:rPr>
                <w:b/>
                <w:color w:val="000000"/>
                <w:sz w:val="20"/>
                <w:szCs w:val="20"/>
              </w:rPr>
              <w:t>Etapa</w:t>
            </w:r>
          </w:p>
        </w:tc>
        <w:tc>
          <w:tcPr>
            <w:tcW w:w="1060" w:type="dxa"/>
            <w:tcBorders>
              <w:top w:val="nil"/>
              <w:left w:val="nil"/>
              <w:bottom w:val="single" w:sz="8" w:space="0" w:color="auto"/>
              <w:right w:val="single" w:sz="8" w:space="0" w:color="auto"/>
            </w:tcBorders>
            <w:shd w:val="clear" w:color="auto" w:fill="auto"/>
            <w:noWrap/>
            <w:vAlign w:val="center"/>
            <w:hideMark/>
          </w:tcPr>
          <w:p w:rsidR="003E6588" w:rsidRDefault="003E6588">
            <w:pPr>
              <w:rPr>
                <w:b/>
                <w:color w:val="000000"/>
                <w:sz w:val="20"/>
                <w:szCs w:val="20"/>
              </w:rPr>
            </w:pPr>
            <w:r>
              <w:rPr>
                <w:b/>
                <w:color w:val="000000"/>
                <w:sz w:val="20"/>
                <w:szCs w:val="20"/>
              </w:rPr>
              <w:t>Município</w:t>
            </w:r>
          </w:p>
        </w:tc>
        <w:tc>
          <w:tcPr>
            <w:tcW w:w="839" w:type="dxa"/>
            <w:tcBorders>
              <w:top w:val="nil"/>
              <w:left w:val="nil"/>
              <w:bottom w:val="single" w:sz="8" w:space="0" w:color="auto"/>
              <w:right w:val="single" w:sz="8" w:space="0" w:color="auto"/>
            </w:tcBorders>
            <w:shd w:val="clear" w:color="auto" w:fill="auto"/>
            <w:noWrap/>
            <w:vAlign w:val="center"/>
            <w:hideMark/>
          </w:tcPr>
          <w:p w:rsidR="003E6588" w:rsidRDefault="003E6588">
            <w:pPr>
              <w:rPr>
                <w:b/>
                <w:color w:val="000000"/>
                <w:sz w:val="20"/>
                <w:szCs w:val="20"/>
              </w:rPr>
            </w:pPr>
            <w:r>
              <w:rPr>
                <w:b/>
                <w:color w:val="000000"/>
                <w:sz w:val="20"/>
                <w:szCs w:val="20"/>
              </w:rPr>
              <w:t>Escolas</w:t>
            </w:r>
          </w:p>
        </w:tc>
        <w:tc>
          <w:tcPr>
            <w:tcW w:w="1335" w:type="dxa"/>
            <w:tcBorders>
              <w:top w:val="single" w:sz="8" w:space="0" w:color="000000"/>
              <w:left w:val="single" w:sz="8" w:space="0" w:color="000000"/>
              <w:bottom w:val="single" w:sz="8" w:space="0" w:color="000000"/>
              <w:right w:val="single" w:sz="8" w:space="0" w:color="000000"/>
            </w:tcBorders>
            <w:shd w:val="clear" w:color="000000" w:fill="FFFFFF"/>
            <w:vAlign w:val="center"/>
            <w:hideMark/>
          </w:tcPr>
          <w:p w:rsidR="003E6588" w:rsidRDefault="003E6588">
            <w:pPr>
              <w:rPr>
                <w:b/>
                <w:color w:val="000000"/>
                <w:sz w:val="20"/>
                <w:szCs w:val="20"/>
              </w:rPr>
            </w:pPr>
            <w:r>
              <w:rPr>
                <w:b/>
                <w:color w:val="000000"/>
                <w:sz w:val="20"/>
                <w:szCs w:val="20"/>
              </w:rPr>
              <w:t>Partic.</w:t>
            </w:r>
          </w:p>
        </w:tc>
      </w:tr>
      <w:tr w:rsidR="003E6588">
        <w:trPr>
          <w:trHeight w:val="105"/>
          <w:jc w:val="center"/>
        </w:trPr>
        <w:tc>
          <w:tcPr>
            <w:tcW w:w="2974" w:type="dxa"/>
            <w:vMerge w:val="restart"/>
            <w:tcBorders>
              <w:top w:val="nil"/>
              <w:left w:val="single" w:sz="8" w:space="0" w:color="000000"/>
              <w:bottom w:val="single" w:sz="8" w:space="0" w:color="000000"/>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10ª Região Administrativa</w:t>
            </w:r>
          </w:p>
        </w:tc>
        <w:tc>
          <w:tcPr>
            <w:tcW w:w="1394"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Sertãozinho</w:t>
            </w:r>
          </w:p>
        </w:tc>
        <w:tc>
          <w:tcPr>
            <w:tcW w:w="65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1</w:t>
            </w:r>
          </w:p>
        </w:tc>
        <w:tc>
          <w:tcPr>
            <w:tcW w:w="1060"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548</w:t>
            </w:r>
          </w:p>
        </w:tc>
        <w:tc>
          <w:tcPr>
            <w:tcW w:w="83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2.699</w:t>
            </w:r>
          </w:p>
        </w:tc>
        <w:tc>
          <w:tcPr>
            <w:tcW w:w="1335"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408.394</w:t>
            </w:r>
          </w:p>
        </w:tc>
      </w:tr>
      <w:tr w:rsidR="003E6588">
        <w:trPr>
          <w:trHeight w:val="136"/>
          <w:jc w:val="center"/>
        </w:trPr>
        <w:tc>
          <w:tcPr>
            <w:tcW w:w="2974" w:type="dxa"/>
            <w:vMerge/>
            <w:tcBorders>
              <w:top w:val="nil"/>
              <w:left w:val="single" w:sz="8" w:space="0" w:color="000000"/>
              <w:bottom w:val="single" w:sz="8" w:space="0" w:color="000000"/>
              <w:right w:val="single" w:sz="8" w:space="0" w:color="auto"/>
            </w:tcBorders>
            <w:vAlign w:val="center"/>
            <w:hideMark/>
          </w:tcPr>
          <w:p w:rsidR="003E6588" w:rsidRDefault="003E6588">
            <w:pPr>
              <w:rPr>
                <w:color w:val="000000"/>
                <w:sz w:val="20"/>
                <w:szCs w:val="20"/>
              </w:rPr>
            </w:pPr>
          </w:p>
        </w:tc>
        <w:tc>
          <w:tcPr>
            <w:tcW w:w="1394" w:type="dxa"/>
            <w:vMerge/>
            <w:tcBorders>
              <w:top w:val="nil"/>
              <w:left w:val="single" w:sz="8" w:space="0" w:color="auto"/>
              <w:bottom w:val="single" w:sz="8" w:space="0" w:color="000000"/>
              <w:right w:val="single" w:sz="8" w:space="0" w:color="auto"/>
            </w:tcBorders>
            <w:vAlign w:val="center"/>
            <w:hideMark/>
          </w:tcPr>
          <w:p w:rsidR="003E6588" w:rsidRDefault="003E6588">
            <w:pPr>
              <w:rPr>
                <w:color w:val="000000"/>
                <w:sz w:val="20"/>
                <w:szCs w:val="20"/>
              </w:rPr>
            </w:pPr>
          </w:p>
        </w:tc>
        <w:tc>
          <w:tcPr>
            <w:tcW w:w="65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2</w:t>
            </w:r>
          </w:p>
        </w:tc>
        <w:tc>
          <w:tcPr>
            <w:tcW w:w="1060"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115</w:t>
            </w:r>
          </w:p>
        </w:tc>
        <w:tc>
          <w:tcPr>
            <w:tcW w:w="83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208</w:t>
            </w:r>
          </w:p>
        </w:tc>
        <w:tc>
          <w:tcPr>
            <w:tcW w:w="1335"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17.378</w:t>
            </w:r>
          </w:p>
        </w:tc>
      </w:tr>
      <w:tr w:rsidR="003E6588">
        <w:trPr>
          <w:trHeight w:val="34"/>
          <w:jc w:val="center"/>
        </w:trPr>
        <w:tc>
          <w:tcPr>
            <w:tcW w:w="2974" w:type="dxa"/>
            <w:vMerge w:val="restart"/>
            <w:tcBorders>
              <w:top w:val="single" w:sz="8" w:space="0" w:color="000000"/>
              <w:left w:val="single" w:sz="8" w:space="0" w:color="000000"/>
              <w:bottom w:val="single" w:sz="8" w:space="0" w:color="000000"/>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5ª Região Administrativa</w:t>
            </w:r>
          </w:p>
        </w:tc>
        <w:tc>
          <w:tcPr>
            <w:tcW w:w="1394"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SJ Boa Vista</w:t>
            </w:r>
          </w:p>
        </w:tc>
        <w:tc>
          <w:tcPr>
            <w:tcW w:w="65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3</w:t>
            </w:r>
          </w:p>
        </w:tc>
        <w:tc>
          <w:tcPr>
            <w:tcW w:w="1060"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403</w:t>
            </w:r>
          </w:p>
        </w:tc>
        <w:tc>
          <w:tcPr>
            <w:tcW w:w="83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1.137</w:t>
            </w:r>
          </w:p>
        </w:tc>
        <w:tc>
          <w:tcPr>
            <w:tcW w:w="1335"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31.159</w:t>
            </w:r>
          </w:p>
        </w:tc>
      </w:tr>
      <w:tr w:rsidR="003E6588">
        <w:trPr>
          <w:trHeight w:val="57"/>
          <w:jc w:val="center"/>
        </w:trPr>
        <w:tc>
          <w:tcPr>
            <w:tcW w:w="2974" w:type="dxa"/>
            <w:vMerge/>
            <w:tcBorders>
              <w:top w:val="single" w:sz="8" w:space="0" w:color="000000"/>
              <w:left w:val="single" w:sz="8" w:space="0" w:color="000000"/>
              <w:bottom w:val="single" w:sz="8" w:space="0" w:color="000000"/>
              <w:right w:val="single" w:sz="8" w:space="0" w:color="auto"/>
            </w:tcBorders>
            <w:vAlign w:val="center"/>
            <w:hideMark/>
          </w:tcPr>
          <w:p w:rsidR="003E6588" w:rsidRDefault="003E6588">
            <w:pPr>
              <w:rPr>
                <w:color w:val="000000"/>
                <w:sz w:val="20"/>
                <w:szCs w:val="20"/>
              </w:rPr>
            </w:pPr>
          </w:p>
        </w:tc>
        <w:tc>
          <w:tcPr>
            <w:tcW w:w="1394" w:type="dxa"/>
            <w:vMerge/>
            <w:tcBorders>
              <w:top w:val="nil"/>
              <w:left w:val="single" w:sz="8" w:space="0" w:color="auto"/>
              <w:bottom w:val="single" w:sz="8" w:space="0" w:color="000000"/>
              <w:right w:val="single" w:sz="8" w:space="0" w:color="auto"/>
            </w:tcBorders>
            <w:vAlign w:val="center"/>
            <w:hideMark/>
          </w:tcPr>
          <w:p w:rsidR="003E6588" w:rsidRDefault="003E6588">
            <w:pPr>
              <w:rPr>
                <w:color w:val="000000"/>
                <w:sz w:val="20"/>
                <w:szCs w:val="20"/>
              </w:rPr>
            </w:pPr>
          </w:p>
        </w:tc>
        <w:tc>
          <w:tcPr>
            <w:tcW w:w="65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4</w:t>
            </w:r>
          </w:p>
        </w:tc>
        <w:tc>
          <w:tcPr>
            <w:tcW w:w="1060"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97</w:t>
            </w:r>
          </w:p>
        </w:tc>
        <w:tc>
          <w:tcPr>
            <w:tcW w:w="839"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138</w:t>
            </w:r>
          </w:p>
        </w:tc>
        <w:tc>
          <w:tcPr>
            <w:tcW w:w="1335" w:type="dxa"/>
            <w:tcBorders>
              <w:top w:val="nil"/>
              <w:left w:val="nil"/>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2.300</w:t>
            </w:r>
          </w:p>
        </w:tc>
      </w:tr>
      <w:tr w:rsidR="003E6588">
        <w:trPr>
          <w:trHeight w:val="90"/>
          <w:jc w:val="center"/>
        </w:trPr>
        <w:tc>
          <w:tcPr>
            <w:tcW w:w="2974" w:type="dxa"/>
            <w:tcBorders>
              <w:top w:val="nil"/>
              <w:left w:val="single" w:sz="8" w:space="0" w:color="auto"/>
              <w:bottom w:val="single" w:sz="8" w:space="0" w:color="auto"/>
              <w:right w:val="nil"/>
            </w:tcBorders>
            <w:shd w:val="clear" w:color="auto" w:fill="auto"/>
            <w:noWrap/>
            <w:vAlign w:val="center"/>
            <w:hideMark/>
          </w:tcPr>
          <w:p w:rsidR="003E6588" w:rsidRDefault="003E6588">
            <w:pPr>
              <w:rPr>
                <w:b/>
                <w:bCs/>
                <w:color w:val="000000"/>
                <w:sz w:val="20"/>
                <w:szCs w:val="20"/>
              </w:rPr>
            </w:pPr>
            <w:r>
              <w:rPr>
                <w:b/>
                <w:bCs/>
                <w:color w:val="000000"/>
                <w:sz w:val="20"/>
                <w:szCs w:val="20"/>
              </w:rPr>
              <w:t>Total</w:t>
            </w:r>
          </w:p>
        </w:tc>
        <w:tc>
          <w:tcPr>
            <w:tcW w:w="1394" w:type="dxa"/>
            <w:tcBorders>
              <w:top w:val="nil"/>
              <w:left w:val="nil"/>
              <w:bottom w:val="single" w:sz="8" w:space="0" w:color="auto"/>
              <w:right w:val="nil"/>
            </w:tcBorders>
            <w:shd w:val="clear" w:color="auto" w:fill="auto"/>
            <w:noWrap/>
            <w:vAlign w:val="center"/>
            <w:hideMark/>
          </w:tcPr>
          <w:p w:rsidR="003E6588" w:rsidRDefault="003E6588">
            <w:pPr>
              <w:rPr>
                <w:b/>
                <w:bCs/>
                <w:color w:val="000000"/>
                <w:sz w:val="20"/>
                <w:szCs w:val="20"/>
              </w:rPr>
            </w:pPr>
            <w:r>
              <w:rPr>
                <w:b/>
                <w:bCs/>
                <w:color w:val="000000"/>
                <w:sz w:val="20"/>
                <w:szCs w:val="20"/>
              </w:rPr>
              <w:t> </w:t>
            </w:r>
          </w:p>
        </w:tc>
        <w:tc>
          <w:tcPr>
            <w:tcW w:w="659" w:type="dxa"/>
            <w:tcBorders>
              <w:top w:val="nil"/>
              <w:left w:val="nil"/>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 </w:t>
            </w:r>
          </w:p>
        </w:tc>
        <w:tc>
          <w:tcPr>
            <w:tcW w:w="1060" w:type="dxa"/>
            <w:tcBorders>
              <w:top w:val="nil"/>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548</w:t>
            </w:r>
          </w:p>
        </w:tc>
        <w:tc>
          <w:tcPr>
            <w:tcW w:w="839" w:type="dxa"/>
            <w:tcBorders>
              <w:top w:val="nil"/>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4.044</w:t>
            </w:r>
          </w:p>
        </w:tc>
        <w:tc>
          <w:tcPr>
            <w:tcW w:w="1335" w:type="dxa"/>
            <w:tcBorders>
              <w:top w:val="nil"/>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456.931</w:t>
            </w:r>
          </w:p>
        </w:tc>
      </w:tr>
    </w:tbl>
    <w:p w:rsidR="003E6588" w:rsidRPr="00E87CBE" w:rsidRDefault="003E6588">
      <w:pPr>
        <w:autoSpaceDE w:val="0"/>
        <w:jc w:val="both"/>
        <w:rPr>
          <w:rFonts w:eastAsia="Calibri"/>
          <w:color w:val="000000"/>
        </w:rPr>
      </w:pPr>
    </w:p>
    <w:p w:rsidR="003E6588" w:rsidRDefault="003E6588">
      <w:pPr>
        <w:autoSpaceDE w:val="0"/>
        <w:ind w:firstLine="1134"/>
        <w:jc w:val="both"/>
        <w:rPr>
          <w:rFonts w:eastAsia="Calibri"/>
          <w:b/>
          <w:color w:val="000000"/>
        </w:rPr>
      </w:pPr>
      <w:r>
        <w:rPr>
          <w:rFonts w:eastAsia="Calibri"/>
          <w:b/>
          <w:color w:val="000000"/>
        </w:rPr>
        <w:t>Jogos Escolares da Juventude - Etapa Nacional</w:t>
      </w:r>
    </w:p>
    <w:p w:rsidR="003E6588" w:rsidRDefault="003E6588">
      <w:pPr>
        <w:autoSpaceDE w:val="0"/>
        <w:ind w:firstLine="1134"/>
        <w:jc w:val="both"/>
        <w:rPr>
          <w:rFonts w:eastAsia="Calibri"/>
          <w:strike/>
          <w:color w:val="000000"/>
        </w:rPr>
      </w:pPr>
    </w:p>
    <w:p w:rsidR="003E6588" w:rsidRDefault="003E6588">
      <w:pPr>
        <w:widowControl w:val="0"/>
        <w:suppressAutoHyphens/>
        <w:autoSpaceDE w:val="0"/>
        <w:ind w:left="1134"/>
        <w:jc w:val="both"/>
        <w:rPr>
          <w:rFonts w:eastAsia="Calibri"/>
          <w:color w:val="000000"/>
        </w:rPr>
      </w:pPr>
      <w:r>
        <w:rPr>
          <w:rFonts w:eastAsia="Calibri"/>
          <w:color w:val="000000"/>
        </w:rPr>
        <w:t>- Fomentar a prática do esporte escolar com fins educativos.</w:t>
      </w:r>
    </w:p>
    <w:p w:rsidR="003E6588" w:rsidRDefault="003E6588">
      <w:pPr>
        <w:autoSpaceDE w:val="0"/>
        <w:ind w:firstLine="1134"/>
        <w:jc w:val="both"/>
        <w:rPr>
          <w:rFonts w:eastAsia="Calibri"/>
          <w:color w:val="000000"/>
        </w:rPr>
      </w:pPr>
    </w:p>
    <w:p w:rsidR="003E6588" w:rsidRDefault="003E6588">
      <w:pPr>
        <w:autoSpaceDE w:val="0"/>
        <w:ind w:firstLine="1134"/>
        <w:jc w:val="both"/>
        <w:rPr>
          <w:rFonts w:eastAsia="Calibri"/>
          <w:color w:val="000000"/>
        </w:rPr>
      </w:pPr>
      <w:r>
        <w:rPr>
          <w:rFonts w:eastAsia="Calibri"/>
          <w:color w:val="000000"/>
        </w:rPr>
        <w:t>- Possibilitar a identificação de talentos desportivos nas Instituições de Ensino.</w:t>
      </w:r>
    </w:p>
    <w:p w:rsidR="003E6588" w:rsidRDefault="003E6588">
      <w:pPr>
        <w:autoSpaceDE w:val="0"/>
        <w:ind w:firstLine="1134"/>
        <w:jc w:val="both"/>
        <w:rPr>
          <w:rFonts w:eastAsia="Calibri"/>
          <w:color w:val="000000"/>
        </w:rPr>
      </w:pPr>
    </w:p>
    <w:p w:rsidR="003E6588" w:rsidRDefault="003E6588">
      <w:pPr>
        <w:autoSpaceDE w:val="0"/>
        <w:ind w:firstLine="1134"/>
        <w:jc w:val="both"/>
        <w:rPr>
          <w:rFonts w:eastAsia="Calibri"/>
          <w:color w:val="000000"/>
        </w:rPr>
      </w:pPr>
      <w:r>
        <w:rPr>
          <w:rFonts w:eastAsia="Calibri"/>
          <w:color w:val="000000"/>
        </w:rPr>
        <w:t>- Desenvolver o intercâmbio sociocultural e desportivo entre os participantes.</w:t>
      </w:r>
    </w:p>
    <w:p w:rsidR="003E6588" w:rsidRDefault="003E6588">
      <w:pPr>
        <w:autoSpaceDE w:val="0"/>
        <w:ind w:firstLine="1134"/>
        <w:jc w:val="both"/>
        <w:rPr>
          <w:rFonts w:eastAsia="Calibri"/>
          <w:color w:val="000000"/>
        </w:rPr>
      </w:pPr>
    </w:p>
    <w:p w:rsidR="003E6588" w:rsidRDefault="003E6588">
      <w:pPr>
        <w:autoSpaceDE w:val="0"/>
        <w:ind w:firstLine="1134"/>
        <w:jc w:val="both"/>
        <w:rPr>
          <w:rFonts w:eastAsia="Calibri"/>
          <w:color w:val="000000"/>
        </w:rPr>
      </w:pPr>
      <w:r>
        <w:rPr>
          <w:rFonts w:eastAsia="Calibri"/>
          <w:color w:val="000000"/>
        </w:rPr>
        <w:t>- Contribuir para o desenvolvimento integral do aluno-atleta como ser social, autônomo, democrático e participante, estimulando o pleno exercício da cidadania através das modalidades de (A</w:t>
      </w:r>
      <w:r>
        <w:rPr>
          <w:color w:val="000000"/>
        </w:rPr>
        <w:t>tletismo, Ciclismo, Judô, Natação, Tênis de Mesa e Xadrez, Ginástica Rítmica, Basquetebol, Futsal, Handebol e Voleibol).</w:t>
      </w:r>
    </w:p>
    <w:p w:rsidR="003E6588" w:rsidRDefault="003E6588">
      <w:pPr>
        <w:autoSpaceDE w:val="0"/>
        <w:ind w:firstLine="1134"/>
        <w:jc w:val="both"/>
        <w:rPr>
          <w:color w:val="000000"/>
        </w:rPr>
      </w:pPr>
    </w:p>
    <w:p w:rsidR="003E6588" w:rsidRDefault="003E6588">
      <w:pPr>
        <w:autoSpaceDE w:val="0"/>
        <w:ind w:firstLine="1134"/>
        <w:jc w:val="both"/>
        <w:rPr>
          <w:strike/>
          <w:color w:val="000000"/>
        </w:rPr>
      </w:pPr>
      <w:r>
        <w:rPr>
          <w:color w:val="000000"/>
        </w:rPr>
        <w:t>A Delegação do Estado de São Paulo foi à campeã geral das duas categorias.</w:t>
      </w:r>
    </w:p>
    <w:p w:rsidR="003E6588" w:rsidRDefault="003E6588">
      <w:pPr>
        <w:autoSpaceDE w:val="0"/>
        <w:ind w:firstLine="1134"/>
        <w:jc w:val="both"/>
        <w:rPr>
          <w:color w:val="000000"/>
        </w:rPr>
      </w:pPr>
    </w:p>
    <w:p w:rsidR="003E6588" w:rsidRDefault="003E6588">
      <w:pPr>
        <w:autoSpaceDE w:val="0"/>
        <w:autoSpaceDN w:val="0"/>
        <w:adjustRightInd w:val="0"/>
        <w:ind w:firstLine="1134"/>
        <w:jc w:val="both"/>
        <w:rPr>
          <w:color w:val="000000"/>
        </w:rPr>
      </w:pPr>
      <w:r>
        <w:rPr>
          <w:b/>
          <w:bCs/>
          <w:color w:val="000000"/>
        </w:rPr>
        <w:t xml:space="preserve">Jogos Escolares da Juventude Etapa Nacional - categoria de 12 a 14 anos - </w:t>
      </w:r>
      <w:r>
        <w:rPr>
          <w:color w:val="000000"/>
        </w:rPr>
        <w:t>Realizado em Londrina/PR, Quadro de Medalhas dos 5 estados melhores colocados:</w:t>
      </w:r>
    </w:p>
    <w:p w:rsidR="003E6588" w:rsidRDefault="003E6588">
      <w:pPr>
        <w:autoSpaceDE w:val="0"/>
        <w:autoSpaceDN w:val="0"/>
        <w:adjustRightInd w:val="0"/>
        <w:ind w:firstLine="1134"/>
        <w:rPr>
          <w:color w:val="000000"/>
        </w:rPr>
      </w:pPr>
    </w:p>
    <w:tbl>
      <w:tblPr>
        <w:tblW w:w="8205" w:type="dxa"/>
        <w:jc w:val="center"/>
        <w:tblInd w:w="55" w:type="dxa"/>
        <w:tblCellMar>
          <w:left w:w="70" w:type="dxa"/>
          <w:right w:w="70" w:type="dxa"/>
        </w:tblCellMar>
        <w:tblLook w:val="04A0"/>
      </w:tblPr>
      <w:tblGrid>
        <w:gridCol w:w="2283"/>
        <w:gridCol w:w="1418"/>
        <w:gridCol w:w="1417"/>
        <w:gridCol w:w="1418"/>
        <w:gridCol w:w="1669"/>
      </w:tblGrid>
      <w:tr w:rsidR="003E6588" w:rsidTr="00DB2448">
        <w:trPr>
          <w:trHeight w:val="112"/>
          <w:jc w:val="center"/>
        </w:trPr>
        <w:tc>
          <w:tcPr>
            <w:tcW w:w="22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Estados</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Ouro</w:t>
            </w:r>
          </w:p>
        </w:tc>
        <w:tc>
          <w:tcPr>
            <w:tcW w:w="1417"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Prata</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Bronze</w:t>
            </w:r>
          </w:p>
        </w:tc>
        <w:tc>
          <w:tcPr>
            <w:tcW w:w="1669"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Total</w:t>
            </w:r>
          </w:p>
        </w:tc>
      </w:tr>
      <w:tr w:rsidR="003E6588" w:rsidTr="00E87CBE">
        <w:trPr>
          <w:trHeight w:val="34"/>
          <w:jc w:val="center"/>
        </w:trPr>
        <w:tc>
          <w:tcPr>
            <w:tcW w:w="2283" w:type="dxa"/>
            <w:tcBorders>
              <w:top w:val="nil"/>
              <w:left w:val="single" w:sz="8" w:space="0" w:color="auto"/>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São Paulo</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27</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17</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21</w:t>
            </w:r>
          </w:p>
        </w:tc>
        <w:tc>
          <w:tcPr>
            <w:tcW w:w="1669"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65</w:t>
            </w:r>
          </w:p>
        </w:tc>
      </w:tr>
      <w:tr w:rsidR="003E6588" w:rsidTr="00E87CBE">
        <w:trPr>
          <w:trHeight w:val="34"/>
          <w:jc w:val="center"/>
        </w:trPr>
        <w:tc>
          <w:tcPr>
            <w:tcW w:w="2283" w:type="dxa"/>
            <w:tcBorders>
              <w:top w:val="nil"/>
              <w:left w:val="single" w:sz="8" w:space="0" w:color="auto"/>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Santa Catarina</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8</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12</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14</w:t>
            </w:r>
          </w:p>
        </w:tc>
        <w:tc>
          <w:tcPr>
            <w:tcW w:w="1669"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34</w:t>
            </w:r>
          </w:p>
        </w:tc>
      </w:tr>
      <w:tr w:rsidR="003E6588" w:rsidTr="00E87CBE">
        <w:trPr>
          <w:trHeight w:val="66"/>
          <w:jc w:val="center"/>
        </w:trPr>
        <w:tc>
          <w:tcPr>
            <w:tcW w:w="2283" w:type="dxa"/>
            <w:tcBorders>
              <w:top w:val="nil"/>
              <w:left w:val="single" w:sz="8" w:space="0" w:color="auto"/>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Rio de Janeiro</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7</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9</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9</w:t>
            </w:r>
          </w:p>
        </w:tc>
        <w:tc>
          <w:tcPr>
            <w:tcW w:w="1669"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25</w:t>
            </w:r>
          </w:p>
        </w:tc>
      </w:tr>
      <w:tr w:rsidR="003E6588" w:rsidTr="00E87CBE">
        <w:trPr>
          <w:trHeight w:val="34"/>
          <w:jc w:val="center"/>
        </w:trPr>
        <w:tc>
          <w:tcPr>
            <w:tcW w:w="2283" w:type="dxa"/>
            <w:tcBorders>
              <w:top w:val="nil"/>
              <w:left w:val="single" w:sz="8" w:space="0" w:color="auto"/>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Paraná</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6</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7</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12</w:t>
            </w:r>
          </w:p>
        </w:tc>
        <w:tc>
          <w:tcPr>
            <w:tcW w:w="1669"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25</w:t>
            </w:r>
          </w:p>
        </w:tc>
      </w:tr>
      <w:tr w:rsidR="003E6588" w:rsidTr="00E87CBE">
        <w:trPr>
          <w:trHeight w:val="130"/>
          <w:jc w:val="center"/>
        </w:trPr>
        <w:tc>
          <w:tcPr>
            <w:tcW w:w="2283" w:type="dxa"/>
            <w:tcBorders>
              <w:top w:val="nil"/>
              <w:left w:val="single" w:sz="8" w:space="0" w:color="auto"/>
              <w:bottom w:val="single" w:sz="8" w:space="0" w:color="auto"/>
              <w:right w:val="single" w:sz="8" w:space="0" w:color="auto"/>
            </w:tcBorders>
            <w:shd w:val="clear" w:color="auto" w:fill="auto"/>
            <w:noWrap/>
            <w:vAlign w:val="center"/>
            <w:hideMark/>
          </w:tcPr>
          <w:p w:rsidR="003E6588" w:rsidRDefault="003E6588">
            <w:pPr>
              <w:rPr>
                <w:color w:val="000000"/>
                <w:sz w:val="20"/>
                <w:szCs w:val="20"/>
              </w:rPr>
            </w:pPr>
            <w:r>
              <w:rPr>
                <w:color w:val="000000"/>
                <w:sz w:val="20"/>
                <w:szCs w:val="20"/>
              </w:rPr>
              <w:t>Pernambuco</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6</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6</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9</w:t>
            </w:r>
          </w:p>
        </w:tc>
        <w:tc>
          <w:tcPr>
            <w:tcW w:w="1669"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21</w:t>
            </w:r>
          </w:p>
        </w:tc>
      </w:tr>
    </w:tbl>
    <w:p w:rsidR="003E6588" w:rsidRDefault="003E6588">
      <w:pPr>
        <w:autoSpaceDE w:val="0"/>
        <w:autoSpaceDN w:val="0"/>
        <w:adjustRightInd w:val="0"/>
        <w:rPr>
          <w:b/>
          <w:bCs/>
          <w:color w:val="000000"/>
        </w:rPr>
      </w:pPr>
    </w:p>
    <w:p w:rsidR="003E6588" w:rsidRDefault="003E6588">
      <w:pPr>
        <w:autoSpaceDE w:val="0"/>
        <w:autoSpaceDN w:val="0"/>
        <w:adjustRightInd w:val="0"/>
        <w:ind w:firstLine="1134"/>
        <w:jc w:val="both"/>
        <w:rPr>
          <w:color w:val="000000"/>
        </w:rPr>
      </w:pPr>
      <w:r>
        <w:rPr>
          <w:b/>
          <w:bCs/>
          <w:color w:val="000000"/>
        </w:rPr>
        <w:t xml:space="preserve">Jogos Escolares da Juventude Etapa Nacional - categoria de 15 a 17 anos - </w:t>
      </w:r>
      <w:r>
        <w:rPr>
          <w:color w:val="000000"/>
        </w:rPr>
        <w:t>Realizado em João Pessoa, Quadro de Medalhas dos 5 estados melhores colocados:</w:t>
      </w:r>
    </w:p>
    <w:p w:rsidR="003E6588" w:rsidRDefault="003E6588">
      <w:pPr>
        <w:autoSpaceDE w:val="0"/>
        <w:autoSpaceDN w:val="0"/>
        <w:adjustRightInd w:val="0"/>
        <w:rPr>
          <w:color w:val="000000"/>
        </w:rPr>
      </w:pPr>
    </w:p>
    <w:tbl>
      <w:tblPr>
        <w:tblW w:w="8346" w:type="dxa"/>
        <w:jc w:val="center"/>
        <w:tblInd w:w="55" w:type="dxa"/>
        <w:tblCellMar>
          <w:left w:w="70" w:type="dxa"/>
          <w:right w:w="70" w:type="dxa"/>
        </w:tblCellMar>
        <w:tblLook w:val="04A0"/>
      </w:tblPr>
      <w:tblGrid>
        <w:gridCol w:w="2283"/>
        <w:gridCol w:w="1418"/>
        <w:gridCol w:w="1417"/>
        <w:gridCol w:w="1418"/>
        <w:gridCol w:w="1810"/>
      </w:tblGrid>
      <w:tr w:rsidR="003E6588" w:rsidTr="00DB2448">
        <w:trPr>
          <w:trHeight w:val="36"/>
          <w:jc w:val="center"/>
        </w:trPr>
        <w:tc>
          <w:tcPr>
            <w:tcW w:w="22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Estados</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Ouro</w:t>
            </w:r>
          </w:p>
        </w:tc>
        <w:tc>
          <w:tcPr>
            <w:tcW w:w="1417"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Prata</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Bronze</w:t>
            </w:r>
          </w:p>
        </w:tc>
        <w:tc>
          <w:tcPr>
            <w:tcW w:w="1810" w:type="dxa"/>
            <w:tcBorders>
              <w:top w:val="single" w:sz="8" w:space="0" w:color="auto"/>
              <w:left w:val="nil"/>
              <w:bottom w:val="single" w:sz="8" w:space="0" w:color="auto"/>
              <w:right w:val="single" w:sz="8"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Total</w:t>
            </w:r>
          </w:p>
        </w:tc>
      </w:tr>
      <w:tr w:rsidR="003E6588" w:rsidTr="00E87CBE">
        <w:trPr>
          <w:trHeight w:val="68"/>
          <w:jc w:val="center"/>
        </w:trPr>
        <w:tc>
          <w:tcPr>
            <w:tcW w:w="2283" w:type="dxa"/>
            <w:tcBorders>
              <w:top w:val="nil"/>
              <w:left w:val="single" w:sz="8" w:space="0" w:color="auto"/>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São Paulo</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36</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22</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17</w:t>
            </w:r>
          </w:p>
        </w:tc>
        <w:tc>
          <w:tcPr>
            <w:tcW w:w="1810"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75</w:t>
            </w:r>
          </w:p>
        </w:tc>
      </w:tr>
      <w:tr w:rsidR="003E6588" w:rsidTr="00E87CBE">
        <w:trPr>
          <w:trHeight w:val="34"/>
          <w:jc w:val="center"/>
        </w:trPr>
        <w:tc>
          <w:tcPr>
            <w:tcW w:w="2283" w:type="dxa"/>
            <w:tcBorders>
              <w:top w:val="nil"/>
              <w:left w:val="single" w:sz="8" w:space="0" w:color="auto"/>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Paraná</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13</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13</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19</w:t>
            </w:r>
          </w:p>
        </w:tc>
        <w:tc>
          <w:tcPr>
            <w:tcW w:w="1810"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45</w:t>
            </w:r>
          </w:p>
        </w:tc>
      </w:tr>
      <w:tr w:rsidR="003E6588" w:rsidTr="00E87CBE">
        <w:trPr>
          <w:trHeight w:val="34"/>
          <w:jc w:val="center"/>
        </w:trPr>
        <w:tc>
          <w:tcPr>
            <w:tcW w:w="2283" w:type="dxa"/>
            <w:tcBorders>
              <w:top w:val="nil"/>
              <w:left w:val="single" w:sz="8" w:space="0" w:color="auto"/>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Rio de Janeiro</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12</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17</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18</w:t>
            </w:r>
          </w:p>
        </w:tc>
        <w:tc>
          <w:tcPr>
            <w:tcW w:w="1810"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47</w:t>
            </w:r>
          </w:p>
        </w:tc>
      </w:tr>
      <w:tr w:rsidR="003E6588" w:rsidTr="00E87CBE">
        <w:trPr>
          <w:trHeight w:val="164"/>
          <w:jc w:val="center"/>
        </w:trPr>
        <w:tc>
          <w:tcPr>
            <w:tcW w:w="2283" w:type="dxa"/>
            <w:tcBorders>
              <w:top w:val="nil"/>
              <w:left w:val="single" w:sz="8" w:space="0" w:color="auto"/>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Santa Catarina</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12</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10</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13</w:t>
            </w:r>
          </w:p>
        </w:tc>
        <w:tc>
          <w:tcPr>
            <w:tcW w:w="1810"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35</w:t>
            </w:r>
          </w:p>
        </w:tc>
      </w:tr>
      <w:tr w:rsidR="003E6588" w:rsidTr="00E87CBE">
        <w:trPr>
          <w:trHeight w:val="67"/>
          <w:jc w:val="center"/>
        </w:trPr>
        <w:tc>
          <w:tcPr>
            <w:tcW w:w="2283" w:type="dxa"/>
            <w:tcBorders>
              <w:top w:val="nil"/>
              <w:left w:val="single" w:sz="8" w:space="0" w:color="auto"/>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Espírito Santo</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10</w:t>
            </w:r>
          </w:p>
        </w:tc>
        <w:tc>
          <w:tcPr>
            <w:tcW w:w="1417"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8</w:t>
            </w:r>
          </w:p>
        </w:tc>
        <w:tc>
          <w:tcPr>
            <w:tcW w:w="1418"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6</w:t>
            </w:r>
          </w:p>
        </w:tc>
        <w:tc>
          <w:tcPr>
            <w:tcW w:w="1810" w:type="dxa"/>
            <w:tcBorders>
              <w:top w:val="nil"/>
              <w:left w:val="nil"/>
              <w:bottom w:val="single" w:sz="8" w:space="0" w:color="auto"/>
              <w:right w:val="single" w:sz="8" w:space="0" w:color="auto"/>
            </w:tcBorders>
            <w:shd w:val="clear" w:color="000000" w:fill="FFFFFF"/>
            <w:noWrap/>
            <w:vAlign w:val="center"/>
            <w:hideMark/>
          </w:tcPr>
          <w:p w:rsidR="003E6588" w:rsidRDefault="003E6588">
            <w:pPr>
              <w:rPr>
                <w:color w:val="000000"/>
                <w:sz w:val="20"/>
                <w:szCs w:val="20"/>
              </w:rPr>
            </w:pPr>
            <w:r>
              <w:rPr>
                <w:color w:val="000000"/>
                <w:sz w:val="20"/>
                <w:szCs w:val="20"/>
              </w:rPr>
              <w:t>24</w:t>
            </w:r>
          </w:p>
        </w:tc>
      </w:tr>
    </w:tbl>
    <w:p w:rsidR="003E6588" w:rsidRDefault="003E6588">
      <w:pPr>
        <w:autoSpaceDE w:val="0"/>
        <w:autoSpaceDN w:val="0"/>
        <w:adjustRightInd w:val="0"/>
        <w:rPr>
          <w:color w:val="000000"/>
        </w:rPr>
      </w:pPr>
    </w:p>
    <w:p w:rsidR="00E87CBE" w:rsidRDefault="00E87CBE">
      <w:pPr>
        <w:autoSpaceDE w:val="0"/>
        <w:autoSpaceDN w:val="0"/>
        <w:adjustRightInd w:val="0"/>
        <w:rPr>
          <w:color w:val="000000"/>
        </w:rPr>
      </w:pPr>
    </w:p>
    <w:p w:rsidR="003E6588" w:rsidRDefault="003E6588">
      <w:pPr>
        <w:ind w:firstLine="1134"/>
        <w:jc w:val="both"/>
        <w:rPr>
          <w:bCs/>
          <w:color w:val="000000"/>
        </w:rPr>
      </w:pPr>
      <w:r>
        <w:rPr>
          <w:b/>
          <w:bCs/>
          <w:color w:val="000000"/>
        </w:rPr>
        <w:lastRenderedPageBreak/>
        <w:t xml:space="preserve">Eventos Desenvolvidos Extra Calendário - </w:t>
      </w:r>
      <w:r>
        <w:rPr>
          <w:bCs/>
          <w:color w:val="000000"/>
        </w:rPr>
        <w:t>Eventos de âmbito estadual:</w:t>
      </w:r>
    </w:p>
    <w:p w:rsidR="003E6588" w:rsidRPr="005D4788" w:rsidRDefault="003E6588">
      <w:pPr>
        <w:rPr>
          <w:color w:val="000000"/>
          <w:sz w:val="16"/>
          <w:szCs w:val="16"/>
        </w:rPr>
      </w:pPr>
    </w:p>
    <w:tbl>
      <w:tblPr>
        <w:tblW w:w="10583" w:type="dxa"/>
        <w:jc w:val="center"/>
        <w:tblInd w:w="61" w:type="dxa"/>
        <w:tblCellMar>
          <w:left w:w="70" w:type="dxa"/>
          <w:right w:w="70" w:type="dxa"/>
        </w:tblCellMar>
        <w:tblLook w:val="04A0"/>
      </w:tblPr>
      <w:tblGrid>
        <w:gridCol w:w="624"/>
        <w:gridCol w:w="4714"/>
        <w:gridCol w:w="5245"/>
      </w:tblGrid>
      <w:tr w:rsidR="003E6588" w:rsidTr="00DB2448">
        <w:trPr>
          <w:trHeight w:val="51"/>
          <w:jc w:val="center"/>
        </w:trPr>
        <w:tc>
          <w:tcPr>
            <w:tcW w:w="62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E6588" w:rsidRDefault="003E6588">
            <w:pPr>
              <w:rPr>
                <w:b/>
                <w:bCs/>
                <w:color w:val="000000"/>
                <w:sz w:val="18"/>
                <w:szCs w:val="18"/>
              </w:rPr>
            </w:pPr>
            <w:r>
              <w:rPr>
                <w:b/>
                <w:bCs/>
                <w:color w:val="000000"/>
                <w:sz w:val="18"/>
                <w:szCs w:val="18"/>
              </w:rPr>
              <w:t>Item</w:t>
            </w:r>
          </w:p>
        </w:tc>
        <w:tc>
          <w:tcPr>
            <w:tcW w:w="4714" w:type="dxa"/>
            <w:tcBorders>
              <w:top w:val="single" w:sz="8" w:space="0" w:color="auto"/>
              <w:left w:val="nil"/>
              <w:bottom w:val="single" w:sz="4" w:space="0" w:color="auto"/>
              <w:right w:val="single" w:sz="4" w:space="0" w:color="auto"/>
            </w:tcBorders>
            <w:shd w:val="clear" w:color="auto" w:fill="auto"/>
            <w:vAlign w:val="center"/>
            <w:hideMark/>
          </w:tcPr>
          <w:p w:rsidR="003E6588" w:rsidRDefault="003E6588">
            <w:pPr>
              <w:rPr>
                <w:b/>
                <w:bCs/>
                <w:color w:val="000000"/>
                <w:sz w:val="18"/>
                <w:szCs w:val="18"/>
              </w:rPr>
            </w:pPr>
            <w:r>
              <w:rPr>
                <w:b/>
                <w:bCs/>
                <w:color w:val="000000"/>
                <w:sz w:val="18"/>
                <w:szCs w:val="18"/>
              </w:rPr>
              <w:t>Entidade ou Prefeitura</w:t>
            </w:r>
          </w:p>
        </w:tc>
        <w:tc>
          <w:tcPr>
            <w:tcW w:w="5245" w:type="dxa"/>
            <w:tcBorders>
              <w:top w:val="single" w:sz="8" w:space="0" w:color="auto"/>
              <w:left w:val="nil"/>
              <w:bottom w:val="single" w:sz="4" w:space="0" w:color="auto"/>
              <w:right w:val="single" w:sz="8" w:space="0" w:color="auto"/>
            </w:tcBorders>
            <w:shd w:val="clear" w:color="auto" w:fill="auto"/>
            <w:vAlign w:val="center"/>
            <w:hideMark/>
          </w:tcPr>
          <w:p w:rsidR="003E6588" w:rsidRDefault="003E6588">
            <w:pPr>
              <w:rPr>
                <w:b/>
                <w:bCs/>
                <w:color w:val="000000"/>
                <w:sz w:val="18"/>
                <w:szCs w:val="18"/>
              </w:rPr>
            </w:pPr>
            <w:r>
              <w:rPr>
                <w:b/>
                <w:bCs/>
                <w:color w:val="000000"/>
                <w:sz w:val="18"/>
                <w:szCs w:val="18"/>
              </w:rPr>
              <w:t>Evento</w:t>
            </w:r>
          </w:p>
        </w:tc>
      </w:tr>
      <w:tr w:rsidR="003E6588" w:rsidTr="005D4788">
        <w:trPr>
          <w:trHeight w:val="83"/>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Instituto de Integração Social Futuro Brilhante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1ª Copa da Amizade</w:t>
            </w:r>
          </w:p>
        </w:tc>
      </w:tr>
      <w:tr w:rsidR="003E6588" w:rsidTr="005D4788">
        <w:trPr>
          <w:trHeight w:val="129"/>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Organização Desportiva e Cultural - Olho do Futuro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Fute- Volei para Todos II </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Prefeitura Municipal de Elisiário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3º Jornada Esportiva de Elisiário</w:t>
            </w:r>
          </w:p>
        </w:tc>
      </w:tr>
      <w:tr w:rsidR="003E6588" w:rsidTr="005D4788">
        <w:trPr>
          <w:trHeight w:val="78"/>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Pr>
                <w:i/>
                <w:color w:val="000000"/>
                <w:sz w:val="18"/>
                <w:szCs w:val="18"/>
              </w:rPr>
              <w:t>Skate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Circuito Paulista de </w:t>
            </w:r>
            <w:r>
              <w:rPr>
                <w:i/>
                <w:color w:val="000000"/>
                <w:sz w:val="18"/>
                <w:szCs w:val="18"/>
              </w:rPr>
              <w:t>Skate</w:t>
            </w:r>
            <w:r>
              <w:rPr>
                <w:color w:val="000000"/>
                <w:sz w:val="18"/>
                <w:szCs w:val="18"/>
              </w:rPr>
              <w:t xml:space="preserve"> 2014 - Juventude em Ação</w:t>
            </w:r>
          </w:p>
        </w:tc>
      </w:tr>
      <w:tr w:rsidR="003E6588" w:rsidTr="005D4788">
        <w:trPr>
          <w:trHeight w:val="12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Judô</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Exame Paulista de Graduação - 2014</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Jalesense de Futebol de Salão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Circuito Regional de Esporte Amador</w:t>
            </w:r>
          </w:p>
        </w:tc>
      </w:tr>
      <w:tr w:rsidR="003E6588" w:rsidTr="005D4788">
        <w:trPr>
          <w:trHeight w:val="6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Força Jovem Vila Mara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Torneio de Futebol Força Jovem 2014</w:t>
            </w:r>
          </w:p>
        </w:tc>
      </w:tr>
      <w:tr w:rsidR="003E6588" w:rsidTr="005D4788">
        <w:trPr>
          <w:trHeight w:val="10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8</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Esporte Clube Leão 70</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Festival Fut. Norte de </w:t>
            </w:r>
            <w:r w:rsidRPr="00E87CBE">
              <w:rPr>
                <w:i/>
                <w:color w:val="000000"/>
                <w:sz w:val="18"/>
                <w:szCs w:val="18"/>
              </w:rPr>
              <w:t>Society</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9</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Organização Desportiva e Cultural - Olho do Futuro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1º Circuito Paulista Scientific </w:t>
            </w:r>
            <w:r>
              <w:rPr>
                <w:i/>
                <w:color w:val="000000"/>
                <w:sz w:val="18"/>
                <w:szCs w:val="18"/>
              </w:rPr>
              <w:t>Hapkido System de Paltchangu</w:t>
            </w:r>
          </w:p>
        </w:tc>
      </w:tr>
      <w:tr w:rsidR="003E6588" w:rsidTr="005D4788">
        <w:trPr>
          <w:trHeight w:val="55"/>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10</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Paulista de Futebol Feminino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VI Copa Futebol Mulher 2014</w:t>
            </w:r>
          </w:p>
        </w:tc>
      </w:tr>
      <w:tr w:rsidR="003E6588" w:rsidTr="005D4788">
        <w:trPr>
          <w:trHeight w:val="10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11</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Judô</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Paulista Sênior - 2014</w:t>
            </w:r>
          </w:p>
        </w:tc>
      </w:tr>
      <w:tr w:rsidR="003E6588" w:rsidTr="005D4788">
        <w:trPr>
          <w:trHeight w:val="13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12</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Confederação Brasileira de </w:t>
            </w:r>
            <w:r w:rsidRPr="00E87CBE">
              <w:rPr>
                <w:i/>
                <w:color w:val="000000"/>
                <w:sz w:val="18"/>
                <w:szCs w:val="18"/>
              </w:rPr>
              <w:t>Karate</w:t>
            </w:r>
            <w:r>
              <w:rPr>
                <w:color w:val="000000"/>
                <w:sz w:val="18"/>
                <w:szCs w:val="18"/>
              </w:rPr>
              <w:t xml:space="preserve"> Interestilos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Campeonato Paulista de </w:t>
            </w:r>
            <w:r w:rsidRPr="00E87CBE">
              <w:rPr>
                <w:i/>
                <w:color w:val="000000"/>
                <w:sz w:val="18"/>
                <w:szCs w:val="18"/>
              </w:rPr>
              <w:t>Karate</w:t>
            </w:r>
            <w:r>
              <w:rPr>
                <w:color w:val="000000"/>
                <w:sz w:val="18"/>
                <w:szCs w:val="18"/>
              </w:rPr>
              <w:t xml:space="preserve"> Interestilos - 2014 - 1ª Fase</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13</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Judô</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Paulista por Faixa - 2014</w:t>
            </w:r>
          </w:p>
        </w:tc>
      </w:tr>
      <w:tr w:rsidR="003E6588" w:rsidTr="005D4788">
        <w:trPr>
          <w:trHeight w:val="8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Clube Atlético Morumbi</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Copa Verão de </w:t>
            </w:r>
            <w:r>
              <w:rPr>
                <w:i/>
                <w:color w:val="000000"/>
                <w:sz w:val="18"/>
                <w:szCs w:val="18"/>
              </w:rPr>
              <w:t>Taekwondo</w:t>
            </w:r>
            <w:r>
              <w:rPr>
                <w:color w:val="000000"/>
                <w:sz w:val="18"/>
                <w:szCs w:val="18"/>
              </w:rPr>
              <w:t xml:space="preserve"> 2014</w:t>
            </w:r>
          </w:p>
        </w:tc>
      </w:tr>
      <w:tr w:rsidR="003E6588" w:rsidTr="005D4788">
        <w:trPr>
          <w:trHeight w:val="13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Confederação Brasileira de Karate Interestilos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Troféu São Paulo de </w:t>
            </w:r>
            <w:r w:rsidRPr="00E87CBE">
              <w:rPr>
                <w:i/>
                <w:color w:val="000000"/>
                <w:sz w:val="18"/>
                <w:szCs w:val="18"/>
              </w:rPr>
              <w:t>Karate</w:t>
            </w:r>
            <w:r>
              <w:rPr>
                <w:color w:val="000000"/>
                <w:sz w:val="18"/>
                <w:szCs w:val="18"/>
              </w:rPr>
              <w:t xml:space="preserve"> Interestilos</w:t>
            </w:r>
          </w:p>
        </w:tc>
      </w:tr>
      <w:tr w:rsidR="003E6588" w:rsidTr="005D4788">
        <w:trPr>
          <w:trHeight w:val="17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Atlética Acadêmica Universidade Mackenzie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Olimack 2014</w:t>
            </w:r>
          </w:p>
        </w:tc>
      </w:tr>
      <w:tr w:rsidR="003E6588" w:rsidTr="005D4788">
        <w:trPr>
          <w:trHeight w:val="79"/>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17</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Esportiva Universitária Paulista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Torneio Universitario de Futebol 2014</w:t>
            </w:r>
          </w:p>
        </w:tc>
      </w:tr>
      <w:tr w:rsidR="003E6588" w:rsidTr="00123C69">
        <w:trPr>
          <w:trHeight w:val="198"/>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18</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123C69">
            <w:pPr>
              <w:jc w:val="left"/>
              <w:rPr>
                <w:color w:val="000000"/>
                <w:sz w:val="18"/>
                <w:szCs w:val="18"/>
              </w:rPr>
            </w:pPr>
            <w:r>
              <w:rPr>
                <w:color w:val="000000"/>
                <w:sz w:val="18"/>
                <w:szCs w:val="18"/>
              </w:rPr>
              <w:t xml:space="preserve">FEDEESP </w:t>
            </w:r>
            <w:r w:rsidR="00123C69">
              <w:rPr>
                <w:color w:val="000000"/>
                <w:sz w:val="18"/>
                <w:szCs w:val="18"/>
              </w:rPr>
              <w:t>-</w:t>
            </w:r>
            <w:r>
              <w:rPr>
                <w:color w:val="000000"/>
                <w:sz w:val="18"/>
                <w:szCs w:val="18"/>
              </w:rPr>
              <w:t xml:space="preserve"> Fed</w:t>
            </w:r>
            <w:r w:rsidR="005D4788">
              <w:rPr>
                <w:color w:val="000000"/>
                <w:sz w:val="18"/>
                <w:szCs w:val="18"/>
              </w:rPr>
              <w:t xml:space="preserve">. </w:t>
            </w:r>
            <w:r>
              <w:rPr>
                <w:color w:val="000000"/>
                <w:sz w:val="18"/>
                <w:szCs w:val="18"/>
              </w:rPr>
              <w:t>do Desporto Escolar do Estado de São Paulo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INTER - ETECS</w:t>
            </w:r>
          </w:p>
        </w:tc>
      </w:tr>
      <w:tr w:rsidR="003E6588" w:rsidTr="005D4788">
        <w:trPr>
          <w:trHeight w:val="7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19</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Paulista de Futebol Feminino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5º Copa Regional de Futsal Feminino</w:t>
            </w:r>
          </w:p>
        </w:tc>
      </w:tr>
      <w:tr w:rsidR="003E6588" w:rsidTr="005D4788">
        <w:trPr>
          <w:trHeight w:val="12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20</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Confederação Brasileira de </w:t>
            </w:r>
            <w:r w:rsidRPr="00E87CBE">
              <w:rPr>
                <w:i/>
                <w:color w:val="000000"/>
                <w:sz w:val="18"/>
                <w:szCs w:val="18"/>
              </w:rPr>
              <w:t>Karate</w:t>
            </w:r>
            <w:r>
              <w:rPr>
                <w:color w:val="000000"/>
                <w:sz w:val="18"/>
                <w:szCs w:val="18"/>
              </w:rPr>
              <w:t xml:space="preserve"> Interestilos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Copa São Paulo de </w:t>
            </w:r>
            <w:r w:rsidRPr="00E87CBE">
              <w:rPr>
                <w:i/>
                <w:color w:val="000000"/>
                <w:sz w:val="18"/>
                <w:szCs w:val="18"/>
              </w:rPr>
              <w:t>Karate</w:t>
            </w:r>
            <w:r>
              <w:rPr>
                <w:color w:val="000000"/>
                <w:sz w:val="18"/>
                <w:szCs w:val="18"/>
              </w:rPr>
              <w:t xml:space="preserve"> Interestilos</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21</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Judô</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Copa São Paulo de Judô</w:t>
            </w:r>
          </w:p>
        </w:tc>
      </w:tr>
      <w:tr w:rsidR="003E6588" w:rsidTr="005D4788">
        <w:trPr>
          <w:trHeight w:val="20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22</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sidRPr="00E87CBE">
              <w:rPr>
                <w:i/>
                <w:color w:val="000000"/>
                <w:sz w:val="18"/>
                <w:szCs w:val="18"/>
              </w:rPr>
              <w:t>Karate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3º Etapa Classificatória do Campeonato Paulista de </w:t>
            </w:r>
            <w:r w:rsidRPr="00E87CBE">
              <w:rPr>
                <w:i/>
                <w:color w:val="000000"/>
                <w:sz w:val="18"/>
                <w:szCs w:val="18"/>
              </w:rPr>
              <w:t>Karate</w:t>
            </w:r>
          </w:p>
        </w:tc>
      </w:tr>
      <w:tr w:rsidR="003E6588" w:rsidTr="005D4788">
        <w:trPr>
          <w:trHeight w:val="245"/>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23</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sidRPr="00E87CBE">
              <w:rPr>
                <w:i/>
                <w:color w:val="000000"/>
                <w:sz w:val="18"/>
                <w:szCs w:val="18"/>
              </w:rPr>
              <w:t>Karate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Finais do Campeonato Paulista de </w:t>
            </w:r>
            <w:r w:rsidRPr="00E87CBE">
              <w:rPr>
                <w:i/>
                <w:color w:val="000000"/>
                <w:sz w:val="18"/>
                <w:szCs w:val="18"/>
              </w:rPr>
              <w:t>Karate</w:t>
            </w:r>
            <w:r>
              <w:rPr>
                <w:color w:val="000000"/>
                <w:sz w:val="18"/>
                <w:szCs w:val="18"/>
              </w:rPr>
              <w:t xml:space="preserve"> Junior, Sub 21 e Veteranos</w:t>
            </w:r>
          </w:p>
        </w:tc>
      </w:tr>
      <w:tr w:rsidR="003E6588" w:rsidTr="005D4788">
        <w:trPr>
          <w:trHeight w:val="195"/>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FEBESP - Federação de Boxe do Estado de São Paulo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Paulista AOB Juvenil e Elite Masculino e Feminino</w:t>
            </w:r>
          </w:p>
        </w:tc>
      </w:tr>
      <w:tr w:rsidR="003E6588" w:rsidTr="005D4788">
        <w:trPr>
          <w:trHeight w:val="16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Clube Desportivo Liberdade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Circuito Paulista de </w:t>
            </w:r>
            <w:r>
              <w:rPr>
                <w:i/>
                <w:color w:val="000000"/>
                <w:sz w:val="18"/>
                <w:szCs w:val="18"/>
              </w:rPr>
              <w:t>Taekwondo</w:t>
            </w:r>
            <w:r>
              <w:rPr>
                <w:color w:val="000000"/>
                <w:sz w:val="18"/>
                <w:szCs w:val="18"/>
              </w:rPr>
              <w:t xml:space="preserve"> - 2014</w:t>
            </w:r>
          </w:p>
        </w:tc>
      </w:tr>
      <w:tr w:rsidR="003E6588" w:rsidTr="005D4788">
        <w:trPr>
          <w:trHeight w:val="5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Rio-Pardense de Futsal</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Regional de Futsal e Futebol de Base</w:t>
            </w:r>
          </w:p>
        </w:tc>
      </w:tr>
      <w:tr w:rsidR="003E6588" w:rsidTr="005D4788">
        <w:trPr>
          <w:trHeight w:val="9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27</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Sociedade Esportiva Cantareira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2º Copa Cantareira de Futebol</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28</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Esporte Clube Leão 70</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"Fute. Norte"</w:t>
            </w:r>
          </w:p>
        </w:tc>
      </w:tr>
      <w:tr w:rsidR="003E6588" w:rsidTr="005D4788">
        <w:trPr>
          <w:trHeight w:val="4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29</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Instituto Eder Jofre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Torneio de Boxe Taça Galo de Ouro II</w:t>
            </w:r>
          </w:p>
        </w:tc>
      </w:tr>
      <w:tr w:rsidR="003E6588" w:rsidTr="005D4788">
        <w:trPr>
          <w:trHeight w:val="9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30</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Confederação Brasileira de </w:t>
            </w:r>
            <w:r w:rsidRPr="00E87CBE">
              <w:rPr>
                <w:i/>
                <w:color w:val="000000"/>
                <w:sz w:val="18"/>
                <w:szCs w:val="18"/>
              </w:rPr>
              <w:t>Karate</w:t>
            </w:r>
            <w:r>
              <w:rPr>
                <w:color w:val="000000"/>
                <w:sz w:val="18"/>
                <w:szCs w:val="18"/>
              </w:rPr>
              <w:t xml:space="preserve"> Interestilos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Zonal Sul Sudeste de </w:t>
            </w:r>
            <w:r w:rsidRPr="00E87CBE">
              <w:rPr>
                <w:i/>
                <w:color w:val="000000"/>
                <w:sz w:val="18"/>
                <w:szCs w:val="18"/>
              </w:rPr>
              <w:t xml:space="preserve">Karate </w:t>
            </w:r>
            <w:r>
              <w:rPr>
                <w:color w:val="000000"/>
                <w:sz w:val="18"/>
                <w:szCs w:val="18"/>
              </w:rPr>
              <w:t>Interestilos</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31</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Atlética Acadêmica Universidade Mackenzie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Copa Universitária 2014</w:t>
            </w:r>
          </w:p>
        </w:tc>
      </w:tr>
      <w:tr w:rsidR="003E6588" w:rsidTr="005D4788">
        <w:trPr>
          <w:trHeight w:val="17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32</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NDEC - Núcleo de Desenvolvimento do Esporte e da Cultura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Copa Liga Fut 7 Sul Sudeste</w:t>
            </w:r>
          </w:p>
        </w:tc>
      </w:tr>
      <w:tr w:rsidR="003E6588" w:rsidTr="005D4788">
        <w:trPr>
          <w:trHeight w:val="13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33</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Atletismo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2º Circuito Popular de Corrida de Rua Grande ABC</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Prefeitura Municipal de Mira Estrela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XII Copa Caminho para o Sucesso</w:t>
            </w:r>
          </w:p>
        </w:tc>
      </w:tr>
      <w:tr w:rsidR="003E6588" w:rsidRPr="001079FA" w:rsidTr="005D4788">
        <w:trPr>
          <w:trHeight w:val="22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Confederação Brasileira de Artes Marciais Chinesa - </w:t>
            </w:r>
            <w:r>
              <w:rPr>
                <w:i/>
                <w:color w:val="000000"/>
                <w:sz w:val="18"/>
                <w:szCs w:val="18"/>
              </w:rPr>
              <w:t>Kung-fu</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lang w:val="en-US"/>
              </w:rPr>
            </w:pPr>
            <w:r>
              <w:rPr>
                <w:color w:val="000000"/>
                <w:sz w:val="18"/>
                <w:szCs w:val="18"/>
                <w:lang w:val="en-US"/>
              </w:rPr>
              <w:t xml:space="preserve">8º Campeonato Copa Super </w:t>
            </w:r>
            <w:r>
              <w:rPr>
                <w:i/>
                <w:color w:val="000000"/>
                <w:sz w:val="18"/>
                <w:szCs w:val="18"/>
                <w:lang w:val="en-US"/>
              </w:rPr>
              <w:t xml:space="preserve">Fight </w:t>
            </w:r>
            <w:r>
              <w:rPr>
                <w:color w:val="000000"/>
                <w:sz w:val="18"/>
                <w:szCs w:val="18"/>
                <w:lang w:val="en-US"/>
              </w:rPr>
              <w:t xml:space="preserve">de </w:t>
            </w:r>
            <w:r>
              <w:rPr>
                <w:i/>
                <w:color w:val="000000"/>
                <w:sz w:val="18"/>
                <w:szCs w:val="18"/>
                <w:lang w:val="en-US"/>
              </w:rPr>
              <w:t>Kung-Fu</w:t>
            </w:r>
            <w:r>
              <w:rPr>
                <w:color w:val="000000"/>
                <w:sz w:val="18"/>
                <w:szCs w:val="18"/>
                <w:lang w:val="en-US"/>
              </w:rPr>
              <w:t xml:space="preserve"> - 2014</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Lutas e Artes Marciais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IX Campeonato Paulista de </w:t>
            </w:r>
            <w:r>
              <w:rPr>
                <w:i/>
                <w:color w:val="000000"/>
                <w:sz w:val="18"/>
                <w:szCs w:val="18"/>
              </w:rPr>
              <w:t>Muay Thai</w:t>
            </w:r>
            <w:r>
              <w:rPr>
                <w:color w:val="000000"/>
                <w:sz w:val="18"/>
                <w:szCs w:val="18"/>
              </w:rPr>
              <w:t xml:space="preserve"> Estreantes</w:t>
            </w:r>
          </w:p>
        </w:tc>
      </w:tr>
      <w:tr w:rsidR="003E6588" w:rsidTr="005D4788">
        <w:trPr>
          <w:trHeight w:val="8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37</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Atletismo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Corrida do Descobrimento</w:t>
            </w:r>
          </w:p>
        </w:tc>
      </w:tr>
      <w:tr w:rsidR="003E6588" w:rsidTr="005D4788">
        <w:trPr>
          <w:trHeight w:val="12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38</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Organização Desportiva e Cultural - Olho do Futuro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Copa Paulistana de Futebol 2014</w:t>
            </w:r>
          </w:p>
        </w:tc>
      </w:tr>
      <w:tr w:rsidR="003E6588" w:rsidTr="005D4788">
        <w:trPr>
          <w:trHeight w:val="10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39</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FEBESP - Federação de Boxe do Estado de São Paulo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Copa Talento Infantil, Cadete AOB Masculino e Feminino OPEN</w:t>
            </w:r>
          </w:p>
        </w:tc>
      </w:tr>
      <w:tr w:rsidR="003E6588" w:rsidTr="005D4788">
        <w:trPr>
          <w:trHeight w:val="12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40</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de Futebol Amador de Osasco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Copa União Cidade Osasco</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41</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Regional de Handebol e Esportes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Regional de Handebol</w:t>
            </w:r>
          </w:p>
        </w:tc>
      </w:tr>
      <w:tr w:rsidR="003E6588" w:rsidTr="005D4788">
        <w:trPr>
          <w:trHeight w:val="213"/>
          <w:jc w:val="center"/>
        </w:trPr>
        <w:tc>
          <w:tcPr>
            <w:tcW w:w="624"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42</w:t>
            </w:r>
          </w:p>
        </w:tc>
        <w:tc>
          <w:tcPr>
            <w:tcW w:w="4714" w:type="dxa"/>
            <w:tcBorders>
              <w:top w:val="single" w:sz="4" w:space="0" w:color="auto"/>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FEDEESP </w:t>
            </w:r>
            <w:r w:rsidR="005D4788">
              <w:rPr>
                <w:color w:val="000000"/>
                <w:sz w:val="18"/>
                <w:szCs w:val="18"/>
              </w:rPr>
              <w:t>–</w:t>
            </w:r>
            <w:r>
              <w:rPr>
                <w:color w:val="000000"/>
                <w:sz w:val="18"/>
                <w:szCs w:val="18"/>
              </w:rPr>
              <w:t xml:space="preserve"> Fed</w:t>
            </w:r>
            <w:r w:rsidR="005D4788">
              <w:rPr>
                <w:color w:val="000000"/>
                <w:sz w:val="18"/>
                <w:szCs w:val="18"/>
              </w:rPr>
              <w:t>.</w:t>
            </w:r>
            <w:r>
              <w:rPr>
                <w:color w:val="000000"/>
                <w:sz w:val="18"/>
                <w:szCs w:val="18"/>
              </w:rPr>
              <w:t xml:space="preserve"> do Desporto Escolar do Estado de São Paulo</w:t>
            </w:r>
          </w:p>
        </w:tc>
        <w:tc>
          <w:tcPr>
            <w:tcW w:w="5245" w:type="dxa"/>
            <w:tcBorders>
              <w:top w:val="single" w:sz="4" w:space="0" w:color="auto"/>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43º Campeonato Estadual de Futebol/Capital - 2014</w:t>
            </w:r>
          </w:p>
        </w:tc>
      </w:tr>
      <w:tr w:rsidR="003E6588" w:rsidTr="005D4788">
        <w:trPr>
          <w:trHeight w:val="192"/>
          <w:jc w:val="center"/>
        </w:trPr>
        <w:tc>
          <w:tcPr>
            <w:tcW w:w="624"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43</w:t>
            </w:r>
          </w:p>
        </w:tc>
        <w:tc>
          <w:tcPr>
            <w:tcW w:w="4714" w:type="dxa"/>
            <w:tcBorders>
              <w:top w:val="single" w:sz="4" w:space="0" w:color="auto"/>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Esportiva Mocoquense</w:t>
            </w:r>
          </w:p>
        </w:tc>
        <w:tc>
          <w:tcPr>
            <w:tcW w:w="5245" w:type="dxa"/>
            <w:tcBorders>
              <w:top w:val="single" w:sz="4" w:space="0" w:color="auto"/>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21º Troféu </w:t>
            </w:r>
            <w:r>
              <w:rPr>
                <w:i/>
                <w:color w:val="000000"/>
                <w:sz w:val="18"/>
                <w:szCs w:val="18"/>
              </w:rPr>
              <w:t>Kim Mollo</w:t>
            </w:r>
            <w:r>
              <w:rPr>
                <w:color w:val="000000"/>
                <w:sz w:val="18"/>
                <w:szCs w:val="18"/>
              </w:rPr>
              <w:t xml:space="preserve"> - Campeonato Paulista Inter Regional Petiz, Infantil e Juvenil de Natação</w:t>
            </w:r>
          </w:p>
        </w:tc>
      </w:tr>
      <w:tr w:rsidR="003E6588" w:rsidTr="005D4788">
        <w:trPr>
          <w:trHeight w:val="83"/>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Aquática Paulista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XVIII Copa São Paulo de Natação para Vinculados de Inverno</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sidRPr="005D4788">
              <w:rPr>
                <w:i/>
                <w:color w:val="000000"/>
                <w:sz w:val="18"/>
                <w:szCs w:val="18"/>
              </w:rPr>
              <w:t>Karate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Finais do Campeonato Paulista de </w:t>
            </w:r>
            <w:r w:rsidRPr="005D4788">
              <w:rPr>
                <w:i/>
                <w:color w:val="000000"/>
                <w:sz w:val="18"/>
                <w:szCs w:val="18"/>
              </w:rPr>
              <w:t>Karate</w:t>
            </w:r>
            <w:r>
              <w:rPr>
                <w:color w:val="000000"/>
                <w:sz w:val="18"/>
                <w:szCs w:val="18"/>
              </w:rPr>
              <w:t xml:space="preserve"> </w:t>
            </w:r>
            <w:r>
              <w:rPr>
                <w:i/>
                <w:color w:val="000000"/>
                <w:sz w:val="18"/>
                <w:szCs w:val="18"/>
              </w:rPr>
              <w:t>Boys</w:t>
            </w:r>
            <w:r>
              <w:rPr>
                <w:color w:val="000000"/>
                <w:sz w:val="18"/>
                <w:szCs w:val="18"/>
              </w:rPr>
              <w:t xml:space="preserve"> e Sênior</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FEBESP - Federação de Boxe do Estado de São Paulo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Copa de Campeões AOB Elite Masculino e Feminino OPEN</w:t>
            </w:r>
          </w:p>
        </w:tc>
      </w:tr>
      <w:tr w:rsidR="003E6588" w:rsidTr="005D4788">
        <w:trPr>
          <w:trHeight w:val="78"/>
          <w:jc w:val="center"/>
        </w:trPr>
        <w:tc>
          <w:tcPr>
            <w:tcW w:w="624"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47</w:t>
            </w:r>
          </w:p>
        </w:tc>
        <w:tc>
          <w:tcPr>
            <w:tcW w:w="4714" w:type="dxa"/>
            <w:tcBorders>
              <w:top w:val="single" w:sz="4" w:space="0" w:color="auto"/>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Organização </w:t>
            </w:r>
            <w:r>
              <w:rPr>
                <w:i/>
                <w:color w:val="000000"/>
                <w:sz w:val="18"/>
                <w:szCs w:val="18"/>
              </w:rPr>
              <w:t>Kyokushin Oyama</w:t>
            </w:r>
            <w:r>
              <w:rPr>
                <w:color w:val="000000"/>
                <w:sz w:val="18"/>
                <w:szCs w:val="18"/>
              </w:rPr>
              <w:t xml:space="preserve"> - OKO </w:t>
            </w:r>
          </w:p>
        </w:tc>
        <w:tc>
          <w:tcPr>
            <w:tcW w:w="5245" w:type="dxa"/>
            <w:tcBorders>
              <w:top w:val="single" w:sz="4" w:space="0" w:color="auto"/>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29º Campeonato Paulista de Karate </w:t>
            </w:r>
            <w:r>
              <w:rPr>
                <w:i/>
                <w:color w:val="000000"/>
                <w:sz w:val="18"/>
                <w:szCs w:val="18"/>
              </w:rPr>
              <w:t>Kyokushin</w:t>
            </w:r>
          </w:p>
        </w:tc>
      </w:tr>
      <w:tr w:rsidR="003E6588" w:rsidTr="005D4788">
        <w:trPr>
          <w:trHeight w:val="123"/>
          <w:jc w:val="center"/>
        </w:trPr>
        <w:tc>
          <w:tcPr>
            <w:tcW w:w="624"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48</w:t>
            </w:r>
          </w:p>
        </w:tc>
        <w:tc>
          <w:tcPr>
            <w:tcW w:w="4714" w:type="dxa"/>
            <w:tcBorders>
              <w:top w:val="single" w:sz="4" w:space="0" w:color="auto"/>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Esportiva de Guaianases e Adjacências</w:t>
            </w:r>
          </w:p>
        </w:tc>
        <w:tc>
          <w:tcPr>
            <w:tcW w:w="5245" w:type="dxa"/>
            <w:tcBorders>
              <w:top w:val="single" w:sz="4" w:space="0" w:color="auto"/>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13º Copa do Boi de Futebol Amador 2014</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49</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de </w:t>
            </w:r>
            <w:r>
              <w:rPr>
                <w:i/>
                <w:color w:val="000000"/>
                <w:sz w:val="18"/>
                <w:szCs w:val="18"/>
              </w:rPr>
              <w:t xml:space="preserve">Taekwondo </w:t>
            </w:r>
            <w:r>
              <w:rPr>
                <w:color w:val="000000"/>
                <w:sz w:val="18"/>
                <w:szCs w:val="18"/>
              </w:rPr>
              <w:t>do Estado de São Paulo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i/>
                <w:color w:val="000000"/>
                <w:sz w:val="18"/>
                <w:szCs w:val="18"/>
              </w:rPr>
              <w:t>Taekwondo</w:t>
            </w:r>
            <w:r>
              <w:rPr>
                <w:color w:val="000000"/>
                <w:sz w:val="18"/>
                <w:szCs w:val="18"/>
              </w:rPr>
              <w:t xml:space="preserve"> na campanha contra o câncer de mama</w:t>
            </w:r>
          </w:p>
        </w:tc>
      </w:tr>
      <w:tr w:rsidR="003E6588" w:rsidTr="005D4788">
        <w:trPr>
          <w:trHeight w:val="60"/>
          <w:jc w:val="center"/>
        </w:trPr>
        <w:tc>
          <w:tcPr>
            <w:tcW w:w="624"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50</w:t>
            </w:r>
          </w:p>
        </w:tc>
        <w:tc>
          <w:tcPr>
            <w:tcW w:w="4714" w:type="dxa"/>
            <w:tcBorders>
              <w:top w:val="single" w:sz="4" w:space="0" w:color="auto"/>
              <w:left w:val="nil"/>
              <w:bottom w:val="single" w:sz="8"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Força Jovem Vila Mara</w:t>
            </w:r>
          </w:p>
        </w:tc>
        <w:tc>
          <w:tcPr>
            <w:tcW w:w="5245" w:type="dxa"/>
            <w:tcBorders>
              <w:top w:val="single" w:sz="4" w:space="0" w:color="auto"/>
              <w:left w:val="nil"/>
              <w:bottom w:val="single" w:sz="8"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Torneio Veredas Infanto Juvenil de Futebol 2014</w:t>
            </w:r>
          </w:p>
        </w:tc>
      </w:tr>
      <w:tr w:rsidR="003E6588" w:rsidTr="005D4788">
        <w:trPr>
          <w:trHeight w:val="248"/>
          <w:jc w:val="center"/>
        </w:trPr>
        <w:tc>
          <w:tcPr>
            <w:tcW w:w="62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lastRenderedPageBreak/>
              <w:t>51</w:t>
            </w:r>
          </w:p>
        </w:tc>
        <w:tc>
          <w:tcPr>
            <w:tcW w:w="4714" w:type="dxa"/>
            <w:tcBorders>
              <w:top w:val="single" w:sz="8" w:space="0" w:color="auto"/>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SEADESP - Sindicato das Entidades de Administração do Desporto no Estado de São Paulo</w:t>
            </w:r>
          </w:p>
        </w:tc>
        <w:tc>
          <w:tcPr>
            <w:tcW w:w="5245" w:type="dxa"/>
            <w:tcBorders>
              <w:top w:val="single" w:sz="8" w:space="0" w:color="auto"/>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XXVI Festival de Artes Marciais e Esportes de Combate</w:t>
            </w:r>
          </w:p>
        </w:tc>
      </w:tr>
      <w:tr w:rsidR="003E6588" w:rsidTr="005D4788">
        <w:trPr>
          <w:trHeight w:val="339"/>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52</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FEBESP - Federação de Boxe do Estado de São Paulo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Campeonato Cinturão de Ouro AOB Infantil, Cadete e Juvenil Masculino e Feminino </w:t>
            </w:r>
            <w:r w:rsidRPr="005D4788">
              <w:rPr>
                <w:i/>
                <w:color w:val="000000"/>
                <w:sz w:val="18"/>
                <w:szCs w:val="18"/>
              </w:rPr>
              <w:t>Open</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53</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Aquática Paulista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Paulista Infantil I/II de natação de Inverno</w:t>
            </w:r>
          </w:p>
        </w:tc>
      </w:tr>
      <w:tr w:rsidR="003E6588" w:rsidTr="005D4788">
        <w:trPr>
          <w:trHeight w:val="5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Prefeitura Municipal da Estancia Hidromineral de Ibirá</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52ª Jornada Esportiva de Ibirá</w:t>
            </w:r>
          </w:p>
        </w:tc>
      </w:tr>
      <w:tr w:rsidR="003E6588" w:rsidTr="005D4788">
        <w:trPr>
          <w:trHeight w:val="98"/>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Prefeitura Municipal de Taiaçu</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Regional de Taiaçu</w:t>
            </w:r>
          </w:p>
        </w:tc>
      </w:tr>
      <w:tr w:rsidR="003E6588" w:rsidTr="005D4788">
        <w:trPr>
          <w:trHeight w:val="143"/>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Cultural de Tradição de Iperó e Região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Prova do Laço - 2014</w:t>
            </w:r>
          </w:p>
        </w:tc>
      </w:tr>
      <w:tr w:rsidR="003E6588" w:rsidTr="005D4788">
        <w:trPr>
          <w:trHeight w:val="9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57</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Confederação Brasileira de Artes Marciais Chinesa - </w:t>
            </w:r>
            <w:r>
              <w:rPr>
                <w:i/>
                <w:color w:val="000000"/>
                <w:sz w:val="18"/>
                <w:szCs w:val="18"/>
              </w:rPr>
              <w:t>Kung-fu</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Campeonato </w:t>
            </w:r>
            <w:r>
              <w:rPr>
                <w:i/>
                <w:color w:val="000000"/>
                <w:sz w:val="18"/>
                <w:szCs w:val="18"/>
              </w:rPr>
              <w:t>Kung Fu Fight</w:t>
            </w:r>
            <w:r>
              <w:rPr>
                <w:color w:val="000000"/>
                <w:sz w:val="18"/>
                <w:szCs w:val="18"/>
              </w:rPr>
              <w:t xml:space="preserve"> 2014</w:t>
            </w:r>
          </w:p>
        </w:tc>
      </w:tr>
      <w:tr w:rsidR="003E6588" w:rsidTr="005D4788">
        <w:trPr>
          <w:trHeight w:val="14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58</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Prefeitura Municipal de Pedranópolis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2º Copa Regional de Futebol Amador Pedranópolis - Valdecir Della Rovere </w:t>
            </w:r>
            <w:r>
              <w:rPr>
                <w:i/>
                <w:color w:val="000000"/>
                <w:sz w:val="18"/>
                <w:szCs w:val="18"/>
              </w:rPr>
              <w:t>In Memória</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59</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Clube Desportivo Liberdade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18º Brazil </w:t>
            </w:r>
            <w:r>
              <w:rPr>
                <w:i/>
                <w:color w:val="000000"/>
                <w:sz w:val="18"/>
                <w:szCs w:val="18"/>
              </w:rPr>
              <w:t>Taekwondo Games</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60</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Ciclismo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GP Estado de São Paulo Internacional de Ciclismo - 2014</w:t>
            </w:r>
          </w:p>
        </w:tc>
      </w:tr>
      <w:tr w:rsidR="003E6588" w:rsidTr="005D4788">
        <w:trPr>
          <w:trHeight w:val="337"/>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61</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ABRAPEFE - Associação Brasileira dos Profissionais de Educação Física e Esporte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4º Campeonato Estadual de Seleções Ligas Municipais 2014</w:t>
            </w:r>
          </w:p>
        </w:tc>
      </w:tr>
      <w:tr w:rsidR="003E6588" w:rsidTr="005D4788">
        <w:trPr>
          <w:trHeight w:val="14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62</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Atlética Academia Aurora Albanese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II Copa Max Brasil </w:t>
            </w:r>
            <w:r>
              <w:rPr>
                <w:i/>
                <w:color w:val="000000"/>
                <w:sz w:val="18"/>
                <w:szCs w:val="18"/>
              </w:rPr>
              <w:t>Society</w:t>
            </w:r>
          </w:p>
        </w:tc>
      </w:tr>
      <w:tr w:rsidR="003E6588" w:rsidTr="005D4788">
        <w:trPr>
          <w:trHeight w:val="5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63</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Cultural e Esportiva Piratininga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78ª Competição Intercolonial de Atletismo Piratininga</w:t>
            </w:r>
          </w:p>
        </w:tc>
      </w:tr>
      <w:tr w:rsidR="003E6588" w:rsidTr="005D4788">
        <w:trPr>
          <w:trHeight w:val="96"/>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Instituto Eder Jofre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Taça Estado de São Paulo de Boxe</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sidRPr="005D4788">
              <w:rPr>
                <w:i/>
                <w:color w:val="000000"/>
                <w:sz w:val="18"/>
                <w:szCs w:val="18"/>
              </w:rPr>
              <w:t>Karate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Paulista de Karate Inclusão Social</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sidRPr="005D4788">
              <w:rPr>
                <w:i/>
                <w:color w:val="000000"/>
                <w:sz w:val="18"/>
                <w:szCs w:val="18"/>
              </w:rPr>
              <w:t>Karate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Paulista Regional Presidente Prudente</w:t>
            </w:r>
          </w:p>
        </w:tc>
      </w:tr>
      <w:tr w:rsidR="003E6588" w:rsidTr="005D4788">
        <w:trPr>
          <w:trHeight w:val="58"/>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67</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lang w:val="en-US"/>
              </w:rPr>
            </w:pPr>
            <w:r>
              <w:rPr>
                <w:color w:val="000000"/>
                <w:sz w:val="18"/>
                <w:szCs w:val="18"/>
                <w:lang w:val="en-US"/>
              </w:rPr>
              <w:t xml:space="preserve">União </w:t>
            </w:r>
            <w:r>
              <w:rPr>
                <w:i/>
                <w:color w:val="000000"/>
                <w:sz w:val="18"/>
                <w:szCs w:val="18"/>
                <w:lang w:val="en-US"/>
              </w:rPr>
              <w:t>Ken In Kan Goju Ryu</w:t>
            </w:r>
            <w:r>
              <w:rPr>
                <w:color w:val="000000"/>
                <w:sz w:val="18"/>
                <w:szCs w:val="18"/>
                <w:lang w:val="en-US"/>
              </w:rPr>
              <w:t xml:space="preserve"> de Karate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Copa </w:t>
            </w:r>
            <w:r>
              <w:rPr>
                <w:i/>
                <w:color w:val="000000"/>
                <w:sz w:val="18"/>
                <w:szCs w:val="18"/>
              </w:rPr>
              <w:t>Muramatsu</w:t>
            </w:r>
            <w:r>
              <w:rPr>
                <w:color w:val="000000"/>
                <w:sz w:val="18"/>
                <w:szCs w:val="18"/>
              </w:rPr>
              <w:t xml:space="preserve"> de </w:t>
            </w:r>
            <w:r w:rsidRPr="005D4788">
              <w:rPr>
                <w:i/>
                <w:color w:val="000000"/>
                <w:sz w:val="18"/>
                <w:szCs w:val="18"/>
              </w:rPr>
              <w:t xml:space="preserve">Karate </w:t>
            </w:r>
            <w:r>
              <w:rPr>
                <w:color w:val="000000"/>
                <w:sz w:val="18"/>
                <w:szCs w:val="18"/>
              </w:rPr>
              <w:t>- Amistoso Brasil e Chile</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68</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Prefeitura Municipal de Ouroeste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2º Campeonato Regional de Futebol Amador e Categorias de Base</w:t>
            </w:r>
          </w:p>
        </w:tc>
      </w:tr>
      <w:tr w:rsidR="003E6588" w:rsidTr="005D4788">
        <w:trPr>
          <w:trHeight w:val="50"/>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69</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Liga Esportiva Universitária Paulista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Torneio Universitário Paulista 2014</w:t>
            </w:r>
          </w:p>
        </w:tc>
      </w:tr>
      <w:tr w:rsidR="003E6588" w:rsidTr="005D4788">
        <w:trPr>
          <w:trHeight w:val="12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70</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Atletismo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Calendário de Competições Atletismo 2014</w:t>
            </w:r>
          </w:p>
        </w:tc>
      </w:tr>
      <w:tr w:rsidR="003E6588" w:rsidTr="005D4788">
        <w:trPr>
          <w:trHeight w:val="13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71</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Instituto Mais Esporte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i/>
                <w:color w:val="000000"/>
                <w:sz w:val="18"/>
                <w:szCs w:val="18"/>
              </w:rPr>
              <w:t>Top Thai</w:t>
            </w:r>
            <w:r>
              <w:rPr>
                <w:color w:val="000000"/>
                <w:sz w:val="18"/>
                <w:szCs w:val="18"/>
              </w:rPr>
              <w:t xml:space="preserve"> Brasil II</w:t>
            </w:r>
          </w:p>
        </w:tc>
      </w:tr>
      <w:tr w:rsidR="003E6588" w:rsidTr="005D4788">
        <w:trPr>
          <w:trHeight w:val="10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72</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Federação Paulista de Judô</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Torneio Benemérito de Judô no Brasil - 2014</w:t>
            </w:r>
          </w:p>
        </w:tc>
      </w:tr>
      <w:tr w:rsidR="003E6588" w:rsidTr="005D4788">
        <w:trPr>
          <w:trHeight w:val="639"/>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73</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Liga Nacional de </w:t>
            </w:r>
            <w:r>
              <w:rPr>
                <w:i/>
                <w:color w:val="000000"/>
                <w:sz w:val="18"/>
                <w:szCs w:val="18"/>
              </w:rPr>
              <w:t>Taekwondo</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Campeonato Paulista de </w:t>
            </w:r>
            <w:r>
              <w:rPr>
                <w:i/>
                <w:color w:val="000000"/>
                <w:sz w:val="18"/>
                <w:szCs w:val="18"/>
              </w:rPr>
              <w:t>Taekwondo</w:t>
            </w:r>
            <w:r>
              <w:rPr>
                <w:color w:val="000000"/>
                <w:sz w:val="18"/>
                <w:szCs w:val="18"/>
              </w:rPr>
              <w:t xml:space="preserve"> 2014 - Curso Estadual de Capacitação e Qualificação dos Instrutores &amp; Fórum e Campeonato Paulista de Atividades Lúdicas</w:t>
            </w:r>
          </w:p>
        </w:tc>
      </w:tr>
      <w:tr w:rsidR="003E6588" w:rsidTr="005D4788">
        <w:trPr>
          <w:trHeight w:val="13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74</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sidRPr="005D4788">
              <w:rPr>
                <w:i/>
                <w:color w:val="000000"/>
                <w:sz w:val="18"/>
                <w:szCs w:val="18"/>
              </w:rPr>
              <w:t>Karate</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Copa União de </w:t>
            </w:r>
            <w:r w:rsidRPr="005D4788">
              <w:rPr>
                <w:i/>
                <w:color w:val="000000"/>
                <w:sz w:val="18"/>
                <w:szCs w:val="18"/>
              </w:rPr>
              <w:t>Karate</w:t>
            </w:r>
            <w:r>
              <w:rPr>
                <w:color w:val="000000"/>
                <w:sz w:val="18"/>
                <w:szCs w:val="18"/>
              </w:rPr>
              <w:t xml:space="preserve"> FPK e ACAK</w:t>
            </w:r>
          </w:p>
        </w:tc>
      </w:tr>
      <w:tr w:rsidR="003E6588" w:rsidTr="005D4788">
        <w:trPr>
          <w:trHeight w:val="4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75</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Associação Até a Vista</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XIX Competição </w:t>
            </w:r>
            <w:r>
              <w:rPr>
                <w:i/>
                <w:color w:val="000000"/>
                <w:sz w:val="18"/>
                <w:szCs w:val="18"/>
              </w:rPr>
              <w:t>Nikkei</w:t>
            </w:r>
            <w:r>
              <w:rPr>
                <w:color w:val="000000"/>
                <w:sz w:val="18"/>
                <w:szCs w:val="18"/>
              </w:rPr>
              <w:t xml:space="preserve"> Mirim de Atletismo</w:t>
            </w:r>
          </w:p>
        </w:tc>
      </w:tr>
      <w:tr w:rsidR="003E6588" w:rsidRPr="001079FA" w:rsidTr="005D4788">
        <w:trPr>
          <w:trHeight w:val="91"/>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76</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Confederação Brasileira de Artes Marciais Chinesas - </w:t>
            </w:r>
            <w:r>
              <w:rPr>
                <w:i/>
                <w:color w:val="000000"/>
                <w:sz w:val="18"/>
                <w:szCs w:val="18"/>
              </w:rPr>
              <w:t>Kung-fu</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lang w:val="en-US"/>
              </w:rPr>
            </w:pPr>
            <w:r>
              <w:rPr>
                <w:color w:val="000000"/>
                <w:sz w:val="18"/>
                <w:szCs w:val="18"/>
                <w:lang w:val="en-US"/>
              </w:rPr>
              <w:t xml:space="preserve">6º Campeonato </w:t>
            </w:r>
            <w:r>
              <w:rPr>
                <w:i/>
                <w:color w:val="000000"/>
                <w:sz w:val="18"/>
                <w:szCs w:val="18"/>
                <w:lang w:val="en-US"/>
              </w:rPr>
              <w:t>Kung-Fu Fight</w:t>
            </w:r>
            <w:r>
              <w:rPr>
                <w:color w:val="000000"/>
                <w:sz w:val="18"/>
                <w:szCs w:val="18"/>
                <w:lang w:val="en-US"/>
              </w:rPr>
              <w:t xml:space="preserve"> 2014</w:t>
            </w:r>
          </w:p>
        </w:tc>
      </w:tr>
      <w:tr w:rsidR="003E6588" w:rsidTr="005D4788">
        <w:trPr>
          <w:trHeight w:val="152"/>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77</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MDLD Amigos Unidos Venceremos</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1º Evento Esportivo e Lazer da MDLD o Mundo Encantado</w:t>
            </w:r>
          </w:p>
        </w:tc>
      </w:tr>
      <w:tr w:rsidR="003E6588" w:rsidTr="005D4788">
        <w:trPr>
          <w:trHeight w:val="84"/>
          <w:jc w:val="center"/>
        </w:trPr>
        <w:tc>
          <w:tcPr>
            <w:tcW w:w="624"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78</w:t>
            </w:r>
          </w:p>
        </w:tc>
        <w:tc>
          <w:tcPr>
            <w:tcW w:w="4714" w:type="dxa"/>
            <w:tcBorders>
              <w:top w:val="nil"/>
              <w:left w:val="nil"/>
              <w:bottom w:val="single" w:sz="4"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Federação Paulista de </w:t>
            </w:r>
            <w:r>
              <w:rPr>
                <w:i/>
                <w:color w:val="000000"/>
                <w:sz w:val="18"/>
                <w:szCs w:val="18"/>
              </w:rPr>
              <w:t>Triathlon</w:t>
            </w:r>
          </w:p>
        </w:tc>
        <w:tc>
          <w:tcPr>
            <w:tcW w:w="5245" w:type="dxa"/>
            <w:tcBorders>
              <w:top w:val="nil"/>
              <w:left w:val="nil"/>
              <w:bottom w:val="single" w:sz="4"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 xml:space="preserve">V Interestadual de </w:t>
            </w:r>
            <w:r>
              <w:rPr>
                <w:i/>
                <w:color w:val="000000"/>
                <w:sz w:val="18"/>
                <w:szCs w:val="18"/>
              </w:rPr>
              <w:t>Triathlon</w:t>
            </w:r>
            <w:r>
              <w:rPr>
                <w:color w:val="000000"/>
                <w:sz w:val="18"/>
                <w:szCs w:val="18"/>
              </w:rPr>
              <w:t xml:space="preserve"> Cidade de São Carlos</w:t>
            </w:r>
          </w:p>
        </w:tc>
      </w:tr>
      <w:tr w:rsidR="003E6588" w:rsidTr="005D4788">
        <w:trPr>
          <w:trHeight w:val="44"/>
          <w:jc w:val="center"/>
        </w:trPr>
        <w:tc>
          <w:tcPr>
            <w:tcW w:w="624" w:type="dxa"/>
            <w:tcBorders>
              <w:top w:val="nil"/>
              <w:left w:val="single" w:sz="8" w:space="0" w:color="auto"/>
              <w:bottom w:val="single" w:sz="8"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79</w:t>
            </w:r>
          </w:p>
        </w:tc>
        <w:tc>
          <w:tcPr>
            <w:tcW w:w="4714" w:type="dxa"/>
            <w:tcBorders>
              <w:top w:val="nil"/>
              <w:left w:val="nil"/>
              <w:bottom w:val="single" w:sz="8" w:space="0" w:color="auto"/>
              <w:right w:val="single" w:sz="4"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IEC - Instituto Esporte e Cidadania</w:t>
            </w:r>
          </w:p>
        </w:tc>
        <w:tc>
          <w:tcPr>
            <w:tcW w:w="5245" w:type="dxa"/>
            <w:tcBorders>
              <w:top w:val="nil"/>
              <w:left w:val="nil"/>
              <w:bottom w:val="single" w:sz="8" w:space="0" w:color="auto"/>
              <w:right w:val="single" w:sz="8" w:space="0" w:color="auto"/>
            </w:tcBorders>
            <w:shd w:val="clear" w:color="FFCC00" w:fill="FFFFFF"/>
            <w:vAlign w:val="center"/>
            <w:hideMark/>
          </w:tcPr>
          <w:p w:rsidR="003E6588" w:rsidRDefault="003E6588" w:rsidP="00E87CBE">
            <w:pPr>
              <w:jc w:val="left"/>
              <w:rPr>
                <w:color w:val="000000"/>
                <w:sz w:val="18"/>
                <w:szCs w:val="18"/>
              </w:rPr>
            </w:pPr>
            <w:r>
              <w:rPr>
                <w:color w:val="000000"/>
                <w:sz w:val="18"/>
                <w:szCs w:val="18"/>
              </w:rPr>
              <w:t>Campeonato Paulista de Truco</w:t>
            </w:r>
          </w:p>
        </w:tc>
      </w:tr>
    </w:tbl>
    <w:p w:rsidR="003E6588" w:rsidRDefault="003E6588">
      <w:pPr>
        <w:rPr>
          <w:color w:val="000000"/>
        </w:rPr>
      </w:pPr>
    </w:p>
    <w:p w:rsidR="003E6588" w:rsidRDefault="003E6588" w:rsidP="005D4788">
      <w:pPr>
        <w:ind w:firstLine="1134"/>
        <w:jc w:val="both"/>
        <w:rPr>
          <w:bCs/>
          <w:color w:val="000000"/>
        </w:rPr>
      </w:pPr>
      <w:r w:rsidRPr="005D4788">
        <w:rPr>
          <w:b/>
          <w:bCs/>
          <w:color w:val="000000"/>
        </w:rPr>
        <w:t>Eventos desenvolvidos em âmbito nacional</w:t>
      </w:r>
      <w:r>
        <w:rPr>
          <w:bCs/>
          <w:color w:val="000000"/>
        </w:rPr>
        <w:t>:</w:t>
      </w:r>
    </w:p>
    <w:p w:rsidR="003E6588" w:rsidRDefault="003E6588">
      <w:pPr>
        <w:rPr>
          <w:color w:val="000000"/>
        </w:rPr>
      </w:pPr>
    </w:p>
    <w:tbl>
      <w:tblPr>
        <w:tblW w:w="10400" w:type="dxa"/>
        <w:jc w:val="center"/>
        <w:tblInd w:w="55" w:type="dxa"/>
        <w:tblCellMar>
          <w:left w:w="70" w:type="dxa"/>
          <w:right w:w="70" w:type="dxa"/>
        </w:tblCellMar>
        <w:tblLook w:val="04A0"/>
      </w:tblPr>
      <w:tblGrid>
        <w:gridCol w:w="540"/>
        <w:gridCol w:w="4734"/>
        <w:gridCol w:w="5126"/>
      </w:tblGrid>
      <w:tr w:rsidR="003E6588" w:rsidTr="00DB2448">
        <w:trPr>
          <w:trHeight w:val="34"/>
          <w:jc w:val="center"/>
        </w:trPr>
        <w:tc>
          <w:tcPr>
            <w:tcW w:w="540" w:type="dxa"/>
            <w:tcBorders>
              <w:top w:val="single" w:sz="8" w:space="0" w:color="auto"/>
              <w:left w:val="single" w:sz="8" w:space="0" w:color="auto"/>
              <w:bottom w:val="nil"/>
              <w:right w:val="nil"/>
            </w:tcBorders>
            <w:shd w:val="clear" w:color="auto" w:fill="auto"/>
            <w:noWrap/>
            <w:vAlign w:val="bottom"/>
            <w:hideMark/>
          </w:tcPr>
          <w:p w:rsidR="003E6588" w:rsidRDefault="003E6588">
            <w:pPr>
              <w:rPr>
                <w:b/>
                <w:bCs/>
                <w:color w:val="000000"/>
                <w:sz w:val="18"/>
                <w:szCs w:val="18"/>
              </w:rPr>
            </w:pPr>
            <w:r>
              <w:rPr>
                <w:b/>
                <w:bCs/>
                <w:color w:val="000000"/>
                <w:sz w:val="18"/>
                <w:szCs w:val="18"/>
              </w:rPr>
              <w:t>Item</w:t>
            </w:r>
          </w:p>
        </w:tc>
        <w:tc>
          <w:tcPr>
            <w:tcW w:w="4734" w:type="dxa"/>
            <w:tcBorders>
              <w:top w:val="single" w:sz="8" w:space="0" w:color="auto"/>
              <w:left w:val="single" w:sz="4" w:space="0" w:color="auto"/>
              <w:bottom w:val="nil"/>
              <w:right w:val="single" w:sz="4" w:space="0" w:color="auto"/>
            </w:tcBorders>
            <w:shd w:val="clear" w:color="auto" w:fill="auto"/>
            <w:vAlign w:val="center"/>
            <w:hideMark/>
          </w:tcPr>
          <w:p w:rsidR="003E6588" w:rsidRDefault="003E6588">
            <w:pPr>
              <w:rPr>
                <w:b/>
                <w:bCs/>
                <w:color w:val="000000"/>
                <w:sz w:val="18"/>
                <w:szCs w:val="18"/>
              </w:rPr>
            </w:pPr>
            <w:r>
              <w:rPr>
                <w:b/>
                <w:bCs/>
                <w:color w:val="000000"/>
                <w:sz w:val="18"/>
                <w:szCs w:val="18"/>
              </w:rPr>
              <w:t>Entidade ou Prefeitura</w:t>
            </w:r>
          </w:p>
        </w:tc>
        <w:tc>
          <w:tcPr>
            <w:tcW w:w="5126" w:type="dxa"/>
            <w:tcBorders>
              <w:top w:val="single" w:sz="8" w:space="0" w:color="auto"/>
              <w:left w:val="nil"/>
              <w:bottom w:val="nil"/>
              <w:right w:val="single" w:sz="8" w:space="0" w:color="auto"/>
            </w:tcBorders>
            <w:shd w:val="clear" w:color="auto" w:fill="auto"/>
            <w:vAlign w:val="center"/>
            <w:hideMark/>
          </w:tcPr>
          <w:p w:rsidR="003E6588" w:rsidRDefault="003E6588">
            <w:pPr>
              <w:rPr>
                <w:b/>
                <w:bCs/>
                <w:color w:val="000000"/>
                <w:sz w:val="18"/>
                <w:szCs w:val="18"/>
              </w:rPr>
            </w:pPr>
            <w:r>
              <w:rPr>
                <w:b/>
                <w:bCs/>
                <w:color w:val="000000"/>
                <w:sz w:val="18"/>
                <w:szCs w:val="18"/>
              </w:rPr>
              <w:t>Evento</w:t>
            </w:r>
          </w:p>
        </w:tc>
      </w:tr>
      <w:tr w:rsidR="003E6588">
        <w:trPr>
          <w:trHeight w:val="44"/>
          <w:jc w:val="center"/>
        </w:trPr>
        <w:tc>
          <w:tcPr>
            <w:tcW w:w="54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w:t>
            </w:r>
          </w:p>
        </w:tc>
        <w:tc>
          <w:tcPr>
            <w:tcW w:w="4734" w:type="dxa"/>
            <w:tcBorders>
              <w:top w:val="single" w:sz="4" w:space="0" w:color="auto"/>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Confederação Brasileira de Atletismo</w:t>
            </w:r>
          </w:p>
        </w:tc>
        <w:tc>
          <w:tcPr>
            <w:tcW w:w="5126" w:type="dxa"/>
            <w:tcBorders>
              <w:top w:val="single" w:sz="4" w:space="0" w:color="auto"/>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XXXIII Troféu Brasil Caixa de Atletismo</w:t>
            </w:r>
          </w:p>
        </w:tc>
      </w:tr>
      <w:tr w:rsidR="003E6588">
        <w:trPr>
          <w:trHeight w:val="207"/>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Confederação Brasileira de Atletismo</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Campeonatos Brasileiros Caixa de Atletismo Sub 23 Interseleções</w:t>
            </w:r>
          </w:p>
        </w:tc>
      </w:tr>
      <w:tr w:rsidR="003E6588">
        <w:trPr>
          <w:trHeight w:val="139"/>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Aquática Paulista</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Troféu Prof.ª Maria Lenk" - Taça Correios</w:t>
            </w:r>
          </w:p>
        </w:tc>
      </w:tr>
      <w:tr w:rsidR="003E6588">
        <w:trPr>
          <w:trHeight w:val="102"/>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Confederação Brasileira de </w:t>
            </w:r>
            <w:r>
              <w:rPr>
                <w:i/>
                <w:color w:val="000000"/>
                <w:sz w:val="18"/>
                <w:szCs w:val="18"/>
              </w:rPr>
              <w:t>Kickboxing</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24º Campeonato Brasileiro de </w:t>
            </w:r>
            <w:r>
              <w:rPr>
                <w:i/>
                <w:color w:val="000000"/>
                <w:sz w:val="18"/>
                <w:szCs w:val="18"/>
              </w:rPr>
              <w:t>Kickboxing</w:t>
            </w:r>
            <w:r>
              <w:rPr>
                <w:color w:val="000000"/>
                <w:sz w:val="18"/>
                <w:szCs w:val="18"/>
              </w:rPr>
              <w:t xml:space="preserve"> Adulto e 18º Sub 17</w:t>
            </w:r>
          </w:p>
        </w:tc>
      </w:tr>
      <w:tr w:rsidR="003E6588">
        <w:trPr>
          <w:trHeight w:val="175"/>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Clube Atlético Morumbi</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Campeonato Brasileiro de Tiro com Arco - </w:t>
            </w:r>
            <w:r>
              <w:rPr>
                <w:i/>
                <w:color w:val="000000"/>
                <w:sz w:val="18"/>
                <w:szCs w:val="18"/>
              </w:rPr>
              <w:t>Master</w:t>
            </w:r>
          </w:p>
        </w:tc>
      </w:tr>
      <w:tr w:rsidR="003E6588">
        <w:trPr>
          <w:trHeight w:val="94"/>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NDEC - Núcleo de Desenvolvimento do Esporte e da Cultura</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Campeonato RJ x SP de Fut 7</w:t>
            </w:r>
          </w:p>
        </w:tc>
      </w:tr>
      <w:tr w:rsidR="003E6588">
        <w:trPr>
          <w:trHeight w:val="44"/>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Paulista de Judô</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Campeonato Paulista de Judô - 2014</w:t>
            </w:r>
          </w:p>
        </w:tc>
      </w:tr>
      <w:tr w:rsidR="003E6588">
        <w:trPr>
          <w:trHeight w:val="86"/>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8</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Confederação Brasileira de Futebol 7</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i/>
                <w:color w:val="000000"/>
                <w:sz w:val="18"/>
                <w:szCs w:val="18"/>
              </w:rPr>
              <w:t>Grand Prix</w:t>
            </w:r>
            <w:r>
              <w:rPr>
                <w:color w:val="000000"/>
                <w:sz w:val="18"/>
                <w:szCs w:val="18"/>
              </w:rPr>
              <w:t xml:space="preserve"> do Futebol que o Brasil Joga</w:t>
            </w:r>
          </w:p>
        </w:tc>
      </w:tr>
      <w:tr w:rsidR="003E6588">
        <w:trPr>
          <w:trHeight w:val="160"/>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9</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Federação de </w:t>
            </w:r>
            <w:r>
              <w:rPr>
                <w:i/>
                <w:color w:val="000000"/>
                <w:sz w:val="18"/>
                <w:szCs w:val="18"/>
              </w:rPr>
              <w:t>Paintball</w:t>
            </w:r>
            <w:r>
              <w:rPr>
                <w:color w:val="000000"/>
                <w:sz w:val="18"/>
                <w:szCs w:val="18"/>
              </w:rPr>
              <w:t xml:space="preserve"> do Estado de São Paulo</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Circuito Brasileiro de </w:t>
            </w:r>
            <w:r>
              <w:rPr>
                <w:i/>
                <w:color w:val="000000"/>
                <w:sz w:val="18"/>
                <w:szCs w:val="18"/>
              </w:rPr>
              <w:t>Paintball</w:t>
            </w:r>
          </w:p>
        </w:tc>
      </w:tr>
      <w:tr w:rsidR="003E6588">
        <w:trPr>
          <w:trHeight w:val="44"/>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10</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Associação Transforma Valores - ATVA</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Pré - Copa Pico do Gavião de Parapente</w:t>
            </w:r>
          </w:p>
        </w:tc>
      </w:tr>
      <w:tr w:rsidR="003E6588">
        <w:trPr>
          <w:trHeight w:val="280"/>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11</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FEBESP - Federação de Boxe do Estado de São Paulo</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69º Campeonato Brasileiro AOB Masculino Elite e 7º Campeonato Brasileiro AOB Masculino Cadete</w:t>
            </w:r>
          </w:p>
        </w:tc>
      </w:tr>
      <w:tr w:rsidR="003E6588">
        <w:trPr>
          <w:trHeight w:val="44"/>
          <w:jc w:val="center"/>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12</w:t>
            </w:r>
          </w:p>
        </w:tc>
        <w:tc>
          <w:tcPr>
            <w:tcW w:w="4734"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Clube Desportivo Liberdade</w:t>
            </w:r>
          </w:p>
        </w:tc>
        <w:tc>
          <w:tcPr>
            <w:tcW w:w="512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2º Superliga Brasileira de </w:t>
            </w:r>
            <w:r>
              <w:rPr>
                <w:i/>
                <w:color w:val="000000"/>
                <w:sz w:val="18"/>
                <w:szCs w:val="18"/>
              </w:rPr>
              <w:t>Taekwondo</w:t>
            </w:r>
          </w:p>
        </w:tc>
      </w:tr>
      <w:tr w:rsidR="003E6588">
        <w:trPr>
          <w:trHeight w:val="51"/>
          <w:jc w:val="center"/>
        </w:trPr>
        <w:tc>
          <w:tcPr>
            <w:tcW w:w="540" w:type="dxa"/>
            <w:tcBorders>
              <w:top w:val="nil"/>
              <w:left w:val="single" w:sz="8" w:space="0" w:color="auto"/>
              <w:bottom w:val="single" w:sz="8"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13</w:t>
            </w:r>
          </w:p>
        </w:tc>
        <w:tc>
          <w:tcPr>
            <w:tcW w:w="4734" w:type="dxa"/>
            <w:tcBorders>
              <w:top w:val="nil"/>
              <w:left w:val="nil"/>
              <w:bottom w:val="single" w:sz="8"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Paulista de Atletismo</w:t>
            </w:r>
          </w:p>
        </w:tc>
        <w:tc>
          <w:tcPr>
            <w:tcW w:w="5126" w:type="dxa"/>
            <w:tcBorders>
              <w:top w:val="nil"/>
              <w:left w:val="nil"/>
              <w:bottom w:val="single" w:sz="8"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48ª Prova Pedestre Sargento Gonzaguinha</w:t>
            </w:r>
          </w:p>
        </w:tc>
      </w:tr>
    </w:tbl>
    <w:p w:rsidR="003E6588" w:rsidRDefault="003E6588">
      <w:pPr>
        <w:ind w:firstLine="1134"/>
        <w:jc w:val="both"/>
        <w:rPr>
          <w:bCs/>
          <w:color w:val="000000"/>
        </w:rPr>
      </w:pPr>
      <w:r w:rsidRPr="00123C69">
        <w:rPr>
          <w:b/>
          <w:bCs/>
          <w:color w:val="000000"/>
        </w:rPr>
        <w:lastRenderedPageBreak/>
        <w:t>Eventos desenvolvidos em âmbito internacional</w:t>
      </w:r>
      <w:r>
        <w:rPr>
          <w:bCs/>
          <w:color w:val="000000"/>
        </w:rPr>
        <w:t>:</w:t>
      </w:r>
    </w:p>
    <w:p w:rsidR="003E6588" w:rsidRDefault="003E6588">
      <w:pPr>
        <w:jc w:val="both"/>
        <w:rPr>
          <w:bCs/>
          <w:color w:val="000000"/>
        </w:rPr>
      </w:pPr>
    </w:p>
    <w:tbl>
      <w:tblPr>
        <w:tblW w:w="9937" w:type="dxa"/>
        <w:jc w:val="center"/>
        <w:tblInd w:w="55" w:type="dxa"/>
        <w:tblCellMar>
          <w:left w:w="70" w:type="dxa"/>
          <w:right w:w="70" w:type="dxa"/>
        </w:tblCellMar>
        <w:tblLook w:val="04A0"/>
      </w:tblPr>
      <w:tblGrid>
        <w:gridCol w:w="625"/>
        <w:gridCol w:w="4696"/>
        <w:gridCol w:w="4616"/>
      </w:tblGrid>
      <w:tr w:rsidR="003E6588" w:rsidTr="00DB2448">
        <w:trPr>
          <w:trHeight w:val="49"/>
          <w:jc w:val="center"/>
        </w:trPr>
        <w:tc>
          <w:tcPr>
            <w:tcW w:w="625"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3E6588" w:rsidRDefault="003E6588">
            <w:pPr>
              <w:rPr>
                <w:b/>
                <w:bCs/>
                <w:color w:val="000000"/>
                <w:sz w:val="18"/>
                <w:szCs w:val="18"/>
              </w:rPr>
            </w:pPr>
            <w:r>
              <w:rPr>
                <w:b/>
                <w:bCs/>
                <w:color w:val="000000"/>
                <w:sz w:val="18"/>
                <w:szCs w:val="18"/>
              </w:rPr>
              <w:t>Item</w:t>
            </w:r>
          </w:p>
        </w:tc>
        <w:tc>
          <w:tcPr>
            <w:tcW w:w="4696" w:type="dxa"/>
            <w:tcBorders>
              <w:top w:val="single" w:sz="8" w:space="0" w:color="auto"/>
              <w:left w:val="nil"/>
              <w:bottom w:val="single" w:sz="8" w:space="0" w:color="auto"/>
              <w:right w:val="single" w:sz="4" w:space="0" w:color="auto"/>
            </w:tcBorders>
            <w:shd w:val="clear" w:color="auto" w:fill="auto"/>
            <w:noWrap/>
            <w:vAlign w:val="bottom"/>
            <w:hideMark/>
          </w:tcPr>
          <w:p w:rsidR="003E6588" w:rsidRDefault="003E6588">
            <w:pPr>
              <w:rPr>
                <w:b/>
                <w:bCs/>
                <w:color w:val="000000"/>
                <w:sz w:val="18"/>
                <w:szCs w:val="18"/>
              </w:rPr>
            </w:pPr>
            <w:r>
              <w:rPr>
                <w:b/>
                <w:bCs/>
                <w:color w:val="000000"/>
                <w:sz w:val="18"/>
                <w:szCs w:val="18"/>
              </w:rPr>
              <w:t>Entidade/Prefeitura</w:t>
            </w:r>
          </w:p>
        </w:tc>
        <w:tc>
          <w:tcPr>
            <w:tcW w:w="4616" w:type="dxa"/>
            <w:tcBorders>
              <w:top w:val="single" w:sz="8" w:space="0" w:color="auto"/>
              <w:left w:val="nil"/>
              <w:bottom w:val="single" w:sz="8" w:space="0" w:color="auto"/>
              <w:right w:val="single" w:sz="8" w:space="0" w:color="auto"/>
            </w:tcBorders>
            <w:shd w:val="clear" w:color="auto" w:fill="auto"/>
            <w:noWrap/>
            <w:vAlign w:val="bottom"/>
            <w:hideMark/>
          </w:tcPr>
          <w:p w:rsidR="003E6588" w:rsidRDefault="003E6588">
            <w:pPr>
              <w:rPr>
                <w:b/>
                <w:bCs/>
                <w:color w:val="000000"/>
                <w:sz w:val="18"/>
                <w:szCs w:val="18"/>
              </w:rPr>
            </w:pPr>
            <w:r>
              <w:rPr>
                <w:b/>
                <w:bCs/>
                <w:color w:val="000000"/>
                <w:sz w:val="18"/>
                <w:szCs w:val="18"/>
              </w:rPr>
              <w:t>Evento</w:t>
            </w:r>
          </w:p>
        </w:tc>
      </w:tr>
      <w:tr w:rsidR="003E6588">
        <w:trPr>
          <w:trHeight w:val="108"/>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Confederação Brasileira de Atletismo</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XV Campeonatos Ibero- Americano de Atletismo</w:t>
            </w:r>
          </w:p>
        </w:tc>
      </w:tr>
      <w:tr w:rsidR="003E6588">
        <w:trPr>
          <w:trHeight w:val="178"/>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2</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Paulista de Tênis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Torneio ATP 250 Brasil </w:t>
            </w:r>
            <w:r>
              <w:rPr>
                <w:i/>
                <w:color w:val="000000"/>
                <w:sz w:val="18"/>
                <w:szCs w:val="18"/>
              </w:rPr>
              <w:t>Open</w:t>
            </w:r>
            <w:r>
              <w:rPr>
                <w:color w:val="000000"/>
                <w:sz w:val="18"/>
                <w:szCs w:val="18"/>
              </w:rPr>
              <w:t xml:space="preserve"> de Tênis</w:t>
            </w:r>
          </w:p>
        </w:tc>
      </w:tr>
      <w:tr w:rsidR="003E6588">
        <w:trPr>
          <w:trHeight w:val="95"/>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3</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Paulista de Tênis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Copa Mundial de Tênis - 44º Banana </w:t>
            </w:r>
            <w:r>
              <w:rPr>
                <w:i/>
                <w:color w:val="000000"/>
                <w:sz w:val="18"/>
                <w:szCs w:val="18"/>
              </w:rPr>
              <w:t>Bowl</w:t>
            </w:r>
          </w:p>
        </w:tc>
      </w:tr>
      <w:tr w:rsidR="003E6588">
        <w:trPr>
          <w:trHeight w:val="156"/>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4</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ANE - Associação Nacional de Esportes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IV </w:t>
            </w:r>
            <w:r>
              <w:rPr>
                <w:i/>
                <w:color w:val="000000"/>
                <w:sz w:val="18"/>
                <w:szCs w:val="18"/>
              </w:rPr>
              <w:t>Meeting</w:t>
            </w:r>
            <w:r>
              <w:rPr>
                <w:color w:val="000000"/>
                <w:sz w:val="18"/>
                <w:szCs w:val="18"/>
              </w:rPr>
              <w:t xml:space="preserve"> Intercional Ginástica Artística</w:t>
            </w:r>
          </w:p>
        </w:tc>
      </w:tr>
      <w:tr w:rsidR="003E6588">
        <w:trPr>
          <w:trHeight w:val="88"/>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5</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Confederação Brasileira de </w:t>
            </w:r>
            <w:r>
              <w:rPr>
                <w:i/>
                <w:color w:val="000000"/>
                <w:sz w:val="18"/>
                <w:szCs w:val="18"/>
              </w:rPr>
              <w:t>Kickboxing</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i/>
                <w:color w:val="000000"/>
                <w:sz w:val="18"/>
                <w:szCs w:val="18"/>
              </w:rPr>
            </w:pPr>
            <w:r>
              <w:rPr>
                <w:i/>
                <w:color w:val="000000"/>
                <w:sz w:val="18"/>
                <w:szCs w:val="18"/>
              </w:rPr>
              <w:t>WGP Super Four</w:t>
            </w:r>
          </w:p>
        </w:tc>
      </w:tr>
      <w:tr w:rsidR="003E6588">
        <w:trPr>
          <w:trHeight w:val="147"/>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6</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Confederação Brasileira de Atletismo</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GP Internacional Caixa São Paulo de Atletismo</w:t>
            </w:r>
          </w:p>
        </w:tc>
      </w:tr>
      <w:tr w:rsidR="003E6588">
        <w:trPr>
          <w:trHeight w:val="80"/>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7</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NDEC - Núcleo de Desenvolvimento do Esporte e da Cultura</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Mundial de Tenis Campos do Jordão</w:t>
            </w:r>
          </w:p>
        </w:tc>
      </w:tr>
      <w:tr w:rsidR="003E6588">
        <w:trPr>
          <w:trHeight w:val="154"/>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8</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Confederação Brasileira de </w:t>
            </w:r>
            <w:r w:rsidRPr="005D4788">
              <w:rPr>
                <w:i/>
                <w:color w:val="000000"/>
                <w:sz w:val="18"/>
                <w:szCs w:val="18"/>
              </w:rPr>
              <w:t>Karate</w:t>
            </w:r>
            <w:r>
              <w:rPr>
                <w:color w:val="000000"/>
                <w:sz w:val="18"/>
                <w:szCs w:val="18"/>
              </w:rPr>
              <w:t xml:space="preserve"> Interestilos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Campeonato Sul Americano de </w:t>
            </w:r>
            <w:r w:rsidRPr="005D4788">
              <w:rPr>
                <w:i/>
                <w:color w:val="000000"/>
                <w:sz w:val="18"/>
                <w:szCs w:val="18"/>
              </w:rPr>
              <w:t>Karate</w:t>
            </w:r>
            <w:r>
              <w:rPr>
                <w:color w:val="000000"/>
                <w:sz w:val="18"/>
                <w:szCs w:val="18"/>
              </w:rPr>
              <w:t xml:space="preserve"> Interestilos</w:t>
            </w:r>
          </w:p>
        </w:tc>
      </w:tr>
      <w:tr w:rsidR="003E6588">
        <w:trPr>
          <w:trHeight w:val="72"/>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9</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Confederação Paulista de Voleibol</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Liga Mundial 2014 - 3ª Etapa</w:t>
            </w:r>
          </w:p>
        </w:tc>
      </w:tr>
      <w:tr w:rsidR="003E6588">
        <w:trPr>
          <w:trHeight w:val="132"/>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10</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Confederação Brasileira de </w:t>
            </w:r>
            <w:r w:rsidRPr="005D4788">
              <w:rPr>
                <w:i/>
                <w:color w:val="000000"/>
                <w:sz w:val="18"/>
                <w:szCs w:val="18"/>
              </w:rPr>
              <w:t xml:space="preserve">Karate </w:t>
            </w:r>
            <w:r>
              <w:rPr>
                <w:color w:val="000000"/>
                <w:sz w:val="18"/>
                <w:szCs w:val="18"/>
              </w:rPr>
              <w:t>Interestilos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i/>
                <w:color w:val="000000"/>
                <w:sz w:val="18"/>
                <w:szCs w:val="18"/>
              </w:rPr>
              <w:t>Grand Prix</w:t>
            </w:r>
            <w:r>
              <w:rPr>
                <w:color w:val="000000"/>
                <w:sz w:val="18"/>
                <w:szCs w:val="18"/>
              </w:rPr>
              <w:t xml:space="preserve"> de </w:t>
            </w:r>
            <w:r w:rsidRPr="005D4788">
              <w:rPr>
                <w:i/>
                <w:color w:val="000000"/>
                <w:sz w:val="18"/>
                <w:szCs w:val="18"/>
              </w:rPr>
              <w:t>Karate</w:t>
            </w:r>
            <w:r>
              <w:rPr>
                <w:color w:val="000000"/>
                <w:sz w:val="18"/>
                <w:szCs w:val="18"/>
              </w:rPr>
              <w:t xml:space="preserve"> Interestilos 2014</w:t>
            </w:r>
          </w:p>
        </w:tc>
      </w:tr>
      <w:tr w:rsidR="003E6588">
        <w:trPr>
          <w:trHeight w:val="63"/>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11</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Confederação Brasileira de </w:t>
            </w:r>
            <w:r>
              <w:rPr>
                <w:i/>
                <w:color w:val="000000"/>
                <w:sz w:val="18"/>
                <w:szCs w:val="18"/>
              </w:rPr>
              <w:t>Kickboxing</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Copa do Mundo de </w:t>
            </w:r>
            <w:r>
              <w:rPr>
                <w:i/>
                <w:color w:val="000000"/>
                <w:sz w:val="18"/>
                <w:szCs w:val="18"/>
              </w:rPr>
              <w:t>Kickboxing</w:t>
            </w:r>
            <w:r>
              <w:rPr>
                <w:color w:val="000000"/>
                <w:sz w:val="18"/>
                <w:szCs w:val="18"/>
              </w:rPr>
              <w:t xml:space="preserve"> - 2014</w:t>
            </w:r>
          </w:p>
        </w:tc>
      </w:tr>
      <w:tr w:rsidR="003E6588">
        <w:trPr>
          <w:trHeight w:val="124"/>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12</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Confederação Brasileira de </w:t>
            </w:r>
            <w:r w:rsidRPr="005D4788">
              <w:rPr>
                <w:i/>
                <w:color w:val="000000"/>
                <w:sz w:val="18"/>
                <w:szCs w:val="18"/>
              </w:rPr>
              <w:t xml:space="preserve">Karate </w:t>
            </w:r>
            <w:r>
              <w:rPr>
                <w:color w:val="000000"/>
                <w:sz w:val="18"/>
                <w:szCs w:val="18"/>
              </w:rPr>
              <w:t>Interestilos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Campeonato Brasileiro de </w:t>
            </w:r>
            <w:r w:rsidRPr="005D4788">
              <w:rPr>
                <w:i/>
                <w:color w:val="000000"/>
                <w:sz w:val="18"/>
                <w:szCs w:val="18"/>
              </w:rPr>
              <w:t>Karat</w:t>
            </w:r>
            <w:r w:rsidR="005D4788">
              <w:rPr>
                <w:i/>
                <w:color w:val="000000"/>
                <w:sz w:val="18"/>
                <w:szCs w:val="18"/>
              </w:rPr>
              <w:t>e</w:t>
            </w:r>
            <w:r>
              <w:rPr>
                <w:color w:val="000000"/>
                <w:sz w:val="18"/>
                <w:szCs w:val="18"/>
              </w:rPr>
              <w:t xml:space="preserve"> Interestilos - 2014</w:t>
            </w:r>
          </w:p>
        </w:tc>
      </w:tr>
      <w:tr w:rsidR="003E6588">
        <w:trPr>
          <w:trHeight w:val="56"/>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13</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Confederação Brasileira de Voleibol</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i/>
                <w:color w:val="000000"/>
                <w:sz w:val="18"/>
                <w:szCs w:val="18"/>
              </w:rPr>
              <w:t>Grand Prix</w:t>
            </w:r>
            <w:r>
              <w:rPr>
                <w:color w:val="000000"/>
                <w:sz w:val="18"/>
                <w:szCs w:val="18"/>
              </w:rPr>
              <w:t xml:space="preserve"> 2014</w:t>
            </w:r>
          </w:p>
        </w:tc>
      </w:tr>
      <w:tr w:rsidR="003E6588">
        <w:trPr>
          <w:trHeight w:val="116"/>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14</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Paulista de Tênis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Copa </w:t>
            </w:r>
            <w:r>
              <w:rPr>
                <w:i/>
                <w:color w:val="000000"/>
                <w:sz w:val="18"/>
                <w:szCs w:val="18"/>
              </w:rPr>
              <w:t>Davis</w:t>
            </w:r>
            <w:r>
              <w:rPr>
                <w:color w:val="000000"/>
                <w:sz w:val="18"/>
                <w:szCs w:val="18"/>
              </w:rPr>
              <w:t xml:space="preserve"> 2014 - Brasil e Espanha</w:t>
            </w:r>
          </w:p>
        </w:tc>
      </w:tr>
      <w:tr w:rsidR="003E6588">
        <w:trPr>
          <w:trHeight w:val="44"/>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15</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Paulista de Tênis</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Torneio Internacional de Fernandópolis 2014</w:t>
            </w:r>
          </w:p>
        </w:tc>
      </w:tr>
      <w:tr w:rsidR="003E6588">
        <w:trPr>
          <w:trHeight w:val="108"/>
          <w:jc w:val="center"/>
        </w:trPr>
        <w:tc>
          <w:tcPr>
            <w:tcW w:w="625" w:type="dxa"/>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16</w:t>
            </w:r>
          </w:p>
        </w:tc>
        <w:tc>
          <w:tcPr>
            <w:tcW w:w="4696" w:type="dxa"/>
            <w:tcBorders>
              <w:top w:val="nil"/>
              <w:left w:val="nil"/>
              <w:bottom w:val="single" w:sz="4"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Confederação Brasileira de </w:t>
            </w:r>
            <w:r>
              <w:rPr>
                <w:i/>
                <w:color w:val="000000"/>
                <w:sz w:val="18"/>
                <w:szCs w:val="18"/>
              </w:rPr>
              <w:t>Kickboxing</w:t>
            </w:r>
          </w:p>
        </w:tc>
        <w:tc>
          <w:tcPr>
            <w:tcW w:w="4616" w:type="dxa"/>
            <w:tcBorders>
              <w:top w:val="nil"/>
              <w:left w:val="nil"/>
              <w:bottom w:val="single" w:sz="4"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Festival Internacional de </w:t>
            </w:r>
            <w:r>
              <w:rPr>
                <w:i/>
                <w:color w:val="000000"/>
                <w:sz w:val="18"/>
                <w:szCs w:val="18"/>
              </w:rPr>
              <w:t>Kickboxing</w:t>
            </w:r>
          </w:p>
        </w:tc>
      </w:tr>
      <w:tr w:rsidR="003E6588">
        <w:trPr>
          <w:trHeight w:val="182"/>
          <w:jc w:val="center"/>
        </w:trPr>
        <w:tc>
          <w:tcPr>
            <w:tcW w:w="625" w:type="dxa"/>
            <w:tcBorders>
              <w:top w:val="nil"/>
              <w:left w:val="single" w:sz="8" w:space="0" w:color="auto"/>
              <w:bottom w:val="single" w:sz="8" w:space="0" w:color="auto"/>
              <w:right w:val="single" w:sz="4" w:space="0" w:color="auto"/>
            </w:tcBorders>
            <w:shd w:val="clear" w:color="auto" w:fill="auto"/>
            <w:noWrap/>
            <w:vAlign w:val="bottom"/>
            <w:hideMark/>
          </w:tcPr>
          <w:p w:rsidR="003E6588" w:rsidRDefault="003E6588">
            <w:pPr>
              <w:rPr>
                <w:color w:val="000000"/>
                <w:sz w:val="18"/>
                <w:szCs w:val="18"/>
              </w:rPr>
            </w:pPr>
            <w:r>
              <w:rPr>
                <w:color w:val="000000"/>
                <w:sz w:val="18"/>
                <w:szCs w:val="18"/>
              </w:rPr>
              <w:t>17</w:t>
            </w:r>
          </w:p>
        </w:tc>
        <w:tc>
          <w:tcPr>
            <w:tcW w:w="4696" w:type="dxa"/>
            <w:tcBorders>
              <w:top w:val="nil"/>
              <w:left w:val="nil"/>
              <w:bottom w:val="single" w:sz="8" w:space="0" w:color="auto"/>
              <w:right w:val="single" w:sz="4"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Federação Paulista de Tênis</w:t>
            </w:r>
          </w:p>
        </w:tc>
        <w:tc>
          <w:tcPr>
            <w:tcW w:w="4616" w:type="dxa"/>
            <w:tcBorders>
              <w:top w:val="nil"/>
              <w:left w:val="nil"/>
              <w:bottom w:val="single" w:sz="8" w:space="0" w:color="auto"/>
              <w:right w:val="single" w:sz="8" w:space="0" w:color="auto"/>
            </w:tcBorders>
            <w:shd w:val="clear" w:color="FFCC00" w:fill="FFFFFF"/>
            <w:vAlign w:val="center"/>
            <w:hideMark/>
          </w:tcPr>
          <w:p w:rsidR="003E6588" w:rsidRDefault="003E6588" w:rsidP="005D4788">
            <w:pPr>
              <w:jc w:val="left"/>
              <w:rPr>
                <w:color w:val="000000"/>
                <w:sz w:val="18"/>
                <w:szCs w:val="18"/>
              </w:rPr>
            </w:pPr>
            <w:r>
              <w:rPr>
                <w:color w:val="000000"/>
                <w:sz w:val="18"/>
                <w:szCs w:val="18"/>
              </w:rPr>
              <w:t xml:space="preserve">Torneio Final Mundial do Circuito </w:t>
            </w:r>
            <w:r>
              <w:rPr>
                <w:i/>
                <w:color w:val="000000"/>
                <w:sz w:val="18"/>
                <w:szCs w:val="18"/>
              </w:rPr>
              <w:t>Challenger</w:t>
            </w:r>
            <w:r>
              <w:rPr>
                <w:color w:val="000000"/>
                <w:sz w:val="18"/>
                <w:szCs w:val="18"/>
              </w:rPr>
              <w:t xml:space="preserve"> de Tênis 2014</w:t>
            </w:r>
          </w:p>
        </w:tc>
      </w:tr>
    </w:tbl>
    <w:p w:rsidR="003E6588" w:rsidRDefault="003E6588">
      <w:pPr>
        <w:rPr>
          <w:color w:val="000000"/>
        </w:rPr>
      </w:pPr>
    </w:p>
    <w:p w:rsidR="003E6588" w:rsidRDefault="003E6588">
      <w:pPr>
        <w:ind w:firstLine="1134"/>
        <w:jc w:val="both"/>
        <w:rPr>
          <w:b/>
          <w:color w:val="000000"/>
        </w:rPr>
      </w:pPr>
      <w:r>
        <w:rPr>
          <w:b/>
          <w:color w:val="000000"/>
        </w:rPr>
        <w:t>Atividades desenvolvidas nos Conjuntos Esportivos</w:t>
      </w:r>
    </w:p>
    <w:p w:rsidR="003E6588" w:rsidRDefault="003E6588">
      <w:pPr>
        <w:pStyle w:val="Corpodetexto"/>
        <w:ind w:firstLine="1134"/>
        <w:jc w:val="both"/>
        <w:rPr>
          <w:color w:val="000000"/>
          <w:szCs w:val="24"/>
        </w:rPr>
      </w:pPr>
    </w:p>
    <w:p w:rsidR="003E6588" w:rsidRDefault="003E6588">
      <w:pPr>
        <w:pStyle w:val="Corpodetexto"/>
        <w:ind w:firstLine="1134"/>
        <w:jc w:val="both"/>
        <w:rPr>
          <w:b w:val="0"/>
          <w:color w:val="000000"/>
        </w:rPr>
      </w:pPr>
      <w:r>
        <w:rPr>
          <w:color w:val="000000"/>
          <w:szCs w:val="24"/>
        </w:rPr>
        <w:t xml:space="preserve">Conjunto Desportivo Constâncio Vaz Guimarães - </w:t>
      </w:r>
      <w:r>
        <w:rPr>
          <w:b w:val="0"/>
          <w:color w:val="000000"/>
        </w:rPr>
        <w:t xml:space="preserve">O Conjunto Desportivo “Constâncio Vaz Guimarães” agrega estrutura que compreende os seguintes espaços: Ginásio Geraldo José de Almeida (Ginásio do Ibirapuera), palco de grandes eventos esportivos e </w:t>
      </w:r>
      <w:r>
        <w:rPr>
          <w:b w:val="0"/>
          <w:i/>
          <w:color w:val="000000"/>
        </w:rPr>
        <w:t>shows</w:t>
      </w:r>
      <w:r>
        <w:rPr>
          <w:b w:val="0"/>
          <w:color w:val="000000"/>
        </w:rPr>
        <w:t xml:space="preserve"> nacionais e internacionais, com capacidade para abrigar 11.000 espectadores; Estádio “Ícaro de Castro Mello”, que abrange campo de futebol e pista de atletismo, com capacidade para abrigar 14.000 espectadores; Conjunto Aquático “Caio Pompeu de Toledo”, capacidade de 6.000 espectadores, com infraestrutura para treinamentos e competições nas modalidades de natação, nado sincronizado, saltos ornamentais e mergulho; Ginásio Poliesportivo “Mauro Pinheiro”, que possui quadra poliesportiva e abriga treinamentos e competições dos cursos realizados para a comunidade e atletas de rendimento dos Projetos Esportivos; “Palácio do Judô”, arena para competições e treinamentos da modalidade para os atletas de rendimento dos Projetos Esportivos; 2 novos ginásios, utilizados para as aulas dos cursos esportivos, treinamentos e competições dos atletas pertencentes aos Projetos Esportivos; Academia de Ginástica para os cursos oferecidos à comunidade; Academia de Ginástica para os atletas que fazem parte dos Projetos Esportivos, Salas de aula para os cursos esportivos oferecidos à comunidade (condicionamento físico, lutas marciais, além do Centro Médico e Fisioterápico para atendimento dos atletas de rendimento.</w:t>
      </w:r>
    </w:p>
    <w:p w:rsidR="003E6588" w:rsidRDefault="003E6588">
      <w:pPr>
        <w:ind w:firstLine="1134"/>
        <w:jc w:val="both"/>
        <w:rPr>
          <w:b/>
          <w:color w:val="000000"/>
        </w:rPr>
      </w:pPr>
    </w:p>
    <w:p w:rsidR="003E6588" w:rsidRDefault="003E6588">
      <w:pPr>
        <w:pStyle w:val="Corpodetexto"/>
        <w:ind w:firstLine="1134"/>
        <w:jc w:val="both"/>
        <w:rPr>
          <w:b w:val="0"/>
          <w:color w:val="000000"/>
          <w:szCs w:val="24"/>
        </w:rPr>
      </w:pPr>
      <w:r>
        <w:rPr>
          <w:color w:val="000000"/>
          <w:szCs w:val="24"/>
        </w:rPr>
        <w:t xml:space="preserve">Vila Olímpica Mario Covas - </w:t>
      </w:r>
      <w:r>
        <w:rPr>
          <w:b w:val="0"/>
          <w:color w:val="000000"/>
          <w:szCs w:val="24"/>
        </w:rPr>
        <w:t xml:space="preserve">Em sua área de 174 mil m², junto à Rodovia Raposo Tavares, contando com 5 quadras poliesportivas, 2 quadras de tênis e áreas cobertas para a prática de tênis de mesa, boxe, </w:t>
      </w:r>
      <w:r>
        <w:rPr>
          <w:b w:val="0"/>
          <w:i/>
          <w:color w:val="000000"/>
          <w:szCs w:val="24"/>
        </w:rPr>
        <w:t>Taekwondo</w:t>
      </w:r>
      <w:r>
        <w:rPr>
          <w:b w:val="0"/>
          <w:color w:val="000000"/>
          <w:szCs w:val="24"/>
        </w:rPr>
        <w:t xml:space="preserve">, </w:t>
      </w:r>
      <w:r>
        <w:rPr>
          <w:b w:val="0"/>
          <w:i/>
          <w:color w:val="000000"/>
          <w:szCs w:val="24"/>
        </w:rPr>
        <w:t>Kickboxing</w:t>
      </w:r>
      <w:r>
        <w:rPr>
          <w:b w:val="0"/>
          <w:color w:val="000000"/>
          <w:szCs w:val="24"/>
        </w:rPr>
        <w:t xml:space="preserve">, judô, </w:t>
      </w:r>
      <w:r w:rsidRPr="005D4788">
        <w:rPr>
          <w:b w:val="0"/>
          <w:i/>
          <w:color w:val="000000"/>
          <w:szCs w:val="24"/>
        </w:rPr>
        <w:t>karate</w:t>
      </w:r>
      <w:r>
        <w:rPr>
          <w:b w:val="0"/>
          <w:color w:val="000000"/>
          <w:szCs w:val="24"/>
        </w:rPr>
        <w:t xml:space="preserve">, </w:t>
      </w:r>
      <w:r>
        <w:rPr>
          <w:b w:val="0"/>
          <w:i/>
          <w:color w:val="000000"/>
          <w:szCs w:val="24"/>
        </w:rPr>
        <w:t>jiu-jitsu</w:t>
      </w:r>
      <w:r>
        <w:rPr>
          <w:b w:val="0"/>
          <w:color w:val="000000"/>
          <w:szCs w:val="24"/>
        </w:rPr>
        <w:t xml:space="preserve">, capoeira, ginástica e balé, a Vila Olímpica Mario Covas, vem atendendo o público na região oeste da Capital, oferecendo projeto esportivo na modalidade de </w:t>
      </w:r>
      <w:r w:rsidRPr="005D4788">
        <w:rPr>
          <w:b w:val="0"/>
          <w:i/>
          <w:color w:val="000000"/>
          <w:szCs w:val="24"/>
        </w:rPr>
        <w:t>Karate</w:t>
      </w:r>
      <w:r>
        <w:rPr>
          <w:b w:val="0"/>
          <w:color w:val="000000"/>
          <w:szCs w:val="24"/>
        </w:rPr>
        <w:t xml:space="preserve"> através do Projeto Lutar e Vencer.</w:t>
      </w:r>
    </w:p>
    <w:p w:rsidR="003E6588" w:rsidRDefault="003E6588">
      <w:pPr>
        <w:ind w:firstLine="1134"/>
        <w:jc w:val="both"/>
        <w:rPr>
          <w:b/>
          <w:bCs/>
          <w:color w:val="000000"/>
          <w:u w:val="single"/>
        </w:rPr>
      </w:pPr>
    </w:p>
    <w:p w:rsidR="003E6588" w:rsidRDefault="003E6588">
      <w:pPr>
        <w:ind w:firstLine="1134"/>
        <w:jc w:val="both"/>
        <w:rPr>
          <w:color w:val="000000"/>
        </w:rPr>
      </w:pPr>
      <w:r>
        <w:rPr>
          <w:b/>
          <w:bCs/>
          <w:color w:val="000000"/>
        </w:rPr>
        <w:lastRenderedPageBreak/>
        <w:t xml:space="preserve">Conjunto Desportivo Baby Barioni - </w:t>
      </w:r>
      <w:r>
        <w:rPr>
          <w:color w:val="000000"/>
        </w:rPr>
        <w:t xml:space="preserve">O Conjunto oferece à comunidade, principalmente da Zona Oeste, piscina semiolímpica, coberta e aquecida, com capacidade para 2.000 pessoas em suas arquibancadas, duas piscinas descobertas, para hidroginástica e aprendizado; possui dois Ginásios Poliesportivos, com capacidade para 1.500 pessoas, salas para melhor idade, dança de salão, capoeira, lutas, </w:t>
      </w:r>
      <w:r>
        <w:rPr>
          <w:i/>
          <w:color w:val="000000"/>
        </w:rPr>
        <w:t>Taekwondo, Kickboxing</w:t>
      </w:r>
      <w:r>
        <w:rPr>
          <w:color w:val="000000"/>
        </w:rPr>
        <w:t xml:space="preserve"> e </w:t>
      </w:r>
      <w:r>
        <w:rPr>
          <w:i/>
          <w:color w:val="000000"/>
        </w:rPr>
        <w:t>Muay Tai</w:t>
      </w:r>
      <w:r>
        <w:rPr>
          <w:color w:val="000000"/>
        </w:rPr>
        <w:t xml:space="preserve">, musculação, pintura e </w:t>
      </w:r>
      <w:r>
        <w:rPr>
          <w:i/>
          <w:color w:val="000000"/>
        </w:rPr>
        <w:t>internet</w:t>
      </w:r>
      <w:r>
        <w:rPr>
          <w:color w:val="000000"/>
        </w:rPr>
        <w:t xml:space="preserve"> - Acessa São Paulo. O alojamento tem capacidade para 400 pessoas.</w:t>
      </w:r>
    </w:p>
    <w:p w:rsidR="003E6588" w:rsidRDefault="003E6588" w:rsidP="002C70E2">
      <w:pPr>
        <w:ind w:firstLine="1134"/>
        <w:jc w:val="both"/>
        <w:rPr>
          <w:color w:val="000000"/>
        </w:rPr>
      </w:pPr>
    </w:p>
    <w:p w:rsidR="003E6588" w:rsidRDefault="003E6588">
      <w:pPr>
        <w:ind w:firstLine="1134"/>
        <w:jc w:val="both"/>
        <w:rPr>
          <w:color w:val="000000"/>
        </w:rPr>
      </w:pPr>
      <w:r>
        <w:rPr>
          <w:color w:val="000000"/>
        </w:rPr>
        <w:t>Foram iniciados reforma, restauro, adaptação e acessibilidade do Conjunto Desportivo.</w:t>
      </w:r>
    </w:p>
    <w:p w:rsidR="003E6588" w:rsidRDefault="003E6588">
      <w:pPr>
        <w:ind w:firstLine="1134"/>
        <w:jc w:val="both"/>
        <w:rPr>
          <w:strike/>
          <w:color w:val="000000"/>
        </w:rPr>
      </w:pPr>
    </w:p>
    <w:p w:rsidR="003E6588" w:rsidRDefault="003E6588">
      <w:pPr>
        <w:ind w:firstLine="1134"/>
        <w:jc w:val="both"/>
        <w:rPr>
          <w:strike/>
          <w:color w:val="000000"/>
        </w:rPr>
      </w:pPr>
      <w:r>
        <w:rPr>
          <w:b/>
          <w:color w:val="000000"/>
        </w:rPr>
        <w:t xml:space="preserve">Centros Sociais Urbanos - CSU - </w:t>
      </w:r>
      <w:r>
        <w:rPr>
          <w:color w:val="000000"/>
        </w:rPr>
        <w:t>A SELJ disponibiliza o Centro Social Urbano - CSU, tendo em vista que os demais foram doado, desativado ou assinado Termo de Permissão de Uso, visando o interesse público e melhor aproveitamento dos referidos centros.</w:t>
      </w:r>
    </w:p>
    <w:p w:rsidR="003E6588" w:rsidRDefault="003E6588" w:rsidP="002C70E2">
      <w:pPr>
        <w:ind w:firstLine="1134"/>
        <w:jc w:val="both"/>
        <w:rPr>
          <w:strike/>
          <w:color w:val="000000"/>
        </w:rPr>
      </w:pPr>
    </w:p>
    <w:p w:rsidR="003E6588" w:rsidRDefault="003E6588">
      <w:pPr>
        <w:ind w:firstLine="1134"/>
        <w:jc w:val="both"/>
        <w:rPr>
          <w:color w:val="000000"/>
        </w:rPr>
      </w:pPr>
      <w:r>
        <w:rPr>
          <w:b/>
          <w:bCs/>
          <w:color w:val="000000"/>
          <w:shd w:val="clear" w:color="auto" w:fill="FFFFFF"/>
        </w:rPr>
        <w:t>Centros de Excelência Esportiva do Estado de São Paulo</w:t>
      </w:r>
      <w:r w:rsidR="00123C69">
        <w:rPr>
          <w:b/>
          <w:bCs/>
          <w:color w:val="000000"/>
          <w:shd w:val="clear" w:color="auto" w:fill="FFFFFF"/>
        </w:rPr>
        <w:t xml:space="preserve"> </w:t>
      </w:r>
      <w:r>
        <w:rPr>
          <w:b/>
          <w:bCs/>
          <w:color w:val="000000"/>
          <w:shd w:val="clear" w:color="auto" w:fill="FFFFFF"/>
        </w:rPr>
        <w:t xml:space="preserve">- </w:t>
      </w:r>
      <w:r>
        <w:rPr>
          <w:color w:val="000000"/>
        </w:rPr>
        <w:t>Tradicional programa de excelência esportiva, oriundo do antigo “Projeto Futuro”, vem oferecendo oportunidades para inúmeros atletas paulistas que despontam no cenário do esporte paulista, nacional e internacional como jovens talentos.</w:t>
      </w:r>
    </w:p>
    <w:p w:rsidR="003E6588" w:rsidRDefault="003E6588">
      <w:pPr>
        <w:ind w:firstLine="1134"/>
        <w:jc w:val="both"/>
        <w:rPr>
          <w:color w:val="000000"/>
        </w:rPr>
      </w:pPr>
    </w:p>
    <w:p w:rsidR="003E6588" w:rsidRDefault="003E6588">
      <w:pPr>
        <w:ind w:firstLine="1134"/>
        <w:jc w:val="both"/>
        <w:rPr>
          <w:b/>
          <w:bCs/>
          <w:color w:val="000000"/>
        </w:rPr>
      </w:pPr>
      <w:r>
        <w:rPr>
          <w:color w:val="000000"/>
        </w:rPr>
        <w:t>O Programa “Centro de Excelência” cresceu de forma expressiva no Estado. Saltamos de para 33 Núcleos em funcionamento, possibilitando atender 2.200 jovens e promissores atletas do Estado.</w:t>
      </w:r>
    </w:p>
    <w:p w:rsidR="003E6588" w:rsidRDefault="003E6588" w:rsidP="002C70E2">
      <w:pPr>
        <w:shd w:val="clear" w:color="auto" w:fill="FFFFFF"/>
        <w:ind w:firstLine="1134"/>
        <w:jc w:val="left"/>
        <w:rPr>
          <w:color w:val="000000"/>
        </w:rPr>
      </w:pPr>
    </w:p>
    <w:p w:rsidR="003E6588" w:rsidRDefault="003E6588" w:rsidP="002C70E2">
      <w:pPr>
        <w:shd w:val="clear" w:color="auto" w:fill="FFFFFF"/>
        <w:ind w:firstLine="1134"/>
        <w:jc w:val="both"/>
        <w:rPr>
          <w:color w:val="000000"/>
        </w:rPr>
      </w:pPr>
      <w:r>
        <w:rPr>
          <w:b/>
          <w:color w:val="000000"/>
        </w:rPr>
        <w:t>Modalidades -</w:t>
      </w:r>
      <w:r>
        <w:rPr>
          <w:color w:val="000000"/>
        </w:rPr>
        <w:t xml:space="preserve"> Futebol/Tênis de Mesa/Natação/Voleibol/Atletismo/Basquete/Ciclismo/ Judô.</w:t>
      </w:r>
    </w:p>
    <w:p w:rsidR="003E6588" w:rsidRDefault="003E6588" w:rsidP="002C70E2">
      <w:pPr>
        <w:shd w:val="clear" w:color="auto" w:fill="FFFFFF"/>
        <w:ind w:left="142" w:firstLine="1134"/>
        <w:jc w:val="both"/>
        <w:rPr>
          <w:color w:val="000000"/>
        </w:rPr>
      </w:pPr>
    </w:p>
    <w:p w:rsidR="003E6588" w:rsidRDefault="003E6588" w:rsidP="002C70E2">
      <w:pPr>
        <w:shd w:val="clear" w:color="auto" w:fill="FFFFFF"/>
        <w:ind w:firstLine="1134"/>
        <w:jc w:val="both"/>
        <w:rPr>
          <w:color w:val="000000"/>
        </w:rPr>
      </w:pPr>
      <w:r>
        <w:rPr>
          <w:color w:val="000000"/>
        </w:rPr>
        <w:t>Na cidade de São Paulo, temos hoje:</w:t>
      </w:r>
    </w:p>
    <w:p w:rsidR="003E6588" w:rsidRDefault="003E6588" w:rsidP="002C70E2">
      <w:pPr>
        <w:shd w:val="clear" w:color="auto" w:fill="FFFFFF"/>
        <w:ind w:left="142" w:firstLine="1134"/>
        <w:jc w:val="both"/>
        <w:rPr>
          <w:color w:val="000000"/>
        </w:rPr>
      </w:pPr>
    </w:p>
    <w:p w:rsidR="003E6588" w:rsidRDefault="003E6588" w:rsidP="002C70E2">
      <w:pPr>
        <w:shd w:val="clear" w:color="auto" w:fill="FFFFFF"/>
        <w:ind w:firstLine="1134"/>
        <w:jc w:val="both"/>
        <w:rPr>
          <w:color w:val="000000"/>
        </w:rPr>
      </w:pPr>
      <w:r>
        <w:rPr>
          <w:b/>
          <w:bCs/>
          <w:color w:val="000000"/>
        </w:rPr>
        <w:t>Projeto Centro de Treinamento Base</w:t>
      </w:r>
      <w:r>
        <w:rPr>
          <w:color w:val="000000"/>
        </w:rPr>
        <w:t>, nas modalidades coletivas: Futebol, Basquetebol e Tênis de Mesa.</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bCs/>
          <w:color w:val="000000"/>
        </w:rPr>
      </w:pPr>
      <w:r>
        <w:rPr>
          <w:bCs/>
          <w:color w:val="000000"/>
        </w:rPr>
        <w:t>Núcleos Centro de Excelência de Basquete</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Núcleos Centro Excelência de Atletismo</w:t>
      </w:r>
      <w:r>
        <w:rPr>
          <w:color w:val="000000"/>
        </w:rPr>
        <w:t>.</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bCs/>
          <w:color w:val="000000"/>
        </w:rPr>
      </w:pPr>
      <w:r>
        <w:rPr>
          <w:bCs/>
          <w:color w:val="000000"/>
        </w:rPr>
        <w:t>Núcleos Centro Excelência de Judô.</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bCs/>
          <w:color w:val="000000"/>
        </w:rPr>
      </w:pPr>
      <w:r>
        <w:rPr>
          <w:bCs/>
          <w:color w:val="000000"/>
        </w:rPr>
        <w:t>Núcleos Centro de Excelência de Ciclismo.</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bCs/>
          <w:color w:val="000000"/>
        </w:rPr>
      </w:pPr>
      <w:r>
        <w:rPr>
          <w:bCs/>
          <w:color w:val="000000"/>
        </w:rPr>
        <w:t>Núcleos Centro Excelência de Natação Votuporanga e São Paulo.</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bCs/>
          <w:color w:val="000000"/>
        </w:rPr>
      </w:pPr>
      <w:r>
        <w:rPr>
          <w:bCs/>
          <w:color w:val="000000"/>
        </w:rPr>
        <w:t>Núcleos Centro de Excelência de Voleibol - São Paulo e São Caetano.</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b/>
          <w:bCs/>
          <w:color w:val="000000"/>
        </w:rPr>
      </w:pPr>
    </w:p>
    <w:tbl>
      <w:tblPr>
        <w:tblW w:w="6066" w:type="dxa"/>
        <w:jc w:val="center"/>
        <w:tblInd w:w="132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4054"/>
        <w:gridCol w:w="2012"/>
      </w:tblGrid>
      <w:tr w:rsidR="003E6588" w:rsidTr="00123C69">
        <w:trPr>
          <w:trHeight w:val="41"/>
          <w:jc w:val="center"/>
        </w:trPr>
        <w:tc>
          <w:tcPr>
            <w:tcW w:w="4054" w:type="dxa"/>
            <w:shd w:val="clear" w:color="auto" w:fill="auto"/>
            <w:noWrap/>
            <w:vAlign w:val="center"/>
            <w:hideMark/>
          </w:tcPr>
          <w:p w:rsidR="003E6588" w:rsidRDefault="003E6588">
            <w:pPr>
              <w:rPr>
                <w:iCs/>
                <w:color w:val="000000"/>
                <w:sz w:val="20"/>
                <w:szCs w:val="20"/>
              </w:rPr>
            </w:pPr>
            <w:r>
              <w:rPr>
                <w:iCs/>
                <w:color w:val="000000"/>
                <w:sz w:val="20"/>
                <w:szCs w:val="20"/>
              </w:rPr>
              <w:lastRenderedPageBreak/>
              <w:t>Resumo Geral dos Processos</w:t>
            </w:r>
          </w:p>
        </w:tc>
        <w:tc>
          <w:tcPr>
            <w:tcW w:w="2012" w:type="dxa"/>
            <w:shd w:val="clear" w:color="auto" w:fill="auto"/>
            <w:noWrap/>
            <w:vAlign w:val="bottom"/>
            <w:hideMark/>
          </w:tcPr>
          <w:p w:rsidR="003E6588" w:rsidRDefault="003E6588">
            <w:pPr>
              <w:rPr>
                <w:color w:val="000000"/>
                <w:sz w:val="20"/>
                <w:szCs w:val="20"/>
              </w:rPr>
            </w:pPr>
          </w:p>
        </w:tc>
      </w:tr>
      <w:tr w:rsidR="003E6588" w:rsidTr="00123C69">
        <w:trPr>
          <w:trHeight w:val="73"/>
          <w:jc w:val="center"/>
        </w:trPr>
        <w:tc>
          <w:tcPr>
            <w:tcW w:w="4054" w:type="dxa"/>
            <w:shd w:val="clear" w:color="auto" w:fill="auto"/>
            <w:noWrap/>
            <w:vAlign w:val="center"/>
            <w:hideMark/>
          </w:tcPr>
          <w:p w:rsidR="003E6588" w:rsidRDefault="003E6588">
            <w:pPr>
              <w:rPr>
                <w:b/>
                <w:bCs/>
                <w:iCs/>
                <w:color w:val="000000"/>
                <w:sz w:val="20"/>
                <w:szCs w:val="20"/>
              </w:rPr>
            </w:pPr>
            <w:r>
              <w:rPr>
                <w:b/>
                <w:bCs/>
                <w:iCs/>
                <w:color w:val="000000"/>
                <w:sz w:val="20"/>
                <w:szCs w:val="20"/>
              </w:rPr>
              <w:t>Núcleos em Andamento</w:t>
            </w:r>
          </w:p>
        </w:tc>
        <w:tc>
          <w:tcPr>
            <w:tcW w:w="2012" w:type="dxa"/>
            <w:shd w:val="clear" w:color="auto" w:fill="auto"/>
            <w:noWrap/>
            <w:vAlign w:val="bottom"/>
            <w:hideMark/>
          </w:tcPr>
          <w:p w:rsidR="003E6588" w:rsidRDefault="003E6588">
            <w:pPr>
              <w:rPr>
                <w:color w:val="000000"/>
                <w:sz w:val="20"/>
                <w:szCs w:val="20"/>
              </w:rPr>
            </w:pPr>
          </w:p>
        </w:tc>
      </w:tr>
      <w:tr w:rsidR="003E6588" w:rsidTr="00123C69">
        <w:trPr>
          <w:trHeight w:val="105"/>
          <w:jc w:val="center"/>
        </w:trPr>
        <w:tc>
          <w:tcPr>
            <w:tcW w:w="4054" w:type="dxa"/>
            <w:shd w:val="clear" w:color="auto" w:fill="auto"/>
            <w:noWrap/>
            <w:vAlign w:val="center"/>
            <w:hideMark/>
          </w:tcPr>
          <w:p w:rsidR="003E6588" w:rsidRDefault="003E6588">
            <w:pPr>
              <w:rPr>
                <w:color w:val="000000"/>
                <w:sz w:val="20"/>
                <w:szCs w:val="20"/>
              </w:rPr>
            </w:pPr>
            <w:r>
              <w:rPr>
                <w:color w:val="000000"/>
                <w:sz w:val="20"/>
                <w:szCs w:val="20"/>
              </w:rPr>
              <w:t>Total de Números de Beneficiários</w:t>
            </w:r>
          </w:p>
        </w:tc>
        <w:tc>
          <w:tcPr>
            <w:tcW w:w="2012" w:type="dxa"/>
            <w:shd w:val="clear" w:color="auto" w:fill="auto"/>
            <w:noWrap/>
            <w:vAlign w:val="center"/>
            <w:hideMark/>
          </w:tcPr>
          <w:p w:rsidR="003E6588" w:rsidRDefault="003E6588">
            <w:pPr>
              <w:rPr>
                <w:color w:val="000000"/>
                <w:sz w:val="20"/>
                <w:szCs w:val="20"/>
              </w:rPr>
            </w:pPr>
            <w:r>
              <w:rPr>
                <w:color w:val="000000"/>
                <w:sz w:val="20"/>
                <w:szCs w:val="20"/>
              </w:rPr>
              <w:t>2200</w:t>
            </w:r>
          </w:p>
        </w:tc>
      </w:tr>
      <w:tr w:rsidR="003E6588" w:rsidTr="00123C69">
        <w:trPr>
          <w:trHeight w:val="34"/>
          <w:jc w:val="center"/>
        </w:trPr>
        <w:tc>
          <w:tcPr>
            <w:tcW w:w="4054" w:type="dxa"/>
            <w:shd w:val="clear" w:color="auto" w:fill="auto"/>
            <w:noWrap/>
            <w:vAlign w:val="center"/>
            <w:hideMark/>
          </w:tcPr>
          <w:p w:rsidR="003E6588" w:rsidRDefault="003E6588">
            <w:pPr>
              <w:rPr>
                <w:color w:val="000000"/>
                <w:sz w:val="20"/>
                <w:szCs w:val="20"/>
              </w:rPr>
            </w:pPr>
            <w:r>
              <w:rPr>
                <w:color w:val="000000"/>
                <w:sz w:val="20"/>
                <w:szCs w:val="20"/>
              </w:rPr>
              <w:t>Total Núcleos Atendidos</w:t>
            </w:r>
          </w:p>
        </w:tc>
        <w:tc>
          <w:tcPr>
            <w:tcW w:w="2012" w:type="dxa"/>
            <w:shd w:val="clear" w:color="auto" w:fill="auto"/>
            <w:noWrap/>
            <w:vAlign w:val="center"/>
            <w:hideMark/>
          </w:tcPr>
          <w:p w:rsidR="003E6588" w:rsidRDefault="003E6588">
            <w:pPr>
              <w:rPr>
                <w:color w:val="000000"/>
                <w:sz w:val="20"/>
                <w:szCs w:val="20"/>
              </w:rPr>
            </w:pPr>
            <w:r>
              <w:rPr>
                <w:color w:val="000000"/>
                <w:sz w:val="20"/>
                <w:szCs w:val="20"/>
              </w:rPr>
              <w:t>33</w:t>
            </w:r>
          </w:p>
        </w:tc>
      </w:tr>
      <w:tr w:rsidR="003E6588" w:rsidTr="00123C69">
        <w:trPr>
          <w:trHeight w:val="34"/>
          <w:jc w:val="center"/>
        </w:trPr>
        <w:tc>
          <w:tcPr>
            <w:tcW w:w="4054" w:type="dxa"/>
            <w:shd w:val="clear" w:color="auto" w:fill="auto"/>
            <w:noWrap/>
            <w:vAlign w:val="center"/>
            <w:hideMark/>
          </w:tcPr>
          <w:p w:rsidR="003E6588" w:rsidRDefault="003E6588">
            <w:pPr>
              <w:rPr>
                <w:color w:val="000000"/>
                <w:sz w:val="20"/>
                <w:szCs w:val="20"/>
              </w:rPr>
            </w:pPr>
            <w:r>
              <w:rPr>
                <w:color w:val="000000"/>
                <w:sz w:val="20"/>
                <w:szCs w:val="20"/>
              </w:rPr>
              <w:t>Total de Modalidades Oferecidas</w:t>
            </w:r>
          </w:p>
        </w:tc>
        <w:tc>
          <w:tcPr>
            <w:tcW w:w="2012" w:type="dxa"/>
            <w:shd w:val="clear" w:color="auto" w:fill="auto"/>
            <w:noWrap/>
            <w:vAlign w:val="center"/>
            <w:hideMark/>
          </w:tcPr>
          <w:p w:rsidR="003E6588" w:rsidRDefault="003E6588">
            <w:pPr>
              <w:rPr>
                <w:color w:val="000000"/>
                <w:sz w:val="20"/>
                <w:szCs w:val="20"/>
              </w:rPr>
            </w:pPr>
            <w:r>
              <w:rPr>
                <w:color w:val="000000"/>
                <w:sz w:val="20"/>
                <w:szCs w:val="20"/>
              </w:rPr>
              <w:t>8</w:t>
            </w:r>
          </w:p>
        </w:tc>
      </w:tr>
      <w:tr w:rsidR="003E6588" w:rsidTr="00123C69">
        <w:trPr>
          <w:trHeight w:val="57"/>
          <w:jc w:val="center"/>
        </w:trPr>
        <w:tc>
          <w:tcPr>
            <w:tcW w:w="4054" w:type="dxa"/>
            <w:shd w:val="clear" w:color="auto" w:fill="auto"/>
            <w:noWrap/>
            <w:vAlign w:val="center"/>
            <w:hideMark/>
          </w:tcPr>
          <w:p w:rsidR="003E6588" w:rsidRDefault="003E6588">
            <w:pPr>
              <w:rPr>
                <w:b/>
                <w:bCs/>
                <w:iCs/>
                <w:color w:val="000000"/>
                <w:sz w:val="20"/>
                <w:szCs w:val="20"/>
              </w:rPr>
            </w:pPr>
            <w:r>
              <w:rPr>
                <w:b/>
                <w:bCs/>
                <w:iCs/>
                <w:color w:val="000000"/>
                <w:sz w:val="20"/>
                <w:szCs w:val="20"/>
              </w:rPr>
              <w:t>Total de Núcleos por Região</w:t>
            </w:r>
          </w:p>
        </w:tc>
        <w:tc>
          <w:tcPr>
            <w:tcW w:w="2012" w:type="dxa"/>
            <w:shd w:val="clear" w:color="auto" w:fill="auto"/>
            <w:noWrap/>
            <w:vAlign w:val="bottom"/>
            <w:hideMark/>
          </w:tcPr>
          <w:p w:rsidR="003E6588" w:rsidRDefault="003E6588">
            <w:pPr>
              <w:rPr>
                <w:color w:val="000000"/>
                <w:sz w:val="20"/>
                <w:szCs w:val="20"/>
              </w:rPr>
            </w:pPr>
          </w:p>
        </w:tc>
      </w:tr>
      <w:tr w:rsidR="003E6588" w:rsidTr="00123C69">
        <w:trPr>
          <w:trHeight w:val="90"/>
          <w:jc w:val="center"/>
        </w:trPr>
        <w:tc>
          <w:tcPr>
            <w:tcW w:w="4054" w:type="dxa"/>
            <w:shd w:val="clear" w:color="auto" w:fill="auto"/>
            <w:noWrap/>
            <w:vAlign w:val="center"/>
            <w:hideMark/>
          </w:tcPr>
          <w:p w:rsidR="003E6588" w:rsidRDefault="003E6588">
            <w:pPr>
              <w:rPr>
                <w:color w:val="000000"/>
                <w:sz w:val="20"/>
                <w:szCs w:val="20"/>
              </w:rPr>
            </w:pPr>
            <w:r>
              <w:rPr>
                <w:color w:val="000000"/>
                <w:sz w:val="20"/>
                <w:szCs w:val="20"/>
              </w:rPr>
              <w:t xml:space="preserve">Total de Núcleos no </w:t>
            </w:r>
            <w:r>
              <w:rPr>
                <w:b/>
                <w:bCs/>
                <w:color w:val="000000"/>
                <w:sz w:val="20"/>
                <w:szCs w:val="20"/>
              </w:rPr>
              <w:t>Litoral</w:t>
            </w:r>
          </w:p>
        </w:tc>
        <w:tc>
          <w:tcPr>
            <w:tcW w:w="2012" w:type="dxa"/>
            <w:shd w:val="clear" w:color="auto" w:fill="auto"/>
            <w:noWrap/>
            <w:vAlign w:val="center"/>
            <w:hideMark/>
          </w:tcPr>
          <w:p w:rsidR="003E6588" w:rsidRDefault="003E6588">
            <w:pPr>
              <w:rPr>
                <w:color w:val="000000"/>
                <w:sz w:val="20"/>
                <w:szCs w:val="20"/>
              </w:rPr>
            </w:pPr>
            <w:r>
              <w:rPr>
                <w:color w:val="000000"/>
                <w:sz w:val="20"/>
                <w:szCs w:val="20"/>
              </w:rPr>
              <w:t>5</w:t>
            </w:r>
          </w:p>
        </w:tc>
      </w:tr>
      <w:tr w:rsidR="003E6588" w:rsidTr="00123C69">
        <w:trPr>
          <w:trHeight w:val="122"/>
          <w:jc w:val="center"/>
        </w:trPr>
        <w:tc>
          <w:tcPr>
            <w:tcW w:w="4054" w:type="dxa"/>
            <w:shd w:val="clear" w:color="auto" w:fill="auto"/>
            <w:noWrap/>
            <w:vAlign w:val="center"/>
            <w:hideMark/>
          </w:tcPr>
          <w:p w:rsidR="003E6588" w:rsidRDefault="003E6588">
            <w:pPr>
              <w:rPr>
                <w:color w:val="000000"/>
                <w:sz w:val="20"/>
                <w:szCs w:val="20"/>
              </w:rPr>
            </w:pPr>
            <w:r>
              <w:rPr>
                <w:color w:val="000000"/>
                <w:sz w:val="20"/>
                <w:szCs w:val="20"/>
              </w:rPr>
              <w:t xml:space="preserve">Total de Núcleos no </w:t>
            </w:r>
            <w:r>
              <w:rPr>
                <w:b/>
                <w:bCs/>
                <w:color w:val="000000"/>
                <w:sz w:val="20"/>
                <w:szCs w:val="20"/>
              </w:rPr>
              <w:t>Interior</w:t>
            </w:r>
          </w:p>
        </w:tc>
        <w:tc>
          <w:tcPr>
            <w:tcW w:w="2012" w:type="dxa"/>
            <w:shd w:val="clear" w:color="auto" w:fill="auto"/>
            <w:noWrap/>
            <w:vAlign w:val="center"/>
            <w:hideMark/>
          </w:tcPr>
          <w:p w:rsidR="003E6588" w:rsidRDefault="003E6588">
            <w:pPr>
              <w:rPr>
                <w:color w:val="000000"/>
                <w:sz w:val="20"/>
                <w:szCs w:val="20"/>
              </w:rPr>
            </w:pPr>
            <w:r>
              <w:rPr>
                <w:color w:val="000000"/>
                <w:sz w:val="20"/>
                <w:szCs w:val="20"/>
              </w:rPr>
              <w:t>19</w:t>
            </w:r>
          </w:p>
        </w:tc>
      </w:tr>
      <w:tr w:rsidR="003E6588" w:rsidTr="00123C69">
        <w:trPr>
          <w:trHeight w:val="34"/>
          <w:jc w:val="center"/>
        </w:trPr>
        <w:tc>
          <w:tcPr>
            <w:tcW w:w="4054" w:type="dxa"/>
            <w:shd w:val="clear" w:color="auto" w:fill="auto"/>
            <w:noWrap/>
            <w:vAlign w:val="center"/>
            <w:hideMark/>
          </w:tcPr>
          <w:p w:rsidR="003E6588" w:rsidRDefault="003E6588">
            <w:pPr>
              <w:rPr>
                <w:color w:val="000000"/>
                <w:sz w:val="20"/>
                <w:szCs w:val="20"/>
              </w:rPr>
            </w:pPr>
            <w:r>
              <w:rPr>
                <w:color w:val="000000"/>
                <w:sz w:val="20"/>
                <w:szCs w:val="20"/>
              </w:rPr>
              <w:t xml:space="preserve">Total de Núcleos na </w:t>
            </w:r>
            <w:r>
              <w:rPr>
                <w:b/>
                <w:bCs/>
                <w:color w:val="000000"/>
                <w:sz w:val="20"/>
                <w:szCs w:val="20"/>
              </w:rPr>
              <w:t>Capital</w:t>
            </w:r>
          </w:p>
        </w:tc>
        <w:tc>
          <w:tcPr>
            <w:tcW w:w="2012" w:type="dxa"/>
            <w:shd w:val="clear" w:color="auto" w:fill="auto"/>
            <w:noWrap/>
            <w:vAlign w:val="center"/>
            <w:hideMark/>
          </w:tcPr>
          <w:p w:rsidR="003E6588" w:rsidRDefault="003E6588">
            <w:pPr>
              <w:rPr>
                <w:color w:val="000000"/>
                <w:sz w:val="20"/>
                <w:szCs w:val="20"/>
              </w:rPr>
            </w:pPr>
            <w:r>
              <w:rPr>
                <w:color w:val="000000"/>
                <w:sz w:val="20"/>
                <w:szCs w:val="20"/>
              </w:rPr>
              <w:t>9</w:t>
            </w:r>
          </w:p>
        </w:tc>
      </w:tr>
      <w:tr w:rsidR="003E6588" w:rsidRPr="00123C69" w:rsidTr="00123C69">
        <w:trPr>
          <w:trHeight w:val="44"/>
          <w:jc w:val="center"/>
        </w:trPr>
        <w:tc>
          <w:tcPr>
            <w:tcW w:w="4054" w:type="dxa"/>
            <w:shd w:val="clear" w:color="auto" w:fill="auto"/>
            <w:noWrap/>
            <w:vAlign w:val="center"/>
            <w:hideMark/>
          </w:tcPr>
          <w:p w:rsidR="003E6588" w:rsidRDefault="003E6588">
            <w:pPr>
              <w:rPr>
                <w:b/>
                <w:bCs/>
                <w:iCs/>
                <w:color w:val="000000"/>
                <w:sz w:val="20"/>
                <w:szCs w:val="20"/>
              </w:rPr>
            </w:pPr>
            <w:r>
              <w:rPr>
                <w:b/>
                <w:bCs/>
                <w:iCs/>
                <w:color w:val="000000"/>
                <w:sz w:val="20"/>
                <w:szCs w:val="20"/>
              </w:rPr>
              <w:t>Total de Recursos Estaduais</w:t>
            </w:r>
          </w:p>
        </w:tc>
        <w:tc>
          <w:tcPr>
            <w:tcW w:w="2012" w:type="dxa"/>
            <w:shd w:val="clear" w:color="auto" w:fill="auto"/>
            <w:noWrap/>
            <w:vAlign w:val="center"/>
            <w:hideMark/>
          </w:tcPr>
          <w:p w:rsidR="003E6588" w:rsidRPr="00123C69" w:rsidRDefault="003E6588">
            <w:pPr>
              <w:rPr>
                <w:b/>
                <w:bCs/>
                <w:iCs/>
                <w:color w:val="000000"/>
                <w:sz w:val="20"/>
                <w:szCs w:val="20"/>
              </w:rPr>
            </w:pPr>
            <w:r w:rsidRPr="00123C69">
              <w:rPr>
                <w:b/>
                <w:bCs/>
                <w:iCs/>
                <w:color w:val="000000"/>
                <w:sz w:val="20"/>
                <w:szCs w:val="20"/>
              </w:rPr>
              <w:t>R$ 14,6 milhões</w:t>
            </w:r>
          </w:p>
        </w:tc>
      </w:tr>
    </w:tbl>
    <w:p w:rsidR="003E6588" w:rsidRDefault="003E6588" w:rsidP="00123C69">
      <w:pPr>
        <w:shd w:val="clear" w:color="auto" w:fill="FFFFFF"/>
        <w:tabs>
          <w:tab w:val="left" w:pos="426"/>
        </w:tabs>
        <w:ind w:left="1134" w:firstLine="1134"/>
        <w:jc w:val="both"/>
        <w:rPr>
          <w:b/>
          <w:bCs/>
          <w:color w:val="000000"/>
          <w:u w:val="single"/>
        </w:rPr>
      </w:pPr>
    </w:p>
    <w:p w:rsidR="003E6588" w:rsidRDefault="003E6588">
      <w:pPr>
        <w:shd w:val="clear" w:color="auto" w:fill="FFFFFF"/>
        <w:tabs>
          <w:tab w:val="left" w:pos="426"/>
        </w:tabs>
        <w:ind w:firstLine="1134"/>
        <w:jc w:val="both"/>
        <w:rPr>
          <w:b/>
          <w:bCs/>
          <w:color w:val="000000"/>
        </w:rPr>
      </w:pPr>
      <w:r>
        <w:rPr>
          <w:b/>
          <w:bCs/>
          <w:color w:val="000000"/>
        </w:rPr>
        <w:t>Resumo dos Núcleos por Modalidades</w:t>
      </w:r>
    </w:p>
    <w:p w:rsidR="003E6588" w:rsidRDefault="003E6588">
      <w:pPr>
        <w:shd w:val="clear" w:color="auto" w:fill="FFFFFF"/>
        <w:tabs>
          <w:tab w:val="left" w:pos="426"/>
        </w:tabs>
        <w:ind w:firstLine="1134"/>
        <w:jc w:val="both"/>
        <w:rPr>
          <w:b/>
          <w:bCs/>
          <w:color w:val="000000"/>
        </w:rPr>
      </w:pPr>
    </w:p>
    <w:p w:rsidR="003E6588" w:rsidRDefault="003E6588" w:rsidP="002C70E2">
      <w:pPr>
        <w:shd w:val="clear" w:color="auto" w:fill="FFFFFF"/>
        <w:ind w:firstLine="1134"/>
        <w:jc w:val="both"/>
        <w:rPr>
          <w:b/>
          <w:bCs/>
          <w:color w:val="000000"/>
        </w:rPr>
      </w:pPr>
      <w:r>
        <w:rPr>
          <w:b/>
          <w:bCs/>
          <w:color w:val="000000"/>
        </w:rPr>
        <w:t xml:space="preserve">Atletismo - </w:t>
      </w:r>
      <w:r>
        <w:rPr>
          <w:bCs/>
          <w:color w:val="000000"/>
        </w:rPr>
        <w:t>615 Beneficiários</w:t>
      </w:r>
    </w:p>
    <w:p w:rsidR="003E6588" w:rsidRDefault="003E6588" w:rsidP="002C70E2">
      <w:pPr>
        <w:shd w:val="clear" w:color="auto" w:fill="FFFFFF"/>
        <w:ind w:firstLine="1134"/>
        <w:jc w:val="both"/>
        <w:rPr>
          <w:b/>
          <w:bCs/>
          <w:color w:val="000000"/>
        </w:rPr>
      </w:pPr>
    </w:p>
    <w:p w:rsidR="003E6588" w:rsidRDefault="003E6588" w:rsidP="002C70E2">
      <w:pPr>
        <w:shd w:val="clear" w:color="auto" w:fill="FFFFFF"/>
        <w:ind w:firstLine="1134"/>
        <w:jc w:val="both"/>
        <w:rPr>
          <w:color w:val="000000"/>
        </w:rPr>
      </w:pPr>
      <w:r>
        <w:rPr>
          <w:bCs/>
          <w:color w:val="000000"/>
        </w:rPr>
        <w:t xml:space="preserve">Núcleo Presidente Prudente - </w:t>
      </w:r>
      <w:r>
        <w:rPr>
          <w:color w:val="000000"/>
        </w:rPr>
        <w:t>35 atletas</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 xml:space="preserve">Núcleo Piracicaba - </w:t>
      </w:r>
      <w:r>
        <w:rPr>
          <w:color w:val="000000"/>
        </w:rPr>
        <w:t>35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 xml:space="preserve">Núcleo Sertãozinho - </w:t>
      </w:r>
      <w:r>
        <w:rPr>
          <w:color w:val="000000"/>
        </w:rPr>
        <w:t>35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 xml:space="preserve">Núcleo Campinas - </w:t>
      </w:r>
      <w:r>
        <w:rPr>
          <w:color w:val="000000"/>
        </w:rPr>
        <w:t>35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 xml:space="preserve">Núcleo São José do Rio Preto - </w:t>
      </w:r>
      <w:r>
        <w:rPr>
          <w:color w:val="000000"/>
        </w:rPr>
        <w:t>35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Praia Grande -</w:t>
      </w:r>
      <w:r>
        <w:rPr>
          <w:color w:val="000000"/>
        </w:rPr>
        <w:t xml:space="preserve"> 20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Cubatão -</w:t>
      </w:r>
      <w:r>
        <w:rPr>
          <w:color w:val="000000"/>
        </w:rPr>
        <w:t xml:space="preserve"> 20 atletas</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 xml:space="preserve">Núcleo São José dos Campos - </w:t>
      </w:r>
      <w:r>
        <w:rPr>
          <w:color w:val="000000"/>
        </w:rPr>
        <w:t>20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 xml:space="preserve">Núcleo Itapetininga - </w:t>
      </w:r>
      <w:r>
        <w:rPr>
          <w:color w:val="000000"/>
        </w:rPr>
        <w:t>20 atletas</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Núcleo Guarulhos -</w:t>
      </w:r>
      <w:r>
        <w:rPr>
          <w:color w:val="000000"/>
        </w:rPr>
        <w:t xml:space="preserve"> 50 atletas</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Núcleo Osasco -</w:t>
      </w:r>
      <w:r>
        <w:rPr>
          <w:color w:val="000000"/>
        </w:rPr>
        <w:t xml:space="preserve"> 50 atletas</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Núcleo Taubaté -</w:t>
      </w:r>
      <w:r>
        <w:rPr>
          <w:color w:val="000000"/>
        </w:rPr>
        <w:t xml:space="preserve"> 50 atletas</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Núcleo São Bernardo do Campo -</w:t>
      </w:r>
      <w:r>
        <w:rPr>
          <w:color w:val="000000"/>
        </w:rPr>
        <w:t xml:space="preserve"> 50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bCs/>
          <w:color w:val="000000"/>
        </w:rPr>
      </w:pPr>
      <w:r>
        <w:rPr>
          <w:bCs/>
          <w:color w:val="000000"/>
        </w:rPr>
        <w:t>Núcleo São Paulo - 160 atletas</w:t>
      </w:r>
    </w:p>
    <w:p w:rsidR="003E6588" w:rsidRDefault="003E6588" w:rsidP="002C70E2">
      <w:pPr>
        <w:shd w:val="clear" w:color="auto" w:fill="FFFFFF"/>
        <w:ind w:firstLine="1134"/>
        <w:jc w:val="both"/>
        <w:rPr>
          <w:b/>
          <w:bCs/>
          <w:color w:val="000000"/>
          <w:u w:val="single"/>
        </w:rPr>
      </w:pPr>
    </w:p>
    <w:p w:rsidR="00123C69" w:rsidRDefault="00123C69" w:rsidP="002C70E2">
      <w:pPr>
        <w:shd w:val="clear" w:color="auto" w:fill="FFFFFF"/>
        <w:ind w:firstLine="1134"/>
        <w:jc w:val="both"/>
        <w:rPr>
          <w:b/>
          <w:bCs/>
          <w:color w:val="000000"/>
          <w:u w:val="single"/>
        </w:rPr>
      </w:pPr>
    </w:p>
    <w:p w:rsidR="003E6588" w:rsidRDefault="003E6588" w:rsidP="002C70E2">
      <w:pPr>
        <w:shd w:val="clear" w:color="auto" w:fill="FFFFFF"/>
        <w:ind w:firstLine="1134"/>
        <w:jc w:val="both"/>
        <w:rPr>
          <w:b/>
          <w:bCs/>
          <w:color w:val="000000"/>
        </w:rPr>
      </w:pPr>
      <w:r>
        <w:rPr>
          <w:b/>
          <w:bCs/>
          <w:color w:val="000000"/>
        </w:rPr>
        <w:lastRenderedPageBreak/>
        <w:t xml:space="preserve">Judô </w:t>
      </w:r>
      <w:r>
        <w:rPr>
          <w:color w:val="000000"/>
        </w:rPr>
        <w:t xml:space="preserve">- </w:t>
      </w:r>
      <w:r>
        <w:rPr>
          <w:bCs/>
          <w:color w:val="000000"/>
        </w:rPr>
        <w:t>435 Beneficiários</w:t>
      </w:r>
    </w:p>
    <w:p w:rsidR="002C70E2" w:rsidRDefault="002C70E2"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Núcleo Divinolândia -</w:t>
      </w:r>
      <w:r>
        <w:rPr>
          <w:color w:val="000000"/>
        </w:rPr>
        <w:t xml:space="preserve"> 60 atletas</w:t>
      </w:r>
    </w:p>
    <w:p w:rsidR="002C70E2" w:rsidRDefault="002C70E2"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 xml:space="preserve">Núcleo Sorocaba - </w:t>
      </w:r>
      <w:r>
        <w:rPr>
          <w:color w:val="000000"/>
        </w:rPr>
        <w:t>60 atletas</w:t>
      </w:r>
    </w:p>
    <w:p w:rsidR="003E6588" w:rsidRDefault="003E6588" w:rsidP="002C70E2">
      <w:pPr>
        <w:shd w:val="clear" w:color="auto" w:fill="FFFFFF"/>
        <w:ind w:firstLine="1134"/>
        <w:jc w:val="both"/>
        <w:rPr>
          <w:bCs/>
          <w:color w:val="000000"/>
        </w:rPr>
      </w:pPr>
    </w:p>
    <w:p w:rsidR="003E6588" w:rsidRDefault="003E6588" w:rsidP="002C70E2">
      <w:pPr>
        <w:shd w:val="clear" w:color="auto" w:fill="FFFFFF"/>
        <w:ind w:firstLine="1134"/>
        <w:jc w:val="both"/>
        <w:rPr>
          <w:color w:val="000000"/>
        </w:rPr>
      </w:pPr>
      <w:r>
        <w:rPr>
          <w:bCs/>
          <w:color w:val="000000"/>
        </w:rPr>
        <w:t>Núcleo Ribeirão Preto -</w:t>
      </w:r>
      <w:r>
        <w:rPr>
          <w:color w:val="000000"/>
        </w:rPr>
        <w:t xml:space="preserve"> 60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Bastos -</w:t>
      </w:r>
      <w:r>
        <w:rPr>
          <w:color w:val="000000"/>
        </w:rPr>
        <w:t xml:space="preserve"> 30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 xml:space="preserve">Núcleo Santos - </w:t>
      </w:r>
      <w:r>
        <w:rPr>
          <w:color w:val="000000"/>
        </w:rPr>
        <w:t>35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bCs/>
          <w:color w:val="000000"/>
        </w:rPr>
      </w:pPr>
      <w:r>
        <w:rPr>
          <w:bCs/>
          <w:color w:val="000000"/>
        </w:rPr>
        <w:t>Núcleo São Paulo - 120 atletas</w:t>
      </w:r>
    </w:p>
    <w:p w:rsidR="003E6588" w:rsidRDefault="003E6588" w:rsidP="002C70E2">
      <w:pPr>
        <w:shd w:val="clear" w:color="auto" w:fill="FFFFFF"/>
        <w:ind w:firstLine="1134"/>
        <w:jc w:val="both"/>
        <w:rPr>
          <w:b/>
          <w:bCs/>
          <w:color w:val="000000"/>
        </w:rPr>
      </w:pPr>
    </w:p>
    <w:p w:rsidR="003E6588" w:rsidRDefault="003E6588" w:rsidP="002C70E2">
      <w:pPr>
        <w:shd w:val="clear" w:color="auto" w:fill="FFFFFF"/>
        <w:ind w:firstLine="1134"/>
        <w:jc w:val="both"/>
        <w:rPr>
          <w:color w:val="000000"/>
        </w:rPr>
      </w:pPr>
      <w:r>
        <w:rPr>
          <w:bCs/>
          <w:color w:val="000000"/>
        </w:rPr>
        <w:t xml:space="preserve">Núcleo Fernandópolis - </w:t>
      </w:r>
      <w:r>
        <w:rPr>
          <w:color w:val="000000"/>
        </w:rPr>
        <w:t>70 atletas</w:t>
      </w:r>
    </w:p>
    <w:p w:rsidR="003E6588" w:rsidRDefault="003E6588" w:rsidP="002C70E2">
      <w:pPr>
        <w:shd w:val="clear" w:color="auto" w:fill="FFFFFF"/>
        <w:ind w:firstLine="1134"/>
        <w:jc w:val="both"/>
        <w:rPr>
          <w:b/>
          <w:bCs/>
          <w:color w:val="000000"/>
        </w:rPr>
      </w:pPr>
    </w:p>
    <w:p w:rsidR="003E6588" w:rsidRDefault="003E6588" w:rsidP="002C70E2">
      <w:pPr>
        <w:shd w:val="clear" w:color="auto" w:fill="FFFFFF"/>
        <w:ind w:firstLine="1134"/>
        <w:jc w:val="both"/>
        <w:rPr>
          <w:bCs/>
          <w:color w:val="000000"/>
        </w:rPr>
      </w:pPr>
      <w:r>
        <w:rPr>
          <w:b/>
          <w:bCs/>
          <w:color w:val="000000"/>
        </w:rPr>
        <w:t xml:space="preserve">Ciclismo - </w:t>
      </w:r>
      <w:r>
        <w:rPr>
          <w:bCs/>
          <w:color w:val="000000"/>
        </w:rPr>
        <w:t>240 Beneficiários</w:t>
      </w:r>
    </w:p>
    <w:p w:rsidR="003E6588" w:rsidRDefault="003E6588" w:rsidP="002C70E2">
      <w:pPr>
        <w:shd w:val="clear" w:color="auto" w:fill="FFFFFF"/>
        <w:ind w:firstLine="1134"/>
        <w:jc w:val="both"/>
        <w:rPr>
          <w:b/>
          <w:bCs/>
          <w:color w:val="000000"/>
        </w:rPr>
      </w:pPr>
    </w:p>
    <w:p w:rsidR="003E6588" w:rsidRDefault="003E6588" w:rsidP="002C70E2">
      <w:pPr>
        <w:shd w:val="clear" w:color="auto" w:fill="FFFFFF"/>
        <w:ind w:firstLine="1134"/>
        <w:jc w:val="both"/>
        <w:rPr>
          <w:color w:val="000000"/>
        </w:rPr>
      </w:pPr>
      <w:r>
        <w:rPr>
          <w:bCs/>
          <w:color w:val="000000"/>
        </w:rPr>
        <w:t>Núcleo Americana -</w:t>
      </w:r>
      <w:r>
        <w:rPr>
          <w:color w:val="000000"/>
        </w:rPr>
        <w:t xml:space="preserve"> 40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Araçatuba -</w:t>
      </w:r>
      <w:r>
        <w:rPr>
          <w:color w:val="000000"/>
        </w:rPr>
        <w:t xml:space="preserve"> 40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São José do Rio Preto -</w:t>
      </w:r>
      <w:r>
        <w:rPr>
          <w:color w:val="000000"/>
        </w:rPr>
        <w:t xml:space="preserve"> 40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Santos -</w:t>
      </w:r>
      <w:r>
        <w:rPr>
          <w:color w:val="000000"/>
        </w:rPr>
        <w:t xml:space="preserve"> 40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Ilha Solteira -</w:t>
      </w:r>
      <w:r>
        <w:rPr>
          <w:color w:val="000000"/>
        </w:rPr>
        <w:t xml:space="preserve"> 40 atletas</w:t>
      </w:r>
    </w:p>
    <w:p w:rsidR="003E6588" w:rsidRDefault="003E6588" w:rsidP="002C70E2">
      <w:pPr>
        <w:shd w:val="clear" w:color="auto" w:fill="FFFFFF"/>
        <w:ind w:firstLine="1134"/>
        <w:jc w:val="both"/>
        <w:rPr>
          <w:color w:val="000000"/>
        </w:rPr>
      </w:pPr>
    </w:p>
    <w:p w:rsidR="003E6588" w:rsidRDefault="003E6588" w:rsidP="002C70E2">
      <w:pPr>
        <w:shd w:val="clear" w:color="auto" w:fill="FFFFFF"/>
        <w:ind w:firstLine="1134"/>
        <w:jc w:val="both"/>
        <w:rPr>
          <w:color w:val="000000"/>
        </w:rPr>
      </w:pPr>
      <w:r>
        <w:rPr>
          <w:bCs/>
          <w:color w:val="000000"/>
        </w:rPr>
        <w:t>Núcleo Iracemápolis -</w:t>
      </w:r>
      <w:r>
        <w:rPr>
          <w:color w:val="000000"/>
        </w:rPr>
        <w:t xml:space="preserve"> 40 atletas</w:t>
      </w:r>
    </w:p>
    <w:p w:rsidR="003E6588" w:rsidRDefault="003E6588" w:rsidP="002C70E2">
      <w:pPr>
        <w:shd w:val="clear" w:color="auto" w:fill="FFFFFF"/>
        <w:ind w:firstLine="1134"/>
        <w:jc w:val="both"/>
        <w:rPr>
          <w:color w:val="000000"/>
        </w:rPr>
      </w:pPr>
    </w:p>
    <w:p w:rsidR="003E6588" w:rsidRDefault="003E6588" w:rsidP="002C70E2">
      <w:pPr>
        <w:ind w:firstLine="1134"/>
        <w:jc w:val="both"/>
        <w:rPr>
          <w:color w:val="000000"/>
        </w:rPr>
      </w:pPr>
      <w:r>
        <w:rPr>
          <w:b/>
          <w:color w:val="000000"/>
        </w:rPr>
        <w:t xml:space="preserve">Basquete - </w:t>
      </w:r>
      <w:r>
        <w:rPr>
          <w:bCs/>
          <w:color w:val="000000"/>
        </w:rPr>
        <w:t>100 Beneficiários</w:t>
      </w:r>
    </w:p>
    <w:p w:rsidR="003E6588" w:rsidRDefault="003E6588" w:rsidP="002C70E2">
      <w:pPr>
        <w:ind w:firstLine="1134"/>
        <w:jc w:val="both"/>
        <w:rPr>
          <w:b/>
          <w:color w:val="000000"/>
        </w:rPr>
      </w:pPr>
    </w:p>
    <w:p w:rsidR="003E6588" w:rsidRDefault="003E6588" w:rsidP="002C70E2">
      <w:pPr>
        <w:ind w:firstLine="1134"/>
        <w:jc w:val="both"/>
        <w:rPr>
          <w:color w:val="000000"/>
        </w:rPr>
      </w:pPr>
      <w:r>
        <w:rPr>
          <w:color w:val="000000"/>
        </w:rPr>
        <w:t>Núcleo Barretos - 100 atletas</w:t>
      </w:r>
    </w:p>
    <w:p w:rsidR="003E6588" w:rsidRDefault="003E6588" w:rsidP="002C70E2">
      <w:pPr>
        <w:ind w:firstLine="1134"/>
        <w:jc w:val="both"/>
        <w:rPr>
          <w:color w:val="000000"/>
        </w:rPr>
      </w:pPr>
    </w:p>
    <w:p w:rsidR="003E6588" w:rsidRDefault="003E6588" w:rsidP="002C70E2">
      <w:pPr>
        <w:ind w:firstLine="1134"/>
        <w:jc w:val="both"/>
        <w:rPr>
          <w:color w:val="000000"/>
        </w:rPr>
      </w:pPr>
      <w:r>
        <w:rPr>
          <w:b/>
          <w:color w:val="000000"/>
        </w:rPr>
        <w:t xml:space="preserve">Voleibol - </w:t>
      </w:r>
      <w:r>
        <w:rPr>
          <w:color w:val="000000"/>
        </w:rPr>
        <w:t>320 Beneficiários</w:t>
      </w:r>
    </w:p>
    <w:p w:rsidR="003E6588" w:rsidRDefault="003E6588" w:rsidP="002C70E2">
      <w:pPr>
        <w:ind w:firstLine="1134"/>
        <w:jc w:val="both"/>
        <w:rPr>
          <w:b/>
          <w:bCs/>
          <w:color w:val="000000"/>
        </w:rPr>
      </w:pPr>
    </w:p>
    <w:p w:rsidR="003E6588" w:rsidRDefault="003E6588" w:rsidP="002C70E2">
      <w:pPr>
        <w:ind w:firstLine="1134"/>
        <w:jc w:val="both"/>
        <w:rPr>
          <w:color w:val="000000"/>
        </w:rPr>
      </w:pPr>
      <w:r>
        <w:rPr>
          <w:bCs/>
          <w:color w:val="000000"/>
        </w:rPr>
        <w:t>Núcleo São Paulo -</w:t>
      </w:r>
      <w:r>
        <w:rPr>
          <w:color w:val="000000"/>
        </w:rPr>
        <w:t xml:space="preserve"> 140 atletas</w:t>
      </w:r>
    </w:p>
    <w:p w:rsidR="003E6588" w:rsidRDefault="003E6588" w:rsidP="002C70E2">
      <w:pPr>
        <w:ind w:firstLine="1134"/>
        <w:jc w:val="both"/>
        <w:rPr>
          <w:color w:val="000000"/>
        </w:rPr>
      </w:pPr>
    </w:p>
    <w:p w:rsidR="003E6588" w:rsidRDefault="003E6588" w:rsidP="002C70E2">
      <w:pPr>
        <w:ind w:firstLine="1134"/>
        <w:jc w:val="both"/>
        <w:rPr>
          <w:color w:val="000000"/>
        </w:rPr>
      </w:pPr>
      <w:r>
        <w:rPr>
          <w:bCs/>
          <w:color w:val="000000"/>
        </w:rPr>
        <w:t>Núcleo São Caetano do Sul -</w:t>
      </w:r>
      <w:r>
        <w:rPr>
          <w:color w:val="000000"/>
        </w:rPr>
        <w:t xml:space="preserve"> 180 atletas</w:t>
      </w:r>
    </w:p>
    <w:p w:rsidR="003E6588" w:rsidRDefault="003E6588" w:rsidP="002C70E2">
      <w:pPr>
        <w:ind w:firstLine="1134"/>
        <w:jc w:val="both"/>
        <w:rPr>
          <w:b/>
          <w:color w:val="000000"/>
          <w:u w:val="single"/>
        </w:rPr>
      </w:pPr>
    </w:p>
    <w:p w:rsidR="003E6588" w:rsidRDefault="003E6588" w:rsidP="002C70E2">
      <w:pPr>
        <w:ind w:firstLine="1134"/>
        <w:jc w:val="both"/>
        <w:rPr>
          <w:b/>
          <w:color w:val="000000"/>
        </w:rPr>
      </w:pPr>
      <w:r>
        <w:rPr>
          <w:b/>
          <w:color w:val="000000"/>
        </w:rPr>
        <w:t xml:space="preserve">Natação - </w:t>
      </w:r>
      <w:r>
        <w:rPr>
          <w:color w:val="000000"/>
        </w:rPr>
        <w:t>170 Beneficiários</w:t>
      </w:r>
    </w:p>
    <w:p w:rsidR="003E6588" w:rsidRDefault="003E6588" w:rsidP="002C70E2">
      <w:pPr>
        <w:ind w:firstLine="1134"/>
        <w:jc w:val="both"/>
        <w:rPr>
          <w:b/>
          <w:bCs/>
          <w:color w:val="000000"/>
        </w:rPr>
      </w:pPr>
    </w:p>
    <w:p w:rsidR="003E6588" w:rsidRDefault="003E6588" w:rsidP="002C70E2">
      <w:pPr>
        <w:ind w:firstLine="1134"/>
        <w:jc w:val="both"/>
        <w:rPr>
          <w:color w:val="000000"/>
        </w:rPr>
      </w:pPr>
      <w:r>
        <w:rPr>
          <w:bCs/>
          <w:color w:val="000000"/>
        </w:rPr>
        <w:t>Núcleo Votuporanga -</w:t>
      </w:r>
      <w:r>
        <w:rPr>
          <w:color w:val="000000"/>
        </w:rPr>
        <w:t xml:space="preserve"> 50 atletas</w:t>
      </w:r>
    </w:p>
    <w:p w:rsidR="003E6588" w:rsidRDefault="003E6588" w:rsidP="002C70E2">
      <w:pPr>
        <w:ind w:firstLine="1134"/>
        <w:jc w:val="both"/>
        <w:rPr>
          <w:color w:val="000000"/>
        </w:rPr>
      </w:pPr>
      <w:r>
        <w:rPr>
          <w:bCs/>
          <w:color w:val="000000"/>
        </w:rPr>
        <w:lastRenderedPageBreak/>
        <w:t>Núcleo São Paulo -</w:t>
      </w:r>
      <w:r>
        <w:rPr>
          <w:color w:val="000000"/>
        </w:rPr>
        <w:t xml:space="preserve"> 120 atletas</w:t>
      </w:r>
    </w:p>
    <w:p w:rsidR="003E6588" w:rsidRDefault="003E6588" w:rsidP="002C70E2">
      <w:pPr>
        <w:ind w:firstLine="1134"/>
        <w:jc w:val="both"/>
        <w:rPr>
          <w:b/>
          <w:color w:val="000000"/>
        </w:rPr>
      </w:pPr>
    </w:p>
    <w:p w:rsidR="003E6588" w:rsidRDefault="003E6588" w:rsidP="002C70E2">
      <w:pPr>
        <w:ind w:firstLine="1134"/>
        <w:jc w:val="both"/>
        <w:rPr>
          <w:b/>
          <w:color w:val="000000"/>
        </w:rPr>
      </w:pPr>
      <w:r>
        <w:rPr>
          <w:b/>
          <w:color w:val="000000"/>
        </w:rPr>
        <w:t>Modalidades Coletivas</w:t>
      </w:r>
    </w:p>
    <w:p w:rsidR="003E6588" w:rsidRDefault="003E6588" w:rsidP="002C70E2">
      <w:pPr>
        <w:ind w:firstLine="1134"/>
        <w:jc w:val="both"/>
        <w:rPr>
          <w:b/>
          <w:color w:val="000000"/>
          <w:u w:val="single"/>
        </w:rPr>
      </w:pPr>
    </w:p>
    <w:p w:rsidR="003E6588" w:rsidRPr="002C70E2" w:rsidRDefault="003E6588" w:rsidP="002C70E2">
      <w:pPr>
        <w:ind w:firstLine="1134"/>
        <w:jc w:val="both"/>
        <w:rPr>
          <w:bCs/>
          <w:color w:val="000000"/>
        </w:rPr>
      </w:pPr>
      <w:r w:rsidRPr="002C70E2">
        <w:rPr>
          <w:b/>
          <w:color w:val="000000"/>
        </w:rPr>
        <w:t>Futebol/Basquetebol/Tênis de Mesa</w:t>
      </w:r>
      <w:r w:rsidRPr="002C70E2">
        <w:rPr>
          <w:color w:val="000000"/>
        </w:rPr>
        <w:t xml:space="preserve"> - 320 Beneficiários</w:t>
      </w:r>
    </w:p>
    <w:p w:rsidR="003E6588" w:rsidRDefault="003E6588" w:rsidP="002C70E2">
      <w:pPr>
        <w:ind w:firstLine="1134"/>
        <w:jc w:val="both"/>
        <w:rPr>
          <w:b/>
          <w:bCs/>
          <w:color w:val="000000"/>
        </w:rPr>
      </w:pPr>
    </w:p>
    <w:p w:rsidR="003E6588" w:rsidRDefault="003E6588" w:rsidP="002C70E2">
      <w:pPr>
        <w:ind w:firstLine="1134"/>
        <w:jc w:val="both"/>
        <w:rPr>
          <w:color w:val="000000"/>
        </w:rPr>
      </w:pPr>
      <w:r>
        <w:rPr>
          <w:bCs/>
          <w:color w:val="000000"/>
        </w:rPr>
        <w:t>Núcleo São Paulo</w:t>
      </w:r>
      <w:r>
        <w:rPr>
          <w:b/>
          <w:bCs/>
          <w:color w:val="000000"/>
        </w:rPr>
        <w:t xml:space="preserve"> -</w:t>
      </w:r>
      <w:r>
        <w:rPr>
          <w:color w:val="000000"/>
        </w:rPr>
        <w:t xml:space="preserve"> 320 atletas</w:t>
      </w:r>
    </w:p>
    <w:p w:rsidR="003E6588" w:rsidRDefault="003E6588" w:rsidP="002C70E2">
      <w:pPr>
        <w:ind w:firstLine="1134"/>
        <w:jc w:val="both"/>
        <w:rPr>
          <w:b/>
          <w:color w:val="000000"/>
        </w:rPr>
      </w:pPr>
    </w:p>
    <w:p w:rsidR="003E6588" w:rsidRDefault="003E6588">
      <w:pPr>
        <w:ind w:firstLine="1134"/>
        <w:jc w:val="both"/>
        <w:rPr>
          <w:color w:val="000000"/>
        </w:rPr>
      </w:pPr>
      <w:r>
        <w:rPr>
          <w:b/>
          <w:bCs/>
          <w:color w:val="000000"/>
        </w:rPr>
        <w:t xml:space="preserve">Esporte e Lazer para Portadores de Deficiências - </w:t>
      </w:r>
      <w:r>
        <w:rPr>
          <w:bCs/>
          <w:color w:val="000000"/>
        </w:rPr>
        <w:t>Objetivando a inclusão e o desenvolvimento das modalidades paradesportivas, foram realizados:</w:t>
      </w:r>
    </w:p>
    <w:p w:rsidR="003E6588" w:rsidRDefault="003E6588">
      <w:pPr>
        <w:rPr>
          <w:color w:val="000000"/>
        </w:rPr>
      </w:pPr>
    </w:p>
    <w:tbl>
      <w:tblPr>
        <w:tblW w:w="10287" w:type="dxa"/>
        <w:jc w:val="center"/>
        <w:tblInd w:w="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637"/>
        <w:gridCol w:w="5398"/>
        <w:gridCol w:w="4252"/>
      </w:tblGrid>
      <w:tr w:rsidR="003E6588" w:rsidTr="00DB2448">
        <w:trPr>
          <w:trHeight w:val="92"/>
          <w:jc w:val="center"/>
        </w:trPr>
        <w:tc>
          <w:tcPr>
            <w:tcW w:w="637" w:type="dxa"/>
            <w:shd w:val="clear" w:color="auto" w:fill="auto"/>
            <w:noWrap/>
            <w:vAlign w:val="bottom"/>
            <w:hideMark/>
          </w:tcPr>
          <w:p w:rsidR="003E6588" w:rsidRDefault="003E6588">
            <w:pPr>
              <w:rPr>
                <w:b/>
                <w:bCs/>
                <w:color w:val="000000"/>
                <w:sz w:val="18"/>
                <w:szCs w:val="18"/>
              </w:rPr>
            </w:pPr>
            <w:r>
              <w:rPr>
                <w:b/>
                <w:bCs/>
                <w:color w:val="000000"/>
                <w:sz w:val="18"/>
                <w:szCs w:val="18"/>
              </w:rPr>
              <w:t>Item</w:t>
            </w:r>
          </w:p>
        </w:tc>
        <w:tc>
          <w:tcPr>
            <w:tcW w:w="5398" w:type="dxa"/>
            <w:shd w:val="clear" w:color="auto" w:fill="auto"/>
            <w:vAlign w:val="center"/>
            <w:hideMark/>
          </w:tcPr>
          <w:p w:rsidR="003E6588" w:rsidRDefault="003E6588">
            <w:pPr>
              <w:rPr>
                <w:b/>
                <w:bCs/>
                <w:color w:val="000000"/>
                <w:sz w:val="18"/>
                <w:szCs w:val="18"/>
              </w:rPr>
            </w:pPr>
            <w:r>
              <w:rPr>
                <w:b/>
                <w:bCs/>
                <w:color w:val="000000"/>
                <w:sz w:val="18"/>
                <w:szCs w:val="18"/>
              </w:rPr>
              <w:t>Entidade</w:t>
            </w:r>
          </w:p>
        </w:tc>
        <w:tc>
          <w:tcPr>
            <w:tcW w:w="4252" w:type="dxa"/>
            <w:shd w:val="clear" w:color="auto" w:fill="auto"/>
            <w:vAlign w:val="center"/>
            <w:hideMark/>
          </w:tcPr>
          <w:p w:rsidR="003E6588" w:rsidRDefault="003E6588">
            <w:pPr>
              <w:rPr>
                <w:b/>
                <w:bCs/>
                <w:color w:val="000000"/>
                <w:sz w:val="18"/>
                <w:szCs w:val="18"/>
              </w:rPr>
            </w:pPr>
            <w:r>
              <w:rPr>
                <w:b/>
                <w:bCs/>
                <w:color w:val="000000"/>
                <w:sz w:val="18"/>
                <w:szCs w:val="18"/>
              </w:rPr>
              <w:t>Evento</w:t>
            </w:r>
          </w:p>
        </w:tc>
      </w:tr>
      <w:tr w:rsidR="003E6588" w:rsidTr="00123C69">
        <w:trPr>
          <w:trHeight w:val="172"/>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1</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ARDEM</w:t>
            </w:r>
            <w:r w:rsidR="002C70E2">
              <w:rPr>
                <w:color w:val="000000"/>
                <w:sz w:val="18"/>
                <w:szCs w:val="18"/>
              </w:rPr>
              <w:t xml:space="preserve"> </w:t>
            </w:r>
            <w:r>
              <w:rPr>
                <w:color w:val="000000"/>
                <w:sz w:val="18"/>
                <w:szCs w:val="18"/>
              </w:rPr>
              <w:t>- Associação Regional de Desportos para Deficientes Intelectuais do Estado de São Paulo</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Copa Paulista de Futsal</w:t>
            </w:r>
          </w:p>
        </w:tc>
      </w:tr>
      <w:tr w:rsidR="003E6588" w:rsidTr="002C70E2">
        <w:trPr>
          <w:trHeight w:val="172"/>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2</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Associação Brasileira de Desportos para Deficientes Intelectuais</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Regional de Futebol de Campo</w:t>
            </w:r>
          </w:p>
        </w:tc>
      </w:tr>
      <w:tr w:rsidR="003E6588" w:rsidTr="002C70E2">
        <w:trPr>
          <w:trHeight w:val="305"/>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3</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ARDEM</w:t>
            </w:r>
            <w:r w:rsidR="002C70E2">
              <w:rPr>
                <w:color w:val="000000"/>
                <w:sz w:val="18"/>
                <w:szCs w:val="18"/>
              </w:rPr>
              <w:t xml:space="preserve"> </w:t>
            </w:r>
            <w:r>
              <w:rPr>
                <w:color w:val="000000"/>
                <w:sz w:val="18"/>
                <w:szCs w:val="18"/>
              </w:rPr>
              <w:t>- Associação Regional de Desportos para Deficientes Intelectuais do Estado de São Paulo</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Regional Aberto de Ginástica Artística e Rítmica</w:t>
            </w:r>
          </w:p>
        </w:tc>
      </w:tr>
      <w:tr w:rsidR="003E6588" w:rsidTr="002C70E2">
        <w:trPr>
          <w:trHeight w:val="311"/>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4</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Associação Brasileira de Desportos para Deficientes Intelectuais</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Brasileiro de Tênis de Mesa</w:t>
            </w:r>
          </w:p>
        </w:tc>
      </w:tr>
      <w:tr w:rsidR="003E6588" w:rsidTr="002C70E2">
        <w:trPr>
          <w:trHeight w:val="162"/>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5</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Associação Brasileira de Desportos para Deficientes Intelectuais</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Copa Brasil de Futsal</w:t>
            </w:r>
          </w:p>
        </w:tc>
      </w:tr>
      <w:tr w:rsidR="003E6588" w:rsidTr="002C70E2">
        <w:trPr>
          <w:trHeight w:val="310"/>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6</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Associação Brasileira de Desportos para Deficientes Intelectuais</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Regional de Natação</w:t>
            </w:r>
          </w:p>
        </w:tc>
      </w:tr>
      <w:tr w:rsidR="003E6588" w:rsidTr="002C70E2">
        <w:trPr>
          <w:trHeight w:val="159"/>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7</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Clube dos Paraplégicos de São Paulo</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X Troféu Sergio del Grande</w:t>
            </w:r>
          </w:p>
        </w:tc>
      </w:tr>
      <w:tr w:rsidR="003E6588" w:rsidTr="002C70E2">
        <w:trPr>
          <w:trHeight w:val="92"/>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8</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Associação dos Deficientes Visuais de Fernandópolis- ADVF</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Reabilitação e Inclusão de Deficientes Através do Esporte</w:t>
            </w:r>
          </w:p>
        </w:tc>
      </w:tr>
      <w:tr w:rsidR="003E6588" w:rsidTr="002C70E2">
        <w:trPr>
          <w:trHeight w:val="307"/>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9</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Associação Brasileira de Desportos para Deficientes Intelectuais</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Brasileiro de Atletismo</w:t>
            </w:r>
          </w:p>
        </w:tc>
      </w:tr>
      <w:tr w:rsidR="003E6588" w:rsidTr="002C70E2">
        <w:trPr>
          <w:trHeight w:val="300"/>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10</w:t>
            </w:r>
          </w:p>
        </w:tc>
        <w:tc>
          <w:tcPr>
            <w:tcW w:w="5398" w:type="dxa"/>
            <w:shd w:val="clear" w:color="auto" w:fill="auto"/>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xml:space="preserve">- Associação Brasileira de Desportos para Deficientes Intelectuais </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Brasileiro de Futebol</w:t>
            </w:r>
          </w:p>
        </w:tc>
      </w:tr>
      <w:tr w:rsidR="003E6588" w:rsidTr="002C70E2">
        <w:trPr>
          <w:trHeight w:val="164"/>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11</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Associação Brasileira de Desportos para Deficientes Intelectuais</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Copa do Mundo de Futebol para Atletas com Deficiência Intelectual</w:t>
            </w:r>
          </w:p>
        </w:tc>
      </w:tr>
      <w:tr w:rsidR="003E6588" w:rsidTr="002C70E2">
        <w:trPr>
          <w:trHeight w:val="259"/>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12</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APAE</w:t>
            </w:r>
            <w:r w:rsidR="002C70E2">
              <w:rPr>
                <w:color w:val="000000"/>
                <w:sz w:val="18"/>
                <w:szCs w:val="18"/>
              </w:rPr>
              <w:t xml:space="preserve"> </w:t>
            </w:r>
            <w:r>
              <w:rPr>
                <w:color w:val="000000"/>
                <w:sz w:val="18"/>
                <w:szCs w:val="18"/>
              </w:rPr>
              <w:t>- Associação de Pais e Amigos dos Excepcionais de Paraguaçu Paulista</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6ª Competição Regional Entre APAES</w:t>
            </w:r>
          </w:p>
        </w:tc>
      </w:tr>
      <w:tr w:rsidR="003E6588" w:rsidTr="002C70E2">
        <w:trPr>
          <w:trHeight w:val="124"/>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13</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ABDEM</w:t>
            </w:r>
            <w:r w:rsidR="002C70E2">
              <w:rPr>
                <w:color w:val="000000"/>
                <w:sz w:val="18"/>
                <w:szCs w:val="18"/>
              </w:rPr>
              <w:t xml:space="preserve"> </w:t>
            </w:r>
            <w:r>
              <w:rPr>
                <w:color w:val="000000"/>
                <w:sz w:val="18"/>
                <w:szCs w:val="18"/>
              </w:rPr>
              <w:t xml:space="preserve">- Associação Brasileira de Desportos para Deficientes Intelectuais </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Brasileiro de Natação</w:t>
            </w:r>
          </w:p>
        </w:tc>
      </w:tr>
      <w:tr w:rsidR="003E6588" w:rsidTr="002C70E2">
        <w:trPr>
          <w:trHeight w:val="116"/>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14</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ARDEM</w:t>
            </w:r>
            <w:r w:rsidR="002C70E2">
              <w:rPr>
                <w:color w:val="000000"/>
                <w:sz w:val="18"/>
                <w:szCs w:val="18"/>
              </w:rPr>
              <w:t xml:space="preserve"> </w:t>
            </w:r>
            <w:r>
              <w:rPr>
                <w:color w:val="000000"/>
                <w:sz w:val="18"/>
                <w:szCs w:val="18"/>
              </w:rPr>
              <w:t>- Associação Regional de Desportos para Deficientes Intelectuais do Estado de São Paulo</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Centro de Treinamento Paradesportivo Piracicaba</w:t>
            </w:r>
          </w:p>
        </w:tc>
      </w:tr>
      <w:tr w:rsidR="003E6588" w:rsidTr="002C70E2">
        <w:trPr>
          <w:trHeight w:val="263"/>
          <w:jc w:val="center"/>
        </w:trPr>
        <w:tc>
          <w:tcPr>
            <w:tcW w:w="637" w:type="dxa"/>
            <w:shd w:val="clear" w:color="auto" w:fill="auto"/>
            <w:noWrap/>
            <w:vAlign w:val="bottom"/>
            <w:hideMark/>
          </w:tcPr>
          <w:p w:rsidR="003E6588" w:rsidRDefault="003E6588">
            <w:pPr>
              <w:rPr>
                <w:color w:val="000000"/>
                <w:sz w:val="18"/>
                <w:szCs w:val="18"/>
              </w:rPr>
            </w:pPr>
            <w:r>
              <w:rPr>
                <w:color w:val="000000"/>
                <w:sz w:val="18"/>
                <w:szCs w:val="18"/>
              </w:rPr>
              <w:t>15</w:t>
            </w:r>
          </w:p>
        </w:tc>
        <w:tc>
          <w:tcPr>
            <w:tcW w:w="5398" w:type="dxa"/>
            <w:shd w:val="clear" w:color="000000" w:fill="FFFFFF"/>
            <w:vAlign w:val="center"/>
            <w:hideMark/>
          </w:tcPr>
          <w:p w:rsidR="003E6588" w:rsidRDefault="003E6588" w:rsidP="002C70E2">
            <w:pPr>
              <w:jc w:val="both"/>
              <w:rPr>
                <w:color w:val="000000"/>
                <w:sz w:val="18"/>
                <w:szCs w:val="18"/>
              </w:rPr>
            </w:pPr>
            <w:r>
              <w:rPr>
                <w:color w:val="000000"/>
                <w:sz w:val="18"/>
                <w:szCs w:val="18"/>
              </w:rPr>
              <w:t>ARDEM</w:t>
            </w:r>
            <w:r w:rsidR="002C70E2">
              <w:rPr>
                <w:color w:val="000000"/>
                <w:sz w:val="18"/>
                <w:szCs w:val="18"/>
              </w:rPr>
              <w:t xml:space="preserve"> </w:t>
            </w:r>
            <w:r>
              <w:rPr>
                <w:color w:val="000000"/>
                <w:sz w:val="18"/>
                <w:szCs w:val="18"/>
              </w:rPr>
              <w:t>- Associação Regional de Desportos para Deficientes Intelectuais do Estado de São Paulo</w:t>
            </w:r>
          </w:p>
        </w:tc>
        <w:tc>
          <w:tcPr>
            <w:tcW w:w="4252" w:type="dxa"/>
            <w:shd w:val="clear" w:color="000000" w:fill="FFFFFF"/>
            <w:vAlign w:val="center"/>
            <w:hideMark/>
          </w:tcPr>
          <w:p w:rsidR="003E6588" w:rsidRDefault="003E6588" w:rsidP="002C70E2">
            <w:pPr>
              <w:jc w:val="both"/>
              <w:rPr>
                <w:color w:val="000000"/>
                <w:sz w:val="18"/>
                <w:szCs w:val="18"/>
              </w:rPr>
            </w:pPr>
            <w:r>
              <w:rPr>
                <w:color w:val="000000"/>
                <w:sz w:val="18"/>
                <w:szCs w:val="18"/>
              </w:rPr>
              <w:t>Campeonato Regional Aberto de Atletismo</w:t>
            </w:r>
          </w:p>
        </w:tc>
      </w:tr>
    </w:tbl>
    <w:p w:rsidR="003E6588" w:rsidRDefault="003E6588">
      <w:pPr>
        <w:jc w:val="both"/>
        <w:rPr>
          <w:b/>
          <w:bCs/>
          <w:color w:val="000000"/>
        </w:rPr>
      </w:pPr>
    </w:p>
    <w:p w:rsidR="003E6588" w:rsidRDefault="003E6588">
      <w:pPr>
        <w:ind w:firstLine="1134"/>
        <w:jc w:val="both"/>
        <w:rPr>
          <w:bCs/>
          <w:color w:val="000000"/>
        </w:rPr>
      </w:pPr>
      <w:r>
        <w:rPr>
          <w:b/>
          <w:bCs/>
          <w:color w:val="000000"/>
        </w:rPr>
        <w:t xml:space="preserve">Vida Melhor com Lazer e Esporte - </w:t>
      </w:r>
      <w:r>
        <w:rPr>
          <w:bCs/>
          <w:color w:val="000000"/>
        </w:rPr>
        <w:t>Objetivando atender a população paulistana com atividades de lazer e esporte, foram realizados vários Projetos e Eventos, dos quais destacamos:</w:t>
      </w:r>
    </w:p>
    <w:p w:rsidR="003E6588" w:rsidRDefault="003E6588">
      <w:pPr>
        <w:jc w:val="both"/>
        <w:rPr>
          <w:bCs/>
          <w:color w:val="000000"/>
        </w:rPr>
      </w:pPr>
    </w:p>
    <w:tbl>
      <w:tblPr>
        <w:tblW w:w="10300" w:type="dxa"/>
        <w:jc w:val="center"/>
        <w:tblInd w:w="11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618"/>
        <w:gridCol w:w="5288"/>
        <w:gridCol w:w="4394"/>
      </w:tblGrid>
      <w:tr w:rsidR="003E6588" w:rsidTr="00DB2448">
        <w:trPr>
          <w:trHeight w:val="300"/>
          <w:jc w:val="center"/>
        </w:trPr>
        <w:tc>
          <w:tcPr>
            <w:tcW w:w="618" w:type="dxa"/>
            <w:shd w:val="clear" w:color="auto" w:fill="auto"/>
            <w:noWrap/>
            <w:vAlign w:val="bottom"/>
            <w:hideMark/>
          </w:tcPr>
          <w:p w:rsidR="003E6588" w:rsidRDefault="003E6588">
            <w:pPr>
              <w:rPr>
                <w:b/>
                <w:bCs/>
                <w:color w:val="000000"/>
                <w:sz w:val="18"/>
                <w:szCs w:val="18"/>
              </w:rPr>
            </w:pPr>
            <w:r>
              <w:rPr>
                <w:b/>
                <w:bCs/>
                <w:color w:val="000000"/>
                <w:sz w:val="18"/>
                <w:szCs w:val="18"/>
              </w:rPr>
              <w:t>Item</w:t>
            </w:r>
          </w:p>
        </w:tc>
        <w:tc>
          <w:tcPr>
            <w:tcW w:w="5288" w:type="dxa"/>
            <w:shd w:val="clear" w:color="auto" w:fill="auto"/>
            <w:vAlign w:val="center"/>
            <w:hideMark/>
          </w:tcPr>
          <w:p w:rsidR="003E6588" w:rsidRDefault="003E6588">
            <w:pPr>
              <w:rPr>
                <w:b/>
                <w:bCs/>
                <w:color w:val="000000"/>
                <w:sz w:val="18"/>
                <w:szCs w:val="18"/>
              </w:rPr>
            </w:pPr>
            <w:r>
              <w:rPr>
                <w:b/>
                <w:bCs/>
                <w:color w:val="000000"/>
                <w:sz w:val="18"/>
                <w:szCs w:val="18"/>
              </w:rPr>
              <w:t>Interessado</w:t>
            </w:r>
          </w:p>
        </w:tc>
        <w:tc>
          <w:tcPr>
            <w:tcW w:w="4394" w:type="dxa"/>
            <w:shd w:val="clear" w:color="auto" w:fill="auto"/>
            <w:vAlign w:val="center"/>
            <w:hideMark/>
          </w:tcPr>
          <w:p w:rsidR="003E6588" w:rsidRDefault="003E6588">
            <w:pPr>
              <w:rPr>
                <w:b/>
                <w:bCs/>
                <w:color w:val="000000"/>
                <w:sz w:val="18"/>
                <w:szCs w:val="18"/>
              </w:rPr>
            </w:pPr>
            <w:r>
              <w:rPr>
                <w:b/>
                <w:bCs/>
                <w:color w:val="000000"/>
                <w:sz w:val="18"/>
                <w:szCs w:val="18"/>
              </w:rPr>
              <w:t>Evento</w:t>
            </w:r>
          </w:p>
        </w:tc>
      </w:tr>
      <w:tr w:rsidR="003E6588" w:rsidTr="002C70E2">
        <w:trPr>
          <w:trHeight w:val="158"/>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1</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Associação Brasileira dos Profissionais de Educação Física e Esporte - ABRAPEFE</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Projeto ETEC Na Comunidade</w:t>
            </w:r>
          </w:p>
        </w:tc>
      </w:tr>
      <w:tr w:rsidR="003E6588" w:rsidTr="002C70E2">
        <w:trPr>
          <w:trHeight w:val="164"/>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2</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Confederação Brasileira de Karate Interestilos</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Projeto Lutar e Vencer Fase IV - Vila Olímpica Mario Covas - São Paulo</w:t>
            </w:r>
          </w:p>
        </w:tc>
      </w:tr>
      <w:tr w:rsidR="003E6588" w:rsidTr="002C70E2">
        <w:trPr>
          <w:trHeight w:val="44"/>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lastRenderedPageBreak/>
              <w:t>3</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 xml:space="preserve">Federação Paulista de Esportes &amp; </w:t>
            </w:r>
            <w:r>
              <w:rPr>
                <w:i/>
                <w:color w:val="000000"/>
                <w:sz w:val="18"/>
                <w:szCs w:val="18"/>
              </w:rPr>
              <w:t>Fitness</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Virada do Lazer - Fase IV</w:t>
            </w:r>
          </w:p>
        </w:tc>
      </w:tr>
      <w:tr w:rsidR="003E6588" w:rsidTr="002C70E2">
        <w:trPr>
          <w:trHeight w:val="88"/>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4</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Federação Paulista de Judô</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Centro de Formação de Judô 2014</w:t>
            </w:r>
          </w:p>
        </w:tc>
      </w:tr>
      <w:tr w:rsidR="003E6588" w:rsidTr="002C70E2">
        <w:trPr>
          <w:trHeight w:val="162"/>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5</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Federação Paulista de Ciclismo</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Escola de Ciclismo e Ciclofaixa de Lazer das Cidades de Marília e Ribeirão Preto</w:t>
            </w:r>
          </w:p>
        </w:tc>
      </w:tr>
      <w:tr w:rsidR="003E6588" w:rsidTr="002C70E2">
        <w:trPr>
          <w:trHeight w:val="44"/>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6</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 xml:space="preserve">Federação de Lutas Associadas e Greco - Romana </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Projeto Luta e Inclusão Social- Núcleo Pirituba</w:t>
            </w:r>
          </w:p>
        </w:tc>
      </w:tr>
      <w:tr w:rsidR="003E6588" w:rsidTr="002C70E2">
        <w:trPr>
          <w:trHeight w:val="85"/>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7</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 xml:space="preserve">Federação Paulista de Esportes &amp; </w:t>
            </w:r>
            <w:r>
              <w:rPr>
                <w:i/>
                <w:color w:val="000000"/>
                <w:sz w:val="18"/>
                <w:szCs w:val="18"/>
              </w:rPr>
              <w:t>Fitness</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Esporte e Lazer em Ação</w:t>
            </w:r>
          </w:p>
        </w:tc>
      </w:tr>
      <w:tr w:rsidR="003E6588" w:rsidTr="002C70E2">
        <w:trPr>
          <w:trHeight w:val="51"/>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8</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 xml:space="preserve">Federação Paulista de Esportes &amp; </w:t>
            </w:r>
            <w:r>
              <w:rPr>
                <w:i/>
                <w:color w:val="000000"/>
                <w:sz w:val="18"/>
                <w:szCs w:val="18"/>
              </w:rPr>
              <w:t>Fitness</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Projeto Ativação Jundiaí</w:t>
            </w:r>
          </w:p>
        </w:tc>
      </w:tr>
      <w:tr w:rsidR="003E6588" w:rsidTr="002C70E2">
        <w:trPr>
          <w:trHeight w:val="193"/>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9</w:t>
            </w:r>
          </w:p>
        </w:tc>
        <w:tc>
          <w:tcPr>
            <w:tcW w:w="5288" w:type="dxa"/>
            <w:shd w:val="clear" w:color="000000" w:fill="FFFFFF"/>
            <w:vAlign w:val="center"/>
            <w:hideMark/>
          </w:tcPr>
          <w:p w:rsidR="003E6588" w:rsidRDefault="003E6588" w:rsidP="002C70E2">
            <w:pPr>
              <w:jc w:val="both"/>
              <w:rPr>
                <w:color w:val="000000"/>
                <w:sz w:val="18"/>
                <w:szCs w:val="18"/>
                <w:lang w:val="en-US"/>
              </w:rPr>
            </w:pPr>
            <w:r>
              <w:rPr>
                <w:color w:val="000000"/>
                <w:sz w:val="18"/>
                <w:szCs w:val="18"/>
                <w:lang w:val="en-US"/>
              </w:rPr>
              <w:t xml:space="preserve">União </w:t>
            </w:r>
            <w:r>
              <w:rPr>
                <w:i/>
                <w:color w:val="000000"/>
                <w:sz w:val="18"/>
                <w:szCs w:val="18"/>
                <w:lang w:val="en-US"/>
              </w:rPr>
              <w:t>Ken In Kan Goju Ryu</w:t>
            </w:r>
            <w:r>
              <w:rPr>
                <w:color w:val="000000"/>
                <w:sz w:val="18"/>
                <w:szCs w:val="18"/>
                <w:lang w:val="en-US"/>
              </w:rPr>
              <w:t xml:space="preserve"> de Karate</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Caminho das Mãos Vazias</w:t>
            </w:r>
          </w:p>
        </w:tc>
      </w:tr>
      <w:tr w:rsidR="003E6588" w:rsidTr="002C70E2">
        <w:trPr>
          <w:trHeight w:val="334"/>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10</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Federação do Estado de São Paulo de Lutas Associadas e Greco - Romana</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Projeto Luta e Inclusão Social- Núcleo Heliópolis</w:t>
            </w:r>
          </w:p>
        </w:tc>
      </w:tr>
      <w:tr w:rsidR="003E6588" w:rsidTr="002C70E2">
        <w:trPr>
          <w:trHeight w:val="199"/>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11</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ACEUL - Associação Cultural e Esportiva União de Leme</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Escolas de Voleibol Feminino de Leme (Escola de Voleibol Feminino de Leme)</w:t>
            </w:r>
          </w:p>
        </w:tc>
      </w:tr>
      <w:tr w:rsidR="003E6588" w:rsidTr="002C70E2">
        <w:trPr>
          <w:trHeight w:val="48"/>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12</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Associação Desportiva União da Comarca</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Projeto Judô</w:t>
            </w:r>
          </w:p>
        </w:tc>
      </w:tr>
      <w:tr w:rsidR="003E6588" w:rsidTr="002C70E2">
        <w:trPr>
          <w:trHeight w:val="108"/>
          <w:jc w:val="center"/>
        </w:trPr>
        <w:tc>
          <w:tcPr>
            <w:tcW w:w="618" w:type="dxa"/>
            <w:shd w:val="clear" w:color="auto" w:fill="auto"/>
            <w:noWrap/>
            <w:vAlign w:val="bottom"/>
            <w:hideMark/>
          </w:tcPr>
          <w:p w:rsidR="003E6588" w:rsidRDefault="003E6588">
            <w:pPr>
              <w:rPr>
                <w:color w:val="000000"/>
                <w:sz w:val="18"/>
                <w:szCs w:val="18"/>
              </w:rPr>
            </w:pPr>
            <w:r>
              <w:rPr>
                <w:color w:val="000000"/>
                <w:sz w:val="18"/>
                <w:szCs w:val="18"/>
              </w:rPr>
              <w:t>13</w:t>
            </w:r>
          </w:p>
        </w:tc>
        <w:tc>
          <w:tcPr>
            <w:tcW w:w="5288" w:type="dxa"/>
            <w:shd w:val="clear" w:color="000000" w:fill="FFFFFF"/>
            <w:vAlign w:val="center"/>
            <w:hideMark/>
          </w:tcPr>
          <w:p w:rsidR="003E6588" w:rsidRDefault="003E6588" w:rsidP="002C70E2">
            <w:pPr>
              <w:jc w:val="both"/>
              <w:rPr>
                <w:color w:val="000000"/>
                <w:sz w:val="18"/>
                <w:szCs w:val="18"/>
              </w:rPr>
            </w:pPr>
            <w:r>
              <w:rPr>
                <w:color w:val="000000"/>
                <w:sz w:val="18"/>
                <w:szCs w:val="18"/>
              </w:rPr>
              <w:t>Federação Paulista de Ciclismo</w:t>
            </w:r>
          </w:p>
        </w:tc>
        <w:tc>
          <w:tcPr>
            <w:tcW w:w="4394" w:type="dxa"/>
            <w:shd w:val="clear" w:color="000000" w:fill="FFFFFF"/>
            <w:vAlign w:val="center"/>
            <w:hideMark/>
          </w:tcPr>
          <w:p w:rsidR="003E6588" w:rsidRDefault="003E6588" w:rsidP="002C70E2">
            <w:pPr>
              <w:jc w:val="both"/>
              <w:rPr>
                <w:color w:val="000000"/>
                <w:sz w:val="18"/>
                <w:szCs w:val="18"/>
              </w:rPr>
            </w:pPr>
            <w:r>
              <w:rPr>
                <w:color w:val="000000"/>
                <w:sz w:val="18"/>
                <w:szCs w:val="18"/>
              </w:rPr>
              <w:t>Escola de Ciclismo e Ciclofaixa de Lazer da Cidade de Diadema</w:t>
            </w:r>
          </w:p>
        </w:tc>
      </w:tr>
    </w:tbl>
    <w:p w:rsidR="003E6588" w:rsidRDefault="003E6588">
      <w:pPr>
        <w:jc w:val="both"/>
        <w:rPr>
          <w:color w:val="000000"/>
        </w:rPr>
      </w:pPr>
    </w:p>
    <w:p w:rsidR="003E6588" w:rsidRDefault="003E6588">
      <w:pPr>
        <w:ind w:firstLine="1134"/>
        <w:jc w:val="both"/>
        <w:rPr>
          <w:color w:val="000000"/>
        </w:rPr>
      </w:pPr>
      <w:r>
        <w:rPr>
          <w:rFonts w:eastAsia="Helv"/>
          <w:b/>
          <w:bCs/>
          <w:color w:val="000000"/>
        </w:rPr>
        <w:t xml:space="preserve">Programa Bolsa Talento Esportivo - </w:t>
      </w:r>
      <w:r>
        <w:rPr>
          <w:color w:val="000000"/>
        </w:rPr>
        <w:t xml:space="preserve">O Governo do Estado concedeu 823 Bolsas. Destas, </w:t>
      </w:r>
      <w:r>
        <w:rPr>
          <w:bCs/>
          <w:color w:val="000000"/>
        </w:rPr>
        <w:t>79 para atletas na condição de PCD (Pessoa com Deficiência)</w:t>
      </w:r>
      <w:r>
        <w:rPr>
          <w:color w:val="000000"/>
        </w:rPr>
        <w:t>. Investimos em jovens talentos nas categorias estudantil e juniores.</w:t>
      </w:r>
    </w:p>
    <w:p w:rsidR="003E6588" w:rsidRDefault="003E6588">
      <w:pPr>
        <w:jc w:val="both"/>
        <w:rPr>
          <w:color w:val="000000"/>
        </w:rPr>
      </w:pPr>
    </w:p>
    <w:p w:rsidR="003E6588" w:rsidRDefault="003E6588">
      <w:pPr>
        <w:ind w:firstLine="1134"/>
        <w:jc w:val="both"/>
        <w:rPr>
          <w:color w:val="000000"/>
          <w:shd w:val="clear" w:color="auto" w:fill="FFFFFF"/>
        </w:rPr>
      </w:pPr>
      <w:r>
        <w:rPr>
          <w:b/>
          <w:color w:val="000000"/>
        </w:rPr>
        <w:t xml:space="preserve">Programa VidAtiva - </w:t>
      </w:r>
      <w:r>
        <w:rPr>
          <w:color w:val="000000"/>
          <w:shd w:val="clear" w:color="auto" w:fill="FFFFFF"/>
        </w:rPr>
        <w:t>O Programa beneficiou 3.349 idosos, distribuídos pelo Estado em 14 municípios:</w:t>
      </w:r>
    </w:p>
    <w:p w:rsidR="003E6588" w:rsidRDefault="003E6588">
      <w:pPr>
        <w:jc w:val="both"/>
        <w:rPr>
          <w:color w:val="000000"/>
          <w:shd w:val="clear" w:color="auto" w:fill="FFFFFF"/>
        </w:rPr>
      </w:pPr>
    </w:p>
    <w:tbl>
      <w:tblPr>
        <w:tblW w:w="4549" w:type="dxa"/>
        <w:jc w:val="center"/>
        <w:tblInd w:w="30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2513"/>
        <w:gridCol w:w="2036"/>
      </w:tblGrid>
      <w:tr w:rsidR="003E6588" w:rsidTr="00DB2448">
        <w:trPr>
          <w:trHeight w:val="44"/>
          <w:jc w:val="center"/>
        </w:trPr>
        <w:tc>
          <w:tcPr>
            <w:tcW w:w="2513" w:type="dxa"/>
            <w:shd w:val="clear" w:color="auto" w:fill="auto"/>
            <w:noWrap/>
            <w:vAlign w:val="bottom"/>
            <w:hideMark/>
          </w:tcPr>
          <w:p w:rsidR="003E6588" w:rsidRDefault="003E6588">
            <w:pPr>
              <w:rPr>
                <w:b/>
                <w:bCs/>
                <w:color w:val="000000"/>
                <w:sz w:val="20"/>
                <w:szCs w:val="20"/>
              </w:rPr>
            </w:pPr>
            <w:r>
              <w:rPr>
                <w:b/>
                <w:bCs/>
                <w:color w:val="000000"/>
                <w:sz w:val="20"/>
                <w:szCs w:val="20"/>
              </w:rPr>
              <w:t>Municípios</w:t>
            </w:r>
          </w:p>
        </w:tc>
        <w:tc>
          <w:tcPr>
            <w:tcW w:w="2036" w:type="dxa"/>
            <w:shd w:val="clear" w:color="auto" w:fill="auto"/>
            <w:noWrap/>
            <w:vAlign w:val="bottom"/>
            <w:hideMark/>
          </w:tcPr>
          <w:p w:rsidR="003E6588" w:rsidRDefault="003E6588">
            <w:pPr>
              <w:rPr>
                <w:b/>
                <w:bCs/>
                <w:color w:val="000000"/>
                <w:sz w:val="20"/>
                <w:szCs w:val="20"/>
              </w:rPr>
            </w:pPr>
            <w:r>
              <w:rPr>
                <w:b/>
                <w:bCs/>
                <w:color w:val="000000"/>
                <w:sz w:val="20"/>
                <w:szCs w:val="20"/>
              </w:rPr>
              <w:t>Nº de Atendimentos</w:t>
            </w:r>
          </w:p>
        </w:tc>
      </w:tr>
      <w:tr w:rsidR="003E6588" w:rsidTr="002C70E2">
        <w:trPr>
          <w:trHeight w:val="64"/>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São Paulo</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1752</w:t>
            </w:r>
          </w:p>
        </w:tc>
      </w:tr>
      <w:tr w:rsidR="003E6588" w:rsidTr="002C70E2">
        <w:trPr>
          <w:trHeight w:val="44"/>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São José do Rio Preto</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417</w:t>
            </w:r>
          </w:p>
        </w:tc>
      </w:tr>
      <w:tr w:rsidR="003E6588" w:rsidTr="002C70E2">
        <w:trPr>
          <w:trHeight w:val="44"/>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Santos</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338</w:t>
            </w:r>
          </w:p>
        </w:tc>
      </w:tr>
      <w:tr w:rsidR="003E6588" w:rsidTr="002C70E2">
        <w:trPr>
          <w:trHeight w:val="45"/>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Bauru</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306</w:t>
            </w:r>
          </w:p>
        </w:tc>
      </w:tr>
      <w:tr w:rsidR="003E6588" w:rsidTr="002C70E2">
        <w:trPr>
          <w:trHeight w:val="92"/>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Praia Grande</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102</w:t>
            </w:r>
          </w:p>
        </w:tc>
      </w:tr>
      <w:tr w:rsidR="003E6588" w:rsidTr="002C70E2">
        <w:trPr>
          <w:trHeight w:val="138"/>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São Caetano do Sul</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100</w:t>
            </w:r>
          </w:p>
        </w:tc>
      </w:tr>
      <w:tr w:rsidR="003E6588" w:rsidTr="002C70E2">
        <w:trPr>
          <w:trHeight w:val="44"/>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Santo André</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85</w:t>
            </w:r>
          </w:p>
        </w:tc>
      </w:tr>
      <w:tr w:rsidR="003E6588" w:rsidTr="002C70E2">
        <w:trPr>
          <w:trHeight w:val="88"/>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Suzano</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83</w:t>
            </w:r>
          </w:p>
        </w:tc>
      </w:tr>
      <w:tr w:rsidR="003E6588" w:rsidTr="002C70E2">
        <w:trPr>
          <w:trHeight w:val="120"/>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Mairiporã</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43</w:t>
            </w:r>
          </w:p>
        </w:tc>
      </w:tr>
      <w:tr w:rsidR="003E6588" w:rsidTr="002C70E2">
        <w:trPr>
          <w:trHeight w:val="44"/>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Arujá</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41</w:t>
            </w:r>
          </w:p>
        </w:tc>
      </w:tr>
      <w:tr w:rsidR="003E6588" w:rsidTr="002C70E2">
        <w:trPr>
          <w:trHeight w:val="70"/>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Osasco</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35</w:t>
            </w:r>
          </w:p>
        </w:tc>
      </w:tr>
      <w:tr w:rsidR="003E6588" w:rsidTr="002C70E2">
        <w:trPr>
          <w:trHeight w:val="44"/>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Biritiba Mirim</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33</w:t>
            </w:r>
          </w:p>
        </w:tc>
      </w:tr>
      <w:tr w:rsidR="003E6588" w:rsidTr="002C70E2">
        <w:trPr>
          <w:trHeight w:val="44"/>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Guarulhos</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8</w:t>
            </w:r>
          </w:p>
        </w:tc>
      </w:tr>
      <w:tr w:rsidR="003E6588" w:rsidTr="002C70E2">
        <w:trPr>
          <w:trHeight w:val="66"/>
          <w:jc w:val="center"/>
        </w:trPr>
        <w:tc>
          <w:tcPr>
            <w:tcW w:w="2513" w:type="dxa"/>
            <w:shd w:val="clear" w:color="auto" w:fill="auto"/>
            <w:noWrap/>
            <w:vAlign w:val="bottom"/>
            <w:hideMark/>
          </w:tcPr>
          <w:p w:rsidR="003E6588" w:rsidRDefault="003E6588" w:rsidP="002C70E2">
            <w:pPr>
              <w:jc w:val="left"/>
              <w:rPr>
                <w:color w:val="000000"/>
                <w:sz w:val="20"/>
                <w:szCs w:val="20"/>
              </w:rPr>
            </w:pPr>
            <w:r>
              <w:rPr>
                <w:color w:val="000000"/>
                <w:sz w:val="20"/>
                <w:szCs w:val="20"/>
              </w:rPr>
              <w:t>Poá</w:t>
            </w:r>
          </w:p>
        </w:tc>
        <w:tc>
          <w:tcPr>
            <w:tcW w:w="2036" w:type="dxa"/>
            <w:shd w:val="clear" w:color="auto" w:fill="auto"/>
            <w:noWrap/>
            <w:vAlign w:val="bottom"/>
            <w:hideMark/>
          </w:tcPr>
          <w:p w:rsidR="003E6588" w:rsidRDefault="003E6588">
            <w:pPr>
              <w:rPr>
                <w:color w:val="000000"/>
                <w:sz w:val="20"/>
                <w:szCs w:val="20"/>
              </w:rPr>
            </w:pPr>
            <w:r>
              <w:rPr>
                <w:color w:val="000000"/>
                <w:sz w:val="20"/>
                <w:szCs w:val="20"/>
              </w:rPr>
              <w:t>6</w:t>
            </w:r>
          </w:p>
        </w:tc>
      </w:tr>
    </w:tbl>
    <w:p w:rsidR="003E6588" w:rsidRDefault="003E6588">
      <w:pPr>
        <w:rPr>
          <w:color w:val="000000"/>
        </w:rPr>
      </w:pPr>
    </w:p>
    <w:p w:rsidR="003E6588" w:rsidRDefault="003E6588">
      <w:pPr>
        <w:ind w:firstLine="1134"/>
        <w:jc w:val="both"/>
        <w:rPr>
          <w:b/>
          <w:bCs/>
          <w:color w:val="000000"/>
        </w:rPr>
      </w:pPr>
      <w:r>
        <w:rPr>
          <w:b/>
          <w:bCs/>
          <w:color w:val="000000"/>
        </w:rPr>
        <w:t>Coordenação de Programas para a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10/3/2014</w:t>
      </w:r>
      <w:r>
        <w:rPr>
          <w:color w:val="000000"/>
        </w:rPr>
        <w:t xml:space="preserve"> - Visita ao Munícipio de Santos, para conhecer as Políticas Públicas de Juventude realizadas pelo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11/3/2014</w:t>
      </w:r>
      <w:r>
        <w:rPr>
          <w:color w:val="000000"/>
        </w:rPr>
        <w:t xml:space="preserve"> - Reunião com Fundação Escola do Futuro - FUSP para possível parceira na manutenção do </w:t>
      </w:r>
      <w:r>
        <w:rPr>
          <w:i/>
          <w:color w:val="000000"/>
        </w:rPr>
        <w:t>site</w:t>
      </w:r>
      <w:r>
        <w:rPr>
          <w:color w:val="000000"/>
        </w:rPr>
        <w:t xml:space="preserve"> JuventudeSP.</w:t>
      </w:r>
    </w:p>
    <w:p w:rsidR="003E6588" w:rsidRDefault="003E6588">
      <w:pPr>
        <w:ind w:firstLine="1134"/>
        <w:jc w:val="both"/>
        <w:rPr>
          <w:b/>
          <w:color w:val="000000"/>
        </w:rPr>
      </w:pPr>
    </w:p>
    <w:p w:rsidR="003E6588" w:rsidRDefault="003E6588">
      <w:pPr>
        <w:ind w:firstLine="1134"/>
        <w:jc w:val="both"/>
        <w:rPr>
          <w:color w:val="000000"/>
        </w:rPr>
      </w:pPr>
      <w:r>
        <w:rPr>
          <w:b/>
          <w:color w:val="000000"/>
        </w:rPr>
        <w:lastRenderedPageBreak/>
        <w:t>12/3/2014</w:t>
      </w:r>
      <w:r>
        <w:rPr>
          <w:color w:val="000000"/>
        </w:rPr>
        <w:t xml:space="preserve"> - Reunião com a equipe da Secretária de Planejamento e Desenvolvimento Regional para discutir futuros projetos em parceria com a Coordenação de Programas para a Juventude.</w:t>
      </w:r>
    </w:p>
    <w:p w:rsidR="003E6588" w:rsidRDefault="003E6588">
      <w:pPr>
        <w:ind w:firstLine="1134"/>
        <w:jc w:val="both"/>
        <w:rPr>
          <w:b/>
          <w:color w:val="000000"/>
        </w:rPr>
      </w:pPr>
    </w:p>
    <w:p w:rsidR="003E6588" w:rsidRDefault="003E6588">
      <w:pPr>
        <w:ind w:firstLine="1134"/>
        <w:jc w:val="both"/>
        <w:rPr>
          <w:color w:val="000000"/>
        </w:rPr>
      </w:pPr>
      <w:r>
        <w:rPr>
          <w:b/>
          <w:color w:val="000000"/>
        </w:rPr>
        <w:t>13/3/2014</w:t>
      </w:r>
      <w:r>
        <w:rPr>
          <w:color w:val="000000"/>
        </w:rPr>
        <w:t xml:space="preserve"> - Reunião na Prefeitura Municipal de Nova D’Odessa, para verificar as possibilidades de implantaçção do conselho municipal de juventude e posteriormente uma coordenação de programas para a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13/3/2014</w:t>
      </w:r>
      <w:r>
        <w:rPr>
          <w:color w:val="000000"/>
        </w:rPr>
        <w:t xml:space="preserve"> - Visita ao Município de Campinas, para conhecer as Políticas Públicas de Juventude realizadas pelo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14/3/2014</w:t>
      </w:r>
      <w:r>
        <w:rPr>
          <w:color w:val="000000"/>
        </w:rPr>
        <w:t xml:space="preserve"> - Reunião com o gestor de juventude do Município de Penápolis.</w:t>
      </w:r>
    </w:p>
    <w:p w:rsidR="003E6588" w:rsidRDefault="003E6588">
      <w:pPr>
        <w:ind w:firstLine="1134"/>
        <w:jc w:val="both"/>
        <w:rPr>
          <w:b/>
          <w:color w:val="000000"/>
        </w:rPr>
      </w:pPr>
    </w:p>
    <w:p w:rsidR="003E6588" w:rsidRDefault="003E6588">
      <w:pPr>
        <w:ind w:firstLine="1134"/>
        <w:jc w:val="both"/>
        <w:rPr>
          <w:color w:val="000000"/>
        </w:rPr>
      </w:pPr>
      <w:r>
        <w:rPr>
          <w:b/>
          <w:color w:val="000000"/>
        </w:rPr>
        <w:t>14/3/2014</w:t>
      </w:r>
      <w:r>
        <w:rPr>
          <w:color w:val="000000"/>
        </w:rPr>
        <w:t xml:space="preserve"> - Reunião com a organização não governamental, Associação de Esporte de Ação.</w:t>
      </w:r>
    </w:p>
    <w:p w:rsidR="003E6588" w:rsidRDefault="003E6588">
      <w:pPr>
        <w:ind w:firstLine="1134"/>
        <w:jc w:val="both"/>
        <w:rPr>
          <w:color w:val="000000"/>
        </w:rPr>
      </w:pPr>
    </w:p>
    <w:p w:rsidR="003E6588" w:rsidRDefault="003E6588">
      <w:pPr>
        <w:ind w:firstLine="1134"/>
        <w:jc w:val="both"/>
        <w:rPr>
          <w:color w:val="000000"/>
        </w:rPr>
      </w:pPr>
      <w:r>
        <w:rPr>
          <w:b/>
          <w:color w:val="000000"/>
        </w:rPr>
        <w:t>15 e 16/3/2014</w:t>
      </w:r>
      <w:r>
        <w:rPr>
          <w:color w:val="000000"/>
        </w:rPr>
        <w:t xml:space="preserve"> - Participação no 9º Fórum Paulista de Juventude realizado em São José dos Campos.</w:t>
      </w:r>
    </w:p>
    <w:p w:rsidR="003E6588" w:rsidRDefault="003E6588">
      <w:pPr>
        <w:ind w:firstLine="1134"/>
        <w:jc w:val="both"/>
        <w:rPr>
          <w:color w:val="000000"/>
        </w:rPr>
      </w:pPr>
    </w:p>
    <w:p w:rsidR="003E6588" w:rsidRDefault="003E6588">
      <w:pPr>
        <w:ind w:firstLine="1134"/>
        <w:jc w:val="both"/>
        <w:rPr>
          <w:color w:val="000000"/>
        </w:rPr>
      </w:pPr>
      <w:r>
        <w:rPr>
          <w:b/>
          <w:color w:val="000000"/>
        </w:rPr>
        <w:t>20 e 21/3/2014</w:t>
      </w:r>
      <w:r>
        <w:rPr>
          <w:color w:val="000000"/>
        </w:rPr>
        <w:t xml:space="preserve"> - Participação no 1º Seminário Nacional de Políticas Públicas de Trabalho, Emprego e Renda para a Juventude realizado em Brasília - Distrito Federal.</w:t>
      </w:r>
    </w:p>
    <w:p w:rsidR="003E6588" w:rsidRDefault="003E6588">
      <w:pPr>
        <w:ind w:firstLine="1134"/>
        <w:jc w:val="both"/>
        <w:rPr>
          <w:color w:val="000000"/>
        </w:rPr>
      </w:pPr>
    </w:p>
    <w:p w:rsidR="003E6588" w:rsidRDefault="003E6588">
      <w:pPr>
        <w:ind w:firstLine="1134"/>
        <w:jc w:val="both"/>
        <w:rPr>
          <w:color w:val="000000"/>
        </w:rPr>
      </w:pPr>
      <w:r>
        <w:rPr>
          <w:b/>
          <w:color w:val="000000"/>
        </w:rPr>
        <w:t>25/3/2014</w:t>
      </w:r>
      <w:r>
        <w:rPr>
          <w:color w:val="000000"/>
        </w:rPr>
        <w:t xml:space="preserve"> - 2º Reunião com Fundação Escola do Futuro - FUSP para possível parceira na manutenção do </w:t>
      </w:r>
      <w:r>
        <w:rPr>
          <w:i/>
          <w:color w:val="000000"/>
        </w:rPr>
        <w:t>site</w:t>
      </w:r>
      <w:r>
        <w:rPr>
          <w:color w:val="000000"/>
        </w:rPr>
        <w:t xml:space="preserve"> JuventudeSP.</w:t>
      </w:r>
    </w:p>
    <w:p w:rsidR="003E6588" w:rsidRDefault="003E6588">
      <w:pPr>
        <w:ind w:firstLine="1134"/>
        <w:jc w:val="both"/>
        <w:rPr>
          <w:color w:val="000000"/>
        </w:rPr>
      </w:pPr>
    </w:p>
    <w:p w:rsidR="003E6588" w:rsidRDefault="003E6588">
      <w:pPr>
        <w:ind w:firstLine="1134"/>
        <w:jc w:val="both"/>
        <w:rPr>
          <w:color w:val="000000"/>
        </w:rPr>
      </w:pPr>
      <w:r>
        <w:rPr>
          <w:b/>
          <w:color w:val="000000"/>
        </w:rPr>
        <w:t>26/3/2014</w:t>
      </w:r>
      <w:r>
        <w:rPr>
          <w:color w:val="000000"/>
        </w:rPr>
        <w:t xml:space="preserve"> - Participação 1º Encontro de Gestores de Voluntariado realizado pelo Centro Paula Souza.</w:t>
      </w:r>
    </w:p>
    <w:p w:rsidR="003E6588" w:rsidRDefault="003E6588">
      <w:pPr>
        <w:ind w:firstLine="1134"/>
        <w:jc w:val="both"/>
        <w:rPr>
          <w:color w:val="000000"/>
        </w:rPr>
      </w:pPr>
    </w:p>
    <w:p w:rsidR="003E6588" w:rsidRDefault="003E6588">
      <w:pPr>
        <w:ind w:firstLine="1134"/>
        <w:jc w:val="both"/>
        <w:rPr>
          <w:color w:val="000000"/>
        </w:rPr>
      </w:pPr>
      <w:r>
        <w:rPr>
          <w:b/>
          <w:color w:val="000000"/>
        </w:rPr>
        <w:t>27/3/2014</w:t>
      </w:r>
      <w:r>
        <w:rPr>
          <w:color w:val="000000"/>
        </w:rPr>
        <w:t xml:space="preserve"> - Reunião com os responsáveis pelos “Rolezinhos”.</w:t>
      </w:r>
    </w:p>
    <w:p w:rsidR="003E6588" w:rsidRDefault="003E6588">
      <w:pPr>
        <w:ind w:firstLine="1134"/>
        <w:jc w:val="both"/>
        <w:rPr>
          <w:color w:val="000000"/>
        </w:rPr>
      </w:pPr>
    </w:p>
    <w:p w:rsidR="003E6588" w:rsidRDefault="003E6588">
      <w:pPr>
        <w:ind w:firstLine="1134"/>
        <w:jc w:val="both"/>
        <w:rPr>
          <w:color w:val="000000"/>
        </w:rPr>
      </w:pPr>
      <w:r>
        <w:rPr>
          <w:b/>
          <w:color w:val="000000"/>
        </w:rPr>
        <w:t>31/3/2014</w:t>
      </w:r>
      <w:r>
        <w:rPr>
          <w:color w:val="000000"/>
        </w:rPr>
        <w:t xml:space="preserve"> - Reunião com a equipe da Secretária da Cultura para discutir futuros projetos em parceria com a Coordenação de Programas para a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1º/4/2014</w:t>
      </w:r>
      <w:r>
        <w:rPr>
          <w:color w:val="000000"/>
        </w:rPr>
        <w:t xml:space="preserve"> - Reunião com a equipe da Secretária de Gestão Pública para discutir futuros projetos em parceria com a Coordenação de Programas para a Juventude.</w:t>
      </w:r>
    </w:p>
    <w:p w:rsidR="003E6588" w:rsidRDefault="003E6588">
      <w:pPr>
        <w:ind w:firstLine="1134"/>
        <w:jc w:val="both"/>
        <w:rPr>
          <w:b/>
          <w:color w:val="000000"/>
        </w:rPr>
      </w:pPr>
    </w:p>
    <w:p w:rsidR="003E6588" w:rsidRDefault="003E6588">
      <w:pPr>
        <w:ind w:firstLine="1134"/>
        <w:jc w:val="both"/>
        <w:rPr>
          <w:color w:val="000000"/>
        </w:rPr>
      </w:pPr>
      <w:r>
        <w:rPr>
          <w:b/>
          <w:color w:val="000000"/>
        </w:rPr>
        <w:t>2/4/2014</w:t>
      </w:r>
      <w:r>
        <w:rPr>
          <w:color w:val="000000"/>
        </w:rPr>
        <w:t xml:space="preserve"> - Reunião com a organização não governamental </w:t>
      </w:r>
      <w:r>
        <w:rPr>
          <w:i/>
          <w:color w:val="000000"/>
        </w:rPr>
        <w:t>Childhood</w:t>
      </w:r>
      <w:r>
        <w:rPr>
          <w:color w:val="000000"/>
        </w:rPr>
        <w:t xml:space="preserve"> Brasil.</w:t>
      </w:r>
    </w:p>
    <w:p w:rsidR="003E6588" w:rsidRDefault="003E6588">
      <w:pPr>
        <w:ind w:firstLine="1134"/>
        <w:jc w:val="both"/>
        <w:rPr>
          <w:b/>
          <w:color w:val="000000"/>
        </w:rPr>
      </w:pPr>
    </w:p>
    <w:p w:rsidR="003E6588" w:rsidRDefault="003E6588">
      <w:pPr>
        <w:ind w:firstLine="1134"/>
        <w:jc w:val="both"/>
        <w:rPr>
          <w:color w:val="000000"/>
        </w:rPr>
      </w:pPr>
      <w:r>
        <w:rPr>
          <w:b/>
          <w:color w:val="000000"/>
        </w:rPr>
        <w:t>28/4/2014</w:t>
      </w:r>
      <w:r>
        <w:rPr>
          <w:color w:val="000000"/>
        </w:rPr>
        <w:t xml:space="preserve"> - Visita ao Município de Lençóis Paulista, para conhecer as Políticas Públicas de Juventude realizadas pelo Município.</w:t>
      </w:r>
    </w:p>
    <w:p w:rsidR="003E6588" w:rsidRDefault="003E6588">
      <w:pPr>
        <w:ind w:firstLine="1134"/>
        <w:jc w:val="both"/>
        <w:rPr>
          <w:b/>
          <w:color w:val="000000"/>
        </w:rPr>
      </w:pPr>
    </w:p>
    <w:p w:rsidR="003E6588" w:rsidRDefault="003E6588">
      <w:pPr>
        <w:ind w:firstLine="1134"/>
        <w:jc w:val="both"/>
        <w:rPr>
          <w:color w:val="000000"/>
        </w:rPr>
      </w:pPr>
      <w:r>
        <w:rPr>
          <w:b/>
          <w:color w:val="000000"/>
        </w:rPr>
        <w:t>29/4/2014</w:t>
      </w:r>
      <w:r>
        <w:rPr>
          <w:color w:val="000000"/>
        </w:rPr>
        <w:t xml:space="preserve"> - Visita ao Município de Limeira, para conhecer as Políticas Públicas de Juventude realizadas pelo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lastRenderedPageBreak/>
        <w:t>28/5/2014</w:t>
      </w:r>
      <w:r>
        <w:rPr>
          <w:color w:val="000000"/>
        </w:rPr>
        <w:t xml:space="preserve"> - Reunião com Fundação Escola do Futuro - FUSP juntamente com a Companhia de Processamento de Dados do Estado de São Paulo - PRODESP para possível parceira na manutenção do </w:t>
      </w:r>
      <w:r>
        <w:rPr>
          <w:i/>
          <w:color w:val="000000"/>
        </w:rPr>
        <w:t>site</w:t>
      </w:r>
      <w:r>
        <w:rPr>
          <w:color w:val="000000"/>
        </w:rPr>
        <w:t xml:space="preserve"> JuventudeSP.</w:t>
      </w:r>
    </w:p>
    <w:p w:rsidR="003E6588" w:rsidRDefault="003E6588">
      <w:pPr>
        <w:ind w:firstLine="1134"/>
        <w:jc w:val="both"/>
        <w:rPr>
          <w:color w:val="000000"/>
        </w:rPr>
      </w:pPr>
    </w:p>
    <w:p w:rsidR="003E6588" w:rsidRDefault="003E6588">
      <w:pPr>
        <w:ind w:firstLine="1134"/>
        <w:jc w:val="both"/>
        <w:rPr>
          <w:color w:val="000000"/>
        </w:rPr>
      </w:pPr>
      <w:r>
        <w:rPr>
          <w:b/>
          <w:color w:val="000000"/>
        </w:rPr>
        <w:t>3/6/2014</w:t>
      </w:r>
      <w:r>
        <w:rPr>
          <w:color w:val="000000"/>
        </w:rPr>
        <w:t xml:space="preserve"> - Reunião com os diretores de ensino das Etec’s da Região do Vale do Paraíba.</w:t>
      </w:r>
    </w:p>
    <w:p w:rsidR="003E6588" w:rsidRDefault="003E6588">
      <w:pPr>
        <w:ind w:firstLine="1134"/>
        <w:jc w:val="both"/>
        <w:rPr>
          <w:color w:val="000000"/>
        </w:rPr>
      </w:pPr>
    </w:p>
    <w:p w:rsidR="003E6588" w:rsidRDefault="003E6588">
      <w:pPr>
        <w:ind w:firstLine="1134"/>
        <w:jc w:val="both"/>
        <w:rPr>
          <w:color w:val="000000"/>
        </w:rPr>
      </w:pPr>
      <w:r>
        <w:rPr>
          <w:b/>
          <w:color w:val="000000"/>
        </w:rPr>
        <w:t>4/6/2014</w:t>
      </w:r>
      <w:r>
        <w:rPr>
          <w:color w:val="000000"/>
        </w:rPr>
        <w:t xml:space="preserve"> - Participação no evento “A Articulação da Juventude no Estado de São Paulo”, realizado na Câmara Municipal de São Paulo.</w:t>
      </w:r>
    </w:p>
    <w:p w:rsidR="002C70E2" w:rsidRDefault="002C70E2">
      <w:pPr>
        <w:ind w:firstLine="1134"/>
        <w:jc w:val="both"/>
        <w:rPr>
          <w:color w:val="000000"/>
        </w:rPr>
      </w:pPr>
    </w:p>
    <w:p w:rsidR="003E6588" w:rsidRDefault="003E6588">
      <w:pPr>
        <w:ind w:firstLine="1134"/>
        <w:jc w:val="both"/>
        <w:rPr>
          <w:color w:val="000000"/>
        </w:rPr>
      </w:pPr>
      <w:r>
        <w:rPr>
          <w:b/>
          <w:color w:val="000000"/>
        </w:rPr>
        <w:t>4/6/2014</w:t>
      </w:r>
      <w:r>
        <w:rPr>
          <w:color w:val="000000"/>
        </w:rPr>
        <w:t xml:space="preserve"> - Reunião com Fundação Instituto de Pesquisa Econômicas - FIPE sobre a Pesquisa Jovem 2020 que realizada em parceira com a Coordenação de Programas para a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26/6/2014</w:t>
      </w:r>
      <w:r>
        <w:rPr>
          <w:color w:val="000000"/>
        </w:rPr>
        <w:t xml:space="preserve"> - Reunião com a Papiro Comunicação para apresentação do trabalho que a empresa desenvolve na área de comunicação e assessoria de imprensa.</w:t>
      </w:r>
    </w:p>
    <w:p w:rsidR="003E6588" w:rsidRDefault="003E6588">
      <w:pPr>
        <w:ind w:firstLine="1134"/>
        <w:jc w:val="both"/>
        <w:rPr>
          <w:color w:val="000000"/>
        </w:rPr>
      </w:pPr>
    </w:p>
    <w:p w:rsidR="003E6588" w:rsidRDefault="003E6588">
      <w:pPr>
        <w:ind w:firstLine="1134"/>
        <w:jc w:val="both"/>
        <w:rPr>
          <w:color w:val="000000"/>
        </w:rPr>
      </w:pPr>
      <w:r>
        <w:rPr>
          <w:b/>
          <w:color w:val="000000"/>
        </w:rPr>
        <w:t>15/7/2014</w:t>
      </w:r>
      <w:r>
        <w:rPr>
          <w:color w:val="000000"/>
        </w:rPr>
        <w:t xml:space="preserve"> - Participação na apresentação final do projeto de pesquisa Jovem 2020 realizada pela Fundação Instituto de Pesquisa Econômica - FIPE em parceria com a Coordenação de Programas para a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16/7/2014</w:t>
      </w:r>
      <w:r>
        <w:rPr>
          <w:color w:val="000000"/>
        </w:rPr>
        <w:t xml:space="preserve"> - Visita ao Município de Valinhos, para conhecer as Políticas Públicas de Juventude realizadas pelo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17/7/2014</w:t>
      </w:r>
      <w:r>
        <w:rPr>
          <w:color w:val="000000"/>
        </w:rPr>
        <w:t xml:space="preserve"> - Reunião na Fundação Getúlio Vargas - FGV - Projetos para possível parceria na atualização do Guia de Políticas Públicas de Juventude do Estado de São Paulo.</w:t>
      </w:r>
    </w:p>
    <w:p w:rsidR="003E6588" w:rsidRDefault="003E6588">
      <w:pPr>
        <w:ind w:firstLine="1134"/>
        <w:jc w:val="both"/>
        <w:rPr>
          <w:color w:val="000000"/>
        </w:rPr>
      </w:pPr>
    </w:p>
    <w:p w:rsidR="003E6588" w:rsidRDefault="003E6588">
      <w:pPr>
        <w:ind w:firstLine="1134"/>
        <w:jc w:val="both"/>
        <w:rPr>
          <w:color w:val="000000"/>
        </w:rPr>
      </w:pPr>
      <w:r>
        <w:rPr>
          <w:b/>
          <w:color w:val="000000"/>
        </w:rPr>
        <w:t>22/7/2014</w:t>
      </w:r>
      <w:r>
        <w:rPr>
          <w:color w:val="000000"/>
        </w:rPr>
        <w:t xml:space="preserve"> </w:t>
      </w:r>
      <w:r w:rsidR="002C70E2">
        <w:rPr>
          <w:color w:val="000000"/>
        </w:rPr>
        <w:t>-</w:t>
      </w:r>
      <w:r>
        <w:rPr>
          <w:color w:val="000000"/>
        </w:rPr>
        <w:t xml:space="preserve"> Participação no evento de Lançamento do Projeto "Cultura de Paz nas Escolas" com o tema "Mediação e Resolução de Conflitos” a convite da organização não governamental Um Milhão de Amigos, no Munícipio de Salto.</w:t>
      </w:r>
    </w:p>
    <w:p w:rsidR="003E6588" w:rsidRDefault="003E6588">
      <w:pPr>
        <w:ind w:firstLine="1134"/>
        <w:jc w:val="both"/>
        <w:rPr>
          <w:color w:val="000000"/>
        </w:rPr>
      </w:pPr>
    </w:p>
    <w:p w:rsidR="003E6588" w:rsidRDefault="003E6588">
      <w:pPr>
        <w:ind w:firstLine="1134"/>
        <w:jc w:val="both"/>
        <w:rPr>
          <w:color w:val="000000"/>
        </w:rPr>
      </w:pPr>
      <w:r>
        <w:rPr>
          <w:b/>
          <w:color w:val="000000"/>
        </w:rPr>
        <w:t>29/7/2014</w:t>
      </w:r>
      <w:r>
        <w:rPr>
          <w:color w:val="000000"/>
        </w:rPr>
        <w:t xml:space="preserve"> - Reunião com o responsável pelo Prêmio Jovem Brasileiro, que a Coordenação de Programas para a Juventude ganha a quatro anos consecutivos na categoria social.</w:t>
      </w:r>
    </w:p>
    <w:p w:rsidR="003E6588" w:rsidRDefault="003E6588">
      <w:pPr>
        <w:ind w:firstLine="1134"/>
        <w:jc w:val="both"/>
        <w:rPr>
          <w:color w:val="000000"/>
        </w:rPr>
      </w:pPr>
    </w:p>
    <w:p w:rsidR="003E6588" w:rsidRDefault="003E6588">
      <w:pPr>
        <w:ind w:firstLine="1134"/>
        <w:jc w:val="both"/>
        <w:rPr>
          <w:color w:val="000000"/>
        </w:rPr>
      </w:pPr>
      <w:r>
        <w:rPr>
          <w:b/>
          <w:color w:val="000000"/>
        </w:rPr>
        <w:t>5/8/2014</w:t>
      </w:r>
      <w:r>
        <w:rPr>
          <w:color w:val="000000"/>
        </w:rPr>
        <w:t xml:space="preserve"> - Reunião com o jovem que se destacou na educação de São José dos Campos.</w:t>
      </w:r>
    </w:p>
    <w:p w:rsidR="003E6588" w:rsidRDefault="003E6588">
      <w:pPr>
        <w:ind w:firstLine="1134"/>
        <w:jc w:val="both"/>
        <w:rPr>
          <w:color w:val="000000"/>
        </w:rPr>
      </w:pPr>
    </w:p>
    <w:p w:rsidR="003E6588" w:rsidRDefault="003E6588">
      <w:pPr>
        <w:ind w:firstLine="1134"/>
        <w:jc w:val="both"/>
        <w:rPr>
          <w:color w:val="000000"/>
          <w:shd w:val="clear" w:color="auto" w:fill="FFFFFF"/>
        </w:rPr>
      </w:pPr>
      <w:r>
        <w:rPr>
          <w:b/>
          <w:color w:val="000000"/>
        </w:rPr>
        <w:t>12/8/2014</w:t>
      </w:r>
      <w:r>
        <w:rPr>
          <w:color w:val="000000"/>
        </w:rPr>
        <w:t xml:space="preserve"> - Reunião no </w:t>
      </w:r>
      <w:r>
        <w:rPr>
          <w:color w:val="000000"/>
          <w:shd w:val="clear" w:color="auto" w:fill="FFFFFF"/>
        </w:rPr>
        <w:t xml:space="preserve">Centro de Estudos e Pesquisas de Administração Municipal - </w:t>
      </w:r>
      <w:r>
        <w:rPr>
          <w:color w:val="000000"/>
        </w:rPr>
        <w:t xml:space="preserve">CEPAM </w:t>
      </w:r>
      <w:r>
        <w:rPr>
          <w:color w:val="000000"/>
          <w:shd w:val="clear" w:color="auto" w:fill="FFFFFF"/>
        </w:rPr>
        <w:t>para parceria na atualização do Guia de Políticas Públicas de Juventude do Estado de São Paulo.</w:t>
      </w:r>
    </w:p>
    <w:p w:rsidR="003E6588" w:rsidRDefault="003E6588">
      <w:pPr>
        <w:ind w:firstLine="1134"/>
        <w:jc w:val="both"/>
        <w:rPr>
          <w:color w:val="000000"/>
        </w:rPr>
      </w:pPr>
    </w:p>
    <w:p w:rsidR="003E6588" w:rsidRDefault="003E6588">
      <w:pPr>
        <w:ind w:firstLine="1134"/>
        <w:jc w:val="both"/>
        <w:rPr>
          <w:color w:val="000000"/>
        </w:rPr>
      </w:pPr>
      <w:r>
        <w:rPr>
          <w:b/>
          <w:color w:val="000000"/>
        </w:rPr>
        <w:t>13/8/2014</w:t>
      </w:r>
      <w:r>
        <w:rPr>
          <w:color w:val="000000"/>
        </w:rPr>
        <w:t xml:space="preserve"> - Reunião com a Etec Carlos de Campos - São Paulo.</w:t>
      </w:r>
    </w:p>
    <w:p w:rsidR="003E6588" w:rsidRDefault="003E6588">
      <w:pPr>
        <w:ind w:firstLine="1134"/>
        <w:jc w:val="both"/>
        <w:rPr>
          <w:b/>
          <w:color w:val="000000"/>
        </w:rPr>
      </w:pPr>
    </w:p>
    <w:p w:rsidR="003E6588" w:rsidRDefault="003E6588">
      <w:pPr>
        <w:ind w:firstLine="1134"/>
        <w:jc w:val="both"/>
        <w:rPr>
          <w:color w:val="000000"/>
        </w:rPr>
      </w:pPr>
      <w:r>
        <w:rPr>
          <w:b/>
          <w:color w:val="000000"/>
        </w:rPr>
        <w:t>14/8/2014</w:t>
      </w:r>
      <w:r>
        <w:rPr>
          <w:color w:val="000000"/>
        </w:rPr>
        <w:t xml:space="preserve"> - Visita ao Parque do Tietê.</w:t>
      </w:r>
    </w:p>
    <w:p w:rsidR="003E6588" w:rsidRDefault="003E6588">
      <w:pPr>
        <w:ind w:firstLine="1134"/>
        <w:jc w:val="both"/>
        <w:rPr>
          <w:color w:val="000000"/>
        </w:rPr>
      </w:pPr>
    </w:p>
    <w:p w:rsidR="003E6588" w:rsidRDefault="003E6588">
      <w:pPr>
        <w:ind w:firstLine="1134"/>
        <w:jc w:val="both"/>
        <w:rPr>
          <w:color w:val="000000"/>
        </w:rPr>
      </w:pPr>
      <w:r>
        <w:rPr>
          <w:b/>
          <w:color w:val="000000"/>
        </w:rPr>
        <w:t>28/8/2014</w:t>
      </w:r>
      <w:r>
        <w:rPr>
          <w:color w:val="000000"/>
        </w:rPr>
        <w:t xml:space="preserve"> - Reunião para apresentação do Espaço Gastronômico Cia. da Dandeja.</w:t>
      </w:r>
    </w:p>
    <w:p w:rsidR="003E6588" w:rsidRDefault="003E6588">
      <w:pPr>
        <w:ind w:firstLine="1134"/>
        <w:jc w:val="both"/>
        <w:rPr>
          <w:color w:val="000000"/>
        </w:rPr>
      </w:pPr>
      <w:r>
        <w:rPr>
          <w:b/>
          <w:color w:val="000000"/>
        </w:rPr>
        <w:lastRenderedPageBreak/>
        <w:t>3/9/2014</w:t>
      </w:r>
      <w:r>
        <w:rPr>
          <w:color w:val="000000"/>
        </w:rPr>
        <w:t xml:space="preserve"> - Reunião no Município de Boituva, para articulação e criação da coordenação de programas para a juventude no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9/9/2014</w:t>
      </w:r>
      <w:r>
        <w:rPr>
          <w:color w:val="000000"/>
        </w:rPr>
        <w:t xml:space="preserve"> - Participação do evento “Grande Encontro do Esporte”, realizado pela Secretaria de Esporte, Lazer e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12/9/2014</w:t>
      </w:r>
      <w:r>
        <w:rPr>
          <w:color w:val="000000"/>
        </w:rPr>
        <w:t xml:space="preserve"> - Visita ao Município de Cruzeiro, para conhecer as Políticas Públicas de Juventude realizadas pelo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14/9/2014</w:t>
      </w:r>
      <w:r>
        <w:rPr>
          <w:color w:val="000000"/>
        </w:rPr>
        <w:t xml:space="preserve"> - Participação no evento “Grito Cultural </w:t>
      </w:r>
      <w:r w:rsidRPr="002C70E2">
        <w:rPr>
          <w:i/>
          <w:color w:val="000000"/>
        </w:rPr>
        <w:t>Reggae</w:t>
      </w:r>
      <w:r>
        <w:rPr>
          <w:color w:val="000000"/>
        </w:rPr>
        <w:t xml:space="preserve"> 2º edição” a convite da organização não governamental, Associação Cultural </w:t>
      </w:r>
      <w:r w:rsidRPr="002C70E2">
        <w:rPr>
          <w:i/>
          <w:color w:val="000000"/>
        </w:rPr>
        <w:t>Reggae</w:t>
      </w:r>
      <w:r>
        <w:rPr>
          <w:color w:val="000000"/>
        </w:rPr>
        <w:t>, Alfredo Rasta.</w:t>
      </w:r>
    </w:p>
    <w:p w:rsidR="003E6588" w:rsidRDefault="003E6588">
      <w:pPr>
        <w:ind w:firstLine="1134"/>
        <w:jc w:val="both"/>
        <w:rPr>
          <w:color w:val="000000"/>
        </w:rPr>
      </w:pPr>
    </w:p>
    <w:p w:rsidR="003E6588" w:rsidRDefault="003E6588">
      <w:pPr>
        <w:ind w:firstLine="1134"/>
        <w:jc w:val="both"/>
        <w:rPr>
          <w:color w:val="000000"/>
        </w:rPr>
      </w:pPr>
      <w:r>
        <w:rPr>
          <w:b/>
          <w:color w:val="000000"/>
        </w:rPr>
        <w:t>16/9/2014</w:t>
      </w:r>
      <w:r>
        <w:rPr>
          <w:color w:val="000000"/>
        </w:rPr>
        <w:t xml:space="preserve"> - Participação no 2º Encontro "Cultura de Paz nas Escolas" com o tema "Mediação e Resolução de Conflitos” a convite da organização não governamental Um Milhão de Amigos, no Munícipio de Salto.</w:t>
      </w:r>
    </w:p>
    <w:p w:rsidR="003E6588" w:rsidRDefault="003E6588">
      <w:pPr>
        <w:ind w:firstLine="1134"/>
        <w:jc w:val="both"/>
        <w:rPr>
          <w:color w:val="000000"/>
        </w:rPr>
      </w:pPr>
    </w:p>
    <w:p w:rsidR="003E6588" w:rsidRDefault="003E6588">
      <w:pPr>
        <w:ind w:firstLine="1134"/>
        <w:jc w:val="both"/>
        <w:rPr>
          <w:color w:val="000000"/>
        </w:rPr>
      </w:pPr>
      <w:r>
        <w:rPr>
          <w:b/>
          <w:color w:val="000000"/>
        </w:rPr>
        <w:t>18/9/2014</w:t>
      </w:r>
      <w:r>
        <w:rPr>
          <w:color w:val="000000"/>
        </w:rPr>
        <w:t xml:space="preserve"> - Visita ao Município de Paraibuna, para conhecer as Políticas Públicas de Juventude realizadas pelo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21/9/2014</w:t>
      </w:r>
      <w:r>
        <w:rPr>
          <w:color w:val="000000"/>
        </w:rPr>
        <w:t xml:space="preserve"> - Participação no evento “Jovem </w:t>
      </w:r>
      <w:r>
        <w:rPr>
          <w:i/>
          <w:color w:val="000000"/>
        </w:rPr>
        <w:t>Fest</w:t>
      </w:r>
      <w:r>
        <w:rPr>
          <w:color w:val="000000"/>
        </w:rPr>
        <w:t xml:space="preserve">” realizado pela agência </w:t>
      </w:r>
      <w:r>
        <w:rPr>
          <w:i/>
          <w:color w:val="000000"/>
        </w:rPr>
        <w:t>Zapping</w:t>
      </w:r>
      <w:r>
        <w:rPr>
          <w:color w:val="000000"/>
        </w:rPr>
        <w:t>.</w:t>
      </w:r>
    </w:p>
    <w:p w:rsidR="003E6588" w:rsidRDefault="003E6588">
      <w:pPr>
        <w:ind w:firstLine="1134"/>
        <w:jc w:val="both"/>
        <w:rPr>
          <w:b/>
          <w:color w:val="000000"/>
        </w:rPr>
      </w:pPr>
    </w:p>
    <w:p w:rsidR="003E6588" w:rsidRDefault="003E6588">
      <w:pPr>
        <w:ind w:firstLine="1134"/>
        <w:jc w:val="both"/>
        <w:rPr>
          <w:color w:val="000000"/>
        </w:rPr>
      </w:pPr>
      <w:r>
        <w:rPr>
          <w:b/>
          <w:color w:val="000000"/>
        </w:rPr>
        <w:t>24/9/2014</w:t>
      </w:r>
      <w:r>
        <w:rPr>
          <w:color w:val="000000"/>
        </w:rPr>
        <w:t xml:space="preserve"> - Reunião com a organização não governamental Associação de Esportes de Ação, para parceira no projeto denominado Juventude ASA.</w:t>
      </w:r>
    </w:p>
    <w:p w:rsidR="003E6588" w:rsidRDefault="003E6588">
      <w:pPr>
        <w:ind w:firstLine="1134"/>
        <w:jc w:val="both"/>
        <w:rPr>
          <w:b/>
          <w:color w:val="000000"/>
        </w:rPr>
      </w:pPr>
    </w:p>
    <w:p w:rsidR="003E6588" w:rsidRDefault="003E6588">
      <w:pPr>
        <w:ind w:firstLine="1134"/>
        <w:jc w:val="both"/>
        <w:rPr>
          <w:color w:val="000000"/>
        </w:rPr>
      </w:pPr>
      <w:r>
        <w:rPr>
          <w:b/>
          <w:color w:val="000000"/>
        </w:rPr>
        <w:t>25/9/2014</w:t>
      </w:r>
      <w:r>
        <w:rPr>
          <w:color w:val="000000"/>
        </w:rPr>
        <w:t xml:space="preserve"> - Visita ao Município de Caieiras, para conhecer o Projeto Bilú, casas abrigo para utilização do esporte e cultura para trazer crianças e jovens para o convívio social.</w:t>
      </w:r>
    </w:p>
    <w:p w:rsidR="003E6588" w:rsidRDefault="003E6588">
      <w:pPr>
        <w:ind w:firstLine="1134"/>
        <w:jc w:val="both"/>
        <w:rPr>
          <w:b/>
          <w:color w:val="000000"/>
        </w:rPr>
      </w:pPr>
    </w:p>
    <w:p w:rsidR="003E6588" w:rsidRDefault="003E6588">
      <w:pPr>
        <w:ind w:firstLine="1134"/>
        <w:jc w:val="both"/>
        <w:rPr>
          <w:color w:val="000000"/>
        </w:rPr>
      </w:pPr>
      <w:r>
        <w:rPr>
          <w:b/>
          <w:color w:val="000000"/>
        </w:rPr>
        <w:t>1º/10/2014</w:t>
      </w:r>
      <w:r>
        <w:rPr>
          <w:color w:val="000000"/>
        </w:rPr>
        <w:t xml:space="preserve"> - Visita técnica ao Município de Canas, para realização do projeto denominado Juventude ASA.</w:t>
      </w:r>
    </w:p>
    <w:p w:rsidR="003E6588" w:rsidRDefault="003E6588">
      <w:pPr>
        <w:ind w:firstLine="1134"/>
        <w:jc w:val="both"/>
        <w:rPr>
          <w:color w:val="000000"/>
        </w:rPr>
      </w:pPr>
    </w:p>
    <w:p w:rsidR="003E6588" w:rsidRDefault="003E6588">
      <w:pPr>
        <w:ind w:firstLine="1134"/>
        <w:jc w:val="both"/>
        <w:rPr>
          <w:color w:val="000000"/>
        </w:rPr>
      </w:pPr>
      <w:r>
        <w:rPr>
          <w:b/>
          <w:color w:val="000000"/>
        </w:rPr>
        <w:t>14/10/2014</w:t>
      </w:r>
      <w:r>
        <w:rPr>
          <w:color w:val="000000"/>
        </w:rPr>
        <w:t xml:space="preserve"> - Visita Município de Caieiras, para articular a criação de um órgão de juventude no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15/10/2014</w:t>
      </w:r>
      <w:r>
        <w:rPr>
          <w:color w:val="000000"/>
        </w:rPr>
        <w:t xml:space="preserve"> - Participação no debate “Esportes para Juventude da Cidade de São Paulo”, realizado pela Comissão da Juventude da Câmara Municipal de São Paulo.</w:t>
      </w:r>
    </w:p>
    <w:p w:rsidR="003E6588" w:rsidRPr="00875463" w:rsidRDefault="003E6588">
      <w:pPr>
        <w:ind w:firstLine="1134"/>
        <w:jc w:val="both"/>
        <w:rPr>
          <w:color w:val="000000"/>
          <w:sz w:val="16"/>
          <w:szCs w:val="16"/>
        </w:rPr>
      </w:pPr>
    </w:p>
    <w:p w:rsidR="003E6588" w:rsidRDefault="003E6588">
      <w:pPr>
        <w:ind w:firstLine="1134"/>
        <w:jc w:val="both"/>
        <w:rPr>
          <w:color w:val="000000"/>
        </w:rPr>
      </w:pPr>
      <w:r>
        <w:rPr>
          <w:b/>
          <w:color w:val="000000"/>
        </w:rPr>
        <w:t>21/10/2014</w:t>
      </w:r>
      <w:r>
        <w:rPr>
          <w:color w:val="000000"/>
        </w:rPr>
        <w:t xml:space="preserve"> - Participação na “III Semana Municipal de Juventude da Praia Grande”.</w:t>
      </w:r>
    </w:p>
    <w:p w:rsidR="003E6588" w:rsidRPr="00875463" w:rsidRDefault="003E6588">
      <w:pPr>
        <w:ind w:firstLine="1134"/>
        <w:jc w:val="both"/>
        <w:rPr>
          <w:color w:val="000000"/>
        </w:rPr>
      </w:pPr>
    </w:p>
    <w:p w:rsidR="003E6588" w:rsidRDefault="003E6588">
      <w:pPr>
        <w:ind w:firstLine="1134"/>
        <w:jc w:val="both"/>
        <w:rPr>
          <w:color w:val="000000"/>
        </w:rPr>
      </w:pPr>
      <w:r>
        <w:rPr>
          <w:b/>
          <w:color w:val="000000"/>
        </w:rPr>
        <w:t>4/11/2014</w:t>
      </w:r>
      <w:r>
        <w:rPr>
          <w:color w:val="000000"/>
        </w:rPr>
        <w:t xml:space="preserve"> - Reunião com representante da Campanha Digital para apresentação do trabalho realizados nas áreas de mídias sociais.</w:t>
      </w:r>
    </w:p>
    <w:p w:rsidR="003E6588" w:rsidRPr="00875463" w:rsidRDefault="003E6588">
      <w:pPr>
        <w:ind w:firstLine="1134"/>
        <w:jc w:val="both"/>
        <w:rPr>
          <w:color w:val="000000"/>
          <w:sz w:val="16"/>
          <w:szCs w:val="16"/>
        </w:rPr>
      </w:pPr>
    </w:p>
    <w:p w:rsidR="00DB2448" w:rsidRDefault="00DB2448">
      <w:pPr>
        <w:ind w:firstLine="1134"/>
        <w:jc w:val="both"/>
        <w:rPr>
          <w:b/>
          <w:color w:val="000000"/>
        </w:rPr>
      </w:pPr>
    </w:p>
    <w:p w:rsidR="00DB2448" w:rsidRDefault="00DB2448">
      <w:pPr>
        <w:ind w:firstLine="1134"/>
        <w:jc w:val="both"/>
        <w:rPr>
          <w:b/>
          <w:color w:val="000000"/>
        </w:rPr>
      </w:pPr>
    </w:p>
    <w:p w:rsidR="00DB2448" w:rsidRDefault="00DB2448">
      <w:pPr>
        <w:ind w:firstLine="1134"/>
        <w:jc w:val="both"/>
        <w:rPr>
          <w:b/>
          <w:color w:val="000000"/>
        </w:rPr>
      </w:pPr>
    </w:p>
    <w:p w:rsidR="003E6588" w:rsidRDefault="003E6588">
      <w:pPr>
        <w:ind w:firstLine="1134"/>
        <w:jc w:val="both"/>
        <w:rPr>
          <w:color w:val="000000"/>
          <w:shd w:val="clear" w:color="auto" w:fill="FFFFFF"/>
        </w:rPr>
      </w:pPr>
      <w:r>
        <w:rPr>
          <w:b/>
          <w:color w:val="000000"/>
        </w:rPr>
        <w:t>5/11/2014</w:t>
      </w:r>
      <w:r>
        <w:rPr>
          <w:color w:val="000000"/>
        </w:rPr>
        <w:t xml:space="preserve"> - 2º reunião no </w:t>
      </w:r>
      <w:r>
        <w:rPr>
          <w:color w:val="000000"/>
          <w:shd w:val="clear" w:color="auto" w:fill="FFFFFF"/>
        </w:rPr>
        <w:t xml:space="preserve">Centro de Estudos e Pesquisas de Administração Municipal - </w:t>
      </w:r>
      <w:r>
        <w:rPr>
          <w:color w:val="000000"/>
        </w:rPr>
        <w:t xml:space="preserve">CEPAM </w:t>
      </w:r>
      <w:r>
        <w:rPr>
          <w:color w:val="000000"/>
          <w:shd w:val="clear" w:color="auto" w:fill="FFFFFF"/>
        </w:rPr>
        <w:t>para parceria na atualização do Guia de Políticas Públicas de Juventude do Estado de São Paulo.</w:t>
      </w:r>
    </w:p>
    <w:p w:rsidR="00123C69" w:rsidRDefault="00123C69">
      <w:pPr>
        <w:ind w:firstLine="1134"/>
        <w:jc w:val="both"/>
        <w:rPr>
          <w:color w:val="000000"/>
          <w:shd w:val="clear" w:color="auto" w:fill="FFFFFF"/>
        </w:rPr>
      </w:pPr>
    </w:p>
    <w:p w:rsidR="003E6588" w:rsidRDefault="003E6588">
      <w:pPr>
        <w:ind w:firstLine="1134"/>
        <w:jc w:val="both"/>
        <w:rPr>
          <w:color w:val="000000"/>
        </w:rPr>
      </w:pPr>
      <w:r>
        <w:rPr>
          <w:b/>
          <w:color w:val="000000"/>
        </w:rPr>
        <w:t>11/11/2014</w:t>
      </w:r>
      <w:r>
        <w:rPr>
          <w:color w:val="000000"/>
        </w:rPr>
        <w:t xml:space="preserve"> - Participação no evento “Prêmio Jovem Brasileiro”, premiado mais uma vez na categoria social.</w:t>
      </w:r>
    </w:p>
    <w:p w:rsidR="003E6588" w:rsidRDefault="003E6588">
      <w:pPr>
        <w:ind w:firstLine="1134"/>
        <w:jc w:val="both"/>
        <w:rPr>
          <w:b/>
          <w:color w:val="000000"/>
        </w:rPr>
      </w:pPr>
    </w:p>
    <w:p w:rsidR="003E6588" w:rsidRDefault="003E6588">
      <w:pPr>
        <w:ind w:firstLine="1134"/>
        <w:jc w:val="both"/>
        <w:rPr>
          <w:color w:val="000000"/>
        </w:rPr>
      </w:pPr>
      <w:r>
        <w:rPr>
          <w:b/>
          <w:color w:val="000000"/>
        </w:rPr>
        <w:t>13/11/2014</w:t>
      </w:r>
      <w:r>
        <w:rPr>
          <w:color w:val="000000"/>
        </w:rPr>
        <w:t xml:space="preserve"> - Reunião na Câmara Municipal de Pinhalzinho para indicar quais as necessidades da juventude no Município.</w:t>
      </w:r>
    </w:p>
    <w:p w:rsidR="003E6588" w:rsidRDefault="003E6588">
      <w:pPr>
        <w:ind w:firstLine="1134"/>
        <w:jc w:val="both"/>
        <w:rPr>
          <w:color w:val="000000"/>
        </w:rPr>
      </w:pPr>
    </w:p>
    <w:p w:rsidR="003E6588" w:rsidRDefault="003E6588">
      <w:pPr>
        <w:ind w:firstLine="1134"/>
        <w:jc w:val="both"/>
        <w:rPr>
          <w:color w:val="000000"/>
        </w:rPr>
      </w:pPr>
      <w:r>
        <w:rPr>
          <w:b/>
          <w:color w:val="000000"/>
        </w:rPr>
        <w:t>14/11/2014</w:t>
      </w:r>
      <w:r>
        <w:rPr>
          <w:color w:val="000000"/>
        </w:rPr>
        <w:t xml:space="preserve"> - Reunião com a organização não governamental Instituto da Oportunidade Social - IOS que faze trabalho de monitoramento e apoio a jovem que tem um menor acesso às oportunidades no mercado de trabalho.</w:t>
      </w:r>
    </w:p>
    <w:p w:rsidR="003E6588" w:rsidRDefault="003E6588">
      <w:pPr>
        <w:ind w:firstLine="1134"/>
        <w:jc w:val="both"/>
        <w:rPr>
          <w:color w:val="000000"/>
        </w:rPr>
      </w:pPr>
    </w:p>
    <w:p w:rsidR="003E6588" w:rsidRDefault="003E6588">
      <w:pPr>
        <w:ind w:firstLine="1134"/>
        <w:jc w:val="both"/>
        <w:rPr>
          <w:color w:val="000000"/>
        </w:rPr>
      </w:pPr>
      <w:r>
        <w:rPr>
          <w:b/>
          <w:color w:val="000000"/>
        </w:rPr>
        <w:t>18/11/2014</w:t>
      </w:r>
      <w:r>
        <w:rPr>
          <w:color w:val="000000"/>
        </w:rPr>
        <w:t xml:space="preserve"> - Participação no encerramento do projeto "Cultura de Paz nas Escolas" com o tema "Mediação e Resolução de Conflitos” a convite da organização não governamental Um Milhão de Amigos, no Munícipio de Salto.</w:t>
      </w:r>
    </w:p>
    <w:p w:rsidR="003E6588" w:rsidRDefault="003E6588">
      <w:pPr>
        <w:ind w:firstLine="1134"/>
        <w:jc w:val="both"/>
        <w:rPr>
          <w:color w:val="000000"/>
        </w:rPr>
      </w:pPr>
    </w:p>
    <w:p w:rsidR="003E6588" w:rsidRDefault="003E6588">
      <w:pPr>
        <w:ind w:firstLine="1134"/>
        <w:jc w:val="both"/>
        <w:rPr>
          <w:color w:val="000000"/>
        </w:rPr>
      </w:pPr>
      <w:r>
        <w:rPr>
          <w:b/>
          <w:color w:val="000000"/>
        </w:rPr>
        <w:t>27/11/2014</w:t>
      </w:r>
      <w:r>
        <w:rPr>
          <w:color w:val="000000"/>
        </w:rPr>
        <w:t xml:space="preserve"> - Reunião com a equipe da Secretária d</w:t>
      </w:r>
      <w:r w:rsidR="002C70E2">
        <w:rPr>
          <w:color w:val="000000"/>
        </w:rPr>
        <w:t>a</w:t>
      </w:r>
      <w:r>
        <w:rPr>
          <w:color w:val="000000"/>
        </w:rPr>
        <w:t xml:space="preserve"> Administração Penit</w:t>
      </w:r>
      <w:r w:rsidR="002C70E2">
        <w:rPr>
          <w:color w:val="000000"/>
        </w:rPr>
        <w:t>e</w:t>
      </w:r>
      <w:r>
        <w:rPr>
          <w:color w:val="000000"/>
        </w:rPr>
        <w:t>nci</w:t>
      </w:r>
      <w:r w:rsidR="002C70E2">
        <w:rPr>
          <w:color w:val="000000"/>
        </w:rPr>
        <w:t>ária</w:t>
      </w:r>
      <w:r>
        <w:rPr>
          <w:color w:val="000000"/>
        </w:rPr>
        <w:t xml:space="preserve"> para discutir futuros projetos em parceria com a Coordenação de Programas para a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28/11/2014</w:t>
      </w:r>
      <w:r>
        <w:rPr>
          <w:color w:val="000000"/>
        </w:rPr>
        <w:t xml:space="preserve"> - Reunião com o Centro de Educação Fiscal para a Cidadania da Secretaria da Fazenda para articular parceira com a Coordenação de Programas para a Juventude para a realização de corrida de rua contra a corrupção no final de 2015.</w:t>
      </w:r>
    </w:p>
    <w:p w:rsidR="003E6588" w:rsidRDefault="003E6588">
      <w:pPr>
        <w:ind w:firstLine="1134"/>
        <w:jc w:val="both"/>
        <w:rPr>
          <w:color w:val="000000"/>
        </w:rPr>
      </w:pPr>
    </w:p>
    <w:p w:rsidR="003E6588" w:rsidRDefault="003E6588">
      <w:pPr>
        <w:ind w:firstLine="1134"/>
        <w:jc w:val="both"/>
        <w:rPr>
          <w:color w:val="000000"/>
        </w:rPr>
      </w:pPr>
      <w:r>
        <w:rPr>
          <w:b/>
          <w:color w:val="000000"/>
        </w:rPr>
        <w:t>4/12/2014</w:t>
      </w:r>
      <w:r>
        <w:rPr>
          <w:color w:val="000000"/>
        </w:rPr>
        <w:t xml:space="preserve"> - Participação no evento “Mutirão do Emprego” realizado pela organização não governamental Instituto da Oportunidade Social - IOS.</w:t>
      </w:r>
    </w:p>
    <w:p w:rsidR="003E6588" w:rsidRDefault="003E6588">
      <w:pPr>
        <w:ind w:firstLine="1134"/>
        <w:jc w:val="both"/>
        <w:rPr>
          <w:color w:val="000000"/>
        </w:rPr>
      </w:pPr>
    </w:p>
    <w:p w:rsidR="003E6588" w:rsidRDefault="003E6588">
      <w:pPr>
        <w:ind w:firstLine="1134"/>
        <w:jc w:val="both"/>
        <w:rPr>
          <w:color w:val="000000"/>
        </w:rPr>
      </w:pPr>
      <w:r>
        <w:rPr>
          <w:b/>
          <w:color w:val="000000"/>
        </w:rPr>
        <w:t>10/12/2014</w:t>
      </w:r>
      <w:r>
        <w:rPr>
          <w:color w:val="000000"/>
        </w:rPr>
        <w:t xml:space="preserve"> - Visita ao Município de Taubaté, para conhecer as Políticas Públicas de Juventude realizadas pelo Município.</w:t>
      </w:r>
    </w:p>
    <w:p w:rsidR="003E6588" w:rsidRDefault="003E6588">
      <w:pPr>
        <w:ind w:firstLine="1134"/>
        <w:jc w:val="both"/>
        <w:rPr>
          <w:b/>
          <w:color w:val="000000"/>
        </w:rPr>
      </w:pPr>
    </w:p>
    <w:p w:rsidR="003E6588" w:rsidRDefault="003E6588">
      <w:pPr>
        <w:ind w:firstLine="1134"/>
        <w:jc w:val="both"/>
        <w:rPr>
          <w:color w:val="000000"/>
        </w:rPr>
      </w:pPr>
      <w:r>
        <w:rPr>
          <w:b/>
          <w:color w:val="000000"/>
        </w:rPr>
        <w:t>11/12/2014</w:t>
      </w:r>
      <w:r>
        <w:rPr>
          <w:color w:val="000000"/>
        </w:rPr>
        <w:t xml:space="preserve"> - Reunião com os gestores de juventude dos Munícipios de Santos, São Bernardo do Campo e Salto, para articular a criação do conselho estadual de juventude.</w:t>
      </w:r>
    </w:p>
    <w:p w:rsidR="003E6588" w:rsidRDefault="003E6588">
      <w:pPr>
        <w:ind w:firstLine="1134"/>
        <w:jc w:val="both"/>
        <w:rPr>
          <w:color w:val="000000"/>
        </w:rPr>
      </w:pPr>
    </w:p>
    <w:p w:rsidR="003E6588" w:rsidRDefault="003E6588">
      <w:pPr>
        <w:ind w:firstLine="1134"/>
        <w:jc w:val="both"/>
        <w:rPr>
          <w:color w:val="000000"/>
        </w:rPr>
      </w:pPr>
      <w:r>
        <w:rPr>
          <w:b/>
          <w:color w:val="000000"/>
        </w:rPr>
        <w:t>16/12/2014</w:t>
      </w:r>
      <w:r>
        <w:rPr>
          <w:color w:val="000000"/>
        </w:rPr>
        <w:t xml:space="preserve"> - Participação no Colóquio “Caminhos e Perspectivas das Políticas de Juventude” realizado no Município de Santos.</w:t>
      </w:r>
    </w:p>
    <w:p w:rsidR="003E6588" w:rsidRDefault="003E6588">
      <w:pPr>
        <w:ind w:firstLine="1134"/>
        <w:jc w:val="both"/>
        <w:rPr>
          <w:color w:val="000000"/>
        </w:rPr>
      </w:pPr>
    </w:p>
    <w:p w:rsidR="003E6588" w:rsidRDefault="003E6588">
      <w:pPr>
        <w:ind w:firstLine="1134"/>
        <w:jc w:val="both"/>
        <w:rPr>
          <w:color w:val="000000"/>
        </w:rPr>
      </w:pPr>
      <w:r>
        <w:rPr>
          <w:b/>
          <w:color w:val="000000"/>
        </w:rPr>
        <w:t>19/12/2014</w:t>
      </w:r>
      <w:r>
        <w:rPr>
          <w:color w:val="000000"/>
        </w:rPr>
        <w:t xml:space="preserve"> - Reunião com os gestores de juventude dos Municípios de São Paulo, realizado no Município de Santos.</w:t>
      </w:r>
    </w:p>
    <w:p w:rsidR="003E6588" w:rsidRDefault="003E6588">
      <w:pPr>
        <w:shd w:val="clear" w:color="auto" w:fill="FFFFFF"/>
        <w:ind w:firstLine="1134"/>
        <w:jc w:val="both"/>
        <w:rPr>
          <w:color w:val="000000"/>
        </w:rPr>
      </w:pPr>
    </w:p>
    <w:p w:rsidR="00DB2448" w:rsidRDefault="00DB2448">
      <w:pPr>
        <w:shd w:val="clear" w:color="auto" w:fill="FFFFFF"/>
        <w:ind w:firstLine="1134"/>
        <w:jc w:val="both"/>
        <w:rPr>
          <w:color w:val="000000"/>
        </w:rPr>
      </w:pPr>
    </w:p>
    <w:p w:rsidR="00DB2448" w:rsidRPr="00875463" w:rsidRDefault="00DB2448">
      <w:pPr>
        <w:shd w:val="clear" w:color="auto" w:fill="FFFFFF"/>
        <w:ind w:firstLine="1134"/>
        <w:jc w:val="both"/>
        <w:rPr>
          <w:color w:val="000000"/>
        </w:rPr>
      </w:pPr>
    </w:p>
    <w:p w:rsidR="003E6588" w:rsidRDefault="003E6588">
      <w:pPr>
        <w:shd w:val="clear" w:color="auto" w:fill="FFFFFF"/>
        <w:ind w:firstLine="1134"/>
        <w:jc w:val="both"/>
        <w:rPr>
          <w:b/>
          <w:color w:val="000000"/>
        </w:rPr>
      </w:pPr>
      <w:r>
        <w:rPr>
          <w:b/>
          <w:color w:val="000000"/>
        </w:rPr>
        <w:lastRenderedPageBreak/>
        <w:t>Programas e Ações da Coordenação de Programas para a Juventude</w:t>
      </w:r>
    </w:p>
    <w:p w:rsidR="003E6588" w:rsidRPr="00123C69" w:rsidRDefault="003E6588">
      <w:pPr>
        <w:shd w:val="clear" w:color="auto" w:fill="FFFFFF"/>
        <w:ind w:firstLine="1134"/>
        <w:jc w:val="both"/>
        <w:rPr>
          <w:b/>
          <w:color w:val="000000"/>
          <w:u w:val="single"/>
        </w:rPr>
      </w:pPr>
    </w:p>
    <w:p w:rsidR="003E6588" w:rsidRDefault="003E6588">
      <w:pPr>
        <w:shd w:val="clear" w:color="auto" w:fill="FFFFFF"/>
        <w:ind w:firstLine="1134"/>
        <w:jc w:val="both"/>
        <w:rPr>
          <w:b/>
          <w:color w:val="000000"/>
        </w:rPr>
      </w:pPr>
      <w:r>
        <w:rPr>
          <w:b/>
          <w:color w:val="000000"/>
        </w:rPr>
        <w:t>Programa 4111 - Jovem em Foco (Jornadas de Capacitação e Desenvolvimento Jovem)</w:t>
      </w:r>
    </w:p>
    <w:p w:rsidR="003E6588" w:rsidRDefault="003E6588">
      <w:pPr>
        <w:ind w:firstLine="1134"/>
        <w:jc w:val="both"/>
        <w:rPr>
          <w:color w:val="000000"/>
        </w:rPr>
      </w:pPr>
      <w:r>
        <w:rPr>
          <w:b/>
          <w:color w:val="000000"/>
        </w:rPr>
        <w:t xml:space="preserve">Desenvolvimento Jovem - </w:t>
      </w:r>
      <w:r>
        <w:rPr>
          <w:color w:val="000000"/>
        </w:rPr>
        <w:t>Foram beneficiados 890.710 mil jovens superando a meta inicial que era de 400.000 mil jovens.</w:t>
      </w:r>
    </w:p>
    <w:p w:rsidR="00875463" w:rsidRDefault="00875463">
      <w:pPr>
        <w:ind w:firstLine="1134"/>
        <w:jc w:val="both"/>
        <w:rPr>
          <w:strike/>
          <w:color w:val="000000"/>
        </w:rPr>
      </w:pPr>
    </w:p>
    <w:p w:rsidR="003E6588" w:rsidRDefault="003E6588">
      <w:pPr>
        <w:ind w:firstLine="1134"/>
        <w:jc w:val="both"/>
        <w:rPr>
          <w:b/>
          <w:color w:val="000000"/>
        </w:rPr>
      </w:pPr>
      <w:r>
        <w:rPr>
          <w:b/>
          <w:color w:val="000000"/>
        </w:rPr>
        <w:t>Ações de Destaque</w:t>
      </w:r>
    </w:p>
    <w:p w:rsidR="003E6588" w:rsidRDefault="003E6588">
      <w:pPr>
        <w:ind w:firstLine="1134"/>
        <w:jc w:val="both"/>
        <w:rPr>
          <w:b/>
          <w:strike/>
          <w:color w:val="000000"/>
          <w:u w:val="single"/>
        </w:rPr>
      </w:pPr>
    </w:p>
    <w:p w:rsidR="003E6588" w:rsidRDefault="003E6588">
      <w:pPr>
        <w:ind w:firstLine="1134"/>
        <w:jc w:val="both"/>
        <w:rPr>
          <w:color w:val="000000"/>
        </w:rPr>
      </w:pPr>
      <w:r>
        <w:rPr>
          <w:b/>
          <w:color w:val="000000"/>
        </w:rPr>
        <w:t xml:space="preserve">Portal da Juventude - </w:t>
      </w:r>
      <w:r>
        <w:rPr>
          <w:color w:val="000000"/>
        </w:rPr>
        <w:t>Com a reformulação do Portal JuventudeSP, os acessos mensais cresceram com a ajuda das redes sociais, que contaram com o engajamento de quase 63.000 mil seguidores e 3.600 mil compartilhamentos diários.</w:t>
      </w:r>
    </w:p>
    <w:p w:rsidR="003E6588" w:rsidRDefault="003E6588">
      <w:pPr>
        <w:ind w:firstLine="1134"/>
        <w:jc w:val="both"/>
        <w:rPr>
          <w:b/>
          <w:strike/>
          <w:color w:val="000000"/>
          <w:u w:val="single"/>
        </w:rPr>
      </w:pPr>
    </w:p>
    <w:p w:rsidR="003E6588" w:rsidRDefault="003E6588">
      <w:pPr>
        <w:ind w:firstLine="1134"/>
        <w:jc w:val="both"/>
        <w:rPr>
          <w:color w:val="000000"/>
        </w:rPr>
      </w:pPr>
      <w:r>
        <w:rPr>
          <w:b/>
          <w:color w:val="000000"/>
        </w:rPr>
        <w:t>Pesquisa Jovem 2020 -</w:t>
      </w:r>
      <w:r>
        <w:rPr>
          <w:color w:val="000000"/>
        </w:rPr>
        <w:t xml:space="preserve"> Realizada pela Fundação Instituto de Pesquisas Econômicas - FIPE, a pesquisa retrata o completo perfil da juventude paulista na atualidade, gerando, a partir do levantamento de dados junto aos jovens pertencentes a todos os municípios do Estado, informações estratégicas sobre o público.</w:t>
      </w:r>
    </w:p>
    <w:p w:rsidR="003E6588" w:rsidRDefault="003E6588">
      <w:pPr>
        <w:ind w:firstLine="1134"/>
        <w:jc w:val="both"/>
        <w:rPr>
          <w:b/>
          <w:strike/>
          <w:color w:val="000000"/>
        </w:rPr>
      </w:pPr>
    </w:p>
    <w:p w:rsidR="003E6588" w:rsidRDefault="003E6588">
      <w:pPr>
        <w:ind w:firstLine="1134"/>
        <w:jc w:val="both"/>
        <w:rPr>
          <w:b/>
          <w:color w:val="000000"/>
        </w:rPr>
      </w:pPr>
      <w:r>
        <w:rPr>
          <w:b/>
          <w:color w:val="000000"/>
        </w:rPr>
        <w:t>Parcerias Firmadas</w:t>
      </w:r>
    </w:p>
    <w:p w:rsidR="003E6588" w:rsidRDefault="003E6588">
      <w:pPr>
        <w:ind w:firstLine="1134"/>
        <w:jc w:val="both"/>
        <w:rPr>
          <w:b/>
          <w:strike/>
          <w:color w:val="000000"/>
        </w:rPr>
      </w:pPr>
    </w:p>
    <w:p w:rsidR="003E6588" w:rsidRDefault="003E6588">
      <w:pPr>
        <w:ind w:firstLine="1134"/>
        <w:jc w:val="both"/>
        <w:rPr>
          <w:color w:val="000000"/>
        </w:rPr>
      </w:pPr>
      <w:r w:rsidRPr="00875463">
        <w:rPr>
          <w:bCs/>
          <w:color w:val="000000"/>
        </w:rPr>
        <w:t>Termo de Cooperação Técnica,</w:t>
      </w:r>
      <w:r w:rsidRPr="00875463">
        <w:rPr>
          <w:color w:val="000000"/>
        </w:rPr>
        <w:t xml:space="preserve"> em andamento, </w:t>
      </w:r>
      <w:r w:rsidRPr="00875463">
        <w:rPr>
          <w:bCs/>
          <w:color w:val="000000"/>
        </w:rPr>
        <w:t>com</w:t>
      </w:r>
      <w:r w:rsidRPr="00875463">
        <w:rPr>
          <w:color w:val="000000"/>
        </w:rPr>
        <w:t xml:space="preserve"> a Secretaria de Desenvolvimento Econômico, Ciência, Tecnologia e Inovação,</w:t>
      </w:r>
      <w:r>
        <w:rPr>
          <w:b/>
          <w:color w:val="000000"/>
        </w:rPr>
        <w:t xml:space="preserve"> </w:t>
      </w:r>
      <w:r>
        <w:rPr>
          <w:color w:val="000000"/>
        </w:rPr>
        <w:t>cumprindo o papel de órgão articulador das políticas públicas de juventude desenvolvidas pelo Governo do Estado.</w:t>
      </w:r>
    </w:p>
    <w:p w:rsidR="003E6588" w:rsidRDefault="003E6588" w:rsidP="00875463">
      <w:pPr>
        <w:ind w:firstLine="1134"/>
        <w:jc w:val="both"/>
        <w:rPr>
          <w:color w:val="000000"/>
        </w:rPr>
      </w:pPr>
    </w:p>
    <w:p w:rsidR="003E6588" w:rsidRDefault="003E6588" w:rsidP="00875463">
      <w:pPr>
        <w:ind w:firstLine="1134"/>
        <w:jc w:val="both"/>
        <w:rPr>
          <w:color w:val="000000"/>
        </w:rPr>
      </w:pPr>
      <w:r>
        <w:rPr>
          <w:b/>
          <w:bCs/>
          <w:color w:val="000000"/>
        </w:rPr>
        <w:t>Ações Ligadas ao Gabinete do Secretário</w:t>
      </w:r>
    </w:p>
    <w:p w:rsidR="003E6588" w:rsidRDefault="003E6588" w:rsidP="00875463">
      <w:pPr>
        <w:ind w:firstLine="1134"/>
        <w:jc w:val="both"/>
        <w:rPr>
          <w:color w:val="000000"/>
        </w:rPr>
      </w:pPr>
    </w:p>
    <w:p w:rsidR="003E6588" w:rsidRDefault="003E6588">
      <w:pPr>
        <w:ind w:firstLine="1134"/>
        <w:jc w:val="both"/>
        <w:rPr>
          <w:bCs/>
          <w:color w:val="000000"/>
        </w:rPr>
      </w:pPr>
      <w:r>
        <w:rPr>
          <w:b/>
          <w:bCs/>
          <w:color w:val="000000"/>
        </w:rPr>
        <w:t xml:space="preserve">Esporte Social - </w:t>
      </w:r>
      <w:r>
        <w:rPr>
          <w:color w:val="000000"/>
        </w:rPr>
        <w:t>Voltado ao atendimento de crianças e adolescentes na faixa etária de 7 a 18 anos, estudantes da rede pública de ensino, de pessoas com deficiência e de idosos que estejam em situação de risco social, visa a implantar e manter núcleos de esporte e lazer, com caráter formativo-educacional, a fim de proporcionar oportunidade de práticas esportivas e de lazer às classes menos privilegiadas.</w:t>
      </w:r>
    </w:p>
    <w:p w:rsidR="003E6588" w:rsidRDefault="003E6588">
      <w:pPr>
        <w:ind w:firstLine="1134"/>
        <w:jc w:val="both"/>
        <w:rPr>
          <w:rFonts w:eastAsia="Helv"/>
          <w:bCs/>
          <w:color w:val="000000"/>
        </w:rPr>
      </w:pPr>
    </w:p>
    <w:p w:rsidR="003E6588" w:rsidRDefault="003E6588">
      <w:pPr>
        <w:ind w:firstLine="1134"/>
        <w:jc w:val="both"/>
        <w:rPr>
          <w:rFonts w:eastAsia="Helv"/>
          <w:bCs/>
          <w:color w:val="000000"/>
        </w:rPr>
      </w:pPr>
      <w:r>
        <w:rPr>
          <w:rFonts w:eastAsia="Helv"/>
          <w:bCs/>
          <w:color w:val="000000"/>
        </w:rPr>
        <w:t>Foram assinados 39 convênios com prefeituras e entidades. Serão atendidas 4.500 crianças/adolescentes, vinculadas aos respectivos núcleos em desenvolvimento no Estado.</w:t>
      </w:r>
    </w:p>
    <w:p w:rsidR="003E6588" w:rsidRDefault="003E6588">
      <w:pPr>
        <w:ind w:firstLine="1134"/>
        <w:jc w:val="both"/>
        <w:rPr>
          <w:b/>
          <w:bCs/>
          <w:color w:val="000000"/>
        </w:rPr>
      </w:pPr>
    </w:p>
    <w:p w:rsidR="003E6588" w:rsidRDefault="003E6588">
      <w:pPr>
        <w:autoSpaceDE w:val="0"/>
        <w:autoSpaceDN w:val="0"/>
        <w:adjustRightInd w:val="0"/>
        <w:ind w:firstLine="1134"/>
        <w:jc w:val="both"/>
        <w:rPr>
          <w:color w:val="000000"/>
        </w:rPr>
      </w:pPr>
      <w:r>
        <w:rPr>
          <w:b/>
          <w:bCs/>
          <w:color w:val="000000"/>
        </w:rPr>
        <w:t xml:space="preserve">Programa Pintando a Liberdade - </w:t>
      </w:r>
      <w:r>
        <w:rPr>
          <w:color w:val="000000"/>
        </w:rPr>
        <w:t>Encerramento da parceria entre a SELJ e o Ministério do Esporte para o desenvolvimento do “Programa Pintando a Liberdade”. Em parceria com a Secretaria da Administração Penitenciária e FUNAP, o Programa produziu materiais esportivos com qualidade e custo abaixo do mercado, utilizando-se de mão-de-obra do sistema carcerário, propiciando assim a sociabilização, inclusão, reinserção social, profissionalização e concedendo remissão de pena e pagamento em pecúnia aos internos pelos itens produzidos. Funcionou na Penitenciária Nilton Silva em Franco da Rocha.</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lastRenderedPageBreak/>
        <w:t>Foram distribuídos 9.857 itens de materiais esportivos (bolas, redes, camisetas e bonés), destinados à iniciação desportiva aos municípios e entidades que assinaram convênios com o Programa Esporte Social.</w:t>
      </w:r>
    </w:p>
    <w:p w:rsidR="003E6588" w:rsidRPr="00DB2448" w:rsidRDefault="003E6588">
      <w:pPr>
        <w:pStyle w:val="Corpodetexto"/>
        <w:ind w:firstLine="1134"/>
        <w:jc w:val="both"/>
        <w:rPr>
          <w:color w:val="000000"/>
          <w:sz w:val="20"/>
          <w:lang w:eastAsia="pt-BR"/>
        </w:rPr>
      </w:pPr>
    </w:p>
    <w:p w:rsidR="003E6588" w:rsidRDefault="003E6588">
      <w:pPr>
        <w:pStyle w:val="Corpodetexto"/>
        <w:ind w:firstLine="1134"/>
        <w:jc w:val="both"/>
        <w:rPr>
          <w:b w:val="0"/>
          <w:color w:val="000000"/>
          <w:szCs w:val="24"/>
          <w:lang w:eastAsia="pt-BR"/>
        </w:rPr>
      </w:pPr>
      <w:r>
        <w:rPr>
          <w:b w:val="0"/>
          <w:color w:val="000000"/>
          <w:szCs w:val="24"/>
          <w:lang w:eastAsia="pt-BR"/>
        </w:rPr>
        <w:t>Esta distribuição propiciou 70 atendimentos, sendo 45 municípios do Estado e 25 entidades sócio-esportivas.</w:t>
      </w:r>
    </w:p>
    <w:p w:rsidR="003E6588" w:rsidRPr="00DB2448" w:rsidRDefault="003E6588">
      <w:pPr>
        <w:pStyle w:val="Corpodetexto"/>
        <w:ind w:firstLine="1134"/>
        <w:jc w:val="both"/>
        <w:rPr>
          <w:rFonts w:eastAsia="Helv"/>
          <w:b w:val="0"/>
          <w:bCs w:val="0"/>
          <w:color w:val="000000"/>
          <w:sz w:val="20"/>
          <w:u w:val="single"/>
        </w:rPr>
      </w:pPr>
    </w:p>
    <w:p w:rsidR="003E6588" w:rsidRDefault="003E6588">
      <w:pPr>
        <w:ind w:firstLine="1134"/>
        <w:jc w:val="both"/>
        <w:rPr>
          <w:rFonts w:eastAsia="Verdana"/>
          <w:color w:val="000000"/>
        </w:rPr>
      </w:pPr>
      <w:r>
        <w:rPr>
          <w:rFonts w:eastAsia="Helv"/>
          <w:b/>
          <w:bCs/>
          <w:color w:val="000000"/>
        </w:rPr>
        <w:t xml:space="preserve">Lei Paulista de Incentivo ao Esporte - </w:t>
      </w:r>
      <w:r>
        <w:rPr>
          <w:rFonts w:eastAsia="Verdana"/>
          <w:b/>
          <w:bCs/>
          <w:color w:val="000000"/>
        </w:rPr>
        <w:t xml:space="preserve">Lei </w:t>
      </w:r>
      <w:r w:rsidR="00123C69">
        <w:rPr>
          <w:rFonts w:eastAsia="Verdana"/>
          <w:b/>
          <w:bCs/>
          <w:color w:val="000000"/>
        </w:rPr>
        <w:t xml:space="preserve">nº </w:t>
      </w:r>
      <w:r>
        <w:rPr>
          <w:rFonts w:eastAsia="Verdana"/>
          <w:b/>
          <w:bCs/>
          <w:color w:val="000000"/>
        </w:rPr>
        <w:t xml:space="preserve">13.918/2009 - </w:t>
      </w:r>
      <w:r>
        <w:rPr>
          <w:rFonts w:eastAsia="Verdana"/>
          <w:color w:val="000000"/>
        </w:rPr>
        <w:t>Foram aprovados 354 projetos e liberados à captação de recursos para desenvolvimento, totalizando R$ 90 milhões.</w:t>
      </w:r>
    </w:p>
    <w:p w:rsidR="003E6588" w:rsidRPr="00DB2448" w:rsidRDefault="003E6588">
      <w:pPr>
        <w:jc w:val="both"/>
        <w:rPr>
          <w:rFonts w:eastAsia="Verdana"/>
          <w:b/>
          <w:color w:val="000000"/>
          <w:sz w:val="16"/>
          <w:szCs w:val="16"/>
        </w:rPr>
      </w:pPr>
    </w:p>
    <w:tbl>
      <w:tblPr>
        <w:tblW w:w="6209" w:type="dxa"/>
        <w:jc w:val="center"/>
        <w:tblInd w:w="82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4366"/>
        <w:gridCol w:w="1843"/>
      </w:tblGrid>
      <w:tr w:rsidR="003E6588" w:rsidTr="00875463">
        <w:trPr>
          <w:trHeight w:val="66"/>
          <w:jc w:val="center"/>
        </w:trPr>
        <w:tc>
          <w:tcPr>
            <w:tcW w:w="4366" w:type="dxa"/>
            <w:shd w:val="clear" w:color="auto" w:fill="auto"/>
            <w:vAlign w:val="center"/>
            <w:hideMark/>
          </w:tcPr>
          <w:p w:rsidR="003E6588" w:rsidRDefault="003E6588">
            <w:pPr>
              <w:rPr>
                <w:b/>
                <w:color w:val="000000"/>
                <w:sz w:val="20"/>
                <w:szCs w:val="20"/>
              </w:rPr>
            </w:pPr>
            <w:r>
              <w:rPr>
                <w:b/>
                <w:color w:val="000000"/>
                <w:sz w:val="20"/>
                <w:szCs w:val="20"/>
              </w:rPr>
              <w:t>Quantitativo Geral</w:t>
            </w:r>
          </w:p>
        </w:tc>
        <w:tc>
          <w:tcPr>
            <w:tcW w:w="1843" w:type="dxa"/>
            <w:shd w:val="clear" w:color="auto" w:fill="auto"/>
            <w:vAlign w:val="center"/>
            <w:hideMark/>
          </w:tcPr>
          <w:p w:rsidR="003E6588" w:rsidRDefault="003E6588">
            <w:pPr>
              <w:rPr>
                <w:b/>
                <w:color w:val="000000"/>
                <w:sz w:val="20"/>
                <w:szCs w:val="20"/>
              </w:rPr>
            </w:pPr>
            <w:r>
              <w:rPr>
                <w:b/>
                <w:color w:val="000000"/>
                <w:sz w:val="20"/>
                <w:szCs w:val="20"/>
              </w:rPr>
              <w:t>Quantidade</w:t>
            </w:r>
          </w:p>
        </w:tc>
      </w:tr>
      <w:tr w:rsidR="003E6588" w:rsidTr="00875463">
        <w:trPr>
          <w:trHeight w:val="98"/>
          <w:jc w:val="center"/>
        </w:trPr>
        <w:tc>
          <w:tcPr>
            <w:tcW w:w="4366" w:type="dxa"/>
            <w:shd w:val="clear" w:color="auto" w:fill="auto"/>
            <w:vAlign w:val="center"/>
            <w:hideMark/>
          </w:tcPr>
          <w:p w:rsidR="003E6588" w:rsidRDefault="003E6588" w:rsidP="00875463">
            <w:pPr>
              <w:jc w:val="both"/>
              <w:rPr>
                <w:color w:val="000000"/>
                <w:sz w:val="20"/>
                <w:szCs w:val="20"/>
              </w:rPr>
            </w:pPr>
            <w:r>
              <w:rPr>
                <w:color w:val="000000"/>
                <w:sz w:val="20"/>
                <w:szCs w:val="20"/>
              </w:rPr>
              <w:t>Projetos inscritos para 2014</w:t>
            </w:r>
          </w:p>
        </w:tc>
        <w:tc>
          <w:tcPr>
            <w:tcW w:w="1843" w:type="dxa"/>
            <w:shd w:val="clear" w:color="auto" w:fill="auto"/>
            <w:vAlign w:val="center"/>
            <w:hideMark/>
          </w:tcPr>
          <w:p w:rsidR="003E6588" w:rsidRDefault="003E6588">
            <w:pPr>
              <w:rPr>
                <w:color w:val="000000"/>
                <w:sz w:val="20"/>
                <w:szCs w:val="20"/>
              </w:rPr>
            </w:pPr>
            <w:r>
              <w:rPr>
                <w:color w:val="000000"/>
                <w:sz w:val="20"/>
                <w:szCs w:val="20"/>
              </w:rPr>
              <w:t>522</w:t>
            </w:r>
          </w:p>
        </w:tc>
      </w:tr>
      <w:tr w:rsidR="003E6588" w:rsidTr="00875463">
        <w:trPr>
          <w:trHeight w:val="44"/>
          <w:jc w:val="center"/>
        </w:trPr>
        <w:tc>
          <w:tcPr>
            <w:tcW w:w="4366" w:type="dxa"/>
            <w:shd w:val="clear" w:color="auto" w:fill="auto"/>
            <w:vAlign w:val="center"/>
            <w:hideMark/>
          </w:tcPr>
          <w:p w:rsidR="003E6588" w:rsidRDefault="003E6588" w:rsidP="00875463">
            <w:pPr>
              <w:jc w:val="both"/>
              <w:rPr>
                <w:color w:val="000000"/>
                <w:sz w:val="20"/>
                <w:szCs w:val="20"/>
              </w:rPr>
            </w:pPr>
            <w:r>
              <w:rPr>
                <w:color w:val="000000"/>
                <w:sz w:val="20"/>
                <w:szCs w:val="20"/>
              </w:rPr>
              <w:t>Projetos analisados</w:t>
            </w:r>
          </w:p>
        </w:tc>
        <w:tc>
          <w:tcPr>
            <w:tcW w:w="1843" w:type="dxa"/>
            <w:shd w:val="clear" w:color="auto" w:fill="auto"/>
            <w:vAlign w:val="center"/>
            <w:hideMark/>
          </w:tcPr>
          <w:p w:rsidR="003E6588" w:rsidRDefault="003E6588">
            <w:pPr>
              <w:rPr>
                <w:color w:val="000000"/>
                <w:sz w:val="20"/>
                <w:szCs w:val="20"/>
              </w:rPr>
            </w:pPr>
            <w:r>
              <w:rPr>
                <w:color w:val="000000"/>
                <w:sz w:val="20"/>
                <w:szCs w:val="20"/>
              </w:rPr>
              <w:t>522</w:t>
            </w:r>
          </w:p>
        </w:tc>
      </w:tr>
      <w:tr w:rsidR="003E6588" w:rsidTr="00875463">
        <w:trPr>
          <w:trHeight w:val="48"/>
          <w:jc w:val="center"/>
        </w:trPr>
        <w:tc>
          <w:tcPr>
            <w:tcW w:w="4366" w:type="dxa"/>
            <w:shd w:val="clear" w:color="auto" w:fill="auto"/>
            <w:vAlign w:val="center"/>
            <w:hideMark/>
          </w:tcPr>
          <w:p w:rsidR="003E6588" w:rsidRDefault="003E6588" w:rsidP="00875463">
            <w:pPr>
              <w:jc w:val="both"/>
              <w:rPr>
                <w:color w:val="000000"/>
                <w:sz w:val="20"/>
                <w:szCs w:val="20"/>
              </w:rPr>
            </w:pPr>
            <w:r>
              <w:rPr>
                <w:color w:val="000000"/>
                <w:sz w:val="20"/>
                <w:szCs w:val="20"/>
              </w:rPr>
              <w:t>Projetos reprovados</w:t>
            </w:r>
          </w:p>
        </w:tc>
        <w:tc>
          <w:tcPr>
            <w:tcW w:w="1843" w:type="dxa"/>
            <w:shd w:val="clear" w:color="auto" w:fill="auto"/>
            <w:vAlign w:val="center"/>
            <w:hideMark/>
          </w:tcPr>
          <w:p w:rsidR="003E6588" w:rsidRDefault="003E6588">
            <w:pPr>
              <w:rPr>
                <w:color w:val="000000"/>
                <w:sz w:val="20"/>
                <w:szCs w:val="20"/>
              </w:rPr>
            </w:pPr>
            <w:r>
              <w:rPr>
                <w:color w:val="000000"/>
                <w:sz w:val="20"/>
                <w:szCs w:val="20"/>
              </w:rPr>
              <w:t>166</w:t>
            </w:r>
          </w:p>
        </w:tc>
      </w:tr>
      <w:tr w:rsidR="003E6588" w:rsidTr="00875463">
        <w:trPr>
          <w:trHeight w:val="193"/>
          <w:jc w:val="center"/>
        </w:trPr>
        <w:tc>
          <w:tcPr>
            <w:tcW w:w="4366" w:type="dxa"/>
            <w:shd w:val="clear" w:color="auto" w:fill="auto"/>
            <w:vAlign w:val="center"/>
            <w:hideMark/>
          </w:tcPr>
          <w:p w:rsidR="003E6588" w:rsidRDefault="003E6588" w:rsidP="00875463">
            <w:pPr>
              <w:jc w:val="both"/>
              <w:rPr>
                <w:color w:val="000000"/>
                <w:sz w:val="20"/>
                <w:szCs w:val="20"/>
              </w:rPr>
            </w:pPr>
            <w:r>
              <w:rPr>
                <w:color w:val="000000"/>
                <w:sz w:val="20"/>
                <w:szCs w:val="20"/>
              </w:rPr>
              <w:t>Projetos solicitado cancelamento pelo proponente</w:t>
            </w:r>
          </w:p>
        </w:tc>
        <w:tc>
          <w:tcPr>
            <w:tcW w:w="1843" w:type="dxa"/>
            <w:shd w:val="clear" w:color="auto" w:fill="auto"/>
            <w:vAlign w:val="center"/>
            <w:hideMark/>
          </w:tcPr>
          <w:p w:rsidR="003E6588" w:rsidRDefault="003E6588">
            <w:pPr>
              <w:rPr>
                <w:color w:val="000000"/>
                <w:sz w:val="20"/>
                <w:szCs w:val="20"/>
              </w:rPr>
            </w:pPr>
            <w:r>
              <w:rPr>
                <w:color w:val="000000"/>
                <w:sz w:val="20"/>
                <w:szCs w:val="20"/>
              </w:rPr>
              <w:t>2</w:t>
            </w:r>
          </w:p>
        </w:tc>
      </w:tr>
      <w:tr w:rsidR="003E6588" w:rsidTr="00875463">
        <w:trPr>
          <w:trHeight w:val="97"/>
          <w:jc w:val="center"/>
        </w:trPr>
        <w:tc>
          <w:tcPr>
            <w:tcW w:w="4366" w:type="dxa"/>
            <w:shd w:val="clear" w:color="auto" w:fill="auto"/>
            <w:vAlign w:val="center"/>
            <w:hideMark/>
          </w:tcPr>
          <w:p w:rsidR="003E6588" w:rsidRDefault="003E6588" w:rsidP="00875463">
            <w:pPr>
              <w:jc w:val="both"/>
              <w:rPr>
                <w:color w:val="000000"/>
                <w:sz w:val="20"/>
                <w:szCs w:val="20"/>
              </w:rPr>
            </w:pPr>
            <w:r>
              <w:rPr>
                <w:color w:val="000000"/>
                <w:sz w:val="20"/>
                <w:szCs w:val="20"/>
              </w:rPr>
              <w:t>Projetos aprovados</w:t>
            </w:r>
          </w:p>
        </w:tc>
        <w:tc>
          <w:tcPr>
            <w:tcW w:w="1843" w:type="dxa"/>
            <w:shd w:val="clear" w:color="auto" w:fill="auto"/>
            <w:vAlign w:val="center"/>
            <w:hideMark/>
          </w:tcPr>
          <w:p w:rsidR="003E6588" w:rsidRDefault="003E6588">
            <w:pPr>
              <w:rPr>
                <w:color w:val="000000"/>
                <w:sz w:val="20"/>
                <w:szCs w:val="20"/>
              </w:rPr>
            </w:pPr>
            <w:r>
              <w:rPr>
                <w:color w:val="000000"/>
                <w:sz w:val="20"/>
                <w:szCs w:val="20"/>
              </w:rPr>
              <w:t>354</w:t>
            </w:r>
          </w:p>
        </w:tc>
      </w:tr>
    </w:tbl>
    <w:p w:rsidR="003E6588" w:rsidRPr="00DB2448" w:rsidRDefault="003E6588">
      <w:pPr>
        <w:jc w:val="both"/>
        <w:rPr>
          <w:rFonts w:eastAsia="Verdana"/>
          <w:color w:val="000000"/>
          <w:sz w:val="16"/>
          <w:szCs w:val="16"/>
        </w:rPr>
      </w:pPr>
    </w:p>
    <w:p w:rsidR="003E6588" w:rsidRDefault="003E6588">
      <w:pPr>
        <w:ind w:firstLine="1134"/>
        <w:jc w:val="both"/>
        <w:rPr>
          <w:color w:val="000000"/>
        </w:rPr>
      </w:pPr>
      <w:r>
        <w:rPr>
          <w:rFonts w:eastAsia="Verdana"/>
          <w:b/>
          <w:color w:val="000000"/>
        </w:rPr>
        <w:t xml:space="preserve">Convênios e Obras - </w:t>
      </w:r>
      <w:r>
        <w:rPr>
          <w:color w:val="000000"/>
        </w:rPr>
        <w:t>Foram assinados 8 convênios com municípios/entidades, objetivando a realização de obras como Construções, Reformas, Instalações, Iluminações entre outras, com investimentos de R$ 1,1 milhões de reais.</w:t>
      </w:r>
    </w:p>
    <w:p w:rsidR="003E6588" w:rsidRPr="00DB2448" w:rsidRDefault="003E6588">
      <w:pPr>
        <w:jc w:val="both"/>
        <w:rPr>
          <w:color w:val="000000"/>
          <w:sz w:val="16"/>
          <w:szCs w:val="16"/>
        </w:rPr>
      </w:pPr>
    </w:p>
    <w:tbl>
      <w:tblPr>
        <w:tblW w:w="10126" w:type="dxa"/>
        <w:jc w:val="center"/>
        <w:tblInd w:w="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540"/>
        <w:gridCol w:w="3964"/>
        <w:gridCol w:w="5622"/>
      </w:tblGrid>
      <w:tr w:rsidR="003E6588" w:rsidTr="00875463">
        <w:trPr>
          <w:trHeight w:val="255"/>
          <w:jc w:val="center"/>
        </w:trPr>
        <w:tc>
          <w:tcPr>
            <w:tcW w:w="540" w:type="dxa"/>
            <w:shd w:val="clear" w:color="auto" w:fill="auto"/>
            <w:noWrap/>
            <w:vAlign w:val="bottom"/>
            <w:hideMark/>
          </w:tcPr>
          <w:p w:rsidR="003E6588" w:rsidRDefault="003E6588">
            <w:pPr>
              <w:rPr>
                <w:b/>
                <w:bCs/>
                <w:color w:val="000000"/>
                <w:sz w:val="20"/>
                <w:szCs w:val="20"/>
              </w:rPr>
            </w:pPr>
            <w:r>
              <w:rPr>
                <w:b/>
                <w:bCs/>
                <w:color w:val="000000"/>
                <w:sz w:val="20"/>
                <w:szCs w:val="20"/>
              </w:rPr>
              <w:t>Item</w:t>
            </w:r>
          </w:p>
        </w:tc>
        <w:tc>
          <w:tcPr>
            <w:tcW w:w="3964" w:type="dxa"/>
            <w:shd w:val="clear" w:color="auto" w:fill="auto"/>
            <w:noWrap/>
            <w:vAlign w:val="bottom"/>
            <w:hideMark/>
          </w:tcPr>
          <w:p w:rsidR="003E6588" w:rsidRDefault="003E6588">
            <w:pPr>
              <w:rPr>
                <w:b/>
                <w:bCs/>
                <w:color w:val="000000"/>
                <w:sz w:val="20"/>
                <w:szCs w:val="20"/>
              </w:rPr>
            </w:pPr>
            <w:r>
              <w:rPr>
                <w:b/>
                <w:bCs/>
                <w:color w:val="000000"/>
                <w:sz w:val="20"/>
                <w:szCs w:val="20"/>
              </w:rPr>
              <w:t>Prefeitura/Entidade</w:t>
            </w:r>
          </w:p>
        </w:tc>
        <w:tc>
          <w:tcPr>
            <w:tcW w:w="5622" w:type="dxa"/>
            <w:shd w:val="clear" w:color="auto" w:fill="auto"/>
            <w:noWrap/>
            <w:vAlign w:val="bottom"/>
            <w:hideMark/>
          </w:tcPr>
          <w:p w:rsidR="003E6588" w:rsidRDefault="003E6588">
            <w:pPr>
              <w:rPr>
                <w:b/>
                <w:bCs/>
                <w:color w:val="000000"/>
                <w:sz w:val="20"/>
                <w:szCs w:val="20"/>
              </w:rPr>
            </w:pPr>
            <w:r>
              <w:rPr>
                <w:b/>
                <w:bCs/>
                <w:color w:val="000000"/>
                <w:sz w:val="20"/>
                <w:szCs w:val="20"/>
              </w:rPr>
              <w:t>Objeto</w:t>
            </w:r>
          </w:p>
        </w:tc>
      </w:tr>
      <w:tr w:rsidR="003E6588" w:rsidTr="00875463">
        <w:trPr>
          <w:trHeight w:val="44"/>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1</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Prefeitura Municipal de Jarinu</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Construção de Pista de Caminhada</w:t>
            </w:r>
          </w:p>
        </w:tc>
      </w:tr>
      <w:tr w:rsidR="003E6588" w:rsidTr="00875463">
        <w:trPr>
          <w:trHeight w:val="84"/>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2</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Prefeitura Municipal de Novo Horizonte</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Reforma e Adequação de Campo de Futebol</w:t>
            </w:r>
          </w:p>
        </w:tc>
      </w:tr>
      <w:tr w:rsidR="003E6588" w:rsidTr="00875463">
        <w:trPr>
          <w:trHeight w:val="130"/>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3</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Prefeitura Municipal de Aparecida</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Reforma de Parte do Ginásio</w:t>
            </w:r>
          </w:p>
        </w:tc>
      </w:tr>
      <w:tr w:rsidR="003E6588" w:rsidTr="00875463">
        <w:trPr>
          <w:trHeight w:val="44"/>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4</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Prefeitura Municipal de Nova Europa</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 xml:space="preserve">Pista de </w:t>
            </w:r>
            <w:r>
              <w:rPr>
                <w:i/>
                <w:color w:val="000000"/>
                <w:sz w:val="20"/>
                <w:szCs w:val="20"/>
              </w:rPr>
              <w:t>Skate</w:t>
            </w:r>
          </w:p>
        </w:tc>
      </w:tr>
      <w:tr w:rsidR="003E6588" w:rsidTr="00875463">
        <w:trPr>
          <w:trHeight w:val="80"/>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5</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Prefeitura Municipal de Torre de Pedra</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 xml:space="preserve">Construção de Pista de </w:t>
            </w:r>
            <w:r>
              <w:rPr>
                <w:i/>
                <w:color w:val="000000"/>
                <w:sz w:val="20"/>
                <w:szCs w:val="20"/>
              </w:rPr>
              <w:t>Skate</w:t>
            </w:r>
          </w:p>
        </w:tc>
      </w:tr>
      <w:tr w:rsidR="003E6588" w:rsidTr="00875463">
        <w:trPr>
          <w:trHeight w:val="126"/>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6</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Prefeitura Municipal de Aparecida D´Oeste</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Reforma de àrea de Lazer no Bairro Rio São José dos Dourados</w:t>
            </w:r>
          </w:p>
        </w:tc>
      </w:tr>
      <w:tr w:rsidR="003E6588" w:rsidTr="00875463">
        <w:trPr>
          <w:trHeight w:val="76"/>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7</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Prefeitura Municipal de Ouroeste</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Pista de Caminhada para Longevidade</w:t>
            </w:r>
          </w:p>
        </w:tc>
      </w:tr>
      <w:tr w:rsidR="003E6588" w:rsidTr="00875463">
        <w:trPr>
          <w:trHeight w:val="122"/>
          <w:jc w:val="center"/>
        </w:trPr>
        <w:tc>
          <w:tcPr>
            <w:tcW w:w="540" w:type="dxa"/>
            <w:shd w:val="clear" w:color="000000" w:fill="FFFFFF"/>
            <w:noWrap/>
            <w:vAlign w:val="bottom"/>
            <w:hideMark/>
          </w:tcPr>
          <w:p w:rsidR="003E6588" w:rsidRDefault="003E6588">
            <w:pPr>
              <w:rPr>
                <w:color w:val="000000"/>
                <w:sz w:val="20"/>
                <w:szCs w:val="20"/>
              </w:rPr>
            </w:pPr>
            <w:r>
              <w:rPr>
                <w:color w:val="000000"/>
                <w:sz w:val="20"/>
                <w:szCs w:val="20"/>
              </w:rPr>
              <w:t>8</w:t>
            </w:r>
          </w:p>
        </w:tc>
        <w:tc>
          <w:tcPr>
            <w:tcW w:w="3964" w:type="dxa"/>
            <w:shd w:val="clear" w:color="000000" w:fill="FFFFFF"/>
            <w:vAlign w:val="center"/>
            <w:hideMark/>
          </w:tcPr>
          <w:p w:rsidR="003E6588" w:rsidRDefault="003E6588" w:rsidP="00875463">
            <w:pPr>
              <w:jc w:val="both"/>
              <w:rPr>
                <w:color w:val="000000"/>
                <w:sz w:val="20"/>
                <w:szCs w:val="20"/>
              </w:rPr>
            </w:pPr>
            <w:r>
              <w:rPr>
                <w:color w:val="000000"/>
                <w:sz w:val="20"/>
                <w:szCs w:val="20"/>
              </w:rPr>
              <w:t>Diretório Acadêmico XV de Dezembro</w:t>
            </w:r>
          </w:p>
        </w:tc>
        <w:tc>
          <w:tcPr>
            <w:tcW w:w="5622" w:type="dxa"/>
            <w:shd w:val="clear" w:color="000000" w:fill="FFFFFF"/>
            <w:vAlign w:val="center"/>
            <w:hideMark/>
          </w:tcPr>
          <w:p w:rsidR="003E6588" w:rsidRDefault="003E6588" w:rsidP="00875463">
            <w:pPr>
              <w:jc w:val="both"/>
              <w:rPr>
                <w:color w:val="000000"/>
                <w:sz w:val="20"/>
                <w:szCs w:val="20"/>
              </w:rPr>
            </w:pPr>
            <w:r>
              <w:rPr>
                <w:color w:val="000000"/>
                <w:sz w:val="20"/>
                <w:szCs w:val="20"/>
              </w:rPr>
              <w:t>Reforma de 2 Quadras de tênis localizadas na Academia d</w:t>
            </w:r>
            <w:r w:rsidR="00875463">
              <w:rPr>
                <w:color w:val="000000"/>
                <w:sz w:val="20"/>
                <w:szCs w:val="20"/>
              </w:rPr>
              <w:t>a</w:t>
            </w:r>
            <w:r>
              <w:rPr>
                <w:color w:val="000000"/>
                <w:sz w:val="20"/>
                <w:szCs w:val="20"/>
              </w:rPr>
              <w:t xml:space="preserve"> Pol</w:t>
            </w:r>
            <w:r w:rsidR="00875463">
              <w:rPr>
                <w:color w:val="000000"/>
                <w:sz w:val="20"/>
                <w:szCs w:val="20"/>
              </w:rPr>
              <w:t>í</w:t>
            </w:r>
            <w:r>
              <w:rPr>
                <w:color w:val="000000"/>
                <w:sz w:val="20"/>
                <w:szCs w:val="20"/>
              </w:rPr>
              <w:t>cia Militar no Barro Branco</w:t>
            </w:r>
          </w:p>
        </w:tc>
      </w:tr>
    </w:tbl>
    <w:p w:rsidR="003E6588" w:rsidRPr="00DB2448" w:rsidRDefault="003E6588">
      <w:pPr>
        <w:jc w:val="both"/>
        <w:rPr>
          <w:rFonts w:eastAsia="Verdana"/>
          <w:color w:val="000000"/>
          <w:sz w:val="16"/>
          <w:szCs w:val="16"/>
        </w:rPr>
      </w:pPr>
    </w:p>
    <w:p w:rsidR="003E6588" w:rsidRDefault="003E6588">
      <w:pPr>
        <w:ind w:firstLine="1134"/>
        <w:jc w:val="both"/>
        <w:rPr>
          <w:color w:val="000000"/>
        </w:rPr>
      </w:pPr>
      <w:r>
        <w:rPr>
          <w:rFonts w:eastAsia="Verdana"/>
          <w:b/>
          <w:color w:val="000000"/>
        </w:rPr>
        <w:t xml:space="preserve">Academias ao Ar Livre - </w:t>
      </w:r>
      <w:r>
        <w:rPr>
          <w:color w:val="000000"/>
        </w:rPr>
        <w:t>Foram repassadas 931 academias, por meio de Termo de Autorização Gratuita de Uso de Bens.</w:t>
      </w:r>
    </w:p>
    <w:p w:rsidR="003E6588" w:rsidRPr="00DB2448" w:rsidRDefault="003E6588" w:rsidP="00123C69">
      <w:pPr>
        <w:jc w:val="both"/>
        <w:rPr>
          <w:color w:val="000000"/>
          <w:sz w:val="20"/>
          <w:szCs w:val="20"/>
        </w:rPr>
      </w:pPr>
    </w:p>
    <w:p w:rsidR="003E6588" w:rsidRDefault="003E6588">
      <w:pPr>
        <w:ind w:firstLine="1134"/>
        <w:jc w:val="both"/>
        <w:rPr>
          <w:color w:val="000000"/>
        </w:rPr>
      </w:pPr>
      <w:r>
        <w:rPr>
          <w:b/>
          <w:color w:val="000000"/>
        </w:rPr>
        <w:t xml:space="preserve">Núcleo de Suprimentos e Apoio à Gestão de Contratos e Diretoria Administrativa - </w:t>
      </w:r>
      <w:r>
        <w:rPr>
          <w:color w:val="000000"/>
        </w:rPr>
        <w:t>A Secretaria, por meio da Diretoria Administrativa, assinou Termos de Contratos e de Aditamento conforme os quadros abaixo:</w:t>
      </w:r>
    </w:p>
    <w:p w:rsidR="003E6588" w:rsidRPr="00DB2448" w:rsidRDefault="003E6588" w:rsidP="00123C69">
      <w:pPr>
        <w:shd w:val="clear" w:color="auto" w:fill="FFFFFF"/>
        <w:jc w:val="both"/>
        <w:rPr>
          <w:color w:val="000000"/>
          <w:sz w:val="20"/>
          <w:szCs w:val="20"/>
        </w:rPr>
      </w:pPr>
    </w:p>
    <w:tbl>
      <w:tblPr>
        <w:tblW w:w="5412" w:type="dxa"/>
        <w:jc w:val="center"/>
        <w:tblInd w:w="83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281"/>
        <w:gridCol w:w="3029"/>
        <w:gridCol w:w="1025"/>
        <w:gridCol w:w="1013"/>
        <w:gridCol w:w="64"/>
      </w:tblGrid>
      <w:tr w:rsidR="003E6588" w:rsidTr="00DB2448">
        <w:trPr>
          <w:gridBefore w:val="1"/>
          <w:gridAfter w:val="1"/>
          <w:wBefore w:w="281" w:type="dxa"/>
          <w:wAfter w:w="64" w:type="dxa"/>
          <w:trHeight w:val="44"/>
          <w:jc w:val="center"/>
        </w:trPr>
        <w:tc>
          <w:tcPr>
            <w:tcW w:w="3029" w:type="dxa"/>
            <w:shd w:val="clear" w:color="auto" w:fill="auto"/>
            <w:vAlign w:val="center"/>
            <w:hideMark/>
          </w:tcPr>
          <w:p w:rsidR="003E6588" w:rsidRDefault="003E6588">
            <w:pPr>
              <w:rPr>
                <w:b/>
                <w:bCs/>
                <w:color w:val="000000"/>
                <w:sz w:val="20"/>
                <w:szCs w:val="20"/>
              </w:rPr>
            </w:pPr>
            <w:r>
              <w:rPr>
                <w:b/>
                <w:bCs/>
                <w:color w:val="000000"/>
                <w:sz w:val="20"/>
                <w:szCs w:val="20"/>
              </w:rPr>
              <w:t>Contratos Firmados</w:t>
            </w:r>
          </w:p>
        </w:tc>
        <w:tc>
          <w:tcPr>
            <w:tcW w:w="2038" w:type="dxa"/>
            <w:gridSpan w:val="2"/>
            <w:shd w:val="clear" w:color="auto" w:fill="auto"/>
            <w:vAlign w:val="center"/>
            <w:hideMark/>
          </w:tcPr>
          <w:p w:rsidR="003E6588" w:rsidRDefault="003E6588">
            <w:pPr>
              <w:rPr>
                <w:b/>
                <w:bCs/>
                <w:color w:val="000000"/>
                <w:sz w:val="20"/>
                <w:szCs w:val="20"/>
              </w:rPr>
            </w:pPr>
            <w:r>
              <w:rPr>
                <w:b/>
                <w:bCs/>
                <w:color w:val="000000"/>
                <w:sz w:val="20"/>
                <w:szCs w:val="20"/>
              </w:rPr>
              <w:t>45</w:t>
            </w:r>
          </w:p>
        </w:tc>
      </w:tr>
      <w:tr w:rsidR="003E6588" w:rsidTr="00DB2448">
        <w:trPr>
          <w:gridBefore w:val="1"/>
          <w:gridAfter w:val="1"/>
          <w:wBefore w:w="281" w:type="dxa"/>
          <w:wAfter w:w="64" w:type="dxa"/>
          <w:trHeight w:val="149"/>
          <w:jc w:val="center"/>
        </w:trPr>
        <w:tc>
          <w:tcPr>
            <w:tcW w:w="3029" w:type="dxa"/>
            <w:shd w:val="clear" w:color="auto" w:fill="auto"/>
            <w:vAlign w:val="center"/>
            <w:hideMark/>
          </w:tcPr>
          <w:p w:rsidR="003E6588" w:rsidRDefault="003E6588" w:rsidP="00875463">
            <w:pPr>
              <w:jc w:val="left"/>
              <w:rPr>
                <w:color w:val="000000"/>
                <w:sz w:val="20"/>
                <w:szCs w:val="20"/>
              </w:rPr>
            </w:pPr>
            <w:r>
              <w:rPr>
                <w:color w:val="000000"/>
                <w:sz w:val="20"/>
                <w:szCs w:val="20"/>
              </w:rPr>
              <w:t>UGE 410101 - 12 contratos</w:t>
            </w:r>
          </w:p>
        </w:tc>
        <w:tc>
          <w:tcPr>
            <w:tcW w:w="2038" w:type="dxa"/>
            <w:gridSpan w:val="2"/>
            <w:shd w:val="clear" w:color="auto" w:fill="auto"/>
            <w:vAlign w:val="center"/>
            <w:hideMark/>
          </w:tcPr>
          <w:p w:rsidR="003E6588" w:rsidRDefault="003E6588">
            <w:pPr>
              <w:rPr>
                <w:color w:val="000000"/>
                <w:sz w:val="20"/>
                <w:szCs w:val="20"/>
              </w:rPr>
            </w:pPr>
            <w:r>
              <w:rPr>
                <w:color w:val="000000"/>
                <w:sz w:val="20"/>
                <w:szCs w:val="20"/>
              </w:rPr>
              <w:t> </w:t>
            </w:r>
          </w:p>
        </w:tc>
      </w:tr>
      <w:tr w:rsidR="003E6588" w:rsidTr="00DB2448">
        <w:trPr>
          <w:gridBefore w:val="1"/>
          <w:gridAfter w:val="1"/>
          <w:wBefore w:w="281" w:type="dxa"/>
          <w:wAfter w:w="64" w:type="dxa"/>
          <w:trHeight w:val="54"/>
          <w:jc w:val="center"/>
        </w:trPr>
        <w:tc>
          <w:tcPr>
            <w:tcW w:w="3029" w:type="dxa"/>
            <w:shd w:val="clear" w:color="auto" w:fill="auto"/>
            <w:vAlign w:val="center"/>
            <w:hideMark/>
          </w:tcPr>
          <w:p w:rsidR="003E6588" w:rsidRDefault="003E6588" w:rsidP="00875463">
            <w:pPr>
              <w:jc w:val="left"/>
              <w:rPr>
                <w:color w:val="000000"/>
                <w:sz w:val="20"/>
                <w:szCs w:val="20"/>
              </w:rPr>
            </w:pPr>
            <w:r>
              <w:rPr>
                <w:color w:val="000000"/>
                <w:sz w:val="20"/>
                <w:szCs w:val="20"/>
              </w:rPr>
              <w:t>UGE 410103 - 8 contratos</w:t>
            </w:r>
          </w:p>
        </w:tc>
        <w:tc>
          <w:tcPr>
            <w:tcW w:w="2038" w:type="dxa"/>
            <w:gridSpan w:val="2"/>
            <w:shd w:val="clear" w:color="auto" w:fill="auto"/>
            <w:vAlign w:val="center"/>
            <w:hideMark/>
          </w:tcPr>
          <w:p w:rsidR="003E6588" w:rsidRDefault="003E6588">
            <w:pPr>
              <w:rPr>
                <w:color w:val="000000"/>
                <w:sz w:val="20"/>
                <w:szCs w:val="20"/>
              </w:rPr>
            </w:pPr>
            <w:r>
              <w:rPr>
                <w:color w:val="000000"/>
                <w:sz w:val="20"/>
                <w:szCs w:val="20"/>
              </w:rPr>
              <w:t> </w:t>
            </w:r>
          </w:p>
        </w:tc>
      </w:tr>
      <w:tr w:rsidR="003E6588" w:rsidTr="00DB2448">
        <w:trPr>
          <w:gridBefore w:val="1"/>
          <w:gridAfter w:val="1"/>
          <w:wBefore w:w="281" w:type="dxa"/>
          <w:wAfter w:w="64" w:type="dxa"/>
          <w:trHeight w:val="99"/>
          <w:jc w:val="center"/>
        </w:trPr>
        <w:tc>
          <w:tcPr>
            <w:tcW w:w="3029" w:type="dxa"/>
            <w:shd w:val="clear" w:color="auto" w:fill="auto"/>
            <w:vAlign w:val="center"/>
            <w:hideMark/>
          </w:tcPr>
          <w:p w:rsidR="003E6588" w:rsidRDefault="003E6588" w:rsidP="00875463">
            <w:pPr>
              <w:jc w:val="left"/>
              <w:rPr>
                <w:color w:val="000000"/>
                <w:sz w:val="20"/>
                <w:szCs w:val="20"/>
              </w:rPr>
            </w:pPr>
            <w:r>
              <w:rPr>
                <w:color w:val="000000"/>
                <w:sz w:val="20"/>
                <w:szCs w:val="20"/>
              </w:rPr>
              <w:t>UGE 410030 - 25 contratos</w:t>
            </w:r>
          </w:p>
        </w:tc>
        <w:tc>
          <w:tcPr>
            <w:tcW w:w="2038" w:type="dxa"/>
            <w:gridSpan w:val="2"/>
            <w:shd w:val="clear" w:color="auto" w:fill="auto"/>
            <w:vAlign w:val="center"/>
            <w:hideMark/>
          </w:tcPr>
          <w:p w:rsidR="003E6588" w:rsidRDefault="003E6588">
            <w:pPr>
              <w:rPr>
                <w:color w:val="000000"/>
                <w:sz w:val="20"/>
                <w:szCs w:val="20"/>
              </w:rPr>
            </w:pPr>
            <w:r>
              <w:rPr>
                <w:color w:val="000000"/>
                <w:sz w:val="20"/>
                <w:szCs w:val="20"/>
              </w:rPr>
              <w:t> </w:t>
            </w:r>
          </w:p>
        </w:tc>
      </w:tr>
      <w:tr w:rsidR="003E6588" w:rsidTr="00DB2448">
        <w:trPr>
          <w:gridBefore w:val="1"/>
          <w:gridAfter w:val="1"/>
          <w:wBefore w:w="281" w:type="dxa"/>
          <w:wAfter w:w="64" w:type="dxa"/>
          <w:trHeight w:val="44"/>
          <w:jc w:val="center"/>
        </w:trPr>
        <w:tc>
          <w:tcPr>
            <w:tcW w:w="3029" w:type="dxa"/>
            <w:shd w:val="clear" w:color="auto" w:fill="auto"/>
            <w:vAlign w:val="center"/>
            <w:hideMark/>
          </w:tcPr>
          <w:p w:rsidR="003E6588" w:rsidRDefault="003E6588">
            <w:pPr>
              <w:rPr>
                <w:b/>
                <w:bCs/>
                <w:color w:val="000000"/>
                <w:sz w:val="20"/>
                <w:szCs w:val="20"/>
              </w:rPr>
            </w:pPr>
            <w:r>
              <w:rPr>
                <w:b/>
                <w:bCs/>
                <w:color w:val="000000"/>
                <w:sz w:val="20"/>
                <w:szCs w:val="20"/>
              </w:rPr>
              <w:t>Aditamentos</w:t>
            </w:r>
          </w:p>
        </w:tc>
        <w:tc>
          <w:tcPr>
            <w:tcW w:w="2038" w:type="dxa"/>
            <w:gridSpan w:val="2"/>
            <w:shd w:val="clear" w:color="auto" w:fill="auto"/>
            <w:vAlign w:val="center"/>
            <w:hideMark/>
          </w:tcPr>
          <w:p w:rsidR="003E6588" w:rsidRDefault="003E6588">
            <w:pPr>
              <w:rPr>
                <w:b/>
                <w:bCs/>
                <w:color w:val="000000"/>
                <w:sz w:val="20"/>
                <w:szCs w:val="20"/>
              </w:rPr>
            </w:pPr>
            <w:r>
              <w:rPr>
                <w:b/>
                <w:bCs/>
                <w:color w:val="000000"/>
                <w:sz w:val="20"/>
                <w:szCs w:val="20"/>
              </w:rPr>
              <w:t>27</w:t>
            </w:r>
          </w:p>
        </w:tc>
      </w:tr>
      <w:tr w:rsidR="003E6588" w:rsidTr="00DB2448">
        <w:trPr>
          <w:gridBefore w:val="1"/>
          <w:gridAfter w:val="1"/>
          <w:wBefore w:w="281" w:type="dxa"/>
          <w:wAfter w:w="64" w:type="dxa"/>
          <w:trHeight w:val="192"/>
          <w:jc w:val="center"/>
        </w:trPr>
        <w:tc>
          <w:tcPr>
            <w:tcW w:w="3029" w:type="dxa"/>
            <w:shd w:val="clear" w:color="000000" w:fill="FFFFFF"/>
            <w:vAlign w:val="center"/>
            <w:hideMark/>
          </w:tcPr>
          <w:p w:rsidR="003E6588" w:rsidRDefault="003E6588" w:rsidP="00875463">
            <w:pPr>
              <w:jc w:val="left"/>
              <w:rPr>
                <w:color w:val="000000"/>
                <w:sz w:val="20"/>
                <w:szCs w:val="20"/>
              </w:rPr>
            </w:pPr>
            <w:r>
              <w:rPr>
                <w:color w:val="000000"/>
                <w:sz w:val="20"/>
                <w:szCs w:val="20"/>
              </w:rPr>
              <w:t>UGE 410101 - 17 Aditamentos</w:t>
            </w:r>
          </w:p>
        </w:tc>
        <w:tc>
          <w:tcPr>
            <w:tcW w:w="2038" w:type="dxa"/>
            <w:gridSpan w:val="2"/>
            <w:shd w:val="clear" w:color="000000" w:fill="FFFFFF"/>
            <w:vAlign w:val="center"/>
            <w:hideMark/>
          </w:tcPr>
          <w:p w:rsidR="003E6588" w:rsidRDefault="003E6588">
            <w:pPr>
              <w:rPr>
                <w:color w:val="000000"/>
                <w:sz w:val="20"/>
                <w:szCs w:val="20"/>
              </w:rPr>
            </w:pPr>
          </w:p>
        </w:tc>
      </w:tr>
      <w:tr w:rsidR="003E6588" w:rsidTr="00DB2448">
        <w:trPr>
          <w:gridBefore w:val="1"/>
          <w:gridAfter w:val="1"/>
          <w:wBefore w:w="281" w:type="dxa"/>
          <w:wAfter w:w="64" w:type="dxa"/>
          <w:trHeight w:val="82"/>
          <w:jc w:val="center"/>
        </w:trPr>
        <w:tc>
          <w:tcPr>
            <w:tcW w:w="3029" w:type="dxa"/>
            <w:shd w:val="clear" w:color="000000" w:fill="FFFFFF"/>
            <w:vAlign w:val="center"/>
            <w:hideMark/>
          </w:tcPr>
          <w:p w:rsidR="003E6588" w:rsidRDefault="003E6588" w:rsidP="00875463">
            <w:pPr>
              <w:jc w:val="left"/>
              <w:rPr>
                <w:color w:val="000000"/>
                <w:sz w:val="20"/>
                <w:szCs w:val="20"/>
              </w:rPr>
            </w:pPr>
            <w:r>
              <w:rPr>
                <w:color w:val="000000"/>
                <w:sz w:val="20"/>
                <w:szCs w:val="20"/>
              </w:rPr>
              <w:t>UGE 410103 - 7 Aditamentos</w:t>
            </w:r>
          </w:p>
        </w:tc>
        <w:tc>
          <w:tcPr>
            <w:tcW w:w="2038" w:type="dxa"/>
            <w:gridSpan w:val="2"/>
            <w:shd w:val="clear" w:color="000000" w:fill="FFFFFF"/>
            <w:vAlign w:val="center"/>
            <w:hideMark/>
          </w:tcPr>
          <w:p w:rsidR="003E6588" w:rsidRDefault="003E6588">
            <w:pPr>
              <w:rPr>
                <w:color w:val="000000"/>
                <w:sz w:val="20"/>
                <w:szCs w:val="20"/>
              </w:rPr>
            </w:pPr>
            <w:r>
              <w:rPr>
                <w:color w:val="000000"/>
                <w:sz w:val="20"/>
                <w:szCs w:val="20"/>
              </w:rPr>
              <w:t> </w:t>
            </w:r>
          </w:p>
        </w:tc>
      </w:tr>
      <w:tr w:rsidR="003E6588" w:rsidTr="00DB2448">
        <w:trPr>
          <w:gridBefore w:val="1"/>
          <w:gridAfter w:val="1"/>
          <w:wBefore w:w="281" w:type="dxa"/>
          <w:wAfter w:w="64" w:type="dxa"/>
          <w:trHeight w:val="44"/>
          <w:jc w:val="center"/>
        </w:trPr>
        <w:tc>
          <w:tcPr>
            <w:tcW w:w="3029" w:type="dxa"/>
            <w:shd w:val="clear" w:color="000000" w:fill="FFFFFF"/>
            <w:vAlign w:val="center"/>
            <w:hideMark/>
          </w:tcPr>
          <w:p w:rsidR="003E6588" w:rsidRDefault="003E6588" w:rsidP="00875463">
            <w:pPr>
              <w:jc w:val="left"/>
              <w:rPr>
                <w:color w:val="000000"/>
                <w:sz w:val="20"/>
                <w:szCs w:val="20"/>
              </w:rPr>
            </w:pPr>
            <w:r>
              <w:rPr>
                <w:color w:val="000000"/>
                <w:sz w:val="20"/>
                <w:szCs w:val="20"/>
              </w:rPr>
              <w:t>UGE 410030 - 3 Aditamentos</w:t>
            </w:r>
          </w:p>
        </w:tc>
        <w:tc>
          <w:tcPr>
            <w:tcW w:w="2038" w:type="dxa"/>
            <w:gridSpan w:val="2"/>
            <w:shd w:val="clear" w:color="000000" w:fill="FFFFFF"/>
            <w:vAlign w:val="center"/>
            <w:hideMark/>
          </w:tcPr>
          <w:p w:rsidR="003E6588" w:rsidRDefault="003E6588">
            <w:pPr>
              <w:rPr>
                <w:color w:val="000000"/>
                <w:sz w:val="20"/>
                <w:szCs w:val="20"/>
              </w:rPr>
            </w:pPr>
            <w:r>
              <w:rPr>
                <w:color w:val="000000"/>
                <w:sz w:val="20"/>
                <w:szCs w:val="20"/>
              </w:rPr>
              <w:t> </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
          <w:jc w:val="center"/>
        </w:trPr>
        <w:tc>
          <w:tcPr>
            <w:tcW w:w="5412" w:type="dxa"/>
            <w:gridSpan w:val="5"/>
            <w:tcBorders>
              <w:top w:val="single" w:sz="8" w:space="0" w:color="auto"/>
              <w:left w:val="single" w:sz="8" w:space="0" w:color="auto"/>
              <w:bottom w:val="single" w:sz="4" w:space="0" w:color="auto"/>
              <w:right w:val="single" w:sz="8" w:space="0" w:color="000000"/>
            </w:tcBorders>
            <w:shd w:val="clear" w:color="auto" w:fill="auto"/>
            <w:vAlign w:val="bottom"/>
            <w:hideMark/>
          </w:tcPr>
          <w:p w:rsidR="003E6588" w:rsidRDefault="003E6588" w:rsidP="00875463">
            <w:pPr>
              <w:rPr>
                <w:b/>
                <w:bCs/>
                <w:color w:val="000000"/>
                <w:sz w:val="20"/>
                <w:szCs w:val="20"/>
              </w:rPr>
            </w:pPr>
            <w:r>
              <w:rPr>
                <w:b/>
                <w:bCs/>
                <w:color w:val="000000"/>
                <w:sz w:val="20"/>
                <w:szCs w:val="20"/>
              </w:rPr>
              <w:lastRenderedPageBreak/>
              <w:t>DESCRIMINAÇÃO INDICADORES</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7"/>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 xml:space="preserve">Processos tramitados na Pasta </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1.532</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4"/>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Expedientes e ofícios tramitados na Pasta</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6.203</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Pregões Presenciais realizados</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Não houve</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Pregões Eletrônicos realizados</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39</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Percentual médio de economia em Pregões</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23,43%</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Inexigibilidade</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1</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6"/>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Convite BEC</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7</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1"/>
          <w:jc w:val="center"/>
        </w:trPr>
        <w:tc>
          <w:tcPr>
            <w:tcW w:w="4335" w:type="dxa"/>
            <w:gridSpan w:val="3"/>
            <w:tcBorders>
              <w:top w:val="nil"/>
              <w:left w:val="single" w:sz="8" w:space="0" w:color="auto"/>
              <w:bottom w:val="single" w:sz="4"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Dispensa BEC</w:t>
            </w:r>
          </w:p>
        </w:tc>
        <w:tc>
          <w:tcPr>
            <w:tcW w:w="1077" w:type="dxa"/>
            <w:gridSpan w:val="2"/>
            <w:tcBorders>
              <w:top w:val="nil"/>
              <w:left w:val="nil"/>
              <w:bottom w:val="single" w:sz="4"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12</w:t>
            </w:r>
          </w:p>
        </w:tc>
      </w:tr>
      <w:tr w:rsidR="003E6588" w:rsidTr="00DB24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
          <w:jc w:val="center"/>
        </w:trPr>
        <w:tc>
          <w:tcPr>
            <w:tcW w:w="4335" w:type="dxa"/>
            <w:gridSpan w:val="3"/>
            <w:tcBorders>
              <w:top w:val="nil"/>
              <w:left w:val="single" w:sz="8" w:space="0" w:color="auto"/>
              <w:bottom w:val="single" w:sz="8" w:space="0" w:color="auto"/>
              <w:right w:val="single" w:sz="4" w:space="0" w:color="auto"/>
            </w:tcBorders>
            <w:shd w:val="clear" w:color="auto" w:fill="auto"/>
            <w:noWrap/>
            <w:vAlign w:val="bottom"/>
            <w:hideMark/>
          </w:tcPr>
          <w:p w:rsidR="003E6588" w:rsidRDefault="003E6588" w:rsidP="00875463">
            <w:pPr>
              <w:jc w:val="left"/>
              <w:rPr>
                <w:color w:val="000000"/>
                <w:sz w:val="20"/>
                <w:szCs w:val="20"/>
              </w:rPr>
            </w:pPr>
            <w:r>
              <w:rPr>
                <w:color w:val="000000"/>
                <w:sz w:val="20"/>
                <w:szCs w:val="20"/>
              </w:rPr>
              <w:t>Dispensas</w:t>
            </w:r>
          </w:p>
        </w:tc>
        <w:tc>
          <w:tcPr>
            <w:tcW w:w="1077" w:type="dxa"/>
            <w:gridSpan w:val="2"/>
            <w:tcBorders>
              <w:top w:val="nil"/>
              <w:left w:val="nil"/>
              <w:bottom w:val="single" w:sz="8" w:space="0" w:color="auto"/>
              <w:right w:val="single" w:sz="8" w:space="0" w:color="auto"/>
            </w:tcBorders>
            <w:shd w:val="clear" w:color="auto" w:fill="auto"/>
            <w:noWrap/>
            <w:vAlign w:val="bottom"/>
            <w:hideMark/>
          </w:tcPr>
          <w:p w:rsidR="003E6588" w:rsidRDefault="003E6588">
            <w:pPr>
              <w:rPr>
                <w:color w:val="000000"/>
                <w:sz w:val="20"/>
                <w:szCs w:val="20"/>
              </w:rPr>
            </w:pPr>
            <w:r>
              <w:rPr>
                <w:color w:val="000000"/>
                <w:sz w:val="20"/>
                <w:szCs w:val="20"/>
              </w:rPr>
              <w:t>10</w:t>
            </w:r>
          </w:p>
        </w:tc>
      </w:tr>
    </w:tbl>
    <w:p w:rsidR="003E6588" w:rsidRDefault="003E6588" w:rsidP="00123C69">
      <w:pPr>
        <w:jc w:val="both"/>
      </w:pPr>
    </w:p>
    <w:p w:rsidR="003E6588" w:rsidRDefault="003E6588">
      <w:pPr>
        <w:rPr>
          <w:b/>
          <w:bCs/>
        </w:rPr>
      </w:pPr>
      <w:r>
        <w:br w:type="page"/>
      </w:r>
      <w:r>
        <w:rPr>
          <w:b/>
          <w:bCs/>
        </w:rPr>
        <w:lastRenderedPageBreak/>
        <w:t>SECRETARIA DA FAZENDA</w:t>
      </w:r>
    </w:p>
    <w:p w:rsidR="003E6588" w:rsidRDefault="003E6588" w:rsidP="006D40CC">
      <w:pPr>
        <w:ind w:firstLine="1134"/>
        <w:jc w:val="both"/>
      </w:pPr>
    </w:p>
    <w:p w:rsidR="003E6588" w:rsidRDefault="003E6588">
      <w:pPr>
        <w:ind w:firstLine="1134"/>
        <w:jc w:val="both"/>
        <w:rPr>
          <w:strike/>
        </w:rPr>
      </w:pPr>
    </w:p>
    <w:p w:rsidR="003E6588" w:rsidRDefault="003E6588" w:rsidP="006D40CC">
      <w:pPr>
        <w:ind w:left="1134"/>
        <w:jc w:val="both"/>
        <w:rPr>
          <w:b/>
        </w:rPr>
      </w:pPr>
      <w:r>
        <w:rPr>
          <w:b/>
        </w:rPr>
        <w:t>Projetos Principais</w:t>
      </w:r>
    </w:p>
    <w:p w:rsidR="003E6588" w:rsidRDefault="003E6588" w:rsidP="006D40CC">
      <w:pPr>
        <w:tabs>
          <w:tab w:val="num" w:pos="1957"/>
        </w:tabs>
        <w:ind w:firstLine="1134"/>
        <w:jc w:val="both"/>
        <w:rPr>
          <w:b/>
          <w:bCs/>
        </w:rPr>
      </w:pPr>
    </w:p>
    <w:p w:rsidR="003E6588" w:rsidRDefault="003E6588">
      <w:pPr>
        <w:tabs>
          <w:tab w:val="num" w:pos="1957"/>
        </w:tabs>
        <w:ind w:firstLine="1134"/>
        <w:jc w:val="both"/>
      </w:pPr>
      <w:r>
        <w:rPr>
          <w:b/>
          <w:bCs/>
        </w:rPr>
        <w:t xml:space="preserve">SIGEC - Sistema Integrado de Gestão de Créditos - </w:t>
      </w:r>
      <w:r>
        <w:t>Sistema que visa melhorar o controle e o desempenho dos processos relacionados aos créditos tributários. Foram implantadas melhorias no extrato das Contas Fiscais - CFs, preparação para entrada em produção da Conta Fiscal do Imposto sobre Transmissão Causa Mortis e Doação - ITCMD e a conclusão da preparação para integração com Ambiente de Pagamentos.</w:t>
      </w:r>
    </w:p>
    <w:p w:rsidR="003E6588" w:rsidRDefault="003E6588">
      <w:pPr>
        <w:ind w:firstLine="1134"/>
        <w:jc w:val="both"/>
        <w:rPr>
          <w:b/>
          <w:bCs/>
        </w:rPr>
      </w:pPr>
    </w:p>
    <w:p w:rsidR="003E6588" w:rsidRDefault="003E6588">
      <w:pPr>
        <w:ind w:firstLine="1134"/>
        <w:jc w:val="both"/>
        <w:rPr>
          <w:b/>
          <w:bCs/>
        </w:rPr>
      </w:pPr>
      <w:r>
        <w:rPr>
          <w:b/>
          <w:bCs/>
        </w:rPr>
        <w:t>Em Produção</w:t>
      </w:r>
    </w:p>
    <w:p w:rsidR="003E6588" w:rsidRDefault="003E6588">
      <w:pPr>
        <w:ind w:firstLine="1134"/>
        <w:jc w:val="both"/>
      </w:pPr>
    </w:p>
    <w:p w:rsidR="003E6588" w:rsidRDefault="003E6588">
      <w:pPr>
        <w:pStyle w:val="PargrafodaLista"/>
        <w:ind w:left="0" w:firstLine="1134"/>
        <w:rPr>
          <w:rFonts w:ascii="Times New Roman" w:hAnsi="Times New Roman"/>
          <w:strike/>
          <w:sz w:val="24"/>
          <w:szCs w:val="24"/>
        </w:rPr>
      </w:pPr>
      <w:r>
        <w:rPr>
          <w:rFonts w:ascii="Times New Roman" w:hAnsi="Times New Roman"/>
          <w:b/>
          <w:bCs/>
          <w:sz w:val="24"/>
          <w:szCs w:val="24"/>
        </w:rPr>
        <w:t>Ambiente de Pagamentos -</w:t>
      </w:r>
      <w:r>
        <w:rPr>
          <w:rFonts w:ascii="Times New Roman" w:hAnsi="Times New Roman"/>
          <w:sz w:val="24"/>
          <w:szCs w:val="24"/>
        </w:rPr>
        <w:t xml:space="preserve"> Foram inseridas novas receitas, tais como as taxas previstas no Anexo I da Lei nº 15.266/2013, além dos honorários advocatícios da PGE e diligências de oficiais de justiça em processos de execuções fiscais. A quantidade de Documentos de Arrecadação de Receitas Estaduais - DARE arrecada 3.977.621.</w:t>
      </w:r>
    </w:p>
    <w:p w:rsidR="003E6588" w:rsidRDefault="003E6588">
      <w:pPr>
        <w:pStyle w:val="PargrafodaLista"/>
        <w:ind w:left="1134"/>
        <w:rPr>
          <w:rFonts w:ascii="Times New Roman" w:hAnsi="Times New Roman"/>
          <w:b/>
          <w:bCs/>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bCs/>
          <w:sz w:val="24"/>
          <w:szCs w:val="24"/>
        </w:rPr>
        <w:t xml:space="preserve">Conta Fiscal dos </w:t>
      </w:r>
      <w:r>
        <w:rPr>
          <w:rFonts w:ascii="Times New Roman" w:hAnsi="Times New Roman"/>
          <w:b/>
          <w:sz w:val="24"/>
          <w:szCs w:val="24"/>
        </w:rPr>
        <w:t xml:space="preserve">Autos de Infração e Imposição de Multa - </w:t>
      </w:r>
      <w:r>
        <w:rPr>
          <w:rFonts w:ascii="Times New Roman" w:hAnsi="Times New Roman"/>
          <w:b/>
          <w:bCs/>
          <w:sz w:val="24"/>
          <w:szCs w:val="24"/>
        </w:rPr>
        <w:t>CFAIIM -</w:t>
      </w:r>
      <w:r>
        <w:rPr>
          <w:rFonts w:ascii="Times New Roman" w:hAnsi="Times New Roman"/>
          <w:sz w:val="24"/>
          <w:szCs w:val="24"/>
        </w:rPr>
        <w:t xml:space="preserve"> O Sistema foi integrado ao sistema ePAT, possibilitando a migração e atualização da situação de AIIMs presentes no CFAIIM com as informações automatizadas de ratificação e decisões terminativas integrais provenientes do ePAT. O sistema foi finalista do Prêmio “M</w:t>
      </w:r>
      <w:r w:rsidR="0003027C">
        <w:rPr>
          <w:rFonts w:ascii="Times New Roman" w:hAnsi="Times New Roman"/>
          <w:sz w:val="24"/>
          <w:szCs w:val="24"/>
        </w:rPr>
        <w:t>a</w:t>
      </w:r>
      <w:r>
        <w:rPr>
          <w:rFonts w:ascii="Times New Roman" w:hAnsi="Times New Roman"/>
          <w:sz w:val="24"/>
          <w:szCs w:val="24"/>
        </w:rPr>
        <w:t>rio Covas”.</w:t>
      </w:r>
    </w:p>
    <w:p w:rsidR="003E6588" w:rsidRDefault="003E6588">
      <w:pPr>
        <w:pStyle w:val="PargrafodaLista"/>
        <w:ind w:left="0" w:firstLine="1134"/>
        <w:rPr>
          <w:rFonts w:ascii="Times New Roman" w:hAnsi="Times New Roman"/>
          <w:b/>
          <w:bCs/>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b/>
          <w:bCs/>
          <w:sz w:val="24"/>
          <w:szCs w:val="24"/>
        </w:rPr>
        <w:t>Conta Fiscal do ITCMD -</w:t>
      </w:r>
      <w:r>
        <w:rPr>
          <w:rFonts w:ascii="Times New Roman" w:hAnsi="Times New Roman"/>
          <w:sz w:val="24"/>
          <w:szCs w:val="24"/>
        </w:rPr>
        <w:t xml:space="preserve"> Implantado sistema que permite a determinação dos valores oriundos do ITCMD declarado, via integração com o novo sistema Declaratório do ITCMD, possibilitando maior transparência no controle do crédito tributário. Desta forma, agiliza-se o tratamento e gerenciamento pelo Fisco dos valores a receber.</w:t>
      </w:r>
    </w:p>
    <w:p w:rsidR="003E6588" w:rsidRDefault="003E6588">
      <w:pPr>
        <w:pStyle w:val="PargrafodaLista"/>
        <w:ind w:left="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e-Certidão Negativa - </w:t>
      </w:r>
      <w:r>
        <w:rPr>
          <w:rFonts w:ascii="Times New Roman" w:hAnsi="Times New Roman"/>
          <w:sz w:val="24"/>
          <w:szCs w:val="24"/>
        </w:rPr>
        <w:t>Sistema de emissão de Certidão Negativa de Débitos para situações em que o contribuinte faz jus à Certidão Negativa.</w:t>
      </w:r>
    </w:p>
    <w:p w:rsidR="003E6588" w:rsidRDefault="003E6588" w:rsidP="00D21053">
      <w:pPr>
        <w:tabs>
          <w:tab w:val="num" w:pos="1957"/>
        </w:tabs>
        <w:ind w:firstLine="1134"/>
        <w:jc w:val="both"/>
        <w:rPr>
          <w:b/>
        </w:rPr>
      </w:pPr>
    </w:p>
    <w:p w:rsidR="003E6588" w:rsidRDefault="003E6588" w:rsidP="006D40CC">
      <w:pPr>
        <w:tabs>
          <w:tab w:val="num" w:pos="1957"/>
        </w:tabs>
        <w:ind w:firstLine="1134"/>
        <w:jc w:val="both"/>
      </w:pPr>
      <w:r>
        <w:rPr>
          <w:b/>
        </w:rPr>
        <w:t>Sistemas Informatizados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SPED - Sistema Público de Escrituração Digital -</w:t>
      </w:r>
      <w:r>
        <w:rPr>
          <w:rFonts w:ascii="Times New Roman" w:hAnsi="Times New Roman"/>
          <w:sz w:val="24"/>
          <w:szCs w:val="24"/>
        </w:rPr>
        <w:t xml:space="preserve"> Projeto conta com sistemas de recepção e sincronismo dos arquivos da Escrituração Fiscal Digital - EFD da Receita Federal do Brasil - RFB, bem como sistema de gerenciamento e controle do Cadastramento de Contribuintes obrigados à Escrituração Fiscal Digital. Ocorreram as seguinte atividades: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Obrigação do contribuinte sujeito ao RPA a usar o EFD -</w:t>
      </w:r>
      <w:r>
        <w:rPr>
          <w:rFonts w:ascii="Times New Roman" w:hAnsi="Times New Roman"/>
          <w:sz w:val="24"/>
          <w:szCs w:val="24"/>
        </w:rPr>
        <w:t xml:space="preserve"> Todo contribuinte sujeito ao Regime Periódico de Apuração - RPA está obrigado ao uso da EFD. O sistema de credenciamento automaticamente reconhece os contribuintes RPA e os credencia de ofício, junto à RFB, para a transmissão da EFD.</w:t>
      </w:r>
    </w:p>
    <w:p w:rsidR="003E6588" w:rsidRDefault="003E6588">
      <w:pPr>
        <w:pStyle w:val="PargrafodaLista"/>
        <w:ind w:left="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 xml:space="preserve">Recepção dos pedidos de retificação da EFD pela </w:t>
      </w:r>
      <w:r>
        <w:rPr>
          <w:rFonts w:ascii="Times New Roman" w:hAnsi="Times New Roman"/>
          <w:b/>
          <w:i/>
          <w:sz w:val="24"/>
          <w:szCs w:val="24"/>
        </w:rPr>
        <w:t xml:space="preserve">internet </w:t>
      </w:r>
      <w:r>
        <w:rPr>
          <w:rFonts w:ascii="Times New Roman" w:hAnsi="Times New Roman"/>
          <w:b/>
          <w:sz w:val="24"/>
          <w:szCs w:val="24"/>
        </w:rPr>
        <w:t>-</w:t>
      </w:r>
      <w:r>
        <w:rPr>
          <w:rFonts w:ascii="Times New Roman" w:hAnsi="Times New Roman"/>
          <w:sz w:val="24"/>
          <w:szCs w:val="24"/>
        </w:rPr>
        <w:t xml:space="preserve"> Sistema faz as verificações necessárias e recebe o pedido de retificação do contribuinte pela </w:t>
      </w:r>
      <w:r>
        <w:rPr>
          <w:rFonts w:ascii="Times New Roman" w:hAnsi="Times New Roman"/>
          <w:i/>
          <w:sz w:val="24"/>
          <w:szCs w:val="24"/>
        </w:rPr>
        <w:t>internet</w:t>
      </w:r>
      <w:r>
        <w:rPr>
          <w:rFonts w:ascii="Times New Roman" w:hAnsi="Times New Roman"/>
          <w:sz w:val="24"/>
          <w:szCs w:val="24"/>
        </w:rPr>
        <w:t xml:space="preserve">, sem a necessidade de comparecer ao posto fiscal. Toda EFD retificada é disponibilizada para utilização fiscal por meio do portal de </w:t>
      </w:r>
      <w:r>
        <w:rPr>
          <w:rFonts w:ascii="Times New Roman" w:hAnsi="Times New Roman"/>
          <w:i/>
          <w:sz w:val="24"/>
          <w:szCs w:val="24"/>
        </w:rPr>
        <w:t>Downloads</w:t>
      </w:r>
      <w:r>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Padronização na aplicação de penalidades referentes à EFD -</w:t>
      </w:r>
      <w:r>
        <w:rPr>
          <w:rFonts w:ascii="Times New Roman" w:hAnsi="Times New Roman"/>
          <w:sz w:val="24"/>
          <w:szCs w:val="24"/>
        </w:rPr>
        <w:t xml:space="preserve"> O Ofício Circular DEAT nº 30/2014 revogou o ofício anterior (nº 34/2013) e padronizou a aplicação de penalidades referente à Escrituração Fiscal Digital.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Visando à futura </w:t>
      </w:r>
      <w:r w:rsidRPr="0003027C">
        <w:rPr>
          <w:rFonts w:ascii="Times New Roman" w:hAnsi="Times New Roman"/>
          <w:sz w:val="24"/>
          <w:szCs w:val="24"/>
        </w:rPr>
        <w:t>substituição da GIA pela EFD</w:t>
      </w:r>
      <w:r>
        <w:rPr>
          <w:rFonts w:ascii="Times New Roman" w:hAnsi="Times New Roman"/>
          <w:sz w:val="24"/>
          <w:szCs w:val="24"/>
        </w:rPr>
        <w:t xml:space="preserve"> foram iniciadas ações de controle de omissos da EFD, tais como palestras, avisos pelo DEC para os contribuintes omissos e postergação da entrega das EFD omissas.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bCs/>
          <w:sz w:val="24"/>
          <w:szCs w:val="24"/>
        </w:rPr>
        <w:t>Manifesto de Documentos Fiscais - MDF-e - Modal Aquaviário -</w:t>
      </w:r>
      <w:r>
        <w:rPr>
          <w:rFonts w:ascii="Times New Roman" w:hAnsi="Times New Roman"/>
          <w:sz w:val="24"/>
          <w:szCs w:val="24"/>
        </w:rPr>
        <w:t xml:space="preserve"> Disponibilizado sistema capaz de gerar, transmitir e gerenciar arquivos que correspondem ao Manifesto Eletrônico de Documentos Fiscais (MDF-e) de que trata o Ajuste SINIEF ICMS 21/10.</w:t>
      </w:r>
    </w:p>
    <w:p w:rsidR="003E6588" w:rsidRDefault="003E6588">
      <w:pPr>
        <w:pStyle w:val="PargrafodaLista"/>
        <w:ind w:left="0"/>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bCs/>
          <w:sz w:val="24"/>
          <w:szCs w:val="24"/>
        </w:rPr>
        <w:t xml:space="preserve">Sistema Autorizador e Transmissor, SAT-CF-e - </w:t>
      </w:r>
      <w:r>
        <w:rPr>
          <w:rFonts w:ascii="Times New Roman" w:hAnsi="Times New Roman"/>
          <w:bCs/>
          <w:sz w:val="24"/>
          <w:szCs w:val="24"/>
        </w:rPr>
        <w:t>Emissor de</w:t>
      </w:r>
      <w:r>
        <w:rPr>
          <w:rFonts w:ascii="Times New Roman" w:hAnsi="Times New Roman"/>
          <w:b/>
          <w:bCs/>
          <w:sz w:val="24"/>
          <w:szCs w:val="24"/>
        </w:rPr>
        <w:t xml:space="preserve"> </w:t>
      </w:r>
      <w:r>
        <w:rPr>
          <w:rFonts w:ascii="Times New Roman" w:hAnsi="Times New Roman"/>
          <w:sz w:val="24"/>
          <w:szCs w:val="24"/>
        </w:rPr>
        <w:t xml:space="preserve">Cupom Fiscal Eletrônico; </w:t>
      </w:r>
      <w:r>
        <w:rPr>
          <w:rFonts w:ascii="Times New Roman" w:hAnsi="Times New Roman"/>
          <w:bCs/>
          <w:sz w:val="24"/>
          <w:szCs w:val="24"/>
        </w:rPr>
        <w:t>s</w:t>
      </w:r>
      <w:r>
        <w:rPr>
          <w:rFonts w:ascii="Times New Roman" w:hAnsi="Times New Roman"/>
          <w:sz w:val="24"/>
          <w:szCs w:val="24"/>
        </w:rPr>
        <w:t>ubstituirá os atuais equipamentos ECF (Emissor de Cupom Fiscal); desenvolveu-se o sistema de Retaguarda e Gestão com objetivo de automatizar e administrar os processos de recebimento das informações geradas a partir de equipamentos SAT. O projeto NFC-e, Nota Fiscal do Consumidor Eletrônica, representa para o contribuinte alternativa ao SAT-CF-e. Ambos projetos seguem o mesmo cronograma de implantação.</w:t>
      </w:r>
    </w:p>
    <w:p w:rsidR="003E6588" w:rsidRDefault="003E6588">
      <w:pPr>
        <w:pStyle w:val="PargrafodaLista"/>
        <w:ind w:left="0"/>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Regime Especial - RE - </w:t>
      </w:r>
      <w:r>
        <w:rPr>
          <w:rFonts w:ascii="Times New Roman" w:hAnsi="Times New Roman"/>
          <w:sz w:val="24"/>
          <w:szCs w:val="24"/>
        </w:rPr>
        <w:t xml:space="preserve">Desenvolvimento de sistema que controla todo o fluxo de pedido (via </w:t>
      </w:r>
      <w:r>
        <w:rPr>
          <w:rFonts w:ascii="Times New Roman" w:hAnsi="Times New Roman"/>
          <w:i/>
          <w:sz w:val="24"/>
          <w:szCs w:val="24"/>
        </w:rPr>
        <w:t>interface</w:t>
      </w:r>
      <w:r>
        <w:rPr>
          <w:rFonts w:ascii="Times New Roman" w:hAnsi="Times New Roman"/>
          <w:sz w:val="24"/>
          <w:szCs w:val="24"/>
        </w:rPr>
        <w:t xml:space="preserve"> </w:t>
      </w:r>
      <w:r>
        <w:rPr>
          <w:rFonts w:ascii="Times New Roman" w:hAnsi="Times New Roman"/>
          <w:i/>
          <w:sz w:val="24"/>
          <w:szCs w:val="24"/>
        </w:rPr>
        <w:t>web</w:t>
      </w:r>
      <w:r>
        <w:rPr>
          <w:rFonts w:ascii="Times New Roman" w:hAnsi="Times New Roman"/>
          <w:sz w:val="24"/>
          <w:szCs w:val="24"/>
        </w:rPr>
        <w:t>), análise (passando pelo Posto Fiscal, Delegacias Tributárias, Diretorias e Coordenadoria da CAT) e concessão de Regimes Especiais, com coleta automática de histórico do contribuinte (dívida ativa na PGE, parcelamentos rompidos, ordens de fiscalização, autos de infração e débitos em conta fiscal).</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 xml:space="preserve">Sistema de Crédito Acumulado - </w:t>
      </w:r>
      <w:r>
        <w:rPr>
          <w:rFonts w:ascii="Times New Roman" w:hAnsi="Times New Roman"/>
          <w:sz w:val="24"/>
          <w:szCs w:val="24"/>
        </w:rPr>
        <w:t>Disponibilização de novas funcionalidades que permitem a apropriação mais eficiente e confiável do crédito acumulado das empresas que aderirem à “sistemática de custeio”; Foram disponibilizados a Substituição de Arquivos (simplificados e de custos), a Recepção de Arquivos Retroativos e a Verificações de Sumárias - SUFRAMA e CADESP.</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Cartórios - </w:t>
      </w:r>
      <w:r>
        <w:rPr>
          <w:rFonts w:ascii="Times New Roman" w:hAnsi="Times New Roman"/>
          <w:sz w:val="24"/>
          <w:szCs w:val="24"/>
        </w:rPr>
        <w:t>O projeto tem por objetivo a Sistematização do Acompanhamento de Recolhimento da Parcela de Emolumentos devidos à Receita Pública, obrigação acessória imputada aos Cartórios de SP, melhorando o suporte à Fiscalização Tributária destas entidades; foi implantada a recepção de documentos referentes à transferência de propriedade de veículos (CRV), os quais são repassados ao DETRAN, atendendo ao disposto no Decreto nº 60.489/2014. Atualmente são transmitidas diariamente, em média, 20.000 comunicações de venda; foram recepcionados 2.747.104 documentos de transferência de propriedade de veículos.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 xml:space="preserve">Sistema de Reconhecimento e Controle das Operações com Papel Imune - RECOPI Nacional - </w:t>
      </w:r>
      <w:r>
        <w:rPr>
          <w:rFonts w:ascii="Times New Roman" w:hAnsi="Times New Roman"/>
          <w:sz w:val="24"/>
          <w:szCs w:val="24"/>
        </w:rPr>
        <w:t xml:space="preserve">O RECOPI, de iniciativa da SEFAZ, adotado no território paulista e depois expandido para outros Estados, por força do Convênio Confaz nº 48/2013; ocorreu a adesão inicial de 8 Estados: PA, PR, BA, DF, RJ, MG, GO, SC; posteriormente, os Estados de CE, AL, AP, ES, MS, PB e SE aderiram ao sistema; foram disponibilizados os 15 relatórios do Sistema; em desenvolvimento a criação de perfil de acesso para usuários da Receita Federal do Brasil </w:t>
      </w:r>
      <w:r w:rsidR="0003027C">
        <w:rPr>
          <w:rFonts w:ascii="Times New Roman" w:hAnsi="Times New Roman"/>
          <w:sz w:val="24"/>
          <w:szCs w:val="24"/>
        </w:rPr>
        <w:t xml:space="preserve">- </w:t>
      </w:r>
      <w:r>
        <w:rPr>
          <w:rFonts w:ascii="Times New Roman" w:hAnsi="Times New Roman"/>
          <w:sz w:val="24"/>
          <w:szCs w:val="24"/>
        </w:rPr>
        <w:t>RFB, conforme previsto no Convênio ICMS nº 183/2013. Cada Estado da federação e o DF disponibilizará o acesso para os usuários da RFB, relativos às suas operações próprias.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Sistema de Análise de Vínculos - </w:t>
      </w:r>
      <w:r w:rsidRPr="006D40CC">
        <w:rPr>
          <w:rFonts w:ascii="Times New Roman" w:hAnsi="Times New Roman"/>
          <w:sz w:val="24"/>
          <w:szCs w:val="24"/>
        </w:rPr>
        <w:t xml:space="preserve">Implantada </w:t>
      </w:r>
      <w:r>
        <w:rPr>
          <w:rFonts w:ascii="Times New Roman" w:hAnsi="Times New Roman"/>
          <w:sz w:val="24"/>
          <w:szCs w:val="24"/>
        </w:rPr>
        <w:t xml:space="preserve">ferramenta de análise de vínculos que tem por finalidade analisar e cruzar grande quantidade de dados e informações disponíveis em diferentes fontes e base de dados, tanto da própria SEFAZ quanto externas, de modo a estabelecer relacionamentos entre eles; espera-se que os relacionamentos sejam apresentados sob a forma de gráficos modelados, segundo o foco de interesse do AFR analista, e que a apresentação do resultado seja mais clara e didática. Ferramenta adquirida, treinamento concluído e está sendo modelado a base do Cadastro no </w:t>
      </w:r>
      <w:r>
        <w:rPr>
          <w:rFonts w:ascii="Times New Roman" w:hAnsi="Times New Roman"/>
          <w:i/>
          <w:sz w:val="24"/>
          <w:szCs w:val="24"/>
        </w:rPr>
        <w:t>CaseBoard.</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b/>
          <w:bCs/>
          <w:sz w:val="24"/>
          <w:szCs w:val="24"/>
        </w:rPr>
        <w:t>Novo Posto Fiscal Eletrônico -</w:t>
      </w:r>
      <w:r>
        <w:rPr>
          <w:rFonts w:ascii="Times New Roman" w:hAnsi="Times New Roman"/>
          <w:sz w:val="24"/>
          <w:szCs w:val="24"/>
        </w:rPr>
        <w:t xml:space="preserve"> Desenvolvimento de portal que funcionará como único caminho de entrada para os serviços tributários disponibilizados na </w:t>
      </w:r>
      <w:r>
        <w:rPr>
          <w:rFonts w:ascii="Times New Roman" w:hAnsi="Times New Roman"/>
          <w:i/>
          <w:sz w:val="24"/>
          <w:szCs w:val="24"/>
        </w:rPr>
        <w:t>internet</w:t>
      </w:r>
      <w:r>
        <w:rPr>
          <w:rFonts w:ascii="Times New Roman" w:hAnsi="Times New Roman"/>
          <w:sz w:val="24"/>
          <w:szCs w:val="24"/>
        </w:rPr>
        <w:t xml:space="preserve"> e que permita o mapeamento e sistematização, por meio de </w:t>
      </w:r>
      <w:r>
        <w:rPr>
          <w:rFonts w:ascii="Times New Roman" w:hAnsi="Times New Roman"/>
          <w:i/>
          <w:sz w:val="24"/>
          <w:szCs w:val="24"/>
        </w:rPr>
        <w:t>workflows</w:t>
      </w:r>
      <w:r>
        <w:rPr>
          <w:rFonts w:ascii="Times New Roman" w:hAnsi="Times New Roman"/>
          <w:sz w:val="24"/>
          <w:szCs w:val="24"/>
        </w:rPr>
        <w:t>, de atividades rotineiras realizadas nos Postos Fiscais de Atendimento. Mais de 100 serviços integrarão o portal.</w:t>
      </w:r>
    </w:p>
    <w:p w:rsidR="003E6588" w:rsidRDefault="003E6588" w:rsidP="006D40CC">
      <w:pPr>
        <w:tabs>
          <w:tab w:val="num" w:pos="1957"/>
        </w:tabs>
        <w:ind w:firstLine="1134"/>
        <w:jc w:val="both"/>
        <w:rPr>
          <w:b/>
          <w:snapToGrid w:val="0"/>
        </w:rPr>
      </w:pPr>
    </w:p>
    <w:p w:rsidR="003E6588" w:rsidRDefault="003E6588" w:rsidP="006D40CC">
      <w:pPr>
        <w:tabs>
          <w:tab w:val="num" w:pos="1957"/>
        </w:tabs>
        <w:ind w:firstLine="1134"/>
        <w:jc w:val="both"/>
        <w:rPr>
          <w:b/>
          <w:snapToGrid w:val="0"/>
        </w:rPr>
      </w:pPr>
      <w:r>
        <w:rPr>
          <w:b/>
          <w:snapToGrid w:val="0"/>
        </w:rPr>
        <w:t xml:space="preserve">Projeto RH-FOLH@ - Sistema de Gestão Integrada de Recursos Humanos e de Folha de Pagamento </w:t>
      </w:r>
    </w:p>
    <w:p w:rsidR="003E6588" w:rsidRDefault="003E6588" w:rsidP="006D40CC">
      <w:pPr>
        <w:tabs>
          <w:tab w:val="num" w:pos="1957"/>
        </w:tabs>
        <w:ind w:left="1260"/>
        <w:jc w:val="both"/>
        <w:rPr>
          <w:b/>
        </w:rPr>
      </w:pPr>
    </w:p>
    <w:p w:rsidR="003E6588" w:rsidRDefault="003E6588">
      <w:pPr>
        <w:ind w:firstLine="1134"/>
        <w:jc w:val="both"/>
        <w:rPr>
          <w:b/>
          <w:color w:val="000000"/>
        </w:rPr>
      </w:pPr>
      <w:r>
        <w:rPr>
          <w:b/>
          <w:color w:val="000000"/>
        </w:rPr>
        <w:t>Objetivos</w:t>
      </w:r>
    </w:p>
    <w:p w:rsidR="003E6588" w:rsidRDefault="003E6588">
      <w:pPr>
        <w:ind w:firstLine="1134"/>
        <w:jc w:val="both"/>
        <w:rPr>
          <w:b/>
          <w:color w:val="000000"/>
        </w:rPr>
      </w:pPr>
    </w:p>
    <w:p w:rsidR="003E6588" w:rsidRDefault="003E6588">
      <w:pPr>
        <w:tabs>
          <w:tab w:val="num" w:pos="1418"/>
          <w:tab w:val="num" w:pos="1776"/>
        </w:tabs>
        <w:ind w:firstLine="1134"/>
        <w:jc w:val="both"/>
        <w:rPr>
          <w:color w:val="000000"/>
        </w:rPr>
      </w:pPr>
      <w:r>
        <w:rPr>
          <w:color w:val="000000"/>
        </w:rPr>
        <w:t>- Desenvolver e implantar sistema para gestão unificada e integrada dos recursos humanos do Estado, que atenda as Secretarias e Autarquias;</w:t>
      </w:r>
    </w:p>
    <w:p w:rsidR="003E6588" w:rsidRDefault="003E6588">
      <w:pPr>
        <w:ind w:firstLine="1134"/>
        <w:jc w:val="both"/>
        <w:rPr>
          <w:color w:val="000000"/>
        </w:rPr>
      </w:pPr>
    </w:p>
    <w:p w:rsidR="003E6588" w:rsidRDefault="003E6588">
      <w:pPr>
        <w:tabs>
          <w:tab w:val="num" w:pos="1418"/>
          <w:tab w:val="num" w:pos="1776"/>
        </w:tabs>
        <w:ind w:firstLine="1134"/>
        <w:jc w:val="both"/>
        <w:rPr>
          <w:color w:val="000000"/>
        </w:rPr>
      </w:pPr>
      <w:r>
        <w:rPr>
          <w:color w:val="000000"/>
        </w:rPr>
        <w:t>- Realizar a modernização do sistema de folha de pagamento (SDPE) que atende às Secretarias de Estado, a fim de diminuir o processamento manual e automatizar o cálculo retroativo;</w:t>
      </w:r>
    </w:p>
    <w:p w:rsidR="003E6588" w:rsidRDefault="003E6588">
      <w:pPr>
        <w:ind w:firstLine="1134"/>
        <w:jc w:val="both"/>
        <w:rPr>
          <w:color w:val="000000"/>
        </w:rPr>
      </w:pPr>
    </w:p>
    <w:p w:rsidR="003E6588" w:rsidRDefault="003E6588">
      <w:pPr>
        <w:tabs>
          <w:tab w:val="num" w:pos="1418"/>
          <w:tab w:val="num" w:pos="1776"/>
        </w:tabs>
        <w:ind w:firstLine="1134"/>
        <w:jc w:val="both"/>
        <w:rPr>
          <w:b/>
          <w:color w:val="000000"/>
        </w:rPr>
      </w:pPr>
      <w:r>
        <w:rPr>
          <w:color w:val="000000"/>
        </w:rPr>
        <w:t>- Preparar o sistema de folha de pagamento (SDPE) para ser sistema único e integrado, que possa atender futuramente as autarquias, a Polícia Militar e a SPPREV.</w:t>
      </w:r>
    </w:p>
    <w:p w:rsidR="003E6588" w:rsidRDefault="003E6588">
      <w:pPr>
        <w:tabs>
          <w:tab w:val="num" w:pos="142"/>
        </w:tabs>
        <w:ind w:firstLine="1134"/>
        <w:jc w:val="both"/>
        <w:rPr>
          <w:color w:val="000000"/>
        </w:rPr>
      </w:pPr>
    </w:p>
    <w:p w:rsidR="003E6588" w:rsidRDefault="003E6588">
      <w:pPr>
        <w:tabs>
          <w:tab w:val="num" w:pos="142"/>
        </w:tabs>
        <w:ind w:firstLine="1134"/>
        <w:jc w:val="both"/>
        <w:rPr>
          <w:color w:val="000000"/>
        </w:rPr>
      </w:pPr>
      <w:r>
        <w:rPr>
          <w:color w:val="000000"/>
        </w:rPr>
        <w:t>A implantação do RH-FOLH@ é de responsabilidade das Secretarias de Gestão Pública e da Fazenda.</w:t>
      </w:r>
    </w:p>
    <w:p w:rsidR="003E6588" w:rsidRDefault="003E6588">
      <w:pPr>
        <w:ind w:firstLine="1134"/>
        <w:jc w:val="both"/>
        <w:rPr>
          <w:b/>
          <w:color w:val="000000"/>
        </w:rPr>
      </w:pPr>
    </w:p>
    <w:p w:rsidR="003E6588" w:rsidRDefault="003E6588">
      <w:pPr>
        <w:ind w:firstLine="1134"/>
        <w:jc w:val="both"/>
        <w:rPr>
          <w:b/>
          <w:color w:val="000000"/>
        </w:rPr>
      </w:pPr>
      <w:r>
        <w:rPr>
          <w:b/>
          <w:color w:val="000000"/>
        </w:rPr>
        <w:t>Diretrizes de atuação</w:t>
      </w:r>
    </w:p>
    <w:p w:rsidR="003E6588" w:rsidRDefault="003E6588">
      <w:pPr>
        <w:ind w:firstLine="1134"/>
        <w:jc w:val="both"/>
        <w:rPr>
          <w:b/>
          <w:color w:val="000000"/>
        </w:rPr>
      </w:pPr>
    </w:p>
    <w:p w:rsidR="003E6588" w:rsidRDefault="003E6588">
      <w:pPr>
        <w:tabs>
          <w:tab w:val="left" w:pos="993"/>
        </w:tabs>
        <w:ind w:left="1134"/>
        <w:jc w:val="both"/>
        <w:rPr>
          <w:b/>
          <w:color w:val="000000"/>
        </w:rPr>
      </w:pPr>
      <w:r>
        <w:rPr>
          <w:b/>
          <w:color w:val="000000"/>
        </w:rPr>
        <w:t>Implantar funcionalidades de Gestão de RH</w:t>
      </w:r>
    </w:p>
    <w:p w:rsidR="003E6588" w:rsidRDefault="003E6588">
      <w:pPr>
        <w:tabs>
          <w:tab w:val="left" w:pos="993"/>
        </w:tabs>
        <w:jc w:val="both"/>
        <w:rPr>
          <w:b/>
          <w:color w:val="000000"/>
        </w:rPr>
      </w:pPr>
    </w:p>
    <w:p w:rsidR="003E6588" w:rsidRDefault="003E6588">
      <w:pPr>
        <w:ind w:firstLine="1134"/>
        <w:jc w:val="both"/>
        <w:rPr>
          <w:color w:val="000000"/>
        </w:rPr>
      </w:pPr>
      <w:r>
        <w:rPr>
          <w:b/>
          <w:color w:val="000000"/>
        </w:rPr>
        <w:lastRenderedPageBreak/>
        <w:t>Situação atual -</w:t>
      </w:r>
      <w:r>
        <w:rPr>
          <w:color w:val="000000"/>
        </w:rPr>
        <w:t xml:space="preserve"> Em desenvolvimento, sob a responsabilidade técnica do Departamento de Tecnologia da Informação - DTI da SEFAZ e da Companhia de Processamento de Dados do Estado de São Paulo - Prodesp.</w:t>
      </w:r>
    </w:p>
    <w:p w:rsidR="003E6588" w:rsidRDefault="003E6588">
      <w:pPr>
        <w:ind w:firstLine="1134"/>
        <w:jc w:val="both"/>
        <w:rPr>
          <w:color w:val="000000"/>
        </w:rPr>
      </w:pPr>
    </w:p>
    <w:p w:rsidR="003E6588" w:rsidRDefault="003E6588" w:rsidP="006D40CC">
      <w:pPr>
        <w:tabs>
          <w:tab w:val="left" w:pos="709"/>
        </w:tabs>
        <w:ind w:firstLine="1134"/>
        <w:jc w:val="both"/>
        <w:rPr>
          <w:b/>
          <w:color w:val="000000"/>
        </w:rPr>
      </w:pPr>
      <w:r>
        <w:rPr>
          <w:b/>
          <w:color w:val="000000"/>
        </w:rPr>
        <w:t>Promover melhorias no Sistema atual de Folha (</w:t>
      </w:r>
      <w:r>
        <w:rPr>
          <w:color w:val="000000"/>
        </w:rPr>
        <w:t>SDPE - Sistema de Despesa de Pessoal do Estado)</w:t>
      </w:r>
      <w:r>
        <w:rPr>
          <w:b/>
          <w:color w:val="000000"/>
        </w:rPr>
        <w:t xml:space="preserve">, </w:t>
      </w:r>
      <w:r>
        <w:rPr>
          <w:color w:val="000000"/>
        </w:rPr>
        <w:t>simplificando-o com a retirada das regras de RH à medida da implantação da Gestão de RH; prover cálculo retroativo automático.</w:t>
      </w:r>
    </w:p>
    <w:p w:rsidR="003E6588" w:rsidRDefault="003E6588">
      <w:pPr>
        <w:tabs>
          <w:tab w:val="left" w:pos="709"/>
        </w:tabs>
        <w:ind w:left="1134"/>
        <w:jc w:val="both"/>
        <w:rPr>
          <w:b/>
          <w:color w:val="000000"/>
        </w:rPr>
      </w:pPr>
    </w:p>
    <w:p w:rsidR="003E6588" w:rsidRDefault="003E6588">
      <w:pPr>
        <w:tabs>
          <w:tab w:val="num" w:pos="1957"/>
        </w:tabs>
        <w:ind w:firstLine="1134"/>
        <w:jc w:val="both"/>
        <w:rPr>
          <w:iCs/>
          <w:color w:val="000000"/>
        </w:rPr>
      </w:pPr>
      <w:r>
        <w:rPr>
          <w:b/>
          <w:snapToGrid w:val="0"/>
        </w:rPr>
        <w:t xml:space="preserve">Sistema de Controle de Consignações - SCC - </w:t>
      </w:r>
      <w:r>
        <w:rPr>
          <w:iCs/>
          <w:color w:val="000000"/>
        </w:rPr>
        <w:t xml:space="preserve">Sistema </w:t>
      </w:r>
      <w:r>
        <w:rPr>
          <w:i/>
          <w:iCs/>
          <w:color w:val="000000"/>
        </w:rPr>
        <w:t>Web</w:t>
      </w:r>
      <w:r>
        <w:rPr>
          <w:iCs/>
          <w:color w:val="000000"/>
        </w:rPr>
        <w:t>, integrado com a folha de pagamento das Secretarias, Polícia Militar e Autarquias, traz os seguintes benefícios:</w:t>
      </w:r>
    </w:p>
    <w:p w:rsidR="003E6588" w:rsidRDefault="003E6588">
      <w:pPr>
        <w:ind w:firstLine="1134"/>
        <w:jc w:val="both"/>
        <w:rPr>
          <w:iCs/>
          <w:color w:val="000000"/>
        </w:rPr>
      </w:pPr>
    </w:p>
    <w:p w:rsidR="003E6588" w:rsidRDefault="003E6588">
      <w:pPr>
        <w:ind w:firstLine="1134"/>
        <w:jc w:val="both"/>
      </w:pPr>
      <w:r>
        <w:t xml:space="preserve">- O servidor público, por meio do </w:t>
      </w:r>
      <w:r>
        <w:rPr>
          <w:i/>
        </w:rPr>
        <w:t>site</w:t>
      </w:r>
      <w:r>
        <w:t xml:space="preserve"> </w:t>
      </w:r>
      <w:hyperlink r:id="rId44" w:history="1">
        <w:r w:rsidRPr="0003027C">
          <w:rPr>
            <w:rStyle w:val="Hyperlink"/>
            <w:color w:val="auto"/>
          </w:rPr>
          <w:t>www.saopauloconsig.org.br</w:t>
        </w:r>
      </w:hyperlink>
      <w:r>
        <w:t>, poderá consultar as taxas do custo efetivo total, praticadas pelas instituições bancárias para obtenção de empréstimos, bem como o controle e gestão da margem consignável pelos servidores públicos;</w:t>
      </w:r>
    </w:p>
    <w:p w:rsidR="003E6588" w:rsidRDefault="003E6588">
      <w:pPr>
        <w:ind w:firstLine="1134"/>
        <w:jc w:val="both"/>
      </w:pPr>
    </w:p>
    <w:p w:rsidR="003E6588" w:rsidRDefault="003E6588">
      <w:pPr>
        <w:ind w:firstLine="1134"/>
        <w:jc w:val="both"/>
      </w:pPr>
      <w:r>
        <w:t>- As entidades consignatárias (associações, sindicatos, instituições bancárias) terão acesso único para incluir e gerenciar toda consignação em folha de pagamento, no exato momento da contratação de produtos e serviços pelo servidor, desde que este possua margem consignável disponível.</w:t>
      </w:r>
    </w:p>
    <w:p w:rsidR="003E6588" w:rsidRDefault="003E6588">
      <w:pPr>
        <w:ind w:left="1134"/>
        <w:jc w:val="both"/>
      </w:pPr>
    </w:p>
    <w:p w:rsidR="003E6588" w:rsidRDefault="003E6588" w:rsidP="006D40CC">
      <w:pPr>
        <w:ind w:firstLine="1134"/>
        <w:jc w:val="both"/>
      </w:pPr>
      <w:r>
        <w:t>O sistema foi desenvolvido pela Câmara Interbancária de Pagamentos - CIP, mediante convênio firmado entre o Estado, a Febraban e CIP, por intermédio da Secretaria da Fazenda.</w:t>
      </w:r>
    </w:p>
    <w:p w:rsidR="003E6588" w:rsidRDefault="003E6588">
      <w:pPr>
        <w:ind w:firstLine="1021"/>
        <w:jc w:val="both"/>
      </w:pPr>
    </w:p>
    <w:p w:rsidR="003E6588" w:rsidRDefault="003E6588">
      <w:pPr>
        <w:tabs>
          <w:tab w:val="num" w:pos="1957"/>
        </w:tabs>
        <w:ind w:firstLine="1134"/>
        <w:jc w:val="both"/>
        <w:rPr>
          <w:color w:val="000000"/>
        </w:rPr>
      </w:pPr>
      <w:r>
        <w:rPr>
          <w:b/>
          <w:snapToGrid w:val="0"/>
        </w:rPr>
        <w:t xml:space="preserve">Sistema de Custos dos Serviços Públicos - </w:t>
      </w:r>
      <w:r>
        <w:rPr>
          <w:color w:val="000000"/>
        </w:rPr>
        <w:t>O projeto visa o aprimoramento da gestão das finanças públicas, incorporando o elemento custo no processo de planejamento e aferição do gasto.</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Foram encerradas as provas de conceito junto às entidades piloto (Secretaria da Educação, sete hospitais da Secretaria da Saúde e SAP), restando demonstrada a viabilidade da metodologia adotada de apropriação de custos por meio dos sistemas estruturantes do Estado. O </w:t>
      </w:r>
      <w:r>
        <w:rPr>
          <w:i/>
          <w:color w:val="000000"/>
        </w:rPr>
        <w:t xml:space="preserve">release </w:t>
      </w:r>
      <w:r>
        <w:rPr>
          <w:color w:val="000000"/>
        </w:rPr>
        <w:t>versão 1.0 ocorreu para Secretaria da Educação e SAP.</w:t>
      </w:r>
    </w:p>
    <w:p w:rsidR="003E6588" w:rsidRDefault="003E6588">
      <w:pPr>
        <w:ind w:firstLine="1134"/>
        <w:jc w:val="both"/>
        <w:rPr>
          <w:strike/>
          <w:color w:val="000000"/>
        </w:rPr>
      </w:pPr>
    </w:p>
    <w:p w:rsidR="003E6588" w:rsidRDefault="003E6588">
      <w:pPr>
        <w:tabs>
          <w:tab w:val="num" w:pos="1957"/>
        </w:tabs>
        <w:ind w:firstLine="1134"/>
        <w:jc w:val="both"/>
      </w:pPr>
      <w:r>
        <w:rPr>
          <w:b/>
          <w:snapToGrid w:val="0"/>
        </w:rPr>
        <w:t xml:space="preserve">Convergência às Normas Internacionais de Contabilidade Aplicadas ao Setor Público - </w:t>
      </w:r>
      <w:r>
        <w:t>O trabalho de adequação do sistema SIAFEM às necessidades de nova estrutura contábil foi desenvolvido em parceria entre o Serviço Federal de Processamento de Dados - SERPRO e a PRODESP, com a participação de equipes técnicas de contabilidade de São Paulo e dos Estados do Rio de Janeiro, Pará e Alagoas.</w:t>
      </w:r>
    </w:p>
    <w:p w:rsidR="003E6588" w:rsidRDefault="003E6588">
      <w:pPr>
        <w:ind w:firstLine="1134"/>
        <w:jc w:val="both"/>
      </w:pPr>
    </w:p>
    <w:p w:rsidR="003E6588" w:rsidRDefault="003E6588">
      <w:pPr>
        <w:ind w:firstLine="1134"/>
        <w:jc w:val="both"/>
      </w:pPr>
      <w:r>
        <w:t xml:space="preserve">A Contadoria Geral do Estado - CGE, em trabalho conjunto com a FIPECAFI, procedeu à elaboração e homologação de 400 novos eventos contábeis, que tratarão os registros patrimoniais e os Procedimentos Contábeis Específicos, conforme exigências da nova contabilidade, a realização de treinamentos internos com a finalidade de equalizar o conhecimento entre os técnicos da CGE sobre o contexto da nova contabilidade e as alterações nos roteiros contábeis tratados; desenvolvidos seminário para sensibilização dos órgãos e entidades do Estado sobre a abrangência do assunto e necessidades de </w:t>
      </w:r>
      <w:r>
        <w:lastRenderedPageBreak/>
        <w:t>alteração em processos, rotinas, e sistemas de forma a que sejam atendidas as necessidades de informação relativas a convergência ao novo padrão de contabilidade do plano de contas no sistema SIAFEM, de forma a atender a obrigatoriedade do registro contábil por meio do novo Plano de Contas Aplicado ao Setor Público - PCASP. O trabalho envolveu a análise de 6.532 contas contábeis existentes no plano de contas de 2013, às quais terão seus saldos migrados para as novas contas contábeis e de 1.239 eventos que tratam os lançamentos contábeis no sistema.</w:t>
      </w:r>
    </w:p>
    <w:p w:rsidR="003E6588" w:rsidRDefault="003E6588">
      <w:pPr>
        <w:ind w:firstLine="1134"/>
        <w:jc w:val="both"/>
      </w:pPr>
    </w:p>
    <w:p w:rsidR="003E6588" w:rsidRDefault="003E6588">
      <w:pPr>
        <w:tabs>
          <w:tab w:val="num" w:pos="1957"/>
        </w:tabs>
        <w:ind w:firstLine="1134"/>
        <w:jc w:val="both"/>
        <w:rPr>
          <w:color w:val="000000"/>
        </w:rPr>
      </w:pPr>
      <w:r>
        <w:rPr>
          <w:b/>
          <w:snapToGrid w:val="0"/>
        </w:rPr>
        <w:t xml:space="preserve">SIGEO.B.I. - </w:t>
      </w:r>
      <w:r>
        <w:rPr>
          <w:iCs/>
          <w:color w:val="000000"/>
        </w:rPr>
        <w:t xml:space="preserve">Foi estruturada nova versão do SIGEO B.I., proporcionando maior usabilidade ao Portal da Transparência e ao Prestando Contas. O acesso é facilitado via dispositivos móveis, tais como </w:t>
      </w:r>
      <w:r>
        <w:rPr>
          <w:i/>
          <w:iCs/>
          <w:color w:val="000000"/>
        </w:rPr>
        <w:t xml:space="preserve">tablets </w:t>
      </w:r>
      <w:r>
        <w:rPr>
          <w:iCs/>
          <w:color w:val="000000"/>
        </w:rPr>
        <w:t xml:space="preserve">e </w:t>
      </w:r>
      <w:r>
        <w:rPr>
          <w:i/>
          <w:iCs/>
          <w:color w:val="000000"/>
        </w:rPr>
        <w:t>smartphones</w:t>
      </w:r>
      <w:r>
        <w:rPr>
          <w:iCs/>
          <w:color w:val="000000"/>
        </w:rPr>
        <w:t>. Isso é alcançado graças a disponibilização de consultas prontas com a geração de gráficos interativos e o</w:t>
      </w:r>
      <w:r>
        <w:t xml:space="preserve"> geoprocessamento de informações, os quais permitem maior qualidade e transparência de informações orçamentárias e financeiras do Estado; </w:t>
      </w:r>
      <w:r>
        <w:rPr>
          <w:color w:val="000000"/>
        </w:rPr>
        <w:t>ferramenta de cunho gerencial a ser explorada nas Demonstrações Contábeis e nos Quadros de Informação Fiscal, para atender a LRF.</w:t>
      </w:r>
    </w:p>
    <w:p w:rsidR="003E6588" w:rsidRDefault="003E6588">
      <w:pPr>
        <w:ind w:firstLine="1134"/>
        <w:jc w:val="both"/>
        <w:rPr>
          <w:color w:val="000000"/>
        </w:rPr>
      </w:pPr>
    </w:p>
    <w:p w:rsidR="003E6588" w:rsidRDefault="003E6588">
      <w:pPr>
        <w:tabs>
          <w:tab w:val="num" w:pos="1957"/>
        </w:tabs>
        <w:ind w:firstLine="1134"/>
        <w:jc w:val="both"/>
        <w:rPr>
          <w:iCs/>
          <w:color w:val="000000"/>
        </w:rPr>
      </w:pPr>
      <w:r>
        <w:rPr>
          <w:b/>
          <w:snapToGrid w:val="0"/>
        </w:rPr>
        <w:t xml:space="preserve">SIAFEM - </w:t>
      </w:r>
      <w:r>
        <w:rPr>
          <w:iCs/>
          <w:color w:val="000000"/>
        </w:rPr>
        <w:t>Sistema oficial de contabilidade aplicada ao setor público do Estado. Recebeu aprimoramentos: implantação do novo Plano de Contas Aplicado ao Setor Público; ajustes de processos para atender necessidade do novo Plano de Contas; implantação das ferramentas automatizadas para controle de acesso aos sistemas (SIAFEM, SIAFISICO e COMUNICA); e novas funcionalidades para regularização de processos, tais como Retenções de INSS, Baixa de Adiantamento e Diárias.</w:t>
      </w:r>
    </w:p>
    <w:p w:rsidR="003E6588" w:rsidRDefault="003E6588">
      <w:pPr>
        <w:ind w:firstLine="1134"/>
        <w:jc w:val="both"/>
        <w:rPr>
          <w:iCs/>
          <w:color w:val="000000"/>
        </w:rPr>
      </w:pPr>
    </w:p>
    <w:p w:rsidR="003E6588" w:rsidRDefault="003E6588">
      <w:pPr>
        <w:ind w:firstLine="1134"/>
        <w:jc w:val="both"/>
        <w:rPr>
          <w:iCs/>
          <w:color w:val="000000"/>
        </w:rPr>
      </w:pPr>
      <w:r>
        <w:rPr>
          <w:iCs/>
          <w:color w:val="000000"/>
        </w:rPr>
        <w:t>Foram implementadas novas regras de consistência contábil e atualizados os modelos de relatórios contábeis do Sistema SIAFEM, bem como as transações de consulta de informações que viabilizam aos usuários do sistema a possibilidade de consultas gerenciais no SIAFEM e no SIGEO já na estrutura prevista nas novas regras de contabilidade.</w:t>
      </w:r>
    </w:p>
    <w:p w:rsidR="003E6588" w:rsidRDefault="003E6588">
      <w:pPr>
        <w:ind w:firstLine="1134"/>
        <w:jc w:val="both"/>
        <w:rPr>
          <w:iCs/>
          <w:strike/>
          <w:color w:val="000000"/>
        </w:rPr>
      </w:pPr>
    </w:p>
    <w:p w:rsidR="003E6588" w:rsidRDefault="003E6588">
      <w:pPr>
        <w:tabs>
          <w:tab w:val="num" w:pos="1957"/>
        </w:tabs>
        <w:ind w:firstLine="1134"/>
        <w:jc w:val="both"/>
        <w:rPr>
          <w:color w:val="000000"/>
        </w:rPr>
      </w:pPr>
      <w:r>
        <w:rPr>
          <w:b/>
          <w:snapToGrid w:val="0"/>
        </w:rPr>
        <w:t xml:space="preserve">SIAFEM.NET - </w:t>
      </w:r>
      <w:r>
        <w:rPr>
          <w:color w:val="000000"/>
        </w:rPr>
        <w:t>Foram implantadas novas funcionalidades, como a automatização da execução de toda a rotina orçamentária e financeira para Diárias, Adiantamento e respectiva Prestação de Contas, reduzindo-se o tempo de dedicação do usuário SIAFEM aos processos de trabalho junto ao sistema. O objetivo dos trabalhos desenvolvidos no SIAFEM.NET é aprimorar facilidades para que os usuários possam, de forma mais prática e direcionada, executar os registros contábeis.</w:t>
      </w:r>
    </w:p>
    <w:p w:rsidR="003E6588" w:rsidRDefault="003E6588">
      <w:pPr>
        <w:ind w:firstLine="1134"/>
        <w:jc w:val="both"/>
        <w:rPr>
          <w:color w:val="000000"/>
        </w:rPr>
      </w:pPr>
    </w:p>
    <w:p w:rsidR="003E6588" w:rsidRDefault="003E6588">
      <w:pPr>
        <w:tabs>
          <w:tab w:val="num" w:pos="1957"/>
        </w:tabs>
        <w:ind w:firstLine="1134"/>
        <w:jc w:val="both"/>
        <w:rPr>
          <w:color w:val="000000"/>
        </w:rPr>
      </w:pPr>
      <w:r>
        <w:rPr>
          <w:b/>
          <w:snapToGrid w:val="0"/>
        </w:rPr>
        <w:t xml:space="preserve">Sistema de Execução Financeira - SEF - </w:t>
      </w:r>
      <w:r>
        <w:rPr>
          <w:color w:val="000000"/>
        </w:rPr>
        <w:t xml:space="preserve">A execução financeira é realizada por meio do Sistema de Execução Financeira - SEF, o qual é um sistema via </w:t>
      </w:r>
      <w:r>
        <w:rPr>
          <w:i/>
          <w:color w:val="000000"/>
        </w:rPr>
        <w:t>Web</w:t>
      </w:r>
      <w:r>
        <w:rPr>
          <w:color w:val="000000"/>
        </w:rPr>
        <w:t>, integrado ao SIAFEM, que permite ao Gestor Financeiro dos órgãos e entidades da Administração Estadual o gerenciamento e a execução automatizada das Programações de Desembolsos - PD’s (documento eletrônico de pagamento), compatibilizando sua execução com a disponibilidade financeira do Tesouro do Estado, com movimentação de aproximadamente 750 mil documentos/ano.</w:t>
      </w:r>
    </w:p>
    <w:p w:rsidR="003E6588" w:rsidRDefault="003E6588">
      <w:pPr>
        <w:ind w:firstLine="1134"/>
        <w:jc w:val="both"/>
        <w:rPr>
          <w:color w:val="000000"/>
        </w:rPr>
      </w:pPr>
    </w:p>
    <w:p w:rsidR="003E6588" w:rsidRDefault="003E6588">
      <w:pPr>
        <w:tabs>
          <w:tab w:val="num" w:pos="1957"/>
        </w:tabs>
        <w:ind w:firstLine="1134"/>
        <w:jc w:val="both"/>
      </w:pPr>
      <w:r>
        <w:rPr>
          <w:b/>
          <w:snapToGrid w:val="0"/>
        </w:rPr>
        <w:t xml:space="preserve">Sistema de Grandes Faturadores - SGF - </w:t>
      </w:r>
      <w:r>
        <w:t xml:space="preserve">O Sistema de Grandes Faturadores permite a centralização de faturas e consumo de bens e serviços pelas Unidades da Administração do Poder Executivo. Proporciona melhores condições de economia e gestão do gasto público por meio da </w:t>
      </w:r>
      <w:r>
        <w:lastRenderedPageBreak/>
        <w:t xml:space="preserve">automatização do processo de emissão de documentos contábeis, programação e execução do pagamento destas faturas, em ambiente </w:t>
      </w:r>
      <w:r>
        <w:rPr>
          <w:i/>
        </w:rPr>
        <w:t>web</w:t>
      </w:r>
      <w:r>
        <w:t>.</w:t>
      </w:r>
    </w:p>
    <w:p w:rsidR="003E6588" w:rsidRDefault="003E6588">
      <w:pPr>
        <w:ind w:firstLine="1134"/>
        <w:jc w:val="both"/>
      </w:pPr>
    </w:p>
    <w:p w:rsidR="003E6588" w:rsidRDefault="003E6588">
      <w:pPr>
        <w:ind w:firstLine="1134"/>
        <w:jc w:val="both"/>
      </w:pPr>
      <w:r>
        <w:t>Atualmente, opera com as faturas da SABESP, Eletropaulo e SANASA Campinas, que representam um volume anual aproximadamente de 98 mil faturas e R$ 340 milhões.</w:t>
      </w:r>
    </w:p>
    <w:p w:rsidR="003E6588" w:rsidRDefault="003E6588">
      <w:pPr>
        <w:ind w:firstLine="1134"/>
        <w:jc w:val="both"/>
        <w:rPr>
          <w:b/>
          <w:snapToGrid w:val="0"/>
          <w:color w:val="000000"/>
        </w:rPr>
      </w:pPr>
    </w:p>
    <w:p w:rsidR="003E6588" w:rsidRDefault="003E6588">
      <w:pPr>
        <w:tabs>
          <w:tab w:val="num" w:pos="1957"/>
        </w:tabs>
        <w:ind w:firstLine="1134"/>
        <w:jc w:val="both"/>
        <w:rPr>
          <w:strike/>
          <w:color w:val="000000"/>
        </w:rPr>
      </w:pPr>
      <w:r>
        <w:rPr>
          <w:b/>
          <w:snapToGrid w:val="0"/>
        </w:rPr>
        <w:t xml:space="preserve">CADIN - Cadastro Informativo dos Créditos não Quitados de Órgãos e Entidades Estaduais - </w:t>
      </w:r>
      <w:r>
        <w:t>Registra os créditos do Estado e seus respectivos devedores, impedindo que esses sejam contratados, recebam recursos e tenham liberados os créditos oriundos da Nota Fiscal Paulista, até a sua regularização. Trata-se de ferramenta de recuperação de créditos. Propiciou o ingresso de R$ 5,7 bilhões aos cofres públicos, correspondendo 14 milhões de pendências regularizadas</w:t>
      </w:r>
      <w:r>
        <w:rPr>
          <w:color w:val="000000"/>
        </w:rPr>
        <w:t>.</w:t>
      </w:r>
    </w:p>
    <w:p w:rsidR="003E6588" w:rsidRDefault="003E6588">
      <w:pPr>
        <w:ind w:firstLine="1134"/>
        <w:jc w:val="both"/>
        <w:rPr>
          <w:strike/>
          <w:color w:val="000000"/>
        </w:rPr>
      </w:pPr>
    </w:p>
    <w:p w:rsidR="003E6588" w:rsidRDefault="003E6588">
      <w:pPr>
        <w:tabs>
          <w:tab w:val="num" w:pos="1957"/>
        </w:tabs>
        <w:ind w:firstLine="1134"/>
        <w:jc w:val="both"/>
      </w:pPr>
      <w:r>
        <w:rPr>
          <w:b/>
          <w:snapToGrid w:val="0"/>
        </w:rPr>
        <w:t xml:space="preserve">Sistema de Transferências Voluntárias - </w:t>
      </w:r>
      <w:r>
        <w:t>Disponibiliza as informações de transferências de recursos financeiros repassados pelo Estado aos municípios e entidades, em decorrência da celebração de convênios e/ou instrumentos similares, cuja finalidade é a realização de obras e/ou serviços de interesse comum.</w:t>
      </w:r>
    </w:p>
    <w:p w:rsidR="003E6588" w:rsidRDefault="003E6588">
      <w:pPr>
        <w:ind w:firstLine="1134"/>
        <w:jc w:val="both"/>
        <w:rPr>
          <w:strike/>
        </w:rPr>
      </w:pPr>
    </w:p>
    <w:p w:rsidR="003E6588" w:rsidRDefault="003E6588">
      <w:pPr>
        <w:ind w:firstLine="1134"/>
        <w:jc w:val="both"/>
        <w:rPr>
          <w:color w:val="000000"/>
        </w:rPr>
      </w:pPr>
      <w:r>
        <w:rPr>
          <w:color w:val="000000"/>
        </w:rPr>
        <w:t>A atualização do sistema é feita diariamente, com dados extraídos do SIAFEM. Atualmente o sistema registra 10.454 convênios em andamento.</w:t>
      </w:r>
    </w:p>
    <w:p w:rsidR="003E6588" w:rsidRDefault="003E6588">
      <w:pPr>
        <w:ind w:firstLine="1134"/>
        <w:jc w:val="both"/>
        <w:rPr>
          <w:color w:val="000000"/>
        </w:rPr>
      </w:pPr>
    </w:p>
    <w:p w:rsidR="003E6588" w:rsidRDefault="003E6588">
      <w:pPr>
        <w:tabs>
          <w:tab w:val="num" w:pos="1957"/>
        </w:tabs>
        <w:ind w:firstLine="1134"/>
        <w:jc w:val="both"/>
      </w:pPr>
      <w:r>
        <w:rPr>
          <w:b/>
        </w:rPr>
        <w:t xml:space="preserve">Departamento de Suprimentos e Infraestrutura - DSI e os Centros Regionais de Administração - CRAs </w:t>
      </w:r>
      <w:r>
        <w:t>realizaram as seguintes atividades referentes a obras civis, elétricas e hidráulicas:</w:t>
      </w:r>
    </w:p>
    <w:p w:rsidR="003E6588" w:rsidRDefault="003E6588">
      <w:pPr>
        <w:tabs>
          <w:tab w:val="num" w:pos="1957"/>
        </w:tabs>
        <w:ind w:firstLine="1134"/>
        <w:jc w:val="both"/>
      </w:pPr>
    </w:p>
    <w:tbl>
      <w:tblPr>
        <w:tblW w:w="0" w:type="auto"/>
        <w:jc w:val="center"/>
        <w:tblInd w:w="108" w:type="dxa"/>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tblPr>
      <w:tblGrid>
        <w:gridCol w:w="4820"/>
        <w:gridCol w:w="3152"/>
        <w:gridCol w:w="1704"/>
      </w:tblGrid>
      <w:tr w:rsidR="003E6588" w:rsidTr="0003027C">
        <w:trPr>
          <w:jc w:val="center"/>
        </w:trPr>
        <w:tc>
          <w:tcPr>
            <w:tcW w:w="7972" w:type="dxa"/>
            <w:gridSpan w:val="2"/>
            <w:tcBorders>
              <w:top w:val="single" w:sz="8" w:space="0" w:color="auto"/>
            </w:tcBorders>
            <w:shd w:val="clear" w:color="auto" w:fill="auto"/>
            <w:tcMar>
              <w:top w:w="0" w:type="dxa"/>
              <w:left w:w="108" w:type="dxa"/>
              <w:bottom w:w="0" w:type="dxa"/>
              <w:right w:w="108" w:type="dxa"/>
            </w:tcMar>
            <w:hideMark/>
          </w:tcPr>
          <w:p w:rsidR="003E6588" w:rsidRDefault="003E6588" w:rsidP="00867FCF">
            <w:pPr>
              <w:jc w:val="left"/>
              <w:rPr>
                <w:b/>
                <w:sz w:val="20"/>
                <w:szCs w:val="20"/>
              </w:rPr>
            </w:pPr>
            <w:r>
              <w:rPr>
                <w:b/>
                <w:sz w:val="20"/>
                <w:szCs w:val="20"/>
              </w:rPr>
              <w:t>a) Obras/Reformas</w:t>
            </w:r>
          </w:p>
        </w:tc>
        <w:tc>
          <w:tcPr>
            <w:tcW w:w="1704" w:type="dxa"/>
            <w:tcBorders>
              <w:top w:val="single" w:sz="8" w:space="0" w:color="auto"/>
            </w:tcBorders>
            <w:shd w:val="clear" w:color="auto" w:fill="auto"/>
            <w:tcMar>
              <w:top w:w="0" w:type="dxa"/>
              <w:left w:w="108" w:type="dxa"/>
              <w:bottom w:w="0" w:type="dxa"/>
              <w:right w:w="108" w:type="dxa"/>
            </w:tcMar>
            <w:hideMark/>
          </w:tcPr>
          <w:p w:rsidR="003E6588" w:rsidRDefault="003E6588">
            <w:pPr>
              <w:rPr>
                <w:b/>
                <w:sz w:val="20"/>
                <w:szCs w:val="20"/>
              </w:rPr>
            </w:pPr>
            <w:r>
              <w:rPr>
                <w:b/>
                <w:sz w:val="20"/>
                <w:szCs w:val="20"/>
              </w:rPr>
              <w:t>Valor em R$</w:t>
            </w:r>
          </w:p>
        </w:tc>
      </w:tr>
      <w:tr w:rsidR="003E6588" w:rsidTr="00D21053">
        <w:trPr>
          <w:jc w:val="center"/>
        </w:trPr>
        <w:tc>
          <w:tcPr>
            <w:tcW w:w="7972" w:type="dxa"/>
            <w:gridSpan w:val="2"/>
            <w:shd w:val="clear" w:color="auto" w:fill="auto"/>
            <w:tcMar>
              <w:top w:w="0" w:type="dxa"/>
              <w:left w:w="108" w:type="dxa"/>
              <w:bottom w:w="0" w:type="dxa"/>
              <w:right w:w="108" w:type="dxa"/>
            </w:tcMar>
            <w:hideMark/>
          </w:tcPr>
          <w:p w:rsidR="003E6588" w:rsidRDefault="003E6588">
            <w:pPr>
              <w:pStyle w:val="novo"/>
              <w:keepNext w:val="0"/>
              <w:spacing w:before="0"/>
              <w:rPr>
                <w:sz w:val="20"/>
                <w:szCs w:val="20"/>
              </w:rPr>
            </w:pPr>
            <w:r>
              <w:rPr>
                <w:sz w:val="20"/>
                <w:szCs w:val="20"/>
              </w:rPr>
              <w:t>Total (a)</w:t>
            </w:r>
          </w:p>
        </w:tc>
        <w:tc>
          <w:tcPr>
            <w:tcW w:w="1704" w:type="dxa"/>
            <w:shd w:val="clear" w:color="auto" w:fill="auto"/>
            <w:tcMar>
              <w:top w:w="0" w:type="dxa"/>
              <w:left w:w="108" w:type="dxa"/>
              <w:bottom w:w="0" w:type="dxa"/>
              <w:right w:w="108" w:type="dxa"/>
            </w:tcMar>
            <w:hideMark/>
          </w:tcPr>
          <w:p w:rsidR="003E6588" w:rsidRDefault="003E6588">
            <w:pPr>
              <w:pStyle w:val="novo"/>
              <w:keepNext w:val="0"/>
              <w:spacing w:before="0"/>
              <w:jc w:val="right"/>
              <w:rPr>
                <w:sz w:val="20"/>
                <w:szCs w:val="20"/>
              </w:rPr>
            </w:pPr>
            <w:r>
              <w:rPr>
                <w:sz w:val="20"/>
                <w:szCs w:val="20"/>
              </w:rPr>
              <w:t>32.435.327,59</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Construção da Delegacia Regional Tributária da Capital - DRTC-I</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22.130.876,31</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 xml:space="preserve">Ampliação da Unidade Regional de Ribeirão Preto - TRD </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6.046.055,56</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Construção do Posto Fiscal de Votuporanga</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1.447.529,86</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do Posto Fiscal de Limeira</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537.662,23</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da Unidade Regional de São José do Rio Preto</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917.135,35</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dos sanitários e substituição de rede de água e esgotos do edifício Sede da Regional de Campinas</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705.800,00</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dos sanitários e copas dos pavimentos térreo, 1º, 3º, 5º da Sede da Secretaria da Fazenda na Capital - Palácio Clóvis Ribeiro</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385.000,00</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do Posto Fiscal de Pirassununga</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265.268,28</w:t>
            </w:r>
          </w:p>
        </w:tc>
      </w:tr>
      <w:tr w:rsidR="003E6588" w:rsidTr="00D21053">
        <w:trPr>
          <w:jc w:val="center"/>
        </w:trPr>
        <w:tc>
          <w:tcPr>
            <w:tcW w:w="7972" w:type="dxa"/>
            <w:gridSpan w:val="2"/>
            <w:shd w:val="clear" w:color="auto" w:fill="auto"/>
            <w:tcMar>
              <w:top w:w="0" w:type="dxa"/>
              <w:left w:w="108" w:type="dxa"/>
              <w:bottom w:w="0" w:type="dxa"/>
              <w:right w:w="108" w:type="dxa"/>
            </w:tcMar>
            <w:hideMark/>
          </w:tcPr>
          <w:p w:rsidR="003E6588" w:rsidRDefault="003E6588">
            <w:pPr>
              <w:jc w:val="both"/>
              <w:rPr>
                <w:b/>
                <w:sz w:val="20"/>
                <w:szCs w:val="20"/>
              </w:rPr>
            </w:pPr>
            <w:r>
              <w:rPr>
                <w:b/>
                <w:sz w:val="20"/>
                <w:szCs w:val="20"/>
              </w:rPr>
              <w:t>b) Obras/Reformas - Iniciadas ou não Concluídas</w:t>
            </w:r>
          </w:p>
        </w:tc>
        <w:tc>
          <w:tcPr>
            <w:tcW w:w="1704" w:type="dxa"/>
            <w:shd w:val="clear" w:color="auto" w:fill="auto"/>
            <w:tcMar>
              <w:top w:w="0" w:type="dxa"/>
              <w:left w:w="108" w:type="dxa"/>
              <w:bottom w:w="0" w:type="dxa"/>
              <w:right w:w="108" w:type="dxa"/>
            </w:tcMar>
            <w:hideMark/>
          </w:tcPr>
          <w:p w:rsidR="003E6588" w:rsidRDefault="003E6588">
            <w:pPr>
              <w:rPr>
                <w:b/>
                <w:sz w:val="20"/>
                <w:szCs w:val="20"/>
              </w:rPr>
            </w:pPr>
            <w:r>
              <w:rPr>
                <w:b/>
                <w:sz w:val="20"/>
                <w:szCs w:val="20"/>
              </w:rPr>
              <w:t>Valor em R$</w:t>
            </w:r>
          </w:p>
        </w:tc>
      </w:tr>
      <w:tr w:rsidR="003E6588" w:rsidTr="00D21053">
        <w:trPr>
          <w:jc w:val="center"/>
        </w:trPr>
        <w:tc>
          <w:tcPr>
            <w:tcW w:w="7972" w:type="dxa"/>
            <w:gridSpan w:val="2"/>
            <w:shd w:val="clear" w:color="auto" w:fill="auto"/>
            <w:tcMar>
              <w:top w:w="0" w:type="dxa"/>
              <w:left w:w="108" w:type="dxa"/>
              <w:bottom w:w="0" w:type="dxa"/>
              <w:right w:w="108" w:type="dxa"/>
            </w:tcMar>
            <w:hideMark/>
          </w:tcPr>
          <w:p w:rsidR="003E6588" w:rsidRDefault="003E6588">
            <w:pPr>
              <w:jc w:val="both"/>
              <w:rPr>
                <w:b/>
                <w:sz w:val="20"/>
                <w:szCs w:val="20"/>
              </w:rPr>
            </w:pPr>
            <w:r>
              <w:rPr>
                <w:b/>
                <w:sz w:val="20"/>
                <w:szCs w:val="20"/>
              </w:rPr>
              <w:t>Total (b)</w:t>
            </w:r>
          </w:p>
        </w:tc>
        <w:tc>
          <w:tcPr>
            <w:tcW w:w="1704" w:type="dxa"/>
            <w:shd w:val="clear" w:color="auto" w:fill="auto"/>
            <w:tcMar>
              <w:top w:w="0" w:type="dxa"/>
              <w:left w:w="108" w:type="dxa"/>
              <w:bottom w:w="0" w:type="dxa"/>
              <w:right w:w="108" w:type="dxa"/>
            </w:tcMar>
            <w:hideMark/>
          </w:tcPr>
          <w:p w:rsidR="003E6588" w:rsidRDefault="003E6588">
            <w:pPr>
              <w:jc w:val="right"/>
              <w:rPr>
                <w:b/>
                <w:sz w:val="20"/>
                <w:szCs w:val="20"/>
              </w:rPr>
            </w:pPr>
            <w:r>
              <w:rPr>
                <w:b/>
                <w:sz w:val="20"/>
                <w:szCs w:val="20"/>
              </w:rPr>
              <w:t>48.985.735,93</w:t>
            </w:r>
          </w:p>
        </w:tc>
      </w:tr>
      <w:tr w:rsidR="003E6588" w:rsidTr="00D21053">
        <w:trPr>
          <w:jc w:val="center"/>
        </w:trPr>
        <w:tc>
          <w:tcPr>
            <w:tcW w:w="7972" w:type="dxa"/>
            <w:gridSpan w:val="2"/>
            <w:shd w:val="clear" w:color="auto" w:fill="auto"/>
            <w:tcMar>
              <w:top w:w="0" w:type="dxa"/>
              <w:left w:w="108" w:type="dxa"/>
              <w:bottom w:w="0" w:type="dxa"/>
              <w:right w:w="108" w:type="dxa"/>
            </w:tcMar>
            <w:hideMark/>
          </w:tcPr>
          <w:p w:rsidR="003E6588" w:rsidRDefault="003E6588">
            <w:pPr>
              <w:jc w:val="both"/>
              <w:rPr>
                <w:b/>
                <w:sz w:val="20"/>
                <w:szCs w:val="20"/>
              </w:rPr>
            </w:pPr>
            <w:r>
              <w:rPr>
                <w:b/>
                <w:sz w:val="20"/>
                <w:szCs w:val="20"/>
              </w:rPr>
              <w:t>Obras/reformas</w:t>
            </w:r>
          </w:p>
        </w:tc>
        <w:tc>
          <w:tcPr>
            <w:tcW w:w="1704" w:type="dxa"/>
            <w:shd w:val="clear" w:color="auto" w:fill="auto"/>
            <w:tcMar>
              <w:top w:w="0" w:type="dxa"/>
              <w:left w:w="108" w:type="dxa"/>
              <w:bottom w:w="0" w:type="dxa"/>
              <w:right w:w="108" w:type="dxa"/>
            </w:tcMar>
          </w:tcPr>
          <w:p w:rsidR="003E6588" w:rsidRDefault="003E6588">
            <w:pPr>
              <w:ind w:firstLine="1134"/>
              <w:jc w:val="right"/>
              <w:rPr>
                <w:b/>
                <w:sz w:val="20"/>
                <w:szCs w:val="20"/>
              </w:rPr>
            </w:pP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Construção do Posto Fiscal de São José do Rio Pardo</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1.155.801,07</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Construção do Posto Fiscal de Suzano</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1.351.687,68</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Construção da Unidade Regional de Guarulhos</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13.173.002,94</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Projeto para Reforma para adequação elétrica da Unidade Regional de CRA/7 - São José do Rio Preto (Projeto Básico)</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14.700,00</w:t>
            </w:r>
          </w:p>
        </w:tc>
      </w:tr>
      <w:tr w:rsidR="003E6588" w:rsidTr="0003027C">
        <w:trPr>
          <w:jc w:val="center"/>
        </w:trPr>
        <w:tc>
          <w:tcPr>
            <w:tcW w:w="7972" w:type="dxa"/>
            <w:gridSpan w:val="2"/>
            <w:tcBorders>
              <w:bottom w:val="single" w:sz="8" w:space="0" w:color="auto"/>
            </w:tcBorders>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Projeto para adequação das rotas de fuga do Palácio Clóvis Ribeiro</w:t>
            </w:r>
          </w:p>
        </w:tc>
        <w:tc>
          <w:tcPr>
            <w:tcW w:w="1704" w:type="dxa"/>
            <w:tcBorders>
              <w:bottom w:val="single" w:sz="8" w:space="0" w:color="auto"/>
            </w:tcBorders>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228.193,42</w:t>
            </w:r>
          </w:p>
        </w:tc>
      </w:tr>
      <w:tr w:rsidR="003E6588" w:rsidTr="0003027C">
        <w:trPr>
          <w:jc w:val="center"/>
        </w:trPr>
        <w:tc>
          <w:tcPr>
            <w:tcW w:w="7972" w:type="dxa"/>
            <w:gridSpan w:val="2"/>
            <w:tcBorders>
              <w:top w:val="single" w:sz="8" w:space="0" w:color="auto"/>
            </w:tcBorders>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lastRenderedPageBreak/>
              <w:t>Recuperação e Conservação das fachadas do Palácio Clóvis Ribeiro</w:t>
            </w:r>
          </w:p>
        </w:tc>
        <w:tc>
          <w:tcPr>
            <w:tcW w:w="1704" w:type="dxa"/>
            <w:tcBorders>
              <w:top w:val="single" w:sz="8" w:space="0" w:color="auto"/>
            </w:tcBorders>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15.661.118,74</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do Edifício Sede da Delegacia Regional Tributária de São Bernardo do Campo</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200.799,78</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do Posto Fiscal de Mogi das Cruzes</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232.741,94</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dos arquivos do 2º subsolo do Palácio Clóvis Ribeiro</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9.650.000,00</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para adequação elétrica da Unidade Regional de Campinas</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1.356.408,76</w:t>
            </w:r>
          </w:p>
        </w:tc>
      </w:tr>
      <w:tr w:rsidR="003E6588" w:rsidTr="00D21053">
        <w:trPr>
          <w:jc w:val="center"/>
        </w:trPr>
        <w:tc>
          <w:tcPr>
            <w:tcW w:w="7972" w:type="dxa"/>
            <w:gridSpan w:val="2"/>
            <w:shd w:val="clear" w:color="auto" w:fill="auto"/>
            <w:tcMar>
              <w:top w:w="0" w:type="dxa"/>
              <w:left w:w="108" w:type="dxa"/>
              <w:bottom w:w="0" w:type="dxa"/>
              <w:right w:w="108" w:type="dxa"/>
            </w:tcMar>
            <w:hideMark/>
          </w:tcPr>
          <w:p w:rsidR="003E6588" w:rsidRDefault="003E6588">
            <w:pPr>
              <w:jc w:val="both"/>
              <w:rPr>
                <w:b/>
                <w:sz w:val="20"/>
                <w:szCs w:val="20"/>
              </w:rPr>
            </w:pPr>
            <w:r>
              <w:rPr>
                <w:b/>
                <w:sz w:val="20"/>
                <w:szCs w:val="20"/>
              </w:rPr>
              <w:t>Obras/Reformas - com planejamento de andamento</w:t>
            </w:r>
          </w:p>
        </w:tc>
        <w:tc>
          <w:tcPr>
            <w:tcW w:w="1704" w:type="dxa"/>
            <w:shd w:val="clear" w:color="auto" w:fill="auto"/>
            <w:tcMar>
              <w:top w:w="0" w:type="dxa"/>
              <w:left w:w="108" w:type="dxa"/>
              <w:bottom w:w="0" w:type="dxa"/>
              <w:right w:w="108" w:type="dxa"/>
            </w:tcMar>
          </w:tcPr>
          <w:p w:rsidR="003E6588" w:rsidRDefault="003E6588">
            <w:pPr>
              <w:ind w:firstLine="1134"/>
              <w:jc w:val="right"/>
              <w:rPr>
                <w:b/>
                <w:sz w:val="20"/>
                <w:szCs w:val="20"/>
              </w:rPr>
            </w:pP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Reforma e Conservação da FAZESP/Carmo - prédio da antiga Escola do Carmo</w:t>
            </w:r>
          </w:p>
        </w:tc>
        <w:tc>
          <w:tcPr>
            <w:tcW w:w="1704" w:type="dxa"/>
            <w:shd w:val="clear" w:color="auto" w:fill="auto"/>
            <w:tcMar>
              <w:top w:w="0" w:type="dxa"/>
              <w:left w:w="108" w:type="dxa"/>
              <w:bottom w:w="0" w:type="dxa"/>
              <w:right w:w="108" w:type="dxa"/>
            </w:tcMar>
            <w:vAlign w:val="bottom"/>
            <w:hideMark/>
          </w:tcPr>
          <w:p w:rsidR="003E6588" w:rsidRDefault="003E6588">
            <w:pPr>
              <w:jc w:val="right"/>
              <w:rPr>
                <w:color w:val="000000"/>
                <w:sz w:val="20"/>
                <w:szCs w:val="20"/>
              </w:rPr>
            </w:pPr>
            <w:r>
              <w:rPr>
                <w:color w:val="000000"/>
                <w:sz w:val="20"/>
                <w:szCs w:val="20"/>
              </w:rPr>
              <w:t>4.872.981,60</w:t>
            </w:r>
          </w:p>
        </w:tc>
      </w:tr>
      <w:tr w:rsidR="003E6588" w:rsidTr="00D21053">
        <w:trPr>
          <w:jc w:val="center"/>
        </w:trPr>
        <w:tc>
          <w:tcPr>
            <w:tcW w:w="7972" w:type="dxa"/>
            <w:gridSpan w:val="2"/>
            <w:shd w:val="clear" w:color="auto" w:fill="auto"/>
            <w:tcMar>
              <w:top w:w="0" w:type="dxa"/>
              <w:left w:w="108" w:type="dxa"/>
              <w:bottom w:w="0" w:type="dxa"/>
              <w:right w:w="108" w:type="dxa"/>
            </w:tcMar>
            <w:vAlign w:val="center"/>
            <w:hideMark/>
          </w:tcPr>
          <w:p w:rsidR="003E6588" w:rsidRDefault="003E6588">
            <w:pPr>
              <w:jc w:val="both"/>
              <w:rPr>
                <w:color w:val="000000"/>
                <w:sz w:val="20"/>
                <w:szCs w:val="20"/>
              </w:rPr>
            </w:pPr>
            <w:r>
              <w:rPr>
                <w:color w:val="000000"/>
                <w:sz w:val="20"/>
                <w:szCs w:val="20"/>
              </w:rPr>
              <w:t>Construção do Posto Fiscal de Lins</w:t>
            </w:r>
          </w:p>
        </w:tc>
        <w:tc>
          <w:tcPr>
            <w:tcW w:w="1704" w:type="dxa"/>
            <w:shd w:val="clear" w:color="auto" w:fill="auto"/>
            <w:tcMar>
              <w:top w:w="0" w:type="dxa"/>
              <w:left w:w="108" w:type="dxa"/>
              <w:bottom w:w="0" w:type="dxa"/>
              <w:right w:w="108" w:type="dxa"/>
            </w:tcMar>
            <w:vAlign w:val="center"/>
            <w:hideMark/>
          </w:tcPr>
          <w:p w:rsidR="003E6588" w:rsidRDefault="003E6588">
            <w:pPr>
              <w:jc w:val="right"/>
              <w:rPr>
                <w:color w:val="000000"/>
                <w:sz w:val="20"/>
                <w:szCs w:val="20"/>
              </w:rPr>
            </w:pPr>
            <w:r>
              <w:rPr>
                <w:color w:val="000000"/>
                <w:sz w:val="20"/>
                <w:szCs w:val="20"/>
              </w:rPr>
              <w:t>1.088.300,00</w:t>
            </w:r>
          </w:p>
        </w:tc>
      </w:tr>
      <w:tr w:rsidR="003E6588" w:rsidTr="00D21053">
        <w:trPr>
          <w:trHeight w:val="246"/>
          <w:jc w:val="center"/>
        </w:trPr>
        <w:tc>
          <w:tcPr>
            <w:tcW w:w="4820" w:type="dxa"/>
            <w:shd w:val="clear" w:color="auto" w:fill="auto"/>
            <w:tcMar>
              <w:top w:w="0" w:type="dxa"/>
              <w:left w:w="108" w:type="dxa"/>
              <w:bottom w:w="0" w:type="dxa"/>
              <w:right w:w="108" w:type="dxa"/>
            </w:tcMar>
            <w:hideMark/>
          </w:tcPr>
          <w:p w:rsidR="003E6588" w:rsidRDefault="003E6588" w:rsidP="00867FCF">
            <w:pPr>
              <w:jc w:val="both"/>
              <w:rPr>
                <w:b/>
                <w:sz w:val="20"/>
                <w:szCs w:val="20"/>
              </w:rPr>
            </w:pPr>
            <w:r>
              <w:rPr>
                <w:b/>
                <w:sz w:val="20"/>
                <w:szCs w:val="20"/>
              </w:rPr>
              <w:t xml:space="preserve">Obras e Reformas </w:t>
            </w:r>
            <w:r w:rsidR="00867FCF">
              <w:rPr>
                <w:b/>
                <w:sz w:val="20"/>
                <w:szCs w:val="20"/>
              </w:rPr>
              <w:t>-</w:t>
            </w:r>
            <w:r>
              <w:rPr>
                <w:b/>
                <w:sz w:val="20"/>
                <w:szCs w:val="20"/>
              </w:rPr>
              <w:t xml:space="preserve"> Total Geral (a+b)</w:t>
            </w:r>
          </w:p>
        </w:tc>
        <w:tc>
          <w:tcPr>
            <w:tcW w:w="4856" w:type="dxa"/>
            <w:gridSpan w:val="2"/>
            <w:shd w:val="clear" w:color="auto" w:fill="auto"/>
            <w:tcMar>
              <w:top w:w="0" w:type="dxa"/>
              <w:left w:w="108" w:type="dxa"/>
              <w:bottom w:w="0" w:type="dxa"/>
              <w:right w:w="108" w:type="dxa"/>
            </w:tcMar>
            <w:hideMark/>
          </w:tcPr>
          <w:p w:rsidR="003E6588" w:rsidRDefault="003E6588">
            <w:pPr>
              <w:ind w:firstLine="1134"/>
              <w:jc w:val="right"/>
              <w:rPr>
                <w:b/>
                <w:sz w:val="20"/>
                <w:szCs w:val="20"/>
              </w:rPr>
            </w:pPr>
            <w:r>
              <w:rPr>
                <w:b/>
                <w:sz w:val="20"/>
                <w:szCs w:val="20"/>
              </w:rPr>
              <w:t>R$ 81.421063,52</w:t>
            </w:r>
          </w:p>
        </w:tc>
      </w:tr>
    </w:tbl>
    <w:p w:rsidR="003E6588" w:rsidRDefault="003E6588" w:rsidP="00867FCF">
      <w:pPr>
        <w:tabs>
          <w:tab w:val="num" w:pos="1957"/>
        </w:tabs>
        <w:jc w:val="both"/>
        <w:rPr>
          <w:b/>
        </w:rPr>
      </w:pPr>
    </w:p>
    <w:p w:rsidR="003E6588" w:rsidRDefault="003E6588">
      <w:pPr>
        <w:tabs>
          <w:tab w:val="num" w:pos="1957"/>
        </w:tabs>
        <w:ind w:firstLine="1134"/>
        <w:jc w:val="both"/>
      </w:pPr>
      <w:r>
        <w:rPr>
          <w:b/>
        </w:rPr>
        <w:t xml:space="preserve">Projeto de Auditoria Baseada em Risco - </w:t>
      </w:r>
      <w:r>
        <w:t xml:space="preserve">Este projeto visa ao desenvolvimento de auditoria, baseado em risco a ser aplicado em Secretarias e Empresas Públicas, visando identificar eventos que possam vir a comprometer os objetivos estratégicos. Analisará a sinergia entre os programas, serviços, atividades, processos e projetos com a missão, visão e objetivos das entidades auditadas. Este trabalho será desenvolvido baseado na metodologia </w:t>
      </w:r>
      <w:r>
        <w:rPr>
          <w:i/>
        </w:rPr>
        <w:t xml:space="preserve">COSO </w:t>
      </w:r>
      <w:r>
        <w:t>(</w:t>
      </w:r>
      <w:r>
        <w:rPr>
          <w:i/>
        </w:rPr>
        <w:t>Committee of Sponsoring Organizations</w:t>
      </w:r>
      <w:r>
        <w:t>).</w:t>
      </w:r>
    </w:p>
    <w:p w:rsidR="003E6588" w:rsidRDefault="003E6588">
      <w:pPr>
        <w:ind w:firstLine="1134"/>
        <w:jc w:val="both"/>
      </w:pPr>
    </w:p>
    <w:p w:rsidR="003E6588" w:rsidRDefault="003E6588" w:rsidP="00867FCF">
      <w:pPr>
        <w:ind w:firstLine="1134"/>
        <w:jc w:val="both"/>
      </w:pPr>
      <w:r>
        <w:rPr>
          <w:b/>
        </w:rPr>
        <w:t>Principais realizações</w:t>
      </w:r>
      <w:r w:rsidR="00867FCF">
        <w:rPr>
          <w:b/>
        </w:rPr>
        <w:t xml:space="preserve"> - </w:t>
      </w:r>
      <w:r>
        <w:t>Definição do escopo e do termo de referência;</w:t>
      </w:r>
      <w:r w:rsidR="00867FCF">
        <w:t xml:space="preserve"> d</w:t>
      </w:r>
      <w:r>
        <w:t>istribuição do termo de referência para as empresas interessadas.</w:t>
      </w:r>
    </w:p>
    <w:p w:rsidR="003E6588" w:rsidRDefault="003E6588" w:rsidP="00867FCF">
      <w:pPr>
        <w:tabs>
          <w:tab w:val="num" w:pos="1957"/>
        </w:tabs>
        <w:jc w:val="both"/>
        <w:rPr>
          <w:b/>
        </w:rPr>
      </w:pPr>
    </w:p>
    <w:p w:rsidR="003E6588" w:rsidRDefault="003E6588">
      <w:pPr>
        <w:tabs>
          <w:tab w:val="num" w:pos="1957"/>
        </w:tabs>
        <w:ind w:firstLine="1134"/>
        <w:jc w:val="both"/>
      </w:pPr>
      <w:r>
        <w:rPr>
          <w:b/>
        </w:rPr>
        <w:t xml:space="preserve">Projeto de Melhoria, Atualização e Formalização dos Procedimentos de Auditoria - </w:t>
      </w:r>
      <w:r>
        <w:t>O projeto de melhoria e formalização de procedimentos de auditoria visa implantar gestão de conhecimento no Departamento e padronizar a ação do DCA junto ao público auditado.</w:t>
      </w:r>
    </w:p>
    <w:p w:rsidR="003E6588" w:rsidRDefault="003E6588">
      <w:pPr>
        <w:ind w:firstLine="1134"/>
        <w:jc w:val="both"/>
      </w:pPr>
    </w:p>
    <w:p w:rsidR="003E6588" w:rsidRDefault="003E6588">
      <w:pPr>
        <w:ind w:firstLine="1134"/>
        <w:jc w:val="both"/>
      </w:pPr>
      <w:r>
        <w:rPr>
          <w:b/>
        </w:rPr>
        <w:t>Principais realizações</w:t>
      </w:r>
      <w:r w:rsidR="00867FCF">
        <w:rPr>
          <w:b/>
        </w:rPr>
        <w:t xml:space="preserve"> </w:t>
      </w:r>
      <w:r>
        <w:t>- Desenvolvimento dos 20 primeiros procedimentos de auditoria;</w:t>
      </w:r>
      <w:r w:rsidR="00867FCF">
        <w:t xml:space="preserve"> e</w:t>
      </w:r>
      <w:r>
        <w:t>m desenvolvimento: piloto de avaliação de programa;</w:t>
      </w:r>
      <w:r w:rsidR="00867FCF">
        <w:t xml:space="preserve"> r</w:t>
      </w:r>
      <w:r>
        <w:t>ealização de piloto para teste de metodologia;</w:t>
      </w:r>
      <w:r w:rsidR="00867FCF">
        <w:t xml:space="preserve"> r</w:t>
      </w:r>
      <w:r>
        <w:t>ealização de piloto para teste de plano de ação;</w:t>
      </w:r>
      <w:r w:rsidR="00867FCF">
        <w:t xml:space="preserve"> r</w:t>
      </w:r>
      <w:r>
        <w:t>ealização do piloto do Comitê de Pronunciamentos do DCA visando à padronização de entendimentos de auditoria.</w:t>
      </w:r>
    </w:p>
    <w:p w:rsidR="003E6588" w:rsidRDefault="003E6588" w:rsidP="00867FCF">
      <w:pPr>
        <w:tabs>
          <w:tab w:val="num" w:pos="1957"/>
        </w:tabs>
        <w:jc w:val="both"/>
        <w:rPr>
          <w:b/>
        </w:rPr>
      </w:pPr>
    </w:p>
    <w:p w:rsidR="003E6588" w:rsidRDefault="003E6588">
      <w:pPr>
        <w:tabs>
          <w:tab w:val="num" w:pos="1957"/>
        </w:tabs>
        <w:ind w:firstLine="1134"/>
        <w:jc w:val="both"/>
      </w:pPr>
      <w:r>
        <w:rPr>
          <w:b/>
        </w:rPr>
        <w:t xml:space="preserve">Projeto SAE - Sistema de Auditoria Eletrônica - </w:t>
      </w:r>
      <w:r>
        <w:t>O SAE visa promover a integração e ampliação de ferramentais necessárias à execução dos trabalhos de auditoria e fornecer maiores subsídios para o gerenciamento do departamento. É dividido em três módulos:</w:t>
      </w:r>
    </w:p>
    <w:p w:rsidR="00867FCF" w:rsidRDefault="00867FCF">
      <w:pPr>
        <w:tabs>
          <w:tab w:val="num" w:pos="1957"/>
        </w:tabs>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SAE </w:t>
      </w:r>
      <w:r>
        <w:rPr>
          <w:rFonts w:ascii="Times New Roman" w:hAnsi="Times New Roman"/>
          <w:b/>
          <w:i/>
          <w:sz w:val="24"/>
          <w:szCs w:val="24"/>
        </w:rPr>
        <w:t>Workflow</w:t>
      </w:r>
      <w:r>
        <w:rPr>
          <w:rFonts w:ascii="Times New Roman" w:hAnsi="Times New Roman"/>
          <w:b/>
          <w:sz w:val="24"/>
          <w:szCs w:val="24"/>
        </w:rPr>
        <w:t xml:space="preserve"> -</w:t>
      </w:r>
      <w:r>
        <w:rPr>
          <w:rFonts w:ascii="Times New Roman" w:hAnsi="Times New Roman"/>
          <w:sz w:val="24"/>
          <w:szCs w:val="24"/>
        </w:rPr>
        <w:t xml:space="preserve"> Sistematização do processo de auditoria, de modo que o trâmite do processo seja feito totalmente por meio eletrônico.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SAE Ferramentas -</w:t>
      </w:r>
      <w:r>
        <w:rPr>
          <w:rFonts w:ascii="Times New Roman" w:hAnsi="Times New Roman"/>
          <w:sz w:val="24"/>
          <w:szCs w:val="24"/>
        </w:rPr>
        <w:t xml:space="preserve"> Disponibilização de consultas pré-definidas sobre o objeto de auditoria, de forma a facilitar a obtenção de informações necessárias à auditoria.</w:t>
      </w:r>
    </w:p>
    <w:p w:rsidR="00867FCF" w:rsidRDefault="00867FCF">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SAE base de conhecimento -</w:t>
      </w:r>
      <w:r>
        <w:rPr>
          <w:rFonts w:ascii="Times New Roman" w:hAnsi="Times New Roman"/>
          <w:sz w:val="24"/>
          <w:szCs w:val="24"/>
        </w:rPr>
        <w:t xml:space="preserve"> Operacionalização da gestão do conhecimento do Departamento, organizando de forma estratégica os conhecimentos necessários para a realização de trabalhos de auditoria.</w:t>
      </w:r>
    </w:p>
    <w:p w:rsidR="003E6588" w:rsidRDefault="003E6588">
      <w:pPr>
        <w:pStyle w:val="PargrafodaLista"/>
        <w:ind w:left="0" w:firstLine="1134"/>
        <w:rPr>
          <w:rFonts w:ascii="Times New Roman" w:hAnsi="Times New Roman"/>
          <w:sz w:val="24"/>
          <w:szCs w:val="24"/>
        </w:rPr>
      </w:pPr>
    </w:p>
    <w:p w:rsidR="003E6588" w:rsidRDefault="003E6588">
      <w:pPr>
        <w:tabs>
          <w:tab w:val="num" w:pos="1957"/>
        </w:tabs>
        <w:ind w:firstLine="1134"/>
        <w:jc w:val="both"/>
        <w:rPr>
          <w:b/>
        </w:rPr>
      </w:pPr>
      <w:r>
        <w:rPr>
          <w:b/>
        </w:rPr>
        <w:lastRenderedPageBreak/>
        <w:t>Programa de Estímulo à Cidadania Fiscal - “Nota Fiscal Paulista” (Lei nº 12.685/2007)</w:t>
      </w:r>
    </w:p>
    <w:p w:rsidR="003E6588" w:rsidRDefault="003E6588">
      <w:pPr>
        <w:tabs>
          <w:tab w:val="num" w:pos="1657"/>
        </w:tabs>
        <w:ind w:firstLine="1134"/>
        <w:jc w:val="both"/>
      </w:pPr>
    </w:p>
    <w:p w:rsidR="003E6588" w:rsidRDefault="003E6588">
      <w:pPr>
        <w:tabs>
          <w:tab w:val="num" w:pos="1657"/>
        </w:tabs>
        <w:ind w:firstLine="1134"/>
        <w:jc w:val="both"/>
        <w:rPr>
          <w:b/>
        </w:rPr>
      </w:pPr>
      <w:r>
        <w:rPr>
          <w:b/>
        </w:rPr>
        <w:t>Principais ações desenvolvidas</w:t>
      </w:r>
    </w:p>
    <w:p w:rsidR="003E6588" w:rsidRDefault="003E6588">
      <w:pPr>
        <w:tabs>
          <w:tab w:val="num" w:pos="1657"/>
        </w:tabs>
        <w:ind w:firstLine="1134"/>
        <w:jc w:val="both"/>
      </w:pPr>
    </w:p>
    <w:p w:rsidR="003E6588" w:rsidRDefault="00867FCF">
      <w:pPr>
        <w:tabs>
          <w:tab w:val="left" w:pos="1418"/>
        </w:tabs>
        <w:ind w:firstLine="1134"/>
        <w:jc w:val="both"/>
      </w:pPr>
      <w:r>
        <w:t xml:space="preserve">- </w:t>
      </w:r>
      <w:r w:rsidR="003E6588">
        <w:t>No âmbito do direito do consumidor, 21.330 fornecedores foram autuados e mais de 73 mil denúncias foram analisadas. No total, foram gerados 27.631 autos de infração.</w:t>
      </w:r>
    </w:p>
    <w:p w:rsidR="003E6588" w:rsidRDefault="003E6588">
      <w:pPr>
        <w:tabs>
          <w:tab w:val="left" w:pos="1418"/>
        </w:tabs>
        <w:ind w:firstLine="1134"/>
        <w:jc w:val="both"/>
      </w:pPr>
    </w:p>
    <w:p w:rsidR="003E6588" w:rsidRDefault="003E6588">
      <w:pPr>
        <w:tabs>
          <w:tab w:val="left" w:pos="1418"/>
        </w:tabs>
        <w:ind w:firstLine="1134"/>
        <w:jc w:val="both"/>
      </w:pPr>
      <w:r>
        <w:t>- Desde o início do programa foram lavrados 60.667 autos de infração, referentes a 264.094 denúncias e 49.112 fornecedores autuados. Foram arrecadados R$ 50,9 milhões com essas autuações.</w:t>
      </w:r>
    </w:p>
    <w:p w:rsidR="003E6588" w:rsidRDefault="003E6588">
      <w:pPr>
        <w:tabs>
          <w:tab w:val="left" w:pos="1418"/>
        </w:tabs>
        <w:ind w:firstLine="1134"/>
        <w:jc w:val="both"/>
      </w:pPr>
    </w:p>
    <w:p w:rsidR="003E6588" w:rsidRDefault="003E6588">
      <w:pPr>
        <w:tabs>
          <w:tab w:val="left" w:pos="1418"/>
        </w:tabs>
        <w:ind w:firstLine="1134"/>
        <w:jc w:val="both"/>
        <w:rPr>
          <w:strike/>
        </w:rPr>
      </w:pPr>
      <w:r>
        <w:t>- Finalizado Módulo Contencioso do sistema NFP, onde o cidadão poderá fazer denúncias referentes ao citado programa e de forma totalmente digital; a denúncia poderá ser arquivada ou ser objeto de lançamento de ofício, seguindo seu fluxo até o pagamento ou inscrição do débito em dívida ativa.</w:t>
      </w:r>
    </w:p>
    <w:p w:rsidR="003E6588" w:rsidRDefault="003E6588">
      <w:pPr>
        <w:tabs>
          <w:tab w:val="left" w:pos="1418"/>
        </w:tabs>
        <w:ind w:firstLine="1134"/>
        <w:jc w:val="both"/>
        <w:rPr>
          <w:strike/>
        </w:rPr>
      </w:pPr>
    </w:p>
    <w:tbl>
      <w:tblPr>
        <w:tblW w:w="6224" w:type="dxa"/>
        <w:jc w:val="center"/>
        <w:tblInd w:w="223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3447"/>
        <w:gridCol w:w="2777"/>
      </w:tblGrid>
      <w:tr w:rsidR="003E6588" w:rsidTr="00867FCF">
        <w:trPr>
          <w:jc w:val="center"/>
        </w:trPr>
        <w:tc>
          <w:tcPr>
            <w:tcW w:w="3447" w:type="dxa"/>
            <w:hideMark/>
          </w:tcPr>
          <w:p w:rsidR="003E6588" w:rsidRDefault="003E6588">
            <w:pPr>
              <w:jc w:val="both"/>
              <w:rPr>
                <w:sz w:val="20"/>
                <w:szCs w:val="20"/>
              </w:rPr>
            </w:pPr>
            <w:r>
              <w:rPr>
                <w:sz w:val="20"/>
                <w:szCs w:val="20"/>
              </w:rPr>
              <w:t>Total distribuído</w:t>
            </w:r>
          </w:p>
        </w:tc>
        <w:tc>
          <w:tcPr>
            <w:tcW w:w="2777" w:type="dxa"/>
            <w:hideMark/>
          </w:tcPr>
          <w:p w:rsidR="003E6588" w:rsidRDefault="003E6588">
            <w:pPr>
              <w:jc w:val="right"/>
              <w:rPr>
                <w:sz w:val="20"/>
                <w:szCs w:val="20"/>
              </w:rPr>
            </w:pPr>
            <w:r>
              <w:rPr>
                <w:sz w:val="20"/>
                <w:szCs w:val="20"/>
              </w:rPr>
              <w:t>R$ 11.337.887.898,46</w:t>
            </w:r>
          </w:p>
        </w:tc>
      </w:tr>
      <w:tr w:rsidR="003E6588" w:rsidTr="00867FCF">
        <w:trPr>
          <w:jc w:val="center"/>
        </w:trPr>
        <w:tc>
          <w:tcPr>
            <w:tcW w:w="3447" w:type="dxa"/>
            <w:hideMark/>
          </w:tcPr>
          <w:p w:rsidR="003E6588" w:rsidRDefault="003E6588">
            <w:pPr>
              <w:jc w:val="both"/>
              <w:rPr>
                <w:sz w:val="20"/>
                <w:szCs w:val="20"/>
              </w:rPr>
            </w:pPr>
            <w:r>
              <w:rPr>
                <w:sz w:val="20"/>
                <w:szCs w:val="20"/>
              </w:rPr>
              <w:t>Créditos distribuídos</w:t>
            </w:r>
          </w:p>
        </w:tc>
        <w:tc>
          <w:tcPr>
            <w:tcW w:w="2777" w:type="dxa"/>
            <w:hideMark/>
          </w:tcPr>
          <w:p w:rsidR="003E6588" w:rsidRDefault="003E6588">
            <w:pPr>
              <w:jc w:val="right"/>
              <w:rPr>
                <w:sz w:val="20"/>
                <w:szCs w:val="20"/>
              </w:rPr>
            </w:pPr>
            <w:r>
              <w:rPr>
                <w:sz w:val="20"/>
                <w:szCs w:val="20"/>
              </w:rPr>
              <w:t>R$ 10.160.887.898,46</w:t>
            </w:r>
          </w:p>
        </w:tc>
      </w:tr>
      <w:tr w:rsidR="003E6588" w:rsidTr="00867FCF">
        <w:trPr>
          <w:jc w:val="center"/>
        </w:trPr>
        <w:tc>
          <w:tcPr>
            <w:tcW w:w="3447" w:type="dxa"/>
            <w:hideMark/>
          </w:tcPr>
          <w:p w:rsidR="003E6588" w:rsidRDefault="003E6588">
            <w:pPr>
              <w:jc w:val="both"/>
              <w:rPr>
                <w:sz w:val="20"/>
                <w:szCs w:val="20"/>
              </w:rPr>
            </w:pPr>
            <w:r>
              <w:rPr>
                <w:sz w:val="20"/>
                <w:szCs w:val="20"/>
              </w:rPr>
              <w:t>Prêmios distribuídos</w:t>
            </w:r>
          </w:p>
        </w:tc>
        <w:tc>
          <w:tcPr>
            <w:tcW w:w="2777" w:type="dxa"/>
            <w:hideMark/>
          </w:tcPr>
          <w:p w:rsidR="003E6588" w:rsidRDefault="003E6588">
            <w:pPr>
              <w:jc w:val="right"/>
              <w:rPr>
                <w:sz w:val="20"/>
                <w:szCs w:val="20"/>
              </w:rPr>
            </w:pPr>
            <w:r>
              <w:rPr>
                <w:sz w:val="20"/>
                <w:szCs w:val="20"/>
              </w:rPr>
              <w:t>R$ 1.177.000.000,00</w:t>
            </w:r>
          </w:p>
        </w:tc>
      </w:tr>
      <w:tr w:rsidR="003E6588" w:rsidTr="00867FCF">
        <w:trPr>
          <w:jc w:val="center"/>
        </w:trPr>
        <w:tc>
          <w:tcPr>
            <w:tcW w:w="3447" w:type="dxa"/>
            <w:hideMark/>
          </w:tcPr>
          <w:p w:rsidR="003E6588" w:rsidRDefault="003E6588">
            <w:pPr>
              <w:jc w:val="both"/>
              <w:rPr>
                <w:sz w:val="20"/>
                <w:szCs w:val="20"/>
              </w:rPr>
            </w:pPr>
            <w:r>
              <w:rPr>
                <w:sz w:val="20"/>
                <w:szCs w:val="20"/>
              </w:rPr>
              <w:t>Usuários cadastrados</w:t>
            </w:r>
          </w:p>
        </w:tc>
        <w:tc>
          <w:tcPr>
            <w:tcW w:w="2777" w:type="dxa"/>
            <w:hideMark/>
          </w:tcPr>
          <w:p w:rsidR="003E6588" w:rsidRDefault="003E6588">
            <w:pPr>
              <w:jc w:val="right"/>
              <w:rPr>
                <w:sz w:val="20"/>
                <w:szCs w:val="20"/>
              </w:rPr>
            </w:pPr>
            <w:r>
              <w:rPr>
                <w:sz w:val="20"/>
                <w:szCs w:val="20"/>
              </w:rPr>
              <w:t>16.701.769</w:t>
            </w:r>
          </w:p>
        </w:tc>
      </w:tr>
      <w:tr w:rsidR="003E6588" w:rsidTr="00867FCF">
        <w:trPr>
          <w:jc w:val="center"/>
        </w:trPr>
        <w:tc>
          <w:tcPr>
            <w:tcW w:w="3447" w:type="dxa"/>
            <w:hideMark/>
          </w:tcPr>
          <w:p w:rsidR="003E6588" w:rsidRDefault="003E6588">
            <w:pPr>
              <w:jc w:val="both"/>
              <w:rPr>
                <w:sz w:val="20"/>
                <w:szCs w:val="20"/>
              </w:rPr>
            </w:pPr>
            <w:r>
              <w:rPr>
                <w:sz w:val="20"/>
                <w:szCs w:val="20"/>
              </w:rPr>
              <w:t>Notas/Cupons Fiscais processados</w:t>
            </w:r>
          </w:p>
        </w:tc>
        <w:tc>
          <w:tcPr>
            <w:tcW w:w="2777" w:type="dxa"/>
            <w:hideMark/>
          </w:tcPr>
          <w:p w:rsidR="003E6588" w:rsidRDefault="003E6588">
            <w:pPr>
              <w:jc w:val="right"/>
              <w:rPr>
                <w:sz w:val="20"/>
                <w:szCs w:val="20"/>
              </w:rPr>
            </w:pPr>
            <w:r>
              <w:rPr>
                <w:sz w:val="20"/>
                <w:szCs w:val="20"/>
              </w:rPr>
              <w:t>34.784.440.285</w:t>
            </w:r>
          </w:p>
        </w:tc>
      </w:tr>
      <w:tr w:rsidR="003E6588" w:rsidTr="00867FCF">
        <w:trPr>
          <w:jc w:val="center"/>
        </w:trPr>
        <w:tc>
          <w:tcPr>
            <w:tcW w:w="3447" w:type="dxa"/>
            <w:hideMark/>
          </w:tcPr>
          <w:p w:rsidR="003E6588" w:rsidRDefault="003E6588">
            <w:pPr>
              <w:jc w:val="both"/>
              <w:rPr>
                <w:sz w:val="20"/>
                <w:szCs w:val="20"/>
              </w:rPr>
            </w:pPr>
            <w:r>
              <w:rPr>
                <w:sz w:val="20"/>
                <w:szCs w:val="20"/>
              </w:rPr>
              <w:t>Estabelecimentos cadastrados</w:t>
            </w:r>
          </w:p>
        </w:tc>
        <w:tc>
          <w:tcPr>
            <w:tcW w:w="2777" w:type="dxa"/>
            <w:hideMark/>
          </w:tcPr>
          <w:p w:rsidR="003E6588" w:rsidRDefault="003E6588">
            <w:pPr>
              <w:jc w:val="right"/>
              <w:rPr>
                <w:sz w:val="20"/>
                <w:szCs w:val="20"/>
              </w:rPr>
            </w:pPr>
            <w:r>
              <w:rPr>
                <w:sz w:val="20"/>
                <w:szCs w:val="20"/>
              </w:rPr>
              <w:t>962.299</w:t>
            </w:r>
          </w:p>
        </w:tc>
      </w:tr>
      <w:tr w:rsidR="003E6588" w:rsidTr="00867FCF">
        <w:trPr>
          <w:jc w:val="center"/>
        </w:trPr>
        <w:tc>
          <w:tcPr>
            <w:tcW w:w="3447" w:type="dxa"/>
            <w:hideMark/>
          </w:tcPr>
          <w:p w:rsidR="003E6588" w:rsidRDefault="003E6588">
            <w:pPr>
              <w:jc w:val="both"/>
              <w:rPr>
                <w:sz w:val="20"/>
                <w:szCs w:val="20"/>
              </w:rPr>
            </w:pPr>
            <w:r>
              <w:rPr>
                <w:sz w:val="20"/>
                <w:szCs w:val="20"/>
              </w:rPr>
              <w:t>Adesões ao Regulamento do Sorteio</w:t>
            </w:r>
          </w:p>
        </w:tc>
        <w:tc>
          <w:tcPr>
            <w:tcW w:w="2777" w:type="dxa"/>
            <w:hideMark/>
          </w:tcPr>
          <w:p w:rsidR="003E6588" w:rsidRDefault="003E6588">
            <w:pPr>
              <w:jc w:val="right"/>
              <w:rPr>
                <w:sz w:val="20"/>
                <w:szCs w:val="20"/>
              </w:rPr>
            </w:pPr>
            <w:r>
              <w:rPr>
                <w:sz w:val="20"/>
                <w:szCs w:val="20"/>
              </w:rPr>
              <w:t>14.911.239</w:t>
            </w:r>
          </w:p>
        </w:tc>
      </w:tr>
    </w:tbl>
    <w:p w:rsidR="003E6588" w:rsidRDefault="003E6588">
      <w:pPr>
        <w:jc w:val="both"/>
        <w:rPr>
          <w:b/>
        </w:rPr>
      </w:pPr>
    </w:p>
    <w:p w:rsidR="003E6588" w:rsidRDefault="003E6588">
      <w:pPr>
        <w:ind w:firstLine="1134"/>
        <w:jc w:val="both"/>
        <w:rPr>
          <w:b/>
        </w:rPr>
      </w:pPr>
      <w:r>
        <w:rPr>
          <w:b/>
        </w:rPr>
        <w:t>Atendimento ao Público</w:t>
      </w:r>
    </w:p>
    <w:p w:rsidR="003E6588" w:rsidRDefault="003E6588">
      <w:pPr>
        <w:jc w:val="both"/>
        <w:rPr>
          <w:b/>
        </w:rPr>
      </w:pPr>
    </w:p>
    <w:p w:rsidR="003E6588" w:rsidRDefault="003E6588">
      <w:pPr>
        <w:ind w:firstLine="1134"/>
        <w:jc w:val="both"/>
        <w:rPr>
          <w:b/>
        </w:rPr>
      </w:pPr>
      <w:r>
        <w:rPr>
          <w:b/>
        </w:rPr>
        <w:t>Balanço das Ações do Atendimento e CADESP - Cadastro de Contribuintes de ICMS</w:t>
      </w:r>
    </w:p>
    <w:p w:rsidR="003E6588" w:rsidRDefault="003E6588">
      <w:pPr>
        <w:ind w:firstLine="1134"/>
        <w:jc w:val="both"/>
        <w:rPr>
          <w:b/>
        </w:rPr>
      </w:pPr>
    </w:p>
    <w:p w:rsidR="003E6588" w:rsidRDefault="003E6588">
      <w:pPr>
        <w:ind w:firstLine="1134"/>
        <w:jc w:val="both"/>
      </w:pPr>
      <w:r>
        <w:rPr>
          <w:b/>
        </w:rPr>
        <w:t>Contínuo aprimoramento do Sistema de Gestão do Atendimento Presencial - SGA -</w:t>
      </w:r>
      <w:r>
        <w:t xml:space="preserve"> Implantação de totens para emissão de senhas em 43 unidades de atendimento, extensão do contrato e treinamento dos atendentes, no modelo multisserviços, e dos chefes de postos, na operação do sistema.</w:t>
      </w:r>
    </w:p>
    <w:p w:rsidR="003E6588" w:rsidRDefault="003E6588">
      <w:pPr>
        <w:ind w:firstLine="1134"/>
        <w:jc w:val="both"/>
      </w:pPr>
    </w:p>
    <w:p w:rsidR="003E6588" w:rsidRDefault="003E6588">
      <w:pPr>
        <w:ind w:firstLine="1134"/>
        <w:jc w:val="both"/>
      </w:pPr>
      <w:r>
        <w:rPr>
          <w:b/>
        </w:rPr>
        <w:t>Gestão dos funcionários do CRM - Central de Relacionamento Multimídia -</w:t>
      </w:r>
      <w:r>
        <w:t xml:space="preserve"> Renovação do contrato de empresa terceirizada (0800 e Fale Conosco), AUDAC. Empresa constantemente monitorada.</w:t>
      </w:r>
    </w:p>
    <w:p w:rsidR="003E6588" w:rsidRDefault="003E6588">
      <w:pPr>
        <w:ind w:firstLine="1134"/>
        <w:jc w:val="both"/>
      </w:pPr>
    </w:p>
    <w:p w:rsidR="003E6588" w:rsidRDefault="003E6588">
      <w:pPr>
        <w:ind w:firstLine="1134"/>
        <w:jc w:val="both"/>
      </w:pPr>
      <w:r>
        <w:rPr>
          <w:b/>
        </w:rPr>
        <w:t>Política do Atendimento -</w:t>
      </w:r>
      <w:r>
        <w:t xml:space="preserve"> Publicadas as Resoluções SF nº 45/2014 (que formaliza as atribuições da Área Gestora do Atendimento, dos Provedores de Serviços e demais áreas da Estrutura Básica, traz definições acerca dos canais e baliza os princípios e diretrizes do relacionamento da SEFAZ com seu público) e SF nº 46/2014 (que atribui à DEAT a gestão do atendimento aos usuários dos serviços de todas as áreas da SEFAZ).</w:t>
      </w:r>
    </w:p>
    <w:p w:rsidR="00867FCF" w:rsidRDefault="00867FCF">
      <w:pPr>
        <w:ind w:firstLine="1134"/>
        <w:jc w:val="both"/>
      </w:pPr>
    </w:p>
    <w:p w:rsidR="003E6588" w:rsidRDefault="003E6588">
      <w:pPr>
        <w:ind w:firstLine="1134"/>
        <w:jc w:val="both"/>
      </w:pPr>
      <w:r>
        <w:rPr>
          <w:b/>
        </w:rPr>
        <w:lastRenderedPageBreak/>
        <w:t>Abono por Satisfação do Usuário - ASU -</w:t>
      </w:r>
      <w:r>
        <w:t xml:space="preserve"> Resolução SF nº 40/2014, com novo processo seletivo e acompanhamento da avaliação trimestral.</w:t>
      </w:r>
    </w:p>
    <w:p w:rsidR="003E6588" w:rsidRDefault="003E6588">
      <w:pPr>
        <w:ind w:firstLine="1134"/>
        <w:jc w:val="both"/>
      </w:pPr>
    </w:p>
    <w:p w:rsidR="003E6588" w:rsidRDefault="003E6588">
      <w:pPr>
        <w:ind w:firstLine="1134"/>
        <w:jc w:val="both"/>
      </w:pPr>
      <w:r>
        <w:t>Apoio e acompanhamento para realização da terceira pesquisa de satisfação do usuário pela FIPE.</w:t>
      </w:r>
    </w:p>
    <w:p w:rsidR="003E6588" w:rsidRDefault="003E6588">
      <w:pPr>
        <w:ind w:firstLine="1134"/>
        <w:jc w:val="both"/>
      </w:pPr>
    </w:p>
    <w:p w:rsidR="003E6588" w:rsidRDefault="003E6588">
      <w:pPr>
        <w:ind w:firstLine="1134"/>
        <w:jc w:val="both"/>
      </w:pPr>
      <w:r>
        <w:rPr>
          <w:b/>
        </w:rPr>
        <w:t>Cassação de empresas do Regime Periódico de Apuração por inatividade presumida -</w:t>
      </w:r>
      <w:r>
        <w:t xml:space="preserve"> Cassados 26.479 contribuintes.</w:t>
      </w:r>
    </w:p>
    <w:p w:rsidR="003E6588" w:rsidRDefault="003E6588">
      <w:pPr>
        <w:ind w:firstLine="1134"/>
        <w:jc w:val="both"/>
      </w:pPr>
    </w:p>
    <w:p w:rsidR="003E6588" w:rsidRDefault="003E6588">
      <w:pPr>
        <w:ind w:firstLine="1134"/>
        <w:jc w:val="both"/>
      </w:pPr>
      <w:r>
        <w:rPr>
          <w:b/>
        </w:rPr>
        <w:t xml:space="preserve">Nova Versão do aplicativo Coleta </w:t>
      </w:r>
      <w:r>
        <w:rPr>
          <w:b/>
          <w:i/>
        </w:rPr>
        <w:t>On</w:t>
      </w:r>
      <w:r w:rsidR="0003027C">
        <w:rPr>
          <w:b/>
          <w:i/>
        </w:rPr>
        <w:t xml:space="preserve"> </w:t>
      </w:r>
      <w:r>
        <w:rPr>
          <w:b/>
          <w:i/>
        </w:rPr>
        <w:t>line</w:t>
      </w:r>
      <w:r>
        <w:rPr>
          <w:b/>
        </w:rPr>
        <w:t xml:space="preserve"> (</w:t>
      </w:r>
      <w:r>
        <w:rPr>
          <w:b/>
          <w:i/>
        </w:rPr>
        <w:t>Web</w:t>
      </w:r>
      <w:r>
        <w:rPr>
          <w:b/>
        </w:rPr>
        <w:t>) -</w:t>
      </w:r>
      <w:r>
        <w:t xml:space="preserve"> Desenvolvimento de nova versão, em conjunto com a Receita Federal do Brasil - RFB, com a introdução da nova versão da Tabela de CNAE versão 2.2.</w:t>
      </w:r>
    </w:p>
    <w:p w:rsidR="003E6588" w:rsidRDefault="003E6588">
      <w:pPr>
        <w:jc w:val="both"/>
      </w:pPr>
    </w:p>
    <w:p w:rsidR="003E6588" w:rsidRDefault="003E6588">
      <w:pPr>
        <w:ind w:firstLine="1134"/>
        <w:jc w:val="both"/>
      </w:pPr>
      <w:r>
        <w:rPr>
          <w:b/>
        </w:rPr>
        <w:t xml:space="preserve">Resultados do Atendimento SEFAZ - </w:t>
      </w:r>
      <w:r>
        <w:t>A avaliação geral dos usuários do serviço prestado presencialmente, registrada através do Sistema de Gestão do Atendimento, SGA, teve nota média de 3,95, numa escala de 0 a 4, o que representa manutenção da excelência no atendimento.</w:t>
      </w:r>
    </w:p>
    <w:p w:rsidR="003E6588" w:rsidRDefault="003E6588">
      <w:pPr>
        <w:ind w:firstLine="1134"/>
        <w:jc w:val="both"/>
      </w:pPr>
    </w:p>
    <w:p w:rsidR="003E6588" w:rsidRDefault="003E6588">
      <w:pPr>
        <w:ind w:firstLine="1134"/>
        <w:jc w:val="both"/>
      </w:pPr>
      <w:r>
        <w:t>Nos diversos canais de relacionamento, alcançou o volume de 4.154.509 atendimentos.</w:t>
      </w:r>
    </w:p>
    <w:p w:rsidR="003E6588" w:rsidRDefault="003E6588">
      <w:pPr>
        <w:ind w:firstLine="1134"/>
        <w:jc w:val="both"/>
        <w:rPr>
          <w:strike/>
          <w:highlight w:val="yellow"/>
        </w:rPr>
      </w:pPr>
    </w:p>
    <w:p w:rsidR="003E6588" w:rsidRDefault="003E6588">
      <w:pPr>
        <w:ind w:firstLine="1134"/>
        <w:jc w:val="both"/>
      </w:pPr>
      <w:r>
        <w:rPr>
          <w:b/>
        </w:rPr>
        <w:t xml:space="preserve">Programa de Melhoria do Atendimento - </w:t>
      </w:r>
      <w:r>
        <w:t>Os projetos que integram o Programa de Melhoria do Atendimento avançaram do seguinte modo:</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Central de Multisserviços -</w:t>
      </w:r>
      <w:r>
        <w:rPr>
          <w:rFonts w:ascii="Times New Roman" w:hAnsi="Times New Roman"/>
          <w:sz w:val="24"/>
          <w:szCs w:val="24"/>
        </w:rPr>
        <w:t xml:space="preserve"> O programa de capacitação dos atendentes, iniciado em 2013 e executado durante todo o ano de 2014, está sendo feito por meio de cursos EAD - Ensino a Distância, para temas técnicos, e de cursos presenciais, para temas comportamentais.</w:t>
      </w:r>
    </w:p>
    <w:p w:rsidR="003E6588" w:rsidRDefault="003E6588">
      <w:pPr>
        <w:pStyle w:val="PargrafodaLista"/>
        <w:ind w:left="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Guia do Usuário Fase 2 -</w:t>
      </w:r>
      <w:r>
        <w:rPr>
          <w:rFonts w:ascii="Times New Roman" w:hAnsi="Times New Roman"/>
          <w:sz w:val="24"/>
          <w:szCs w:val="24"/>
        </w:rPr>
        <w:t xml:space="preserve"> A Fase 2 ampliou o rol de serviços descritos, além da revisão dos já mapeados, com inclusão de novas informações.</w:t>
      </w:r>
    </w:p>
    <w:p w:rsidR="003E6588" w:rsidRDefault="003E6588">
      <w:pPr>
        <w:pStyle w:val="PargrafodaLista"/>
        <w:ind w:left="0"/>
        <w:rPr>
          <w:rFonts w:ascii="Times New Roman" w:hAnsi="Times New Roman"/>
          <w:sz w:val="24"/>
          <w:szCs w:val="24"/>
        </w:rPr>
      </w:pPr>
    </w:p>
    <w:p w:rsidR="003E6588" w:rsidRDefault="003E6588">
      <w:pPr>
        <w:ind w:firstLine="1134"/>
        <w:jc w:val="both"/>
        <w:rPr>
          <w:lang w:val="pt-PT"/>
        </w:rPr>
      </w:pPr>
      <w:r>
        <w:rPr>
          <w:b/>
        </w:rPr>
        <w:t xml:space="preserve">Balanço dos atendimentos - </w:t>
      </w:r>
      <w:r>
        <w:rPr>
          <w:lang w:val="pt-PT"/>
        </w:rPr>
        <w:t xml:space="preserve">Foram atendidos 9.685 usuários do serviço público na Ouvidoria Fazendária. Os contatos foram por telefone, por carta, por </w:t>
      </w:r>
      <w:r>
        <w:rPr>
          <w:i/>
          <w:lang w:val="pt-PT"/>
        </w:rPr>
        <w:t>fax</w:t>
      </w:r>
      <w:r>
        <w:rPr>
          <w:lang w:val="pt-PT"/>
        </w:rPr>
        <w:t xml:space="preserve">, pela </w:t>
      </w:r>
      <w:r>
        <w:rPr>
          <w:i/>
          <w:lang w:val="pt-PT"/>
        </w:rPr>
        <w:t>internet</w:t>
      </w:r>
      <w:r>
        <w:rPr>
          <w:lang w:val="pt-PT"/>
        </w:rPr>
        <w:t xml:space="preserve"> e presencial.</w:t>
      </w:r>
    </w:p>
    <w:p w:rsidR="003E6588" w:rsidRDefault="003E6588">
      <w:pPr>
        <w:ind w:firstLine="1134"/>
        <w:jc w:val="both"/>
        <w:rPr>
          <w:lang w:val="pt-PT"/>
        </w:rPr>
      </w:pPr>
    </w:p>
    <w:p w:rsidR="003E6588" w:rsidRDefault="003E6588">
      <w:pPr>
        <w:ind w:firstLine="1134"/>
        <w:jc w:val="both"/>
        <w:rPr>
          <w:lang w:val="pt-PT"/>
        </w:rPr>
      </w:pPr>
      <w:r>
        <w:rPr>
          <w:lang w:val="pt-PT"/>
        </w:rPr>
        <w:t>O Serviço de Informações ao Cidadão da Secretaria da Fazenda recebeu 488 pedidos de informações.</w:t>
      </w:r>
    </w:p>
    <w:p w:rsidR="003E6588" w:rsidRDefault="003E6588">
      <w:pPr>
        <w:ind w:left="1134"/>
        <w:jc w:val="both"/>
        <w:rPr>
          <w:b/>
        </w:rPr>
      </w:pPr>
    </w:p>
    <w:p w:rsidR="003E6588" w:rsidRDefault="003E6588">
      <w:pPr>
        <w:ind w:firstLine="1134"/>
        <w:jc w:val="both"/>
        <w:rPr>
          <w:lang w:val="pt-PT"/>
        </w:rPr>
      </w:pPr>
      <w:r>
        <w:rPr>
          <w:b/>
        </w:rPr>
        <w:t xml:space="preserve">Fiscalização - </w:t>
      </w:r>
      <w:r>
        <w:rPr>
          <w:lang w:val="pt-PT"/>
        </w:rPr>
        <w:t>Em termos de trabalhos fiscais da Fiscalização Direta de Tributos, destacamos:</w:t>
      </w:r>
    </w:p>
    <w:p w:rsidR="003E6588" w:rsidRDefault="003E6588">
      <w:pPr>
        <w:tabs>
          <w:tab w:val="num" w:pos="1657"/>
        </w:tabs>
        <w:ind w:firstLine="1134"/>
        <w:jc w:val="both"/>
        <w:rPr>
          <w:lang w:val="pt-PT"/>
        </w:rPr>
      </w:pPr>
    </w:p>
    <w:p w:rsidR="003E6588" w:rsidRDefault="003E6588">
      <w:pPr>
        <w:pStyle w:val="PargrafodaLista"/>
        <w:ind w:left="0" w:firstLine="1134"/>
        <w:rPr>
          <w:rFonts w:ascii="Times New Roman" w:hAnsi="Times New Roman"/>
          <w:sz w:val="24"/>
          <w:szCs w:val="24"/>
          <w:lang w:val="pt-PT"/>
        </w:rPr>
      </w:pPr>
      <w:r>
        <w:rPr>
          <w:rFonts w:ascii="Times New Roman" w:hAnsi="Times New Roman"/>
          <w:sz w:val="24"/>
          <w:szCs w:val="24"/>
          <w:lang w:val="pt-PT"/>
        </w:rPr>
        <w:t>Conclusão de 6.000 auditorias;</w:t>
      </w:r>
    </w:p>
    <w:p w:rsidR="003E6588" w:rsidRDefault="003E6588">
      <w:pPr>
        <w:pStyle w:val="PargrafodaLista"/>
        <w:ind w:left="0" w:firstLine="1134"/>
        <w:rPr>
          <w:rFonts w:ascii="Times New Roman" w:hAnsi="Times New Roman"/>
          <w:sz w:val="24"/>
          <w:szCs w:val="24"/>
          <w:lang w:val="pt-PT"/>
        </w:rPr>
      </w:pPr>
    </w:p>
    <w:p w:rsidR="003E6588" w:rsidRDefault="003E6588">
      <w:pPr>
        <w:pStyle w:val="PargrafodaLista"/>
        <w:ind w:left="0" w:firstLine="1134"/>
        <w:rPr>
          <w:rFonts w:ascii="Times New Roman" w:hAnsi="Times New Roman"/>
          <w:sz w:val="24"/>
          <w:szCs w:val="24"/>
          <w:lang w:val="pt-PT"/>
        </w:rPr>
      </w:pPr>
      <w:r>
        <w:rPr>
          <w:rFonts w:ascii="Times New Roman" w:hAnsi="Times New Roman"/>
          <w:sz w:val="24"/>
          <w:szCs w:val="24"/>
          <w:lang w:val="pt-PT"/>
        </w:rPr>
        <w:t xml:space="preserve">Emissão de 122 mil Ordens de Serviços Fiscais </w:t>
      </w:r>
      <w:r w:rsidR="00867FCF">
        <w:rPr>
          <w:rFonts w:ascii="Times New Roman" w:hAnsi="Times New Roman"/>
          <w:sz w:val="24"/>
          <w:szCs w:val="24"/>
          <w:lang w:val="pt-PT"/>
        </w:rPr>
        <w:t xml:space="preserve">- </w:t>
      </w:r>
      <w:r>
        <w:rPr>
          <w:rFonts w:ascii="Times New Roman" w:hAnsi="Times New Roman"/>
          <w:sz w:val="24"/>
          <w:szCs w:val="24"/>
          <w:lang w:val="pt-PT"/>
        </w:rPr>
        <w:t>OSF; e</w:t>
      </w:r>
    </w:p>
    <w:p w:rsidR="003E6588" w:rsidRDefault="003E6588">
      <w:pPr>
        <w:pStyle w:val="PargrafodaLista"/>
        <w:ind w:left="0" w:firstLine="1134"/>
        <w:rPr>
          <w:rFonts w:ascii="Times New Roman" w:hAnsi="Times New Roman"/>
          <w:sz w:val="24"/>
          <w:szCs w:val="24"/>
          <w:lang w:val="pt-PT"/>
        </w:rPr>
      </w:pPr>
    </w:p>
    <w:p w:rsidR="003E6588" w:rsidRDefault="003E6588">
      <w:pPr>
        <w:pStyle w:val="PargrafodaLista"/>
        <w:ind w:left="0" w:firstLine="1134"/>
        <w:rPr>
          <w:rFonts w:ascii="Times New Roman" w:hAnsi="Times New Roman"/>
          <w:sz w:val="24"/>
          <w:szCs w:val="24"/>
          <w:lang w:val="pt-PT"/>
        </w:rPr>
      </w:pPr>
      <w:r>
        <w:rPr>
          <w:rFonts w:ascii="Times New Roman" w:hAnsi="Times New Roman"/>
          <w:sz w:val="24"/>
          <w:szCs w:val="24"/>
          <w:lang w:val="pt-PT"/>
        </w:rPr>
        <w:lastRenderedPageBreak/>
        <w:t xml:space="preserve">Lavratura de 17 mil Autos de Infração e de Imposição de Multa </w:t>
      </w:r>
      <w:r w:rsidR="00867FCF">
        <w:rPr>
          <w:rFonts w:ascii="Times New Roman" w:hAnsi="Times New Roman"/>
          <w:sz w:val="24"/>
          <w:szCs w:val="24"/>
          <w:lang w:val="pt-PT"/>
        </w:rPr>
        <w:t xml:space="preserve">- </w:t>
      </w:r>
      <w:r>
        <w:rPr>
          <w:rFonts w:ascii="Times New Roman" w:hAnsi="Times New Roman"/>
          <w:sz w:val="24"/>
          <w:szCs w:val="24"/>
          <w:lang w:val="pt-PT"/>
        </w:rPr>
        <w:t>AIIM, resultando valor de R$ 29 bilhões entre imposto, juros e multa.</w:t>
      </w:r>
    </w:p>
    <w:p w:rsidR="00867FCF" w:rsidRDefault="00867FCF">
      <w:pPr>
        <w:pStyle w:val="PargrafodaLista"/>
        <w:ind w:left="0" w:firstLine="1134"/>
        <w:rPr>
          <w:rFonts w:ascii="Times New Roman" w:hAnsi="Times New Roman"/>
          <w:sz w:val="24"/>
          <w:szCs w:val="24"/>
          <w:lang w:val="pt-PT"/>
        </w:rPr>
      </w:pPr>
    </w:p>
    <w:p w:rsidR="003E6588" w:rsidRDefault="003E6588">
      <w:pPr>
        <w:ind w:firstLine="1134"/>
        <w:jc w:val="both"/>
      </w:pPr>
      <w:r>
        <w:t>Foi desenvolvido o Plano de Trabalho Arrecadação Ações Imediatas, que visa à implementação de ações de efeito imediato com a finalidade de incrementar a receita tributária.</w:t>
      </w:r>
    </w:p>
    <w:p w:rsidR="003E6588" w:rsidRDefault="003E6588">
      <w:pPr>
        <w:pStyle w:val="PargrafodaLista"/>
        <w:ind w:left="420"/>
        <w:rPr>
          <w:rFonts w:ascii="Times New Roman" w:hAnsi="Times New Roman"/>
          <w:b/>
          <w:vanish/>
          <w:sz w:val="24"/>
          <w:szCs w:val="24"/>
        </w:rPr>
      </w:pPr>
    </w:p>
    <w:p w:rsidR="003E6588" w:rsidRDefault="003E6588">
      <w:pPr>
        <w:ind w:firstLine="1134"/>
        <w:jc w:val="both"/>
        <w:rPr>
          <w:color w:val="000000"/>
        </w:rPr>
      </w:pPr>
      <w:r>
        <w:rPr>
          <w:b/>
        </w:rPr>
        <w:t xml:space="preserve">Imposto sobre Propriedade de Veículos Automotivos </w:t>
      </w:r>
      <w:r w:rsidR="00867FCF">
        <w:rPr>
          <w:b/>
        </w:rPr>
        <w:t>-</w:t>
      </w:r>
      <w:r>
        <w:rPr>
          <w:b/>
        </w:rPr>
        <w:t xml:space="preserve"> IPVA - </w:t>
      </w:r>
      <w:r>
        <w:rPr>
          <w:color w:val="000000"/>
        </w:rPr>
        <w:t>Racionalização da cobrança administrativa do IPVA vencido. Foi constituído o crédito tributário referente a 3,4 milhões de débitos do próprio exercício, no valor total de R$ 2,2 bilhões, tendo sido arrecadados 917.797 débitos e R$ 768,08 milhões.</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strike/>
          <w:color w:val="000000"/>
          <w:sz w:val="24"/>
          <w:szCs w:val="24"/>
        </w:rPr>
      </w:pPr>
      <w:r>
        <w:rPr>
          <w:rFonts w:ascii="Times New Roman" w:hAnsi="Times New Roman"/>
          <w:color w:val="000000"/>
          <w:sz w:val="24"/>
          <w:szCs w:val="24"/>
        </w:rPr>
        <w:t>Negociação para ajuste de conduta das empresas locadoras de veículos que trabalham com empresas empreiteiras de manutenção de rede de telefonia e televisão por assinatura, resultando na aquisição de veículos por estabelecimentos deste Estado, com o consequente incremento na arrecadação do ICMS e do IPVA.</w:t>
      </w:r>
    </w:p>
    <w:p w:rsidR="003E6588" w:rsidRDefault="003E6588">
      <w:pPr>
        <w:pStyle w:val="PargrafodaLista"/>
        <w:ind w:left="0"/>
        <w:rPr>
          <w:rFonts w:ascii="Times New Roman" w:hAnsi="Times New Roman"/>
          <w:strike/>
          <w:color w:val="000000"/>
          <w:sz w:val="24"/>
          <w:szCs w:val="24"/>
        </w:rPr>
      </w:pPr>
    </w:p>
    <w:p w:rsidR="003E6588" w:rsidRDefault="003E6588">
      <w:pPr>
        <w:ind w:firstLine="1134"/>
        <w:jc w:val="both"/>
        <w:rPr>
          <w:color w:val="000000"/>
        </w:rPr>
      </w:pPr>
      <w:r>
        <w:rPr>
          <w:b/>
          <w:color w:val="000000"/>
        </w:rPr>
        <w:t>Imposto sobre Transmissão Causa Mortis e Doação</w:t>
      </w:r>
      <w:r>
        <w:rPr>
          <w:color w:val="000000"/>
        </w:rPr>
        <w:t xml:space="preserve"> - Foram elaborados dois planos de trabalho a respeito:</w:t>
      </w:r>
    </w:p>
    <w:p w:rsidR="003E6588" w:rsidRDefault="003E6588">
      <w:pPr>
        <w:ind w:firstLine="1134"/>
        <w:jc w:val="both"/>
        <w:rPr>
          <w:color w:val="000000"/>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 xml:space="preserve">PT ITCMD 2014 - anos 2009 e 2010 - </w:t>
      </w:r>
      <w:r>
        <w:rPr>
          <w:rFonts w:ascii="Times New Roman" w:hAnsi="Times New Roman"/>
          <w:color w:val="000000"/>
          <w:sz w:val="24"/>
          <w:szCs w:val="24"/>
        </w:rPr>
        <w:t>Será fiscalizado rol de contribuintes que apresentaram as maiores diferenças entre os valores de GARES-ITCMD, constantes nas bases de dados da SEFAZ, e os valores declarados como transferências patrimoniais recebidas que, em tese e eventualmente, poderiam corresponder a fatos geradores do ITCMD.</w:t>
      </w:r>
    </w:p>
    <w:p w:rsidR="003E6588" w:rsidRDefault="003E6588">
      <w:pPr>
        <w:pStyle w:val="PargrafodaLista"/>
        <w:ind w:left="0" w:firstLine="1134"/>
        <w:rPr>
          <w:rFonts w:ascii="Times New Roman" w:hAnsi="Times New Roman"/>
          <w:b/>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PT ITCMD 2014 - Cartórios -</w:t>
      </w:r>
      <w:r>
        <w:rPr>
          <w:rFonts w:ascii="Times New Roman" w:hAnsi="Times New Roman"/>
          <w:color w:val="000000"/>
          <w:sz w:val="24"/>
          <w:szCs w:val="24"/>
        </w:rPr>
        <w:t xml:space="preserve"> Com foco nos imóveis rurais, as Delegacias Regionais Tributárias, DRT(C)s, verificaram a base do ITCMD declarada e seu recolhimento, tendo como referência as escrituras públicas de transmissão de bens, lavradas por cartórios de notas paulistas e encaminhadas à SEFAZ por meio de sistema eletrônico.</w:t>
      </w:r>
    </w:p>
    <w:p w:rsidR="003E6588" w:rsidRDefault="003E6588">
      <w:pPr>
        <w:pStyle w:val="PargrafodaLista"/>
        <w:ind w:left="0"/>
        <w:rPr>
          <w:rFonts w:ascii="Times New Roman" w:hAnsi="Times New Roman"/>
          <w:color w:val="000000"/>
          <w:sz w:val="24"/>
          <w:szCs w:val="24"/>
        </w:rPr>
      </w:pPr>
    </w:p>
    <w:p w:rsidR="003E6588" w:rsidRDefault="003E6588">
      <w:pPr>
        <w:ind w:firstLine="1134"/>
        <w:jc w:val="both"/>
        <w:rPr>
          <w:color w:val="000000"/>
        </w:rPr>
      </w:pPr>
      <w:r>
        <w:rPr>
          <w:b/>
          <w:color w:val="000000"/>
        </w:rPr>
        <w:t xml:space="preserve">Combustíveis e </w:t>
      </w:r>
      <w:r>
        <w:rPr>
          <w:b/>
        </w:rPr>
        <w:t xml:space="preserve">Sucroenergéticos - </w:t>
      </w:r>
      <w:r>
        <w:rPr>
          <w:color w:val="000000"/>
        </w:rPr>
        <w:t xml:space="preserve">Estruturação da Fiscalização de Receitas de </w:t>
      </w:r>
      <w:r>
        <w:rPr>
          <w:i/>
          <w:color w:val="000000"/>
        </w:rPr>
        <w:t>Royalties</w:t>
      </w:r>
      <w:r>
        <w:rPr>
          <w:color w:val="000000"/>
        </w:rPr>
        <w:t xml:space="preserve"> do Petróleo, com o desenvolvimento dos trabalhos da consultoria da Fundação Instituto de Pesquisas Econômicas - FIPE, elaboração de minuta de projeto de lei que disciplina a competência de fiscalização pelos agentes do fisco paulista e elaboração dos roteiros de fiscalização das receitas não tributárias (participações governamentais).</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Conclusão da minuta de alteração do Regulamento de ICMS, na seção que trata das operações com mercadorias destinadas à fabricação de açúcar, álcool, melaço ou à geração de energia a partir da biomassa (artigos 345 e seguintes) e no Anexo X, que trata das obrigações acessórias dos agentes econômicos do setor sucroenergético.</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Implementação do Preço Médio Ponderado Final - PMPF como base de cálculo dos combustíveis carburantes (diesel, gasolina, etanol hidratado), com ganhos expressivos de arrecadação.</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lastRenderedPageBreak/>
        <w:t>Cassação de Inscrições Estaduais de nove distribuidoras de combustíveis, por irregularidades na composição de quadro societário, impedindo a continuidade da sonegação de impostos pela saída dessas distribuidoras do mercado, restando 64 distribuidoras ativas.</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Operação de Olho na Bomba -</w:t>
      </w:r>
      <w:r>
        <w:rPr>
          <w:rFonts w:ascii="Times New Roman" w:hAnsi="Times New Roman"/>
          <w:color w:val="000000"/>
          <w:sz w:val="24"/>
          <w:szCs w:val="24"/>
        </w:rPr>
        <w:t xml:space="preserve"> Foram realizadas 1.830 fiscalizações em postos de combustíveis no Estado, resultando em 46 postos de combustíveis cassados; o índice de desconformidade no período caiu para 2,25 %.</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Operação de Olho no Preço do Combustível -</w:t>
      </w:r>
      <w:r>
        <w:rPr>
          <w:rFonts w:ascii="Times New Roman" w:hAnsi="Times New Roman"/>
          <w:color w:val="000000"/>
          <w:sz w:val="24"/>
          <w:szCs w:val="24"/>
        </w:rPr>
        <w:t xml:space="preserve"> Executada para apurar o Preço Médio Ponderado Final - PMPF, praticado no mercado de cada combustível; foi realizada pesquisa dos preços praticados em todos os 8.463 postos revendedores ativos de combustíveis automotivos.</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Operação Chimarrão -</w:t>
      </w:r>
      <w:r>
        <w:rPr>
          <w:rFonts w:ascii="Times New Roman" w:hAnsi="Times New Roman"/>
          <w:color w:val="000000"/>
          <w:sz w:val="24"/>
          <w:szCs w:val="24"/>
        </w:rPr>
        <w:t xml:space="preserve"> Verificação da efetividade de operações interestaduais, praticadas com produtos aptos a formular e adulterar combustíveis, envolvendo empresa localizada no Estado do Rio Grande do Sul.</w:t>
      </w:r>
    </w:p>
    <w:p w:rsidR="003E6588" w:rsidRDefault="003E6588">
      <w:pPr>
        <w:pStyle w:val="PargrafodaLista"/>
        <w:ind w:left="0"/>
        <w:rPr>
          <w:rFonts w:ascii="Times New Roman" w:hAnsi="Times New Roman"/>
          <w:color w:val="000000"/>
          <w:sz w:val="24"/>
          <w:szCs w:val="24"/>
        </w:rPr>
      </w:pPr>
    </w:p>
    <w:p w:rsidR="003E6588" w:rsidRDefault="003E6588">
      <w:pPr>
        <w:ind w:firstLine="1134"/>
        <w:jc w:val="both"/>
        <w:rPr>
          <w:b/>
          <w:color w:val="000000"/>
        </w:rPr>
      </w:pPr>
      <w:r>
        <w:rPr>
          <w:b/>
          <w:color w:val="000000"/>
        </w:rPr>
        <w:t>Comércio Exterior</w:t>
      </w:r>
    </w:p>
    <w:p w:rsidR="003E6588" w:rsidRDefault="003E6588">
      <w:pPr>
        <w:ind w:firstLine="1134"/>
        <w:jc w:val="both"/>
        <w:rPr>
          <w:color w:val="000000"/>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Plano de Trabalho Comércio Exterior 2014 -</w:t>
      </w:r>
      <w:r>
        <w:rPr>
          <w:rFonts w:ascii="Times New Roman" w:hAnsi="Times New Roman"/>
          <w:color w:val="000000"/>
          <w:sz w:val="24"/>
          <w:szCs w:val="24"/>
        </w:rPr>
        <w:t xml:space="preserve"> Elaboração de Plano de Trabalho para fiscalização de contribuintes que realizaram operações de importação ou exportação, visando especialmente a reclamação do crédito tributário devido na importação e na simulação de operações de exportação.</w:t>
      </w:r>
    </w:p>
    <w:p w:rsidR="00867FCF" w:rsidRDefault="00867FCF">
      <w:pPr>
        <w:pStyle w:val="PargrafodaLista"/>
        <w:ind w:left="0" w:firstLine="1134"/>
        <w:rPr>
          <w:rFonts w:ascii="Times New Roman" w:hAnsi="Times New Roman"/>
          <w:color w:val="000000"/>
          <w:sz w:val="24"/>
          <w:szCs w:val="24"/>
        </w:rPr>
      </w:pPr>
    </w:p>
    <w:p w:rsidR="003E6588" w:rsidRDefault="003E6588">
      <w:pPr>
        <w:ind w:firstLine="1134"/>
        <w:jc w:val="both"/>
        <w:rPr>
          <w:b/>
          <w:color w:val="000000"/>
        </w:rPr>
      </w:pPr>
      <w:r>
        <w:rPr>
          <w:b/>
          <w:color w:val="000000"/>
        </w:rPr>
        <w:t>Alimentos e</w:t>
      </w:r>
      <w:r>
        <w:rPr>
          <w:color w:val="000000"/>
        </w:rPr>
        <w:t xml:space="preserve"> </w:t>
      </w:r>
      <w:r>
        <w:rPr>
          <w:b/>
          <w:color w:val="000000"/>
        </w:rPr>
        <w:t>Bebidas</w:t>
      </w:r>
    </w:p>
    <w:p w:rsidR="003E6588" w:rsidRDefault="003E6588">
      <w:pPr>
        <w:ind w:firstLine="1134"/>
        <w:jc w:val="both"/>
        <w:rPr>
          <w:color w:val="000000"/>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 xml:space="preserve">Operação </w:t>
      </w:r>
      <w:r>
        <w:rPr>
          <w:rFonts w:ascii="Times New Roman" w:hAnsi="Times New Roman"/>
          <w:b/>
          <w:i/>
          <w:color w:val="000000"/>
          <w:sz w:val="24"/>
          <w:szCs w:val="24"/>
        </w:rPr>
        <w:t xml:space="preserve">Yellow </w:t>
      </w:r>
      <w:r>
        <w:rPr>
          <w:rFonts w:ascii="Times New Roman" w:hAnsi="Times New Roman"/>
          <w:b/>
          <w:color w:val="000000"/>
          <w:sz w:val="24"/>
          <w:szCs w:val="24"/>
        </w:rPr>
        <w:t>-</w:t>
      </w:r>
      <w:r>
        <w:rPr>
          <w:rFonts w:ascii="Times New Roman" w:hAnsi="Times New Roman"/>
          <w:color w:val="000000"/>
          <w:sz w:val="24"/>
          <w:szCs w:val="24"/>
        </w:rPr>
        <w:t xml:space="preserve"> A operação no setor da soja; foi publicada no DOE a instauração de Procedimento Administrativo de Cassação das empresas envolvidas; foram lavrados os AIIMs referentes aos exercícios de 2009 a 2014.</w:t>
      </w:r>
    </w:p>
    <w:p w:rsidR="003E6588" w:rsidRDefault="003E6588">
      <w:pPr>
        <w:pStyle w:val="PargrafodaLista"/>
        <w:ind w:left="0" w:firstLine="1134"/>
        <w:rPr>
          <w:rFonts w:ascii="Times New Roman" w:hAnsi="Times New Roman"/>
          <w:b/>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Operação Concentrados, Operação Tampa de Alumínio e Operação Embalagem PET -</w:t>
      </w:r>
      <w:r>
        <w:rPr>
          <w:rFonts w:ascii="Times New Roman" w:hAnsi="Times New Roman"/>
          <w:color w:val="000000"/>
          <w:sz w:val="24"/>
          <w:szCs w:val="24"/>
        </w:rPr>
        <w:t xml:space="preserve"> Foram feitas verificações fiscais em contribuintes paulistas, destinatários de operações originadas no Estado do Amazonas por contribuintes que usufruíam de benefício fiscal, concedido por aquela unidade da federação, nas operações interestaduais envolvendo - respectivamente - os produtos “preparações utilizadas para elaboração de bebidas”, “Tampa de Alumínio” e “Embalagem PET”.</w:t>
      </w:r>
    </w:p>
    <w:p w:rsidR="003E6588" w:rsidRDefault="003E6588">
      <w:pPr>
        <w:pStyle w:val="PargrafodaLista"/>
        <w:ind w:left="1134"/>
        <w:rPr>
          <w:rFonts w:ascii="Times New Roman" w:hAnsi="Times New Roman"/>
          <w:color w:val="000000"/>
          <w:sz w:val="24"/>
          <w:szCs w:val="24"/>
        </w:rPr>
      </w:pPr>
    </w:p>
    <w:p w:rsidR="003E6588" w:rsidRDefault="003E6588">
      <w:pPr>
        <w:ind w:firstLine="1134"/>
        <w:jc w:val="both"/>
        <w:rPr>
          <w:b/>
          <w:color w:val="000000"/>
        </w:rPr>
      </w:pPr>
      <w:r>
        <w:rPr>
          <w:b/>
          <w:color w:val="000000"/>
        </w:rPr>
        <w:t>Redes de Estabelecimentos</w:t>
      </w:r>
    </w:p>
    <w:p w:rsidR="003E6588" w:rsidRDefault="003E6588">
      <w:pPr>
        <w:ind w:firstLine="1134"/>
        <w:jc w:val="both"/>
        <w:rPr>
          <w:color w:val="000000"/>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Operação Sentinela -</w:t>
      </w:r>
      <w:r>
        <w:rPr>
          <w:rFonts w:ascii="Times New Roman" w:hAnsi="Times New Roman"/>
          <w:color w:val="000000"/>
          <w:sz w:val="24"/>
          <w:szCs w:val="24"/>
        </w:rPr>
        <w:t xml:space="preserve"> Foram desenvolvidas atividades junto a contribuintes que receberam mercadorias importadas em operações de entradas oriundas de estabelecimentos de empresa do ramo de eletrodomésticos sediados em Santa Catarina e escrituraram créditos não cobrados no Estado de origem por serem embasados em benefícios fiscais não previstos em Convênio aprovado pelo CONFAZ.</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lastRenderedPageBreak/>
        <w:t xml:space="preserve">PT </w:t>
      </w:r>
      <w:r>
        <w:rPr>
          <w:rFonts w:ascii="Times New Roman" w:hAnsi="Times New Roman"/>
          <w:b/>
          <w:i/>
          <w:color w:val="000000"/>
          <w:sz w:val="24"/>
          <w:szCs w:val="24"/>
        </w:rPr>
        <w:t>Food Flex</w:t>
      </w:r>
      <w:r>
        <w:rPr>
          <w:rFonts w:ascii="Times New Roman" w:hAnsi="Times New Roman"/>
          <w:b/>
          <w:color w:val="000000"/>
          <w:sz w:val="24"/>
          <w:szCs w:val="24"/>
        </w:rPr>
        <w:t xml:space="preserve"> -</w:t>
      </w:r>
      <w:r>
        <w:rPr>
          <w:rFonts w:ascii="Times New Roman" w:hAnsi="Times New Roman"/>
          <w:color w:val="000000"/>
          <w:sz w:val="24"/>
          <w:szCs w:val="24"/>
        </w:rPr>
        <w:t xml:space="preserve"> Atividades foram orientadas de maneira a identificar, no segmento de </w:t>
      </w:r>
      <w:r>
        <w:rPr>
          <w:rFonts w:ascii="Times New Roman" w:hAnsi="Times New Roman"/>
          <w:i/>
          <w:color w:val="000000"/>
          <w:sz w:val="24"/>
          <w:szCs w:val="24"/>
        </w:rPr>
        <w:t>fast food</w:t>
      </w:r>
      <w:r>
        <w:rPr>
          <w:rFonts w:ascii="Times New Roman" w:hAnsi="Times New Roman"/>
          <w:color w:val="000000"/>
          <w:sz w:val="24"/>
          <w:szCs w:val="24"/>
        </w:rPr>
        <w:t>, possível aplicação incorreta da legislação vigente, bem como possíveis práticas de sonegação e de evasão fiscais.</w:t>
      </w:r>
    </w:p>
    <w:p w:rsidR="003E6588" w:rsidRDefault="003E6588">
      <w:pPr>
        <w:jc w:val="both"/>
        <w:rPr>
          <w:b/>
          <w:color w:val="000000"/>
        </w:rPr>
      </w:pPr>
    </w:p>
    <w:p w:rsidR="003E6588" w:rsidRDefault="003E6588">
      <w:pPr>
        <w:ind w:firstLine="1134"/>
        <w:jc w:val="both"/>
        <w:rPr>
          <w:b/>
          <w:color w:val="000000"/>
        </w:rPr>
      </w:pPr>
      <w:r>
        <w:rPr>
          <w:b/>
          <w:color w:val="000000"/>
        </w:rPr>
        <w:t>Simples Nacional</w:t>
      </w:r>
    </w:p>
    <w:p w:rsidR="003E6588" w:rsidRDefault="003E6588">
      <w:pPr>
        <w:ind w:firstLine="1134"/>
        <w:jc w:val="both"/>
        <w:rPr>
          <w:color w:val="000000"/>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Fiscalização Alerta -</w:t>
      </w:r>
      <w:r>
        <w:rPr>
          <w:rFonts w:ascii="Times New Roman" w:hAnsi="Times New Roman"/>
          <w:color w:val="000000"/>
          <w:sz w:val="24"/>
          <w:szCs w:val="24"/>
        </w:rPr>
        <w:t xml:space="preserve"> Trabalho em conjunto com a Receita Federal do Brasil </w:t>
      </w:r>
      <w:r w:rsidR="00D21053">
        <w:rPr>
          <w:rFonts w:ascii="Times New Roman" w:hAnsi="Times New Roman"/>
          <w:color w:val="000000"/>
          <w:sz w:val="24"/>
          <w:szCs w:val="24"/>
        </w:rPr>
        <w:t>-</w:t>
      </w:r>
      <w:r>
        <w:rPr>
          <w:rFonts w:ascii="Times New Roman" w:hAnsi="Times New Roman"/>
          <w:color w:val="000000"/>
          <w:sz w:val="24"/>
          <w:szCs w:val="24"/>
        </w:rPr>
        <w:t xml:space="preserve"> RFB; foram enviados 8.933 avisos orientando os contribuintes sobre eventuais divergências entre os valores declarados e valores alcançados pelo cruzamento de informações entre a RFB e os fiscos estaduais e municipais, oportunizando a auto-regularização antes do início de procedimento de fiscalização; omissão de receita detectada totalizou R$ 2,6 bilhões, com potencial de arrecadação ICMS de R$ 64 milhões.</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Sistema Único de Fiscalização e Contencioso do Simples Nacional - Sefisc -</w:t>
      </w:r>
      <w:r>
        <w:rPr>
          <w:rFonts w:ascii="Times New Roman" w:hAnsi="Times New Roman"/>
          <w:color w:val="000000"/>
          <w:sz w:val="24"/>
          <w:szCs w:val="24"/>
        </w:rPr>
        <w:t xml:space="preserve"> As DRTs estão utilizando o Sefisc para a lavratura de AINF - Auto de Infração; 561 Agentes Fiscais de Renda, AFRs da Secretaria da Fazenda estão habilitados para uso do sistema.</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Cassação de empresas do Simples por Inatividade Presumida -</w:t>
      </w:r>
      <w:r>
        <w:rPr>
          <w:rFonts w:ascii="Times New Roman" w:hAnsi="Times New Roman"/>
          <w:color w:val="000000"/>
          <w:sz w:val="24"/>
          <w:szCs w:val="24"/>
        </w:rPr>
        <w:t xml:space="preserve"> Publicação da Portaria CAT nº 93/2013, que permitiu a suspensão de 39 mil empresas; os contribuintes suspensos têm prazo de 60 para regularização, sob pena de cassação da eficácia de sua inscrição estadual.</w:t>
      </w:r>
    </w:p>
    <w:p w:rsidR="003E6588" w:rsidRDefault="003E6588">
      <w:pPr>
        <w:pStyle w:val="PargrafodaLista"/>
        <w:ind w:left="0"/>
        <w:rPr>
          <w:rFonts w:ascii="Times New Roman" w:hAnsi="Times New Roman"/>
          <w:color w:val="000000"/>
          <w:sz w:val="24"/>
          <w:szCs w:val="24"/>
        </w:rPr>
      </w:pPr>
    </w:p>
    <w:p w:rsidR="003E6588" w:rsidRDefault="003E6588">
      <w:pPr>
        <w:ind w:left="1134"/>
        <w:jc w:val="both"/>
        <w:rPr>
          <w:lang w:val="pt-PT"/>
        </w:rPr>
      </w:pPr>
      <w:r>
        <w:rPr>
          <w:b/>
        </w:rPr>
        <w:t xml:space="preserve">Contencioso Administrativo - </w:t>
      </w:r>
      <w:r w:rsidR="00D21053">
        <w:rPr>
          <w:lang w:val="pt-PT"/>
        </w:rPr>
        <w:t>Processos encerrados</w:t>
      </w:r>
    </w:p>
    <w:p w:rsidR="003E6588" w:rsidRDefault="003E6588">
      <w:pPr>
        <w:pStyle w:val="PargrafodaLista"/>
        <w:ind w:left="1134"/>
        <w:rPr>
          <w:rFonts w:ascii="Times New Roman" w:hAnsi="Times New Roman"/>
          <w:sz w:val="24"/>
          <w:szCs w:val="24"/>
          <w:lang w:val="pt-PT"/>
        </w:rPr>
      </w:pPr>
    </w:p>
    <w:p w:rsidR="003E6588" w:rsidRDefault="00AD3B0F">
      <w:pPr>
        <w:rPr>
          <w:noProof/>
        </w:rPr>
      </w:pPr>
      <w:r>
        <w:rPr>
          <w:noProof/>
        </w:rPr>
        <w:drawing>
          <wp:inline distT="0" distB="0" distL="0" distR="0">
            <wp:extent cx="5124450" cy="733425"/>
            <wp:effectExtent l="19050" t="0" r="0" b="0"/>
            <wp:docPr id="16" name="Imagem 16" descr="cid:image001.png@01D01DDA.44F5CD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id:image001.png@01D01DDA.44F5CD60"/>
                    <pic:cNvPicPr>
                      <a:picLocks noChangeAspect="1" noChangeArrowheads="1"/>
                    </pic:cNvPicPr>
                  </pic:nvPicPr>
                  <pic:blipFill>
                    <a:blip r:embed="rId45" r:link="rId46" cstate="print"/>
                    <a:srcRect/>
                    <a:stretch>
                      <a:fillRect/>
                    </a:stretch>
                  </pic:blipFill>
                  <pic:spPr bwMode="auto">
                    <a:xfrm>
                      <a:off x="0" y="0"/>
                      <a:ext cx="5124450" cy="733425"/>
                    </a:xfrm>
                    <a:prstGeom prst="rect">
                      <a:avLst/>
                    </a:prstGeom>
                    <a:noFill/>
                    <a:ln w="9525">
                      <a:noFill/>
                      <a:miter lim="800000"/>
                      <a:headEnd/>
                      <a:tailEnd/>
                    </a:ln>
                  </pic:spPr>
                </pic:pic>
              </a:graphicData>
            </a:graphic>
          </wp:inline>
        </w:drawing>
      </w:r>
    </w:p>
    <w:p w:rsidR="003E6588" w:rsidRDefault="003E6588">
      <w:pPr>
        <w:ind w:firstLine="1134"/>
        <w:jc w:val="both"/>
        <w:rPr>
          <w:lang w:val="pt-PT"/>
        </w:rPr>
      </w:pPr>
    </w:p>
    <w:p w:rsidR="003E6588" w:rsidRDefault="003E6588">
      <w:pPr>
        <w:pStyle w:val="PargrafodaLista"/>
        <w:ind w:left="0" w:firstLine="1134"/>
        <w:rPr>
          <w:rFonts w:ascii="Times New Roman" w:hAnsi="Times New Roman"/>
          <w:sz w:val="24"/>
          <w:szCs w:val="24"/>
          <w:lang w:val="pt-PT"/>
        </w:rPr>
      </w:pPr>
      <w:r>
        <w:rPr>
          <w:rFonts w:ascii="Times New Roman" w:hAnsi="Times New Roman"/>
          <w:sz w:val="24"/>
          <w:szCs w:val="24"/>
          <w:lang w:val="pt-PT"/>
        </w:rPr>
        <w:t>Processos julgados - 9.007.</w:t>
      </w:r>
    </w:p>
    <w:p w:rsidR="003E6588" w:rsidRDefault="003E6588">
      <w:pPr>
        <w:pStyle w:val="PargrafodaLista"/>
        <w:ind w:left="0" w:firstLine="1134"/>
        <w:rPr>
          <w:rFonts w:ascii="Times New Roman" w:hAnsi="Times New Roman"/>
          <w:sz w:val="24"/>
          <w:szCs w:val="24"/>
          <w:lang w:val="pt-PT"/>
        </w:rPr>
      </w:pPr>
    </w:p>
    <w:p w:rsidR="003E6588" w:rsidRDefault="003E6588">
      <w:pPr>
        <w:pStyle w:val="PargrafodaLista"/>
        <w:ind w:left="0" w:firstLine="1134"/>
        <w:rPr>
          <w:rFonts w:ascii="Times New Roman" w:hAnsi="Times New Roman"/>
          <w:sz w:val="24"/>
          <w:szCs w:val="24"/>
          <w:lang w:val="pt-PT"/>
        </w:rPr>
      </w:pPr>
      <w:r>
        <w:rPr>
          <w:rFonts w:ascii="Times New Roman" w:hAnsi="Times New Roman"/>
          <w:sz w:val="24"/>
          <w:szCs w:val="24"/>
          <w:lang w:val="pt-PT"/>
        </w:rPr>
        <w:t xml:space="preserve">Tempo </w:t>
      </w:r>
      <w:r w:rsidR="00D21053">
        <w:rPr>
          <w:rFonts w:ascii="Times New Roman" w:hAnsi="Times New Roman"/>
          <w:sz w:val="24"/>
          <w:szCs w:val="24"/>
          <w:lang w:val="pt-PT"/>
        </w:rPr>
        <w:t xml:space="preserve">médio de tramitação dos processos </w:t>
      </w:r>
      <w:r>
        <w:rPr>
          <w:rFonts w:ascii="Times New Roman" w:hAnsi="Times New Roman"/>
          <w:sz w:val="24"/>
          <w:szCs w:val="24"/>
          <w:lang w:val="pt-PT"/>
        </w:rPr>
        <w:t>- 5,7 meses.</w:t>
      </w:r>
    </w:p>
    <w:p w:rsidR="003E6588" w:rsidRDefault="003E6588">
      <w:pPr>
        <w:pStyle w:val="PargrafodaLista"/>
        <w:ind w:left="420"/>
        <w:rPr>
          <w:rFonts w:ascii="Times New Roman" w:hAnsi="Times New Roman"/>
          <w:b/>
          <w:vanish/>
          <w:sz w:val="24"/>
          <w:szCs w:val="24"/>
        </w:rPr>
      </w:pPr>
    </w:p>
    <w:p w:rsidR="003E6588" w:rsidRDefault="003E6588">
      <w:pPr>
        <w:ind w:firstLine="1134"/>
        <w:jc w:val="both"/>
        <w:rPr>
          <w:b/>
        </w:rPr>
      </w:pPr>
      <w:r>
        <w:rPr>
          <w:b/>
        </w:rPr>
        <w:t>Processo Administrativo Tributário Eletrônico - ePAT</w:t>
      </w:r>
    </w:p>
    <w:p w:rsidR="003E6588" w:rsidRDefault="003E6588">
      <w:pPr>
        <w:ind w:firstLine="1134"/>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Diário Eletrônico - </w:t>
      </w:r>
      <w:r>
        <w:rPr>
          <w:rFonts w:ascii="Times New Roman" w:hAnsi="Times New Roman"/>
          <w:sz w:val="24"/>
          <w:szCs w:val="24"/>
        </w:rPr>
        <w:t>Houve a publicação de 82.225 intimações no Diário Eletrônico; os usuários internos da Secretaria da Fazenda, bem como o público externo, realizaram 2.096.782 consultas.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Lavratura de Autos de Infração e Imposição de Multa - AIIMs - </w:t>
      </w:r>
      <w:r>
        <w:rPr>
          <w:rFonts w:ascii="Times New Roman" w:hAnsi="Times New Roman"/>
          <w:color w:val="000000"/>
          <w:sz w:val="24"/>
          <w:szCs w:val="24"/>
        </w:rPr>
        <w:t>Houve a lavratura de 53.714 autos de infração eletrônicos; os processos originados da lavratura desses autos de infração são eletrônicos e os atos processuais são praticados por intermédio do próprio ePAT por todas as partes, sejam elas fazendárias ou contribuintes e seus representantes legais</w:t>
      </w:r>
      <w:r>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 xml:space="preserve">Módulo de Distribuição na Assistência da Presidência do TIT - </w:t>
      </w:r>
      <w:r>
        <w:rPr>
          <w:rFonts w:ascii="Times New Roman" w:hAnsi="Times New Roman"/>
          <w:sz w:val="24"/>
          <w:szCs w:val="24"/>
        </w:rPr>
        <w:t>A implementação deste módulo passou a permitir a distribuição dos processos eletrônicos para análise da admissibilidade dos recursos dirigidos à Câmara Superior do TIT, cuja competência é do Presidente do Tribunal. Com este módulo, torna-se possível efetuar os despachos de admissibilidade, que são pressupostos para inclusão dos processos eletrônicos em pauta para julgamento na Câmara Superior.</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Integração com a PGE - Disponibilizar acesso aos AIIM - </w:t>
      </w:r>
      <w:r>
        <w:rPr>
          <w:rFonts w:ascii="Times New Roman" w:hAnsi="Times New Roman"/>
          <w:sz w:val="24"/>
          <w:szCs w:val="24"/>
        </w:rPr>
        <w:t>Este módulo permitiu o acesso da Procuradoria Geral do Estado aos AIIM lavrados pela Secretaria da Fazenda, tornando mais fácil e ágil o procedimento de inscrição dos créditos tributários na Dívida Ativa.</w:t>
      </w:r>
    </w:p>
    <w:p w:rsidR="003E6588" w:rsidRDefault="003E6588">
      <w:pPr>
        <w:pStyle w:val="PargrafodaLista"/>
        <w:ind w:left="0"/>
        <w:rPr>
          <w:rFonts w:ascii="Times New Roman" w:hAnsi="Times New Roman"/>
          <w:sz w:val="24"/>
          <w:szCs w:val="24"/>
        </w:rPr>
      </w:pPr>
    </w:p>
    <w:p w:rsidR="003E6588" w:rsidRDefault="003E6588">
      <w:pPr>
        <w:ind w:firstLine="1134"/>
        <w:jc w:val="both"/>
      </w:pPr>
      <w:r>
        <w:rPr>
          <w:b/>
        </w:rPr>
        <w:t xml:space="preserve">Ampliação da base de jurisprudência do TIT - </w:t>
      </w:r>
      <w:r>
        <w:t>A base de dados de jurisprudência do TIT foi ampliada com a inclusão de 19.689 novas decisões, sendo 9.808 decisões de 1ª instância e 9.881 decisões de 2ª instância. No total, a base de jurisprudência disponibiliza atualmente 108.666 decisões (41.649 decisões de primeira instância e 67.017 decisões de segunda instância) para acesso na página do TIT na rede mundial de computadores.</w:t>
      </w:r>
    </w:p>
    <w:p w:rsidR="003E6588" w:rsidRDefault="003E6588">
      <w:pPr>
        <w:ind w:firstLine="1134"/>
        <w:jc w:val="both"/>
      </w:pPr>
    </w:p>
    <w:p w:rsidR="003E6588" w:rsidRDefault="003E6588">
      <w:pPr>
        <w:ind w:left="1134"/>
        <w:jc w:val="both"/>
        <w:rPr>
          <w:b/>
        </w:rPr>
      </w:pPr>
      <w:r>
        <w:rPr>
          <w:b/>
        </w:rPr>
        <w:t>Consultoria Tributária</w:t>
      </w:r>
    </w:p>
    <w:p w:rsidR="003E6588" w:rsidRDefault="003E6588">
      <w:pPr>
        <w:pStyle w:val="PargrafodaLista"/>
        <w:ind w:left="420"/>
        <w:rPr>
          <w:rFonts w:ascii="Times New Roman" w:hAnsi="Times New Roman"/>
          <w:b/>
          <w:vanish/>
          <w:sz w:val="24"/>
          <w:szCs w:val="24"/>
        </w:rPr>
      </w:pPr>
    </w:p>
    <w:p w:rsidR="003E6588" w:rsidRDefault="003E6588">
      <w:pPr>
        <w:ind w:firstLine="1134"/>
        <w:jc w:val="both"/>
      </w:pPr>
      <w:r>
        <w:rPr>
          <w:b/>
        </w:rPr>
        <w:t xml:space="preserve">Convênios - </w:t>
      </w:r>
      <w:r>
        <w:t>Foram firmados 141 convênios, destacando-se:</w:t>
      </w:r>
    </w:p>
    <w:p w:rsidR="003E6588" w:rsidRDefault="003E6588">
      <w:pPr>
        <w:adjustRightInd w:val="0"/>
        <w:ind w:firstLine="1134"/>
        <w:jc w:val="both"/>
      </w:pPr>
    </w:p>
    <w:p w:rsidR="003E6588" w:rsidRDefault="003E6588">
      <w:pPr>
        <w:pStyle w:val="PargrafodaLista"/>
        <w:adjustRightInd w:val="0"/>
        <w:ind w:left="0" w:firstLine="1134"/>
        <w:rPr>
          <w:rFonts w:ascii="Times New Roman" w:hAnsi="Times New Roman"/>
          <w:sz w:val="24"/>
          <w:szCs w:val="24"/>
        </w:rPr>
      </w:pPr>
      <w:r>
        <w:rPr>
          <w:rFonts w:ascii="Times New Roman" w:hAnsi="Times New Roman"/>
          <w:sz w:val="24"/>
          <w:szCs w:val="24"/>
        </w:rPr>
        <w:t>- Concessão de remissão e anistia de créditos tributários relativos a incentivos e benefícios, fiscais e financeiros, vinculados ao ICMS, autorizados ou concedidos pelas unidades federadas sem aprovação do CONFAZ, bem como da sua reinstituição.</w:t>
      </w:r>
    </w:p>
    <w:p w:rsidR="003E6588" w:rsidRDefault="003E6588">
      <w:pPr>
        <w:pStyle w:val="PargrafodaLista"/>
        <w:adjustRightInd w:val="0"/>
        <w:ind w:left="0" w:firstLine="1134"/>
        <w:rPr>
          <w:rFonts w:ascii="Times New Roman" w:hAnsi="Times New Roman"/>
          <w:sz w:val="24"/>
          <w:szCs w:val="24"/>
        </w:rPr>
      </w:pPr>
    </w:p>
    <w:p w:rsidR="003E6588" w:rsidRDefault="003E6588">
      <w:pPr>
        <w:pStyle w:val="PargrafodaLista"/>
        <w:adjustRightInd w:val="0"/>
        <w:ind w:left="0" w:firstLine="1134"/>
        <w:rPr>
          <w:rFonts w:ascii="Times New Roman" w:hAnsi="Times New Roman"/>
          <w:sz w:val="24"/>
          <w:szCs w:val="24"/>
        </w:rPr>
      </w:pPr>
      <w:r>
        <w:rPr>
          <w:rFonts w:ascii="Times New Roman" w:hAnsi="Times New Roman"/>
          <w:sz w:val="24"/>
          <w:szCs w:val="24"/>
        </w:rPr>
        <w:t>- Dispensa ou redução de multas e demais acréscimos legais mediante parcelamento de débitos fiscais relacionados com o ICM e o ICMS.</w:t>
      </w:r>
    </w:p>
    <w:p w:rsidR="003E6588" w:rsidRDefault="003E6588">
      <w:pPr>
        <w:pStyle w:val="PargrafodaLista"/>
        <w:adjustRightInd w:val="0"/>
        <w:ind w:left="0" w:firstLine="1134"/>
        <w:rPr>
          <w:rFonts w:ascii="Times New Roman" w:hAnsi="Times New Roman"/>
          <w:sz w:val="24"/>
          <w:szCs w:val="24"/>
        </w:rPr>
      </w:pPr>
    </w:p>
    <w:p w:rsidR="003E6588" w:rsidRDefault="003E6588">
      <w:pPr>
        <w:pStyle w:val="PargrafodaLista"/>
        <w:adjustRightInd w:val="0"/>
        <w:ind w:left="0" w:firstLine="1134"/>
        <w:rPr>
          <w:rFonts w:ascii="Times New Roman" w:hAnsi="Times New Roman"/>
          <w:sz w:val="24"/>
          <w:szCs w:val="24"/>
        </w:rPr>
      </w:pPr>
      <w:r>
        <w:rPr>
          <w:rFonts w:ascii="Times New Roman" w:hAnsi="Times New Roman"/>
          <w:sz w:val="24"/>
          <w:szCs w:val="24"/>
        </w:rPr>
        <w:t xml:space="preserve">- Concessão de isenção de ICMS nas prestações de serviço de comunicação referente ao acesso à </w:t>
      </w:r>
      <w:r>
        <w:rPr>
          <w:rFonts w:ascii="Times New Roman" w:hAnsi="Times New Roman"/>
          <w:i/>
          <w:sz w:val="24"/>
          <w:szCs w:val="24"/>
        </w:rPr>
        <w:t>internet</w:t>
      </w:r>
      <w:r>
        <w:rPr>
          <w:rFonts w:ascii="Times New Roman" w:hAnsi="Times New Roman"/>
          <w:sz w:val="24"/>
          <w:szCs w:val="24"/>
        </w:rPr>
        <w:t xml:space="preserve"> por conectividade em banda larga prestadas no âmbito do Programa </w:t>
      </w:r>
      <w:r>
        <w:rPr>
          <w:rFonts w:ascii="Times New Roman" w:hAnsi="Times New Roman"/>
          <w:i/>
          <w:sz w:val="24"/>
          <w:szCs w:val="24"/>
        </w:rPr>
        <w:t>Internet</w:t>
      </w:r>
      <w:r>
        <w:rPr>
          <w:rFonts w:ascii="Times New Roman" w:hAnsi="Times New Roman"/>
          <w:sz w:val="24"/>
          <w:szCs w:val="24"/>
        </w:rPr>
        <w:t xml:space="preserve"> Popular.</w:t>
      </w:r>
    </w:p>
    <w:p w:rsidR="003E6588" w:rsidRDefault="003E6588">
      <w:pPr>
        <w:pStyle w:val="PargrafodaLista"/>
        <w:adjustRightInd w:val="0"/>
        <w:ind w:left="0" w:firstLine="1134"/>
        <w:rPr>
          <w:rFonts w:ascii="Times New Roman" w:hAnsi="Times New Roman"/>
          <w:sz w:val="24"/>
          <w:szCs w:val="24"/>
        </w:rPr>
      </w:pPr>
    </w:p>
    <w:p w:rsidR="003E6588" w:rsidRDefault="003E6588">
      <w:pPr>
        <w:pStyle w:val="PargrafodaLista"/>
        <w:adjustRightInd w:val="0"/>
        <w:ind w:left="0" w:firstLine="1134"/>
        <w:rPr>
          <w:rFonts w:ascii="Times New Roman" w:hAnsi="Times New Roman"/>
          <w:sz w:val="24"/>
          <w:szCs w:val="24"/>
        </w:rPr>
      </w:pPr>
      <w:r>
        <w:rPr>
          <w:rFonts w:ascii="Times New Roman" w:hAnsi="Times New Roman"/>
          <w:sz w:val="24"/>
          <w:szCs w:val="24"/>
        </w:rPr>
        <w:t>- Concessão de isenção do ICMS na importação de medicamento destinado a tratamento de câncer, quando realizado por pessoa física.</w:t>
      </w:r>
    </w:p>
    <w:p w:rsidR="003E6588" w:rsidRDefault="003E6588">
      <w:pPr>
        <w:pStyle w:val="PargrafodaLista"/>
        <w:adjustRightInd w:val="0"/>
        <w:ind w:left="0"/>
        <w:rPr>
          <w:rFonts w:ascii="Times New Roman" w:hAnsi="Times New Roman"/>
          <w:sz w:val="24"/>
          <w:szCs w:val="24"/>
        </w:rPr>
      </w:pPr>
    </w:p>
    <w:p w:rsidR="003E6588" w:rsidRDefault="003E6588">
      <w:pPr>
        <w:ind w:firstLine="1134"/>
        <w:jc w:val="both"/>
      </w:pPr>
      <w:r>
        <w:rPr>
          <w:b/>
        </w:rPr>
        <w:t xml:space="preserve">Protocolos - </w:t>
      </w:r>
      <w:r>
        <w:t>Foram 50 protocolos, dentre os quais:</w:t>
      </w:r>
    </w:p>
    <w:p w:rsidR="003E6588" w:rsidRDefault="003E6588">
      <w:pPr>
        <w:ind w:firstLine="1134"/>
        <w:jc w:val="both"/>
      </w:pPr>
    </w:p>
    <w:p w:rsidR="003E6588" w:rsidRDefault="003E6588">
      <w:pPr>
        <w:pStyle w:val="PargrafodaLista"/>
        <w:adjustRightInd w:val="0"/>
        <w:ind w:left="0" w:firstLine="1134"/>
        <w:rPr>
          <w:rFonts w:ascii="Times New Roman" w:hAnsi="Times New Roman"/>
          <w:sz w:val="24"/>
          <w:szCs w:val="24"/>
        </w:rPr>
      </w:pPr>
      <w:r>
        <w:rPr>
          <w:rFonts w:ascii="Times New Roman" w:hAnsi="Times New Roman"/>
          <w:b/>
          <w:sz w:val="24"/>
          <w:szCs w:val="24"/>
        </w:rPr>
        <w:t xml:space="preserve">Etanolduto - </w:t>
      </w:r>
      <w:r>
        <w:rPr>
          <w:rFonts w:ascii="Times New Roman" w:hAnsi="Times New Roman"/>
          <w:sz w:val="24"/>
          <w:szCs w:val="24"/>
        </w:rPr>
        <w:t>Concede tratamento diferenciado na prestação de serviço de transporte e na armazenagem de Etanol Hidratado Combustível - EHC no sistema dutoviário.</w:t>
      </w:r>
    </w:p>
    <w:p w:rsidR="003E6588" w:rsidRDefault="003E6588">
      <w:pPr>
        <w:adjustRightInd w:val="0"/>
        <w:ind w:firstLine="1134"/>
        <w:jc w:val="both"/>
      </w:pPr>
    </w:p>
    <w:p w:rsidR="003E6588" w:rsidRDefault="003E6588">
      <w:pPr>
        <w:adjustRightInd w:val="0"/>
        <w:ind w:firstLine="1134"/>
        <w:jc w:val="both"/>
      </w:pPr>
      <w:r>
        <w:t xml:space="preserve">Protocolo ICMS nº 68/2014 - cria o Canal Vermelho Nacional </w:t>
      </w:r>
      <w:r w:rsidR="00FB2CCB">
        <w:t>-</w:t>
      </w:r>
      <w:r>
        <w:t xml:space="preserve"> CVN, que trata de ferramenta de comunicação e integração entre os fiscos e a RFB, tendo por objetivo reunir esforços contra o contribuinte sonegador.</w:t>
      </w:r>
    </w:p>
    <w:p w:rsidR="003E6588" w:rsidRDefault="003E6588">
      <w:pPr>
        <w:adjustRightInd w:val="0"/>
        <w:ind w:firstLine="1134"/>
        <w:jc w:val="both"/>
      </w:pPr>
    </w:p>
    <w:p w:rsidR="003E6588" w:rsidRDefault="003E6588">
      <w:pPr>
        <w:pStyle w:val="PargrafodaLista"/>
        <w:adjustRightInd w:val="0"/>
        <w:ind w:left="0" w:firstLine="1134"/>
        <w:rPr>
          <w:rFonts w:ascii="Times New Roman" w:hAnsi="Times New Roman"/>
          <w:sz w:val="24"/>
          <w:szCs w:val="24"/>
        </w:rPr>
      </w:pPr>
      <w:r>
        <w:rPr>
          <w:rFonts w:ascii="Times New Roman" w:hAnsi="Times New Roman"/>
          <w:sz w:val="24"/>
          <w:szCs w:val="24"/>
        </w:rPr>
        <w:t>Diversos Protocolos de produtos sujeitos a substituição tributária com novos produtos (exemplo SP e RJ) e alterações para adaptá-los ao teor de Portarias (com Estados diversos).</w:t>
      </w:r>
    </w:p>
    <w:p w:rsidR="003E6588" w:rsidRDefault="003E6588">
      <w:pPr>
        <w:pStyle w:val="PargrafodaLista"/>
        <w:adjustRightInd w:val="0"/>
        <w:ind w:left="1134"/>
        <w:rPr>
          <w:rFonts w:ascii="Times New Roman" w:hAnsi="Times New Roman"/>
          <w:sz w:val="24"/>
          <w:szCs w:val="24"/>
        </w:rPr>
      </w:pPr>
    </w:p>
    <w:p w:rsidR="003E6588" w:rsidRDefault="003E6588">
      <w:pPr>
        <w:ind w:firstLine="1134"/>
        <w:jc w:val="both"/>
      </w:pPr>
      <w:r>
        <w:rPr>
          <w:b/>
        </w:rPr>
        <w:t xml:space="preserve">Ajustes - </w:t>
      </w:r>
      <w:r>
        <w:t>Foram publicados 23 Ajustes SINIEF, que tratam de Obrigações Acessórias, como a postergação da obrigatoriedade da entrega do Bloco K da EFD (Escrituração Fiscal Digital) e a criação do Pedido de Contribuinte como novo evento da NF-e (CORINDUS).</w:t>
      </w:r>
    </w:p>
    <w:p w:rsidR="003E6588" w:rsidRDefault="003E6588">
      <w:pPr>
        <w:ind w:firstLine="1134"/>
        <w:jc w:val="both"/>
      </w:pPr>
    </w:p>
    <w:p w:rsidR="003E6588" w:rsidRDefault="003E6588">
      <w:pPr>
        <w:ind w:firstLine="1134"/>
        <w:jc w:val="both"/>
        <w:rPr>
          <w:b/>
        </w:rPr>
      </w:pPr>
      <w:r>
        <w:rPr>
          <w:b/>
        </w:rPr>
        <w:t>Decretos</w:t>
      </w:r>
    </w:p>
    <w:p w:rsidR="003E6588" w:rsidRDefault="003E6588">
      <w:pPr>
        <w:ind w:firstLine="1134"/>
        <w:jc w:val="both"/>
        <w:rPr>
          <w:b/>
        </w:rPr>
      </w:pPr>
    </w:p>
    <w:p w:rsidR="003E6588" w:rsidRDefault="003E6588">
      <w:pPr>
        <w:adjustRightInd w:val="0"/>
        <w:ind w:firstLine="1134"/>
        <w:jc w:val="both"/>
      </w:pPr>
      <w:r>
        <w:t>- Redução da carga tributária da produção de soluções parenterais.</w:t>
      </w:r>
    </w:p>
    <w:p w:rsidR="003E6588" w:rsidRDefault="003E6588">
      <w:pPr>
        <w:adjustRightInd w:val="0"/>
        <w:ind w:firstLine="1134"/>
        <w:jc w:val="both"/>
      </w:pPr>
    </w:p>
    <w:p w:rsidR="003E6588" w:rsidRDefault="003E6588">
      <w:pPr>
        <w:adjustRightInd w:val="0"/>
        <w:ind w:firstLine="1134"/>
        <w:jc w:val="both"/>
      </w:pPr>
      <w:r>
        <w:t>- Isenção de ICMS na venda de veículo para taxista microempreendedor individual.</w:t>
      </w:r>
    </w:p>
    <w:p w:rsidR="003E6588" w:rsidRDefault="003E6588">
      <w:pPr>
        <w:adjustRightInd w:val="0"/>
        <w:ind w:firstLine="1134"/>
        <w:jc w:val="both"/>
      </w:pPr>
    </w:p>
    <w:p w:rsidR="003E6588" w:rsidRDefault="003E6588">
      <w:pPr>
        <w:adjustRightInd w:val="0"/>
        <w:ind w:firstLine="1134"/>
        <w:jc w:val="both"/>
      </w:pPr>
      <w:r>
        <w:t>- Diferimento na aquisição de matérias-primas por fabricantes de embarcações de esportes e lazer.</w:t>
      </w:r>
    </w:p>
    <w:p w:rsidR="003E6588" w:rsidRDefault="003E6588">
      <w:pPr>
        <w:adjustRightInd w:val="0"/>
        <w:ind w:firstLine="1134"/>
        <w:jc w:val="both"/>
      </w:pPr>
    </w:p>
    <w:p w:rsidR="003E6588" w:rsidRDefault="003E6588">
      <w:pPr>
        <w:adjustRightInd w:val="0"/>
        <w:ind w:firstLine="1134"/>
        <w:jc w:val="both"/>
      </w:pPr>
      <w:r>
        <w:t>- Regime especial tributário para setor de confeitarias e padarias.</w:t>
      </w:r>
    </w:p>
    <w:p w:rsidR="003E6588" w:rsidRDefault="003E6588">
      <w:pPr>
        <w:adjustRightInd w:val="0"/>
        <w:ind w:firstLine="1134"/>
        <w:jc w:val="both"/>
      </w:pPr>
    </w:p>
    <w:p w:rsidR="003E6588" w:rsidRDefault="003E6588">
      <w:pPr>
        <w:adjustRightInd w:val="0"/>
        <w:ind w:firstLine="1134"/>
        <w:jc w:val="both"/>
      </w:pPr>
      <w:r>
        <w:t>- Prorrogação da concessão do crédito outorgado para estabelecimento abatedor de aves.</w:t>
      </w:r>
    </w:p>
    <w:p w:rsidR="003E6588" w:rsidRDefault="003E6588">
      <w:pPr>
        <w:adjustRightInd w:val="0"/>
        <w:ind w:firstLine="1134"/>
        <w:jc w:val="both"/>
      </w:pPr>
    </w:p>
    <w:p w:rsidR="003E6588" w:rsidRDefault="003E6588">
      <w:pPr>
        <w:adjustRightInd w:val="0"/>
        <w:ind w:firstLine="1134"/>
        <w:jc w:val="both"/>
      </w:pPr>
      <w:r>
        <w:t>- Ampliação de até 75 dias no prazo para recolhimento do ICMS.</w:t>
      </w:r>
    </w:p>
    <w:p w:rsidR="003E6588" w:rsidRDefault="003E6588">
      <w:pPr>
        <w:adjustRightInd w:val="0"/>
        <w:ind w:firstLine="1134"/>
        <w:jc w:val="both"/>
      </w:pPr>
    </w:p>
    <w:p w:rsidR="003E6588" w:rsidRDefault="003E6588">
      <w:pPr>
        <w:adjustRightInd w:val="0"/>
        <w:ind w:firstLine="1134"/>
        <w:jc w:val="both"/>
      </w:pPr>
      <w:r>
        <w:t>- Regulamentação da imunidade, isenção, dispensa de pagamento, restituição e redução de alíquota do IPVA.</w:t>
      </w:r>
    </w:p>
    <w:p w:rsidR="003E6588" w:rsidRDefault="003E6588">
      <w:pPr>
        <w:adjustRightInd w:val="0"/>
        <w:jc w:val="both"/>
      </w:pPr>
    </w:p>
    <w:p w:rsidR="003E6588" w:rsidRDefault="003E6588">
      <w:pPr>
        <w:ind w:firstLine="1134"/>
        <w:jc w:val="both"/>
        <w:rPr>
          <w:b/>
        </w:rPr>
      </w:pPr>
      <w:r>
        <w:rPr>
          <w:b/>
        </w:rPr>
        <w:t>Resoluções SF</w:t>
      </w:r>
    </w:p>
    <w:p w:rsidR="003E6588" w:rsidRDefault="003E6588">
      <w:pPr>
        <w:ind w:firstLine="1134"/>
        <w:jc w:val="both"/>
        <w:rPr>
          <w:b/>
        </w:rPr>
      </w:pPr>
    </w:p>
    <w:p w:rsidR="003E6588" w:rsidRDefault="003E6588">
      <w:pPr>
        <w:adjustRightInd w:val="0"/>
        <w:ind w:firstLine="1134"/>
        <w:jc w:val="both"/>
      </w:pPr>
      <w:r>
        <w:t>- Aperfeiçoamento e operacionalização do Programa "Nota Fiscal Paulista”.</w:t>
      </w:r>
    </w:p>
    <w:p w:rsidR="003E6588" w:rsidRDefault="003E6588">
      <w:pPr>
        <w:adjustRightInd w:val="0"/>
        <w:ind w:firstLine="1134"/>
        <w:jc w:val="both"/>
      </w:pPr>
    </w:p>
    <w:p w:rsidR="003E6588" w:rsidRDefault="003E6588">
      <w:pPr>
        <w:adjustRightInd w:val="0"/>
        <w:ind w:firstLine="1134"/>
        <w:jc w:val="both"/>
      </w:pPr>
      <w:r>
        <w:t>- Simplificação na aplicação de benefícios fiscais para bens industriais e agrícolas (atualização das regras da Resolução SF nº 04/1998).</w:t>
      </w:r>
    </w:p>
    <w:p w:rsidR="003E6588" w:rsidRDefault="003E6588">
      <w:pPr>
        <w:adjustRightInd w:val="0"/>
        <w:ind w:left="1353"/>
        <w:jc w:val="both"/>
      </w:pPr>
    </w:p>
    <w:p w:rsidR="003E6588" w:rsidRDefault="003E6588">
      <w:pPr>
        <w:ind w:firstLine="1134"/>
        <w:jc w:val="both"/>
        <w:rPr>
          <w:b/>
        </w:rPr>
      </w:pPr>
      <w:r>
        <w:rPr>
          <w:b/>
        </w:rPr>
        <w:t>Portarias CAT</w:t>
      </w:r>
    </w:p>
    <w:p w:rsidR="003E6588" w:rsidRDefault="003E6588">
      <w:pPr>
        <w:ind w:firstLine="1134"/>
        <w:jc w:val="both"/>
        <w:rPr>
          <w:b/>
        </w:rPr>
      </w:pPr>
    </w:p>
    <w:p w:rsidR="003E6588" w:rsidRDefault="003E6588">
      <w:pPr>
        <w:adjustRightInd w:val="0"/>
        <w:ind w:firstLine="1134"/>
        <w:jc w:val="both"/>
      </w:pPr>
      <w:r>
        <w:t>- Estabelecimento do controle e das condições para a fruição da isenção do ICMS nas operações internas com bens e mercadorias destinados à implantação da Linha 18 - Bronze da Rede de Transportes Metroferroviários de São Paulo.</w:t>
      </w:r>
    </w:p>
    <w:p w:rsidR="003E6588" w:rsidRDefault="003E6588">
      <w:pPr>
        <w:adjustRightInd w:val="0"/>
        <w:ind w:firstLine="1134"/>
        <w:jc w:val="both"/>
      </w:pPr>
    </w:p>
    <w:p w:rsidR="003E6588" w:rsidRDefault="003E6588">
      <w:pPr>
        <w:adjustRightInd w:val="0"/>
        <w:ind w:firstLine="1134"/>
        <w:jc w:val="both"/>
      </w:pPr>
      <w:r>
        <w:t>- Estabelecimento de procedimentos administrativos necessários ao recolhimento de débitos de ICMS, decorrentes de prestações de serviços de comunicação visual em mídia exterior.</w:t>
      </w:r>
    </w:p>
    <w:p w:rsidR="003E6588" w:rsidRDefault="003E6588">
      <w:pPr>
        <w:adjustRightInd w:val="0"/>
        <w:ind w:firstLine="1134"/>
        <w:jc w:val="both"/>
      </w:pPr>
    </w:p>
    <w:p w:rsidR="003E6588" w:rsidRDefault="003E6588">
      <w:pPr>
        <w:adjustRightInd w:val="0"/>
        <w:ind w:firstLine="1134"/>
        <w:jc w:val="both"/>
      </w:pPr>
      <w:r>
        <w:t>- Estabelecimento de procedimentos para envio de informações sobre transferência de propriedade de veículos, por tabelião de notas ou registrador, no exercício das atribuições notariais de reconhecimento de firma.</w:t>
      </w:r>
    </w:p>
    <w:p w:rsidR="003E6588" w:rsidRDefault="003E6588">
      <w:pPr>
        <w:adjustRightInd w:val="0"/>
        <w:ind w:firstLine="1134"/>
        <w:jc w:val="both"/>
      </w:pPr>
    </w:p>
    <w:p w:rsidR="003E6588" w:rsidRDefault="003E6588">
      <w:pPr>
        <w:adjustRightInd w:val="0"/>
        <w:ind w:firstLine="1134"/>
        <w:jc w:val="both"/>
      </w:pPr>
      <w:r>
        <w:lastRenderedPageBreak/>
        <w:t>- Estabelecimento de procedimentos para o cadastro de empresa desenvolvedora de programas aplicativos de comunicação com o Sistema Autenticador e Transmissor - SAT de Cupons Fiscais Eletrônicos - CF-e-SAT.</w:t>
      </w:r>
    </w:p>
    <w:p w:rsidR="003E6588" w:rsidRDefault="003E6588">
      <w:pPr>
        <w:adjustRightInd w:val="0"/>
        <w:ind w:firstLine="1134"/>
        <w:jc w:val="both"/>
      </w:pPr>
    </w:p>
    <w:p w:rsidR="003E6588" w:rsidRDefault="003E6588">
      <w:pPr>
        <w:adjustRightInd w:val="0"/>
        <w:ind w:firstLine="1134"/>
        <w:jc w:val="both"/>
      </w:pPr>
      <w:r>
        <w:t xml:space="preserve">- </w:t>
      </w:r>
      <w:r w:rsidRPr="00FB2CCB">
        <w:t>Prorrogação do prazo</w:t>
      </w:r>
      <w:r>
        <w:t xml:space="preserve"> para reconhecimento do recolhimento efetuado em operação de importação por conta e ordem de terceiros ao Estado do Espírito Santo.</w:t>
      </w:r>
    </w:p>
    <w:p w:rsidR="00FB2CCB" w:rsidRDefault="00FB2CCB">
      <w:pPr>
        <w:adjustRightInd w:val="0"/>
        <w:ind w:firstLine="1134"/>
        <w:jc w:val="both"/>
      </w:pPr>
    </w:p>
    <w:p w:rsidR="003E6588" w:rsidRDefault="003E6588">
      <w:pPr>
        <w:ind w:firstLine="1134"/>
        <w:jc w:val="both"/>
      </w:pPr>
      <w:r>
        <w:rPr>
          <w:b/>
        </w:rPr>
        <w:t xml:space="preserve">Outros - </w:t>
      </w:r>
      <w:r>
        <w:t>No âmbito da legislação tributária, foram realizadas:</w:t>
      </w:r>
    </w:p>
    <w:p w:rsidR="003E6588" w:rsidRDefault="003E6588">
      <w:pPr>
        <w:tabs>
          <w:tab w:val="num" w:pos="1657"/>
        </w:tabs>
        <w:ind w:firstLine="1134"/>
        <w:jc w:val="both"/>
      </w:pPr>
    </w:p>
    <w:p w:rsidR="003E6588" w:rsidRDefault="003E6588">
      <w:pPr>
        <w:ind w:firstLine="1134"/>
        <w:jc w:val="both"/>
      </w:pPr>
      <w:r>
        <w:t>- 1.690 Consultas respondidas;</w:t>
      </w:r>
    </w:p>
    <w:p w:rsidR="003E6588" w:rsidRDefault="003E6588">
      <w:pPr>
        <w:ind w:firstLine="1134"/>
        <w:jc w:val="both"/>
      </w:pPr>
    </w:p>
    <w:p w:rsidR="003E6588" w:rsidRDefault="003E6588">
      <w:pPr>
        <w:ind w:firstLine="1134"/>
        <w:jc w:val="both"/>
      </w:pPr>
      <w:r>
        <w:t>- 5.421 Orientações em mensagens eletrônicas;</w:t>
      </w:r>
    </w:p>
    <w:p w:rsidR="003E6588" w:rsidRDefault="003E6588">
      <w:pPr>
        <w:ind w:firstLine="1134"/>
        <w:jc w:val="both"/>
      </w:pPr>
    </w:p>
    <w:p w:rsidR="003E6588" w:rsidRDefault="003E6588">
      <w:pPr>
        <w:ind w:firstLine="1134"/>
        <w:jc w:val="both"/>
      </w:pPr>
      <w:r>
        <w:t>- 214 Participações efetivas e acompanhamentos junto à COTEPE, ao CONFAZ e ao Comitê Gestor do Simples Nacional.</w:t>
      </w:r>
    </w:p>
    <w:p w:rsidR="003E6588" w:rsidRDefault="003E6588">
      <w:pPr>
        <w:ind w:firstLine="1134"/>
        <w:jc w:val="both"/>
        <w:rPr>
          <w:strike/>
        </w:rPr>
      </w:pPr>
    </w:p>
    <w:p w:rsidR="003E6588" w:rsidRDefault="003E6588">
      <w:pPr>
        <w:ind w:firstLine="1134"/>
        <w:jc w:val="both"/>
        <w:rPr>
          <w:b/>
        </w:rPr>
      </w:pPr>
      <w:r>
        <w:rPr>
          <w:b/>
        </w:rPr>
        <w:t>Gestão Financeira</w:t>
      </w:r>
    </w:p>
    <w:p w:rsidR="003E6588" w:rsidRDefault="003E6588">
      <w:pPr>
        <w:ind w:firstLine="1134"/>
        <w:jc w:val="both"/>
        <w:rPr>
          <w:b/>
          <w:bCs/>
          <w:lang w:val="pt-PT"/>
        </w:rPr>
      </w:pPr>
    </w:p>
    <w:p w:rsidR="003E6588" w:rsidRDefault="003E6588">
      <w:pPr>
        <w:ind w:firstLine="1134"/>
        <w:jc w:val="both"/>
      </w:pPr>
      <w:r>
        <w:rPr>
          <w:b/>
          <w:bCs/>
        </w:rPr>
        <w:t xml:space="preserve">Arrecadação Tributária - </w:t>
      </w:r>
      <w:r>
        <w:t>A receita tributária do Estado alcançou, em valores correntes, o montante aproximado de R$ 141,5 bilhões. Essa estimativa é composta, também, pela receita dos programas especiais de parcelamento em vigor, configurando a arrecadação tributária em conceito ampliado.</w:t>
      </w:r>
    </w:p>
    <w:p w:rsidR="00FE61FD" w:rsidRDefault="00AD3B0F">
      <w:pPr>
        <w:ind w:firstLine="1134"/>
        <w:jc w:val="both"/>
      </w:pPr>
      <w:r>
        <w:rPr>
          <w:noProof/>
        </w:rPr>
        <w:drawing>
          <wp:anchor distT="0" distB="0" distL="114300" distR="114300" simplePos="0" relativeHeight="251655680" behindDoc="0" locked="0" layoutInCell="1" allowOverlap="1">
            <wp:simplePos x="0" y="0"/>
            <wp:positionH relativeFrom="column">
              <wp:posOffset>1415347</wp:posOffset>
            </wp:positionH>
            <wp:positionV relativeFrom="paragraph">
              <wp:posOffset>136995</wp:posOffset>
            </wp:positionV>
            <wp:extent cx="3001163" cy="1618538"/>
            <wp:effectExtent l="5012" t="3645" r="6900" b="3417"/>
            <wp:wrapTopAndBottom/>
            <wp:docPr id="1" name="Gráfico 7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anchor>
        </w:drawing>
      </w:r>
    </w:p>
    <w:p w:rsidR="003E6588" w:rsidRDefault="003E6588">
      <w:pPr>
        <w:ind w:firstLine="1134"/>
        <w:jc w:val="both"/>
      </w:pPr>
      <w:r>
        <w:t>Os contribuintes do ICMS puderam contar com nova edição do Programa Especial de Parcelamento - PEP, alcançando débitos fiscais relativos a fatos geradores ocorridos até 31 de dezembro de 2013. As adesões atingiram R$ 6,7 bilhões. A receita, já considerados multas e juros de mora</w:t>
      </w:r>
      <w:r w:rsidRPr="00FB2CCB">
        <w:t>, é de R$ 2,7 bilhões</w:t>
      </w:r>
      <w:r>
        <w:t>. Outro programa aberto, o PPD - Programa de Parcelamento de Débitos, que permitia a negociação de débitos de IPVA, ITCMD e Taxas, obteve grande êxito: 147 mil adesões e arrecadação de R$ 448,9 milhões.</w:t>
      </w:r>
    </w:p>
    <w:p w:rsidR="003E6588" w:rsidRDefault="003E6588">
      <w:pPr>
        <w:ind w:firstLine="1134"/>
        <w:jc w:val="both"/>
      </w:pPr>
      <w:r>
        <w:t xml:space="preserve">O ICMS, foi fortemente afetado pela queda no produto interno bruto, cujos contornos foram ainda mais severos no caso da economia paulista (receita de R$ 118,3 bilhões). Entre os grandes setores, o Comércio Varejista tem sido o destaque positivo, ao apresentar crescimento real de 5,1% na </w:t>
      </w:r>
      <w:r>
        <w:lastRenderedPageBreak/>
        <w:t>arrecadação acumulada no período de doze meses, em contraste com a receita de contribuintes da Indústria e de Preços Administrados.</w:t>
      </w:r>
    </w:p>
    <w:p w:rsidR="003E6588" w:rsidRDefault="003E6588">
      <w:pPr>
        <w:ind w:firstLine="1134"/>
        <w:jc w:val="both"/>
      </w:pPr>
    </w:p>
    <w:p w:rsidR="003E6588" w:rsidRDefault="003E6588">
      <w:pPr>
        <w:ind w:firstLine="1134"/>
        <w:jc w:val="both"/>
      </w:pPr>
      <w:r>
        <w:t>A arrecadação corrente de IPVA e ITCMD, de R$ 13,3 bilhões e R$ 1,7 bilhões, respectivamente, corresponde a resultado significativo, em face das c</w:t>
      </w:r>
      <w:r w:rsidR="00FB2CCB">
        <w:t>ondições presentes na economia.</w:t>
      </w:r>
    </w:p>
    <w:p w:rsidR="00FB2CCB" w:rsidRDefault="00FB2CCB">
      <w:pPr>
        <w:ind w:firstLine="1134"/>
        <w:jc w:val="both"/>
      </w:pPr>
    </w:p>
    <w:p w:rsidR="003E6588" w:rsidRDefault="003E6588">
      <w:pPr>
        <w:ind w:firstLine="1134"/>
        <w:jc w:val="both"/>
      </w:pPr>
      <w:r>
        <w:rPr>
          <w:b/>
        </w:rPr>
        <w:t xml:space="preserve">Programa de Parcelamento - </w:t>
      </w:r>
      <w:r>
        <w:t>Com o intuito de estimular o contribuinte a quitar suas dívidas com o fisco paulista, a Secretaria da Fazenda instituiu programas de parcelamento para o ICMS e outros débitos tributários: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color w:val="000000"/>
          <w:sz w:val="24"/>
          <w:szCs w:val="24"/>
        </w:rPr>
        <w:t>PEP</w:t>
      </w:r>
      <w:r>
        <w:rPr>
          <w:rFonts w:ascii="Times New Roman" w:hAnsi="Times New Roman"/>
          <w:b/>
          <w:sz w:val="24"/>
          <w:szCs w:val="24"/>
        </w:rPr>
        <w:t xml:space="preserve"> - Programa Especial de Parcelamento - </w:t>
      </w:r>
      <w:r>
        <w:rPr>
          <w:rFonts w:ascii="Times New Roman" w:hAnsi="Times New Roman"/>
          <w:sz w:val="24"/>
          <w:szCs w:val="24"/>
        </w:rPr>
        <w:t>Os contribuintes do ICMS puderam contar com nova edição do Programa Especial de Parcelamento - PEP, alcançando débitos fiscais relativos a fatos geradores ocorridos até 31 de dezembro de 2013. As adesões atingiram R$ 6,7 bilhões, gerando receita, já considerados multas e juros de mora, de R$ 2,7 bilhões.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PPD - Programa de Parcelamento de Débitos - </w:t>
      </w:r>
      <w:r>
        <w:rPr>
          <w:rFonts w:ascii="Times New Roman" w:hAnsi="Times New Roman"/>
          <w:sz w:val="24"/>
          <w:szCs w:val="24"/>
        </w:rPr>
        <w:t>Permitiu negociação de débitos de IPVA, ITCMD e Taxas; 147 mil adesões e arrecadação de R$ 448,9 milhões.</w:t>
      </w:r>
    </w:p>
    <w:p w:rsidR="003E6588" w:rsidRDefault="003E6588">
      <w:pPr>
        <w:pStyle w:val="PargrafodaLista"/>
        <w:ind w:left="0"/>
        <w:rPr>
          <w:rFonts w:ascii="Times New Roman" w:hAnsi="Times New Roman"/>
          <w:sz w:val="24"/>
          <w:szCs w:val="24"/>
        </w:rPr>
      </w:pPr>
    </w:p>
    <w:p w:rsidR="003E6588" w:rsidRDefault="003E6588">
      <w:pPr>
        <w:ind w:firstLine="1134"/>
        <w:jc w:val="both"/>
      </w:pPr>
      <w:r>
        <w:rPr>
          <w:b/>
        </w:rPr>
        <w:t xml:space="preserve">Operações de crédito - </w:t>
      </w:r>
      <w:r>
        <w:t>A Secretaria da Fazenda contratou doze novas operações de crédito interno e externo, no valor de R$ 10,5 bilhões.</w:t>
      </w:r>
    </w:p>
    <w:p w:rsidR="003E6588" w:rsidRDefault="003E6588">
      <w:pPr>
        <w:pStyle w:val="Legenda"/>
        <w:ind w:firstLine="1134"/>
        <w:jc w:val="both"/>
        <w:rPr>
          <w:rFonts w:ascii="Times New Roman" w:hAnsi="Times New Roman"/>
          <w:caps/>
          <w:sz w:val="24"/>
          <w:szCs w:val="24"/>
        </w:rPr>
      </w:pPr>
    </w:p>
    <w:p w:rsidR="003E6588" w:rsidRDefault="003E6588">
      <w:pPr>
        <w:pStyle w:val="Legenda"/>
        <w:ind w:firstLine="1134"/>
        <w:jc w:val="both"/>
        <w:rPr>
          <w:rFonts w:ascii="Times New Roman" w:hAnsi="Times New Roman"/>
          <w:caps/>
          <w:sz w:val="24"/>
          <w:szCs w:val="24"/>
        </w:rPr>
      </w:pPr>
      <w:r>
        <w:rPr>
          <w:rFonts w:ascii="Times New Roman" w:hAnsi="Times New Roman"/>
          <w:sz w:val="24"/>
          <w:szCs w:val="24"/>
        </w:rPr>
        <w:t>Operações de Crédito</w:t>
      </w:r>
    </w:p>
    <w:p w:rsidR="003E6588" w:rsidRDefault="003E6588" w:rsidP="00FB2CCB">
      <w:pPr>
        <w:jc w:val="both"/>
      </w:pPr>
    </w:p>
    <w:tbl>
      <w:tblPr>
        <w:tblW w:w="10082" w:type="dxa"/>
        <w:jc w:val="center"/>
        <w:tblInd w:w="-362" w:type="dxa"/>
        <w:tblLayout w:type="fixed"/>
        <w:tblCellMar>
          <w:left w:w="70" w:type="dxa"/>
          <w:right w:w="70" w:type="dxa"/>
        </w:tblCellMar>
        <w:tblLook w:val="04A0"/>
      </w:tblPr>
      <w:tblGrid>
        <w:gridCol w:w="5364"/>
        <w:gridCol w:w="1330"/>
        <w:gridCol w:w="892"/>
        <w:gridCol w:w="1070"/>
        <w:gridCol w:w="1426"/>
      </w:tblGrid>
      <w:tr w:rsidR="003E6588" w:rsidTr="00FE61FD">
        <w:trPr>
          <w:trHeight w:val="255"/>
          <w:jc w:val="center"/>
        </w:trPr>
        <w:tc>
          <w:tcPr>
            <w:tcW w:w="10082" w:type="dxa"/>
            <w:gridSpan w:val="5"/>
            <w:tcBorders>
              <w:top w:val="nil"/>
              <w:left w:val="nil"/>
              <w:bottom w:val="single" w:sz="8" w:space="0" w:color="auto"/>
              <w:right w:val="nil"/>
            </w:tcBorders>
            <w:noWrap/>
            <w:vAlign w:val="center"/>
          </w:tcPr>
          <w:p w:rsidR="003E6588" w:rsidRPr="00FE61FD" w:rsidRDefault="003E6588">
            <w:pPr>
              <w:numPr>
                <w:ilvl w:val="0"/>
                <w:numId w:val="14"/>
              </w:numPr>
              <w:ind w:left="0" w:firstLine="1134"/>
              <w:jc w:val="both"/>
              <w:rPr>
                <w:b/>
                <w:bCs/>
              </w:rPr>
            </w:pPr>
            <w:r>
              <w:rPr>
                <w:bCs/>
                <w:sz w:val="20"/>
                <w:szCs w:val="20"/>
              </w:rPr>
              <w:t xml:space="preserve">Operações de crédito em execução junto à Agência Francesa de Desenvolvimento - AFD, Banco do Brasil - BB, Banco Europeu de Investimento - BEI, Banco Interamericano de Desenvolvimento - BID, Banco Mundial - BIRD, Banco Nacional de Desenvolvimento Econômico e Social - BNDES, Banco Santander S.A. com garantia da </w:t>
            </w:r>
            <w:r>
              <w:rPr>
                <w:bCs/>
                <w:i/>
                <w:sz w:val="20"/>
                <w:szCs w:val="20"/>
              </w:rPr>
              <w:t>Multilateral Investment Guarantee Agency - MIGA</w:t>
            </w:r>
            <w:r>
              <w:rPr>
                <w:bCs/>
                <w:sz w:val="20"/>
                <w:szCs w:val="20"/>
              </w:rPr>
              <w:t xml:space="preserve">, Banco de Desenvolvimento da América Latina - CAF, Caixa Econômica Federal - CEF, </w:t>
            </w:r>
            <w:r>
              <w:rPr>
                <w:bCs/>
                <w:i/>
                <w:sz w:val="20"/>
                <w:szCs w:val="20"/>
              </w:rPr>
              <w:t>Japan Bank for International Cooperation - JBIC</w:t>
            </w:r>
            <w:r>
              <w:rPr>
                <w:bCs/>
                <w:sz w:val="20"/>
                <w:szCs w:val="20"/>
              </w:rPr>
              <w:t xml:space="preserve"> e </w:t>
            </w:r>
            <w:r>
              <w:rPr>
                <w:bCs/>
                <w:i/>
                <w:sz w:val="20"/>
                <w:szCs w:val="20"/>
              </w:rPr>
              <w:t>Japan International Cooperation Agency - JICA:</w:t>
            </w:r>
          </w:p>
          <w:p w:rsidR="00FE61FD" w:rsidRPr="00FE61FD" w:rsidRDefault="00FE61FD" w:rsidP="00FE61FD">
            <w:pPr>
              <w:ind w:left="1134"/>
              <w:jc w:val="both"/>
              <w:rPr>
                <w:b/>
                <w:bCs/>
                <w:sz w:val="20"/>
                <w:szCs w:val="20"/>
              </w:rPr>
            </w:pPr>
          </w:p>
        </w:tc>
      </w:tr>
      <w:tr w:rsidR="003E6588" w:rsidTr="00FE61FD">
        <w:trPr>
          <w:trHeight w:val="219"/>
          <w:jc w:val="center"/>
        </w:trPr>
        <w:tc>
          <w:tcPr>
            <w:tcW w:w="5364"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3E6588" w:rsidRDefault="003E6588">
            <w:pPr>
              <w:rPr>
                <w:b/>
                <w:sz w:val="18"/>
                <w:szCs w:val="18"/>
              </w:rPr>
            </w:pPr>
            <w:r>
              <w:rPr>
                <w:b/>
                <w:sz w:val="18"/>
                <w:szCs w:val="18"/>
              </w:rPr>
              <w:t>Projetos</w:t>
            </w:r>
          </w:p>
        </w:tc>
        <w:tc>
          <w:tcPr>
            <w:tcW w:w="1330"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sz w:val="18"/>
                <w:szCs w:val="18"/>
              </w:rPr>
            </w:pPr>
            <w:r>
              <w:rPr>
                <w:b/>
                <w:bCs/>
                <w:sz w:val="18"/>
                <w:szCs w:val="18"/>
              </w:rPr>
              <w:t>Financiador</w:t>
            </w:r>
          </w:p>
        </w:tc>
        <w:tc>
          <w:tcPr>
            <w:tcW w:w="892"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sz w:val="18"/>
                <w:szCs w:val="18"/>
              </w:rPr>
            </w:pPr>
            <w:r>
              <w:rPr>
                <w:b/>
                <w:bCs/>
                <w:sz w:val="18"/>
                <w:szCs w:val="18"/>
              </w:rPr>
              <w:t>Moeda</w:t>
            </w:r>
          </w:p>
        </w:tc>
        <w:tc>
          <w:tcPr>
            <w:tcW w:w="1070"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sz w:val="18"/>
                <w:szCs w:val="18"/>
              </w:rPr>
            </w:pPr>
            <w:r>
              <w:rPr>
                <w:b/>
                <w:bCs/>
                <w:sz w:val="18"/>
                <w:szCs w:val="18"/>
              </w:rPr>
              <w:t>Valor</w:t>
            </w:r>
          </w:p>
          <w:p w:rsidR="003E6588" w:rsidRDefault="003E6588">
            <w:pPr>
              <w:rPr>
                <w:b/>
                <w:bCs/>
                <w:sz w:val="18"/>
                <w:szCs w:val="18"/>
              </w:rPr>
            </w:pPr>
            <w:r>
              <w:rPr>
                <w:b/>
                <w:bCs/>
                <w:sz w:val="18"/>
                <w:szCs w:val="18"/>
              </w:rPr>
              <w:t>(Mil)</w:t>
            </w:r>
          </w:p>
        </w:tc>
        <w:tc>
          <w:tcPr>
            <w:tcW w:w="1426" w:type="dxa"/>
            <w:tcBorders>
              <w:top w:val="single" w:sz="8" w:space="0" w:color="auto"/>
              <w:left w:val="single" w:sz="4" w:space="0" w:color="auto"/>
              <w:bottom w:val="single" w:sz="4" w:space="0" w:color="auto"/>
              <w:right w:val="single" w:sz="8" w:space="0" w:color="auto"/>
            </w:tcBorders>
            <w:shd w:val="clear" w:color="auto" w:fill="auto"/>
            <w:vAlign w:val="center"/>
            <w:hideMark/>
          </w:tcPr>
          <w:p w:rsidR="003E6588" w:rsidRDefault="003E6588">
            <w:pPr>
              <w:rPr>
                <w:b/>
                <w:bCs/>
                <w:sz w:val="18"/>
                <w:szCs w:val="18"/>
              </w:rPr>
            </w:pPr>
            <w:r>
              <w:rPr>
                <w:b/>
                <w:bCs/>
                <w:sz w:val="18"/>
                <w:szCs w:val="18"/>
              </w:rPr>
              <w:t>Prazo para desembolso</w:t>
            </w:r>
          </w:p>
        </w:tc>
      </w:tr>
      <w:tr w:rsidR="003E6588" w:rsidTr="00FE61FD">
        <w:trPr>
          <w:trHeight w:val="194"/>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t>Linha 4 Amarela do Metrô - Fase II/Metrô</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BIRD</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130.000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abr/16</w:t>
            </w:r>
          </w:p>
        </w:tc>
      </w:tr>
      <w:tr w:rsidR="003E6588" w:rsidTr="00FE61FD">
        <w:trPr>
          <w:trHeight w:val="98"/>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230"/>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JBIC</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130.000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abr/16</w:t>
            </w:r>
          </w:p>
        </w:tc>
      </w:tr>
      <w:tr w:rsidR="003E6588" w:rsidTr="00FE61FD">
        <w:trPr>
          <w:trHeight w:val="143"/>
          <w:jc w:val="center"/>
        </w:trPr>
        <w:tc>
          <w:tcPr>
            <w:tcW w:w="5364" w:type="dxa"/>
            <w:vMerge w:val="restart"/>
            <w:tcBorders>
              <w:top w:val="single" w:sz="4" w:space="0" w:color="auto"/>
              <w:left w:val="single" w:sz="8" w:space="0" w:color="auto"/>
              <w:bottom w:val="single" w:sz="4" w:space="0" w:color="auto"/>
              <w:right w:val="single" w:sz="4" w:space="0" w:color="000000"/>
            </w:tcBorders>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t>Expansão da linha 5 lilás do Metrô</w:t>
            </w:r>
          </w:p>
        </w:tc>
        <w:tc>
          <w:tcPr>
            <w:tcW w:w="1330" w:type="dxa"/>
            <w:tcBorders>
              <w:top w:val="single" w:sz="4" w:space="0" w:color="auto"/>
              <w:left w:val="single" w:sz="4" w:space="0" w:color="000000"/>
              <w:bottom w:val="dashed" w:sz="4" w:space="0" w:color="808080"/>
              <w:right w:val="single" w:sz="4" w:space="0" w:color="000000"/>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000000"/>
              <w:bottom w:val="dashed" w:sz="4" w:space="0" w:color="808080"/>
              <w:right w:val="single" w:sz="4" w:space="0" w:color="000000"/>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000000"/>
              <w:bottom w:val="dashed" w:sz="4" w:space="0" w:color="808080"/>
              <w:right w:val="single" w:sz="4" w:space="0" w:color="000000"/>
            </w:tcBorders>
            <w:vAlign w:val="center"/>
            <w:hideMark/>
          </w:tcPr>
          <w:p w:rsidR="003E6588" w:rsidRDefault="003E6588">
            <w:pPr>
              <w:jc w:val="right"/>
              <w:rPr>
                <w:sz w:val="18"/>
                <w:szCs w:val="18"/>
              </w:rPr>
            </w:pPr>
            <w:r>
              <w:rPr>
                <w:sz w:val="18"/>
                <w:szCs w:val="18"/>
              </w:rPr>
              <w:t>480.958</w:t>
            </w:r>
          </w:p>
        </w:tc>
        <w:tc>
          <w:tcPr>
            <w:tcW w:w="1426" w:type="dxa"/>
            <w:tcBorders>
              <w:top w:val="single" w:sz="4" w:space="0" w:color="auto"/>
              <w:left w:val="single" w:sz="4" w:space="0" w:color="000000"/>
              <w:bottom w:val="dashed" w:sz="4" w:space="0" w:color="808080"/>
              <w:right w:val="single" w:sz="8" w:space="0" w:color="auto"/>
            </w:tcBorders>
            <w:vAlign w:val="center"/>
            <w:hideMark/>
          </w:tcPr>
          <w:p w:rsidR="003E6588" w:rsidRDefault="003E6588">
            <w:pPr>
              <w:rPr>
                <w:sz w:val="18"/>
                <w:szCs w:val="18"/>
              </w:rPr>
            </w:pPr>
            <w:r>
              <w:rPr>
                <w:sz w:val="18"/>
                <w:szCs w:val="18"/>
              </w:rPr>
              <w:t>mar/15</w:t>
            </w:r>
          </w:p>
        </w:tc>
      </w:tr>
      <w:tr w:rsidR="003E6588" w:rsidTr="00FE61FD">
        <w:trPr>
          <w:trHeight w:val="176"/>
          <w:jc w:val="center"/>
        </w:trPr>
        <w:tc>
          <w:tcPr>
            <w:tcW w:w="5364" w:type="dxa"/>
            <w:vMerge/>
            <w:tcBorders>
              <w:top w:val="single" w:sz="4" w:space="0" w:color="auto"/>
              <w:left w:val="single" w:sz="8" w:space="0" w:color="auto"/>
              <w:bottom w:val="single" w:sz="4" w:space="0" w:color="auto"/>
              <w:right w:val="single" w:sz="4" w:space="0" w:color="000000"/>
            </w:tcBorders>
            <w:vAlign w:val="center"/>
            <w:hideMark/>
          </w:tcPr>
          <w:p w:rsidR="003E6588" w:rsidRDefault="003E6588" w:rsidP="00FB2CCB">
            <w:pPr>
              <w:jc w:val="left"/>
              <w:rPr>
                <w:sz w:val="18"/>
                <w:szCs w:val="18"/>
              </w:rPr>
            </w:pPr>
          </w:p>
        </w:tc>
        <w:tc>
          <w:tcPr>
            <w:tcW w:w="1330" w:type="dxa"/>
            <w:tcBorders>
              <w:top w:val="dashed" w:sz="4" w:space="0" w:color="808080"/>
              <w:left w:val="single" w:sz="4" w:space="0" w:color="000000"/>
              <w:bottom w:val="dashed" w:sz="4" w:space="0" w:color="808080"/>
              <w:right w:val="single" w:sz="4" w:space="0" w:color="000000"/>
            </w:tcBorders>
            <w:vAlign w:val="center"/>
            <w:hideMark/>
          </w:tcPr>
          <w:p w:rsidR="003E6588" w:rsidRDefault="003E6588">
            <w:pPr>
              <w:rPr>
                <w:sz w:val="18"/>
                <w:szCs w:val="18"/>
              </w:rPr>
            </w:pPr>
            <w:r>
              <w:rPr>
                <w:sz w:val="18"/>
                <w:szCs w:val="18"/>
              </w:rPr>
              <w:t>BIRD</w:t>
            </w:r>
          </w:p>
        </w:tc>
        <w:tc>
          <w:tcPr>
            <w:tcW w:w="892" w:type="dxa"/>
            <w:tcBorders>
              <w:top w:val="dashed" w:sz="4" w:space="0" w:color="808080"/>
              <w:left w:val="single" w:sz="4" w:space="0" w:color="000000"/>
              <w:bottom w:val="dashed" w:sz="4" w:space="0" w:color="808080"/>
              <w:right w:val="single" w:sz="4" w:space="0" w:color="000000"/>
            </w:tcBorders>
            <w:vAlign w:val="center"/>
            <w:hideMark/>
          </w:tcPr>
          <w:p w:rsidR="003E6588" w:rsidRDefault="003E6588">
            <w:pPr>
              <w:rPr>
                <w:sz w:val="18"/>
                <w:szCs w:val="18"/>
              </w:rPr>
            </w:pPr>
            <w:r>
              <w:rPr>
                <w:sz w:val="18"/>
                <w:szCs w:val="18"/>
              </w:rPr>
              <w:t>US$</w:t>
            </w:r>
          </w:p>
        </w:tc>
        <w:tc>
          <w:tcPr>
            <w:tcW w:w="1070" w:type="dxa"/>
            <w:tcBorders>
              <w:top w:val="dashed" w:sz="4" w:space="0" w:color="808080"/>
              <w:left w:val="single" w:sz="4" w:space="0" w:color="000000"/>
              <w:bottom w:val="dashed" w:sz="4" w:space="0" w:color="808080"/>
              <w:right w:val="single" w:sz="4" w:space="0" w:color="000000"/>
            </w:tcBorders>
            <w:vAlign w:val="center"/>
            <w:hideMark/>
          </w:tcPr>
          <w:p w:rsidR="003E6588" w:rsidRDefault="003E6588">
            <w:pPr>
              <w:jc w:val="right"/>
              <w:rPr>
                <w:sz w:val="18"/>
                <w:szCs w:val="18"/>
              </w:rPr>
            </w:pPr>
            <w:r>
              <w:rPr>
                <w:sz w:val="18"/>
                <w:szCs w:val="18"/>
              </w:rPr>
              <w:t>650.400</w:t>
            </w:r>
          </w:p>
        </w:tc>
        <w:tc>
          <w:tcPr>
            <w:tcW w:w="1426" w:type="dxa"/>
            <w:tcBorders>
              <w:top w:val="dashed" w:sz="4" w:space="0" w:color="808080"/>
              <w:left w:val="single" w:sz="4" w:space="0" w:color="000000"/>
              <w:bottom w:val="dashed" w:sz="4" w:space="0" w:color="808080"/>
              <w:right w:val="single" w:sz="8" w:space="0" w:color="auto"/>
            </w:tcBorders>
            <w:vAlign w:val="center"/>
            <w:hideMark/>
          </w:tcPr>
          <w:p w:rsidR="003E6588" w:rsidRDefault="003E6588">
            <w:pPr>
              <w:rPr>
                <w:sz w:val="18"/>
                <w:szCs w:val="18"/>
              </w:rPr>
            </w:pPr>
            <w:r>
              <w:rPr>
                <w:sz w:val="18"/>
                <w:szCs w:val="18"/>
              </w:rPr>
              <w:t>dez/16</w:t>
            </w:r>
          </w:p>
        </w:tc>
      </w:tr>
      <w:tr w:rsidR="003E6588" w:rsidTr="00FE61FD">
        <w:trPr>
          <w:trHeight w:val="265"/>
          <w:jc w:val="center"/>
        </w:trPr>
        <w:tc>
          <w:tcPr>
            <w:tcW w:w="5364" w:type="dxa"/>
            <w:vMerge/>
            <w:tcBorders>
              <w:top w:val="single" w:sz="4" w:space="0" w:color="auto"/>
              <w:left w:val="single" w:sz="8" w:space="0" w:color="auto"/>
              <w:bottom w:val="single" w:sz="4" w:space="0" w:color="auto"/>
              <w:right w:val="single" w:sz="4" w:space="0" w:color="000000"/>
            </w:tcBorders>
            <w:vAlign w:val="center"/>
            <w:hideMark/>
          </w:tcPr>
          <w:p w:rsidR="003E6588" w:rsidRDefault="003E6588" w:rsidP="00FB2CCB">
            <w:pPr>
              <w:jc w:val="left"/>
              <w:rPr>
                <w:sz w:val="18"/>
                <w:szCs w:val="18"/>
              </w:rPr>
            </w:pPr>
          </w:p>
        </w:tc>
        <w:tc>
          <w:tcPr>
            <w:tcW w:w="1330" w:type="dxa"/>
            <w:tcBorders>
              <w:top w:val="dashed" w:sz="4" w:space="0" w:color="808080"/>
              <w:left w:val="single" w:sz="4" w:space="0" w:color="000000"/>
              <w:bottom w:val="dashed" w:sz="4" w:space="0" w:color="808080"/>
              <w:right w:val="single" w:sz="4" w:space="0" w:color="000000"/>
            </w:tcBorders>
            <w:vAlign w:val="center"/>
            <w:hideMark/>
          </w:tcPr>
          <w:p w:rsidR="003E6588" w:rsidRDefault="003E6588">
            <w:pPr>
              <w:rPr>
                <w:sz w:val="18"/>
                <w:szCs w:val="18"/>
              </w:rPr>
            </w:pPr>
            <w:r>
              <w:rPr>
                <w:sz w:val="18"/>
                <w:szCs w:val="18"/>
              </w:rPr>
              <w:t>BNDES</w:t>
            </w:r>
          </w:p>
        </w:tc>
        <w:tc>
          <w:tcPr>
            <w:tcW w:w="892" w:type="dxa"/>
            <w:tcBorders>
              <w:top w:val="dashed" w:sz="4" w:space="0" w:color="808080"/>
              <w:left w:val="single" w:sz="4" w:space="0" w:color="000000"/>
              <w:bottom w:val="dashed" w:sz="4" w:space="0" w:color="808080"/>
              <w:right w:val="single" w:sz="4" w:space="0" w:color="000000"/>
            </w:tcBorders>
            <w:vAlign w:val="center"/>
            <w:hideMark/>
          </w:tcPr>
          <w:p w:rsidR="003E6588" w:rsidRDefault="003E6588">
            <w:pPr>
              <w:rPr>
                <w:sz w:val="18"/>
                <w:szCs w:val="18"/>
              </w:rPr>
            </w:pPr>
            <w:r>
              <w:rPr>
                <w:sz w:val="18"/>
                <w:szCs w:val="18"/>
              </w:rPr>
              <w:t>R$</w:t>
            </w:r>
          </w:p>
        </w:tc>
        <w:tc>
          <w:tcPr>
            <w:tcW w:w="1070" w:type="dxa"/>
            <w:tcBorders>
              <w:top w:val="dashed" w:sz="4" w:space="0" w:color="808080"/>
              <w:left w:val="single" w:sz="4" w:space="0" w:color="000000"/>
              <w:bottom w:val="dashed" w:sz="4" w:space="0" w:color="808080"/>
              <w:right w:val="single" w:sz="4" w:space="0" w:color="000000"/>
            </w:tcBorders>
            <w:vAlign w:val="center"/>
            <w:hideMark/>
          </w:tcPr>
          <w:p w:rsidR="003E6588" w:rsidRDefault="003E6588">
            <w:pPr>
              <w:jc w:val="right"/>
              <w:rPr>
                <w:sz w:val="18"/>
                <w:szCs w:val="18"/>
              </w:rPr>
            </w:pPr>
            <w:r>
              <w:rPr>
                <w:sz w:val="18"/>
                <w:szCs w:val="18"/>
              </w:rPr>
              <w:t>766.000</w:t>
            </w:r>
          </w:p>
        </w:tc>
        <w:tc>
          <w:tcPr>
            <w:tcW w:w="1426" w:type="dxa"/>
            <w:tcBorders>
              <w:top w:val="dashed" w:sz="4" w:space="0" w:color="808080"/>
              <w:left w:val="single" w:sz="4" w:space="0" w:color="000000"/>
              <w:bottom w:val="dashed" w:sz="4" w:space="0" w:color="808080"/>
              <w:right w:val="single" w:sz="8" w:space="0" w:color="auto"/>
            </w:tcBorders>
            <w:vAlign w:val="center"/>
            <w:hideMark/>
          </w:tcPr>
          <w:p w:rsidR="003E6588" w:rsidRDefault="003E6588">
            <w:pPr>
              <w:rPr>
                <w:sz w:val="18"/>
                <w:szCs w:val="18"/>
              </w:rPr>
            </w:pPr>
            <w:r>
              <w:rPr>
                <w:sz w:val="18"/>
                <w:szCs w:val="18"/>
              </w:rPr>
              <w:t>dez/16</w:t>
            </w:r>
          </w:p>
        </w:tc>
      </w:tr>
      <w:tr w:rsidR="003E6588" w:rsidTr="00FE61FD">
        <w:trPr>
          <w:trHeight w:val="365"/>
          <w:jc w:val="center"/>
        </w:trPr>
        <w:tc>
          <w:tcPr>
            <w:tcW w:w="5364" w:type="dxa"/>
            <w:vMerge/>
            <w:tcBorders>
              <w:top w:val="single" w:sz="4" w:space="0" w:color="auto"/>
              <w:left w:val="single" w:sz="8" w:space="0" w:color="auto"/>
              <w:bottom w:val="single" w:sz="4" w:space="0" w:color="auto"/>
              <w:right w:val="single" w:sz="4" w:space="0" w:color="000000"/>
            </w:tcBorders>
            <w:vAlign w:val="center"/>
            <w:hideMark/>
          </w:tcPr>
          <w:p w:rsidR="003E6588" w:rsidRDefault="003E6588" w:rsidP="00FB2CCB">
            <w:pPr>
              <w:jc w:val="left"/>
              <w:rPr>
                <w:sz w:val="18"/>
                <w:szCs w:val="18"/>
              </w:rPr>
            </w:pPr>
          </w:p>
        </w:tc>
        <w:tc>
          <w:tcPr>
            <w:tcW w:w="1330" w:type="dxa"/>
            <w:tcBorders>
              <w:top w:val="dashed" w:sz="4" w:space="0" w:color="808080"/>
              <w:left w:val="single" w:sz="4" w:space="0" w:color="000000"/>
              <w:bottom w:val="single" w:sz="4" w:space="0" w:color="auto"/>
              <w:right w:val="single" w:sz="4" w:space="0" w:color="000000"/>
            </w:tcBorders>
            <w:vAlign w:val="center"/>
            <w:hideMark/>
          </w:tcPr>
          <w:p w:rsidR="003E6588" w:rsidRDefault="003E6588">
            <w:pPr>
              <w:rPr>
                <w:sz w:val="18"/>
                <w:szCs w:val="18"/>
              </w:rPr>
            </w:pPr>
            <w:r>
              <w:rPr>
                <w:sz w:val="18"/>
                <w:szCs w:val="18"/>
              </w:rPr>
              <w:t>BNDES</w:t>
            </w:r>
          </w:p>
          <w:p w:rsidR="003E6588" w:rsidRDefault="003E6588">
            <w:pPr>
              <w:rPr>
                <w:sz w:val="18"/>
                <w:szCs w:val="18"/>
              </w:rPr>
            </w:pPr>
            <w:r>
              <w:rPr>
                <w:sz w:val="18"/>
                <w:szCs w:val="18"/>
              </w:rPr>
              <w:t>Proinveste</w:t>
            </w:r>
          </w:p>
        </w:tc>
        <w:tc>
          <w:tcPr>
            <w:tcW w:w="892" w:type="dxa"/>
            <w:tcBorders>
              <w:top w:val="dashed" w:sz="4" w:space="0" w:color="808080"/>
              <w:left w:val="single" w:sz="4" w:space="0" w:color="000000"/>
              <w:bottom w:val="single" w:sz="4" w:space="0" w:color="auto"/>
              <w:right w:val="single" w:sz="4" w:space="0" w:color="000000"/>
            </w:tcBorders>
            <w:vAlign w:val="center"/>
            <w:hideMark/>
          </w:tcPr>
          <w:p w:rsidR="003E6588" w:rsidRDefault="003E6588">
            <w:pPr>
              <w:rPr>
                <w:sz w:val="18"/>
                <w:szCs w:val="18"/>
              </w:rPr>
            </w:pPr>
            <w:r>
              <w:rPr>
                <w:sz w:val="18"/>
                <w:szCs w:val="18"/>
              </w:rPr>
              <w:t>R$</w:t>
            </w:r>
          </w:p>
        </w:tc>
        <w:tc>
          <w:tcPr>
            <w:tcW w:w="1070" w:type="dxa"/>
            <w:tcBorders>
              <w:top w:val="dashed" w:sz="4" w:space="0" w:color="808080"/>
              <w:left w:val="single" w:sz="4" w:space="0" w:color="000000"/>
              <w:bottom w:val="single" w:sz="4" w:space="0" w:color="auto"/>
              <w:right w:val="single" w:sz="4" w:space="0" w:color="000000"/>
            </w:tcBorders>
            <w:vAlign w:val="center"/>
            <w:hideMark/>
          </w:tcPr>
          <w:p w:rsidR="003E6588" w:rsidRDefault="003E6588">
            <w:pPr>
              <w:jc w:val="right"/>
              <w:rPr>
                <w:sz w:val="18"/>
                <w:szCs w:val="18"/>
              </w:rPr>
            </w:pPr>
            <w:r>
              <w:rPr>
                <w:sz w:val="18"/>
                <w:szCs w:val="18"/>
              </w:rPr>
              <w:t>1.958.620</w:t>
            </w:r>
          </w:p>
        </w:tc>
        <w:tc>
          <w:tcPr>
            <w:tcW w:w="1426" w:type="dxa"/>
            <w:tcBorders>
              <w:top w:val="dashed" w:sz="4" w:space="0" w:color="808080"/>
              <w:left w:val="single" w:sz="4" w:space="0" w:color="000000"/>
              <w:bottom w:val="single" w:sz="4" w:space="0" w:color="auto"/>
              <w:right w:val="single" w:sz="8" w:space="0" w:color="auto"/>
            </w:tcBorders>
            <w:vAlign w:val="center"/>
            <w:hideMark/>
          </w:tcPr>
          <w:p w:rsidR="003E6588" w:rsidRDefault="003E6588">
            <w:pPr>
              <w:rPr>
                <w:sz w:val="18"/>
                <w:szCs w:val="18"/>
              </w:rPr>
            </w:pPr>
            <w:r>
              <w:rPr>
                <w:sz w:val="18"/>
                <w:szCs w:val="18"/>
              </w:rPr>
              <w:t>dez/14</w:t>
            </w:r>
          </w:p>
        </w:tc>
      </w:tr>
      <w:tr w:rsidR="003E6588" w:rsidTr="00FE61FD">
        <w:trPr>
          <w:trHeight w:val="234"/>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t>Linha 17 Ouro/Metrô</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CEF</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1.082.000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set/15</w:t>
            </w:r>
          </w:p>
        </w:tc>
      </w:tr>
      <w:tr w:rsidR="003E6588" w:rsidTr="00FE61FD">
        <w:trPr>
          <w:trHeight w:val="192"/>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t>Linha 15 - Prata - Sistema Monotrilho - Trecho Vila Prudente - Hospital Cidade Tiradentes/Metrô</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BNDES I</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 xml:space="preserve">R$ </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922.000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jul/17</w:t>
            </w:r>
          </w:p>
        </w:tc>
      </w:tr>
      <w:tr w:rsidR="003E6588" w:rsidTr="00FE61FD">
        <w:trPr>
          <w:trHeight w:val="95"/>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230"/>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 II</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800.000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ago/16</w:t>
            </w:r>
          </w:p>
        </w:tc>
      </w:tr>
      <w:tr w:rsidR="003E6588" w:rsidTr="00FE61FD">
        <w:trPr>
          <w:trHeight w:val="270"/>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t>Linha 2 - Verde - Trecho Estação Vila Prudente - Estacionamento Rapadura/Metrô</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bCs/>
                <w:sz w:val="18"/>
                <w:szCs w:val="18"/>
              </w:rPr>
            </w:pPr>
            <w:r>
              <w:rPr>
                <w:bCs/>
                <w:sz w:val="18"/>
                <w:szCs w:val="18"/>
              </w:rPr>
              <w:t>BNDES</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bCs/>
                <w:sz w:val="18"/>
                <w:szCs w:val="18"/>
              </w:rPr>
            </w:pPr>
            <w:r>
              <w:rPr>
                <w:bCs/>
                <w:sz w:val="18"/>
                <w:szCs w:val="18"/>
              </w:rPr>
              <w:t>1.500.000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dez/18</w:t>
            </w:r>
          </w:p>
        </w:tc>
      </w:tr>
      <w:tr w:rsidR="003E6588" w:rsidTr="00FE61FD">
        <w:trPr>
          <w:trHeight w:val="92"/>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t xml:space="preserve">Linha 6 - Laranja do Metrô de SP/Metrô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1.700.000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jul/19</w:t>
            </w:r>
          </w:p>
        </w:tc>
      </w:tr>
      <w:tr w:rsidR="003E6588" w:rsidTr="00FE61FD">
        <w:trPr>
          <w:trHeight w:val="138"/>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Pr="00FB2CCB" w:rsidRDefault="003E6588" w:rsidP="00FB2CCB">
            <w:pPr>
              <w:numPr>
                <w:ilvl w:val="0"/>
                <w:numId w:val="15"/>
              </w:numPr>
              <w:tabs>
                <w:tab w:val="left" w:pos="230"/>
              </w:tabs>
              <w:ind w:left="0" w:firstLine="0"/>
              <w:jc w:val="left"/>
              <w:rPr>
                <w:sz w:val="18"/>
                <w:szCs w:val="18"/>
              </w:rPr>
            </w:pPr>
            <w:r w:rsidRPr="00FB2CCB">
              <w:rPr>
                <w:sz w:val="18"/>
                <w:szCs w:val="18"/>
              </w:rPr>
              <w:t>Material Rodante e Sistemas (57 Trens)/CPTM e Metrô</w:t>
            </w:r>
          </w:p>
        </w:tc>
        <w:tc>
          <w:tcPr>
            <w:tcW w:w="1330" w:type="dxa"/>
            <w:tcBorders>
              <w:top w:val="single" w:sz="4" w:space="0" w:color="auto"/>
              <w:left w:val="single" w:sz="4" w:space="0" w:color="auto"/>
              <w:bottom w:val="dashed" w:sz="4" w:space="0" w:color="808080"/>
              <w:right w:val="single" w:sz="4" w:space="0" w:color="auto"/>
            </w:tcBorders>
            <w:vAlign w:val="center"/>
            <w:hideMark/>
          </w:tcPr>
          <w:p w:rsidR="003E6588" w:rsidRDefault="003E6588">
            <w:pPr>
              <w:rPr>
                <w:sz w:val="18"/>
                <w:szCs w:val="18"/>
              </w:rPr>
            </w:pPr>
            <w:r>
              <w:rPr>
                <w:sz w:val="18"/>
                <w:szCs w:val="18"/>
              </w:rPr>
              <w:t>BIRD</w:t>
            </w:r>
          </w:p>
        </w:tc>
        <w:tc>
          <w:tcPr>
            <w:tcW w:w="892" w:type="dxa"/>
            <w:tcBorders>
              <w:top w:val="single" w:sz="4" w:space="0" w:color="auto"/>
              <w:left w:val="single" w:sz="4" w:space="0" w:color="auto"/>
              <w:bottom w:val="dashed" w:sz="4" w:space="0" w:color="808080"/>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dashed" w:sz="4" w:space="0" w:color="808080"/>
              <w:right w:val="single" w:sz="4" w:space="0" w:color="auto"/>
            </w:tcBorders>
            <w:vAlign w:val="center"/>
            <w:hideMark/>
          </w:tcPr>
          <w:p w:rsidR="003E6588" w:rsidRDefault="003E6588">
            <w:pPr>
              <w:jc w:val="right"/>
              <w:rPr>
                <w:sz w:val="18"/>
                <w:szCs w:val="18"/>
              </w:rPr>
            </w:pPr>
            <w:r>
              <w:rPr>
                <w:sz w:val="18"/>
                <w:szCs w:val="18"/>
              </w:rPr>
              <w:t>550.016</w:t>
            </w:r>
          </w:p>
        </w:tc>
        <w:tc>
          <w:tcPr>
            <w:tcW w:w="1426" w:type="dxa"/>
            <w:tcBorders>
              <w:top w:val="single" w:sz="4" w:space="0" w:color="auto"/>
              <w:left w:val="single" w:sz="4" w:space="0" w:color="auto"/>
              <w:bottom w:val="dashed" w:sz="4" w:space="0" w:color="808080"/>
              <w:right w:val="single" w:sz="8" w:space="0" w:color="auto"/>
            </w:tcBorders>
            <w:vAlign w:val="center"/>
            <w:hideMark/>
          </w:tcPr>
          <w:p w:rsidR="003E6588" w:rsidRDefault="003E6588">
            <w:pPr>
              <w:rPr>
                <w:sz w:val="18"/>
                <w:szCs w:val="18"/>
              </w:rPr>
            </w:pPr>
            <w:r>
              <w:rPr>
                <w:sz w:val="18"/>
                <w:szCs w:val="18"/>
              </w:rPr>
              <w:t>abr/15</w:t>
            </w:r>
          </w:p>
        </w:tc>
      </w:tr>
      <w:tr w:rsidR="003E6588" w:rsidTr="00FE61FD">
        <w:trPr>
          <w:trHeight w:val="183"/>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230"/>
              </w:tabs>
              <w:jc w:val="left"/>
              <w:rPr>
                <w:sz w:val="18"/>
                <w:szCs w:val="18"/>
              </w:rPr>
            </w:pPr>
          </w:p>
        </w:tc>
        <w:tc>
          <w:tcPr>
            <w:tcW w:w="1330" w:type="dxa"/>
            <w:tcBorders>
              <w:top w:val="nil"/>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JBIC</w:t>
            </w:r>
          </w:p>
        </w:tc>
        <w:tc>
          <w:tcPr>
            <w:tcW w:w="892" w:type="dxa"/>
            <w:tcBorders>
              <w:top w:val="nil"/>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nil"/>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535.000</w:t>
            </w:r>
          </w:p>
        </w:tc>
        <w:tc>
          <w:tcPr>
            <w:tcW w:w="1426" w:type="dxa"/>
            <w:tcBorders>
              <w:top w:val="nil"/>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abr/15</w:t>
            </w:r>
          </w:p>
        </w:tc>
      </w:tr>
      <w:tr w:rsidR="003E6588" w:rsidTr="00FE61FD">
        <w:trPr>
          <w:trHeight w:val="216"/>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t>Modernização da Linha 11 - Coral - CPTM</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BIRD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112.910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out/14</w:t>
            </w:r>
          </w:p>
        </w:tc>
      </w:tr>
      <w:tr w:rsidR="003E6588" w:rsidTr="00FE61FD">
        <w:trPr>
          <w:trHeight w:val="119"/>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230"/>
              </w:tabs>
              <w:ind w:left="0" w:firstLine="0"/>
              <w:jc w:val="left"/>
              <w:rPr>
                <w:sz w:val="18"/>
                <w:szCs w:val="18"/>
              </w:rPr>
            </w:pPr>
            <w:r>
              <w:rPr>
                <w:sz w:val="18"/>
                <w:szCs w:val="18"/>
              </w:rPr>
              <w:lastRenderedPageBreak/>
              <w:t xml:space="preserve">Modernização da Linha 8 - Diamante - da CPTM </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550.000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jun/16</w:t>
            </w:r>
          </w:p>
        </w:tc>
      </w:tr>
      <w:tr w:rsidR="003E6588" w:rsidTr="00FE61FD">
        <w:trPr>
          <w:trHeight w:val="166"/>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230"/>
                <w:tab w:val="left" w:pos="371"/>
              </w:tabs>
              <w:ind w:left="0" w:firstLine="0"/>
              <w:jc w:val="left"/>
              <w:rPr>
                <w:sz w:val="18"/>
                <w:szCs w:val="18"/>
              </w:rPr>
            </w:pPr>
            <w:r>
              <w:rPr>
                <w:sz w:val="18"/>
                <w:szCs w:val="18"/>
              </w:rPr>
              <w:t xml:space="preserve">Linha 13 - Jade (Trem de Guarulhos)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AFD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300.000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jul/19</w:t>
            </w:r>
          </w:p>
        </w:tc>
      </w:tr>
      <w:tr w:rsidR="003E6588" w:rsidTr="00FE61FD">
        <w:trPr>
          <w:trHeight w:val="70"/>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230"/>
                <w:tab w:val="left" w:pos="371"/>
              </w:tabs>
              <w:ind w:left="0" w:firstLine="0"/>
              <w:jc w:val="left"/>
              <w:rPr>
                <w:sz w:val="18"/>
                <w:szCs w:val="18"/>
              </w:rPr>
            </w:pPr>
            <w:r>
              <w:rPr>
                <w:sz w:val="18"/>
                <w:szCs w:val="18"/>
              </w:rPr>
              <w:t xml:space="preserve">Aquisição de trens para CPTM </w:t>
            </w:r>
            <w:r w:rsidRPr="0003027C">
              <w:rPr>
                <w:b/>
                <w:sz w:val="18"/>
                <w:szCs w:val="18"/>
              </w:rPr>
              <w:t>(*)</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BEI</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200.000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out/19</w:t>
            </w:r>
          </w:p>
        </w:tc>
      </w:tr>
      <w:tr w:rsidR="003E6588" w:rsidTr="00FE61FD">
        <w:trPr>
          <w:trHeight w:val="116"/>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230"/>
                <w:tab w:val="left" w:pos="371"/>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982.000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jun/19</w:t>
            </w:r>
          </w:p>
        </w:tc>
      </w:tr>
      <w:tr w:rsidR="003E6588" w:rsidTr="00FE61FD">
        <w:trPr>
          <w:trHeight w:val="289"/>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tcPr>
          <w:p w:rsidR="003E6588" w:rsidRDefault="003E6588" w:rsidP="00FB2CCB">
            <w:pPr>
              <w:numPr>
                <w:ilvl w:val="0"/>
                <w:numId w:val="15"/>
              </w:numPr>
              <w:tabs>
                <w:tab w:val="left" w:pos="230"/>
                <w:tab w:val="left" w:pos="371"/>
              </w:tabs>
              <w:ind w:left="0" w:firstLine="0"/>
              <w:jc w:val="left"/>
              <w:rPr>
                <w:sz w:val="18"/>
                <w:szCs w:val="18"/>
              </w:rPr>
            </w:pPr>
            <w:r>
              <w:rPr>
                <w:sz w:val="18"/>
                <w:szCs w:val="18"/>
              </w:rPr>
              <w:t>Programa de pavimentação e recuperação de estradas vicinais do Estado de São Paulo (Fase I)/DER</w:t>
            </w:r>
          </w:p>
        </w:tc>
        <w:tc>
          <w:tcPr>
            <w:tcW w:w="1330" w:type="dxa"/>
            <w:tcBorders>
              <w:top w:val="single" w:sz="4" w:space="0" w:color="auto"/>
              <w:left w:val="single" w:sz="4" w:space="0" w:color="auto"/>
              <w:bottom w:val="dashed" w:sz="4" w:space="0" w:color="808080"/>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dashed" w:sz="4" w:space="0" w:color="808080"/>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dashed" w:sz="4" w:space="0" w:color="808080"/>
              <w:right w:val="single" w:sz="4" w:space="0" w:color="auto"/>
            </w:tcBorders>
            <w:vAlign w:val="center"/>
            <w:hideMark/>
          </w:tcPr>
          <w:p w:rsidR="003E6588" w:rsidRDefault="003E6588">
            <w:pPr>
              <w:jc w:val="right"/>
              <w:rPr>
                <w:sz w:val="18"/>
                <w:szCs w:val="18"/>
              </w:rPr>
            </w:pPr>
            <w:r>
              <w:rPr>
                <w:sz w:val="18"/>
                <w:szCs w:val="18"/>
              </w:rPr>
              <w:t>194.000</w:t>
            </w:r>
          </w:p>
        </w:tc>
        <w:tc>
          <w:tcPr>
            <w:tcW w:w="1426" w:type="dxa"/>
            <w:tcBorders>
              <w:top w:val="single" w:sz="4" w:space="0" w:color="auto"/>
              <w:left w:val="single" w:sz="4" w:space="0" w:color="auto"/>
              <w:bottom w:val="dashed" w:sz="4" w:space="0" w:color="808080"/>
              <w:right w:val="single" w:sz="8" w:space="0" w:color="auto"/>
            </w:tcBorders>
            <w:vAlign w:val="center"/>
            <w:hideMark/>
          </w:tcPr>
          <w:p w:rsidR="003E6588" w:rsidRDefault="003E6588">
            <w:pPr>
              <w:rPr>
                <w:sz w:val="18"/>
                <w:szCs w:val="18"/>
              </w:rPr>
            </w:pPr>
            <w:r>
              <w:rPr>
                <w:sz w:val="18"/>
                <w:szCs w:val="18"/>
              </w:rPr>
              <w:t>ago/13</w:t>
            </w:r>
          </w:p>
          <w:p w:rsidR="003E6588" w:rsidRPr="0003027C" w:rsidRDefault="003E6588">
            <w:pPr>
              <w:rPr>
                <w:sz w:val="18"/>
                <w:szCs w:val="18"/>
              </w:rPr>
            </w:pPr>
            <w:r w:rsidRPr="0003027C">
              <w:rPr>
                <w:sz w:val="18"/>
                <w:szCs w:val="18"/>
              </w:rPr>
              <w:t>(encerrado)</w:t>
            </w:r>
          </w:p>
        </w:tc>
      </w:tr>
      <w:tr w:rsidR="003E6588" w:rsidTr="00FE61FD">
        <w:trPr>
          <w:trHeight w:val="254"/>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nil"/>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BIRD</w:t>
            </w:r>
          </w:p>
        </w:tc>
        <w:tc>
          <w:tcPr>
            <w:tcW w:w="892" w:type="dxa"/>
            <w:tcBorders>
              <w:top w:val="nil"/>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nil"/>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166.650</w:t>
            </w:r>
          </w:p>
        </w:tc>
        <w:tc>
          <w:tcPr>
            <w:tcW w:w="1426" w:type="dxa"/>
            <w:tcBorders>
              <w:top w:val="nil"/>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jul/15</w:t>
            </w:r>
          </w:p>
        </w:tc>
      </w:tr>
      <w:tr w:rsidR="003E6588" w:rsidTr="00FE61FD">
        <w:trPr>
          <w:trHeight w:val="129"/>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183"/>
                <w:tab w:val="left" w:pos="325"/>
              </w:tabs>
              <w:ind w:left="0" w:firstLine="0"/>
              <w:jc w:val="left"/>
              <w:rPr>
                <w:sz w:val="18"/>
                <w:szCs w:val="18"/>
              </w:rPr>
            </w:pPr>
            <w:r>
              <w:rPr>
                <w:sz w:val="18"/>
                <w:szCs w:val="18"/>
              </w:rPr>
              <w:t>Programa de recuperação de estradas vicinais do Estado de São Paulo (Fase II)/DER</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BIRD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326.775</w:t>
            </w:r>
          </w:p>
        </w:tc>
        <w:tc>
          <w:tcPr>
            <w:tcW w:w="1426" w:type="dxa"/>
            <w:tcBorders>
              <w:top w:val="nil"/>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jun/14</w:t>
            </w:r>
          </w:p>
        </w:tc>
      </w:tr>
      <w:tr w:rsidR="003E6588" w:rsidTr="00FE61FD">
        <w:trPr>
          <w:trHeight w:val="169"/>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E61FD">
            <w:pPr>
              <w:numPr>
                <w:ilvl w:val="0"/>
                <w:numId w:val="15"/>
              </w:numPr>
              <w:tabs>
                <w:tab w:val="left" w:pos="325"/>
              </w:tabs>
              <w:ind w:left="0" w:firstLine="0"/>
              <w:jc w:val="left"/>
              <w:rPr>
                <w:sz w:val="18"/>
                <w:szCs w:val="18"/>
              </w:rPr>
            </w:pPr>
            <w:r>
              <w:rPr>
                <w:sz w:val="18"/>
                <w:szCs w:val="18"/>
              </w:rPr>
              <w:t>Rodoanel Mário Covas - Trecho Norte/Sec</w:t>
            </w:r>
            <w:r w:rsidR="00FE61FD">
              <w:rPr>
                <w:sz w:val="18"/>
                <w:szCs w:val="18"/>
              </w:rPr>
              <w:t>.</w:t>
            </w:r>
            <w:r>
              <w:rPr>
                <w:sz w:val="18"/>
                <w:szCs w:val="18"/>
              </w:rPr>
              <w:t>Transportes e DERSA</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1.148.633</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jun/17</w:t>
            </w:r>
          </w:p>
        </w:tc>
      </w:tr>
      <w:tr w:rsidR="003E6588" w:rsidTr="00FE61FD">
        <w:trPr>
          <w:trHeight w:val="186"/>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Programa de Transporte, Logística e Meio Ambiente/DER e Secretaria do Meio Ambiente </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BIRD</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 xml:space="preserve">US$ </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300.000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mar/19</w:t>
            </w:r>
          </w:p>
        </w:tc>
      </w:tr>
      <w:tr w:rsidR="003E6588" w:rsidTr="00FE61FD">
        <w:trPr>
          <w:trHeight w:val="89"/>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CAF</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200.000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ago/16</w:t>
            </w:r>
          </w:p>
        </w:tc>
      </w:tr>
      <w:tr w:rsidR="003E6588" w:rsidTr="00FE61FD">
        <w:trPr>
          <w:trHeight w:val="278"/>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Modernização de Hidrovias/Secretaria de Logística e Transportes - DH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307.000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abr/17</w:t>
            </w:r>
          </w:p>
        </w:tc>
      </w:tr>
      <w:tr w:rsidR="003E6588" w:rsidTr="00FE61FD">
        <w:trPr>
          <w:trHeight w:val="370"/>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Programa de Investimento Rodoviário do Estado de São Paulo - 1ª Fase/</w:t>
            </w:r>
            <w:r w:rsidRPr="0003027C">
              <w:rPr>
                <w:sz w:val="18"/>
                <w:szCs w:val="18"/>
              </w:rPr>
              <w:t xml:space="preserve">DER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480.135</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jun/19</w:t>
            </w:r>
          </w:p>
        </w:tc>
      </w:tr>
      <w:tr w:rsidR="003E6588" w:rsidTr="00FE61FD">
        <w:trPr>
          <w:trHeight w:val="319"/>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Programa de Investimento Rodoviário do Estado de São Paulo - 2ª Fase/DER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480.135</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set/19</w:t>
            </w:r>
          </w:p>
        </w:tc>
      </w:tr>
      <w:tr w:rsidR="003E6588" w:rsidTr="00FE61FD">
        <w:trPr>
          <w:trHeight w:val="269"/>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Projeto de Melhoria Logística e de Mobilidade Urbana entre Santos e Guarujá/DERSA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938.200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jul/19</w:t>
            </w:r>
          </w:p>
        </w:tc>
      </w:tr>
      <w:tr w:rsidR="003E6588" w:rsidTr="00FE61FD">
        <w:trPr>
          <w:trHeight w:val="92"/>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Programa de recuperação dos Mananciais do Alto Tietê/Secretaria de Saneamento e Energia</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BIRD (GESP)</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4.000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set/15</w:t>
            </w:r>
          </w:p>
        </w:tc>
      </w:tr>
      <w:tr w:rsidR="003E6588" w:rsidTr="00FE61FD">
        <w:trPr>
          <w:trHeight w:val="320"/>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BIRD (SABESP)</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100.000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set/15</w:t>
            </w:r>
          </w:p>
        </w:tc>
      </w:tr>
      <w:tr w:rsidR="003E6588" w:rsidTr="00FE61FD">
        <w:trPr>
          <w:trHeight w:val="229"/>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Reágua/Secretaria de Saneamento e Energia</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BIRD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64.496</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set/15</w:t>
            </w:r>
          </w:p>
        </w:tc>
      </w:tr>
      <w:tr w:rsidR="003E6588" w:rsidTr="00FE61FD">
        <w:trPr>
          <w:trHeight w:val="276"/>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Várzeas do Tietê/Secretaria de Saneamento e Recursos Hídricos e DAEE</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115.700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jul/16</w:t>
            </w:r>
          </w:p>
        </w:tc>
      </w:tr>
      <w:tr w:rsidR="003E6588" w:rsidTr="00FE61FD">
        <w:trPr>
          <w:trHeight w:val="226"/>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Macrodrenagem do Rio Baquirivu-Guaçu/DAEE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CAF</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204.000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jul/18</w:t>
            </w:r>
          </w:p>
        </w:tc>
      </w:tr>
      <w:tr w:rsidR="003E6588" w:rsidTr="00FE61FD">
        <w:trPr>
          <w:trHeight w:val="176"/>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Serra do Mar/Secretarias do Meio Ambiente e da Habitação</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162.454</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dez/16</w:t>
            </w:r>
          </w:p>
        </w:tc>
      </w:tr>
      <w:tr w:rsidR="003E6588" w:rsidTr="00FE61FD">
        <w:trPr>
          <w:trHeight w:val="222"/>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Profisco/SEFAZ</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120.000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set/15</w:t>
            </w:r>
          </w:p>
        </w:tc>
      </w:tr>
      <w:tr w:rsidR="003E6588" w:rsidTr="00FE61FD">
        <w:trPr>
          <w:trHeight w:val="90"/>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E61FD">
            <w:pPr>
              <w:numPr>
                <w:ilvl w:val="0"/>
                <w:numId w:val="15"/>
              </w:numPr>
              <w:tabs>
                <w:tab w:val="left" w:pos="325"/>
                <w:tab w:val="left" w:pos="371"/>
              </w:tabs>
              <w:ind w:left="0" w:firstLine="0"/>
              <w:jc w:val="left"/>
              <w:rPr>
                <w:sz w:val="18"/>
                <w:szCs w:val="18"/>
              </w:rPr>
            </w:pPr>
            <w:r>
              <w:rPr>
                <w:sz w:val="18"/>
                <w:szCs w:val="18"/>
              </w:rPr>
              <w:t>Fortalecimento da Gestão Estadual de Saúde/Sec</w:t>
            </w:r>
            <w:r w:rsidR="00FE61FD">
              <w:rPr>
                <w:sz w:val="18"/>
                <w:szCs w:val="18"/>
              </w:rPr>
              <w:t xml:space="preserve">. </w:t>
            </w:r>
            <w:r>
              <w:rPr>
                <w:sz w:val="18"/>
                <w:szCs w:val="18"/>
              </w:rPr>
              <w:t xml:space="preserve">da Saúde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270.000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jun/19</w:t>
            </w:r>
          </w:p>
        </w:tc>
      </w:tr>
      <w:tr w:rsidR="003E6588" w:rsidTr="00FE61FD">
        <w:trPr>
          <w:trHeight w:val="218"/>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Microbacias II/Secretaria de Agricultura e Abastecimento</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BIRD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78.000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set/15</w:t>
            </w:r>
          </w:p>
        </w:tc>
      </w:tr>
      <w:tr w:rsidR="003E6588" w:rsidTr="00FE61FD">
        <w:trPr>
          <w:trHeight w:val="210"/>
          <w:jc w:val="center"/>
        </w:trPr>
        <w:tc>
          <w:tcPr>
            <w:tcW w:w="5364" w:type="dxa"/>
            <w:tcBorders>
              <w:top w:val="nil"/>
              <w:left w:val="single" w:sz="8" w:space="0" w:color="auto"/>
              <w:bottom w:val="single" w:sz="4" w:space="0" w:color="auto"/>
              <w:right w:val="single" w:sz="4" w:space="0" w:color="auto"/>
            </w:tcBorders>
            <w:vAlign w:val="center"/>
            <w:hideMark/>
          </w:tcPr>
          <w:p w:rsidR="003E6588" w:rsidRDefault="003E6588" w:rsidP="00FE61FD">
            <w:pPr>
              <w:numPr>
                <w:ilvl w:val="0"/>
                <w:numId w:val="15"/>
              </w:numPr>
              <w:tabs>
                <w:tab w:val="left" w:pos="325"/>
                <w:tab w:val="left" w:pos="371"/>
              </w:tabs>
              <w:ind w:left="0" w:firstLine="0"/>
              <w:jc w:val="left"/>
              <w:rPr>
                <w:sz w:val="18"/>
                <w:szCs w:val="18"/>
              </w:rPr>
            </w:pPr>
            <w:r>
              <w:rPr>
                <w:sz w:val="18"/>
                <w:szCs w:val="18"/>
              </w:rPr>
              <w:t>Arranjos Produtivos Locais (APL-SP)/Sec</w:t>
            </w:r>
            <w:r w:rsidR="00FE61FD">
              <w:rPr>
                <w:sz w:val="18"/>
                <w:szCs w:val="18"/>
              </w:rPr>
              <w:t>.</w:t>
            </w:r>
            <w:r>
              <w:rPr>
                <w:sz w:val="18"/>
                <w:szCs w:val="18"/>
              </w:rPr>
              <w:t xml:space="preserve"> de Desenvolvimento</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dez/14</w:t>
            </w:r>
          </w:p>
        </w:tc>
      </w:tr>
      <w:tr w:rsidR="003E6588" w:rsidTr="00FE61FD">
        <w:trPr>
          <w:trHeight w:val="85"/>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Presídios/Secretaria da Administração Penitenciária</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240.000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dez/14</w:t>
            </w:r>
          </w:p>
        </w:tc>
      </w:tr>
      <w:tr w:rsidR="003E6588" w:rsidTr="00FE61FD">
        <w:trPr>
          <w:trHeight w:val="118"/>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Despoluição do Rio Tietê - Etapa III/SABESP</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BID</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600.000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set/16</w:t>
            </w:r>
          </w:p>
        </w:tc>
      </w:tr>
      <w:tr w:rsidR="003E6588" w:rsidTr="00FE61FD">
        <w:trPr>
          <w:trHeight w:val="334"/>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Programa integrado de melhoria ambiental na área de mananciais da represa Billings/SABESP</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JICA</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6.208.000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out/18</w:t>
            </w:r>
          </w:p>
        </w:tc>
      </w:tr>
      <w:tr w:rsidR="003E6588" w:rsidTr="00FE61FD">
        <w:trPr>
          <w:trHeight w:val="126"/>
          <w:jc w:val="center"/>
        </w:trPr>
        <w:tc>
          <w:tcPr>
            <w:tcW w:w="5364" w:type="dxa"/>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71"/>
              </w:tabs>
              <w:ind w:left="0" w:firstLine="0"/>
              <w:jc w:val="left"/>
              <w:rPr>
                <w:sz w:val="18"/>
                <w:szCs w:val="18"/>
              </w:rPr>
            </w:pPr>
            <w:r>
              <w:rPr>
                <w:sz w:val="18"/>
                <w:szCs w:val="18"/>
              </w:rPr>
              <w:t>Programa de Redução de Perdas e Eficiência Energética/ SABESP</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JICA</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33.584.000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fev/16</w:t>
            </w:r>
          </w:p>
        </w:tc>
      </w:tr>
      <w:tr w:rsidR="003E6588" w:rsidTr="00FE61FD">
        <w:trPr>
          <w:trHeight w:val="92"/>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Projeto VLT Baixada Santista/EMTU</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181.700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set/14</w:t>
            </w:r>
          </w:p>
        </w:tc>
      </w:tr>
      <w:tr w:rsidR="003E6588" w:rsidTr="00FE61FD">
        <w:trPr>
          <w:trHeight w:val="137"/>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 xml:space="preserve">BB </w:t>
            </w:r>
            <w:r w:rsidRPr="0003027C">
              <w:rPr>
                <w:b/>
                <w:sz w:val="18"/>
                <w:szCs w:val="18"/>
              </w:rPr>
              <w:t>(*)</w:t>
            </w:r>
          </w:p>
        </w:tc>
        <w:tc>
          <w:tcPr>
            <w:tcW w:w="892" w:type="dxa"/>
            <w:tcBorders>
              <w:top w:val="dashed"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dashed"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120.000</w:t>
            </w:r>
          </w:p>
        </w:tc>
        <w:tc>
          <w:tcPr>
            <w:tcW w:w="1426" w:type="dxa"/>
            <w:tcBorders>
              <w:top w:val="dashed"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mar/15</w:t>
            </w:r>
          </w:p>
        </w:tc>
      </w:tr>
      <w:tr w:rsidR="003E6588" w:rsidTr="00FE61FD">
        <w:trPr>
          <w:trHeight w:val="47"/>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CEF</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400.000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nov/15</w:t>
            </w:r>
          </w:p>
        </w:tc>
      </w:tr>
      <w:tr w:rsidR="003E6588" w:rsidTr="00FE61FD">
        <w:trPr>
          <w:trHeight w:val="230"/>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Projeto Corredor Itapevi-SP - Trecho Jandira - Vila Iara (Osasco)/EMTU </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66.700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set/14</w:t>
            </w:r>
          </w:p>
        </w:tc>
      </w:tr>
      <w:tr w:rsidR="003E6588" w:rsidTr="00FE61FD">
        <w:trPr>
          <w:trHeight w:val="120"/>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CEF</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215.000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nov/15</w:t>
            </w:r>
          </w:p>
        </w:tc>
      </w:tr>
      <w:tr w:rsidR="003E6588" w:rsidTr="00FE61FD">
        <w:trPr>
          <w:trHeight w:val="47"/>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Programa de Logística e Transportes/DER </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987.682</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set/14</w:t>
            </w:r>
          </w:p>
        </w:tc>
      </w:tr>
      <w:tr w:rsidR="003E6588" w:rsidTr="00FE61FD">
        <w:trPr>
          <w:trHeight w:val="245"/>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 xml:space="preserve">BB </w:t>
            </w:r>
            <w:r w:rsidRPr="0003027C">
              <w:rPr>
                <w:b/>
                <w:sz w:val="18"/>
                <w:szCs w:val="18"/>
              </w:rPr>
              <w:t>(*)</w:t>
            </w:r>
          </w:p>
        </w:tc>
        <w:tc>
          <w:tcPr>
            <w:tcW w:w="892" w:type="dxa"/>
            <w:tcBorders>
              <w:top w:val="dashed"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dashed"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112.318</w:t>
            </w:r>
          </w:p>
        </w:tc>
        <w:tc>
          <w:tcPr>
            <w:tcW w:w="1426" w:type="dxa"/>
            <w:tcBorders>
              <w:top w:val="dashed"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mar/15</w:t>
            </w:r>
          </w:p>
        </w:tc>
      </w:tr>
      <w:tr w:rsidR="003E6588" w:rsidTr="00FE61FD">
        <w:trPr>
          <w:trHeight w:val="386"/>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 xml:space="preserve">Santander-MIGA </w:t>
            </w:r>
            <w:r w:rsidRPr="0003027C">
              <w:rPr>
                <w:b/>
                <w:sz w:val="18"/>
                <w:szCs w:val="18"/>
              </w:rPr>
              <w:t>(*)</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US$</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300.000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nov/18</w:t>
            </w:r>
          </w:p>
        </w:tc>
      </w:tr>
      <w:tr w:rsidR="003E6588" w:rsidTr="00FE61FD">
        <w:trPr>
          <w:trHeight w:val="350"/>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Programa de Transportes do Estado de São Paulo - Etapas I e II/DER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800.000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mar/15</w:t>
            </w:r>
          </w:p>
        </w:tc>
      </w:tr>
      <w:tr w:rsidR="003E6588" w:rsidTr="00FE61FD">
        <w:trPr>
          <w:trHeight w:val="157"/>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 xml:space="preserve">Complexo Viário Polo Itaquera/DERSA </w:t>
            </w:r>
            <w:r w:rsidRPr="0003027C">
              <w:rPr>
                <w:b/>
                <w:sz w:val="18"/>
                <w:szCs w:val="18"/>
              </w:rPr>
              <w:t>(*)</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165.000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mar/15</w:t>
            </w:r>
          </w:p>
        </w:tc>
      </w:tr>
      <w:tr w:rsidR="003E6588" w:rsidTr="00FE61FD">
        <w:trPr>
          <w:trHeight w:val="204"/>
          <w:jc w:val="center"/>
        </w:trPr>
        <w:tc>
          <w:tcPr>
            <w:tcW w:w="5364" w:type="dxa"/>
            <w:vMerge w:val="restart"/>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Nova Tamoios - Contornos Norte e Sul/DER - DERSA</w:t>
            </w:r>
          </w:p>
        </w:tc>
        <w:tc>
          <w:tcPr>
            <w:tcW w:w="133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dashed"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dashed" w:sz="4" w:space="0" w:color="auto"/>
              <w:right w:val="single" w:sz="4" w:space="0" w:color="auto"/>
            </w:tcBorders>
            <w:vAlign w:val="center"/>
            <w:hideMark/>
          </w:tcPr>
          <w:p w:rsidR="003E6588" w:rsidRDefault="003E6588">
            <w:pPr>
              <w:jc w:val="right"/>
              <w:rPr>
                <w:sz w:val="18"/>
                <w:szCs w:val="18"/>
              </w:rPr>
            </w:pPr>
            <w:r>
              <w:rPr>
                <w:sz w:val="18"/>
                <w:szCs w:val="18"/>
              </w:rPr>
              <w:t>550.000</w:t>
            </w:r>
          </w:p>
        </w:tc>
        <w:tc>
          <w:tcPr>
            <w:tcW w:w="1426" w:type="dxa"/>
            <w:tcBorders>
              <w:top w:val="single" w:sz="4" w:space="0" w:color="auto"/>
              <w:left w:val="single" w:sz="4" w:space="0" w:color="auto"/>
              <w:bottom w:val="dashed" w:sz="4" w:space="0" w:color="auto"/>
              <w:right w:val="single" w:sz="8" w:space="0" w:color="auto"/>
            </w:tcBorders>
            <w:vAlign w:val="center"/>
            <w:hideMark/>
          </w:tcPr>
          <w:p w:rsidR="003E6588" w:rsidRDefault="003E6588">
            <w:pPr>
              <w:rPr>
                <w:sz w:val="18"/>
                <w:szCs w:val="18"/>
              </w:rPr>
            </w:pPr>
            <w:r>
              <w:rPr>
                <w:sz w:val="18"/>
                <w:szCs w:val="18"/>
              </w:rPr>
              <w:t>set/14</w:t>
            </w:r>
          </w:p>
        </w:tc>
      </w:tr>
      <w:tr w:rsidR="003E6588" w:rsidTr="00FE61FD">
        <w:trPr>
          <w:trHeight w:val="108"/>
          <w:jc w:val="center"/>
        </w:trPr>
        <w:tc>
          <w:tcPr>
            <w:tcW w:w="5364" w:type="dxa"/>
            <w:vMerge/>
            <w:tcBorders>
              <w:top w:val="single" w:sz="4" w:space="0" w:color="auto"/>
              <w:left w:val="single" w:sz="8" w:space="0" w:color="auto"/>
              <w:bottom w:val="single" w:sz="4" w:space="0" w:color="auto"/>
              <w:right w:val="single" w:sz="4" w:space="0" w:color="auto"/>
            </w:tcBorders>
            <w:vAlign w:val="center"/>
            <w:hideMark/>
          </w:tcPr>
          <w:p w:rsidR="003E6588" w:rsidRDefault="003E6588" w:rsidP="00FB2CCB">
            <w:pPr>
              <w:tabs>
                <w:tab w:val="left" w:pos="371"/>
              </w:tabs>
              <w:jc w:val="left"/>
              <w:rPr>
                <w:sz w:val="18"/>
                <w:szCs w:val="18"/>
              </w:rPr>
            </w:pPr>
          </w:p>
        </w:tc>
        <w:tc>
          <w:tcPr>
            <w:tcW w:w="133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 xml:space="preserve">BB </w:t>
            </w:r>
            <w:r w:rsidRPr="0003027C">
              <w:rPr>
                <w:b/>
                <w:sz w:val="18"/>
                <w:szCs w:val="18"/>
              </w:rPr>
              <w:t>(*)</w:t>
            </w:r>
          </w:p>
        </w:tc>
        <w:tc>
          <w:tcPr>
            <w:tcW w:w="892" w:type="dxa"/>
            <w:tcBorders>
              <w:top w:val="dashed"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dashed"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340.000</w:t>
            </w:r>
          </w:p>
        </w:tc>
        <w:tc>
          <w:tcPr>
            <w:tcW w:w="1426" w:type="dxa"/>
            <w:tcBorders>
              <w:top w:val="dashed"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mar/15</w:t>
            </w:r>
          </w:p>
        </w:tc>
      </w:tr>
      <w:tr w:rsidR="003E6588" w:rsidTr="00FE61FD">
        <w:trPr>
          <w:trHeight w:val="140"/>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Programa Água Limpa/DAEE</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63.200</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set/14</w:t>
            </w:r>
          </w:p>
        </w:tc>
      </w:tr>
      <w:tr w:rsidR="003E6588" w:rsidTr="00FE61FD">
        <w:trPr>
          <w:trHeight w:val="327"/>
          <w:jc w:val="center"/>
        </w:trPr>
        <w:tc>
          <w:tcPr>
            <w:tcW w:w="5364" w:type="dxa"/>
            <w:tcBorders>
              <w:top w:val="single" w:sz="4" w:space="0" w:color="auto"/>
              <w:left w:val="single" w:sz="8" w:space="0" w:color="auto"/>
              <w:bottom w:val="single" w:sz="4" w:space="0" w:color="auto"/>
              <w:right w:val="single" w:sz="4" w:space="0" w:color="auto"/>
            </w:tcBorders>
            <w:noWrap/>
            <w:vAlign w:val="center"/>
            <w:hideMark/>
          </w:tcPr>
          <w:p w:rsidR="003E6588" w:rsidRDefault="003E6588" w:rsidP="00FB2CCB">
            <w:pPr>
              <w:numPr>
                <w:ilvl w:val="0"/>
                <w:numId w:val="15"/>
              </w:numPr>
              <w:tabs>
                <w:tab w:val="left" w:pos="325"/>
                <w:tab w:val="left" w:pos="371"/>
              </w:tabs>
              <w:ind w:left="0" w:firstLine="0"/>
              <w:jc w:val="left"/>
              <w:rPr>
                <w:sz w:val="18"/>
                <w:szCs w:val="18"/>
              </w:rPr>
            </w:pPr>
            <w:r>
              <w:rPr>
                <w:sz w:val="18"/>
                <w:szCs w:val="18"/>
              </w:rPr>
              <w:t>Desenvolvimento Sustentável do Litoral Paulista/Secretarias do Meio Ambiente e da Habitação</w:t>
            </w:r>
          </w:p>
        </w:tc>
        <w:tc>
          <w:tcPr>
            <w:tcW w:w="133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BB</w:t>
            </w:r>
          </w:p>
        </w:tc>
        <w:tc>
          <w:tcPr>
            <w:tcW w:w="892"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070" w:type="dxa"/>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sz w:val="18"/>
                <w:szCs w:val="18"/>
              </w:rPr>
            </w:pPr>
            <w:r>
              <w:rPr>
                <w:sz w:val="18"/>
                <w:szCs w:val="18"/>
              </w:rPr>
              <w:t>150.718</w:t>
            </w:r>
          </w:p>
        </w:tc>
        <w:tc>
          <w:tcPr>
            <w:tcW w:w="1426" w:type="dxa"/>
            <w:tcBorders>
              <w:top w:val="single" w:sz="4" w:space="0" w:color="auto"/>
              <w:left w:val="single" w:sz="4" w:space="0" w:color="auto"/>
              <w:bottom w:val="single" w:sz="4" w:space="0" w:color="auto"/>
              <w:right w:val="single" w:sz="8" w:space="0" w:color="auto"/>
            </w:tcBorders>
            <w:vAlign w:val="center"/>
            <w:hideMark/>
          </w:tcPr>
          <w:p w:rsidR="003E6588" w:rsidRDefault="003E6588">
            <w:pPr>
              <w:rPr>
                <w:sz w:val="18"/>
                <w:szCs w:val="18"/>
              </w:rPr>
            </w:pPr>
            <w:r>
              <w:rPr>
                <w:sz w:val="18"/>
                <w:szCs w:val="18"/>
              </w:rPr>
              <w:t>set/14</w:t>
            </w:r>
          </w:p>
        </w:tc>
      </w:tr>
      <w:tr w:rsidR="003E6588" w:rsidTr="00FE61FD">
        <w:trPr>
          <w:trHeight w:val="150"/>
          <w:jc w:val="center"/>
        </w:trPr>
        <w:tc>
          <w:tcPr>
            <w:tcW w:w="5364" w:type="dxa"/>
            <w:tcBorders>
              <w:top w:val="single" w:sz="4" w:space="0" w:color="auto"/>
              <w:left w:val="single" w:sz="8" w:space="0" w:color="auto"/>
              <w:bottom w:val="single" w:sz="8" w:space="0" w:color="auto"/>
              <w:right w:val="nil"/>
            </w:tcBorders>
            <w:vAlign w:val="center"/>
            <w:hideMark/>
          </w:tcPr>
          <w:p w:rsidR="003E6588" w:rsidRPr="0003027C" w:rsidRDefault="003E6588">
            <w:pPr>
              <w:jc w:val="both"/>
              <w:rPr>
                <w:b/>
                <w:sz w:val="18"/>
                <w:szCs w:val="18"/>
              </w:rPr>
            </w:pPr>
            <w:r w:rsidRPr="0003027C">
              <w:rPr>
                <w:b/>
                <w:sz w:val="18"/>
                <w:szCs w:val="18"/>
              </w:rPr>
              <w:lastRenderedPageBreak/>
              <w:t>(*) Projetos assinados</w:t>
            </w:r>
          </w:p>
        </w:tc>
        <w:tc>
          <w:tcPr>
            <w:tcW w:w="1330" w:type="dxa"/>
            <w:tcBorders>
              <w:top w:val="single" w:sz="4" w:space="0" w:color="auto"/>
              <w:left w:val="nil"/>
              <w:bottom w:val="single" w:sz="8" w:space="0" w:color="auto"/>
              <w:right w:val="nil"/>
            </w:tcBorders>
            <w:vAlign w:val="center"/>
          </w:tcPr>
          <w:p w:rsidR="003E6588" w:rsidRDefault="003E6588">
            <w:pPr>
              <w:jc w:val="both"/>
              <w:rPr>
                <w:sz w:val="18"/>
                <w:szCs w:val="18"/>
              </w:rPr>
            </w:pPr>
          </w:p>
        </w:tc>
        <w:tc>
          <w:tcPr>
            <w:tcW w:w="892" w:type="dxa"/>
            <w:tcBorders>
              <w:top w:val="single" w:sz="4" w:space="0" w:color="auto"/>
              <w:left w:val="nil"/>
              <w:bottom w:val="single" w:sz="8" w:space="0" w:color="auto"/>
              <w:right w:val="nil"/>
            </w:tcBorders>
            <w:vAlign w:val="center"/>
          </w:tcPr>
          <w:p w:rsidR="003E6588" w:rsidRDefault="003E6588">
            <w:pPr>
              <w:jc w:val="both"/>
              <w:rPr>
                <w:sz w:val="18"/>
                <w:szCs w:val="18"/>
              </w:rPr>
            </w:pPr>
          </w:p>
        </w:tc>
        <w:tc>
          <w:tcPr>
            <w:tcW w:w="1070" w:type="dxa"/>
            <w:tcBorders>
              <w:top w:val="single" w:sz="4" w:space="0" w:color="auto"/>
              <w:left w:val="nil"/>
              <w:bottom w:val="single" w:sz="8" w:space="0" w:color="auto"/>
              <w:right w:val="nil"/>
            </w:tcBorders>
            <w:vAlign w:val="center"/>
          </w:tcPr>
          <w:p w:rsidR="003E6588" w:rsidRDefault="003E6588">
            <w:pPr>
              <w:rPr>
                <w:sz w:val="18"/>
                <w:szCs w:val="18"/>
              </w:rPr>
            </w:pPr>
          </w:p>
        </w:tc>
        <w:tc>
          <w:tcPr>
            <w:tcW w:w="1426" w:type="dxa"/>
            <w:tcBorders>
              <w:top w:val="single" w:sz="4" w:space="0" w:color="auto"/>
              <w:left w:val="nil"/>
              <w:bottom w:val="single" w:sz="8" w:space="0" w:color="auto"/>
              <w:right w:val="single" w:sz="8" w:space="0" w:color="auto"/>
            </w:tcBorders>
            <w:vAlign w:val="center"/>
          </w:tcPr>
          <w:p w:rsidR="003E6588" w:rsidRDefault="003E6588">
            <w:pPr>
              <w:rPr>
                <w:sz w:val="18"/>
                <w:szCs w:val="18"/>
              </w:rPr>
            </w:pPr>
          </w:p>
        </w:tc>
      </w:tr>
    </w:tbl>
    <w:p w:rsidR="003E6588" w:rsidRDefault="003E6588"/>
    <w:tbl>
      <w:tblPr>
        <w:tblW w:w="9845" w:type="dxa"/>
        <w:jc w:val="center"/>
        <w:tblLayout w:type="fixed"/>
        <w:tblCellMar>
          <w:left w:w="70" w:type="dxa"/>
          <w:right w:w="70" w:type="dxa"/>
        </w:tblCellMar>
        <w:tblLook w:val="04A0"/>
      </w:tblPr>
      <w:tblGrid>
        <w:gridCol w:w="11"/>
        <w:gridCol w:w="5029"/>
        <w:gridCol w:w="1843"/>
        <w:gridCol w:w="1418"/>
        <w:gridCol w:w="1514"/>
        <w:gridCol w:w="30"/>
      </w:tblGrid>
      <w:tr w:rsidR="003E6588">
        <w:trPr>
          <w:gridAfter w:val="1"/>
          <w:wAfter w:w="30" w:type="dxa"/>
          <w:trHeight w:val="527"/>
          <w:jc w:val="center"/>
        </w:trPr>
        <w:tc>
          <w:tcPr>
            <w:tcW w:w="9815" w:type="dxa"/>
            <w:gridSpan w:val="5"/>
            <w:vAlign w:val="center"/>
          </w:tcPr>
          <w:p w:rsidR="003E6588" w:rsidRPr="00FB2CCB" w:rsidRDefault="003E6588">
            <w:pPr>
              <w:numPr>
                <w:ilvl w:val="0"/>
                <w:numId w:val="14"/>
              </w:numPr>
              <w:ind w:left="0" w:firstLine="1134"/>
              <w:jc w:val="both"/>
              <w:rPr>
                <w:bCs/>
              </w:rPr>
            </w:pPr>
            <w:r>
              <w:rPr>
                <w:bCs/>
                <w:sz w:val="20"/>
                <w:szCs w:val="20"/>
              </w:rPr>
              <w:t>Projetos em negociação/análise junto ao Banco do Brasil - BB, Banco Nacional de Desenvolvimento Econômico e Social - BNDES e Caixa Econômica Federal - CEF, previstos no PAF 2012-2014, no valor total de R$ 4,8 bilhões:</w:t>
            </w:r>
          </w:p>
          <w:p w:rsidR="00FB2CCB" w:rsidRPr="00FB2CCB" w:rsidRDefault="00FB2CCB" w:rsidP="00FB2CCB">
            <w:pPr>
              <w:ind w:left="1134"/>
              <w:jc w:val="both"/>
              <w:rPr>
                <w:bCs/>
              </w:rPr>
            </w:pPr>
          </w:p>
        </w:tc>
      </w:tr>
      <w:tr w:rsidR="003E6588" w:rsidTr="00FB2CCB">
        <w:trPr>
          <w:gridBefore w:val="1"/>
          <w:wBefore w:w="11" w:type="dxa"/>
          <w:trHeight w:val="284"/>
          <w:jc w:val="center"/>
        </w:trPr>
        <w:tc>
          <w:tcPr>
            <w:tcW w:w="50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sz w:val="18"/>
                <w:szCs w:val="18"/>
              </w:rPr>
            </w:pPr>
            <w:r>
              <w:rPr>
                <w:b/>
                <w:sz w:val="18"/>
                <w:szCs w:val="18"/>
              </w:rPr>
              <w:t>Projetos</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sz w:val="18"/>
                <w:szCs w:val="18"/>
              </w:rPr>
            </w:pPr>
            <w:r>
              <w:rPr>
                <w:b/>
                <w:bCs/>
                <w:sz w:val="18"/>
                <w:szCs w:val="18"/>
              </w:rPr>
              <w:t>Financiador</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sz w:val="18"/>
                <w:szCs w:val="18"/>
              </w:rPr>
            </w:pPr>
            <w:r>
              <w:rPr>
                <w:b/>
                <w:bCs/>
                <w:sz w:val="18"/>
                <w:szCs w:val="18"/>
              </w:rPr>
              <w:t>Moeda</w:t>
            </w:r>
          </w:p>
        </w:tc>
        <w:tc>
          <w:tcPr>
            <w:tcW w:w="154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sz w:val="18"/>
                <w:szCs w:val="18"/>
              </w:rPr>
            </w:pPr>
            <w:r>
              <w:rPr>
                <w:b/>
                <w:bCs/>
                <w:sz w:val="18"/>
                <w:szCs w:val="18"/>
              </w:rPr>
              <w:t>Valor(Mil)</w:t>
            </w:r>
          </w:p>
        </w:tc>
      </w:tr>
      <w:tr w:rsidR="003E6588">
        <w:trPr>
          <w:gridBefore w:val="1"/>
          <w:wBefore w:w="11" w:type="dxa"/>
          <w:trHeight w:val="130"/>
          <w:jc w:val="center"/>
        </w:trPr>
        <w:tc>
          <w:tcPr>
            <w:tcW w:w="5029" w:type="dxa"/>
            <w:vMerge w:val="restart"/>
            <w:tcBorders>
              <w:top w:val="single" w:sz="4" w:space="0" w:color="auto"/>
              <w:left w:val="single" w:sz="4" w:space="0" w:color="auto"/>
              <w:bottom w:val="single" w:sz="4" w:space="0" w:color="auto"/>
              <w:right w:val="single" w:sz="4" w:space="0" w:color="auto"/>
            </w:tcBorders>
            <w:vAlign w:val="center"/>
            <w:hideMark/>
          </w:tcPr>
          <w:p w:rsidR="003E6588" w:rsidRDefault="003E6588" w:rsidP="00FB2CCB">
            <w:pPr>
              <w:numPr>
                <w:ilvl w:val="0"/>
                <w:numId w:val="16"/>
              </w:numPr>
              <w:tabs>
                <w:tab w:val="left" w:pos="282"/>
              </w:tabs>
              <w:ind w:left="0" w:firstLine="0"/>
              <w:jc w:val="left"/>
              <w:rPr>
                <w:sz w:val="18"/>
                <w:szCs w:val="18"/>
              </w:rPr>
            </w:pPr>
            <w:r>
              <w:rPr>
                <w:sz w:val="18"/>
                <w:szCs w:val="18"/>
              </w:rPr>
              <w:t>Linha 18 - Bronze - Trecho Tamanduateí - Djalma Dutra</w:t>
            </w:r>
          </w:p>
        </w:tc>
        <w:tc>
          <w:tcPr>
            <w:tcW w:w="1843" w:type="dxa"/>
            <w:tcBorders>
              <w:top w:val="single" w:sz="4" w:space="0" w:color="000000"/>
              <w:left w:val="single" w:sz="4" w:space="0" w:color="auto"/>
              <w:bottom w:val="dashed" w:sz="4" w:space="0" w:color="808080"/>
              <w:right w:val="single" w:sz="4" w:space="0" w:color="auto"/>
            </w:tcBorders>
            <w:vAlign w:val="center"/>
            <w:hideMark/>
          </w:tcPr>
          <w:p w:rsidR="003E6588" w:rsidRDefault="003E6588">
            <w:pPr>
              <w:rPr>
                <w:sz w:val="18"/>
                <w:szCs w:val="18"/>
              </w:rPr>
            </w:pPr>
            <w:r>
              <w:rPr>
                <w:sz w:val="18"/>
                <w:szCs w:val="18"/>
              </w:rPr>
              <w:t>BNDES</w:t>
            </w:r>
          </w:p>
        </w:tc>
        <w:tc>
          <w:tcPr>
            <w:tcW w:w="1418" w:type="dxa"/>
            <w:tcBorders>
              <w:top w:val="single" w:sz="4" w:space="0" w:color="000000"/>
              <w:left w:val="single" w:sz="4" w:space="0" w:color="auto"/>
              <w:bottom w:val="dashed" w:sz="4" w:space="0" w:color="808080"/>
              <w:right w:val="single" w:sz="4" w:space="0" w:color="auto"/>
            </w:tcBorders>
            <w:vAlign w:val="center"/>
            <w:hideMark/>
          </w:tcPr>
          <w:p w:rsidR="003E6588" w:rsidRDefault="003E6588">
            <w:pPr>
              <w:rPr>
                <w:sz w:val="18"/>
                <w:szCs w:val="18"/>
              </w:rPr>
            </w:pPr>
            <w:r>
              <w:rPr>
                <w:sz w:val="18"/>
                <w:szCs w:val="18"/>
              </w:rPr>
              <w:t>R$</w:t>
            </w:r>
          </w:p>
        </w:tc>
        <w:tc>
          <w:tcPr>
            <w:tcW w:w="1544" w:type="dxa"/>
            <w:gridSpan w:val="2"/>
            <w:tcBorders>
              <w:top w:val="single" w:sz="4" w:space="0" w:color="000000"/>
              <w:left w:val="single" w:sz="4" w:space="0" w:color="auto"/>
              <w:bottom w:val="dashed" w:sz="4" w:space="0" w:color="808080"/>
              <w:right w:val="single" w:sz="4" w:space="0" w:color="auto"/>
            </w:tcBorders>
            <w:vAlign w:val="center"/>
            <w:hideMark/>
          </w:tcPr>
          <w:p w:rsidR="003E6588" w:rsidRDefault="003E6588">
            <w:pPr>
              <w:jc w:val="right"/>
              <w:rPr>
                <w:bCs/>
                <w:sz w:val="18"/>
                <w:szCs w:val="18"/>
              </w:rPr>
            </w:pPr>
            <w:r>
              <w:rPr>
                <w:bCs/>
                <w:sz w:val="18"/>
                <w:szCs w:val="18"/>
              </w:rPr>
              <w:t>1.276.000</w:t>
            </w:r>
          </w:p>
        </w:tc>
      </w:tr>
      <w:tr w:rsidR="003E6588">
        <w:trPr>
          <w:gridBefore w:val="1"/>
          <w:wBefore w:w="11" w:type="dxa"/>
          <w:trHeight w:val="176"/>
          <w:jc w:val="center"/>
        </w:trPr>
        <w:tc>
          <w:tcPr>
            <w:tcW w:w="5029" w:type="dxa"/>
            <w:vMerge/>
            <w:tcBorders>
              <w:top w:val="single" w:sz="4" w:space="0" w:color="auto"/>
              <w:left w:val="single" w:sz="4" w:space="0" w:color="auto"/>
              <w:bottom w:val="single" w:sz="4" w:space="0" w:color="auto"/>
              <w:right w:val="single" w:sz="4" w:space="0" w:color="auto"/>
            </w:tcBorders>
            <w:vAlign w:val="center"/>
            <w:hideMark/>
          </w:tcPr>
          <w:p w:rsidR="003E6588" w:rsidRDefault="003E6588" w:rsidP="00FB2CCB">
            <w:pPr>
              <w:jc w:val="left"/>
              <w:rPr>
                <w:sz w:val="18"/>
                <w:szCs w:val="18"/>
              </w:rPr>
            </w:pPr>
          </w:p>
        </w:tc>
        <w:tc>
          <w:tcPr>
            <w:tcW w:w="1843" w:type="dxa"/>
            <w:tcBorders>
              <w:top w:val="dashed" w:sz="4" w:space="0" w:color="808080"/>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A DEFINIR</w:t>
            </w:r>
          </w:p>
        </w:tc>
        <w:tc>
          <w:tcPr>
            <w:tcW w:w="1418" w:type="dxa"/>
            <w:tcBorders>
              <w:top w:val="dashed" w:sz="4" w:space="0" w:color="808080"/>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544" w:type="dxa"/>
            <w:gridSpan w:val="2"/>
            <w:tcBorders>
              <w:top w:val="dashed" w:sz="4" w:space="0" w:color="808080"/>
              <w:left w:val="single" w:sz="4" w:space="0" w:color="auto"/>
              <w:bottom w:val="single" w:sz="4" w:space="0" w:color="auto"/>
              <w:right w:val="single" w:sz="4" w:space="0" w:color="auto"/>
            </w:tcBorders>
            <w:vAlign w:val="center"/>
            <w:hideMark/>
          </w:tcPr>
          <w:p w:rsidR="003E6588" w:rsidRDefault="003E6588">
            <w:pPr>
              <w:jc w:val="right"/>
              <w:rPr>
                <w:bCs/>
                <w:sz w:val="18"/>
                <w:szCs w:val="18"/>
              </w:rPr>
            </w:pPr>
            <w:r>
              <w:rPr>
                <w:bCs/>
                <w:sz w:val="18"/>
                <w:szCs w:val="18"/>
              </w:rPr>
              <w:t>428.000</w:t>
            </w:r>
          </w:p>
        </w:tc>
      </w:tr>
      <w:tr w:rsidR="003E6588">
        <w:trPr>
          <w:gridBefore w:val="1"/>
          <w:wBefore w:w="11" w:type="dxa"/>
          <w:trHeight w:val="80"/>
          <w:jc w:val="center"/>
        </w:trPr>
        <w:tc>
          <w:tcPr>
            <w:tcW w:w="5029" w:type="dxa"/>
            <w:tcBorders>
              <w:top w:val="single" w:sz="4" w:space="0" w:color="auto"/>
              <w:left w:val="single" w:sz="4" w:space="0" w:color="auto"/>
              <w:bottom w:val="single" w:sz="4" w:space="0" w:color="auto"/>
              <w:right w:val="single" w:sz="4" w:space="0" w:color="auto"/>
            </w:tcBorders>
            <w:vAlign w:val="center"/>
            <w:hideMark/>
          </w:tcPr>
          <w:p w:rsidR="003E6588" w:rsidRDefault="003E6588" w:rsidP="00FB2CCB">
            <w:pPr>
              <w:numPr>
                <w:ilvl w:val="0"/>
                <w:numId w:val="16"/>
              </w:numPr>
              <w:tabs>
                <w:tab w:val="left" w:pos="282"/>
              </w:tabs>
              <w:ind w:left="0" w:firstLine="0"/>
              <w:jc w:val="left"/>
              <w:rPr>
                <w:sz w:val="18"/>
                <w:szCs w:val="18"/>
              </w:rPr>
            </w:pPr>
            <w:r>
              <w:rPr>
                <w:sz w:val="18"/>
                <w:szCs w:val="18"/>
              </w:rPr>
              <w:t>Linha 6 - Laranja do METRÔ de SP</w:t>
            </w:r>
          </w:p>
        </w:tc>
        <w:tc>
          <w:tcPr>
            <w:tcW w:w="1843"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CEF</w:t>
            </w:r>
          </w:p>
        </w:tc>
        <w:tc>
          <w:tcPr>
            <w:tcW w:w="1418"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544" w:type="dxa"/>
            <w:gridSpan w:val="2"/>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bCs/>
                <w:sz w:val="18"/>
                <w:szCs w:val="18"/>
              </w:rPr>
            </w:pPr>
            <w:r>
              <w:rPr>
                <w:bCs/>
                <w:sz w:val="18"/>
                <w:szCs w:val="18"/>
              </w:rPr>
              <w:t>690.000</w:t>
            </w:r>
          </w:p>
        </w:tc>
      </w:tr>
      <w:tr w:rsidR="003E6588">
        <w:trPr>
          <w:gridBefore w:val="1"/>
          <w:wBefore w:w="11" w:type="dxa"/>
          <w:trHeight w:val="126"/>
          <w:jc w:val="center"/>
        </w:trPr>
        <w:tc>
          <w:tcPr>
            <w:tcW w:w="5029" w:type="dxa"/>
            <w:tcBorders>
              <w:top w:val="single" w:sz="4" w:space="0" w:color="auto"/>
              <w:left w:val="single" w:sz="4" w:space="0" w:color="auto"/>
              <w:bottom w:val="single" w:sz="4" w:space="0" w:color="auto"/>
              <w:right w:val="single" w:sz="4" w:space="0" w:color="auto"/>
            </w:tcBorders>
            <w:vAlign w:val="center"/>
            <w:hideMark/>
          </w:tcPr>
          <w:p w:rsidR="003E6588" w:rsidRDefault="003E6588" w:rsidP="00FB2CCB">
            <w:pPr>
              <w:numPr>
                <w:ilvl w:val="0"/>
                <w:numId w:val="16"/>
              </w:numPr>
              <w:tabs>
                <w:tab w:val="left" w:pos="282"/>
              </w:tabs>
              <w:ind w:left="0" w:firstLine="0"/>
              <w:jc w:val="left"/>
              <w:rPr>
                <w:sz w:val="18"/>
                <w:szCs w:val="18"/>
              </w:rPr>
            </w:pPr>
            <w:r>
              <w:rPr>
                <w:sz w:val="18"/>
                <w:szCs w:val="18"/>
              </w:rPr>
              <w:t>Expansão da Linha 5 - Lilás do Metrô de São Paulo, Trecho Largo Treze - Chácara Klabin</w:t>
            </w:r>
          </w:p>
        </w:tc>
        <w:tc>
          <w:tcPr>
            <w:tcW w:w="1843"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1418"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544" w:type="dxa"/>
            <w:gridSpan w:val="2"/>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bCs/>
                <w:sz w:val="18"/>
                <w:szCs w:val="18"/>
              </w:rPr>
            </w:pPr>
            <w:r>
              <w:rPr>
                <w:bCs/>
                <w:sz w:val="18"/>
                <w:szCs w:val="18"/>
              </w:rPr>
              <w:t>1.650.000</w:t>
            </w:r>
          </w:p>
        </w:tc>
      </w:tr>
      <w:tr w:rsidR="003E6588">
        <w:trPr>
          <w:gridBefore w:val="1"/>
          <w:wBefore w:w="11" w:type="dxa"/>
          <w:trHeight w:val="76"/>
          <w:jc w:val="center"/>
        </w:trPr>
        <w:tc>
          <w:tcPr>
            <w:tcW w:w="5029" w:type="dxa"/>
            <w:tcBorders>
              <w:top w:val="single" w:sz="4" w:space="0" w:color="auto"/>
              <w:left w:val="single" w:sz="4" w:space="0" w:color="auto"/>
              <w:bottom w:val="single" w:sz="4" w:space="0" w:color="auto"/>
              <w:right w:val="single" w:sz="4" w:space="0" w:color="auto"/>
            </w:tcBorders>
            <w:vAlign w:val="center"/>
            <w:hideMark/>
          </w:tcPr>
          <w:p w:rsidR="003E6588" w:rsidRDefault="003E6588" w:rsidP="00FB2CCB">
            <w:pPr>
              <w:numPr>
                <w:ilvl w:val="0"/>
                <w:numId w:val="16"/>
              </w:numPr>
              <w:tabs>
                <w:tab w:val="left" w:pos="282"/>
              </w:tabs>
              <w:ind w:left="0" w:firstLine="0"/>
              <w:jc w:val="left"/>
              <w:rPr>
                <w:sz w:val="18"/>
                <w:szCs w:val="18"/>
              </w:rPr>
            </w:pPr>
            <w:r>
              <w:rPr>
                <w:sz w:val="18"/>
                <w:szCs w:val="18"/>
              </w:rPr>
              <w:t>Complexos Hospitalares</w:t>
            </w:r>
          </w:p>
        </w:tc>
        <w:tc>
          <w:tcPr>
            <w:tcW w:w="1843"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BNDES</w:t>
            </w:r>
          </w:p>
        </w:tc>
        <w:tc>
          <w:tcPr>
            <w:tcW w:w="1418"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544" w:type="dxa"/>
            <w:gridSpan w:val="2"/>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bCs/>
                <w:sz w:val="18"/>
                <w:szCs w:val="18"/>
              </w:rPr>
            </w:pPr>
            <w:r>
              <w:rPr>
                <w:bCs/>
                <w:sz w:val="18"/>
                <w:szCs w:val="18"/>
              </w:rPr>
              <w:t>475.990</w:t>
            </w:r>
          </w:p>
        </w:tc>
      </w:tr>
      <w:tr w:rsidR="003E6588" w:rsidTr="00FB2CCB">
        <w:trPr>
          <w:gridBefore w:val="1"/>
          <w:wBefore w:w="11" w:type="dxa"/>
          <w:trHeight w:val="44"/>
          <w:jc w:val="center"/>
        </w:trPr>
        <w:tc>
          <w:tcPr>
            <w:tcW w:w="5029" w:type="dxa"/>
            <w:tcBorders>
              <w:top w:val="single" w:sz="4" w:space="0" w:color="auto"/>
              <w:left w:val="single" w:sz="4" w:space="0" w:color="auto"/>
              <w:bottom w:val="single" w:sz="4" w:space="0" w:color="auto"/>
              <w:right w:val="single" w:sz="4" w:space="0" w:color="auto"/>
            </w:tcBorders>
            <w:vAlign w:val="center"/>
            <w:hideMark/>
          </w:tcPr>
          <w:p w:rsidR="003E6588" w:rsidRDefault="003E6588" w:rsidP="00FB2CCB">
            <w:pPr>
              <w:numPr>
                <w:ilvl w:val="0"/>
                <w:numId w:val="16"/>
              </w:numPr>
              <w:tabs>
                <w:tab w:val="left" w:pos="282"/>
              </w:tabs>
              <w:ind w:left="0" w:firstLine="0"/>
              <w:jc w:val="left"/>
              <w:rPr>
                <w:sz w:val="18"/>
                <w:szCs w:val="18"/>
              </w:rPr>
            </w:pPr>
            <w:r>
              <w:rPr>
                <w:sz w:val="18"/>
                <w:szCs w:val="18"/>
              </w:rPr>
              <w:t>Programa de Investimento do Estado de São Paulo - Fase III</w:t>
            </w:r>
          </w:p>
        </w:tc>
        <w:tc>
          <w:tcPr>
            <w:tcW w:w="1843"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bCs/>
                <w:sz w:val="18"/>
                <w:szCs w:val="18"/>
              </w:rPr>
            </w:pPr>
            <w:r>
              <w:rPr>
                <w:bCs/>
                <w:sz w:val="18"/>
                <w:szCs w:val="18"/>
              </w:rPr>
              <w:t>BB</w:t>
            </w:r>
          </w:p>
        </w:tc>
        <w:tc>
          <w:tcPr>
            <w:tcW w:w="1418"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544" w:type="dxa"/>
            <w:gridSpan w:val="2"/>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bCs/>
                <w:sz w:val="18"/>
                <w:szCs w:val="18"/>
              </w:rPr>
            </w:pPr>
            <w:r>
              <w:rPr>
                <w:bCs/>
                <w:sz w:val="18"/>
                <w:szCs w:val="18"/>
              </w:rPr>
              <w:t>37.826</w:t>
            </w:r>
          </w:p>
        </w:tc>
      </w:tr>
      <w:tr w:rsidR="003E6588">
        <w:trPr>
          <w:gridBefore w:val="1"/>
          <w:wBefore w:w="11" w:type="dxa"/>
          <w:trHeight w:val="214"/>
          <w:jc w:val="center"/>
        </w:trPr>
        <w:tc>
          <w:tcPr>
            <w:tcW w:w="5029" w:type="dxa"/>
            <w:tcBorders>
              <w:top w:val="single" w:sz="4" w:space="0" w:color="auto"/>
              <w:left w:val="single" w:sz="4" w:space="0" w:color="auto"/>
              <w:bottom w:val="single" w:sz="4" w:space="0" w:color="auto"/>
              <w:right w:val="single" w:sz="4" w:space="0" w:color="auto"/>
            </w:tcBorders>
            <w:vAlign w:val="center"/>
            <w:hideMark/>
          </w:tcPr>
          <w:p w:rsidR="003E6588" w:rsidRDefault="003E6588" w:rsidP="00FB2CCB">
            <w:pPr>
              <w:numPr>
                <w:ilvl w:val="0"/>
                <w:numId w:val="16"/>
              </w:numPr>
              <w:tabs>
                <w:tab w:val="left" w:pos="282"/>
              </w:tabs>
              <w:ind w:left="0" w:firstLine="0"/>
              <w:jc w:val="left"/>
              <w:rPr>
                <w:sz w:val="18"/>
                <w:szCs w:val="18"/>
              </w:rPr>
            </w:pPr>
            <w:r>
              <w:rPr>
                <w:sz w:val="18"/>
                <w:szCs w:val="18"/>
              </w:rPr>
              <w:t>Complexo Cultural Teatro da Dança</w:t>
            </w:r>
          </w:p>
        </w:tc>
        <w:tc>
          <w:tcPr>
            <w:tcW w:w="1843"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bCs/>
                <w:sz w:val="18"/>
                <w:szCs w:val="18"/>
              </w:rPr>
            </w:pPr>
            <w:r>
              <w:rPr>
                <w:bCs/>
                <w:sz w:val="18"/>
                <w:szCs w:val="18"/>
              </w:rPr>
              <w:t>BNDES</w:t>
            </w:r>
          </w:p>
        </w:tc>
        <w:tc>
          <w:tcPr>
            <w:tcW w:w="1418" w:type="dxa"/>
            <w:tcBorders>
              <w:top w:val="single" w:sz="4" w:space="0" w:color="auto"/>
              <w:left w:val="single" w:sz="4" w:space="0" w:color="auto"/>
              <w:bottom w:val="single" w:sz="4" w:space="0" w:color="auto"/>
              <w:right w:val="single" w:sz="4" w:space="0" w:color="auto"/>
            </w:tcBorders>
            <w:vAlign w:val="center"/>
            <w:hideMark/>
          </w:tcPr>
          <w:p w:rsidR="003E6588" w:rsidRDefault="003E6588">
            <w:pPr>
              <w:rPr>
                <w:sz w:val="18"/>
                <w:szCs w:val="18"/>
              </w:rPr>
            </w:pPr>
            <w:r>
              <w:rPr>
                <w:sz w:val="18"/>
                <w:szCs w:val="18"/>
              </w:rPr>
              <w:t>R$</w:t>
            </w:r>
          </w:p>
        </w:tc>
        <w:tc>
          <w:tcPr>
            <w:tcW w:w="1544" w:type="dxa"/>
            <w:gridSpan w:val="2"/>
            <w:tcBorders>
              <w:top w:val="single" w:sz="4" w:space="0" w:color="auto"/>
              <w:left w:val="single" w:sz="4" w:space="0" w:color="auto"/>
              <w:bottom w:val="single" w:sz="4" w:space="0" w:color="auto"/>
              <w:right w:val="single" w:sz="4" w:space="0" w:color="auto"/>
            </w:tcBorders>
            <w:vAlign w:val="center"/>
            <w:hideMark/>
          </w:tcPr>
          <w:p w:rsidR="003E6588" w:rsidRDefault="003E6588">
            <w:pPr>
              <w:jc w:val="right"/>
              <w:rPr>
                <w:bCs/>
                <w:sz w:val="18"/>
                <w:szCs w:val="18"/>
              </w:rPr>
            </w:pPr>
            <w:r>
              <w:rPr>
                <w:bCs/>
                <w:sz w:val="18"/>
                <w:szCs w:val="18"/>
              </w:rPr>
              <w:t>233.700</w:t>
            </w:r>
          </w:p>
        </w:tc>
      </w:tr>
    </w:tbl>
    <w:p w:rsidR="003E6588" w:rsidRDefault="003E6588">
      <w:pPr>
        <w:jc w:val="both"/>
        <w:rPr>
          <w:b/>
          <w:bCs/>
        </w:rPr>
      </w:pPr>
    </w:p>
    <w:p w:rsidR="003E6588" w:rsidRPr="00FB2CCB" w:rsidRDefault="003E6588">
      <w:pPr>
        <w:ind w:firstLine="1134"/>
        <w:jc w:val="both"/>
        <w:rPr>
          <w:b/>
        </w:rPr>
      </w:pPr>
      <w:r>
        <w:rPr>
          <w:b/>
          <w:bCs/>
        </w:rPr>
        <w:t xml:space="preserve">Administração Financeira - </w:t>
      </w:r>
      <w:r>
        <w:rPr>
          <w:iCs/>
        </w:rPr>
        <w:t xml:space="preserve">Órgão central na Gestão das Finanças Públicas do Estado, a Coordenadoria da Administração Financeira - CAF tem por missão, definida no seu planejamento estratégico, </w:t>
      </w:r>
      <w:r>
        <w:rPr>
          <w:spacing w:val="-3"/>
        </w:rPr>
        <w:t>administrar os recursos financeiros e orçamentários, com responsabilidade fiscal, atuando de forma a contribuir para a otimização dos recursos públicos e o desenvolvimento do Estado.</w:t>
      </w:r>
    </w:p>
    <w:p w:rsidR="003E6588" w:rsidRDefault="003E6588">
      <w:pPr>
        <w:ind w:firstLine="1134"/>
        <w:jc w:val="both"/>
        <w:rPr>
          <w:color w:val="000000"/>
        </w:rPr>
      </w:pPr>
    </w:p>
    <w:p w:rsidR="003E6588" w:rsidRDefault="003E6588">
      <w:pPr>
        <w:ind w:firstLine="1134"/>
        <w:jc w:val="both"/>
        <w:rPr>
          <w:color w:val="000000"/>
        </w:rPr>
      </w:pPr>
      <w:r>
        <w:rPr>
          <w:color w:val="000000"/>
        </w:rPr>
        <w:t>Gerenciamento das aplicações financeiras feitas no âmbito da Conta Única do Tesouro (carteira R$ 20 bilhões, dos quais R$ 10,4 bilhões do Tesouro).</w:t>
      </w:r>
    </w:p>
    <w:p w:rsidR="003E6588" w:rsidRDefault="003E6588">
      <w:pPr>
        <w:ind w:firstLine="1134"/>
        <w:jc w:val="both"/>
        <w:rPr>
          <w:color w:val="000000"/>
        </w:rPr>
      </w:pPr>
    </w:p>
    <w:p w:rsidR="003E6588" w:rsidRDefault="003E6588">
      <w:pPr>
        <w:pStyle w:val="Corpodetexto"/>
        <w:ind w:firstLine="1134"/>
        <w:jc w:val="both"/>
        <w:rPr>
          <w:b w:val="0"/>
          <w:color w:val="000000"/>
          <w:szCs w:val="24"/>
        </w:rPr>
      </w:pPr>
      <w:r>
        <w:rPr>
          <w:b w:val="0"/>
          <w:color w:val="000000"/>
          <w:szCs w:val="24"/>
        </w:rPr>
        <w:t>Administração do Fluxo de Caixa dos Recursos do Tesouro, envolvendo a movimentação financeira anual de, aproximadamente, R$ 190 bilhões.</w:t>
      </w:r>
    </w:p>
    <w:p w:rsidR="003E6588" w:rsidRDefault="003E6588">
      <w:pPr>
        <w:pStyle w:val="Corpodetexto"/>
        <w:ind w:firstLine="1134"/>
        <w:jc w:val="both"/>
        <w:rPr>
          <w:b w:val="0"/>
          <w:color w:val="000000"/>
          <w:szCs w:val="24"/>
        </w:rPr>
      </w:pPr>
    </w:p>
    <w:p w:rsidR="003E6588" w:rsidRDefault="003E6588">
      <w:pPr>
        <w:pStyle w:val="Corpodetexto"/>
        <w:ind w:firstLine="1134"/>
        <w:jc w:val="both"/>
        <w:rPr>
          <w:b w:val="0"/>
          <w:color w:val="000000"/>
          <w:szCs w:val="24"/>
        </w:rPr>
      </w:pPr>
      <w:r>
        <w:rPr>
          <w:b w:val="0"/>
          <w:color w:val="000000"/>
          <w:szCs w:val="24"/>
        </w:rPr>
        <w:t>Execução Orçamentária e Financeira das transferências constitucionais e legais aos Municípios, aproximadamente de 34 bilhões.</w:t>
      </w:r>
    </w:p>
    <w:p w:rsidR="003E6588" w:rsidRDefault="003E6588">
      <w:pPr>
        <w:pStyle w:val="Corpodetexto"/>
        <w:ind w:firstLine="1134"/>
        <w:jc w:val="both"/>
        <w:rPr>
          <w:b w:val="0"/>
          <w:color w:val="000000"/>
          <w:szCs w:val="24"/>
        </w:rPr>
      </w:pPr>
    </w:p>
    <w:p w:rsidR="003E6588" w:rsidRDefault="003E6588">
      <w:pPr>
        <w:pStyle w:val="Corpodetexto"/>
        <w:ind w:firstLine="1134"/>
        <w:jc w:val="both"/>
        <w:rPr>
          <w:b w:val="0"/>
          <w:color w:val="000000"/>
          <w:szCs w:val="24"/>
        </w:rPr>
      </w:pPr>
      <w:r>
        <w:rPr>
          <w:b w:val="0"/>
          <w:color w:val="000000"/>
          <w:szCs w:val="24"/>
        </w:rPr>
        <w:t>Gestão Orçamentária das despesas referentes ao regime especial de precatórios, aproximadamente de 1,6 bilhão.</w:t>
      </w:r>
    </w:p>
    <w:p w:rsidR="003E6588" w:rsidRDefault="003E6588">
      <w:pPr>
        <w:pStyle w:val="Corpodetexto"/>
        <w:ind w:firstLine="1134"/>
        <w:jc w:val="both"/>
        <w:rPr>
          <w:b w:val="0"/>
          <w:color w:val="000000"/>
          <w:szCs w:val="24"/>
        </w:rPr>
      </w:pPr>
    </w:p>
    <w:p w:rsidR="003E6588" w:rsidRDefault="003E6588">
      <w:pPr>
        <w:ind w:firstLine="1134"/>
        <w:jc w:val="both"/>
        <w:rPr>
          <w:iCs/>
          <w:color w:val="000000"/>
        </w:rPr>
      </w:pPr>
      <w:r>
        <w:rPr>
          <w:b/>
        </w:rPr>
        <w:t xml:space="preserve">Receita Total - </w:t>
      </w:r>
      <w:r>
        <w:rPr>
          <w:iCs/>
          <w:color w:val="000000"/>
        </w:rPr>
        <w:t>A Receita Orçamentária Total, composta pelas Receitas Correntes e de Capital, totalizou R$ 154.067,1 milhões.</w:t>
      </w:r>
    </w:p>
    <w:p w:rsidR="00FE61FD" w:rsidRPr="00FE61FD" w:rsidRDefault="00FE61FD">
      <w:pPr>
        <w:ind w:firstLine="1134"/>
        <w:jc w:val="both"/>
        <w:rPr>
          <w:iCs/>
          <w:color w:val="000000"/>
          <w:sz w:val="16"/>
          <w:szCs w:val="16"/>
        </w:rPr>
      </w:pPr>
    </w:p>
    <w:p w:rsidR="003E6588" w:rsidRDefault="003E6588" w:rsidP="00FB2CCB">
      <w:pPr>
        <w:rPr>
          <w:b/>
        </w:rPr>
      </w:pPr>
      <w:r>
        <w:rPr>
          <w:b/>
        </w:rPr>
        <w:t>Receita Total</w:t>
      </w:r>
    </w:p>
    <w:p w:rsidR="003E6588" w:rsidRPr="00FE61FD" w:rsidRDefault="003E6588">
      <w:pPr>
        <w:ind w:left="2550" w:firstLine="282"/>
        <w:rPr>
          <w:sz w:val="16"/>
          <w:szCs w:val="16"/>
        </w:rPr>
      </w:pPr>
    </w:p>
    <w:tbl>
      <w:tblPr>
        <w:tblW w:w="4263" w:type="dxa"/>
        <w:jc w:val="center"/>
        <w:tblInd w:w="986" w:type="dxa"/>
        <w:tblCellMar>
          <w:left w:w="70" w:type="dxa"/>
          <w:right w:w="70" w:type="dxa"/>
        </w:tblCellMar>
        <w:tblLook w:val="04A0"/>
      </w:tblPr>
      <w:tblGrid>
        <w:gridCol w:w="2016"/>
        <w:gridCol w:w="2247"/>
      </w:tblGrid>
      <w:tr w:rsidR="003E6588" w:rsidTr="00FE61FD">
        <w:trPr>
          <w:trHeight w:val="136"/>
          <w:jc w:val="center"/>
        </w:trPr>
        <w:tc>
          <w:tcPr>
            <w:tcW w:w="4263" w:type="dxa"/>
            <w:gridSpan w:val="2"/>
            <w:tcBorders>
              <w:top w:val="nil"/>
              <w:left w:val="nil"/>
              <w:bottom w:val="single" w:sz="8" w:space="0" w:color="auto"/>
              <w:right w:val="nil"/>
            </w:tcBorders>
            <w:noWrap/>
            <w:vAlign w:val="bottom"/>
            <w:hideMark/>
          </w:tcPr>
          <w:p w:rsidR="003E6588" w:rsidRDefault="003E6588">
            <w:pPr>
              <w:rPr>
                <w:color w:val="000000"/>
                <w:sz w:val="20"/>
                <w:szCs w:val="20"/>
              </w:rPr>
            </w:pPr>
            <w:r>
              <w:rPr>
                <w:b/>
                <w:color w:val="000000"/>
                <w:sz w:val="20"/>
                <w:szCs w:val="20"/>
              </w:rPr>
              <w:t xml:space="preserve">                                                 Em R$ milhões</w:t>
            </w:r>
          </w:p>
        </w:tc>
      </w:tr>
      <w:tr w:rsidR="003E6588" w:rsidTr="00FE61FD">
        <w:trPr>
          <w:trHeight w:val="78"/>
          <w:jc w:val="center"/>
        </w:trPr>
        <w:tc>
          <w:tcPr>
            <w:tcW w:w="2016" w:type="dxa"/>
            <w:tcBorders>
              <w:top w:val="single" w:sz="8" w:space="0" w:color="auto"/>
            </w:tcBorders>
            <w:shd w:val="clear" w:color="auto" w:fill="FFFFFF"/>
            <w:noWrap/>
            <w:vAlign w:val="bottom"/>
          </w:tcPr>
          <w:p w:rsidR="003E6588" w:rsidRPr="00FE61FD" w:rsidRDefault="003E6588">
            <w:pPr>
              <w:rPr>
                <w:color w:val="000000"/>
                <w:sz w:val="12"/>
                <w:szCs w:val="12"/>
              </w:rPr>
            </w:pPr>
          </w:p>
        </w:tc>
        <w:tc>
          <w:tcPr>
            <w:tcW w:w="2247" w:type="dxa"/>
            <w:vMerge w:val="restart"/>
            <w:tcBorders>
              <w:top w:val="single" w:sz="8" w:space="0" w:color="auto"/>
              <w:left w:val="nil"/>
              <w:bottom w:val="single" w:sz="8" w:space="0" w:color="auto"/>
              <w:right w:val="nil"/>
            </w:tcBorders>
            <w:shd w:val="clear" w:color="auto" w:fill="FFFFFF"/>
            <w:vAlign w:val="center"/>
            <w:hideMark/>
          </w:tcPr>
          <w:p w:rsidR="003E6588" w:rsidRDefault="00FB2CCB">
            <w:pPr>
              <w:rPr>
                <w:b/>
                <w:bCs/>
                <w:color w:val="000000"/>
                <w:sz w:val="20"/>
                <w:szCs w:val="20"/>
              </w:rPr>
            </w:pPr>
            <w:r>
              <w:rPr>
                <w:b/>
                <w:bCs/>
                <w:color w:val="000000"/>
                <w:sz w:val="20"/>
                <w:szCs w:val="20"/>
              </w:rPr>
              <w:t xml:space="preserve">       </w:t>
            </w:r>
            <w:r w:rsidR="003E6588">
              <w:rPr>
                <w:b/>
                <w:bCs/>
                <w:color w:val="000000"/>
                <w:sz w:val="20"/>
                <w:szCs w:val="20"/>
              </w:rPr>
              <w:t>jan - out 2014</w:t>
            </w:r>
          </w:p>
        </w:tc>
      </w:tr>
      <w:tr w:rsidR="003E6588" w:rsidTr="00FE61FD">
        <w:trPr>
          <w:trHeight w:val="34"/>
          <w:jc w:val="center"/>
        </w:trPr>
        <w:tc>
          <w:tcPr>
            <w:tcW w:w="2016" w:type="dxa"/>
            <w:shd w:val="clear" w:color="auto" w:fill="FFFFFF"/>
            <w:noWrap/>
            <w:vAlign w:val="bottom"/>
          </w:tcPr>
          <w:p w:rsidR="003E6588" w:rsidRPr="00FE61FD" w:rsidRDefault="003E6588">
            <w:pPr>
              <w:rPr>
                <w:color w:val="000000"/>
                <w:sz w:val="12"/>
                <w:szCs w:val="12"/>
              </w:rPr>
            </w:pPr>
          </w:p>
        </w:tc>
        <w:tc>
          <w:tcPr>
            <w:tcW w:w="2247" w:type="dxa"/>
            <w:vMerge/>
            <w:tcBorders>
              <w:top w:val="nil"/>
              <w:left w:val="nil"/>
              <w:bottom w:val="single" w:sz="8" w:space="0" w:color="auto"/>
              <w:right w:val="nil"/>
            </w:tcBorders>
            <w:vAlign w:val="center"/>
            <w:hideMark/>
          </w:tcPr>
          <w:p w:rsidR="003E6588" w:rsidRDefault="003E6588">
            <w:pPr>
              <w:rPr>
                <w:b/>
                <w:bCs/>
                <w:color w:val="000000"/>
                <w:sz w:val="20"/>
                <w:szCs w:val="20"/>
              </w:rPr>
            </w:pPr>
          </w:p>
        </w:tc>
      </w:tr>
      <w:tr w:rsidR="003E6588" w:rsidTr="00FE61FD">
        <w:trPr>
          <w:trHeight w:val="39"/>
          <w:jc w:val="center"/>
        </w:trPr>
        <w:tc>
          <w:tcPr>
            <w:tcW w:w="2016" w:type="dxa"/>
            <w:shd w:val="clear" w:color="auto" w:fill="FFFFFF"/>
            <w:noWrap/>
            <w:vAlign w:val="bottom"/>
            <w:hideMark/>
          </w:tcPr>
          <w:p w:rsidR="003E6588" w:rsidRDefault="003E6588" w:rsidP="00FE61FD">
            <w:pPr>
              <w:rPr>
                <w:b/>
                <w:bCs/>
                <w:color w:val="000000"/>
                <w:sz w:val="20"/>
                <w:szCs w:val="20"/>
              </w:rPr>
            </w:pPr>
            <w:r>
              <w:rPr>
                <w:b/>
                <w:bCs/>
                <w:color w:val="000000"/>
                <w:sz w:val="20"/>
                <w:szCs w:val="20"/>
              </w:rPr>
              <w:t>Receitas Totais</w:t>
            </w:r>
          </w:p>
        </w:tc>
        <w:tc>
          <w:tcPr>
            <w:tcW w:w="2247" w:type="dxa"/>
            <w:tcBorders>
              <w:top w:val="single" w:sz="8" w:space="0" w:color="auto"/>
            </w:tcBorders>
            <w:shd w:val="clear" w:color="auto" w:fill="FFFFFF"/>
            <w:noWrap/>
            <w:vAlign w:val="bottom"/>
            <w:hideMark/>
          </w:tcPr>
          <w:p w:rsidR="003E6588" w:rsidRDefault="003E6588" w:rsidP="00FE61FD">
            <w:pPr>
              <w:jc w:val="right"/>
              <w:rPr>
                <w:b/>
                <w:bCs/>
                <w:color w:val="000000"/>
                <w:sz w:val="20"/>
                <w:szCs w:val="20"/>
              </w:rPr>
            </w:pPr>
            <w:r>
              <w:rPr>
                <w:b/>
                <w:bCs/>
                <w:color w:val="000000"/>
                <w:sz w:val="20"/>
                <w:szCs w:val="20"/>
              </w:rPr>
              <w:t>154.067,1</w:t>
            </w:r>
          </w:p>
        </w:tc>
      </w:tr>
      <w:tr w:rsidR="003E6588" w:rsidTr="00FE61FD">
        <w:trPr>
          <w:trHeight w:val="106"/>
          <w:jc w:val="center"/>
        </w:trPr>
        <w:tc>
          <w:tcPr>
            <w:tcW w:w="2016" w:type="dxa"/>
            <w:shd w:val="clear" w:color="auto" w:fill="FFFFFF"/>
            <w:noWrap/>
            <w:vAlign w:val="bottom"/>
            <w:hideMark/>
          </w:tcPr>
          <w:p w:rsidR="003E6588" w:rsidRDefault="003E6588" w:rsidP="00FE61FD">
            <w:pPr>
              <w:rPr>
                <w:color w:val="000000"/>
                <w:sz w:val="20"/>
                <w:szCs w:val="20"/>
              </w:rPr>
            </w:pPr>
            <w:r>
              <w:rPr>
                <w:color w:val="000000"/>
                <w:sz w:val="20"/>
                <w:szCs w:val="20"/>
              </w:rPr>
              <w:t>Receitas Correntes</w:t>
            </w:r>
          </w:p>
        </w:tc>
        <w:tc>
          <w:tcPr>
            <w:tcW w:w="2247" w:type="dxa"/>
            <w:shd w:val="clear" w:color="auto" w:fill="FFFFFF"/>
            <w:noWrap/>
            <w:vAlign w:val="bottom"/>
            <w:hideMark/>
          </w:tcPr>
          <w:p w:rsidR="003E6588" w:rsidRDefault="003E6588" w:rsidP="00FE61FD">
            <w:pPr>
              <w:jc w:val="right"/>
              <w:rPr>
                <w:color w:val="000000"/>
                <w:sz w:val="20"/>
                <w:szCs w:val="20"/>
              </w:rPr>
            </w:pPr>
            <w:r>
              <w:rPr>
                <w:color w:val="000000"/>
                <w:sz w:val="20"/>
                <w:szCs w:val="20"/>
              </w:rPr>
              <w:t>148.116,6</w:t>
            </w:r>
          </w:p>
        </w:tc>
      </w:tr>
      <w:tr w:rsidR="003E6588" w:rsidTr="00FE61FD">
        <w:trPr>
          <w:trHeight w:val="152"/>
          <w:jc w:val="center"/>
        </w:trPr>
        <w:tc>
          <w:tcPr>
            <w:tcW w:w="2016" w:type="dxa"/>
            <w:tcBorders>
              <w:top w:val="nil"/>
              <w:left w:val="nil"/>
              <w:bottom w:val="single" w:sz="8" w:space="0" w:color="auto"/>
              <w:right w:val="nil"/>
            </w:tcBorders>
            <w:shd w:val="clear" w:color="auto" w:fill="FFFFFF"/>
            <w:noWrap/>
            <w:vAlign w:val="bottom"/>
            <w:hideMark/>
          </w:tcPr>
          <w:p w:rsidR="003E6588" w:rsidRDefault="003E6588" w:rsidP="00FE61FD">
            <w:pPr>
              <w:rPr>
                <w:color w:val="000000"/>
                <w:sz w:val="20"/>
                <w:szCs w:val="20"/>
              </w:rPr>
            </w:pPr>
            <w:r>
              <w:rPr>
                <w:color w:val="000000"/>
                <w:sz w:val="20"/>
                <w:szCs w:val="20"/>
              </w:rPr>
              <w:t>Receitas de Capital</w:t>
            </w:r>
          </w:p>
        </w:tc>
        <w:tc>
          <w:tcPr>
            <w:tcW w:w="2247" w:type="dxa"/>
            <w:tcBorders>
              <w:top w:val="nil"/>
              <w:left w:val="nil"/>
              <w:bottom w:val="single" w:sz="8" w:space="0" w:color="auto"/>
              <w:right w:val="nil"/>
            </w:tcBorders>
            <w:shd w:val="clear" w:color="auto" w:fill="FFFFFF"/>
            <w:noWrap/>
            <w:vAlign w:val="bottom"/>
            <w:hideMark/>
          </w:tcPr>
          <w:p w:rsidR="003E6588" w:rsidRDefault="003E6588" w:rsidP="00FE61FD">
            <w:pPr>
              <w:jc w:val="right"/>
              <w:rPr>
                <w:color w:val="000000"/>
                <w:sz w:val="20"/>
                <w:szCs w:val="20"/>
              </w:rPr>
            </w:pPr>
            <w:r>
              <w:rPr>
                <w:color w:val="000000"/>
                <w:sz w:val="20"/>
                <w:szCs w:val="20"/>
              </w:rPr>
              <w:t>5.950,5</w:t>
            </w:r>
          </w:p>
        </w:tc>
      </w:tr>
    </w:tbl>
    <w:p w:rsidR="003E6588" w:rsidRDefault="003E6588">
      <w:pPr>
        <w:ind w:left="2124" w:firstLine="708"/>
        <w:jc w:val="both"/>
        <w:rPr>
          <w:iCs/>
          <w:color w:val="000000"/>
          <w:sz w:val="16"/>
          <w:szCs w:val="16"/>
        </w:rPr>
      </w:pPr>
      <w:r>
        <w:rPr>
          <w:color w:val="000000"/>
          <w:sz w:val="16"/>
          <w:szCs w:val="16"/>
        </w:rPr>
        <w:t xml:space="preserve">  Fonte: Siafem</w:t>
      </w:r>
    </w:p>
    <w:p w:rsidR="003E6588" w:rsidRDefault="003E6588">
      <w:pPr>
        <w:ind w:firstLine="1134"/>
        <w:jc w:val="both"/>
        <w:rPr>
          <w:color w:val="000000"/>
        </w:rPr>
      </w:pPr>
      <w:r>
        <w:rPr>
          <w:color w:val="000000"/>
        </w:rPr>
        <w:t xml:space="preserve">Destaques nas Receitas Correntes para variação negativa do ICMS, que representa 64,9% do total dessa receita, e para o crescimento real de 68,1 % da Receita Patrimonial. Nas Receitas de </w:t>
      </w:r>
      <w:r>
        <w:rPr>
          <w:color w:val="000000"/>
        </w:rPr>
        <w:lastRenderedPageBreak/>
        <w:t>Capital, houve um acréscimo nas Operações de Crédito de R$ 1.462,3 milhões e aumento real nas alienações de bens de 79,0%.</w:t>
      </w:r>
    </w:p>
    <w:p w:rsidR="003E6588" w:rsidRDefault="003E6588">
      <w:pPr>
        <w:ind w:firstLine="1134"/>
        <w:jc w:val="both"/>
        <w:rPr>
          <w:color w:val="000000"/>
        </w:rPr>
      </w:pPr>
    </w:p>
    <w:p w:rsidR="003E6588" w:rsidRDefault="003E6588">
      <w:pPr>
        <w:ind w:firstLine="1134"/>
        <w:jc w:val="both"/>
        <w:rPr>
          <w:iCs/>
        </w:rPr>
      </w:pPr>
      <w:r>
        <w:rPr>
          <w:b/>
          <w:bCs/>
        </w:rPr>
        <w:t xml:space="preserve">Despesa Total - - </w:t>
      </w:r>
      <w:r>
        <w:rPr>
          <w:iCs/>
        </w:rPr>
        <w:t>A Despesa Orçamentária Total, composta pelas Despesas Correntes e de Capital, somou R$ 144.675,3 milhões, apresentando um crescimento nominal de 11,7%. O desempenho real da Despesa Total, por sua vez, reflete um aumento de 5,1%.</w:t>
      </w:r>
    </w:p>
    <w:p w:rsidR="003E6588" w:rsidRPr="00797970" w:rsidRDefault="003E6588">
      <w:pPr>
        <w:ind w:firstLine="1134"/>
        <w:jc w:val="both"/>
        <w:rPr>
          <w:iCs/>
          <w:sz w:val="16"/>
          <w:szCs w:val="16"/>
        </w:rPr>
      </w:pPr>
    </w:p>
    <w:tbl>
      <w:tblPr>
        <w:tblW w:w="4275" w:type="dxa"/>
        <w:jc w:val="center"/>
        <w:tblInd w:w="682" w:type="dxa"/>
        <w:tblCellMar>
          <w:left w:w="70" w:type="dxa"/>
          <w:right w:w="70" w:type="dxa"/>
        </w:tblCellMar>
        <w:tblLook w:val="04A0"/>
      </w:tblPr>
      <w:tblGrid>
        <w:gridCol w:w="2196"/>
        <w:gridCol w:w="2079"/>
      </w:tblGrid>
      <w:tr w:rsidR="003E6588" w:rsidTr="00797970">
        <w:trPr>
          <w:trHeight w:val="124"/>
          <w:jc w:val="center"/>
        </w:trPr>
        <w:tc>
          <w:tcPr>
            <w:tcW w:w="2196" w:type="dxa"/>
            <w:noWrap/>
            <w:vAlign w:val="center"/>
            <w:hideMark/>
          </w:tcPr>
          <w:p w:rsidR="003E6588" w:rsidRDefault="003E6588">
            <w:pPr>
              <w:rPr>
                <w:sz w:val="20"/>
                <w:szCs w:val="20"/>
              </w:rPr>
            </w:pPr>
          </w:p>
        </w:tc>
        <w:tc>
          <w:tcPr>
            <w:tcW w:w="2079" w:type="dxa"/>
            <w:noWrap/>
            <w:vAlign w:val="center"/>
            <w:hideMark/>
          </w:tcPr>
          <w:p w:rsidR="003E6588" w:rsidRDefault="003E6588">
            <w:pPr>
              <w:rPr>
                <w:sz w:val="20"/>
                <w:szCs w:val="20"/>
              </w:rPr>
            </w:pPr>
            <w:r>
              <w:rPr>
                <w:b/>
                <w:sz w:val="20"/>
                <w:szCs w:val="20"/>
              </w:rPr>
              <w:t>Em R$ milhões</w:t>
            </w:r>
          </w:p>
        </w:tc>
      </w:tr>
      <w:tr w:rsidR="003E6588" w:rsidTr="00797970">
        <w:trPr>
          <w:trHeight w:val="34"/>
          <w:jc w:val="center"/>
        </w:trPr>
        <w:tc>
          <w:tcPr>
            <w:tcW w:w="2196" w:type="dxa"/>
            <w:tcBorders>
              <w:top w:val="single" w:sz="8" w:space="0" w:color="auto"/>
              <w:left w:val="nil"/>
              <w:bottom w:val="nil"/>
              <w:right w:val="nil"/>
            </w:tcBorders>
            <w:noWrap/>
            <w:vAlign w:val="center"/>
            <w:hideMark/>
          </w:tcPr>
          <w:p w:rsidR="003E6588" w:rsidRPr="00797970" w:rsidRDefault="003E6588">
            <w:pPr>
              <w:rPr>
                <w:sz w:val="12"/>
                <w:szCs w:val="12"/>
              </w:rPr>
            </w:pPr>
          </w:p>
        </w:tc>
        <w:tc>
          <w:tcPr>
            <w:tcW w:w="2079" w:type="dxa"/>
            <w:vMerge w:val="restart"/>
            <w:tcBorders>
              <w:top w:val="single" w:sz="8" w:space="0" w:color="auto"/>
              <w:left w:val="nil"/>
              <w:bottom w:val="single" w:sz="4" w:space="0" w:color="000000"/>
              <w:right w:val="nil"/>
            </w:tcBorders>
            <w:vAlign w:val="center"/>
            <w:hideMark/>
          </w:tcPr>
          <w:p w:rsidR="003E6588" w:rsidRDefault="00FB2CCB">
            <w:pPr>
              <w:rPr>
                <w:b/>
                <w:bCs/>
                <w:sz w:val="20"/>
                <w:szCs w:val="20"/>
              </w:rPr>
            </w:pPr>
            <w:r>
              <w:rPr>
                <w:b/>
                <w:bCs/>
                <w:sz w:val="20"/>
                <w:szCs w:val="20"/>
              </w:rPr>
              <w:t xml:space="preserve">    </w:t>
            </w:r>
            <w:r w:rsidR="003E6588">
              <w:rPr>
                <w:b/>
                <w:bCs/>
                <w:sz w:val="20"/>
                <w:szCs w:val="20"/>
              </w:rPr>
              <w:t>jan - out 2014</w:t>
            </w:r>
          </w:p>
        </w:tc>
      </w:tr>
      <w:tr w:rsidR="003E6588" w:rsidTr="00797970">
        <w:trPr>
          <w:trHeight w:val="34"/>
          <w:jc w:val="center"/>
        </w:trPr>
        <w:tc>
          <w:tcPr>
            <w:tcW w:w="2196" w:type="dxa"/>
            <w:noWrap/>
            <w:vAlign w:val="center"/>
            <w:hideMark/>
          </w:tcPr>
          <w:p w:rsidR="003E6588" w:rsidRPr="00797970" w:rsidRDefault="003E6588">
            <w:pPr>
              <w:rPr>
                <w:sz w:val="12"/>
                <w:szCs w:val="12"/>
              </w:rPr>
            </w:pPr>
          </w:p>
        </w:tc>
        <w:tc>
          <w:tcPr>
            <w:tcW w:w="2079" w:type="dxa"/>
            <w:vMerge/>
            <w:tcBorders>
              <w:top w:val="single" w:sz="8" w:space="0" w:color="auto"/>
              <w:left w:val="nil"/>
              <w:bottom w:val="single" w:sz="4" w:space="0" w:color="000000"/>
              <w:right w:val="nil"/>
            </w:tcBorders>
            <w:vAlign w:val="center"/>
            <w:hideMark/>
          </w:tcPr>
          <w:p w:rsidR="003E6588" w:rsidRDefault="003E6588">
            <w:pPr>
              <w:rPr>
                <w:b/>
                <w:bCs/>
                <w:sz w:val="20"/>
                <w:szCs w:val="20"/>
              </w:rPr>
            </w:pPr>
          </w:p>
        </w:tc>
      </w:tr>
      <w:tr w:rsidR="003E6588" w:rsidTr="00797970">
        <w:trPr>
          <w:trHeight w:val="44"/>
          <w:jc w:val="center"/>
        </w:trPr>
        <w:tc>
          <w:tcPr>
            <w:tcW w:w="2196" w:type="dxa"/>
            <w:noWrap/>
            <w:vAlign w:val="center"/>
            <w:hideMark/>
          </w:tcPr>
          <w:p w:rsidR="003E6588" w:rsidRDefault="003E6588">
            <w:pPr>
              <w:rPr>
                <w:b/>
                <w:bCs/>
                <w:sz w:val="20"/>
                <w:szCs w:val="20"/>
              </w:rPr>
            </w:pPr>
            <w:r>
              <w:rPr>
                <w:b/>
                <w:bCs/>
                <w:sz w:val="20"/>
                <w:szCs w:val="20"/>
              </w:rPr>
              <w:t>Despesa Total</w:t>
            </w:r>
          </w:p>
        </w:tc>
        <w:tc>
          <w:tcPr>
            <w:tcW w:w="2079" w:type="dxa"/>
            <w:noWrap/>
            <w:vAlign w:val="center"/>
            <w:hideMark/>
          </w:tcPr>
          <w:p w:rsidR="003E6588" w:rsidRDefault="003E6588">
            <w:pPr>
              <w:jc w:val="right"/>
              <w:rPr>
                <w:b/>
                <w:bCs/>
                <w:sz w:val="20"/>
                <w:szCs w:val="20"/>
              </w:rPr>
            </w:pPr>
            <w:r>
              <w:rPr>
                <w:b/>
                <w:bCs/>
                <w:sz w:val="20"/>
                <w:szCs w:val="20"/>
              </w:rPr>
              <w:t>144.675,3</w:t>
            </w:r>
          </w:p>
        </w:tc>
      </w:tr>
      <w:tr w:rsidR="003E6588" w:rsidTr="00797970">
        <w:trPr>
          <w:trHeight w:val="54"/>
          <w:jc w:val="center"/>
        </w:trPr>
        <w:tc>
          <w:tcPr>
            <w:tcW w:w="2196" w:type="dxa"/>
            <w:noWrap/>
            <w:vAlign w:val="center"/>
            <w:hideMark/>
          </w:tcPr>
          <w:p w:rsidR="003E6588" w:rsidRDefault="003E6588">
            <w:pPr>
              <w:rPr>
                <w:sz w:val="20"/>
                <w:szCs w:val="20"/>
              </w:rPr>
            </w:pPr>
            <w:r>
              <w:rPr>
                <w:sz w:val="20"/>
                <w:szCs w:val="20"/>
              </w:rPr>
              <w:t>Despesas Correntes</w:t>
            </w:r>
          </w:p>
        </w:tc>
        <w:tc>
          <w:tcPr>
            <w:tcW w:w="2079" w:type="dxa"/>
            <w:noWrap/>
            <w:vAlign w:val="center"/>
            <w:hideMark/>
          </w:tcPr>
          <w:p w:rsidR="003E6588" w:rsidRDefault="003E6588">
            <w:pPr>
              <w:jc w:val="right"/>
              <w:rPr>
                <w:sz w:val="20"/>
                <w:szCs w:val="20"/>
              </w:rPr>
            </w:pPr>
            <w:r>
              <w:rPr>
                <w:sz w:val="20"/>
                <w:szCs w:val="20"/>
              </w:rPr>
              <w:t>128.124,6</w:t>
            </w:r>
          </w:p>
        </w:tc>
      </w:tr>
      <w:tr w:rsidR="003E6588" w:rsidTr="00797970">
        <w:trPr>
          <w:trHeight w:val="96"/>
          <w:jc w:val="center"/>
        </w:trPr>
        <w:tc>
          <w:tcPr>
            <w:tcW w:w="2196" w:type="dxa"/>
            <w:tcBorders>
              <w:top w:val="nil"/>
              <w:left w:val="nil"/>
              <w:bottom w:val="single" w:sz="8" w:space="0" w:color="auto"/>
              <w:right w:val="nil"/>
            </w:tcBorders>
            <w:noWrap/>
            <w:vAlign w:val="center"/>
            <w:hideMark/>
          </w:tcPr>
          <w:p w:rsidR="003E6588" w:rsidRDefault="003E6588">
            <w:pPr>
              <w:rPr>
                <w:sz w:val="20"/>
                <w:szCs w:val="20"/>
              </w:rPr>
            </w:pPr>
            <w:r>
              <w:rPr>
                <w:sz w:val="20"/>
                <w:szCs w:val="20"/>
              </w:rPr>
              <w:t>Despesas de Capital</w:t>
            </w:r>
          </w:p>
        </w:tc>
        <w:tc>
          <w:tcPr>
            <w:tcW w:w="2079" w:type="dxa"/>
            <w:tcBorders>
              <w:top w:val="nil"/>
              <w:left w:val="nil"/>
              <w:bottom w:val="single" w:sz="8" w:space="0" w:color="auto"/>
              <w:right w:val="nil"/>
            </w:tcBorders>
            <w:noWrap/>
            <w:vAlign w:val="center"/>
            <w:hideMark/>
          </w:tcPr>
          <w:p w:rsidR="003E6588" w:rsidRDefault="003E6588">
            <w:pPr>
              <w:jc w:val="right"/>
              <w:rPr>
                <w:sz w:val="20"/>
                <w:szCs w:val="20"/>
              </w:rPr>
            </w:pPr>
            <w:r>
              <w:rPr>
                <w:sz w:val="20"/>
                <w:szCs w:val="20"/>
              </w:rPr>
              <w:t>16.550,7</w:t>
            </w:r>
          </w:p>
        </w:tc>
      </w:tr>
    </w:tbl>
    <w:p w:rsidR="003E6588" w:rsidRDefault="003E6588" w:rsidP="00FB2CCB">
      <w:pPr>
        <w:ind w:left="2125" w:firstLine="707"/>
        <w:jc w:val="left"/>
        <w:rPr>
          <w:sz w:val="16"/>
          <w:szCs w:val="16"/>
        </w:rPr>
      </w:pPr>
      <w:r>
        <w:rPr>
          <w:sz w:val="16"/>
          <w:szCs w:val="16"/>
        </w:rPr>
        <w:t xml:space="preserve">  Fonte: Siafem</w:t>
      </w:r>
    </w:p>
    <w:p w:rsidR="003E6588" w:rsidRPr="00797970" w:rsidRDefault="003E6588" w:rsidP="00FB2CCB">
      <w:pPr>
        <w:ind w:left="1134"/>
        <w:jc w:val="both"/>
        <w:rPr>
          <w:b/>
          <w:bCs/>
          <w:sz w:val="16"/>
          <w:szCs w:val="16"/>
        </w:rPr>
      </w:pPr>
    </w:p>
    <w:p w:rsidR="003E6588" w:rsidRDefault="003E6588">
      <w:pPr>
        <w:ind w:firstLine="1134"/>
        <w:jc w:val="both"/>
        <w:rPr>
          <w:iCs/>
          <w:color w:val="000000"/>
        </w:rPr>
      </w:pPr>
      <w:r>
        <w:rPr>
          <w:b/>
          <w:bCs/>
          <w:lang w:val="pt-PT"/>
        </w:rPr>
        <w:t xml:space="preserve">Execução Financeira do Serviço da Dívida - </w:t>
      </w:r>
      <w:r>
        <w:rPr>
          <w:iCs/>
          <w:color w:val="000000"/>
        </w:rPr>
        <w:t>O dispêndio do Tesouro Estadual com pagamento do serviço da dívida totalizou R$ 12,7 bilhões. A liquidação é de R$ 15,2 bilhões, sendo R$ 14,5 bilhões (95,3% do total) referentes às operações de crédito contraídas no mercado interno, com destaque para as dívidas refinanciadas com a União, que atingem o montante de R$ 13,8 bilhões. Os demais compromissos, equivalentes a R$ 0,7 bilhão (4,6% do total), correspondem às operações de crédito contratadas no mercado externo.</w:t>
      </w:r>
    </w:p>
    <w:p w:rsidR="003E6588" w:rsidRDefault="003E6588">
      <w:pPr>
        <w:ind w:firstLine="1134"/>
        <w:jc w:val="both"/>
        <w:rPr>
          <w:iCs/>
          <w:color w:val="000000"/>
        </w:rPr>
      </w:pPr>
    </w:p>
    <w:p w:rsidR="003E6588" w:rsidRDefault="003E6588">
      <w:pPr>
        <w:ind w:firstLine="1134"/>
        <w:jc w:val="both"/>
        <w:rPr>
          <w:iCs/>
          <w:color w:val="000000"/>
        </w:rPr>
      </w:pPr>
      <w:r>
        <w:rPr>
          <w:b/>
        </w:rPr>
        <w:t xml:space="preserve">Estoque da Dívida - </w:t>
      </w:r>
      <w:r>
        <w:rPr>
          <w:iCs/>
          <w:color w:val="000000"/>
        </w:rPr>
        <w:t>A dívida contratual do Estado apresentou estoque de R$ 227,7 bilhões. A administração direta detém saldo de R$ 214,5 bilhões (94,2%), com destaque para o contrato de refinanciamento da dívida interna, nos moldes da Lei nº 9.496/</w:t>
      </w:r>
      <w:r w:rsidR="00FB2CCB">
        <w:rPr>
          <w:iCs/>
          <w:color w:val="000000"/>
        </w:rPr>
        <w:t>19</w:t>
      </w:r>
      <w:r>
        <w:rPr>
          <w:iCs/>
          <w:color w:val="000000"/>
        </w:rPr>
        <w:t>97, com saldo de R$ 195,6 bilhões (85,9% do total), cujos encargos contratuais são de juros de 6,0% a.a., acrescidos da variação monetária pelo IGP-DI/FGV. Com a edição da Lei Complementar nº 148/2014, os encargos contratuais serão substituídos por juros de 4% a.a., acrescidos da variação do IPCA/IBGE, limitados à taxa SELIC. O estoque total da dívida suportada com recursos do Tesouro é de R$ 214,8 bilhões, sendo R$ 12,8 bilhões (5,6% do total) referentes ao saldo das dívidas das empresas não dependentes.</w:t>
      </w:r>
    </w:p>
    <w:p w:rsidR="003E6588" w:rsidRDefault="003E6588">
      <w:pPr>
        <w:ind w:firstLine="1134"/>
        <w:jc w:val="both"/>
        <w:rPr>
          <w:iCs/>
        </w:rPr>
      </w:pPr>
    </w:p>
    <w:p w:rsidR="003E6588" w:rsidRDefault="003E6588">
      <w:pPr>
        <w:ind w:firstLine="1134"/>
        <w:jc w:val="both"/>
        <w:rPr>
          <w:iCs/>
        </w:rPr>
      </w:pPr>
      <w:r>
        <w:rPr>
          <w:b/>
          <w:bCs/>
        </w:rPr>
        <w:t xml:space="preserve">Folha de Pagamento do Funcionalismo Público Estadual - </w:t>
      </w:r>
      <w:r>
        <w:rPr>
          <w:iCs/>
        </w:rPr>
        <w:t>Na Administração Direta - Poder Executivo, exceto Polícia Militar, foram processadas 12 folhas mensais de pagamento e mais 79 folhas suplementares, referentes ao 13º salário, férias, reajustes e acertos de pagamento ao funcionalismo público em geral.</w:t>
      </w:r>
    </w:p>
    <w:p w:rsidR="003E6588" w:rsidRDefault="003E6588">
      <w:pPr>
        <w:ind w:firstLine="1134"/>
        <w:jc w:val="both"/>
        <w:rPr>
          <w:iCs/>
        </w:rPr>
      </w:pPr>
    </w:p>
    <w:p w:rsidR="003E6588" w:rsidRDefault="003E6588">
      <w:pPr>
        <w:ind w:firstLine="1134"/>
        <w:jc w:val="both"/>
        <w:rPr>
          <w:iCs/>
        </w:rPr>
      </w:pPr>
      <w:r>
        <w:rPr>
          <w:iCs/>
        </w:rPr>
        <w:t>Esse universo representa a folha de pagamento de aproximadamente 503 mil servidores públicos, no montante de R$ 21,3 bilhões/ano.</w:t>
      </w:r>
    </w:p>
    <w:p w:rsidR="003E6588" w:rsidRPr="00797970" w:rsidRDefault="003E6588">
      <w:pPr>
        <w:ind w:firstLine="1134"/>
        <w:jc w:val="both"/>
        <w:rPr>
          <w:iCs/>
          <w:sz w:val="16"/>
          <w:szCs w:val="16"/>
        </w:rPr>
      </w:pPr>
    </w:p>
    <w:p w:rsidR="003E6588" w:rsidRDefault="003E6588">
      <w:pPr>
        <w:ind w:firstLine="1134"/>
        <w:jc w:val="both"/>
        <w:rPr>
          <w:b/>
          <w:bCs/>
          <w:color w:val="000000"/>
        </w:rPr>
      </w:pPr>
      <w:r>
        <w:rPr>
          <w:b/>
          <w:bCs/>
          <w:color w:val="000000"/>
        </w:rPr>
        <w:t>Compras Eletrônicas</w:t>
      </w:r>
    </w:p>
    <w:p w:rsidR="003E6588" w:rsidRDefault="003E6588">
      <w:pPr>
        <w:ind w:firstLine="1134"/>
        <w:jc w:val="both"/>
        <w:rPr>
          <w:b/>
          <w:bCs/>
          <w:color w:val="000000"/>
        </w:rPr>
      </w:pPr>
    </w:p>
    <w:p w:rsidR="003E6588" w:rsidRDefault="003E6588">
      <w:pPr>
        <w:ind w:firstLine="1134"/>
        <w:jc w:val="both"/>
        <w:rPr>
          <w:bCs/>
        </w:rPr>
      </w:pPr>
      <w:r>
        <w:rPr>
          <w:b/>
          <w:bCs/>
          <w:color w:val="000000"/>
        </w:rPr>
        <w:t xml:space="preserve">Bolsa Eletrônica de Compras - Sistema BEC - </w:t>
      </w:r>
      <w:r>
        <w:rPr>
          <w:bCs/>
        </w:rPr>
        <w:t>Por meio do Sistema BEC foi obtida economia de R$ 3,7 bilhões nas aquisições de bens e serviços. Foram negociados 341 mil itens, representando R$ 13,4 bilhões.</w:t>
      </w:r>
    </w:p>
    <w:p w:rsidR="003E6588" w:rsidRDefault="003E6588">
      <w:pPr>
        <w:pStyle w:val="PargrafodaLista"/>
        <w:ind w:left="0" w:firstLine="1134"/>
        <w:rPr>
          <w:rFonts w:ascii="Times New Roman" w:hAnsi="Times New Roman"/>
          <w:sz w:val="24"/>
          <w:szCs w:val="24"/>
        </w:rPr>
      </w:pPr>
      <w:r>
        <w:rPr>
          <w:rFonts w:ascii="Times New Roman" w:hAnsi="Times New Roman"/>
          <w:b/>
          <w:bCs/>
          <w:color w:val="000000"/>
          <w:sz w:val="24"/>
          <w:szCs w:val="24"/>
        </w:rPr>
        <w:t xml:space="preserve">Cadastro de Materiais e Serviços - </w:t>
      </w:r>
      <w:r>
        <w:rPr>
          <w:rFonts w:ascii="Times New Roman" w:hAnsi="Times New Roman"/>
          <w:sz w:val="24"/>
          <w:szCs w:val="24"/>
        </w:rPr>
        <w:t>O Catálogo de Materias e Serviços, ferramenta importante para as aquisições da BEC, contempla:</w:t>
      </w:r>
    </w:p>
    <w:p w:rsidR="003E6588" w:rsidRDefault="003E6588">
      <w:pPr>
        <w:pStyle w:val="PargrafodaLista"/>
        <w:ind w:left="0" w:firstLine="1134"/>
        <w:rPr>
          <w:rFonts w:ascii="Times New Roman" w:hAnsi="Times New Roman"/>
          <w:sz w:val="24"/>
          <w:szCs w:val="24"/>
        </w:rPr>
      </w:pPr>
    </w:p>
    <w:p w:rsidR="003E6588" w:rsidRDefault="003E6588">
      <w:pPr>
        <w:pStyle w:val="Default"/>
        <w:widowControl/>
        <w:ind w:left="1134"/>
        <w:jc w:val="both"/>
        <w:rPr>
          <w:rFonts w:ascii="Times New Roman" w:hAnsi="Times New Roman"/>
        </w:rPr>
      </w:pPr>
      <w:r>
        <w:rPr>
          <w:rFonts w:ascii="Times New Roman" w:hAnsi="Times New Roman"/>
        </w:rPr>
        <w:t>- 189.900 itens ativos.</w:t>
      </w:r>
    </w:p>
    <w:p w:rsidR="003E6588" w:rsidRDefault="003E6588">
      <w:pPr>
        <w:pStyle w:val="Default"/>
        <w:widowControl/>
        <w:ind w:left="1134"/>
        <w:jc w:val="both"/>
        <w:rPr>
          <w:rFonts w:ascii="Times New Roman" w:hAnsi="Times New Roman"/>
        </w:rPr>
      </w:pPr>
    </w:p>
    <w:p w:rsidR="003E6588" w:rsidRDefault="003E6588">
      <w:pPr>
        <w:pStyle w:val="Default"/>
        <w:widowControl/>
        <w:ind w:left="1134"/>
        <w:jc w:val="both"/>
        <w:rPr>
          <w:rFonts w:ascii="Times New Roman" w:hAnsi="Times New Roman"/>
        </w:rPr>
      </w:pPr>
      <w:r>
        <w:rPr>
          <w:rFonts w:ascii="Times New Roman" w:hAnsi="Times New Roman"/>
        </w:rPr>
        <w:t>- 12.832 metroferroviário.</w:t>
      </w:r>
    </w:p>
    <w:p w:rsidR="003E6588" w:rsidRDefault="003E6588">
      <w:pPr>
        <w:pStyle w:val="Default"/>
        <w:widowControl/>
        <w:jc w:val="both"/>
        <w:rPr>
          <w:rFonts w:ascii="Times New Roman" w:hAnsi="Times New Roman"/>
        </w:rPr>
      </w:pPr>
    </w:p>
    <w:p w:rsidR="003E6588" w:rsidRDefault="003E6588">
      <w:pPr>
        <w:pStyle w:val="Default"/>
        <w:widowControl/>
        <w:ind w:left="1134"/>
        <w:jc w:val="both"/>
        <w:rPr>
          <w:rFonts w:ascii="Times New Roman" w:hAnsi="Times New Roman"/>
        </w:rPr>
      </w:pPr>
      <w:r>
        <w:rPr>
          <w:rFonts w:ascii="Times New Roman" w:hAnsi="Times New Roman"/>
        </w:rPr>
        <w:t>- 58.600 saúde.</w:t>
      </w:r>
    </w:p>
    <w:p w:rsidR="003E6588" w:rsidRDefault="003E6588">
      <w:pPr>
        <w:pStyle w:val="Default"/>
        <w:widowControl/>
        <w:jc w:val="both"/>
        <w:rPr>
          <w:rFonts w:ascii="Times New Roman" w:hAnsi="Times New Roman"/>
        </w:rPr>
      </w:pPr>
    </w:p>
    <w:p w:rsidR="003E6588" w:rsidRDefault="003E6588">
      <w:pPr>
        <w:pStyle w:val="Default"/>
        <w:widowControl/>
        <w:ind w:left="1134"/>
        <w:jc w:val="both"/>
        <w:rPr>
          <w:rFonts w:ascii="Times New Roman" w:hAnsi="Times New Roman"/>
          <w:color w:val="000000"/>
        </w:rPr>
      </w:pPr>
      <w:r>
        <w:rPr>
          <w:rFonts w:ascii="Times New Roman" w:hAnsi="Times New Roman"/>
        </w:rPr>
        <w:t>- 1.770 itens socioambientais.</w:t>
      </w:r>
    </w:p>
    <w:p w:rsidR="003E6588" w:rsidRDefault="003E6588">
      <w:pPr>
        <w:pStyle w:val="Default"/>
        <w:widowControl/>
        <w:jc w:val="both"/>
        <w:rPr>
          <w:rFonts w:ascii="Times New Roman" w:hAnsi="Times New Roman"/>
          <w:color w:val="000000"/>
        </w:rPr>
      </w:pPr>
    </w:p>
    <w:p w:rsidR="003E6588" w:rsidRDefault="003E6588">
      <w:pPr>
        <w:pStyle w:val="PARGRAFO"/>
      </w:pPr>
      <w:r>
        <w:t>Foram realizados estudos de racionalização de 2.666 itens, com a redução de 1.667 itens de materiais, com estimativa de economia de R$ 4.135.135,16. A racionalização consiste na análise dos itens e identificação daqueles mais representativos em termos de quantidade adquirida.</w:t>
      </w:r>
    </w:p>
    <w:p w:rsidR="003E6588" w:rsidRDefault="003E6588">
      <w:pPr>
        <w:pStyle w:val="PARGRAFO"/>
      </w:pPr>
    </w:p>
    <w:p w:rsidR="003E6588" w:rsidRDefault="003E6588">
      <w:pPr>
        <w:pStyle w:val="PargrafodaLista"/>
        <w:ind w:left="0" w:firstLine="1134"/>
        <w:rPr>
          <w:rFonts w:ascii="Times New Roman" w:hAnsi="Times New Roman"/>
          <w:sz w:val="24"/>
          <w:szCs w:val="24"/>
        </w:rPr>
      </w:pPr>
      <w:r>
        <w:rPr>
          <w:rFonts w:ascii="Times New Roman" w:hAnsi="Times New Roman"/>
          <w:b/>
          <w:bCs/>
          <w:color w:val="000000"/>
          <w:sz w:val="24"/>
          <w:szCs w:val="24"/>
        </w:rPr>
        <w:t>Cadastro de Fornecedores - CAUFESP</w:t>
      </w:r>
      <w:r>
        <w:rPr>
          <w:rFonts w:ascii="Times New Roman" w:hAnsi="Times New Roman"/>
          <w:bCs/>
          <w:color w:val="000000"/>
          <w:sz w:val="24"/>
          <w:szCs w:val="24"/>
        </w:rPr>
        <w:t xml:space="preserve"> - </w:t>
      </w:r>
      <w:r>
        <w:rPr>
          <w:rFonts w:ascii="Times New Roman" w:hAnsi="Times New Roman"/>
          <w:sz w:val="24"/>
          <w:szCs w:val="24"/>
        </w:rPr>
        <w:t>O CAUFESP conta com 55.686 fornecedores cadastrados, dos quais 15% são ME e EPP.</w:t>
      </w:r>
    </w:p>
    <w:p w:rsidR="003E6588" w:rsidRDefault="003E6588">
      <w:pPr>
        <w:ind w:firstLine="1134"/>
        <w:jc w:val="both"/>
      </w:pPr>
    </w:p>
    <w:p w:rsidR="003E6588" w:rsidRDefault="003E6588">
      <w:pPr>
        <w:ind w:firstLine="1134"/>
        <w:jc w:val="both"/>
      </w:pPr>
      <w:r>
        <w:t>Foram cadastrados 954 fornecedores pelo Centro de Controle de Fornecedores, responsável também pelo monitoramento das solicitações de cadastramento realizadas pelas demais 718 unidades cadastradoras do Estado.</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bCs/>
          <w:color w:val="000000"/>
          <w:sz w:val="24"/>
          <w:szCs w:val="24"/>
        </w:rPr>
        <w:t xml:space="preserve">Cadastro de Serviços Terceirizados - CADTERC - </w:t>
      </w:r>
      <w:r>
        <w:rPr>
          <w:rFonts w:ascii="Times New Roman" w:hAnsi="Times New Roman"/>
          <w:sz w:val="24"/>
          <w:szCs w:val="24"/>
        </w:rPr>
        <w:t>O CadTerc proporcionou uma economia de R$ 2.3 bilhões.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bCs/>
          <w:color w:val="000000"/>
          <w:sz w:val="24"/>
          <w:szCs w:val="24"/>
        </w:rPr>
        <w:t xml:space="preserve">Gestão de Qualidade - </w:t>
      </w:r>
      <w:r>
        <w:rPr>
          <w:rFonts w:ascii="Times New Roman" w:hAnsi="Times New Roman"/>
          <w:sz w:val="24"/>
          <w:szCs w:val="24"/>
        </w:rPr>
        <w:t>Dentre as ações de aperfeiçoamento e melhoria contínua, destacamos:</w:t>
      </w:r>
    </w:p>
    <w:p w:rsidR="003E6588" w:rsidRDefault="003E6588">
      <w:pPr>
        <w:pStyle w:val="PargrafodaLista"/>
        <w:ind w:left="0" w:firstLine="1134"/>
      </w:pPr>
    </w:p>
    <w:p w:rsidR="003E6588" w:rsidRDefault="003E6588">
      <w:pPr>
        <w:pStyle w:val="PARGRAFO"/>
        <w:rPr>
          <w:color w:val="666666"/>
        </w:rPr>
      </w:pPr>
      <w:r>
        <w:rPr>
          <w:lang w:val="pt-BR"/>
        </w:rPr>
        <w:t xml:space="preserve">- </w:t>
      </w:r>
      <w:r>
        <w:t>Manutenção do certificado ISO 9001:2008 do Sistema de Gestão da Qualidade na Bolsa Eletrônica de Compras.</w:t>
      </w:r>
    </w:p>
    <w:p w:rsidR="003E6588" w:rsidRDefault="003E6588">
      <w:pPr>
        <w:pStyle w:val="PARGRAFO"/>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lang w:val="pt-PT"/>
        </w:rPr>
        <w:t xml:space="preserve">- </w:t>
      </w:r>
      <w:r>
        <w:rPr>
          <w:rFonts w:ascii="Times New Roman" w:hAnsi="Times New Roman"/>
          <w:sz w:val="24"/>
          <w:szCs w:val="24"/>
        </w:rPr>
        <w:t>Elaboração do Relatório de Gestão 2010-2014 da Coordenadoria.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Implantação do Sistema Integrado de Suprimentos - obrigatório para utilização na Sefaz - Resolução SF nº 79/2014.</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Desenvolvimento da metodologia da avaliação de desempenho dos fornecedores e do modelo de compras das Unidades Compradoras do Estado que operam no Sistema BEC, com apresentação de recomendação de melhorias, visando atingir a excelência no processo de compras eletrônicas.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1134"/>
        <w:rPr>
          <w:rFonts w:ascii="Times New Roman" w:hAnsi="Times New Roman"/>
          <w:sz w:val="24"/>
          <w:szCs w:val="24"/>
        </w:rPr>
      </w:pPr>
      <w:r>
        <w:rPr>
          <w:rFonts w:ascii="Times New Roman" w:hAnsi="Times New Roman"/>
          <w:sz w:val="24"/>
          <w:szCs w:val="24"/>
        </w:rPr>
        <w:t>- Treinamento de 1.416 funcionários e empregados públicos</w:t>
      </w:r>
    </w:p>
    <w:p w:rsidR="003E6588" w:rsidRDefault="003E6588">
      <w:pPr>
        <w:pStyle w:val="PargrafodaLista"/>
        <w:ind w:left="1134"/>
        <w:rPr>
          <w:rFonts w:ascii="Times New Roman" w:hAnsi="Times New Roman"/>
          <w:strike/>
          <w:sz w:val="24"/>
          <w:szCs w:val="24"/>
        </w:rPr>
      </w:pPr>
    </w:p>
    <w:tbl>
      <w:tblPr>
        <w:tblW w:w="5092" w:type="dxa"/>
        <w:jc w:val="center"/>
        <w:tblInd w:w="56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3492"/>
        <w:gridCol w:w="1600"/>
      </w:tblGrid>
      <w:tr w:rsidR="003E6588" w:rsidTr="0003027C">
        <w:trPr>
          <w:trHeight w:val="44"/>
          <w:jc w:val="center"/>
        </w:trPr>
        <w:tc>
          <w:tcPr>
            <w:tcW w:w="3492" w:type="dxa"/>
            <w:shd w:val="clear" w:color="auto" w:fill="auto"/>
            <w:noWrap/>
            <w:vAlign w:val="bottom"/>
            <w:hideMark/>
          </w:tcPr>
          <w:p w:rsidR="003E6588" w:rsidRDefault="003E0D18">
            <w:pPr>
              <w:rPr>
                <w:b/>
                <w:bCs/>
                <w:color w:val="000000"/>
                <w:sz w:val="20"/>
                <w:szCs w:val="20"/>
              </w:rPr>
            </w:pPr>
            <w:r>
              <w:rPr>
                <w:b/>
                <w:bCs/>
                <w:color w:val="000000"/>
                <w:sz w:val="20"/>
                <w:szCs w:val="20"/>
              </w:rPr>
              <w:t>Curso</w:t>
            </w:r>
          </w:p>
        </w:tc>
        <w:tc>
          <w:tcPr>
            <w:tcW w:w="1600" w:type="dxa"/>
            <w:shd w:val="clear" w:color="auto" w:fill="auto"/>
            <w:noWrap/>
            <w:vAlign w:val="bottom"/>
            <w:hideMark/>
          </w:tcPr>
          <w:p w:rsidR="003E6588" w:rsidRDefault="003E6588">
            <w:pPr>
              <w:rPr>
                <w:b/>
                <w:bCs/>
                <w:color w:val="000000"/>
                <w:sz w:val="20"/>
                <w:szCs w:val="20"/>
              </w:rPr>
            </w:pPr>
            <w:r>
              <w:rPr>
                <w:b/>
                <w:bCs/>
                <w:color w:val="000000"/>
                <w:sz w:val="20"/>
                <w:szCs w:val="20"/>
              </w:rPr>
              <w:t>Treinados</w:t>
            </w:r>
          </w:p>
        </w:tc>
      </w:tr>
      <w:tr w:rsidR="003E6588" w:rsidTr="0003027C">
        <w:trPr>
          <w:trHeight w:val="73"/>
          <w:jc w:val="center"/>
        </w:trPr>
        <w:tc>
          <w:tcPr>
            <w:tcW w:w="3492" w:type="dxa"/>
            <w:shd w:val="clear" w:color="auto" w:fill="FFFFFF"/>
            <w:noWrap/>
            <w:vAlign w:val="bottom"/>
            <w:hideMark/>
          </w:tcPr>
          <w:p w:rsidR="003E6588" w:rsidRDefault="003E6588" w:rsidP="003E0D18">
            <w:pPr>
              <w:jc w:val="left"/>
              <w:rPr>
                <w:bCs/>
                <w:color w:val="000000"/>
                <w:sz w:val="20"/>
                <w:szCs w:val="20"/>
              </w:rPr>
            </w:pPr>
            <w:r>
              <w:rPr>
                <w:bCs/>
                <w:color w:val="000000"/>
                <w:sz w:val="20"/>
                <w:szCs w:val="20"/>
              </w:rPr>
              <w:t>Pregão Eletrônico</w:t>
            </w:r>
          </w:p>
        </w:tc>
        <w:tc>
          <w:tcPr>
            <w:tcW w:w="1600" w:type="dxa"/>
            <w:shd w:val="clear" w:color="auto" w:fill="FFFFFF"/>
            <w:noWrap/>
            <w:vAlign w:val="bottom"/>
            <w:hideMark/>
          </w:tcPr>
          <w:p w:rsidR="003E6588" w:rsidRDefault="003E6588">
            <w:pPr>
              <w:rPr>
                <w:bCs/>
                <w:color w:val="000000"/>
                <w:sz w:val="20"/>
                <w:szCs w:val="20"/>
              </w:rPr>
            </w:pPr>
            <w:r>
              <w:rPr>
                <w:bCs/>
                <w:color w:val="000000"/>
                <w:sz w:val="20"/>
                <w:szCs w:val="20"/>
              </w:rPr>
              <w:t>294</w:t>
            </w:r>
          </w:p>
        </w:tc>
      </w:tr>
      <w:tr w:rsidR="003E6588" w:rsidTr="0003027C">
        <w:trPr>
          <w:trHeight w:val="106"/>
          <w:jc w:val="center"/>
        </w:trPr>
        <w:tc>
          <w:tcPr>
            <w:tcW w:w="3492" w:type="dxa"/>
            <w:shd w:val="clear" w:color="auto" w:fill="FFFFFF"/>
            <w:noWrap/>
            <w:vAlign w:val="bottom"/>
            <w:hideMark/>
          </w:tcPr>
          <w:p w:rsidR="003E6588" w:rsidRDefault="003E6588" w:rsidP="003E0D18">
            <w:pPr>
              <w:jc w:val="left"/>
              <w:rPr>
                <w:bCs/>
                <w:color w:val="000000"/>
                <w:sz w:val="20"/>
                <w:szCs w:val="20"/>
              </w:rPr>
            </w:pPr>
            <w:r>
              <w:rPr>
                <w:bCs/>
                <w:color w:val="000000"/>
                <w:sz w:val="20"/>
                <w:szCs w:val="20"/>
              </w:rPr>
              <w:lastRenderedPageBreak/>
              <w:t>Registro de Preços</w:t>
            </w:r>
          </w:p>
        </w:tc>
        <w:tc>
          <w:tcPr>
            <w:tcW w:w="1600" w:type="dxa"/>
            <w:shd w:val="clear" w:color="auto" w:fill="FFFFFF"/>
            <w:noWrap/>
            <w:vAlign w:val="bottom"/>
            <w:hideMark/>
          </w:tcPr>
          <w:p w:rsidR="003E6588" w:rsidRDefault="003E6588">
            <w:pPr>
              <w:rPr>
                <w:bCs/>
                <w:color w:val="000000"/>
                <w:sz w:val="20"/>
                <w:szCs w:val="20"/>
              </w:rPr>
            </w:pPr>
            <w:r>
              <w:rPr>
                <w:bCs/>
                <w:color w:val="000000"/>
                <w:sz w:val="20"/>
                <w:szCs w:val="20"/>
              </w:rPr>
              <w:t>119</w:t>
            </w:r>
          </w:p>
        </w:tc>
      </w:tr>
      <w:tr w:rsidR="003E6588" w:rsidTr="0003027C">
        <w:trPr>
          <w:trHeight w:val="44"/>
          <w:jc w:val="center"/>
        </w:trPr>
        <w:tc>
          <w:tcPr>
            <w:tcW w:w="3492" w:type="dxa"/>
            <w:shd w:val="clear" w:color="auto" w:fill="FFFFFF"/>
            <w:noWrap/>
            <w:vAlign w:val="bottom"/>
            <w:hideMark/>
          </w:tcPr>
          <w:p w:rsidR="003E6588" w:rsidRDefault="003E6588" w:rsidP="003E0D18">
            <w:pPr>
              <w:jc w:val="left"/>
              <w:rPr>
                <w:bCs/>
                <w:color w:val="000000"/>
                <w:sz w:val="20"/>
                <w:szCs w:val="20"/>
              </w:rPr>
            </w:pPr>
            <w:r>
              <w:rPr>
                <w:bCs/>
                <w:color w:val="000000"/>
                <w:sz w:val="20"/>
                <w:szCs w:val="20"/>
              </w:rPr>
              <w:t>Recepção de Materiais</w:t>
            </w:r>
          </w:p>
        </w:tc>
        <w:tc>
          <w:tcPr>
            <w:tcW w:w="1600" w:type="dxa"/>
            <w:shd w:val="clear" w:color="auto" w:fill="FFFFFF"/>
            <w:noWrap/>
            <w:vAlign w:val="bottom"/>
            <w:hideMark/>
          </w:tcPr>
          <w:p w:rsidR="003E6588" w:rsidRDefault="003E6588">
            <w:pPr>
              <w:rPr>
                <w:bCs/>
                <w:color w:val="000000"/>
                <w:sz w:val="20"/>
                <w:szCs w:val="20"/>
              </w:rPr>
            </w:pPr>
            <w:r>
              <w:rPr>
                <w:bCs/>
                <w:color w:val="000000"/>
                <w:sz w:val="20"/>
                <w:szCs w:val="20"/>
              </w:rPr>
              <w:t>247</w:t>
            </w:r>
          </w:p>
        </w:tc>
      </w:tr>
      <w:tr w:rsidR="003E6588" w:rsidTr="0003027C">
        <w:trPr>
          <w:trHeight w:val="44"/>
          <w:jc w:val="center"/>
        </w:trPr>
        <w:tc>
          <w:tcPr>
            <w:tcW w:w="3492" w:type="dxa"/>
            <w:shd w:val="clear" w:color="auto" w:fill="FFFFFF"/>
            <w:noWrap/>
            <w:vAlign w:val="bottom"/>
            <w:hideMark/>
          </w:tcPr>
          <w:p w:rsidR="003E6588" w:rsidRDefault="003E6588" w:rsidP="003E0D18">
            <w:pPr>
              <w:jc w:val="left"/>
              <w:rPr>
                <w:bCs/>
                <w:color w:val="000000"/>
                <w:sz w:val="20"/>
                <w:szCs w:val="20"/>
              </w:rPr>
            </w:pPr>
            <w:r>
              <w:rPr>
                <w:bCs/>
                <w:color w:val="000000"/>
                <w:sz w:val="20"/>
                <w:szCs w:val="20"/>
              </w:rPr>
              <w:t>Gestão de materiais/serviços e Siafisico</w:t>
            </w:r>
          </w:p>
        </w:tc>
        <w:tc>
          <w:tcPr>
            <w:tcW w:w="1600" w:type="dxa"/>
            <w:shd w:val="clear" w:color="auto" w:fill="FFFFFF"/>
            <w:noWrap/>
            <w:vAlign w:val="bottom"/>
            <w:hideMark/>
          </w:tcPr>
          <w:p w:rsidR="003E6588" w:rsidRDefault="003E6588">
            <w:pPr>
              <w:rPr>
                <w:bCs/>
                <w:color w:val="000000"/>
                <w:sz w:val="20"/>
                <w:szCs w:val="20"/>
              </w:rPr>
            </w:pPr>
            <w:r>
              <w:rPr>
                <w:bCs/>
                <w:color w:val="000000"/>
                <w:sz w:val="20"/>
                <w:szCs w:val="20"/>
              </w:rPr>
              <w:t>281</w:t>
            </w:r>
          </w:p>
        </w:tc>
      </w:tr>
      <w:tr w:rsidR="003E6588" w:rsidTr="0003027C">
        <w:trPr>
          <w:trHeight w:val="44"/>
          <w:jc w:val="center"/>
        </w:trPr>
        <w:tc>
          <w:tcPr>
            <w:tcW w:w="3492" w:type="dxa"/>
            <w:shd w:val="clear" w:color="auto" w:fill="FFFFFF"/>
            <w:noWrap/>
            <w:vAlign w:val="bottom"/>
            <w:hideMark/>
          </w:tcPr>
          <w:p w:rsidR="003E6588" w:rsidRDefault="003E6588" w:rsidP="003E0D18">
            <w:pPr>
              <w:jc w:val="left"/>
              <w:rPr>
                <w:bCs/>
                <w:color w:val="000000"/>
                <w:sz w:val="20"/>
                <w:szCs w:val="20"/>
              </w:rPr>
            </w:pPr>
            <w:r>
              <w:rPr>
                <w:bCs/>
                <w:color w:val="000000"/>
                <w:sz w:val="20"/>
                <w:szCs w:val="20"/>
              </w:rPr>
              <w:t>Caufesp - Gestores</w:t>
            </w:r>
          </w:p>
        </w:tc>
        <w:tc>
          <w:tcPr>
            <w:tcW w:w="1600" w:type="dxa"/>
            <w:shd w:val="clear" w:color="auto" w:fill="FFFFFF"/>
            <w:noWrap/>
            <w:vAlign w:val="bottom"/>
            <w:hideMark/>
          </w:tcPr>
          <w:p w:rsidR="003E6588" w:rsidRDefault="003E6588">
            <w:pPr>
              <w:rPr>
                <w:bCs/>
                <w:color w:val="000000"/>
                <w:sz w:val="20"/>
                <w:szCs w:val="20"/>
              </w:rPr>
            </w:pPr>
            <w:r>
              <w:rPr>
                <w:bCs/>
                <w:color w:val="000000"/>
                <w:sz w:val="20"/>
                <w:szCs w:val="20"/>
              </w:rPr>
              <w:t>389</w:t>
            </w:r>
          </w:p>
        </w:tc>
      </w:tr>
      <w:tr w:rsidR="003E6588" w:rsidTr="0003027C">
        <w:trPr>
          <w:trHeight w:val="44"/>
          <w:jc w:val="center"/>
        </w:trPr>
        <w:tc>
          <w:tcPr>
            <w:tcW w:w="3492" w:type="dxa"/>
            <w:shd w:val="clear" w:color="auto" w:fill="FFFFFF"/>
            <w:noWrap/>
            <w:vAlign w:val="bottom"/>
            <w:hideMark/>
          </w:tcPr>
          <w:p w:rsidR="003E6588" w:rsidRDefault="003E6588" w:rsidP="003E0D18">
            <w:pPr>
              <w:jc w:val="left"/>
              <w:rPr>
                <w:bCs/>
                <w:color w:val="000000"/>
                <w:sz w:val="20"/>
                <w:szCs w:val="20"/>
              </w:rPr>
            </w:pPr>
            <w:r>
              <w:rPr>
                <w:bCs/>
                <w:color w:val="000000"/>
                <w:sz w:val="20"/>
                <w:szCs w:val="20"/>
              </w:rPr>
              <w:t>Pregão Eletrônico - simulado</w:t>
            </w:r>
          </w:p>
        </w:tc>
        <w:tc>
          <w:tcPr>
            <w:tcW w:w="1600" w:type="dxa"/>
            <w:shd w:val="clear" w:color="auto" w:fill="FFFFFF"/>
            <w:noWrap/>
            <w:vAlign w:val="bottom"/>
            <w:hideMark/>
          </w:tcPr>
          <w:p w:rsidR="003E6588" w:rsidRDefault="003E6588">
            <w:pPr>
              <w:rPr>
                <w:bCs/>
                <w:color w:val="000000"/>
                <w:sz w:val="20"/>
                <w:szCs w:val="20"/>
              </w:rPr>
            </w:pPr>
            <w:r>
              <w:rPr>
                <w:bCs/>
                <w:color w:val="000000"/>
                <w:sz w:val="20"/>
                <w:szCs w:val="20"/>
              </w:rPr>
              <w:t>41</w:t>
            </w:r>
          </w:p>
        </w:tc>
      </w:tr>
      <w:tr w:rsidR="003E6588" w:rsidTr="0003027C">
        <w:trPr>
          <w:trHeight w:val="44"/>
          <w:jc w:val="center"/>
        </w:trPr>
        <w:tc>
          <w:tcPr>
            <w:tcW w:w="3492" w:type="dxa"/>
            <w:shd w:val="clear" w:color="auto" w:fill="FFFFFF"/>
            <w:noWrap/>
            <w:vAlign w:val="bottom"/>
            <w:hideMark/>
          </w:tcPr>
          <w:p w:rsidR="003E6588" w:rsidRDefault="003E6588" w:rsidP="003E0D18">
            <w:pPr>
              <w:jc w:val="left"/>
              <w:rPr>
                <w:bCs/>
                <w:color w:val="000000"/>
                <w:sz w:val="20"/>
                <w:szCs w:val="20"/>
              </w:rPr>
            </w:pPr>
            <w:r>
              <w:rPr>
                <w:bCs/>
                <w:color w:val="000000"/>
                <w:sz w:val="20"/>
                <w:szCs w:val="20"/>
              </w:rPr>
              <w:t xml:space="preserve">Banco de Preços - </w:t>
            </w:r>
            <w:r>
              <w:rPr>
                <w:bCs/>
                <w:i/>
                <w:color w:val="000000"/>
                <w:sz w:val="20"/>
                <w:szCs w:val="20"/>
              </w:rPr>
              <w:t>Business Inteligence</w:t>
            </w:r>
          </w:p>
        </w:tc>
        <w:tc>
          <w:tcPr>
            <w:tcW w:w="1600" w:type="dxa"/>
            <w:shd w:val="clear" w:color="auto" w:fill="FFFFFF"/>
            <w:noWrap/>
            <w:vAlign w:val="bottom"/>
            <w:hideMark/>
          </w:tcPr>
          <w:p w:rsidR="003E6588" w:rsidRDefault="003E6588">
            <w:pPr>
              <w:rPr>
                <w:bCs/>
                <w:color w:val="000000"/>
                <w:sz w:val="20"/>
                <w:szCs w:val="20"/>
              </w:rPr>
            </w:pPr>
            <w:r>
              <w:rPr>
                <w:bCs/>
                <w:color w:val="000000"/>
                <w:sz w:val="20"/>
                <w:szCs w:val="20"/>
              </w:rPr>
              <w:t>45</w:t>
            </w:r>
          </w:p>
        </w:tc>
      </w:tr>
      <w:tr w:rsidR="003E6588" w:rsidTr="0003027C">
        <w:trPr>
          <w:trHeight w:val="44"/>
          <w:jc w:val="center"/>
        </w:trPr>
        <w:tc>
          <w:tcPr>
            <w:tcW w:w="3492" w:type="dxa"/>
            <w:shd w:val="clear" w:color="auto" w:fill="auto"/>
            <w:noWrap/>
            <w:vAlign w:val="bottom"/>
            <w:hideMark/>
          </w:tcPr>
          <w:p w:rsidR="003E6588" w:rsidRPr="003E0D18" w:rsidRDefault="003E6588" w:rsidP="003E0D18">
            <w:pPr>
              <w:jc w:val="left"/>
              <w:rPr>
                <w:b/>
                <w:bCs/>
                <w:color w:val="000000"/>
                <w:sz w:val="20"/>
                <w:szCs w:val="20"/>
              </w:rPr>
            </w:pPr>
            <w:r w:rsidRPr="003E0D18">
              <w:rPr>
                <w:b/>
                <w:bCs/>
                <w:color w:val="000000"/>
                <w:sz w:val="20"/>
                <w:szCs w:val="20"/>
              </w:rPr>
              <w:t>Total</w:t>
            </w:r>
          </w:p>
        </w:tc>
        <w:tc>
          <w:tcPr>
            <w:tcW w:w="1600" w:type="dxa"/>
            <w:shd w:val="clear" w:color="auto" w:fill="auto"/>
            <w:noWrap/>
            <w:vAlign w:val="bottom"/>
            <w:hideMark/>
          </w:tcPr>
          <w:p w:rsidR="003E6588" w:rsidRPr="003E0D18" w:rsidRDefault="003E6588">
            <w:pPr>
              <w:rPr>
                <w:b/>
                <w:bCs/>
                <w:color w:val="000000"/>
                <w:sz w:val="20"/>
                <w:szCs w:val="20"/>
              </w:rPr>
            </w:pPr>
            <w:r w:rsidRPr="003E0D18">
              <w:rPr>
                <w:b/>
                <w:bCs/>
                <w:color w:val="000000"/>
                <w:sz w:val="20"/>
                <w:szCs w:val="20"/>
              </w:rPr>
              <w:t>1.416</w:t>
            </w:r>
          </w:p>
        </w:tc>
      </w:tr>
    </w:tbl>
    <w:p w:rsidR="003E6588" w:rsidRDefault="003E6588">
      <w:pPr>
        <w:pStyle w:val="PargrafodaLista"/>
        <w:rPr>
          <w:rFonts w:ascii="Times New Roman" w:hAnsi="Times New Roman"/>
          <w:color w:val="000000"/>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color w:val="000000"/>
          <w:sz w:val="24"/>
          <w:szCs w:val="24"/>
        </w:rPr>
        <w:t xml:space="preserve">Grupo de Entidades Descentralizadas - </w:t>
      </w:r>
      <w:r>
        <w:rPr>
          <w:rFonts w:ascii="Times New Roman" w:hAnsi="Times New Roman"/>
          <w:sz w:val="24"/>
          <w:szCs w:val="24"/>
        </w:rPr>
        <w:t>A área analisou e se manifestou em 541 pleitos entre processos, expedientes, manisfestações prévias e alterações orçamentárias.</w:t>
      </w:r>
    </w:p>
    <w:p w:rsidR="003E6588" w:rsidRDefault="003E6588">
      <w:pPr>
        <w:pStyle w:val="PARGRAFO"/>
      </w:pPr>
    </w:p>
    <w:p w:rsidR="003E6588" w:rsidRDefault="003E6588">
      <w:pPr>
        <w:pStyle w:val="PARGRAFO"/>
      </w:pPr>
      <w:r>
        <w:t>No Sistema de Informações de Entidades Descentralizadas - SIEDESC, que visa o controle das informações das entidades do Estado, foram implementados os módulos de gestão por indicadores e o de Investimento para Empresas Não Dependentes. Os outros módulos do sistema também foram trabalhados, tendo sido realizadas capacitações dos módulos cadastral e financeiro, além de levantamento de dados para desenvolvimento do módulo Perfil das entidades.</w:t>
      </w:r>
    </w:p>
    <w:p w:rsidR="003E6588" w:rsidRDefault="003E6588">
      <w:pPr>
        <w:pStyle w:val="PARGRAFO"/>
      </w:pPr>
    </w:p>
    <w:p w:rsidR="003E6588" w:rsidRDefault="003E6588">
      <w:pPr>
        <w:ind w:firstLine="1134"/>
        <w:jc w:val="both"/>
      </w:pPr>
      <w:r>
        <w:rPr>
          <w:b/>
        </w:rPr>
        <w:t xml:space="preserve">Departamento de Recursos Humanos - DRH - </w:t>
      </w:r>
      <w:r>
        <w:rPr>
          <w:rFonts w:eastAsia="Calibri"/>
          <w:bCs/>
        </w:rPr>
        <w:t>Ao Departamento de Recursos Humanos cabe planejar, gerenciar, coordenar, controlar e executar as atividades inerentes à administração de 8.226 servidores ativos, administrando a situação funcional; conceder vantagens decorrentes de contagem de tempo; processar e apurar as partes variáveis de remuneração, referentes à produtividade e desempenho.</w:t>
      </w:r>
    </w:p>
    <w:p w:rsidR="003E6588" w:rsidRDefault="003E6588">
      <w:pPr>
        <w:ind w:firstLine="1134"/>
        <w:jc w:val="both"/>
      </w:pPr>
    </w:p>
    <w:p w:rsidR="003E6588" w:rsidRDefault="003E6588">
      <w:pPr>
        <w:ind w:firstLine="1134"/>
        <w:jc w:val="both"/>
      </w:pPr>
      <w:r>
        <w:t>Aliado a isso, o Departamento teve como atribuições:</w:t>
      </w:r>
    </w:p>
    <w:p w:rsidR="003E6588" w:rsidRDefault="003E6588">
      <w:pPr>
        <w:ind w:firstLine="1134"/>
        <w:contextualSpacing/>
        <w:jc w:val="both"/>
      </w:pPr>
    </w:p>
    <w:p w:rsidR="003E6588" w:rsidRDefault="003E6588">
      <w:pPr>
        <w:ind w:firstLine="1134"/>
        <w:contextualSpacing/>
        <w:jc w:val="both"/>
      </w:pPr>
      <w:r>
        <w:t xml:space="preserve">- Controle de </w:t>
      </w:r>
      <w:r>
        <w:rPr>
          <w:bCs/>
        </w:rPr>
        <w:t>cargos e funções-atividades</w:t>
      </w:r>
      <w:r>
        <w:t xml:space="preserve"> pertencentes ao Quadro da Secretaria da Fazenda, e ao Quadro Especial da Secretaria da Fazenda (Instituto de Pagamentos Especiais de São Paulo);</w:t>
      </w:r>
    </w:p>
    <w:p w:rsidR="008D77A3" w:rsidRDefault="008D77A3">
      <w:pPr>
        <w:ind w:firstLine="1134"/>
        <w:contextualSpacing/>
        <w:jc w:val="both"/>
        <w:rPr>
          <w:bCs/>
        </w:rPr>
      </w:pPr>
    </w:p>
    <w:p w:rsidR="003E6588" w:rsidRDefault="003E6588">
      <w:pPr>
        <w:ind w:firstLine="1134"/>
        <w:contextualSpacing/>
        <w:jc w:val="both"/>
      </w:pPr>
      <w:r>
        <w:rPr>
          <w:bCs/>
        </w:rPr>
        <w:t>- Publicação de 19 decretos de nomeação</w:t>
      </w:r>
      <w:r>
        <w:t xml:space="preserve">, resultando em 826 nomeados, que geraram: 2.304 atos administrativos (termos de posse, termos de ciência e notificação e títulos de nomeação), 56 nomeações sem efeito; 142 exonerações (a pedido e a critério da Administração); 72.280 outros atos administrativos e respostas de </w:t>
      </w:r>
      <w:r w:rsidRPr="00410EE0">
        <w:rPr>
          <w:i/>
        </w:rPr>
        <w:t>e-mail</w:t>
      </w:r>
      <w:r>
        <w:t>s, já inclusas as respectivas publicações, sendo 10.420 da Capital e 61.860 do interior.</w:t>
      </w:r>
    </w:p>
    <w:p w:rsidR="003E6588" w:rsidRDefault="003E6588">
      <w:pPr>
        <w:ind w:firstLine="1134"/>
        <w:contextualSpacing/>
        <w:jc w:val="both"/>
      </w:pPr>
    </w:p>
    <w:p w:rsidR="003E6588" w:rsidRDefault="003E6588">
      <w:pPr>
        <w:ind w:firstLine="1134"/>
        <w:contextualSpacing/>
        <w:jc w:val="both"/>
        <w:rPr>
          <w:bCs/>
        </w:rPr>
      </w:pPr>
      <w:r>
        <w:t>- 263 Incorporações de Gratificação de Representação - GR/Gratificação pelo Desempenho de Atividades no Poupatempo - GDAP</w:t>
      </w:r>
      <w:r>
        <w:rPr>
          <w:bCs/>
        </w:rPr>
        <w:t>; 1.114 incorporações de décimos; 826 adicionais por tempo de serviço; 181 sextas-parte; 880 licenças-prêmio averbações; 351 licenças-prêmio em pecúnia (computados dados entre Capital e regionais).</w:t>
      </w:r>
    </w:p>
    <w:p w:rsidR="003E6588" w:rsidRDefault="003E6588">
      <w:pPr>
        <w:ind w:firstLine="1134"/>
        <w:contextualSpacing/>
        <w:jc w:val="both"/>
      </w:pPr>
    </w:p>
    <w:p w:rsidR="003E6588" w:rsidRDefault="003E6588">
      <w:pPr>
        <w:ind w:firstLine="1134"/>
        <w:contextualSpacing/>
        <w:jc w:val="both"/>
      </w:pPr>
      <w:r>
        <w:rPr>
          <w:bCs/>
        </w:rPr>
        <w:t>- Relativo aos 72 servidores celetistas (52 Capital e 20 regional) - atualização de carteira de trabalho; abertura de 73 processos de adiantamento para pagamento mensal de vale transporte; guia de recolhimento para o</w:t>
      </w:r>
      <w:r>
        <w:t xml:space="preserve"> pagamento do imposto previdenciário do Instituto Nacional do Seguro Social - INSS e Fundo de Garantia do Tempo de Serviço - FGTS.</w:t>
      </w:r>
    </w:p>
    <w:p w:rsidR="003E6588" w:rsidRDefault="003E6588">
      <w:pPr>
        <w:ind w:firstLine="1134"/>
        <w:contextualSpacing/>
        <w:jc w:val="both"/>
        <w:rPr>
          <w:b/>
        </w:rPr>
      </w:pPr>
    </w:p>
    <w:p w:rsidR="003E6588" w:rsidRDefault="003E6588">
      <w:pPr>
        <w:ind w:firstLine="1134"/>
        <w:contextualSpacing/>
        <w:jc w:val="both"/>
      </w:pPr>
      <w:r>
        <w:rPr>
          <w:b/>
        </w:rPr>
        <w:t>Atividades da Assistência Técnica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Apoio técnico-administrativo aos Núcleos de Recursos Humanos das Regionais, bem como preparação e divulgação pela </w:t>
      </w:r>
      <w:r>
        <w:rPr>
          <w:rFonts w:ascii="Times New Roman" w:hAnsi="Times New Roman"/>
          <w:i/>
          <w:sz w:val="24"/>
          <w:szCs w:val="24"/>
        </w:rPr>
        <w:t>intranet</w:t>
      </w:r>
      <w:r>
        <w:rPr>
          <w:rFonts w:ascii="Times New Roman" w:hAnsi="Times New Roman"/>
          <w:sz w:val="24"/>
          <w:szCs w:val="24"/>
        </w:rPr>
        <w:t xml:space="preserve"> de textos referentes à Legislação de Recursos Humanos, comunicados e instruções.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Administração e controle dos sistemas afetos à área de Recursos Humanos (SIAP. Recadastramento, Controle de Afastamento, </w:t>
      </w:r>
      <w:r>
        <w:rPr>
          <w:rFonts w:ascii="Times New Roman" w:hAnsi="Times New Roman"/>
          <w:i/>
          <w:sz w:val="24"/>
          <w:szCs w:val="24"/>
        </w:rPr>
        <w:t>Workflow</w:t>
      </w:r>
      <w:r>
        <w:rPr>
          <w:rFonts w:ascii="Times New Roman" w:hAnsi="Times New Roman"/>
          <w:sz w:val="24"/>
          <w:szCs w:val="24"/>
        </w:rPr>
        <w:t xml:space="preserve"> - licença-prêmio e alteração de férias), assim como elaboração de relatório (ferramenta </w:t>
      </w:r>
      <w:r>
        <w:rPr>
          <w:rFonts w:ascii="Times New Roman" w:hAnsi="Times New Roman"/>
          <w:i/>
          <w:sz w:val="24"/>
          <w:szCs w:val="24"/>
        </w:rPr>
        <w:t xml:space="preserve">Discoverer </w:t>
      </w:r>
      <w:r>
        <w:rPr>
          <w:rFonts w:ascii="Times New Roman" w:hAnsi="Times New Roman"/>
          <w:sz w:val="24"/>
          <w:szCs w:val="24"/>
        </w:rPr>
        <w:t xml:space="preserve">e </w:t>
      </w:r>
      <w:r>
        <w:rPr>
          <w:rFonts w:ascii="Times New Roman" w:hAnsi="Times New Roman"/>
          <w:i/>
          <w:sz w:val="24"/>
          <w:szCs w:val="24"/>
        </w:rPr>
        <w:t>Benthic</w:t>
      </w:r>
      <w:r>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Acompanhamento da frequência via integração - </w:t>
      </w:r>
      <w:r>
        <w:rPr>
          <w:rFonts w:ascii="Times New Roman" w:hAnsi="Times New Roman"/>
          <w:i/>
          <w:sz w:val="24"/>
          <w:szCs w:val="24"/>
        </w:rPr>
        <w:t>web</w:t>
      </w:r>
      <w:r>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Recebimento e controle das Declarações de Bens dos servidores da SEFAZ e gerenciamento dos cartões Auxílio-Alimentação/Refeição.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Análise dos expedientes e atendimento ao Serviço de Informação ao Cidadão - SIC e Unidade Central de Recursos Humanos.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Controle do pagamento; Prêmio de Incentivo à Qualidade - PIC, Abono por Satisfação do Usuário - ASU, Prêmio de Produtividade, Bonificação por Resultados e Participação nos Resultados, bem como o gerenciamento dos seus respectivos Sistemas.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Respostas aos Ofícios, Recomendações e outras Consultas derivadas do Ministério Público; Procuradoria Judicial e Administrativa; Corregedoria Geral de Administração; Centro de Informação ao Poder Judiciário.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Elaboração de projeto de lei para criação de cargos, especialmente, no que tange às funções </w:t>
      </w:r>
      <w:r>
        <w:rPr>
          <w:rFonts w:ascii="Times New Roman" w:hAnsi="Times New Roman"/>
          <w:i/>
          <w:iCs/>
          <w:sz w:val="24"/>
          <w:szCs w:val="24"/>
        </w:rPr>
        <w:t>pro labore</w:t>
      </w:r>
      <w:r>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Informação técnica em Mandado de Segurança e Ação de Rito Ordinário, bem como cumprimento das decisões prolatadas.</w:t>
      </w:r>
    </w:p>
    <w:p w:rsidR="003E6588" w:rsidRDefault="003E6588">
      <w:pPr>
        <w:ind w:firstLine="1134"/>
        <w:jc w:val="both"/>
        <w:rPr>
          <w:b/>
          <w:bCs/>
          <w:lang w:val="pt-PT"/>
        </w:rPr>
      </w:pPr>
    </w:p>
    <w:p w:rsidR="003E6588" w:rsidRDefault="003E6588">
      <w:pPr>
        <w:ind w:firstLine="1134"/>
        <w:jc w:val="both"/>
        <w:rPr>
          <w:b/>
          <w:bCs/>
          <w:lang w:val="pt-PT"/>
        </w:rPr>
      </w:pPr>
      <w:r>
        <w:rPr>
          <w:b/>
          <w:bCs/>
          <w:lang w:val="pt-PT"/>
        </w:rPr>
        <w:t>Realização de Concursos Públicos</w:t>
      </w:r>
    </w:p>
    <w:p w:rsidR="003E6588" w:rsidRDefault="003E6588">
      <w:pPr>
        <w:ind w:firstLine="1134"/>
        <w:jc w:val="both"/>
        <w:rPr>
          <w:highlight w:val="yellow"/>
        </w:rPr>
      </w:pPr>
    </w:p>
    <w:p w:rsidR="003E6588" w:rsidRDefault="003E6588">
      <w:pPr>
        <w:ind w:firstLine="1134"/>
        <w:jc w:val="both"/>
      </w:pPr>
      <w:r>
        <w:rPr>
          <w:b/>
        </w:rPr>
        <w:t>Agente Fiscal de Rendas - AFR</w:t>
      </w:r>
      <w:r>
        <w:t xml:space="preserve"> - Edital de Abertura de Inscrições DRH nº 01/2013, destinado a prover 885 vagas, das quais 44 foram reservadas às pessoas com deficiência.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Parte das vagas remanescentes em 2014, restando uma vaga reservada judicialmente e outra derivada de uma exoneração a critério pela não entrada em exercício.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Analista em Planejamento, Orçamento e Finanças Públicas-APOFP</w:t>
      </w:r>
      <w:r>
        <w:rPr>
          <w:rFonts w:ascii="Times New Roman" w:hAnsi="Times New Roman"/>
          <w:sz w:val="24"/>
          <w:szCs w:val="24"/>
        </w:rPr>
        <w:t xml:space="preserve"> - Edital de Abertura de Inscrições DRH nº 06/2013, com o fito de prover 257 vagas, das quais 13 foram reservadas às pessoas com deficiência.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Todos os cargos foram preenchidos e providos.</w:t>
      </w:r>
    </w:p>
    <w:p w:rsidR="003E6588" w:rsidRDefault="003E6588">
      <w:pPr>
        <w:pStyle w:val="PargrafodaLista"/>
        <w:ind w:left="0" w:firstLine="1134"/>
        <w:rPr>
          <w:rFonts w:ascii="Times New Roman" w:hAnsi="Times New Roman"/>
          <w:sz w:val="24"/>
          <w:szCs w:val="24"/>
        </w:rPr>
      </w:pPr>
    </w:p>
    <w:p w:rsidR="003E6588" w:rsidRDefault="003E6588">
      <w:pPr>
        <w:ind w:firstLine="1134"/>
        <w:jc w:val="both"/>
        <w:rPr>
          <w:color w:val="000000"/>
        </w:rPr>
      </w:pPr>
      <w:r>
        <w:rPr>
          <w:b/>
        </w:rPr>
        <w:t xml:space="preserve">SP-PREVCOM - </w:t>
      </w:r>
      <w:r>
        <w:rPr>
          <w:color w:val="000000"/>
        </w:rPr>
        <w:t xml:space="preserve">Por meio da Lei nº 14.653/2011, o Estado instituiu o Regime de Previdência Complementar e fixou limite máximo para a concessão de aposentadorias e pensões pagas pelo Regime Próprio de Previdência dos Servidores </w:t>
      </w:r>
      <w:r w:rsidR="003E0D18">
        <w:rPr>
          <w:color w:val="000000"/>
        </w:rPr>
        <w:t>-</w:t>
      </w:r>
      <w:r>
        <w:rPr>
          <w:color w:val="000000"/>
        </w:rPr>
        <w:t xml:space="preserve"> RPPS, igual ao do teto do Regime Geral de Previdência Social - RGPS. Dessa forma, os servidores titulares de cargos efetivos admitidos no serviço público a partir de 21 de janeiro de 2013 têm suas aposentadorias limitadas ao teto do Instituto Nacional do Seguro Social - INSS.</w:t>
      </w:r>
    </w:p>
    <w:p w:rsidR="003E6588" w:rsidRDefault="003E6588">
      <w:pPr>
        <w:ind w:firstLine="1134"/>
        <w:jc w:val="both"/>
        <w:rPr>
          <w:color w:val="000000"/>
        </w:rPr>
      </w:pPr>
    </w:p>
    <w:p w:rsidR="003E6588" w:rsidRDefault="003E6588">
      <w:pPr>
        <w:ind w:firstLine="1134"/>
        <w:jc w:val="both"/>
        <w:rPr>
          <w:strike/>
          <w:color w:val="000000"/>
        </w:rPr>
      </w:pPr>
      <w:r>
        <w:rPr>
          <w:color w:val="000000"/>
        </w:rPr>
        <w:t xml:space="preserve">Para administrar esse novo regime, foi criada a Fundação de Previdência Complementar do Estado de São Paulo - SP-PREVCOM, que além de ter sido a primeira Fundação de Previdência Complementar destinada exclusivamente para servidores públicos, é a maior do </w:t>
      </w:r>
      <w:r w:rsidR="00957E14">
        <w:rPr>
          <w:color w:val="000000"/>
        </w:rPr>
        <w:t>País</w:t>
      </w:r>
      <w:r>
        <w:rPr>
          <w:color w:val="000000"/>
        </w:rPr>
        <w:t>, contando já com mais de 16 mil participantes.</w:t>
      </w:r>
    </w:p>
    <w:p w:rsidR="003E6588" w:rsidRDefault="003E6588">
      <w:pPr>
        <w:pStyle w:val="PargrafodaLista"/>
        <w:ind w:left="0"/>
        <w:rPr>
          <w:rFonts w:ascii="Times New Roman" w:hAnsi="Times New Roman"/>
          <w:b/>
          <w:bCs/>
          <w:vanish/>
          <w:sz w:val="24"/>
          <w:szCs w:val="24"/>
        </w:rPr>
      </w:pPr>
    </w:p>
    <w:p w:rsidR="003E6588" w:rsidRDefault="003E6588">
      <w:pPr>
        <w:pStyle w:val="PargrafodaLista"/>
        <w:ind w:left="0" w:firstLine="1134"/>
        <w:rPr>
          <w:rFonts w:ascii="Times New Roman" w:eastAsia="Times New Roman" w:hAnsi="Times New Roman"/>
          <w:b/>
          <w:color w:val="000000"/>
          <w:sz w:val="24"/>
          <w:szCs w:val="24"/>
        </w:rPr>
      </w:pPr>
      <w:r>
        <w:rPr>
          <w:rFonts w:ascii="Times New Roman" w:hAnsi="Times New Roman"/>
          <w:b/>
          <w:bCs/>
          <w:sz w:val="24"/>
          <w:szCs w:val="24"/>
        </w:rPr>
        <w:t>Balanço dos Resultados das Atividades da SP-PREVCOM</w:t>
      </w:r>
      <w:r>
        <w:rPr>
          <w:rFonts w:ascii="Times New Roman" w:hAnsi="Times New Roman"/>
          <w:b/>
          <w:color w:val="000000"/>
          <w:sz w:val="24"/>
          <w:szCs w:val="24"/>
        </w:rPr>
        <w:t xml:space="preserve"> </w:t>
      </w:r>
    </w:p>
    <w:p w:rsidR="003E6588" w:rsidRDefault="003E6588">
      <w:pPr>
        <w:pStyle w:val="PargrafodaLista"/>
        <w:autoSpaceDE w:val="0"/>
        <w:autoSpaceDN w:val="0"/>
        <w:adjustRightInd w:val="0"/>
        <w:ind w:left="360"/>
        <w:rPr>
          <w:rFonts w:ascii="Times New Roman" w:eastAsia="ArialMT" w:hAnsi="Times New Roman"/>
          <w:b/>
          <w:sz w:val="24"/>
          <w:szCs w:val="24"/>
        </w:rPr>
      </w:pPr>
    </w:p>
    <w:p w:rsidR="003E6588" w:rsidRDefault="003E6588">
      <w:pPr>
        <w:pStyle w:val="PargrafodaLista"/>
        <w:ind w:left="1134"/>
        <w:textAlignment w:val="baseline"/>
        <w:rPr>
          <w:rFonts w:ascii="Times New Roman" w:eastAsia="Times New Roman" w:hAnsi="Times New Roman"/>
          <w:b/>
          <w:color w:val="000000"/>
          <w:sz w:val="24"/>
          <w:szCs w:val="24"/>
        </w:rPr>
      </w:pPr>
      <w:r>
        <w:rPr>
          <w:rFonts w:ascii="Times New Roman" w:hAnsi="Times New Roman"/>
          <w:b/>
          <w:color w:val="000000"/>
          <w:sz w:val="24"/>
          <w:szCs w:val="24"/>
        </w:rPr>
        <w:t>Nº de participantes</w:t>
      </w:r>
    </w:p>
    <w:p w:rsidR="003E6588" w:rsidRDefault="003E6588">
      <w:pPr>
        <w:pStyle w:val="PargrafodaLista"/>
        <w:ind w:left="0"/>
        <w:textAlignment w:val="baseline"/>
        <w:rPr>
          <w:rFonts w:ascii="Times New Roman" w:eastAsia="Times New Roman" w:hAnsi="Times New Roman"/>
          <w:b/>
          <w:color w:val="000000"/>
          <w:sz w:val="24"/>
          <w:szCs w:val="24"/>
        </w:rPr>
      </w:pPr>
    </w:p>
    <w:p w:rsidR="003E6588" w:rsidRDefault="003E6588" w:rsidP="003E0D18">
      <w:pPr>
        <w:pStyle w:val="PargrafodaLista"/>
        <w:ind w:left="0" w:firstLine="1134"/>
        <w:rPr>
          <w:rFonts w:ascii="Times New Roman" w:hAnsi="Times New Roman"/>
          <w:bCs/>
          <w:color w:val="000000"/>
          <w:sz w:val="24"/>
          <w:szCs w:val="24"/>
        </w:rPr>
      </w:pPr>
      <w:r>
        <w:rPr>
          <w:rFonts w:ascii="Times New Roman" w:hAnsi="Times New Roman"/>
          <w:color w:val="000000"/>
          <w:sz w:val="24"/>
          <w:szCs w:val="24"/>
        </w:rPr>
        <w:t xml:space="preserve">Contribuintes Total - </w:t>
      </w:r>
      <w:r>
        <w:rPr>
          <w:rFonts w:ascii="Times New Roman" w:hAnsi="Times New Roman"/>
          <w:bCs/>
          <w:color w:val="000000"/>
          <w:sz w:val="24"/>
          <w:szCs w:val="24"/>
        </w:rPr>
        <w:t>15.348</w:t>
      </w:r>
    </w:p>
    <w:p w:rsidR="003E6588" w:rsidRDefault="003E6588">
      <w:pPr>
        <w:pStyle w:val="PargrafodaLista"/>
        <w:ind w:left="1276"/>
        <w:rPr>
          <w:rFonts w:ascii="Times New Roman" w:hAnsi="Times New Roman"/>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Contribuintes RG - 6.894</w:t>
      </w:r>
    </w:p>
    <w:p w:rsidR="0003027C" w:rsidRDefault="0003027C" w:rsidP="003E0D18">
      <w:pPr>
        <w:pStyle w:val="PargrafodaLista"/>
        <w:ind w:left="0" w:firstLine="1134"/>
        <w:rPr>
          <w:rFonts w:ascii="Times New Roman" w:hAnsi="Times New Roman"/>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Contribuintes RP - 1.731</w:t>
      </w:r>
    </w:p>
    <w:p w:rsidR="003E6588" w:rsidRDefault="003E6588" w:rsidP="003E0D18">
      <w:pPr>
        <w:pStyle w:val="PargrafodaLista"/>
        <w:ind w:left="0" w:firstLine="1134"/>
        <w:rPr>
          <w:rFonts w:ascii="Times New Roman" w:hAnsi="Times New Roman"/>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Contribuintes RG-UNIS - 6.723</w:t>
      </w:r>
    </w:p>
    <w:p w:rsidR="008D77A3" w:rsidRDefault="008D77A3" w:rsidP="003E0D18">
      <w:pPr>
        <w:pStyle w:val="PargrafodaLista"/>
        <w:ind w:left="0" w:firstLine="1134"/>
        <w:rPr>
          <w:rFonts w:ascii="Times New Roman" w:hAnsi="Times New Roman"/>
          <w:b/>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Atividades de Investimentos</w:t>
      </w:r>
    </w:p>
    <w:p w:rsidR="003E6588" w:rsidRDefault="003E6588" w:rsidP="003E0D18">
      <w:pPr>
        <w:pStyle w:val="PargrafodaLista"/>
        <w:ind w:left="0" w:firstLine="1134"/>
        <w:rPr>
          <w:rFonts w:ascii="Times New Roman" w:hAnsi="Times New Roman"/>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Fundo de Investimento Paulista FIQ DE FIM CP</w:t>
      </w:r>
    </w:p>
    <w:p w:rsidR="003E6588" w:rsidRDefault="003E6588" w:rsidP="003E0D18">
      <w:pPr>
        <w:pStyle w:val="PargrafodaLista"/>
        <w:ind w:left="0" w:firstLine="1134"/>
        <w:rPr>
          <w:rFonts w:ascii="Times New Roman" w:hAnsi="Times New Roman"/>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Administrador - Banco BTG PACTUAL</w:t>
      </w:r>
    </w:p>
    <w:p w:rsidR="003E6588" w:rsidRDefault="003E6588" w:rsidP="003E0D18">
      <w:pPr>
        <w:pStyle w:val="PargrafodaLista"/>
        <w:ind w:left="0" w:firstLine="1134"/>
        <w:rPr>
          <w:rFonts w:ascii="Times New Roman" w:hAnsi="Times New Roman"/>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xml:space="preserve">Valor total acumulado - R$ </w:t>
      </w:r>
      <w:r>
        <w:rPr>
          <w:rFonts w:ascii="Times New Roman" w:hAnsi="Times New Roman"/>
          <w:color w:val="222222"/>
          <w:sz w:val="24"/>
          <w:szCs w:val="24"/>
          <w:shd w:val="clear" w:color="auto" w:fill="FFFFFF"/>
        </w:rPr>
        <w:t>160.718.086,03</w:t>
      </w:r>
    </w:p>
    <w:p w:rsidR="003E6588" w:rsidRDefault="003E6588" w:rsidP="003E0D18">
      <w:pPr>
        <w:pStyle w:val="PargrafodaLista"/>
        <w:ind w:left="0" w:firstLine="1134"/>
        <w:rPr>
          <w:rFonts w:ascii="Times New Roman" w:hAnsi="Times New Roman"/>
          <w:color w:val="000000"/>
          <w:sz w:val="24"/>
          <w:szCs w:val="24"/>
        </w:rPr>
      </w:pPr>
    </w:p>
    <w:p w:rsidR="003E658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xml:space="preserve">Quantidade de cotas - </w:t>
      </w:r>
      <w:r>
        <w:rPr>
          <w:rFonts w:ascii="Times New Roman" w:hAnsi="Times New Roman"/>
          <w:color w:val="222222"/>
          <w:sz w:val="24"/>
          <w:szCs w:val="24"/>
          <w:shd w:val="clear" w:color="auto" w:fill="FFFFFF"/>
        </w:rPr>
        <w:t>134.495.036,992740</w:t>
      </w:r>
    </w:p>
    <w:p w:rsidR="003E6588" w:rsidRDefault="003E6588" w:rsidP="003E0D18">
      <w:pPr>
        <w:pStyle w:val="PargrafodaLista"/>
        <w:ind w:left="0" w:firstLine="1134"/>
        <w:rPr>
          <w:rFonts w:ascii="Times New Roman" w:hAnsi="Times New Roman"/>
          <w:color w:val="000000"/>
          <w:sz w:val="24"/>
          <w:szCs w:val="24"/>
        </w:rPr>
      </w:pPr>
    </w:p>
    <w:p w:rsidR="003E6588" w:rsidRPr="003E0D18" w:rsidRDefault="003E6588" w:rsidP="003E0D1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Cotação atual - R$ 1,19497410</w:t>
      </w:r>
    </w:p>
    <w:p w:rsidR="003E6588" w:rsidRDefault="003E6588" w:rsidP="003E0D18">
      <w:pPr>
        <w:pStyle w:val="PargrafodaLista"/>
        <w:ind w:left="0" w:firstLine="1134"/>
        <w:rPr>
          <w:rFonts w:ascii="Times New Roman" w:hAnsi="Times New Roman"/>
          <w:b/>
          <w:color w:val="000000"/>
          <w:sz w:val="24"/>
          <w:szCs w:val="24"/>
        </w:rPr>
      </w:pPr>
    </w:p>
    <w:p w:rsidR="003E6588" w:rsidRDefault="003E6588" w:rsidP="003E0D18">
      <w:pPr>
        <w:pStyle w:val="PargrafodaLista"/>
        <w:ind w:left="0" w:firstLine="1134"/>
        <w:rPr>
          <w:rFonts w:ascii="Times New Roman" w:hAnsi="Times New Roman"/>
          <w:b/>
          <w:color w:val="000000"/>
          <w:sz w:val="24"/>
          <w:szCs w:val="24"/>
        </w:rPr>
      </w:pPr>
    </w:p>
    <w:p w:rsidR="008D77A3" w:rsidRDefault="008D77A3">
      <w:pPr>
        <w:rPr>
          <w:b/>
        </w:rPr>
      </w:pPr>
    </w:p>
    <w:p w:rsidR="003E6588" w:rsidRDefault="003E6588">
      <w:pPr>
        <w:rPr>
          <w:b/>
        </w:rPr>
      </w:pPr>
      <w:r>
        <w:rPr>
          <w:b/>
        </w:rPr>
        <w:lastRenderedPageBreak/>
        <w:t>INSTITUTO DE PAGAMENTOS ESPECIAIS DO ESTADO DE SÃO PAULO</w:t>
      </w:r>
      <w:r w:rsidR="003E0D18">
        <w:rPr>
          <w:b/>
        </w:rPr>
        <w:t xml:space="preserve"> - IPESP</w:t>
      </w:r>
    </w:p>
    <w:p w:rsidR="003E6588" w:rsidRPr="003E0D18" w:rsidRDefault="003E6588">
      <w:pPr>
        <w:ind w:firstLine="1134"/>
        <w:jc w:val="both"/>
        <w:textAlignment w:val="baseline"/>
        <w:rPr>
          <w:strike/>
          <w:color w:val="000000"/>
        </w:rPr>
      </w:pPr>
    </w:p>
    <w:p w:rsidR="003E6588" w:rsidRPr="003E0D18" w:rsidRDefault="003E6588">
      <w:pPr>
        <w:ind w:firstLine="1134"/>
        <w:jc w:val="both"/>
        <w:textAlignment w:val="baseline"/>
        <w:rPr>
          <w:strike/>
          <w:color w:val="000000"/>
        </w:rPr>
      </w:pPr>
    </w:p>
    <w:p w:rsidR="003E6588" w:rsidRDefault="003E6588">
      <w:pPr>
        <w:ind w:firstLine="1134"/>
        <w:jc w:val="both"/>
        <w:textAlignment w:val="baseline"/>
        <w:rPr>
          <w:color w:val="000000"/>
        </w:rPr>
      </w:pPr>
      <w:r>
        <w:rPr>
          <w:color w:val="000000"/>
        </w:rPr>
        <w:t>As atividades desenvolvidas pelo IPESP, podem ser distribuídas da seguinte forma:</w:t>
      </w:r>
    </w:p>
    <w:p w:rsidR="003E6588" w:rsidRPr="003E0D18" w:rsidRDefault="003E6588">
      <w:pPr>
        <w:ind w:firstLine="1134"/>
        <w:jc w:val="both"/>
        <w:textAlignment w:val="baseline"/>
        <w:rPr>
          <w:color w:val="000000"/>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Foi realizado depósito de R$ 31.170.654,63, referente a terceira parcela para pagamento de precatórios da Carteira de Previdência das Serventias Notariais e de Registro, o que liquidou a obrigação com precatórios do IPESP.</w:t>
      </w:r>
    </w:p>
    <w:p w:rsidR="003E6588" w:rsidRPr="003E0D1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Repasse de R$ 1.864.953,29 para a Secretaria da Fazenda, em recursos oriundos do Fundo de Compensação das Variações Salariais </w:t>
      </w:r>
      <w:r w:rsidR="003E0D18">
        <w:rPr>
          <w:rFonts w:ascii="Times New Roman" w:hAnsi="Times New Roman"/>
          <w:sz w:val="24"/>
          <w:szCs w:val="24"/>
        </w:rPr>
        <w:t xml:space="preserve">- </w:t>
      </w:r>
      <w:r>
        <w:rPr>
          <w:rFonts w:ascii="Times New Roman" w:hAnsi="Times New Roman"/>
          <w:sz w:val="24"/>
          <w:szCs w:val="24"/>
        </w:rPr>
        <w:t>FCVS.</w:t>
      </w:r>
    </w:p>
    <w:p w:rsidR="003E6588" w:rsidRPr="003E0D1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Reorganização da Carteira Predial, com a identificação dos contratos de financiamento passíveis de cobrança em pecúnia, com estimativa de recuperação de créditos (prestações/acordos inadimplidos) na ordem de R$ 40 milhões.</w:t>
      </w:r>
    </w:p>
    <w:p w:rsidR="003E6588" w:rsidRPr="003E0D1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O Patrimônio Líquido da Carteira dos Advogados totalizou R$ 1.433.800.042,09 e o patrimônio da Carteira das Serventias totalizou R$ 617.715.880,99.</w:t>
      </w:r>
    </w:p>
    <w:p w:rsidR="003E6588" w:rsidRPr="003E0D18" w:rsidRDefault="003E6588">
      <w:pPr>
        <w:pStyle w:val="PargrafodaLista"/>
        <w:ind w:left="0" w:firstLine="1134"/>
        <w:rPr>
          <w:rFonts w:ascii="Times New Roman" w:hAnsi="Times New Roman"/>
          <w:sz w:val="24"/>
          <w:szCs w:val="24"/>
        </w:rPr>
      </w:pPr>
    </w:p>
    <w:p w:rsidR="003E6588" w:rsidRDefault="003E6588">
      <w:pPr>
        <w:ind w:firstLine="1134"/>
        <w:jc w:val="both"/>
        <w:rPr>
          <w:color w:val="000000"/>
        </w:rPr>
      </w:pPr>
      <w:r>
        <w:rPr>
          <w:b/>
        </w:rPr>
        <w:t xml:space="preserve">Gestão e Inovação - </w:t>
      </w:r>
      <w:r>
        <w:rPr>
          <w:color w:val="000000"/>
        </w:rPr>
        <w:t>Foram realizadas iniciativas nas áreas de Gestão de Pessoas e Conhecimento, tais como:</w:t>
      </w:r>
    </w:p>
    <w:p w:rsidR="003E6588" w:rsidRPr="003E0D18" w:rsidRDefault="003E6588">
      <w:pPr>
        <w:ind w:firstLine="1134"/>
        <w:jc w:val="both"/>
        <w:rPr>
          <w:color w:val="000000"/>
        </w:rPr>
      </w:pPr>
    </w:p>
    <w:p w:rsidR="003E6588" w:rsidRDefault="003E6588">
      <w:pPr>
        <w:adjustRightInd w:val="0"/>
        <w:ind w:firstLine="1134"/>
        <w:jc w:val="both"/>
        <w:rPr>
          <w:color w:val="000000"/>
        </w:rPr>
      </w:pPr>
      <w:r>
        <w:rPr>
          <w:color w:val="000000"/>
        </w:rPr>
        <w:t>- Regras da Produtividade da Fiscalização Direta de Tributos.</w:t>
      </w:r>
    </w:p>
    <w:p w:rsidR="003E6588" w:rsidRPr="003E0D1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 Ambiente Motivador.</w:t>
      </w:r>
    </w:p>
    <w:p w:rsidR="003E6588" w:rsidRPr="003E0D1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 Capacitação com destaque para o programa de Maestria Tributária.</w:t>
      </w:r>
    </w:p>
    <w:p w:rsidR="003E6588" w:rsidRPr="003E0D1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 Implantação de projetos de Gestão do Conhecimento com piloto de forma estruturada em 5 linhas de trabalho: Atendimento, Fiscalização, Contencioso, Arrecadação e Legislação.</w:t>
      </w:r>
    </w:p>
    <w:p w:rsidR="008D77A3" w:rsidRDefault="008D77A3">
      <w:pPr>
        <w:adjustRightInd w:val="0"/>
        <w:ind w:firstLine="1134"/>
        <w:jc w:val="both"/>
      </w:pPr>
    </w:p>
    <w:p w:rsidR="003E6588" w:rsidRDefault="003E6588">
      <w:pPr>
        <w:adjustRightInd w:val="0"/>
        <w:ind w:firstLine="1134"/>
        <w:jc w:val="both"/>
        <w:rPr>
          <w:color w:val="000000"/>
        </w:rPr>
      </w:pPr>
      <w:r>
        <w:t xml:space="preserve">Em Inovação, </w:t>
      </w:r>
      <w:r>
        <w:rPr>
          <w:color w:val="000000"/>
        </w:rPr>
        <w:t xml:space="preserve">ressaltamos a </w:t>
      </w:r>
      <w:r>
        <w:t>Portaria CAT nº 115/2014, que</w:t>
      </w:r>
      <w:r>
        <w:rPr>
          <w:color w:val="000000"/>
        </w:rPr>
        <w:t xml:space="preserve"> disciplinou as Comissões de Controle de Qualidade e regulamentou as hipóteses de não lavratura do Auto de Infração e Imposição de Multas - AIIM, criando regras e critérios objetivos em que o lançamento de ofício poderá deixar de ser lavrado.</w:t>
      </w:r>
    </w:p>
    <w:p w:rsidR="003E6588" w:rsidRPr="003E0D18" w:rsidRDefault="003E6588">
      <w:pPr>
        <w:adjustRightInd w:val="0"/>
        <w:ind w:firstLine="708"/>
        <w:jc w:val="both"/>
      </w:pPr>
    </w:p>
    <w:p w:rsidR="003E6588" w:rsidRDefault="003E6588">
      <w:pPr>
        <w:adjustRightInd w:val="0"/>
        <w:ind w:firstLine="1134"/>
        <w:jc w:val="both"/>
      </w:pPr>
      <w:r>
        <w:rPr>
          <w:b/>
        </w:rPr>
        <w:t>Ética -</w:t>
      </w:r>
      <w:r>
        <w:t xml:space="preserve"> A CAT, com objetivo de garantir aderência aos princípios éticos em seus quadros, realizou com escopo de verificar se os métodos de trabalho utilizados nas unidades integrantes de sua estrutura organizacional não apresentam distorções que possam afetar a regularidade das atividades nela desenvolvidas. A Portaria CAT nº 173/2012 disciplinou o procedimento de correição ordinária de forma transparente: as correições ordinárias são realizadas conforme cronograma publicado no Diário Oficial do Estado no mês de dezembro do ano imediatamente anterior ao da execução dos trabalhos, </w:t>
      </w:r>
      <w:r>
        <w:lastRenderedPageBreak/>
        <w:t>após a aprovação do Coordenador da Administração Tributária. Foi publicado o Cronograma de Correição Ordinária para o ano de 2015, que abrange as seguintes unidades: Osasco, Jundiaí e Deat.</w:t>
      </w:r>
    </w:p>
    <w:p w:rsidR="003E6588" w:rsidRDefault="003E6588">
      <w:pPr>
        <w:ind w:firstLine="1134"/>
        <w:jc w:val="both"/>
        <w:rPr>
          <w:b/>
          <w:sz w:val="20"/>
          <w:szCs w:val="20"/>
          <w:lang w:val="pt-PT"/>
        </w:rPr>
      </w:pPr>
    </w:p>
    <w:p w:rsidR="003E6588" w:rsidRDefault="00473487" w:rsidP="00473487">
      <w:pPr>
        <w:rPr>
          <w:b/>
          <w:bCs/>
        </w:rPr>
      </w:pPr>
      <w:r>
        <w:rPr>
          <w:b/>
          <w:sz w:val="20"/>
          <w:szCs w:val="20"/>
          <w:lang w:val="pt-PT"/>
        </w:rPr>
        <w:br w:type="page"/>
      </w:r>
      <w:r w:rsidR="003E6588">
        <w:rPr>
          <w:b/>
          <w:bCs/>
        </w:rPr>
        <w:lastRenderedPageBreak/>
        <w:t>SECRETARIA DE GESTÃO PÚBLICA</w:t>
      </w:r>
    </w:p>
    <w:p w:rsidR="003E6588" w:rsidRDefault="003E6588"/>
    <w:p w:rsidR="003E6588" w:rsidRDefault="003E6588"/>
    <w:p w:rsidR="003E6588" w:rsidRDefault="003E6588">
      <w:pPr>
        <w:ind w:firstLine="1134"/>
        <w:jc w:val="both"/>
      </w:pPr>
      <w:r>
        <w:rPr>
          <w:b/>
        </w:rPr>
        <w:t xml:space="preserve">Poupatempo - Expansão do Programa, com novas Unidades - </w:t>
      </w:r>
      <w:r>
        <w:t>Foram inauguradas 30 novas unidades, somando-se à rede de postos Poupatempo existente, perfazendo 62 postos em 56 municípios distintos - sendo 6 unidades na Capital e 2 no Município de Campinas - atingindo todas as regiões do Estado.</w:t>
      </w:r>
    </w:p>
    <w:p w:rsidR="003E6588" w:rsidRDefault="003E6588">
      <w:pPr>
        <w:ind w:firstLine="1134"/>
        <w:jc w:val="both"/>
      </w:pPr>
    </w:p>
    <w:p w:rsidR="003E6588" w:rsidRDefault="003E6588">
      <w:pPr>
        <w:ind w:firstLine="1134"/>
        <w:jc w:val="both"/>
      </w:pPr>
      <w:r>
        <w:rPr>
          <w:b/>
        </w:rPr>
        <w:t xml:space="preserve">Postos Móveis - </w:t>
      </w:r>
      <w:r>
        <w:t xml:space="preserve">A população do Estado tem de volta 5 novas unidades móveis para atuação no </w:t>
      </w:r>
      <w:r w:rsidR="00352A9F">
        <w:t xml:space="preserve">Interior </w:t>
      </w:r>
      <w:r>
        <w:t>do Estado e uma para a Grande São Paulo.</w:t>
      </w:r>
    </w:p>
    <w:p w:rsidR="003E6588" w:rsidRDefault="003E6588">
      <w:pPr>
        <w:ind w:firstLine="1134"/>
        <w:jc w:val="both"/>
      </w:pPr>
    </w:p>
    <w:p w:rsidR="003E6588" w:rsidRDefault="003E6588">
      <w:pPr>
        <w:ind w:firstLine="1134"/>
        <w:jc w:val="both"/>
      </w:pPr>
      <w:r>
        <w:rPr>
          <w:b/>
        </w:rPr>
        <w:t xml:space="preserve">Poupatempo 2ª Geração - </w:t>
      </w:r>
      <w:r>
        <w:t xml:space="preserve">O sistema de balcão único possibilita que o mesmo atendente realize serviços de diferentes órgãos, oferecendo maior conforto ao cidadão. O benefício se estende aos funcionários, que contam </w:t>
      </w:r>
      <w:r w:rsidR="00352A9F">
        <w:t>co</w:t>
      </w:r>
      <w:r>
        <w:t>m sistema inteligente, melhorando a performance e diminuindo a probabilidade de erros durante o atendimento. O 2ª Geração possibilita a coleta unificada das impressões digitais, otimizando a emissão dos documentos. O balcão único e a coleta unificada foram implantados simultaneamente nos novos postos do Plano de Expansão.</w:t>
      </w:r>
    </w:p>
    <w:p w:rsidR="003E6588" w:rsidRDefault="003E6588">
      <w:pPr>
        <w:ind w:right="51" w:firstLine="1134"/>
      </w:pPr>
    </w:p>
    <w:p w:rsidR="003E6588" w:rsidRDefault="003E6588">
      <w:pPr>
        <w:ind w:right="51" w:firstLine="1134"/>
        <w:jc w:val="both"/>
      </w:pPr>
      <w:r>
        <w:t>Nas unidades em operação, Itaquera, São José dos Campos e Sé</w:t>
      </w:r>
      <w:r w:rsidR="00352A9F">
        <w:t>,</w:t>
      </w:r>
      <w:r>
        <w:t xml:space="preserve"> foi implantado o balcão único, aguardando a conclusão de estudos para realizar as alterações de </w:t>
      </w:r>
      <w:r w:rsidRPr="00352A9F">
        <w:rPr>
          <w:i/>
        </w:rPr>
        <w:t>l</w:t>
      </w:r>
      <w:r w:rsidR="00352A9F" w:rsidRPr="00352A9F">
        <w:rPr>
          <w:i/>
        </w:rPr>
        <w:t>ayout</w:t>
      </w:r>
      <w:r>
        <w:t xml:space="preserve"> necessárias para iniciar a coleta unificada.</w:t>
      </w:r>
    </w:p>
    <w:p w:rsidR="003E6588" w:rsidRDefault="003E6588">
      <w:pPr>
        <w:ind w:right="51" w:firstLine="1134"/>
        <w:jc w:val="both"/>
      </w:pPr>
    </w:p>
    <w:p w:rsidR="003E6588" w:rsidRDefault="003E6588">
      <w:pPr>
        <w:ind w:right="51" w:firstLine="1134"/>
        <w:jc w:val="both"/>
      </w:pPr>
      <w:r>
        <w:rPr>
          <w:b/>
        </w:rPr>
        <w:t xml:space="preserve">Novos Serviços em Postos em Operação - </w:t>
      </w:r>
      <w:r w:rsidR="00352A9F">
        <w:t xml:space="preserve">Foi </w:t>
      </w:r>
      <w:r>
        <w:t xml:space="preserve">ampliado o leque de serviços em alguns postos em operação, </w:t>
      </w:r>
      <w:r w:rsidR="00352A9F">
        <w:t xml:space="preserve">por meio </w:t>
      </w:r>
      <w:r>
        <w:t xml:space="preserve">da entrada de novos parceiros: Sabesp em Cidade Ademar; Procon em Tatuí, Campinas Centro e São Bernardo do Campo; Tribunal Regional Eleitoral </w:t>
      </w:r>
      <w:r w:rsidR="00352A9F">
        <w:t xml:space="preserve">- </w:t>
      </w:r>
      <w:r>
        <w:t xml:space="preserve">TRE em Itaquera e Lapa; Juizado Especial Cível </w:t>
      </w:r>
      <w:r w:rsidR="00352A9F">
        <w:t xml:space="preserve">- </w:t>
      </w:r>
      <w:r>
        <w:t>JEC e Assistência Jurídica Gratuita em São Bernardo do Campo. 30 das 31 unidades implantadas contam com os serviços do novo Detran.SP.</w:t>
      </w:r>
    </w:p>
    <w:p w:rsidR="003E6588" w:rsidRDefault="003E6588">
      <w:pPr>
        <w:ind w:right="51" w:firstLine="1134"/>
        <w:jc w:val="both"/>
      </w:pPr>
    </w:p>
    <w:p w:rsidR="003E6588" w:rsidRDefault="003E6588">
      <w:pPr>
        <w:ind w:right="51" w:firstLine="1134"/>
        <w:jc w:val="both"/>
      </w:pPr>
      <w:r>
        <w:rPr>
          <w:b/>
        </w:rPr>
        <w:t xml:space="preserve">Números de atendimento - </w:t>
      </w:r>
      <w:r>
        <w:t>Foram realizados 39,7 milhões de atendimentos no Poupatempo, representando 170 mil serviços, presenciais e do teleatendimento, por dia. Desde a inauguração do Poupatempo Sé, o primeiro do Estado, o programa prestou 421,7 milhões de atendimentos à população.</w:t>
      </w:r>
    </w:p>
    <w:p w:rsidR="003E6588" w:rsidRDefault="003E6588" w:rsidP="00AD528E">
      <w:pPr>
        <w:ind w:firstLine="1134"/>
        <w:contextualSpacing/>
        <w:jc w:val="both"/>
      </w:pPr>
    </w:p>
    <w:p w:rsidR="003E6588" w:rsidRDefault="00352A9F">
      <w:pPr>
        <w:ind w:firstLine="1134"/>
        <w:contextualSpacing/>
        <w:jc w:val="both"/>
      </w:pPr>
      <w:r>
        <w:t xml:space="preserve">Com </w:t>
      </w:r>
      <w:r w:rsidR="003E6588">
        <w:t>o objetivo de facilitar mais a vida do usuário, o Poupatempo passou a emitir aviso via SMS para informar a data em que o RG estará pronto para retirada na unidade. 90% dos cidadãos re</w:t>
      </w:r>
      <w:r>
        <w:t>cebem a mensagem todos os dias.</w:t>
      </w:r>
    </w:p>
    <w:p w:rsidR="003E6588" w:rsidRDefault="003E6588" w:rsidP="00AD528E">
      <w:pPr>
        <w:ind w:firstLine="1134"/>
        <w:contextualSpacing/>
        <w:jc w:val="both"/>
        <w:rPr>
          <w:b/>
          <w:bCs/>
          <w:color w:val="000000"/>
        </w:rPr>
      </w:pPr>
    </w:p>
    <w:p w:rsidR="003E6588" w:rsidRDefault="003E6588">
      <w:pPr>
        <w:ind w:firstLine="1134"/>
        <w:contextualSpacing/>
        <w:jc w:val="both"/>
        <w:rPr>
          <w:color w:val="000000"/>
          <w:shd w:val="clear" w:color="auto" w:fill="FFFFFF"/>
        </w:rPr>
      </w:pPr>
      <w:r>
        <w:rPr>
          <w:b/>
          <w:bCs/>
          <w:color w:val="000000"/>
        </w:rPr>
        <w:t xml:space="preserve">Acessa SP - </w:t>
      </w:r>
      <w:r>
        <w:rPr>
          <w:color w:val="000000"/>
          <w:shd w:val="clear" w:color="auto" w:fill="FFFFFF"/>
        </w:rPr>
        <w:t>Principais destaques: cumprimento do Plano de Expansão</w:t>
      </w:r>
      <w:r w:rsidR="00352A9F">
        <w:rPr>
          <w:color w:val="000000"/>
          <w:shd w:val="clear" w:color="auto" w:fill="FFFFFF"/>
        </w:rPr>
        <w:t>,</w:t>
      </w:r>
      <w:r>
        <w:rPr>
          <w:color w:val="000000"/>
          <w:shd w:val="clear" w:color="auto" w:fill="FFFFFF"/>
        </w:rPr>
        <w:t xml:space="preserve"> com a presença do programa em 100% dos municípios paulistas, ampliação de serviços e conquista da ISO 9001 (Certificado Internacional de Padrão de Qualidade).</w:t>
      </w:r>
    </w:p>
    <w:p w:rsidR="003E6588" w:rsidRDefault="003E6588">
      <w:pPr>
        <w:ind w:firstLine="1134"/>
        <w:contextualSpacing/>
        <w:jc w:val="both"/>
        <w:rPr>
          <w:color w:val="000000"/>
          <w:u w:val="single"/>
          <w:shd w:val="clear" w:color="auto" w:fill="FFFFFF"/>
        </w:rPr>
      </w:pPr>
    </w:p>
    <w:p w:rsidR="003E6588" w:rsidRDefault="003E6588">
      <w:pPr>
        <w:ind w:firstLine="1134"/>
        <w:contextualSpacing/>
        <w:jc w:val="both"/>
        <w:rPr>
          <w:rStyle w:val="apple-converted-space"/>
          <w:strike/>
          <w:color w:val="000000"/>
          <w:shd w:val="clear" w:color="auto" w:fill="FFFFFF"/>
        </w:rPr>
      </w:pPr>
      <w:r>
        <w:rPr>
          <w:b/>
          <w:color w:val="000000"/>
          <w:shd w:val="clear" w:color="auto" w:fill="FFFFFF"/>
        </w:rPr>
        <w:t xml:space="preserve">ISO 9001 - </w:t>
      </w:r>
      <w:r w:rsidR="00352A9F">
        <w:rPr>
          <w:color w:val="000000"/>
          <w:shd w:val="clear" w:color="auto" w:fill="FFFFFF"/>
        </w:rPr>
        <w:t xml:space="preserve">O </w:t>
      </w:r>
      <w:r>
        <w:rPr>
          <w:color w:val="000000"/>
          <w:shd w:val="clear" w:color="auto" w:fill="FFFFFF"/>
        </w:rPr>
        <w:t>Acessa SP foi certificado pela ISO 9001.</w:t>
      </w:r>
    </w:p>
    <w:p w:rsidR="003E6588" w:rsidRDefault="003E6588">
      <w:pPr>
        <w:ind w:firstLine="1134"/>
        <w:contextualSpacing/>
        <w:jc w:val="both"/>
        <w:rPr>
          <w:color w:val="000000"/>
          <w:shd w:val="clear" w:color="auto" w:fill="FFFFFF"/>
        </w:rPr>
      </w:pPr>
    </w:p>
    <w:p w:rsidR="003E6588" w:rsidRDefault="003E6588">
      <w:pPr>
        <w:ind w:firstLine="1134"/>
        <w:contextualSpacing/>
        <w:jc w:val="both"/>
        <w:rPr>
          <w:color w:val="000000"/>
          <w:shd w:val="clear" w:color="auto" w:fill="FFFFFF"/>
        </w:rPr>
      </w:pPr>
      <w:r>
        <w:rPr>
          <w:b/>
          <w:bCs/>
          <w:color w:val="000000"/>
          <w:shd w:val="clear" w:color="auto" w:fill="FFFFFF"/>
        </w:rPr>
        <w:lastRenderedPageBreak/>
        <w:t xml:space="preserve">Super Acessa - </w:t>
      </w:r>
      <w:r>
        <w:rPr>
          <w:color w:val="000000"/>
          <w:shd w:val="clear" w:color="auto" w:fill="FFFFFF"/>
        </w:rPr>
        <w:t>Esse novo formato de posto é mais amplo e serve como pólo de formação de monitores, oficinas e palestras. Conta com escritório virtual, espaços colaborativos com acesso sem fio (</w:t>
      </w:r>
      <w:r>
        <w:rPr>
          <w:i/>
          <w:color w:val="000000"/>
          <w:shd w:val="clear" w:color="auto" w:fill="FFFFFF"/>
        </w:rPr>
        <w:t>WiFi</w:t>
      </w:r>
      <w:r>
        <w:rPr>
          <w:color w:val="000000"/>
          <w:shd w:val="clear" w:color="auto" w:fill="FFFFFF"/>
        </w:rPr>
        <w:t xml:space="preserve"> gratuito para a comunidade do “em torno”) e espaço para os empreendedores. Um novo posto foi implantado. </w:t>
      </w:r>
      <w:r w:rsidR="00352A9F">
        <w:rPr>
          <w:color w:val="000000"/>
          <w:shd w:val="clear" w:color="auto" w:fill="FFFFFF"/>
        </w:rPr>
        <w:t xml:space="preserve">São </w:t>
      </w:r>
      <w:r>
        <w:rPr>
          <w:color w:val="000000"/>
          <w:shd w:val="clear" w:color="auto" w:fill="FFFFFF"/>
        </w:rPr>
        <w:t>três postos em funcionamento.</w:t>
      </w:r>
    </w:p>
    <w:p w:rsidR="003E6588" w:rsidRDefault="003E6588">
      <w:pPr>
        <w:ind w:firstLine="1134"/>
        <w:contextualSpacing/>
        <w:jc w:val="both"/>
        <w:rPr>
          <w:bCs/>
          <w:u w:val="single"/>
          <w:shd w:val="clear" w:color="auto" w:fill="FFFFFF"/>
        </w:rPr>
      </w:pPr>
    </w:p>
    <w:p w:rsidR="003E6588" w:rsidRDefault="003E6588">
      <w:pPr>
        <w:ind w:firstLine="1134"/>
        <w:contextualSpacing/>
        <w:jc w:val="both"/>
      </w:pPr>
      <w:r>
        <w:rPr>
          <w:b/>
          <w:bCs/>
          <w:shd w:val="clear" w:color="auto" w:fill="FFFFFF"/>
        </w:rPr>
        <w:t xml:space="preserve">Acessa UP - </w:t>
      </w:r>
      <w:r>
        <w:rPr>
          <w:shd w:val="clear" w:color="auto" w:fill="FFFFFF"/>
        </w:rPr>
        <w:t>76 postos tiveram seus equipamentos usados substituídos por equipamentos mais novos e mais modernos.</w:t>
      </w:r>
    </w:p>
    <w:p w:rsidR="003E6588" w:rsidRDefault="003E6588">
      <w:pPr>
        <w:ind w:firstLine="1134"/>
        <w:contextualSpacing/>
        <w:jc w:val="both"/>
        <w:rPr>
          <w:b/>
          <w:bCs/>
          <w:color w:val="000000"/>
          <w:shd w:val="clear" w:color="auto" w:fill="FFFFFF"/>
        </w:rPr>
      </w:pPr>
    </w:p>
    <w:p w:rsidR="003E6588" w:rsidRDefault="003E6588">
      <w:pPr>
        <w:ind w:firstLine="1134"/>
        <w:contextualSpacing/>
        <w:jc w:val="both"/>
        <w:rPr>
          <w:color w:val="000000"/>
          <w:shd w:val="clear" w:color="auto" w:fill="FFFFFF"/>
        </w:rPr>
      </w:pPr>
      <w:r>
        <w:rPr>
          <w:b/>
          <w:bCs/>
          <w:color w:val="000000"/>
          <w:shd w:val="clear" w:color="auto" w:fill="FFFFFF"/>
        </w:rPr>
        <w:t xml:space="preserve">Acessa Livre 4.0 - </w:t>
      </w:r>
      <w:r>
        <w:rPr>
          <w:color w:val="000000"/>
          <w:shd w:val="clear" w:color="auto" w:fill="FFFFFF"/>
        </w:rPr>
        <w:t>419 postos do Programa receberam o sistema operacional 4.0, inteiramente acessível a deficientes visuais. Além de oferecer benefícios de tecnologia, o sistema permite acesso do deficiente a serviços públicos e conteúdos educacionais.</w:t>
      </w:r>
    </w:p>
    <w:p w:rsidR="00AD528E" w:rsidRDefault="00AD528E">
      <w:pPr>
        <w:ind w:firstLine="1134"/>
        <w:contextualSpacing/>
        <w:jc w:val="both"/>
      </w:pPr>
    </w:p>
    <w:p w:rsidR="003E6588" w:rsidRDefault="003E6588">
      <w:pPr>
        <w:ind w:firstLine="1134"/>
        <w:contextualSpacing/>
        <w:jc w:val="both"/>
        <w:rPr>
          <w:color w:val="000000"/>
          <w:shd w:val="clear" w:color="auto" w:fill="FFFFFF"/>
        </w:rPr>
      </w:pPr>
      <w:r>
        <w:rPr>
          <w:b/>
          <w:bCs/>
          <w:color w:val="000000"/>
          <w:shd w:val="clear" w:color="auto" w:fill="FFFFFF"/>
        </w:rPr>
        <w:t xml:space="preserve">Acessa Turbinado - </w:t>
      </w:r>
      <w:r>
        <w:rPr>
          <w:color w:val="000000"/>
          <w:shd w:val="clear" w:color="auto" w:fill="FFFFFF"/>
        </w:rPr>
        <w:t xml:space="preserve">86 postos aumentaram a velocidade de conexão, melhorando a qualidade dos </w:t>
      </w:r>
      <w:r w:rsidRPr="00352A9F">
        <w:rPr>
          <w:i/>
          <w:color w:val="000000"/>
          <w:shd w:val="clear" w:color="auto" w:fill="FFFFFF"/>
        </w:rPr>
        <w:t>links.</w:t>
      </w:r>
      <w:r>
        <w:rPr>
          <w:color w:val="000000"/>
          <w:shd w:val="clear" w:color="auto" w:fill="FFFFFF"/>
        </w:rPr>
        <w:t xml:space="preserve"> É o maior objetivo do Acessa Turbinado: 96,3% do total contam com conexão dedicada de 2 Mb Full (</w:t>
      </w:r>
      <w:r>
        <w:rPr>
          <w:i/>
          <w:color w:val="000000"/>
          <w:shd w:val="clear" w:color="auto" w:fill="FFFFFF"/>
        </w:rPr>
        <w:t>Link</w:t>
      </w:r>
      <w:r>
        <w:rPr>
          <w:color w:val="000000"/>
          <w:shd w:val="clear" w:color="auto" w:fill="FFFFFF"/>
        </w:rPr>
        <w:t xml:space="preserve"> dedicado, </w:t>
      </w:r>
      <w:r>
        <w:rPr>
          <w:i/>
          <w:color w:val="000000"/>
          <w:shd w:val="clear" w:color="auto" w:fill="FFFFFF"/>
        </w:rPr>
        <w:t>internet</w:t>
      </w:r>
      <w:r>
        <w:rPr>
          <w:color w:val="000000"/>
          <w:shd w:val="clear" w:color="auto" w:fill="FFFFFF"/>
        </w:rPr>
        <w:t xml:space="preserve"> de qualidade que não oscila - Intragov).</w:t>
      </w:r>
    </w:p>
    <w:p w:rsidR="003E6588" w:rsidRDefault="003E6588">
      <w:pPr>
        <w:pStyle w:val="NormalWeb"/>
        <w:spacing w:before="0" w:beforeAutospacing="0" w:after="0" w:afterAutospacing="0"/>
        <w:ind w:firstLine="1134"/>
        <w:contextualSpacing/>
        <w:jc w:val="both"/>
        <w:rPr>
          <w:bCs/>
          <w:color w:val="000000"/>
          <w:u w:val="single"/>
          <w:shd w:val="clear" w:color="auto" w:fill="FFFFFF"/>
        </w:rPr>
      </w:pPr>
    </w:p>
    <w:p w:rsidR="003E6588" w:rsidRPr="00352A9F" w:rsidRDefault="003E6588">
      <w:pPr>
        <w:pStyle w:val="NormalWeb"/>
        <w:spacing w:before="0" w:beforeAutospacing="0" w:after="0" w:afterAutospacing="0"/>
        <w:ind w:firstLine="1134"/>
        <w:contextualSpacing/>
        <w:jc w:val="both"/>
        <w:rPr>
          <w:shd w:val="clear" w:color="auto" w:fill="FFFFFF"/>
        </w:rPr>
      </w:pPr>
      <w:r>
        <w:rPr>
          <w:b/>
          <w:bCs/>
          <w:color w:val="000000"/>
          <w:shd w:val="clear" w:color="auto" w:fill="FFFFFF"/>
        </w:rPr>
        <w:t xml:space="preserve">Acessinha - </w:t>
      </w:r>
      <w:r>
        <w:rPr>
          <w:color w:val="000000"/>
          <w:shd w:val="clear" w:color="auto" w:fill="FFFFFF"/>
        </w:rPr>
        <w:t xml:space="preserve">10 postos implantados, voltados ao público infantil, entre 4 e 10 anos de idade, com equipamentos, atividades e conteúdos especificamente produzidos para que a tecnologia seja revertida em desenvolvimento educacional. </w:t>
      </w:r>
      <w:r w:rsidR="00352A9F">
        <w:rPr>
          <w:color w:val="000000"/>
          <w:shd w:val="clear" w:color="auto" w:fill="FFFFFF"/>
        </w:rPr>
        <w:t>S</w:t>
      </w:r>
      <w:r>
        <w:rPr>
          <w:color w:val="000000"/>
          <w:shd w:val="clear" w:color="auto" w:fill="FFFFFF"/>
        </w:rPr>
        <w:t xml:space="preserve">ão 29 unidades em funcionamento e outras 23 </w:t>
      </w:r>
      <w:r w:rsidRPr="00352A9F">
        <w:rPr>
          <w:shd w:val="clear" w:color="auto" w:fill="FFFFFF"/>
        </w:rPr>
        <w:t>estão sendo implantadas.</w:t>
      </w:r>
    </w:p>
    <w:p w:rsidR="003E6588" w:rsidRDefault="003E6588">
      <w:pPr>
        <w:ind w:firstLine="1134"/>
        <w:contextualSpacing/>
        <w:jc w:val="both"/>
        <w:rPr>
          <w:bCs/>
          <w:color w:val="000000"/>
          <w:u w:val="single"/>
        </w:rPr>
      </w:pPr>
    </w:p>
    <w:p w:rsidR="003E6588" w:rsidRDefault="003E6588">
      <w:pPr>
        <w:ind w:firstLine="1134"/>
        <w:contextualSpacing/>
        <w:jc w:val="both"/>
        <w:rPr>
          <w:color w:val="000000"/>
          <w:shd w:val="clear" w:color="auto" w:fill="FFFFFF"/>
        </w:rPr>
      </w:pPr>
      <w:r>
        <w:rPr>
          <w:b/>
          <w:bCs/>
          <w:color w:val="000000"/>
        </w:rPr>
        <w:t>Acessibilidade</w:t>
      </w:r>
      <w:r>
        <w:rPr>
          <w:bCs/>
          <w:color w:val="000000"/>
        </w:rPr>
        <w:t xml:space="preserve"> - </w:t>
      </w:r>
      <w:r>
        <w:rPr>
          <w:color w:val="000000"/>
          <w:shd w:val="clear" w:color="auto" w:fill="FFFFFF"/>
        </w:rPr>
        <w:t>Uma importante meta do Acessa SP é adequar os postos para receber os portadores de deficiência física ou com mobilidade reduzida, com rampa, corrimão, porta para cadeirantes e banheiro exclusivo. 161 postos foram adaptados.</w:t>
      </w:r>
    </w:p>
    <w:p w:rsidR="003E6588" w:rsidRDefault="003E6588">
      <w:pPr>
        <w:ind w:firstLine="1134"/>
        <w:contextualSpacing/>
        <w:jc w:val="both"/>
        <w:rPr>
          <w:b/>
          <w:bCs/>
          <w:color w:val="000000"/>
          <w:shd w:val="clear" w:color="auto" w:fill="FFFFFF"/>
        </w:rPr>
      </w:pPr>
    </w:p>
    <w:p w:rsidR="003E6588" w:rsidRDefault="003E6588">
      <w:pPr>
        <w:ind w:firstLine="1134"/>
        <w:contextualSpacing/>
        <w:jc w:val="both"/>
        <w:rPr>
          <w:color w:val="000000"/>
          <w:shd w:val="clear" w:color="auto" w:fill="FFFFFF"/>
        </w:rPr>
      </w:pPr>
      <w:r>
        <w:rPr>
          <w:b/>
          <w:bCs/>
          <w:color w:val="000000"/>
          <w:shd w:val="clear" w:color="auto" w:fill="FFFFFF"/>
        </w:rPr>
        <w:t>Acessa Rural</w:t>
      </w:r>
      <w:r>
        <w:rPr>
          <w:bCs/>
          <w:color w:val="000000"/>
          <w:shd w:val="clear" w:color="auto" w:fill="FFFFFF"/>
        </w:rPr>
        <w:t xml:space="preserve"> - </w:t>
      </w:r>
      <w:r>
        <w:rPr>
          <w:color w:val="000000"/>
          <w:shd w:val="clear" w:color="auto" w:fill="FFFFFF"/>
        </w:rPr>
        <w:t xml:space="preserve">14 postos rurais foram implantados em comunidades e assentamentos distantes, carentes de serviços públicos, que não possuíam acesso à </w:t>
      </w:r>
      <w:r w:rsidRPr="00410EE0">
        <w:rPr>
          <w:i/>
          <w:color w:val="000000"/>
          <w:shd w:val="clear" w:color="auto" w:fill="FFFFFF"/>
        </w:rPr>
        <w:t>internet</w:t>
      </w:r>
      <w:r>
        <w:rPr>
          <w:color w:val="000000"/>
          <w:shd w:val="clear" w:color="auto" w:fill="FFFFFF"/>
        </w:rPr>
        <w:t xml:space="preserve"> e nenhum outro meio de comunicação.</w:t>
      </w:r>
    </w:p>
    <w:p w:rsidR="003E6588" w:rsidRDefault="003E6588">
      <w:pPr>
        <w:ind w:firstLine="1134"/>
        <w:jc w:val="both"/>
        <w:rPr>
          <w:bCs/>
          <w:color w:val="000000"/>
          <w:u w:val="single"/>
          <w:shd w:val="clear" w:color="auto" w:fill="FFFFFF"/>
        </w:rPr>
      </w:pPr>
    </w:p>
    <w:p w:rsidR="003E6588" w:rsidRDefault="003E6588">
      <w:pPr>
        <w:ind w:firstLine="1134"/>
        <w:contextualSpacing/>
        <w:jc w:val="both"/>
        <w:rPr>
          <w:color w:val="000000"/>
          <w:shd w:val="clear" w:color="auto" w:fill="FFFFFF"/>
        </w:rPr>
      </w:pPr>
      <w:r>
        <w:rPr>
          <w:b/>
          <w:bCs/>
          <w:color w:val="000000"/>
          <w:shd w:val="clear" w:color="auto" w:fill="FFFFFF"/>
        </w:rPr>
        <w:t>Acessa Sem Fio (</w:t>
      </w:r>
      <w:r>
        <w:rPr>
          <w:b/>
          <w:bCs/>
          <w:i/>
          <w:color w:val="000000"/>
          <w:shd w:val="clear" w:color="auto" w:fill="FFFFFF"/>
        </w:rPr>
        <w:t>WiFi</w:t>
      </w:r>
      <w:r>
        <w:rPr>
          <w:b/>
          <w:bCs/>
          <w:color w:val="000000"/>
          <w:shd w:val="clear" w:color="auto" w:fill="FFFFFF"/>
        </w:rPr>
        <w:t>)</w:t>
      </w:r>
      <w:r>
        <w:rPr>
          <w:bCs/>
          <w:color w:val="000000"/>
          <w:shd w:val="clear" w:color="auto" w:fill="FFFFFF"/>
        </w:rPr>
        <w:t xml:space="preserve"> - </w:t>
      </w:r>
      <w:r>
        <w:rPr>
          <w:color w:val="000000"/>
          <w:shd w:val="clear" w:color="auto" w:fill="FFFFFF"/>
        </w:rPr>
        <w:t xml:space="preserve">Os pontos </w:t>
      </w:r>
      <w:r>
        <w:rPr>
          <w:i/>
          <w:color w:val="000000"/>
          <w:shd w:val="clear" w:color="auto" w:fill="FFFFFF"/>
        </w:rPr>
        <w:t>wi-fi</w:t>
      </w:r>
      <w:r>
        <w:rPr>
          <w:color w:val="000000"/>
          <w:shd w:val="clear" w:color="auto" w:fill="FFFFFF"/>
        </w:rPr>
        <w:t xml:space="preserve"> para acesso livre à </w:t>
      </w:r>
      <w:r>
        <w:rPr>
          <w:i/>
          <w:color w:val="000000"/>
          <w:shd w:val="clear" w:color="auto" w:fill="FFFFFF"/>
        </w:rPr>
        <w:t xml:space="preserve">internet </w:t>
      </w:r>
      <w:r>
        <w:rPr>
          <w:color w:val="000000"/>
          <w:shd w:val="clear" w:color="auto" w:fill="FFFFFF"/>
        </w:rPr>
        <w:t>chegaram a 110 parques, praças, praia, incubadoras de empresas, escolas e comunidades rurais.</w:t>
      </w:r>
    </w:p>
    <w:p w:rsidR="003E6588" w:rsidRDefault="003E6588">
      <w:pPr>
        <w:ind w:firstLine="1134"/>
        <w:contextualSpacing/>
        <w:jc w:val="both"/>
        <w:rPr>
          <w:color w:val="000000"/>
          <w:shd w:val="clear" w:color="auto" w:fill="FFFFFF"/>
        </w:rPr>
      </w:pPr>
    </w:p>
    <w:p w:rsidR="003E6588" w:rsidRDefault="003E6588">
      <w:pPr>
        <w:ind w:firstLine="1134"/>
        <w:contextualSpacing/>
        <w:jc w:val="both"/>
        <w:rPr>
          <w:color w:val="000000"/>
          <w:shd w:val="clear" w:color="auto" w:fill="FFFFFF"/>
        </w:rPr>
      </w:pPr>
      <w:r>
        <w:rPr>
          <w:b/>
          <w:bCs/>
          <w:color w:val="000000"/>
          <w:shd w:val="clear" w:color="auto" w:fill="FFFFFF"/>
        </w:rPr>
        <w:t xml:space="preserve">Emissão de Guias de Trânsito Animal/e-GTA - </w:t>
      </w:r>
      <w:r>
        <w:rPr>
          <w:color w:val="000000"/>
          <w:shd w:val="clear" w:color="auto" w:fill="FFFFFF"/>
        </w:rPr>
        <w:t xml:space="preserve">O Acessa SP disponibiliza a emissão da Guia Eletrônica de Trânsito Animal </w:t>
      </w:r>
      <w:r w:rsidR="00352A9F">
        <w:rPr>
          <w:color w:val="000000"/>
          <w:shd w:val="clear" w:color="auto" w:fill="FFFFFF"/>
        </w:rPr>
        <w:t xml:space="preserve">- </w:t>
      </w:r>
      <w:r>
        <w:rPr>
          <w:color w:val="000000"/>
          <w:shd w:val="clear" w:color="auto" w:fill="FFFFFF"/>
        </w:rPr>
        <w:t xml:space="preserve">e-GTA. Em apenas dois meses de funcionamento foram registradas no </w:t>
      </w:r>
      <w:r>
        <w:rPr>
          <w:i/>
          <w:color w:val="000000"/>
          <w:shd w:val="clear" w:color="auto" w:fill="FFFFFF"/>
        </w:rPr>
        <w:t>site</w:t>
      </w:r>
      <w:r>
        <w:rPr>
          <w:color w:val="000000"/>
          <w:shd w:val="clear" w:color="auto" w:fill="FFFFFF"/>
        </w:rPr>
        <w:t xml:space="preserve"> 2.085 buscas sobre o assunto.</w:t>
      </w:r>
    </w:p>
    <w:p w:rsidR="003E6588" w:rsidRDefault="003E6588">
      <w:pPr>
        <w:ind w:firstLine="1134"/>
        <w:contextualSpacing/>
        <w:jc w:val="both"/>
        <w:rPr>
          <w:strike/>
          <w:color w:val="000000"/>
          <w:shd w:val="clear" w:color="auto" w:fill="FFFFFF"/>
        </w:rPr>
      </w:pPr>
    </w:p>
    <w:p w:rsidR="003E6588" w:rsidRDefault="003E6588">
      <w:pPr>
        <w:ind w:firstLine="1134"/>
        <w:contextualSpacing/>
        <w:jc w:val="both"/>
        <w:rPr>
          <w:color w:val="000000"/>
          <w:shd w:val="clear" w:color="auto" w:fill="FFFFFF"/>
        </w:rPr>
      </w:pPr>
      <w:r>
        <w:rPr>
          <w:b/>
          <w:bCs/>
          <w:color w:val="000000"/>
          <w:shd w:val="clear" w:color="auto" w:fill="FFFFFF"/>
        </w:rPr>
        <w:t xml:space="preserve">Capacitação - </w:t>
      </w:r>
      <w:r>
        <w:rPr>
          <w:color w:val="000000"/>
          <w:shd w:val="clear" w:color="auto" w:fill="FFFFFF"/>
        </w:rPr>
        <w:t>Foram realizadas 50 capacitações para 584 monitores, com objetivo de trocar conhecimentos e apontar questões que proporcionem a melhoria contínua do Programa.</w:t>
      </w:r>
    </w:p>
    <w:p w:rsidR="003E6588" w:rsidRDefault="003E6588">
      <w:pPr>
        <w:ind w:firstLine="1134"/>
        <w:contextualSpacing/>
        <w:jc w:val="both"/>
        <w:rPr>
          <w:bCs/>
          <w:color w:val="000000"/>
          <w:u w:val="single"/>
          <w:shd w:val="clear" w:color="auto" w:fill="FFFFFF"/>
        </w:rPr>
      </w:pPr>
    </w:p>
    <w:p w:rsidR="003E6588" w:rsidRDefault="003E6588">
      <w:pPr>
        <w:ind w:firstLine="1134"/>
        <w:contextualSpacing/>
        <w:jc w:val="both"/>
        <w:rPr>
          <w:color w:val="000000"/>
          <w:shd w:val="clear" w:color="auto" w:fill="FFFFFF"/>
        </w:rPr>
      </w:pPr>
      <w:r>
        <w:rPr>
          <w:b/>
          <w:bCs/>
          <w:color w:val="000000"/>
          <w:shd w:val="clear" w:color="auto" w:fill="FFFFFF"/>
        </w:rPr>
        <w:t xml:space="preserve">POnline - </w:t>
      </w:r>
      <w:r>
        <w:rPr>
          <w:color w:val="000000"/>
          <w:shd w:val="clear" w:color="auto" w:fill="FFFFFF"/>
        </w:rPr>
        <w:t xml:space="preserve">A 12ª edição da pesquisa </w:t>
      </w:r>
      <w:r w:rsidRPr="00F47541">
        <w:rPr>
          <w:i/>
          <w:color w:val="000000"/>
          <w:shd w:val="clear" w:color="auto" w:fill="FFFFFF"/>
        </w:rPr>
        <w:t>on</w:t>
      </w:r>
      <w:r w:rsidR="00F47541" w:rsidRPr="00F47541">
        <w:rPr>
          <w:i/>
          <w:color w:val="000000"/>
          <w:shd w:val="clear" w:color="auto" w:fill="FFFFFF"/>
        </w:rPr>
        <w:t xml:space="preserve"> </w:t>
      </w:r>
      <w:r w:rsidRPr="00F47541">
        <w:rPr>
          <w:i/>
          <w:color w:val="000000"/>
          <w:shd w:val="clear" w:color="auto" w:fill="FFFFFF"/>
        </w:rPr>
        <w:t>line</w:t>
      </w:r>
      <w:r>
        <w:rPr>
          <w:color w:val="000000"/>
          <w:shd w:val="clear" w:color="auto" w:fill="FFFFFF"/>
        </w:rPr>
        <w:t xml:space="preserve">, realizada anualmente em todos os postos, é um dos maiores levantamentos do gênero no Brasil. A POnline traça perfil completo dos usuários, além dos hábitos de utilização da </w:t>
      </w:r>
      <w:r w:rsidRPr="00352A9F">
        <w:rPr>
          <w:i/>
          <w:color w:val="000000"/>
          <w:shd w:val="clear" w:color="auto" w:fill="FFFFFF"/>
        </w:rPr>
        <w:t>internet</w:t>
      </w:r>
      <w:r>
        <w:rPr>
          <w:color w:val="000000"/>
          <w:shd w:val="clear" w:color="auto" w:fill="FFFFFF"/>
        </w:rPr>
        <w:t xml:space="preserve"> em São Paulo.</w:t>
      </w:r>
    </w:p>
    <w:p w:rsidR="003E6588" w:rsidRDefault="003E6588">
      <w:pPr>
        <w:pStyle w:val="NormalWeb"/>
        <w:spacing w:before="0" w:beforeAutospacing="0" w:after="0" w:afterAutospacing="0"/>
        <w:ind w:firstLine="1134"/>
        <w:contextualSpacing/>
        <w:jc w:val="both"/>
        <w:rPr>
          <w:b/>
          <w:bCs/>
          <w:color w:val="000000"/>
          <w:shd w:val="clear" w:color="auto" w:fill="FFFFFF"/>
        </w:rPr>
      </w:pPr>
    </w:p>
    <w:p w:rsidR="003E6588" w:rsidRDefault="003E6588">
      <w:pPr>
        <w:pStyle w:val="NormalWeb"/>
        <w:spacing w:before="0" w:beforeAutospacing="0" w:after="0" w:afterAutospacing="0"/>
        <w:ind w:firstLine="1134"/>
        <w:contextualSpacing/>
        <w:jc w:val="both"/>
        <w:rPr>
          <w:color w:val="000000"/>
          <w:shd w:val="clear" w:color="auto" w:fill="FFFFFF"/>
        </w:rPr>
      </w:pPr>
      <w:r>
        <w:rPr>
          <w:b/>
          <w:bCs/>
          <w:color w:val="000000"/>
          <w:shd w:val="clear" w:color="auto" w:fill="FFFFFF"/>
        </w:rPr>
        <w:lastRenderedPageBreak/>
        <w:t xml:space="preserve">Números - </w:t>
      </w:r>
      <w:r>
        <w:rPr>
          <w:color w:val="000000"/>
          <w:shd w:val="clear" w:color="auto" w:fill="FFFFFF"/>
        </w:rPr>
        <w:t>A dimensão do Programa pelo Estado pode ser conferida em alguns números, em permanente crescimento:</w:t>
      </w:r>
    </w:p>
    <w:p w:rsidR="003E6588" w:rsidRDefault="003E6588">
      <w:pPr>
        <w:pStyle w:val="NormalWeb"/>
        <w:spacing w:before="0" w:beforeAutospacing="0" w:after="0" w:afterAutospacing="0"/>
        <w:ind w:firstLine="1134"/>
        <w:contextualSpacing/>
        <w:jc w:val="both"/>
        <w:rPr>
          <w:color w:val="000000"/>
          <w:shd w:val="clear" w:color="auto" w:fill="FFFFFF"/>
        </w:rPr>
      </w:pPr>
    </w:p>
    <w:p w:rsidR="003E6588" w:rsidRDefault="003E6588">
      <w:pPr>
        <w:pStyle w:val="NormalWeb"/>
        <w:spacing w:before="0" w:beforeAutospacing="0" w:after="0" w:afterAutospacing="0"/>
        <w:ind w:firstLine="1134"/>
        <w:contextualSpacing/>
        <w:jc w:val="both"/>
        <w:rPr>
          <w:bCs/>
          <w:color w:val="000000"/>
          <w:shd w:val="clear" w:color="auto" w:fill="FFFFFF"/>
        </w:rPr>
      </w:pPr>
      <w:r>
        <w:rPr>
          <w:bCs/>
          <w:color w:val="000000"/>
          <w:shd w:val="clear" w:color="auto" w:fill="FFFFFF"/>
        </w:rPr>
        <w:t>832 postos em funcionamento - 128 postos implantados (entre postos rurais, urbanos, Super Acessa e Acessinhas);</w:t>
      </w:r>
    </w:p>
    <w:p w:rsidR="003E6588" w:rsidRDefault="003E6588">
      <w:pPr>
        <w:pStyle w:val="NormalWeb"/>
        <w:spacing w:before="0" w:beforeAutospacing="0" w:after="0" w:afterAutospacing="0"/>
        <w:ind w:firstLine="1134"/>
        <w:contextualSpacing/>
        <w:jc w:val="both"/>
        <w:rPr>
          <w:u w:val="single"/>
        </w:rPr>
      </w:pPr>
    </w:p>
    <w:p w:rsidR="003E6588" w:rsidRDefault="003E6588">
      <w:pPr>
        <w:pStyle w:val="NormalWeb"/>
        <w:spacing w:before="0" w:beforeAutospacing="0" w:after="0" w:afterAutospacing="0"/>
        <w:ind w:firstLine="1134"/>
        <w:contextualSpacing/>
        <w:jc w:val="both"/>
        <w:rPr>
          <w:bCs/>
          <w:color w:val="000000"/>
          <w:shd w:val="clear" w:color="auto" w:fill="FFFFFF"/>
        </w:rPr>
      </w:pPr>
      <w:r>
        <w:rPr>
          <w:bCs/>
          <w:color w:val="000000"/>
          <w:shd w:val="clear" w:color="auto" w:fill="FFFFFF"/>
        </w:rPr>
        <w:t>14 anos de existência;</w:t>
      </w:r>
    </w:p>
    <w:p w:rsidR="003E6588" w:rsidRDefault="003E6588">
      <w:pPr>
        <w:pStyle w:val="NormalWeb"/>
        <w:spacing w:before="0" w:beforeAutospacing="0" w:after="0" w:afterAutospacing="0"/>
        <w:ind w:firstLine="1134"/>
        <w:contextualSpacing/>
        <w:jc w:val="both"/>
      </w:pPr>
    </w:p>
    <w:p w:rsidR="003E6588" w:rsidRDefault="003E6588">
      <w:pPr>
        <w:pStyle w:val="NormalWeb"/>
        <w:spacing w:before="0" w:beforeAutospacing="0" w:after="0" w:afterAutospacing="0"/>
        <w:ind w:firstLine="1134"/>
        <w:contextualSpacing/>
        <w:jc w:val="both"/>
      </w:pPr>
      <w:r>
        <w:rPr>
          <w:bCs/>
          <w:color w:val="000000"/>
          <w:shd w:val="clear" w:color="auto" w:fill="FFFFFF"/>
        </w:rPr>
        <w:t>78 milhões de atendimentos presenciais;</w:t>
      </w:r>
    </w:p>
    <w:p w:rsidR="00352A9F" w:rsidRDefault="00352A9F" w:rsidP="00F47541">
      <w:pPr>
        <w:pStyle w:val="NormalWeb"/>
        <w:spacing w:before="0" w:beforeAutospacing="0" w:after="0" w:afterAutospacing="0"/>
        <w:ind w:firstLine="1134"/>
        <w:contextualSpacing/>
        <w:jc w:val="both"/>
        <w:rPr>
          <w:bCs/>
          <w:color w:val="000000"/>
          <w:shd w:val="clear" w:color="auto" w:fill="FFFFFF"/>
        </w:rPr>
      </w:pPr>
    </w:p>
    <w:p w:rsidR="003E6588" w:rsidRDefault="003E6588" w:rsidP="00352A9F">
      <w:pPr>
        <w:pStyle w:val="NormalWeb"/>
        <w:spacing w:before="0" w:beforeAutospacing="0" w:after="0" w:afterAutospacing="0"/>
        <w:ind w:firstLine="1134"/>
        <w:contextualSpacing/>
        <w:jc w:val="both"/>
        <w:rPr>
          <w:bCs/>
          <w:color w:val="000000"/>
          <w:shd w:val="clear" w:color="auto" w:fill="FFFFFF"/>
        </w:rPr>
      </w:pPr>
      <w:r>
        <w:rPr>
          <w:bCs/>
          <w:color w:val="000000"/>
          <w:shd w:val="clear" w:color="auto" w:fill="FFFFFF"/>
        </w:rPr>
        <w:t>3 milhões de usuários cadastrados;</w:t>
      </w:r>
    </w:p>
    <w:p w:rsidR="003E6588" w:rsidRDefault="003E6588">
      <w:pPr>
        <w:pStyle w:val="NormalWeb"/>
        <w:spacing w:before="0" w:beforeAutospacing="0" w:after="0" w:afterAutospacing="0"/>
        <w:ind w:firstLine="1134"/>
        <w:contextualSpacing/>
        <w:jc w:val="both"/>
        <w:rPr>
          <w:bCs/>
          <w:color w:val="000000"/>
          <w:shd w:val="clear" w:color="auto" w:fill="FFFFFF"/>
        </w:rPr>
      </w:pPr>
    </w:p>
    <w:p w:rsidR="003E6588" w:rsidRDefault="003E6588">
      <w:pPr>
        <w:pStyle w:val="NormalWeb"/>
        <w:spacing w:before="0" w:beforeAutospacing="0" w:after="0" w:afterAutospacing="0"/>
        <w:ind w:firstLine="1134"/>
        <w:contextualSpacing/>
        <w:jc w:val="both"/>
        <w:rPr>
          <w:bCs/>
          <w:color w:val="000000"/>
          <w:shd w:val="clear" w:color="auto" w:fill="FFFFFF"/>
        </w:rPr>
      </w:pPr>
      <w:r>
        <w:rPr>
          <w:bCs/>
          <w:color w:val="000000"/>
          <w:shd w:val="clear" w:color="auto" w:fill="FFFFFF"/>
        </w:rPr>
        <w:t>208 postos em implantação;</w:t>
      </w:r>
    </w:p>
    <w:p w:rsidR="003E6588" w:rsidRDefault="003E6588">
      <w:pPr>
        <w:pStyle w:val="NormalWeb"/>
        <w:spacing w:before="0" w:beforeAutospacing="0" w:after="0" w:afterAutospacing="0"/>
        <w:ind w:firstLine="1134"/>
        <w:contextualSpacing/>
        <w:jc w:val="both"/>
      </w:pPr>
    </w:p>
    <w:p w:rsidR="003E6588" w:rsidRDefault="003E6588">
      <w:pPr>
        <w:pStyle w:val="NormalWeb"/>
        <w:spacing w:before="0" w:beforeAutospacing="0" w:after="0" w:afterAutospacing="0"/>
        <w:ind w:firstLine="1134"/>
        <w:contextualSpacing/>
        <w:jc w:val="both"/>
        <w:rPr>
          <w:bCs/>
          <w:color w:val="000000"/>
          <w:shd w:val="clear" w:color="auto" w:fill="FFFFFF"/>
        </w:rPr>
      </w:pPr>
      <w:r>
        <w:rPr>
          <w:bCs/>
          <w:color w:val="000000"/>
          <w:shd w:val="clear" w:color="auto" w:fill="FFFFFF"/>
        </w:rPr>
        <w:t>1,2 mil monitores ativos</w:t>
      </w:r>
    </w:p>
    <w:p w:rsidR="003E6588" w:rsidRPr="004F4E1D" w:rsidRDefault="003E6588">
      <w:pPr>
        <w:pStyle w:val="NormalWeb"/>
        <w:spacing w:before="0" w:beforeAutospacing="0" w:after="0" w:afterAutospacing="0"/>
        <w:ind w:firstLine="1134"/>
        <w:contextualSpacing/>
        <w:jc w:val="both"/>
        <w:rPr>
          <w:bCs/>
          <w:color w:val="000000"/>
          <w:shd w:val="clear" w:color="auto" w:fill="FFFFFF"/>
        </w:rPr>
      </w:pPr>
    </w:p>
    <w:p w:rsidR="003E6588" w:rsidRPr="004F4E1D" w:rsidRDefault="003E6588">
      <w:pPr>
        <w:pStyle w:val="NormalWeb"/>
        <w:spacing w:before="0" w:beforeAutospacing="0" w:after="0" w:afterAutospacing="0"/>
        <w:ind w:firstLine="1134"/>
        <w:contextualSpacing/>
        <w:jc w:val="both"/>
        <w:rPr>
          <w:bCs/>
          <w:color w:val="000000"/>
          <w:shd w:val="clear" w:color="auto" w:fill="FFFFFF"/>
        </w:rPr>
      </w:pPr>
    </w:p>
    <w:p w:rsidR="003E6588" w:rsidRDefault="003E6588" w:rsidP="004F4E1D">
      <w:pPr>
        <w:contextualSpacing/>
        <w:rPr>
          <w:b/>
          <w:bCs/>
          <w:color w:val="000000"/>
        </w:rPr>
      </w:pPr>
      <w:r>
        <w:rPr>
          <w:b/>
          <w:bCs/>
          <w:color w:val="000000"/>
        </w:rPr>
        <w:t xml:space="preserve">FUNDAÇÃO PARA O DESENVOLVIMENTO ADMINISTRATIVO </w:t>
      </w:r>
      <w:r w:rsidR="00352A9F">
        <w:rPr>
          <w:b/>
          <w:bCs/>
          <w:color w:val="000000"/>
        </w:rPr>
        <w:t>- FUNDAP</w:t>
      </w:r>
    </w:p>
    <w:p w:rsidR="003E6588" w:rsidRPr="004F4E1D" w:rsidRDefault="003E6588" w:rsidP="004F4E1D">
      <w:pPr>
        <w:ind w:firstLine="1134"/>
        <w:contextualSpacing/>
        <w:jc w:val="both"/>
        <w:rPr>
          <w:bCs/>
          <w:color w:val="000000"/>
        </w:rPr>
      </w:pPr>
    </w:p>
    <w:p w:rsidR="003E6588" w:rsidRPr="004F4E1D" w:rsidRDefault="003E6588" w:rsidP="004F4E1D">
      <w:pPr>
        <w:ind w:firstLine="1134"/>
        <w:contextualSpacing/>
        <w:jc w:val="both"/>
        <w:rPr>
          <w:bCs/>
          <w:color w:val="000000"/>
        </w:rPr>
      </w:pPr>
    </w:p>
    <w:p w:rsidR="003E6588" w:rsidRDefault="003E6588">
      <w:pPr>
        <w:pStyle w:val="Ttulo1"/>
        <w:spacing w:before="0" w:after="0"/>
        <w:ind w:firstLine="1134"/>
        <w:jc w:val="both"/>
        <w:rPr>
          <w:rFonts w:ascii="Times New Roman" w:hAnsi="Times New Roman"/>
          <w:sz w:val="24"/>
          <w:szCs w:val="24"/>
          <w:lang w:val="pt-BR"/>
        </w:rPr>
      </w:pPr>
      <w:r>
        <w:rPr>
          <w:rFonts w:ascii="Times New Roman" w:hAnsi="Times New Roman"/>
          <w:sz w:val="24"/>
          <w:szCs w:val="24"/>
          <w:lang w:val="pt-BR"/>
        </w:rPr>
        <w:t>Consultoria Organizacional e Assessoria Técnica em Gestão</w:t>
      </w:r>
    </w:p>
    <w:p w:rsidR="003E6588" w:rsidRDefault="003E6588">
      <w:pPr>
        <w:ind w:firstLine="1134"/>
      </w:pPr>
    </w:p>
    <w:p w:rsidR="003E6588" w:rsidRDefault="003E6588">
      <w:pPr>
        <w:ind w:firstLine="1134"/>
        <w:jc w:val="both"/>
      </w:pPr>
      <w:r>
        <w:t xml:space="preserve">- Aprimoramento do Planejamento Estratégico da Secretaria da Fazenda </w:t>
      </w:r>
      <w:r w:rsidR="00F47541">
        <w:t xml:space="preserve">- </w:t>
      </w:r>
      <w:r>
        <w:t>Sefaz.</w:t>
      </w:r>
    </w:p>
    <w:p w:rsidR="003E6588" w:rsidRDefault="003E6588">
      <w:pPr>
        <w:ind w:firstLine="1134"/>
        <w:jc w:val="both"/>
      </w:pPr>
    </w:p>
    <w:p w:rsidR="003E6588" w:rsidRDefault="003E6588">
      <w:pPr>
        <w:ind w:firstLine="1134"/>
        <w:jc w:val="both"/>
      </w:pPr>
      <w:r>
        <w:t xml:space="preserve">- Assessoria à Secretaria da Saúde </w:t>
      </w:r>
      <w:r w:rsidR="00352A9F">
        <w:t xml:space="preserve">- </w:t>
      </w:r>
      <w:r>
        <w:t>SS para Redesenho de Processos Organizacionais.</w:t>
      </w:r>
    </w:p>
    <w:p w:rsidR="003E6588" w:rsidRDefault="003E6588">
      <w:pPr>
        <w:ind w:firstLine="1134"/>
        <w:jc w:val="both"/>
      </w:pPr>
    </w:p>
    <w:p w:rsidR="003E6588" w:rsidRDefault="003E6588">
      <w:pPr>
        <w:ind w:firstLine="1134"/>
        <w:jc w:val="both"/>
      </w:pPr>
      <w:r>
        <w:t>- Assessoria para a Implantação de Central de Atendimento ao Cidadão - Defensoria Pública do Estado de São Paulo.</w:t>
      </w:r>
    </w:p>
    <w:p w:rsidR="003E6588" w:rsidRDefault="003E6588">
      <w:pPr>
        <w:ind w:firstLine="1134"/>
        <w:jc w:val="both"/>
      </w:pPr>
    </w:p>
    <w:p w:rsidR="003E6588" w:rsidRDefault="003E6588">
      <w:pPr>
        <w:ind w:firstLine="1134"/>
        <w:jc w:val="both"/>
      </w:pPr>
      <w:r>
        <w:t xml:space="preserve">- Assessoria para Implantação do “Projeto Orçamento por Resultados” 2ª Fase - Secretaria de Planejamento e Desenvolvimento Regional </w:t>
      </w:r>
      <w:r w:rsidR="00352A9F">
        <w:t xml:space="preserve">- </w:t>
      </w:r>
      <w:r>
        <w:t>SPDR.</w:t>
      </w:r>
    </w:p>
    <w:p w:rsidR="003E6588" w:rsidRDefault="003E6588">
      <w:pPr>
        <w:ind w:firstLine="1134"/>
        <w:jc w:val="both"/>
      </w:pPr>
    </w:p>
    <w:p w:rsidR="003E6588" w:rsidRDefault="003E6588">
      <w:pPr>
        <w:ind w:firstLine="1134"/>
        <w:jc w:val="both"/>
      </w:pPr>
      <w:r>
        <w:t xml:space="preserve">- Assistência Técnica aos Programas EJA Mundo do Trabalho e ViaRápida Emprego </w:t>
      </w:r>
      <w:r w:rsidR="00352A9F">
        <w:t xml:space="preserve">- </w:t>
      </w:r>
      <w:r>
        <w:t>SDECTI.</w:t>
      </w:r>
    </w:p>
    <w:p w:rsidR="003E6588" w:rsidRDefault="003E6588">
      <w:pPr>
        <w:ind w:firstLine="1134"/>
        <w:jc w:val="both"/>
      </w:pPr>
    </w:p>
    <w:p w:rsidR="003E6588" w:rsidRDefault="003E6588">
      <w:pPr>
        <w:ind w:firstLine="1134"/>
        <w:jc w:val="both"/>
      </w:pPr>
      <w:r>
        <w:t xml:space="preserve">- Consultoria para Implantação de Melhorias no Atendimento ao Cliente, (re)desenho dos Processos de Trabalho e Adequação do Quadro de Pessoal - São Paulo Previdência </w:t>
      </w:r>
      <w:r w:rsidR="00352A9F">
        <w:t xml:space="preserve">- </w:t>
      </w:r>
      <w:r>
        <w:t>SPPrev.</w:t>
      </w:r>
    </w:p>
    <w:p w:rsidR="003E6588" w:rsidRDefault="003E6588">
      <w:pPr>
        <w:ind w:firstLine="1134"/>
        <w:jc w:val="both"/>
      </w:pPr>
    </w:p>
    <w:p w:rsidR="003E6588" w:rsidRDefault="003E6588">
      <w:pPr>
        <w:ind w:firstLine="1134"/>
        <w:jc w:val="both"/>
      </w:pPr>
      <w:r>
        <w:t>- Consultoria para Certificação Técnica do Quadro de Funcionários e Elaboração da Política de Gestão de Pessoas por Competências da SP Obras/Prefeitura de São Paulo.</w:t>
      </w:r>
    </w:p>
    <w:p w:rsidR="003E6588" w:rsidRDefault="003E6588">
      <w:pPr>
        <w:ind w:firstLine="1134"/>
        <w:jc w:val="both"/>
      </w:pPr>
    </w:p>
    <w:p w:rsidR="003E6588" w:rsidRDefault="003E6588">
      <w:pPr>
        <w:ind w:firstLine="1134"/>
        <w:jc w:val="both"/>
      </w:pPr>
      <w:r>
        <w:t xml:space="preserve">- Estruturação do Plano de Classificação de Empregos e Salários - Empresa Metropolitana de Águas e Energia </w:t>
      </w:r>
      <w:r w:rsidR="00026A3D">
        <w:t xml:space="preserve">- </w:t>
      </w:r>
      <w:r>
        <w:t>Emae.</w:t>
      </w:r>
    </w:p>
    <w:p w:rsidR="003E6588" w:rsidRDefault="003E6588">
      <w:pPr>
        <w:ind w:firstLine="1134"/>
        <w:jc w:val="both"/>
      </w:pPr>
      <w:r>
        <w:lastRenderedPageBreak/>
        <w:t xml:space="preserve">- Implementação do Plano Diretor de Tecnologia da Informação </w:t>
      </w:r>
      <w:r w:rsidR="00026A3D">
        <w:t xml:space="preserve">- </w:t>
      </w:r>
      <w:r>
        <w:t>PDTI da Prefeitura Municipal de Sorocaba.</w:t>
      </w:r>
    </w:p>
    <w:p w:rsidR="003E6588" w:rsidRDefault="003E6588">
      <w:pPr>
        <w:ind w:firstLine="1134"/>
        <w:jc w:val="both"/>
      </w:pPr>
    </w:p>
    <w:p w:rsidR="003E6588" w:rsidRDefault="003E6588">
      <w:pPr>
        <w:ind w:firstLine="1134"/>
        <w:jc w:val="both"/>
      </w:pPr>
      <w:r>
        <w:t xml:space="preserve">Prêmio Mario Covas - Secretaria de Gestão Pública </w:t>
      </w:r>
      <w:r w:rsidR="00026A3D">
        <w:t xml:space="preserve">- </w:t>
      </w:r>
      <w:r>
        <w:t>SGP.</w:t>
      </w:r>
    </w:p>
    <w:p w:rsidR="003E6588" w:rsidRDefault="003E6588">
      <w:pPr>
        <w:ind w:firstLine="1134"/>
        <w:jc w:val="both"/>
      </w:pPr>
    </w:p>
    <w:p w:rsidR="003E6588" w:rsidRDefault="003E6588">
      <w:pPr>
        <w:ind w:firstLine="1134"/>
        <w:jc w:val="both"/>
      </w:pPr>
      <w:r>
        <w:t xml:space="preserve">- Plano de Ação da Macrometrópole Paulista </w:t>
      </w:r>
      <w:r w:rsidR="00026A3D">
        <w:t xml:space="preserve">- </w:t>
      </w:r>
      <w:r>
        <w:t xml:space="preserve">PAM 2040 - Empresa Paulista de Planejamento Metropolitano </w:t>
      </w:r>
      <w:r w:rsidR="00026A3D">
        <w:t xml:space="preserve">- </w:t>
      </w:r>
      <w:r>
        <w:t>Emplasa.</w:t>
      </w:r>
    </w:p>
    <w:p w:rsidR="003E6588" w:rsidRDefault="003E6588">
      <w:pPr>
        <w:ind w:firstLine="1134"/>
        <w:jc w:val="both"/>
      </w:pPr>
    </w:p>
    <w:p w:rsidR="003E6588" w:rsidRDefault="003E6588">
      <w:pPr>
        <w:ind w:firstLine="1134"/>
        <w:jc w:val="both"/>
      </w:pPr>
      <w:r>
        <w:t xml:space="preserve">- Recadastramento, Capacitação e Análise de Dados - Conselho do Patrimônio Imobiliário </w:t>
      </w:r>
      <w:r w:rsidR="00026A3D">
        <w:t xml:space="preserve">- </w:t>
      </w:r>
      <w:r>
        <w:t xml:space="preserve">CPI da Secretaria de Planejamento e Desenvolvimento Regional </w:t>
      </w:r>
      <w:r w:rsidR="00026A3D">
        <w:t xml:space="preserve">- </w:t>
      </w:r>
      <w:r>
        <w:t>SPDR.</w:t>
      </w:r>
    </w:p>
    <w:p w:rsidR="00026A3D" w:rsidRDefault="00026A3D">
      <w:pPr>
        <w:ind w:firstLine="1134"/>
        <w:jc w:val="both"/>
      </w:pPr>
    </w:p>
    <w:p w:rsidR="003E6588" w:rsidRDefault="003E6588">
      <w:pPr>
        <w:ind w:firstLine="1134"/>
        <w:jc w:val="both"/>
      </w:pPr>
      <w:r>
        <w:t xml:space="preserve">- CI3 - Centro de Inspeção, Informação e Inteligência - Secretaria de Gestão Pública </w:t>
      </w:r>
      <w:r w:rsidR="00026A3D">
        <w:t xml:space="preserve">- </w:t>
      </w:r>
      <w:r>
        <w:t>SGP.</w:t>
      </w:r>
    </w:p>
    <w:p w:rsidR="003E6588" w:rsidRDefault="003E6588">
      <w:pPr>
        <w:ind w:firstLine="1134"/>
        <w:jc w:val="both"/>
      </w:pPr>
    </w:p>
    <w:p w:rsidR="003E6588" w:rsidRDefault="003E6588">
      <w:pPr>
        <w:ind w:firstLine="1134"/>
        <w:jc w:val="both"/>
      </w:pPr>
      <w:r>
        <w:t xml:space="preserve">- Aprimoramento das atividades médicas e gerenciais do Departamento de Perícias Médicas do Estado </w:t>
      </w:r>
      <w:r w:rsidR="00026A3D">
        <w:t xml:space="preserve">- </w:t>
      </w:r>
      <w:r>
        <w:t>DPME - Secretaria de Gestão Pública.</w:t>
      </w:r>
    </w:p>
    <w:p w:rsidR="003E6588" w:rsidRDefault="003E6588">
      <w:pPr>
        <w:ind w:firstLine="1134"/>
        <w:jc w:val="both"/>
      </w:pPr>
    </w:p>
    <w:p w:rsidR="003E6588" w:rsidRDefault="003E6588">
      <w:pPr>
        <w:ind w:firstLine="1134"/>
        <w:jc w:val="both"/>
      </w:pPr>
      <w:r>
        <w:t xml:space="preserve">- Desenvolvimento de Modelo Integrado de Gestão Administrativa </w:t>
      </w:r>
      <w:r w:rsidR="00026A3D">
        <w:t xml:space="preserve">- </w:t>
      </w:r>
      <w:r>
        <w:t>GRP para Centro Paula Souza e Secretaria de Gestão Pública.</w:t>
      </w:r>
    </w:p>
    <w:p w:rsidR="003E6588" w:rsidRDefault="003E6588">
      <w:pPr>
        <w:pStyle w:val="Ttulo1"/>
        <w:spacing w:before="0" w:after="0"/>
        <w:jc w:val="both"/>
        <w:rPr>
          <w:rFonts w:ascii="Times New Roman" w:hAnsi="Times New Roman"/>
          <w:b w:val="0"/>
          <w:bCs w:val="0"/>
          <w:kern w:val="0"/>
          <w:sz w:val="24"/>
          <w:szCs w:val="24"/>
          <w:lang w:val="pt-BR" w:eastAsia="pt-BR"/>
        </w:rPr>
      </w:pPr>
    </w:p>
    <w:p w:rsidR="003E6588" w:rsidRDefault="003E6588">
      <w:pPr>
        <w:pStyle w:val="Ttulo1"/>
        <w:spacing w:before="0" w:after="0"/>
        <w:ind w:firstLine="1134"/>
        <w:jc w:val="both"/>
        <w:rPr>
          <w:rFonts w:ascii="Times New Roman" w:hAnsi="Times New Roman"/>
          <w:sz w:val="24"/>
          <w:szCs w:val="24"/>
          <w:lang w:val="pt-BR"/>
        </w:rPr>
      </w:pPr>
      <w:r>
        <w:rPr>
          <w:rFonts w:ascii="Times New Roman" w:hAnsi="Times New Roman"/>
          <w:sz w:val="24"/>
          <w:szCs w:val="24"/>
          <w:lang w:val="pt-BR"/>
        </w:rPr>
        <w:t>Formação e Aperfeiçoamento de Servidores</w:t>
      </w:r>
    </w:p>
    <w:p w:rsidR="003E6588" w:rsidRDefault="003E6588">
      <w:pPr>
        <w:ind w:firstLine="1134"/>
        <w:jc w:val="both"/>
      </w:pPr>
    </w:p>
    <w:p w:rsidR="003E6588" w:rsidRDefault="003E6588">
      <w:pPr>
        <w:ind w:firstLine="1134"/>
        <w:jc w:val="both"/>
      </w:pPr>
      <w:r>
        <w:t xml:space="preserve">- A Conquista da Cidadania LGBT - Secretaria da Justiça e da Defesa da Cidadania </w:t>
      </w:r>
      <w:r w:rsidR="00026A3D">
        <w:t xml:space="preserve">- </w:t>
      </w:r>
      <w:r>
        <w:t>SJDC.</w:t>
      </w:r>
    </w:p>
    <w:p w:rsidR="003E6588" w:rsidRDefault="003E6588">
      <w:pPr>
        <w:ind w:firstLine="1134"/>
        <w:jc w:val="both"/>
      </w:pPr>
    </w:p>
    <w:p w:rsidR="003E6588" w:rsidRDefault="003E6588">
      <w:pPr>
        <w:ind w:firstLine="1134"/>
        <w:jc w:val="both"/>
      </w:pPr>
      <w:r>
        <w:t xml:space="preserve">- Curso Básico de Administração Financeira e Orçamentária para Fundação Instituto de Pesquisas Econômicas </w:t>
      </w:r>
      <w:r w:rsidR="00026A3D">
        <w:t xml:space="preserve">- </w:t>
      </w:r>
      <w:r>
        <w:t>Fipe.</w:t>
      </w:r>
    </w:p>
    <w:p w:rsidR="003E6588" w:rsidRDefault="003E6588">
      <w:pPr>
        <w:ind w:firstLine="1134"/>
        <w:jc w:val="both"/>
      </w:pPr>
    </w:p>
    <w:p w:rsidR="003E6588" w:rsidRDefault="003E6588">
      <w:pPr>
        <w:ind w:firstLine="1134"/>
        <w:jc w:val="both"/>
      </w:pPr>
      <w:r>
        <w:t xml:space="preserve">- Cursos EaD de Gestão de Suprimentos para a Área Pública - Secretaria da Fazenda </w:t>
      </w:r>
      <w:r w:rsidR="00026A3D">
        <w:t xml:space="preserve">- </w:t>
      </w:r>
      <w:r>
        <w:t>Sefaz.</w:t>
      </w:r>
    </w:p>
    <w:p w:rsidR="003E6588" w:rsidRDefault="003E6588">
      <w:pPr>
        <w:ind w:firstLine="1134"/>
        <w:jc w:val="both"/>
      </w:pPr>
    </w:p>
    <w:p w:rsidR="003E6588" w:rsidRDefault="003E6588">
      <w:pPr>
        <w:ind w:firstLine="1134"/>
        <w:jc w:val="both"/>
      </w:pPr>
      <w:r>
        <w:t xml:space="preserve">- Curso EAD sobre Violência contra Pessoa com Deficiência - Secretaria dos Direitos da Pessoa com Deficiência </w:t>
      </w:r>
      <w:r w:rsidR="00026A3D">
        <w:t xml:space="preserve">- </w:t>
      </w:r>
      <w:r>
        <w:t>SDPD.</w:t>
      </w:r>
    </w:p>
    <w:p w:rsidR="003E6588" w:rsidRDefault="003E6588">
      <w:pPr>
        <w:ind w:firstLine="1134"/>
        <w:jc w:val="both"/>
      </w:pPr>
    </w:p>
    <w:p w:rsidR="003E6588" w:rsidRDefault="003E6588">
      <w:pPr>
        <w:ind w:firstLine="1134"/>
        <w:jc w:val="both"/>
      </w:pPr>
      <w:r>
        <w:t>- Cursos para Formação Administrativa e Técnica de Servidores do Detran.</w:t>
      </w:r>
    </w:p>
    <w:p w:rsidR="003E6588" w:rsidRDefault="003E6588">
      <w:pPr>
        <w:ind w:firstLine="1134"/>
        <w:jc w:val="both"/>
      </w:pPr>
    </w:p>
    <w:p w:rsidR="003E6588" w:rsidRDefault="003E6588">
      <w:pPr>
        <w:ind w:firstLine="1134"/>
        <w:jc w:val="both"/>
      </w:pPr>
      <w:r>
        <w:t xml:space="preserve">- Curso Meritocracia e Gestão do Desempenho </w:t>
      </w:r>
      <w:r>
        <w:rPr>
          <w:i/>
        </w:rPr>
        <w:t>(on line)</w:t>
      </w:r>
      <w:r>
        <w:t xml:space="preserve"> - Universidade de São Paulo </w:t>
      </w:r>
      <w:r w:rsidR="00026A3D">
        <w:t xml:space="preserve">- </w:t>
      </w:r>
      <w:r>
        <w:t>USP.</w:t>
      </w:r>
    </w:p>
    <w:p w:rsidR="003E6588" w:rsidRDefault="003E6588">
      <w:pPr>
        <w:ind w:firstLine="1134"/>
        <w:jc w:val="both"/>
      </w:pPr>
    </w:p>
    <w:p w:rsidR="003E6588" w:rsidRDefault="003E6588">
      <w:pPr>
        <w:ind w:firstLine="1134"/>
        <w:jc w:val="both"/>
      </w:pPr>
      <w:r>
        <w:t xml:space="preserve">- Curso de Políticas Públicas da Secretaria da Justiça e da Defesa da Cidadania </w:t>
      </w:r>
      <w:r w:rsidR="00026A3D">
        <w:t xml:space="preserve">- </w:t>
      </w:r>
      <w:r>
        <w:t>SJDC.</w:t>
      </w:r>
    </w:p>
    <w:p w:rsidR="003E6588" w:rsidRDefault="003E6588">
      <w:pPr>
        <w:ind w:firstLine="1134"/>
        <w:jc w:val="both"/>
      </w:pPr>
    </w:p>
    <w:p w:rsidR="003E6588" w:rsidRDefault="003E6588">
      <w:pPr>
        <w:ind w:firstLine="1134"/>
        <w:jc w:val="both"/>
      </w:pPr>
      <w:r>
        <w:t xml:space="preserve">- Curso de Orçamento Voltado para Resultados - Governo da República de Cabo Verde/Programa das Nações Unidas para o Desenvolvimento </w:t>
      </w:r>
      <w:r w:rsidR="00026A3D">
        <w:t xml:space="preserve">- </w:t>
      </w:r>
      <w:r>
        <w:t>PNUD.</w:t>
      </w:r>
    </w:p>
    <w:p w:rsidR="003E6588" w:rsidRDefault="003E6588">
      <w:pPr>
        <w:ind w:firstLine="1134"/>
        <w:jc w:val="both"/>
      </w:pPr>
    </w:p>
    <w:p w:rsidR="003E6588" w:rsidRDefault="003E6588">
      <w:pPr>
        <w:ind w:firstLine="1134"/>
        <w:jc w:val="both"/>
      </w:pPr>
      <w:r>
        <w:lastRenderedPageBreak/>
        <w:t xml:space="preserve">- Cursos de Gestão de Patrimônio Imobiliário - Conselho do Patrimônio Imobiliário </w:t>
      </w:r>
      <w:r w:rsidR="00026A3D">
        <w:t xml:space="preserve">- </w:t>
      </w:r>
      <w:r>
        <w:t xml:space="preserve">CPI da Secretaria de Planejamento e Desenvolvimento Regional </w:t>
      </w:r>
      <w:r w:rsidR="00026A3D">
        <w:t xml:space="preserve">- </w:t>
      </w:r>
      <w:r>
        <w:t>SPDR.</w:t>
      </w:r>
    </w:p>
    <w:p w:rsidR="003E6588" w:rsidRDefault="003E6588">
      <w:pPr>
        <w:ind w:firstLine="1134"/>
        <w:jc w:val="both"/>
      </w:pPr>
    </w:p>
    <w:p w:rsidR="003E6588" w:rsidRDefault="003E6588">
      <w:pPr>
        <w:ind w:firstLine="1134"/>
        <w:jc w:val="both"/>
      </w:pPr>
      <w:r>
        <w:t>- Cursos básicos de Inglês e Espanhol EaD dirigidos a agentes públicos no âmbito do Programa Via Rápida Emprego, da Secretaria de Desenvolvimento Econômico, Ciência, Tecnologia e Inovação.</w:t>
      </w:r>
    </w:p>
    <w:p w:rsidR="003E6588" w:rsidRDefault="003E6588">
      <w:pPr>
        <w:ind w:firstLine="1134"/>
        <w:jc w:val="both"/>
      </w:pPr>
    </w:p>
    <w:p w:rsidR="003E6588" w:rsidRDefault="003E6588">
      <w:pPr>
        <w:ind w:firstLine="1134"/>
        <w:jc w:val="both"/>
      </w:pPr>
      <w:r>
        <w:t xml:space="preserve">- Curso de Legislação Trabalhista aplicada à Administração Pública - Unidade Central de Recursos Humanos da Secretaria de Gestão Pública </w:t>
      </w:r>
      <w:r w:rsidR="00026A3D">
        <w:t xml:space="preserve">- </w:t>
      </w:r>
      <w:r>
        <w:t>UCRH/SGP.</w:t>
      </w:r>
    </w:p>
    <w:p w:rsidR="003E6588" w:rsidRDefault="003E6588">
      <w:pPr>
        <w:ind w:firstLine="1134"/>
        <w:jc w:val="both"/>
      </w:pPr>
    </w:p>
    <w:p w:rsidR="003E6588" w:rsidRDefault="003E6588">
      <w:pPr>
        <w:ind w:firstLine="1134"/>
        <w:jc w:val="both"/>
      </w:pPr>
      <w:r>
        <w:t xml:space="preserve">- Inovaday - Assessoria de Inovação em Governo (iGovSP) da Secretaria de Planejamento e Desenvolvimento Regional </w:t>
      </w:r>
      <w:r w:rsidR="00026A3D">
        <w:t xml:space="preserve">- </w:t>
      </w:r>
      <w:r>
        <w:t>SPDR.</w:t>
      </w:r>
    </w:p>
    <w:p w:rsidR="00F47541" w:rsidRDefault="00F47541">
      <w:pPr>
        <w:ind w:firstLine="1134"/>
        <w:jc w:val="both"/>
      </w:pPr>
    </w:p>
    <w:p w:rsidR="003E6588" w:rsidRDefault="003E6588">
      <w:pPr>
        <w:ind w:firstLine="1134"/>
        <w:jc w:val="both"/>
      </w:pPr>
      <w:r>
        <w:t>- Laboratório de Inovação em Governo - Convênio SPDR, Fundap, USP, Cepam e Seade.</w:t>
      </w:r>
    </w:p>
    <w:p w:rsidR="003E6588" w:rsidRDefault="003E6588">
      <w:pPr>
        <w:ind w:firstLine="1134"/>
        <w:jc w:val="both"/>
      </w:pPr>
    </w:p>
    <w:p w:rsidR="003E6588" w:rsidRDefault="003E6588">
      <w:pPr>
        <w:ind w:firstLine="1134"/>
        <w:jc w:val="both"/>
      </w:pPr>
      <w:r>
        <w:t>- Modelagem, Gestão e Execução de Ações de Capacitação para Capital e Interior - Detran.SP.</w:t>
      </w:r>
    </w:p>
    <w:p w:rsidR="003E6588" w:rsidRDefault="003E6588">
      <w:pPr>
        <w:ind w:firstLine="1134"/>
        <w:jc w:val="both"/>
      </w:pPr>
    </w:p>
    <w:p w:rsidR="003E6588" w:rsidRDefault="003E6588">
      <w:pPr>
        <w:ind w:firstLine="1134"/>
        <w:jc w:val="both"/>
      </w:pPr>
      <w:r>
        <w:t>- Modelo de Gestão em 70 unidades do Detran.SP.</w:t>
      </w:r>
    </w:p>
    <w:p w:rsidR="003E6588" w:rsidRDefault="003E6588">
      <w:pPr>
        <w:ind w:firstLine="1134"/>
        <w:jc w:val="both"/>
      </w:pPr>
    </w:p>
    <w:p w:rsidR="003E6588" w:rsidRDefault="003E6588">
      <w:pPr>
        <w:ind w:firstLine="1134"/>
        <w:jc w:val="both"/>
      </w:pPr>
      <w:r>
        <w:t xml:space="preserve">- Programa de Aperfeiçoamento de Pessoal em Gestão de Pessoas e RH </w:t>
      </w:r>
      <w:r w:rsidR="00026A3D">
        <w:t xml:space="preserve">- </w:t>
      </w:r>
      <w:r>
        <w:t>PAP-RH para UCRH/SGP.</w:t>
      </w:r>
    </w:p>
    <w:p w:rsidR="003E6588" w:rsidRDefault="003E6588">
      <w:pPr>
        <w:ind w:firstLine="1134"/>
        <w:jc w:val="both"/>
      </w:pPr>
    </w:p>
    <w:p w:rsidR="003E6588" w:rsidRDefault="003E6588">
      <w:pPr>
        <w:ind w:firstLine="1134"/>
        <w:jc w:val="both"/>
      </w:pPr>
      <w:r>
        <w:t xml:space="preserve">- Programa de Capacitação Poupatempo - Prodesp e Secretaria de Gestão Pública </w:t>
      </w:r>
      <w:r w:rsidR="00026A3D">
        <w:t xml:space="preserve">- </w:t>
      </w:r>
      <w:r>
        <w:t>SGP.</w:t>
      </w:r>
    </w:p>
    <w:p w:rsidR="003E6588" w:rsidRDefault="003E6588">
      <w:pPr>
        <w:ind w:firstLine="1134"/>
        <w:jc w:val="both"/>
      </w:pPr>
    </w:p>
    <w:p w:rsidR="003E6588" w:rsidRDefault="003E6588">
      <w:pPr>
        <w:ind w:firstLine="1134"/>
        <w:jc w:val="both"/>
      </w:pPr>
      <w:r>
        <w:t xml:space="preserve">- Plano de Capacitação da Escola de Desenvolvimento Social do Estado de São Paulo </w:t>
      </w:r>
      <w:r w:rsidR="00026A3D">
        <w:t xml:space="preserve">- </w:t>
      </w:r>
      <w:r>
        <w:t xml:space="preserve">Edesp - Secretaria de Desenvolvimento Social </w:t>
      </w:r>
      <w:r w:rsidR="00026A3D">
        <w:t xml:space="preserve">- </w:t>
      </w:r>
      <w:r>
        <w:t>SDS.</w:t>
      </w:r>
    </w:p>
    <w:p w:rsidR="003E6588" w:rsidRDefault="003E6588">
      <w:pPr>
        <w:ind w:firstLine="1134"/>
        <w:jc w:val="both"/>
      </w:pPr>
    </w:p>
    <w:p w:rsidR="003E6588" w:rsidRDefault="003E6588">
      <w:pPr>
        <w:ind w:firstLine="1134"/>
        <w:jc w:val="both"/>
      </w:pPr>
      <w:r>
        <w:t xml:space="preserve">- Programa Excelência Gerencial </w:t>
      </w:r>
      <w:r w:rsidR="00026A3D">
        <w:t xml:space="preserve">- </w:t>
      </w:r>
      <w:r>
        <w:t>PEG - Sabesp.</w:t>
      </w:r>
    </w:p>
    <w:p w:rsidR="003E6588" w:rsidRDefault="003E6588">
      <w:pPr>
        <w:ind w:firstLine="1134"/>
        <w:jc w:val="both"/>
      </w:pPr>
    </w:p>
    <w:p w:rsidR="003E6588" w:rsidRDefault="003E6588">
      <w:pPr>
        <w:ind w:firstLine="1134"/>
        <w:jc w:val="both"/>
      </w:pPr>
      <w:r>
        <w:t xml:space="preserve">- Programa Transparência Paulista - Capacitações Transparência Municipal - Corregedoria Geral da Administração </w:t>
      </w:r>
      <w:r w:rsidR="00026A3D">
        <w:t xml:space="preserve">- </w:t>
      </w:r>
      <w:r>
        <w:t>CGA e SGP.</w:t>
      </w:r>
    </w:p>
    <w:p w:rsidR="003E6588" w:rsidRDefault="003E6588">
      <w:pPr>
        <w:ind w:firstLine="1134"/>
        <w:jc w:val="both"/>
      </w:pPr>
    </w:p>
    <w:p w:rsidR="003E6588" w:rsidRDefault="003E6588">
      <w:pPr>
        <w:ind w:firstLine="1134"/>
        <w:jc w:val="both"/>
      </w:pPr>
      <w:r>
        <w:t>- Seminários Fundap sobre a Lei Anticorrupção.</w:t>
      </w:r>
    </w:p>
    <w:p w:rsidR="003E6588" w:rsidRDefault="003E6588">
      <w:pPr>
        <w:ind w:firstLine="1134"/>
        <w:jc w:val="both"/>
      </w:pPr>
    </w:p>
    <w:p w:rsidR="003E6588" w:rsidRDefault="003E6588">
      <w:pPr>
        <w:ind w:firstLine="1134"/>
        <w:jc w:val="both"/>
      </w:pPr>
      <w:r>
        <w:t xml:space="preserve">- Seminário Fundap sobre Marco Civil da </w:t>
      </w:r>
      <w:r>
        <w:rPr>
          <w:i/>
        </w:rPr>
        <w:t>Internet</w:t>
      </w:r>
      <w:r>
        <w:t>.</w:t>
      </w:r>
    </w:p>
    <w:p w:rsidR="003E6588" w:rsidRDefault="003E6588">
      <w:pPr>
        <w:ind w:firstLine="1134"/>
        <w:jc w:val="both"/>
      </w:pPr>
    </w:p>
    <w:p w:rsidR="003E6588" w:rsidRPr="00027693" w:rsidRDefault="003E6588" w:rsidP="00027693">
      <w:pPr>
        <w:ind w:firstLine="1134"/>
        <w:jc w:val="both"/>
        <w:rPr>
          <w:b/>
        </w:rPr>
      </w:pPr>
      <w:r w:rsidRPr="00027693">
        <w:rPr>
          <w:b/>
        </w:rPr>
        <w:t>Pesquisa, Publicações e Produção de Informações</w:t>
      </w:r>
    </w:p>
    <w:p w:rsidR="003E6588" w:rsidRDefault="003E6588">
      <w:pPr>
        <w:ind w:firstLine="1134"/>
        <w:jc w:val="both"/>
      </w:pPr>
    </w:p>
    <w:p w:rsidR="003E6588" w:rsidRDefault="003E6588">
      <w:pPr>
        <w:ind w:firstLine="1134"/>
        <w:jc w:val="both"/>
      </w:pPr>
      <w:r>
        <w:t>- Mapeamento de obstáculos à mobilidade e acessibilidade na cidade de São+ Paulo para Rede Luc</w:t>
      </w:r>
      <w:r w:rsidR="00026A3D">
        <w:t>y Montoro de Reabilitação, da S</w:t>
      </w:r>
      <w:r>
        <w:t>DPD.</w:t>
      </w:r>
    </w:p>
    <w:p w:rsidR="003E6588" w:rsidRDefault="003E6588">
      <w:pPr>
        <w:ind w:firstLine="1134"/>
        <w:jc w:val="both"/>
      </w:pPr>
    </w:p>
    <w:p w:rsidR="003E6588" w:rsidRDefault="003E6588">
      <w:pPr>
        <w:ind w:firstLine="1134"/>
        <w:jc w:val="both"/>
      </w:pPr>
      <w:r>
        <w:lastRenderedPageBreak/>
        <w:t>- Pesquisa de satisfação junto a usuários matriculados em cursos do programa Via Rápida/SDECTI.</w:t>
      </w:r>
    </w:p>
    <w:p w:rsidR="00FB3C39" w:rsidRDefault="00FB3C39">
      <w:pPr>
        <w:ind w:firstLine="1134"/>
        <w:jc w:val="both"/>
      </w:pPr>
    </w:p>
    <w:p w:rsidR="003E6588" w:rsidRDefault="003E6588">
      <w:pPr>
        <w:ind w:firstLine="1134"/>
        <w:jc w:val="both"/>
      </w:pPr>
      <w:r>
        <w:t>- Satisfação dos usuários das 7 unidades do Hospital das Clínicas da FMUSP.</w:t>
      </w:r>
    </w:p>
    <w:p w:rsidR="003E6588" w:rsidRDefault="003E6588">
      <w:pPr>
        <w:ind w:firstLine="1134"/>
        <w:jc w:val="both"/>
        <w:rPr>
          <w:rStyle w:val="Ttulo1Char"/>
          <w:rFonts w:ascii="Times New Roman" w:eastAsia="Calibri" w:hAnsi="Times New Roman"/>
          <w:b w:val="0"/>
          <w:bCs w:val="0"/>
          <w:sz w:val="24"/>
          <w:szCs w:val="24"/>
          <w:lang w:val="pt-BR"/>
        </w:rPr>
      </w:pPr>
    </w:p>
    <w:p w:rsidR="003E6588" w:rsidRDefault="003E6588">
      <w:pPr>
        <w:ind w:firstLine="1134"/>
        <w:jc w:val="both"/>
      </w:pPr>
      <w:r>
        <w:rPr>
          <w:rStyle w:val="Ttulo1Char"/>
          <w:rFonts w:ascii="Times New Roman" w:eastAsia="Calibri" w:hAnsi="Times New Roman"/>
          <w:b w:val="0"/>
          <w:bCs w:val="0"/>
          <w:sz w:val="24"/>
          <w:szCs w:val="24"/>
          <w:lang w:val="pt-BR"/>
        </w:rPr>
        <w:t>- Satisfação dos usuários de gás canalizado no Estado para</w:t>
      </w:r>
      <w:r>
        <w:t xml:space="preserve"> Agência Reguladora de Saneamento e Energia </w:t>
      </w:r>
      <w:r w:rsidR="00026A3D">
        <w:t xml:space="preserve">- </w:t>
      </w:r>
      <w:r>
        <w:t>Arsesp.</w:t>
      </w:r>
    </w:p>
    <w:p w:rsidR="003E6588" w:rsidRDefault="003E6588">
      <w:pPr>
        <w:ind w:firstLine="1134"/>
        <w:jc w:val="both"/>
      </w:pPr>
    </w:p>
    <w:p w:rsidR="003E6588" w:rsidRDefault="003E6588">
      <w:pPr>
        <w:ind w:firstLine="1134"/>
        <w:jc w:val="both"/>
      </w:pPr>
      <w:r>
        <w:t>- Identificação do grau de conhecimento e satisfação em relação às Fábricas de Cultura - Secretaria da Cultura.</w:t>
      </w:r>
    </w:p>
    <w:p w:rsidR="003E6588" w:rsidRDefault="003E6588">
      <w:pPr>
        <w:ind w:firstLine="1134"/>
        <w:jc w:val="both"/>
      </w:pPr>
    </w:p>
    <w:p w:rsidR="003E6588" w:rsidRDefault="003E6588">
      <w:pPr>
        <w:ind w:firstLine="1134"/>
        <w:jc w:val="both"/>
      </w:pPr>
      <w:r>
        <w:t>- Avaliação do grau de satisfação dos usuários e da qualidade dos serviços de saúde prestados pelas unidades do SUS em São Paulo - SS.</w:t>
      </w:r>
    </w:p>
    <w:p w:rsidR="003E6588" w:rsidRDefault="003E6588">
      <w:pPr>
        <w:ind w:firstLine="1134"/>
        <w:jc w:val="both"/>
      </w:pPr>
    </w:p>
    <w:p w:rsidR="003E6588" w:rsidRDefault="003E6588">
      <w:pPr>
        <w:ind w:firstLine="1134"/>
        <w:jc w:val="both"/>
      </w:pPr>
      <w:r>
        <w:t>- Avaliação dos Sistemas Municipalizados de Educação Fundamental no Estado de São Paulo para a SE.</w:t>
      </w:r>
    </w:p>
    <w:p w:rsidR="003E6588" w:rsidRDefault="003E6588">
      <w:pPr>
        <w:ind w:firstLine="1134"/>
        <w:jc w:val="both"/>
      </w:pPr>
    </w:p>
    <w:p w:rsidR="003E6588" w:rsidRDefault="003E6588">
      <w:pPr>
        <w:ind w:firstLine="1134"/>
        <w:jc w:val="both"/>
      </w:pPr>
      <w:r>
        <w:t xml:space="preserve">- Busca Ativa II - Secretaria de Desenvolvimento Social </w:t>
      </w:r>
      <w:r w:rsidR="00026A3D">
        <w:t xml:space="preserve">- </w:t>
      </w:r>
      <w:r>
        <w:t>SDS.</w:t>
      </w:r>
    </w:p>
    <w:p w:rsidR="003E6588" w:rsidRDefault="003E6588">
      <w:pPr>
        <w:ind w:firstLine="1134"/>
        <w:jc w:val="both"/>
      </w:pPr>
    </w:p>
    <w:p w:rsidR="003E6588" w:rsidRDefault="003E6588">
      <w:pPr>
        <w:ind w:firstLine="1134"/>
        <w:jc w:val="both"/>
      </w:pPr>
      <w:r>
        <w:t>- Boletins de Economia 26, 27, 28 e 29.</w:t>
      </w:r>
    </w:p>
    <w:p w:rsidR="003E6588" w:rsidRDefault="003E6588">
      <w:pPr>
        <w:ind w:firstLine="1134"/>
        <w:jc w:val="both"/>
      </w:pPr>
    </w:p>
    <w:p w:rsidR="003E6588" w:rsidRDefault="003E6588">
      <w:pPr>
        <w:ind w:firstLine="1134"/>
        <w:jc w:val="both"/>
        <w:rPr>
          <w:rStyle w:val="TtuloChar"/>
          <w:rFonts w:eastAsia="Calibri"/>
          <w:b w:val="0"/>
          <w:bCs w:val="0"/>
        </w:rPr>
      </w:pPr>
      <w:r>
        <w:t xml:space="preserve">- </w:t>
      </w:r>
      <w:r>
        <w:rPr>
          <w:rStyle w:val="TtuloChar"/>
          <w:rFonts w:eastAsia="Calibri"/>
          <w:b w:val="0"/>
          <w:bCs w:val="0"/>
        </w:rPr>
        <w:t xml:space="preserve">Censo Psicossocial - Secretaria da Saúde </w:t>
      </w:r>
      <w:r w:rsidR="00FB3C39">
        <w:rPr>
          <w:rStyle w:val="TtuloChar"/>
          <w:rFonts w:eastAsia="Calibri"/>
          <w:b w:val="0"/>
          <w:bCs w:val="0"/>
        </w:rPr>
        <w:t>-</w:t>
      </w:r>
      <w:r w:rsidR="00026A3D">
        <w:rPr>
          <w:rStyle w:val="TtuloChar"/>
          <w:rFonts w:eastAsia="Calibri"/>
          <w:b w:val="0"/>
          <w:bCs w:val="0"/>
        </w:rPr>
        <w:t xml:space="preserve"> </w:t>
      </w:r>
      <w:r>
        <w:rPr>
          <w:rStyle w:val="TtuloChar"/>
          <w:rFonts w:eastAsia="Calibri"/>
          <w:b w:val="0"/>
          <w:bCs w:val="0"/>
        </w:rPr>
        <w:t>SS</w:t>
      </w:r>
      <w:r w:rsidR="00026A3D">
        <w:rPr>
          <w:rStyle w:val="TtuloChar"/>
          <w:rFonts w:eastAsia="Calibri"/>
          <w:b w:val="0"/>
          <w:bCs w:val="0"/>
        </w:rPr>
        <w:t>.</w:t>
      </w:r>
    </w:p>
    <w:p w:rsidR="003E6588" w:rsidRDefault="003E6588">
      <w:pPr>
        <w:ind w:firstLine="1134"/>
        <w:jc w:val="both"/>
      </w:pPr>
    </w:p>
    <w:p w:rsidR="003E6588" w:rsidRDefault="003E6588">
      <w:pPr>
        <w:ind w:firstLine="1134"/>
        <w:jc w:val="both"/>
      </w:pPr>
      <w:r>
        <w:t>- Material para CEEJAS - Centros Estaduais de Educação de Jovens e Adultos da SE.</w:t>
      </w:r>
    </w:p>
    <w:p w:rsidR="003E6588" w:rsidRDefault="003E6588">
      <w:pPr>
        <w:ind w:firstLine="1134"/>
        <w:jc w:val="both"/>
        <w:rPr>
          <w:rStyle w:val="TtuloChar"/>
          <w:rFonts w:eastAsia="Calibri"/>
          <w:b w:val="0"/>
        </w:rPr>
      </w:pPr>
    </w:p>
    <w:p w:rsidR="003E6588" w:rsidRDefault="003E6588">
      <w:pPr>
        <w:ind w:firstLine="1134"/>
        <w:jc w:val="both"/>
        <w:rPr>
          <w:rStyle w:val="TtuloChar"/>
          <w:rFonts w:eastAsia="Calibri"/>
          <w:b w:val="0"/>
        </w:rPr>
      </w:pPr>
      <w:r>
        <w:rPr>
          <w:rStyle w:val="TtuloChar"/>
          <w:rFonts w:eastAsia="Calibri"/>
          <w:b w:val="0"/>
        </w:rPr>
        <w:t>- Dicionário de Políticas Públicas - Fundap e Unesp.</w:t>
      </w:r>
    </w:p>
    <w:p w:rsidR="003E6588" w:rsidRDefault="003E6588">
      <w:pPr>
        <w:ind w:firstLine="1134"/>
        <w:jc w:val="both"/>
      </w:pPr>
    </w:p>
    <w:p w:rsidR="003E6588" w:rsidRDefault="003E6588">
      <w:pPr>
        <w:ind w:firstLine="1134"/>
        <w:jc w:val="both"/>
      </w:pPr>
      <w:r>
        <w:t>- Livro “1964 na Visão do Ministro do Trabalho de João Goulart - Almino Afonso” - Fundap/Imesp.</w:t>
      </w:r>
    </w:p>
    <w:p w:rsidR="003E6588" w:rsidRDefault="003E6588">
      <w:pPr>
        <w:ind w:firstLine="1134"/>
        <w:jc w:val="both"/>
      </w:pPr>
    </w:p>
    <w:p w:rsidR="003E6588" w:rsidRDefault="003E6588">
      <w:pPr>
        <w:ind w:firstLine="1134"/>
        <w:jc w:val="both"/>
      </w:pPr>
      <w:r>
        <w:t>- Livro “A Economia Brasileira no Contexto da Crise Global”.</w:t>
      </w:r>
    </w:p>
    <w:p w:rsidR="003E6588" w:rsidRDefault="003E6588">
      <w:pPr>
        <w:ind w:firstLine="1134"/>
        <w:jc w:val="both"/>
      </w:pPr>
    </w:p>
    <w:p w:rsidR="003E6588" w:rsidRDefault="003E6588">
      <w:pPr>
        <w:ind w:firstLine="1134"/>
        <w:jc w:val="both"/>
      </w:pPr>
      <w:r>
        <w:t xml:space="preserve">- Estudos de Conjuntura Econômica e Arrecadação Tributária do Estado de São Paulo - Secretaria da Fazenda </w:t>
      </w:r>
      <w:r w:rsidR="00026A3D">
        <w:t xml:space="preserve">- </w:t>
      </w:r>
      <w:r>
        <w:t>Sefaz.</w:t>
      </w:r>
    </w:p>
    <w:p w:rsidR="003E6588" w:rsidRDefault="003E6588">
      <w:pPr>
        <w:ind w:firstLine="1134"/>
        <w:jc w:val="both"/>
        <w:rPr>
          <w:rStyle w:val="TtuloChar"/>
          <w:rFonts w:eastAsia="Calibri"/>
          <w:b w:val="0"/>
        </w:rPr>
      </w:pPr>
    </w:p>
    <w:p w:rsidR="003E6588" w:rsidRDefault="003E6588">
      <w:pPr>
        <w:ind w:firstLine="1134"/>
        <w:jc w:val="both"/>
        <w:rPr>
          <w:rStyle w:val="TtuloChar"/>
          <w:rFonts w:eastAsia="Calibri"/>
          <w:b w:val="0"/>
        </w:rPr>
      </w:pPr>
      <w:r>
        <w:rPr>
          <w:rStyle w:val="TtuloChar"/>
          <w:rFonts w:eastAsia="Calibri"/>
          <w:b w:val="0"/>
        </w:rPr>
        <w:t xml:space="preserve">- Perfil da Administração Pública Paulista - </w:t>
      </w:r>
      <w:r>
        <w:rPr>
          <w:rStyle w:val="TtuloChar"/>
          <w:rFonts w:eastAsia="Calibri"/>
          <w:b w:val="0"/>
          <w:i/>
        </w:rPr>
        <w:t>site</w:t>
      </w:r>
      <w:r>
        <w:rPr>
          <w:rStyle w:val="TtuloChar"/>
          <w:rFonts w:eastAsia="Calibri"/>
          <w:b w:val="0"/>
        </w:rPr>
        <w:t xml:space="preserve"> e edição impressa 2015.</w:t>
      </w:r>
    </w:p>
    <w:p w:rsidR="003E6588" w:rsidRDefault="003E6588">
      <w:pPr>
        <w:ind w:firstLine="1134"/>
        <w:jc w:val="both"/>
        <w:rPr>
          <w:rStyle w:val="TtuloChar"/>
          <w:rFonts w:eastAsia="Calibri"/>
          <w:b w:val="0"/>
        </w:rPr>
      </w:pPr>
    </w:p>
    <w:p w:rsidR="003E6588" w:rsidRDefault="003E6588">
      <w:pPr>
        <w:ind w:firstLine="1134"/>
        <w:jc w:val="both"/>
      </w:pPr>
      <w:r>
        <w:rPr>
          <w:rStyle w:val="TtuloChar"/>
          <w:rFonts w:eastAsia="Calibri"/>
          <w:b w:val="0"/>
        </w:rPr>
        <w:t>- Pesquisa Evolução das Secretarias</w:t>
      </w:r>
      <w:r>
        <w:t>.</w:t>
      </w:r>
    </w:p>
    <w:p w:rsidR="003E6588" w:rsidRDefault="003E6588">
      <w:pPr>
        <w:ind w:firstLine="1134"/>
        <w:jc w:val="both"/>
      </w:pPr>
    </w:p>
    <w:p w:rsidR="003E6588" w:rsidRDefault="003E6588">
      <w:pPr>
        <w:ind w:firstLine="1134"/>
        <w:jc w:val="both"/>
      </w:pPr>
      <w:r>
        <w:t xml:space="preserve">- Novo </w:t>
      </w:r>
      <w:r>
        <w:rPr>
          <w:i/>
        </w:rPr>
        <w:t>Site</w:t>
      </w:r>
      <w:r>
        <w:t xml:space="preserve"> da Fundap.</w:t>
      </w:r>
    </w:p>
    <w:p w:rsidR="003E6588" w:rsidRDefault="003E6588">
      <w:pPr>
        <w:ind w:firstLine="1134"/>
        <w:jc w:val="both"/>
      </w:pPr>
    </w:p>
    <w:p w:rsidR="003E6588" w:rsidRPr="00027693" w:rsidRDefault="003E6588" w:rsidP="00027693">
      <w:pPr>
        <w:ind w:firstLine="1134"/>
        <w:jc w:val="both"/>
        <w:rPr>
          <w:b/>
        </w:rPr>
      </w:pPr>
      <w:r w:rsidRPr="00027693">
        <w:rPr>
          <w:b/>
        </w:rPr>
        <w:t>Programas e Atividades Contínuas</w:t>
      </w:r>
    </w:p>
    <w:p w:rsidR="003E6588" w:rsidRPr="00027693" w:rsidRDefault="003E6588" w:rsidP="00027693">
      <w:pPr>
        <w:ind w:firstLine="1134"/>
        <w:jc w:val="both"/>
      </w:pPr>
    </w:p>
    <w:p w:rsidR="003E6588" w:rsidRDefault="003E6588">
      <w:pPr>
        <w:ind w:firstLine="1134"/>
        <w:jc w:val="both"/>
      </w:pPr>
      <w:r>
        <w:lastRenderedPageBreak/>
        <w:t xml:space="preserve">- Estágios Fundap - Seleção de Estagiários e Administração das Bolsas de Estágio para estudantes do Ensino Médio, Médio de Nível técnico e Superior vinculados a: Programa de Estágios do Governo do Estado de São Paulo </w:t>
      </w:r>
      <w:r w:rsidR="00026A3D">
        <w:t xml:space="preserve">- </w:t>
      </w:r>
      <w:r>
        <w:t xml:space="preserve">SGP e aos programas Acessa Escola, Residência Educacional e Aluno Empreendedor </w:t>
      </w:r>
      <w:r w:rsidR="00026A3D">
        <w:t xml:space="preserve">- </w:t>
      </w:r>
      <w:r>
        <w:t>SE.</w:t>
      </w:r>
    </w:p>
    <w:p w:rsidR="003E6588" w:rsidRDefault="003E6588">
      <w:pPr>
        <w:ind w:firstLine="1134"/>
        <w:jc w:val="both"/>
      </w:pPr>
    </w:p>
    <w:p w:rsidR="003E6588" w:rsidRDefault="003E6588">
      <w:pPr>
        <w:ind w:firstLine="1134"/>
        <w:jc w:val="both"/>
      </w:pPr>
      <w:r>
        <w:t xml:space="preserve">- Programa de Tecnologia para Rede de Escolas de Governo </w:t>
      </w:r>
      <w:r w:rsidR="00026A3D">
        <w:t xml:space="preserve">- </w:t>
      </w:r>
      <w:r>
        <w:t>TecReg para a SGP.</w:t>
      </w:r>
    </w:p>
    <w:p w:rsidR="003E6588" w:rsidRDefault="003E6588">
      <w:pPr>
        <w:ind w:firstLine="1134"/>
        <w:jc w:val="both"/>
      </w:pPr>
    </w:p>
    <w:p w:rsidR="003E6588" w:rsidRDefault="003E6588">
      <w:pPr>
        <w:ind w:firstLine="1134"/>
        <w:jc w:val="both"/>
      </w:pPr>
      <w:r>
        <w:t xml:space="preserve">- Observatório de Saúde da Região Metropolitana de São Paulo </w:t>
      </w:r>
      <w:r w:rsidR="00026A3D">
        <w:t xml:space="preserve">- </w:t>
      </w:r>
      <w:r>
        <w:t>OSRMSP.</w:t>
      </w:r>
    </w:p>
    <w:p w:rsidR="003E6588" w:rsidRDefault="003E6588">
      <w:pPr>
        <w:ind w:firstLine="1134"/>
        <w:jc w:val="both"/>
      </w:pPr>
    </w:p>
    <w:p w:rsidR="003E6588" w:rsidRDefault="003E6588">
      <w:pPr>
        <w:ind w:firstLine="1134"/>
        <w:jc w:val="both"/>
      </w:pPr>
      <w:r>
        <w:t xml:space="preserve">- Protecno - Programa de Elaboração e Emissão de Parecer Técnico para os Cursos de Educação. Profissional Técnica da Fundap para o Conselho Estadual da Educação e a Secretaria da Educação </w:t>
      </w:r>
      <w:r w:rsidR="00026A3D">
        <w:t xml:space="preserve">- </w:t>
      </w:r>
      <w:r>
        <w:t>CEE/SE.</w:t>
      </w:r>
    </w:p>
    <w:p w:rsidR="003E6588" w:rsidRDefault="003E6588">
      <w:pPr>
        <w:ind w:firstLine="1134"/>
        <w:jc w:val="both"/>
      </w:pPr>
    </w:p>
    <w:p w:rsidR="003E6588" w:rsidRDefault="003E6588">
      <w:pPr>
        <w:ind w:firstLine="1134"/>
        <w:jc w:val="both"/>
      </w:pPr>
      <w:r>
        <w:t xml:space="preserve">- Programa de Aprimoramento Profissional </w:t>
      </w:r>
      <w:r w:rsidR="00026A3D">
        <w:t xml:space="preserve">- </w:t>
      </w:r>
      <w:r>
        <w:t>PAP na Área da Saúde para a SS.</w:t>
      </w:r>
    </w:p>
    <w:p w:rsidR="003E6588" w:rsidRPr="004F4E1D" w:rsidRDefault="003E6588">
      <w:pPr>
        <w:jc w:val="both"/>
        <w:rPr>
          <w:bCs/>
        </w:rPr>
      </w:pPr>
    </w:p>
    <w:p w:rsidR="00027693" w:rsidRPr="004F4E1D" w:rsidRDefault="00027693">
      <w:pPr>
        <w:jc w:val="both"/>
        <w:rPr>
          <w:bCs/>
        </w:rPr>
      </w:pPr>
    </w:p>
    <w:p w:rsidR="003E6588" w:rsidRDefault="00027693" w:rsidP="00027693">
      <w:pPr>
        <w:rPr>
          <w:b/>
          <w:bCs/>
        </w:rPr>
      </w:pPr>
      <w:r>
        <w:rPr>
          <w:b/>
          <w:bCs/>
        </w:rPr>
        <w:t xml:space="preserve">INSTITUTO DE ASSISTÊNCIA MÉDICA AO SERVIDOR PÚBLICO ESTADUAL - </w:t>
      </w:r>
      <w:r w:rsidR="003E6588">
        <w:rPr>
          <w:b/>
          <w:bCs/>
        </w:rPr>
        <w:t>IAMSPE</w:t>
      </w:r>
    </w:p>
    <w:p w:rsidR="003E6588" w:rsidRDefault="003E6588">
      <w:pPr>
        <w:rPr>
          <w:strike/>
        </w:rPr>
      </w:pPr>
    </w:p>
    <w:p w:rsidR="00027693" w:rsidRDefault="00027693">
      <w:pPr>
        <w:rPr>
          <w:strike/>
        </w:rPr>
      </w:pPr>
    </w:p>
    <w:p w:rsidR="003E6588" w:rsidRDefault="003E6588">
      <w:pPr>
        <w:tabs>
          <w:tab w:val="left" w:pos="851"/>
        </w:tabs>
        <w:ind w:firstLine="1134"/>
        <w:jc w:val="both"/>
      </w:pPr>
      <w:r>
        <w:rPr>
          <w:b/>
        </w:rPr>
        <w:t xml:space="preserve">Assistência médica ao servidor - </w:t>
      </w:r>
      <w:r>
        <w:t>Implantação do Plano Odontológico - Autorizado pelo Decreto nº 59.664/</w:t>
      </w:r>
      <w:r w:rsidR="00027693">
        <w:t>20</w:t>
      </w:r>
      <w:r>
        <w:t xml:space="preserve">13 o IAMSPE implantou esse benefício; credenciou 3 empresas com planos básicos e diferenciados. </w:t>
      </w:r>
      <w:r w:rsidR="00026A3D">
        <w:t xml:space="preserve">Inscritos </w:t>
      </w:r>
      <w:r>
        <w:t>61.700 usuários.</w:t>
      </w:r>
    </w:p>
    <w:p w:rsidR="003E6588" w:rsidRDefault="003E6588">
      <w:pPr>
        <w:tabs>
          <w:tab w:val="left" w:pos="851"/>
        </w:tabs>
        <w:ind w:firstLine="1134"/>
        <w:jc w:val="both"/>
      </w:pPr>
    </w:p>
    <w:p w:rsidR="003E6588" w:rsidRDefault="003E6588">
      <w:pPr>
        <w:tabs>
          <w:tab w:val="left" w:pos="851"/>
        </w:tabs>
        <w:ind w:firstLine="1134"/>
        <w:jc w:val="both"/>
      </w:pPr>
      <w:r>
        <w:rPr>
          <w:b/>
        </w:rPr>
        <w:t>Assistência Médica Hospitalar por terceiros - Aumento da rede</w:t>
      </w:r>
      <w:r>
        <w:t xml:space="preserve"> - Entre 2009 e 2014, os recursos despendidos para a rede de assistência médica cresceu de R$ 100 milhões para R$ 368 milhões, aplicados nas seguintes atividades de assistência: Hospitais, Hospitais e Clínicas de Retaguarda (Capital), Consultórios e Médicos Credenciados, Clínicas SADT, Clínica de Polisonografia, Clínicas de Fisioterapia, Policlínicas e Clínicas Especializadas.</w:t>
      </w:r>
    </w:p>
    <w:p w:rsidR="003E6588" w:rsidRDefault="003E6588">
      <w:pPr>
        <w:tabs>
          <w:tab w:val="left" w:pos="142"/>
          <w:tab w:val="left" w:pos="426"/>
        </w:tabs>
        <w:ind w:firstLine="1134"/>
        <w:jc w:val="both"/>
        <w:rPr>
          <w:b/>
        </w:rPr>
      </w:pPr>
    </w:p>
    <w:p w:rsidR="003E6588" w:rsidRDefault="003E6588">
      <w:pPr>
        <w:tabs>
          <w:tab w:val="left" w:pos="142"/>
          <w:tab w:val="left" w:pos="426"/>
        </w:tabs>
        <w:ind w:firstLine="1134"/>
        <w:jc w:val="both"/>
        <w:rPr>
          <w:u w:val="single"/>
        </w:rPr>
      </w:pPr>
      <w:r>
        <w:rPr>
          <w:b/>
        </w:rPr>
        <w:t>Perícias</w:t>
      </w:r>
      <w:r>
        <w:t xml:space="preserve"> </w:t>
      </w:r>
      <w:r>
        <w:rPr>
          <w:b/>
        </w:rPr>
        <w:t xml:space="preserve">Médicas - </w:t>
      </w:r>
      <w:r>
        <w:t>O Novo sistema</w:t>
      </w:r>
      <w:r w:rsidR="003A032D">
        <w:t>,</w:t>
      </w:r>
      <w:r>
        <w:t xml:space="preserve"> implantado em parceria com o Departamento de Perícias Médicas do Estado </w:t>
      </w:r>
      <w:r w:rsidR="003A032D">
        <w:t xml:space="preserve">- </w:t>
      </w:r>
      <w:r>
        <w:t xml:space="preserve">DPME </w:t>
      </w:r>
      <w:r w:rsidR="003A032D">
        <w:t>realiz</w:t>
      </w:r>
      <w:r>
        <w:t>o</w:t>
      </w:r>
      <w:r w:rsidR="003A032D">
        <w:t>u</w:t>
      </w:r>
      <w:r>
        <w:t xml:space="preserve"> 279.104 perícias.</w:t>
      </w:r>
    </w:p>
    <w:p w:rsidR="003E6588" w:rsidRDefault="003E6588">
      <w:pPr>
        <w:pStyle w:val="PargrafodaLista"/>
        <w:tabs>
          <w:tab w:val="left" w:pos="142"/>
          <w:tab w:val="left" w:pos="426"/>
        </w:tabs>
        <w:ind w:left="0" w:firstLine="1134"/>
        <w:rPr>
          <w:rFonts w:ascii="Times New Roman" w:hAnsi="Times New Roman"/>
          <w:sz w:val="24"/>
          <w:szCs w:val="24"/>
          <w:u w:val="single"/>
        </w:rPr>
      </w:pPr>
    </w:p>
    <w:p w:rsidR="003E6588" w:rsidRDefault="003E6588">
      <w:pPr>
        <w:tabs>
          <w:tab w:val="left" w:pos="851"/>
        </w:tabs>
        <w:ind w:firstLine="1134"/>
        <w:jc w:val="both"/>
      </w:pPr>
      <w:r>
        <w:rPr>
          <w:b/>
        </w:rPr>
        <w:t>Atendimento Médico, Ambulatorial e Hospitalar -</w:t>
      </w:r>
      <w:r>
        <w:t xml:space="preserve"> </w:t>
      </w:r>
      <w:r>
        <w:rPr>
          <w:b/>
        </w:rPr>
        <w:t>Reforma no HSPE</w:t>
      </w:r>
      <w:r>
        <w:t xml:space="preserve"> - Iniciamos a maior reforma da história do Hospital do Servidor Público Estadual. Foi entregue aos usuários o novo prédio do Pronto Socorro Adulto</w:t>
      </w:r>
      <w:r w:rsidR="003A032D">
        <w:t>,</w:t>
      </w:r>
      <w:r>
        <w:t xml:space="preserve"> com área física de 2,9 mil metros quadrados, com características especiais para atendimento à população idosa. O número de leitos passou de 44 para 53, o de consultórios médicos de 15 para 21. A sala de medicação conta com 32 poltronas e 6 leitos de observação, até então eram 15</w:t>
      </w:r>
      <w:r w:rsidR="003A032D">
        <w:t>,</w:t>
      </w:r>
      <w:r>
        <w:t xml:space="preserve"> e a sala de espera passa de 147 para 341 lugares. O novo Pronto Socorro possui salas de pré-consulta, de procedimentos, assistência social e ultrassonografia, além de duas áreas especificas e higienização e um consultório de ginecologia. </w:t>
      </w:r>
      <w:r w:rsidR="003A032D">
        <w:t xml:space="preserve">Foi </w:t>
      </w:r>
      <w:r>
        <w:t>entregue a nova área de quimioterapia.</w:t>
      </w:r>
    </w:p>
    <w:p w:rsidR="003E6588" w:rsidRDefault="003E6588">
      <w:pPr>
        <w:tabs>
          <w:tab w:val="left" w:pos="851"/>
        </w:tabs>
        <w:ind w:firstLine="1134"/>
        <w:jc w:val="both"/>
      </w:pPr>
    </w:p>
    <w:p w:rsidR="003E6588" w:rsidRDefault="003E6588">
      <w:pPr>
        <w:pStyle w:val="NormalWeb"/>
        <w:spacing w:before="0" w:beforeAutospacing="0" w:after="0" w:afterAutospacing="0"/>
        <w:ind w:firstLine="1134"/>
        <w:jc w:val="both"/>
      </w:pPr>
      <w:r>
        <w:rPr>
          <w:rFonts w:eastAsia="Calibri"/>
          <w:b/>
          <w:lang w:eastAsia="en-US"/>
        </w:rPr>
        <w:lastRenderedPageBreak/>
        <w:t xml:space="preserve">Produção do grupo de medicina do exercício e do esporte - </w:t>
      </w:r>
      <w:r>
        <w:t>O Ambulatório de Medicina do Esporte do HSPE incentiva o paciente a buscar tratamento para cura ou melhora da sua doença</w:t>
      </w:r>
      <w:r w:rsidR="003A032D">
        <w:t>,</w:t>
      </w:r>
      <w:r>
        <w:t xml:space="preserve"> por meio de atividade física programada. </w:t>
      </w:r>
      <w:r>
        <w:rPr>
          <w:bCs/>
        </w:rPr>
        <w:t>Esse ambulatório atendeu 1.800 usuários</w:t>
      </w:r>
      <w:r>
        <w:t>.</w:t>
      </w:r>
    </w:p>
    <w:p w:rsidR="003A032D" w:rsidRDefault="003A032D">
      <w:pPr>
        <w:pStyle w:val="NormalWeb"/>
        <w:spacing w:before="0" w:beforeAutospacing="0" w:after="0" w:afterAutospacing="0"/>
        <w:ind w:firstLine="1134"/>
        <w:jc w:val="both"/>
        <w:rPr>
          <w:b/>
        </w:rPr>
      </w:pPr>
    </w:p>
    <w:p w:rsidR="003E6588" w:rsidRDefault="003E6588">
      <w:pPr>
        <w:tabs>
          <w:tab w:val="left" w:pos="284"/>
        </w:tabs>
        <w:ind w:firstLine="1134"/>
        <w:jc w:val="both"/>
      </w:pPr>
      <w:r>
        <w:rPr>
          <w:b/>
        </w:rPr>
        <w:t>Desenvolvimento de Ensino e Pesquisa - Programas de Residência Médica</w:t>
      </w:r>
      <w:r>
        <w:t xml:space="preserve"> - Com 46 especialidades, o Iamspe realizou concorrido concurso para Residência Médica. Com 4.000 inscritos, manteve a tradição de maior concurso de Residência do Brasil para um hospital isolado, não ligado à faculdade de medicina. A novidade do concurso foi a especialidade “Medicina do Exercício e do Esporte”. Ampliamos o número de bolsas para médicos residentes. Fomos de 361 para 400 bolsas. </w:t>
      </w:r>
      <w:r w:rsidR="000B0275">
        <w:t xml:space="preserve">De </w:t>
      </w:r>
      <w:r>
        <w:t xml:space="preserve">2008 a 2014 formamos 969 médicos residentes, além de 603 médicos especialistas. Se contarmos os 140 Mestres que defenderam suas teses em nosso curso de Pós-Graduação, a colaboração do Iamspe para formação de profissionais foi de 1.700 especialistas. Devido à excelência de nosso Mestrado, a Capes concedeu ao Instituto o direito de ministrar o Doutorado. Esse modelo de Pós-Graduação teve início e está sendo implementado rapidamente. Realizamos 16 cursos de atualização médica e 9 cursos de atualização em enfermagem. </w:t>
      </w:r>
      <w:r w:rsidR="000B0275">
        <w:t xml:space="preserve">De </w:t>
      </w:r>
      <w:r>
        <w:t>2008</w:t>
      </w:r>
      <w:r w:rsidR="000B0275">
        <w:t xml:space="preserve"> a </w:t>
      </w:r>
      <w:r>
        <w:t xml:space="preserve">2014, 18.642 colaboradores, sobretudo de enfermagem, foram treinados em serviço. </w:t>
      </w:r>
      <w:r w:rsidR="000B0275">
        <w:t xml:space="preserve">Temos </w:t>
      </w:r>
      <w:r>
        <w:t>o setor de pesquisas científicas, com aproximadamente 200 pesquisas em desenvolvimento no Hospital do Servidor Público Estadual.</w:t>
      </w:r>
    </w:p>
    <w:p w:rsidR="003E6588" w:rsidRDefault="003E6588">
      <w:pPr>
        <w:tabs>
          <w:tab w:val="left" w:pos="284"/>
        </w:tabs>
        <w:ind w:firstLine="1134"/>
        <w:jc w:val="both"/>
      </w:pPr>
    </w:p>
    <w:p w:rsidR="003E6588" w:rsidRDefault="003E6588">
      <w:pPr>
        <w:tabs>
          <w:tab w:val="left" w:pos="851"/>
        </w:tabs>
        <w:ind w:firstLine="1134"/>
        <w:jc w:val="both"/>
      </w:pPr>
      <w:r>
        <w:rPr>
          <w:b/>
        </w:rPr>
        <w:t xml:space="preserve">Saúde e qualidade de vida do servidor - Reestruturação do Programa de Atenção ao Idoso </w:t>
      </w:r>
      <w:r w:rsidR="00027693">
        <w:rPr>
          <w:b/>
        </w:rPr>
        <w:t xml:space="preserve">- </w:t>
      </w:r>
      <w:r>
        <w:rPr>
          <w:b/>
        </w:rPr>
        <w:t>PAI</w:t>
      </w:r>
      <w:r>
        <w:rPr>
          <w:i/>
        </w:rPr>
        <w:t xml:space="preserve"> - </w:t>
      </w:r>
      <w:r>
        <w:t>Programa passou por processo de realinhamento, com implantação de acolhimento e definição de plano de atividades de acordo com o perfil de risco dos pacientes cadastrados durante os anos de 2013 e de 2014. As atividades oferecidas pelo</w:t>
      </w:r>
      <w:r w:rsidR="00411442">
        <w:t xml:space="preserve"> </w:t>
      </w:r>
      <w:r>
        <w:t>PAI totalizaram 8.244 participações.</w:t>
      </w:r>
    </w:p>
    <w:p w:rsidR="003E6588" w:rsidRDefault="003E6588">
      <w:pPr>
        <w:tabs>
          <w:tab w:val="left" w:pos="709"/>
        </w:tabs>
        <w:ind w:firstLine="1134"/>
        <w:jc w:val="both"/>
        <w:rPr>
          <w:b/>
          <w:color w:val="000000"/>
        </w:rPr>
      </w:pPr>
    </w:p>
    <w:p w:rsidR="003E6588" w:rsidRDefault="003E6588">
      <w:pPr>
        <w:tabs>
          <w:tab w:val="left" w:pos="709"/>
        </w:tabs>
        <w:ind w:firstLine="1134"/>
        <w:jc w:val="both"/>
        <w:rPr>
          <w:strike/>
          <w:color w:val="000000"/>
        </w:rPr>
      </w:pPr>
      <w:r>
        <w:rPr>
          <w:b/>
          <w:color w:val="000000"/>
        </w:rPr>
        <w:t>Educação em saúde nas Secretarias de Estado e nos Ceamas</w:t>
      </w:r>
      <w:r>
        <w:rPr>
          <w:i/>
          <w:iCs/>
          <w:color w:val="000000"/>
        </w:rPr>
        <w:t xml:space="preserve"> - </w:t>
      </w:r>
      <w:r>
        <w:rPr>
          <w:iCs/>
          <w:color w:val="000000"/>
        </w:rPr>
        <w:t>As</w:t>
      </w:r>
      <w:r>
        <w:rPr>
          <w:i/>
          <w:iCs/>
          <w:color w:val="000000"/>
        </w:rPr>
        <w:t xml:space="preserve"> </w:t>
      </w:r>
      <w:r>
        <w:rPr>
          <w:color w:val="000000"/>
        </w:rPr>
        <w:t>participações em atividades educativas desenvolvidas pelas Secretarias de Estado e suas regionais e nos Ceamas totalizaram 56.284, além das 104.758 mensagens enviadas pelo Programa de Relacionamento. O impacto destas ações pode ser afe</w:t>
      </w:r>
      <w:r w:rsidR="00411442">
        <w:rPr>
          <w:color w:val="000000"/>
        </w:rPr>
        <w:t>rido por meio do Vigitel Iamspe.</w:t>
      </w:r>
    </w:p>
    <w:p w:rsidR="003E6588" w:rsidRDefault="003E6588">
      <w:pPr>
        <w:tabs>
          <w:tab w:val="left" w:pos="709"/>
        </w:tabs>
        <w:ind w:firstLine="1134"/>
        <w:jc w:val="both"/>
        <w:rPr>
          <w:strike/>
          <w:color w:val="000000"/>
        </w:rPr>
      </w:pPr>
    </w:p>
    <w:p w:rsidR="003E6588" w:rsidRDefault="003E6588">
      <w:pPr>
        <w:tabs>
          <w:tab w:val="left" w:pos="709"/>
        </w:tabs>
        <w:ind w:firstLine="1134"/>
        <w:jc w:val="both"/>
      </w:pPr>
      <w:r>
        <w:rPr>
          <w:b/>
        </w:rPr>
        <w:t>Atenção aos idosos</w:t>
      </w:r>
      <w:r>
        <w:t xml:space="preserve"> -</w:t>
      </w:r>
      <w:r>
        <w:rPr>
          <w:b/>
        </w:rPr>
        <w:t xml:space="preserve"> Selo Hospital Amigo do Idoso</w:t>
      </w:r>
      <w:r>
        <w:t xml:space="preserve"> - O Hospital do Servidor Público Estadual </w:t>
      </w:r>
      <w:r w:rsidR="00411442">
        <w:t xml:space="preserve">- </w:t>
      </w:r>
      <w:r>
        <w:t>HSPE almeja tornar</w:t>
      </w:r>
      <w:r w:rsidR="00411442">
        <w:t>-se</w:t>
      </w:r>
      <w:r>
        <w:t xml:space="preserve"> o primeiro Hospital detentor do Selo Hospital Amigo do Idoso</w:t>
      </w:r>
      <w:r w:rsidR="00411442">
        <w:t>,</w:t>
      </w:r>
      <w:r>
        <w:t xml:space="preserve"> idealizado pela Secretaria da Saúde. </w:t>
      </w:r>
      <w:r w:rsidR="00411442">
        <w:t xml:space="preserve">Foi </w:t>
      </w:r>
      <w:r>
        <w:t>assinado termo de adesão ao selo e concluídas seis dos sete critérios obrigatórios para a obtenção do selo inicial.</w:t>
      </w:r>
    </w:p>
    <w:p w:rsidR="003E6588" w:rsidRDefault="003E6588">
      <w:pPr>
        <w:tabs>
          <w:tab w:val="left" w:pos="709"/>
          <w:tab w:val="left" w:pos="851"/>
        </w:tabs>
        <w:ind w:firstLine="1134"/>
        <w:jc w:val="both"/>
        <w:rPr>
          <w:b/>
        </w:rPr>
      </w:pPr>
    </w:p>
    <w:p w:rsidR="003E6588" w:rsidRDefault="003E6588">
      <w:pPr>
        <w:tabs>
          <w:tab w:val="left" w:pos="709"/>
          <w:tab w:val="left" w:pos="851"/>
        </w:tabs>
        <w:ind w:firstLine="1134"/>
        <w:jc w:val="both"/>
      </w:pPr>
      <w:r>
        <w:rPr>
          <w:b/>
        </w:rPr>
        <w:t>Prêmio Prevenir Iamspe</w:t>
      </w:r>
      <w:r>
        <w:t xml:space="preserve"> - Lançamos o 1º Prêmio Prevenir Iamspe para valorizar ações que promovam a saúde.</w:t>
      </w:r>
    </w:p>
    <w:p w:rsidR="003E6588" w:rsidRDefault="003E6588">
      <w:pPr>
        <w:tabs>
          <w:tab w:val="left" w:pos="709"/>
        </w:tabs>
        <w:ind w:firstLine="1134"/>
        <w:jc w:val="both"/>
        <w:rPr>
          <w:b/>
        </w:rPr>
      </w:pPr>
    </w:p>
    <w:p w:rsidR="003E6588" w:rsidRDefault="003E6588">
      <w:pPr>
        <w:tabs>
          <w:tab w:val="left" w:pos="709"/>
        </w:tabs>
        <w:ind w:firstLine="1134"/>
        <w:jc w:val="both"/>
      </w:pPr>
      <w:r>
        <w:rPr>
          <w:b/>
        </w:rPr>
        <w:t>Programa de Crônicos - Programa de gerenciamento de crônicos</w:t>
      </w:r>
      <w:r>
        <w:rPr>
          <w:i/>
        </w:rPr>
        <w:t xml:space="preserve"> - </w:t>
      </w:r>
      <w:r>
        <w:t>O Programa foi implantado nos ambulatórios de Cardiologia e Endocrinologia do HSPE, com cadastro de 2.700 pacientes, além da inclusão da prevenção de câncer ginecológico nos Ceama</w:t>
      </w:r>
      <w:r w:rsidR="00411442">
        <w:t>s, totalizando 38.833 pacientes.</w:t>
      </w:r>
    </w:p>
    <w:p w:rsidR="00411442" w:rsidRDefault="00411442">
      <w:pPr>
        <w:tabs>
          <w:tab w:val="left" w:pos="709"/>
        </w:tabs>
        <w:ind w:firstLine="1134"/>
        <w:jc w:val="both"/>
        <w:rPr>
          <w:strike/>
        </w:rPr>
      </w:pPr>
    </w:p>
    <w:p w:rsidR="003E6588" w:rsidRDefault="003E6588">
      <w:pPr>
        <w:ind w:firstLine="1134"/>
        <w:jc w:val="both"/>
      </w:pPr>
    </w:p>
    <w:p w:rsidR="003E6588" w:rsidRDefault="003E6588" w:rsidP="00027693">
      <w:pPr>
        <w:rPr>
          <w:b/>
        </w:rPr>
      </w:pPr>
      <w:r>
        <w:rPr>
          <w:b/>
        </w:rPr>
        <w:lastRenderedPageBreak/>
        <w:t xml:space="preserve">COMPANHIA DE PROCESSAMENTO DE DADOS DO ESTADO DE SÃO PAULO </w:t>
      </w:r>
      <w:r w:rsidR="00411442">
        <w:rPr>
          <w:b/>
        </w:rPr>
        <w:t xml:space="preserve">- </w:t>
      </w:r>
      <w:r>
        <w:rPr>
          <w:b/>
        </w:rPr>
        <w:t>PRODESP</w:t>
      </w:r>
    </w:p>
    <w:p w:rsidR="003E6588" w:rsidRPr="004F4E1D" w:rsidRDefault="003E6588">
      <w:pPr>
        <w:ind w:firstLine="1134"/>
        <w:jc w:val="both"/>
      </w:pPr>
    </w:p>
    <w:p w:rsidR="00027693" w:rsidRPr="004F4E1D" w:rsidRDefault="00027693">
      <w:pPr>
        <w:ind w:firstLine="1134"/>
        <w:jc w:val="both"/>
      </w:pPr>
    </w:p>
    <w:p w:rsidR="003E6588" w:rsidRDefault="003E6588">
      <w:pPr>
        <w:ind w:firstLine="1134"/>
        <w:jc w:val="both"/>
        <w:rPr>
          <w:b/>
        </w:rPr>
      </w:pPr>
      <w:r>
        <w:rPr>
          <w:b/>
        </w:rPr>
        <w:t>Clientes</w:t>
      </w:r>
    </w:p>
    <w:p w:rsidR="003E6588" w:rsidRPr="004F4E1D" w:rsidRDefault="003E6588">
      <w:pPr>
        <w:ind w:firstLine="1134"/>
        <w:jc w:val="both"/>
      </w:pPr>
    </w:p>
    <w:p w:rsidR="003E6588" w:rsidRPr="00411442" w:rsidRDefault="003E6588">
      <w:pPr>
        <w:autoSpaceDE w:val="0"/>
        <w:autoSpaceDN w:val="0"/>
        <w:adjustRightInd w:val="0"/>
        <w:ind w:firstLine="1134"/>
        <w:jc w:val="both"/>
      </w:pPr>
      <w:r>
        <w:rPr>
          <w:b/>
        </w:rPr>
        <w:t xml:space="preserve">Detecta (Secretaria da Segurança Pública) - </w:t>
      </w:r>
      <w:r>
        <w:t>Efetuada a aquisição/customização e iniciada a implantação do Detecta, s</w:t>
      </w:r>
      <w:r>
        <w:rPr>
          <w:color w:val="000000"/>
        </w:rPr>
        <w:t>istema de consciência situacional utilizado pela Polícia de Nova Iorque.</w:t>
      </w:r>
      <w:r>
        <w:rPr>
          <w:shd w:val="clear" w:color="auto" w:fill="FFFFFF"/>
        </w:rPr>
        <w:t xml:space="preserve"> </w:t>
      </w:r>
      <w:r w:rsidR="00411442">
        <w:rPr>
          <w:shd w:val="clear" w:color="auto" w:fill="FFFFFF"/>
        </w:rPr>
        <w:t xml:space="preserve">O </w:t>
      </w:r>
      <w:r>
        <w:rPr>
          <w:shd w:val="clear" w:color="auto" w:fill="FFFFFF"/>
        </w:rPr>
        <w:t>Detecta já contava com mais de 400 câmeras integradas</w:t>
      </w:r>
      <w:r w:rsidRPr="00411442">
        <w:rPr>
          <w:shd w:val="clear" w:color="auto" w:fill="FFFFFF"/>
        </w:rPr>
        <w:t>.</w:t>
      </w:r>
    </w:p>
    <w:p w:rsidR="003E6588" w:rsidRPr="004F4E1D" w:rsidRDefault="003E6588">
      <w:pPr>
        <w:pStyle w:val="NormalWeb"/>
        <w:shd w:val="clear" w:color="auto" w:fill="FFFFFF"/>
        <w:spacing w:before="0" w:beforeAutospacing="0" w:after="0" w:afterAutospacing="0"/>
        <w:ind w:firstLine="1134"/>
        <w:jc w:val="both"/>
      </w:pPr>
    </w:p>
    <w:p w:rsidR="003E6588" w:rsidRDefault="003E6588">
      <w:pPr>
        <w:pStyle w:val="NormalWeb"/>
        <w:shd w:val="clear" w:color="auto" w:fill="FFFFFF"/>
        <w:spacing w:before="0" w:beforeAutospacing="0" w:after="0" w:afterAutospacing="0"/>
        <w:ind w:firstLine="1134"/>
        <w:jc w:val="both"/>
      </w:pPr>
      <w:r>
        <w:rPr>
          <w:b/>
        </w:rPr>
        <w:t xml:space="preserve">Portal do Detran.SP (Detran.SP) - </w:t>
      </w:r>
      <w:r>
        <w:t xml:space="preserve">Concluída a modernização do portal do Detran.SP, envolvendo desde novo </w:t>
      </w:r>
      <w:r>
        <w:rPr>
          <w:i/>
        </w:rPr>
        <w:t>layout,</w:t>
      </w:r>
      <w:r>
        <w:t xml:space="preserve"> com </w:t>
      </w:r>
      <w:r w:rsidR="00411442">
        <w:t>i</w:t>
      </w:r>
      <w:r>
        <w:t>nterface mais intuitiva, até melhoria da sua usabilidade, com transformação em portal voltado a serviços. Oito novos serviços foram agregados ao portal, como o acompanhamento dos pedidos de suspensão de CNH.</w:t>
      </w:r>
    </w:p>
    <w:p w:rsidR="003E6588" w:rsidRDefault="003E6588">
      <w:pPr>
        <w:pStyle w:val="NormalWeb"/>
        <w:shd w:val="clear" w:color="auto" w:fill="FFFFFF"/>
        <w:spacing w:before="0" w:beforeAutospacing="0" w:after="0" w:afterAutospacing="0"/>
        <w:ind w:firstLine="1134"/>
        <w:jc w:val="both"/>
      </w:pPr>
    </w:p>
    <w:p w:rsidR="003E6588" w:rsidRDefault="003E6588">
      <w:pPr>
        <w:pStyle w:val="NormalWeb"/>
        <w:shd w:val="clear" w:color="auto" w:fill="FFFFFF"/>
        <w:spacing w:before="0" w:beforeAutospacing="0" w:after="0" w:afterAutospacing="0"/>
        <w:ind w:firstLine="1134"/>
        <w:jc w:val="both"/>
        <w:rPr>
          <w:shd w:val="clear" w:color="auto" w:fill="FFFFFF"/>
        </w:rPr>
      </w:pPr>
      <w:r>
        <w:rPr>
          <w:b/>
          <w:shd w:val="clear" w:color="auto" w:fill="FFFFFF"/>
        </w:rPr>
        <w:t>Sistema de Comunicação de Vendas de Veículos (Secretaria da Fazenda/Detran.SP)</w:t>
      </w:r>
      <w:r>
        <w:rPr>
          <w:shd w:val="clear" w:color="auto" w:fill="FFFFFF"/>
        </w:rPr>
        <w:t xml:space="preserve"> - A</w:t>
      </w:r>
      <w:r>
        <w:rPr>
          <w:color w:val="333333"/>
          <w:shd w:val="clear" w:color="auto" w:fill="FFFFFF"/>
        </w:rPr>
        <w:t xml:space="preserve"> </w:t>
      </w:r>
      <w:r>
        <w:rPr>
          <w:shd w:val="clear" w:color="auto" w:fill="FFFFFF"/>
        </w:rPr>
        <w:t>implantação de novo Sistema de Comunicação de Venda de Veículos automatizou e agilizou o envio das informações dos cartórios para a Secretaria da Fazenda e o Detran.SP. As informações e imagens são enviadas automaticamente pelo cartório à Secretaria da Fazenda, que, após controles e validações, os retransmite ao Detran.SP.</w:t>
      </w:r>
    </w:p>
    <w:p w:rsidR="003E6588" w:rsidRDefault="003E6588">
      <w:pPr>
        <w:pStyle w:val="NormalWeb"/>
        <w:shd w:val="clear" w:color="auto" w:fill="FFFFFF"/>
        <w:spacing w:before="0" w:beforeAutospacing="0" w:after="0" w:afterAutospacing="0"/>
        <w:ind w:firstLine="1134"/>
        <w:jc w:val="both"/>
        <w:rPr>
          <w:color w:val="333333"/>
          <w:shd w:val="clear" w:color="auto" w:fill="FFFFFF"/>
        </w:rPr>
      </w:pPr>
    </w:p>
    <w:p w:rsidR="003E6588" w:rsidRDefault="003E6588">
      <w:pPr>
        <w:pStyle w:val="NormalWeb"/>
        <w:shd w:val="clear" w:color="auto" w:fill="FFFFFF"/>
        <w:spacing w:before="0" w:beforeAutospacing="0" w:after="0" w:afterAutospacing="0"/>
        <w:ind w:firstLine="1134"/>
        <w:jc w:val="both"/>
        <w:textAlignment w:val="baseline"/>
        <w:rPr>
          <w:strike/>
        </w:rPr>
      </w:pPr>
      <w:r>
        <w:rPr>
          <w:b/>
          <w:shd w:val="clear" w:color="auto" w:fill="FFFFFF"/>
        </w:rPr>
        <w:t>Sistema Integrado de Multas - SIM (Detran.SP) -</w:t>
      </w:r>
      <w:r>
        <w:rPr>
          <w:shd w:val="clear" w:color="auto" w:fill="FFFFFF"/>
        </w:rPr>
        <w:t xml:space="preserve"> Implantado no Detran.SP, o SIM </w:t>
      </w:r>
      <w:r>
        <w:t>permite gerenciar todo o ciclo de vida das multas de trânsito, desde o controle dos talões de autuação, processamento das infrações e emissão de notificações, até a interposição/julgamento de recursos e eventual suspensão/cassa</w:t>
      </w:r>
      <w:r w:rsidR="00411442">
        <w:t>ção da CNH.</w:t>
      </w:r>
    </w:p>
    <w:p w:rsidR="003E6588" w:rsidRDefault="003E6588">
      <w:pPr>
        <w:pStyle w:val="NormalWeb"/>
        <w:shd w:val="clear" w:color="auto" w:fill="FFFFFF"/>
        <w:spacing w:before="0" w:beforeAutospacing="0" w:after="0" w:afterAutospacing="0"/>
        <w:ind w:firstLine="1134"/>
        <w:jc w:val="both"/>
        <w:textAlignment w:val="baseline"/>
        <w:rPr>
          <w:strike/>
          <w:color w:val="333333"/>
          <w:shd w:val="clear" w:color="auto" w:fill="FFFFFF"/>
        </w:rPr>
      </w:pPr>
    </w:p>
    <w:p w:rsidR="003E6588" w:rsidRDefault="003E6588">
      <w:pPr>
        <w:pStyle w:val="NormalWeb"/>
        <w:shd w:val="clear" w:color="auto" w:fill="FFFFFF"/>
        <w:spacing w:before="0" w:beforeAutospacing="0" w:after="0" w:afterAutospacing="0"/>
        <w:ind w:firstLine="1134"/>
        <w:jc w:val="both"/>
        <w:rPr>
          <w:rStyle w:val="Forte"/>
          <w:b w:val="0"/>
          <w:iCs/>
        </w:rPr>
      </w:pPr>
      <w:r>
        <w:rPr>
          <w:rStyle w:val="Forte"/>
          <w:iCs/>
        </w:rPr>
        <w:t xml:space="preserve">SP Serviços (Vários Órgãos) - </w:t>
      </w:r>
      <w:r>
        <w:rPr>
          <w:rStyle w:val="Forte"/>
          <w:b w:val="0"/>
          <w:iCs/>
        </w:rPr>
        <w:t xml:space="preserve">Foi disponibilizado na </w:t>
      </w:r>
      <w:r>
        <w:rPr>
          <w:rStyle w:val="Forte"/>
          <w:b w:val="0"/>
          <w:i/>
          <w:iCs/>
        </w:rPr>
        <w:t>App Store</w:t>
      </w:r>
      <w:r>
        <w:rPr>
          <w:rStyle w:val="Forte"/>
          <w:b w:val="0"/>
          <w:iCs/>
        </w:rPr>
        <w:t xml:space="preserve"> e no </w:t>
      </w:r>
      <w:r>
        <w:rPr>
          <w:rStyle w:val="Forte"/>
          <w:b w:val="0"/>
          <w:i/>
          <w:iCs/>
        </w:rPr>
        <w:t>Google Play</w:t>
      </w:r>
      <w:r>
        <w:rPr>
          <w:rStyle w:val="Forte"/>
          <w:b w:val="0"/>
          <w:iCs/>
        </w:rPr>
        <w:t xml:space="preserve"> o SP Serviços, aplicativo </w:t>
      </w:r>
      <w:r>
        <w:rPr>
          <w:rStyle w:val="Forte"/>
          <w:b w:val="0"/>
          <w:i/>
          <w:iCs/>
        </w:rPr>
        <w:t>mobile</w:t>
      </w:r>
      <w:r>
        <w:rPr>
          <w:rStyle w:val="Forte"/>
          <w:b w:val="0"/>
          <w:iCs/>
        </w:rPr>
        <w:t xml:space="preserve"> para celulares e </w:t>
      </w:r>
      <w:r>
        <w:rPr>
          <w:rStyle w:val="Forte"/>
          <w:b w:val="0"/>
          <w:i/>
          <w:iCs/>
        </w:rPr>
        <w:t>tablets</w:t>
      </w:r>
      <w:r>
        <w:rPr>
          <w:rStyle w:val="Forte"/>
          <w:b w:val="0"/>
          <w:iCs/>
        </w:rPr>
        <w:t xml:space="preserve"> que funciona como loja de </w:t>
      </w:r>
      <w:r>
        <w:rPr>
          <w:rStyle w:val="Forte"/>
          <w:b w:val="0"/>
          <w:i/>
          <w:iCs/>
        </w:rPr>
        <w:t>apps</w:t>
      </w:r>
      <w:r>
        <w:rPr>
          <w:rStyle w:val="Forte"/>
          <w:b w:val="0"/>
          <w:iCs/>
        </w:rPr>
        <w:t xml:space="preserve"> do Governo do Estado. </w:t>
      </w:r>
      <w:r w:rsidR="008C49E7">
        <w:rPr>
          <w:rStyle w:val="Forte"/>
          <w:b w:val="0"/>
          <w:iCs/>
        </w:rPr>
        <w:t xml:space="preserve">O </w:t>
      </w:r>
      <w:r>
        <w:rPr>
          <w:rStyle w:val="Forte"/>
          <w:b w:val="0"/>
          <w:iCs/>
        </w:rPr>
        <w:t>SP Serviços conta com 14 aplicativos.</w:t>
      </w:r>
    </w:p>
    <w:p w:rsidR="003E6588" w:rsidRDefault="003E6588">
      <w:pPr>
        <w:ind w:firstLine="1134"/>
        <w:jc w:val="both"/>
        <w:rPr>
          <w:b/>
          <w:color w:val="000000"/>
        </w:rPr>
      </w:pPr>
    </w:p>
    <w:p w:rsidR="003E6588" w:rsidRDefault="003E6588">
      <w:pPr>
        <w:ind w:firstLine="1134"/>
        <w:jc w:val="both"/>
      </w:pPr>
      <w:r>
        <w:rPr>
          <w:b/>
          <w:color w:val="000000"/>
        </w:rPr>
        <w:t>Programa de Parcelamento de Débitos - PPD (Secretaria da Fazenda/Procuradoria Geral do Estado</w:t>
      </w:r>
      <w:r>
        <w:rPr>
          <w:color w:val="000000"/>
        </w:rPr>
        <w:t>) -</w:t>
      </w:r>
      <w:r>
        <w:rPr>
          <w:b/>
          <w:color w:val="000000"/>
        </w:rPr>
        <w:t xml:space="preserve"> </w:t>
      </w:r>
      <w:r w:rsidR="008C49E7">
        <w:rPr>
          <w:color w:val="000000"/>
        </w:rPr>
        <w:t xml:space="preserve">O </w:t>
      </w:r>
      <w:r>
        <w:rPr>
          <w:color w:val="000000"/>
        </w:rPr>
        <w:t xml:space="preserve">PPD permitiu ao contribuinte a liquidação ou parcelamento de débitos de natureza tributária ou não, decorrentes de fatos geradores ocorridos até 30 de novembro de 2013, inscritos em Dívida Ativa, ajuizados ou não. </w:t>
      </w:r>
      <w:r w:rsidR="008C49E7">
        <w:rPr>
          <w:color w:val="000000"/>
        </w:rPr>
        <w:t xml:space="preserve">A </w:t>
      </w:r>
      <w:r>
        <w:rPr>
          <w:color w:val="000000"/>
        </w:rPr>
        <w:t xml:space="preserve">arrecadação gerada apenas pela liquidação das dívidas relativas ao IPVA foi de </w:t>
      </w:r>
      <w:r>
        <w:t>R$ 213 milhões.</w:t>
      </w:r>
    </w:p>
    <w:p w:rsidR="003E6588" w:rsidRDefault="003E6588">
      <w:pPr>
        <w:pStyle w:val="NormalWeb"/>
        <w:shd w:val="clear" w:color="auto" w:fill="FFFFFF"/>
        <w:spacing w:before="0" w:beforeAutospacing="0" w:after="0" w:afterAutospacing="0"/>
        <w:ind w:firstLine="1134"/>
        <w:jc w:val="both"/>
        <w:rPr>
          <w:rStyle w:val="Forte"/>
          <w:iCs/>
        </w:rPr>
      </w:pPr>
    </w:p>
    <w:p w:rsidR="003E6588" w:rsidRDefault="003E6588">
      <w:pPr>
        <w:pStyle w:val="NormalWeb"/>
        <w:shd w:val="clear" w:color="auto" w:fill="FFFFFF"/>
        <w:spacing w:before="0" w:beforeAutospacing="0" w:after="0" w:afterAutospacing="0"/>
        <w:ind w:firstLine="1134"/>
        <w:jc w:val="both"/>
        <w:rPr>
          <w:rStyle w:val="Forte"/>
          <w:b w:val="0"/>
          <w:iCs/>
        </w:rPr>
      </w:pPr>
      <w:r>
        <w:rPr>
          <w:rStyle w:val="Forte"/>
          <w:iCs/>
        </w:rPr>
        <w:t xml:space="preserve">Sistema de Gestão da Defesa Animal e Vegetal - Gedave (Secretaria de Agricultura e Abastecimento) - </w:t>
      </w:r>
      <w:r>
        <w:rPr>
          <w:rStyle w:val="Forte"/>
          <w:b w:val="0"/>
          <w:iCs/>
        </w:rPr>
        <w:t xml:space="preserve">Possibilita à Coordenadoria de Defesa Agropecuária maior efetividade no trabalho de defesa fitossanitária no Estado. Documentos passaram a ser expedidos automaticamente. Agora podem ser emitidos pelo próprio produtor rural e pelo agrônomo via </w:t>
      </w:r>
      <w:r>
        <w:rPr>
          <w:rStyle w:val="Forte"/>
          <w:b w:val="0"/>
          <w:i/>
          <w:iCs/>
        </w:rPr>
        <w:t>internet</w:t>
      </w:r>
      <w:r>
        <w:rPr>
          <w:rStyle w:val="Forte"/>
          <w:b w:val="0"/>
          <w:iCs/>
        </w:rPr>
        <w:t>.</w:t>
      </w:r>
    </w:p>
    <w:p w:rsidR="003E6588" w:rsidRDefault="003E6588">
      <w:pPr>
        <w:pStyle w:val="NormalWeb"/>
        <w:shd w:val="clear" w:color="auto" w:fill="FFFFFF"/>
        <w:spacing w:before="0" w:beforeAutospacing="0" w:after="0" w:afterAutospacing="0"/>
        <w:ind w:firstLine="1134"/>
        <w:jc w:val="both"/>
        <w:rPr>
          <w:b/>
          <w:bCs/>
        </w:rPr>
      </w:pPr>
    </w:p>
    <w:p w:rsidR="003E6588" w:rsidRDefault="003E6588">
      <w:pPr>
        <w:pStyle w:val="NormalWeb"/>
        <w:shd w:val="clear" w:color="auto" w:fill="FFFFFF"/>
        <w:spacing w:before="0" w:beforeAutospacing="0" w:after="0" w:afterAutospacing="0"/>
        <w:ind w:firstLine="1134"/>
        <w:jc w:val="both"/>
        <w:rPr>
          <w:strike/>
        </w:rPr>
      </w:pPr>
      <w:r>
        <w:rPr>
          <w:b/>
          <w:bCs/>
        </w:rPr>
        <w:t>S4SP</w:t>
      </w:r>
      <w:r>
        <w:rPr>
          <w:b/>
        </w:rPr>
        <w:t xml:space="preserve"> - Saúde para São Paulo (Secretaria da Saúde) -</w:t>
      </w:r>
      <w:r>
        <w:t xml:space="preserve"> Teve continuidade a implantação do S4SP nos oito</w:t>
      </w:r>
      <w:r>
        <w:rPr>
          <w:color w:val="000000"/>
        </w:rPr>
        <w:t xml:space="preserve"> hospitais de grande porte que começaram a receber o sistema</w:t>
      </w:r>
      <w:r w:rsidR="008C49E7">
        <w:rPr>
          <w:color w:val="000000"/>
        </w:rPr>
        <w:t>.</w:t>
      </w:r>
      <w:r>
        <w:rPr>
          <w:color w:val="000000"/>
        </w:rPr>
        <w:t xml:space="preserve"> </w:t>
      </w:r>
      <w:r>
        <w:t xml:space="preserve">O sistema padroniza e </w:t>
      </w:r>
      <w:r>
        <w:lastRenderedPageBreak/>
        <w:t>centraliza o armazenamento das informações, criando condições para a futura criação do Prontuário Eletrônico d</w:t>
      </w:r>
      <w:r w:rsidR="008C49E7">
        <w:t>e Saúde no Estado de São Paulo.</w:t>
      </w:r>
    </w:p>
    <w:p w:rsidR="003E6588" w:rsidRDefault="003E6588">
      <w:pPr>
        <w:pStyle w:val="NormalWeb"/>
        <w:shd w:val="clear" w:color="auto" w:fill="FFFFFF"/>
        <w:spacing w:before="0" w:beforeAutospacing="0" w:after="0" w:afterAutospacing="0"/>
        <w:ind w:firstLine="1134"/>
        <w:jc w:val="both"/>
        <w:rPr>
          <w:strike/>
        </w:rPr>
      </w:pPr>
    </w:p>
    <w:p w:rsidR="003E6588" w:rsidRDefault="003E6588">
      <w:pPr>
        <w:ind w:firstLine="1134"/>
        <w:jc w:val="both"/>
      </w:pPr>
      <w:r>
        <w:rPr>
          <w:b/>
        </w:rPr>
        <w:t xml:space="preserve">Secretaria Escolar Digital (Secretaria da Educação) - </w:t>
      </w:r>
      <w:r>
        <w:t>Foram colocados em operação os módulos de frequência, de avaliação e de a</w:t>
      </w:r>
      <w:r w:rsidR="008C49E7">
        <w:t>tividades do calendário escolar</w:t>
      </w:r>
      <w:r>
        <w:t xml:space="preserve">. A Secretaria Escolar Digital é aplicação </w:t>
      </w:r>
      <w:r>
        <w:rPr>
          <w:i/>
        </w:rPr>
        <w:t xml:space="preserve">web </w:t>
      </w:r>
      <w:r>
        <w:t>que permite às escolas gerir os dados dos alunos.</w:t>
      </w:r>
    </w:p>
    <w:p w:rsidR="00027693" w:rsidRDefault="00027693">
      <w:pPr>
        <w:ind w:firstLine="1134"/>
        <w:jc w:val="both"/>
        <w:rPr>
          <w:strike/>
        </w:rPr>
      </w:pPr>
    </w:p>
    <w:p w:rsidR="003E6588" w:rsidRDefault="003E6588">
      <w:pPr>
        <w:ind w:firstLine="1134"/>
        <w:jc w:val="both"/>
        <w:rPr>
          <w:b/>
        </w:rPr>
      </w:pPr>
      <w:r>
        <w:rPr>
          <w:b/>
        </w:rPr>
        <w:t>Disseminação de Conhecimento</w:t>
      </w:r>
    </w:p>
    <w:p w:rsidR="003E6588" w:rsidRDefault="003E6588">
      <w:pPr>
        <w:pStyle w:val="NormalWeb"/>
        <w:shd w:val="clear" w:color="auto" w:fill="FFFFFF"/>
        <w:spacing w:before="0" w:beforeAutospacing="0" w:after="0" w:afterAutospacing="0"/>
        <w:ind w:firstLine="1134"/>
        <w:jc w:val="both"/>
        <w:rPr>
          <w:b/>
          <w:lang w:val="pt-PT"/>
        </w:rPr>
      </w:pPr>
    </w:p>
    <w:p w:rsidR="003E6588" w:rsidRDefault="003E6588">
      <w:pPr>
        <w:pStyle w:val="NormalWeb"/>
        <w:shd w:val="clear" w:color="auto" w:fill="FFFFFF"/>
        <w:spacing w:before="0" w:beforeAutospacing="0" w:after="0" w:afterAutospacing="0"/>
        <w:ind w:firstLine="1134"/>
        <w:jc w:val="both"/>
        <w:rPr>
          <w:strike/>
          <w:lang w:val="pt-PT"/>
        </w:rPr>
      </w:pPr>
      <w:r>
        <w:rPr>
          <w:b/>
          <w:lang w:val="pt-PT"/>
        </w:rPr>
        <w:t xml:space="preserve">Seminário de Tecnologia Prodesp 2014 - </w:t>
      </w:r>
      <w:r>
        <w:rPr>
          <w:lang w:val="pt-PT"/>
        </w:rPr>
        <w:t>Com o tema “Tecnologias facilitando o dia a dia do cidadão”, a edição 2014 do evento</w:t>
      </w:r>
      <w:r w:rsidR="008C49E7">
        <w:rPr>
          <w:lang w:val="pt-PT"/>
        </w:rPr>
        <w:t xml:space="preserve"> </w:t>
      </w:r>
      <w:r>
        <w:rPr>
          <w:lang w:val="pt-PT"/>
        </w:rPr>
        <w:t>contou com a presença de 328 participantes, entre gestores e técnicos de informática da área pública</w:t>
      </w:r>
      <w:r w:rsidR="008C49E7">
        <w:rPr>
          <w:lang w:val="pt-PT"/>
        </w:rPr>
        <w:t>.</w:t>
      </w:r>
    </w:p>
    <w:p w:rsidR="003E6588" w:rsidRDefault="003E6588">
      <w:pPr>
        <w:ind w:firstLine="1134"/>
        <w:jc w:val="both"/>
        <w:rPr>
          <w:b/>
          <w:u w:val="single"/>
          <w:lang w:val="pt-PT"/>
        </w:rPr>
      </w:pPr>
    </w:p>
    <w:p w:rsidR="003E6588" w:rsidRDefault="003E6588">
      <w:pPr>
        <w:ind w:firstLine="1134"/>
        <w:jc w:val="both"/>
        <w:rPr>
          <w:b/>
        </w:rPr>
      </w:pPr>
      <w:r>
        <w:rPr>
          <w:b/>
        </w:rPr>
        <w:t>Infraestrutura Computacional</w:t>
      </w:r>
    </w:p>
    <w:p w:rsidR="003E6588" w:rsidRDefault="003E6588">
      <w:pPr>
        <w:ind w:firstLine="1134"/>
        <w:jc w:val="both"/>
        <w:rPr>
          <w:b/>
        </w:rPr>
      </w:pPr>
    </w:p>
    <w:p w:rsidR="003E6588" w:rsidRDefault="003E6588">
      <w:pPr>
        <w:ind w:firstLine="1134"/>
        <w:jc w:val="both"/>
      </w:pPr>
      <w:r>
        <w:rPr>
          <w:b/>
        </w:rPr>
        <w:t xml:space="preserve">Data Center Prodesp </w:t>
      </w:r>
      <w:r w:rsidR="00027693">
        <w:rPr>
          <w:b/>
        </w:rPr>
        <w:t>-</w:t>
      </w:r>
      <w:r>
        <w:rPr>
          <w:b/>
        </w:rPr>
        <w:t xml:space="preserve"> </w:t>
      </w:r>
      <w:r>
        <w:t>A</w:t>
      </w:r>
      <w:r w:rsidR="008C49E7">
        <w:t xml:space="preserve"> </w:t>
      </w:r>
      <w:r>
        <w:t xml:space="preserve">Prodesp realizou investimentos de R$ 77 milhões na expansão e </w:t>
      </w:r>
      <w:r>
        <w:rPr>
          <w:i/>
        </w:rPr>
        <w:t>upgrade</w:t>
      </w:r>
      <w:r>
        <w:t xml:space="preserve"> da infraestrutura computacional de seu </w:t>
      </w:r>
      <w:r>
        <w:rPr>
          <w:i/>
        </w:rPr>
        <w:t>Data Center</w:t>
      </w:r>
      <w:r>
        <w:t xml:space="preserve"> e em recursos de </w:t>
      </w:r>
      <w:r>
        <w:rPr>
          <w:i/>
        </w:rPr>
        <w:t xml:space="preserve">hardware </w:t>
      </w:r>
      <w:r>
        <w:t xml:space="preserve">e </w:t>
      </w:r>
      <w:r>
        <w:rPr>
          <w:i/>
        </w:rPr>
        <w:t>software</w:t>
      </w:r>
      <w:r>
        <w:t xml:space="preserve"> para o desenvolvimento de diferentes projetos de clientes.</w:t>
      </w:r>
    </w:p>
    <w:p w:rsidR="003E6588" w:rsidRPr="00027693" w:rsidRDefault="003E6588">
      <w:pPr>
        <w:ind w:firstLine="1134"/>
        <w:jc w:val="both"/>
      </w:pPr>
    </w:p>
    <w:p w:rsidR="003E6588" w:rsidRDefault="003E6588">
      <w:pPr>
        <w:ind w:firstLine="1134"/>
        <w:jc w:val="both"/>
      </w:pPr>
      <w:r>
        <w:rPr>
          <w:b/>
        </w:rPr>
        <w:t xml:space="preserve">Intragov IV - </w:t>
      </w:r>
      <w:r>
        <w:t xml:space="preserve">Dos aperfeiçoamentos técnicos previstos no novo contrato da Intragov, que entrou em vigor, foi totalmente implantada a solução anti-DDoS, para monitoramento e mitigação de ataques massivos originados na </w:t>
      </w:r>
      <w:r>
        <w:rPr>
          <w:i/>
        </w:rPr>
        <w:t>internet</w:t>
      </w:r>
      <w:r>
        <w:t xml:space="preserve">; e iniciadas a implantação da infraestrutura para serviço de comunicação IP e da solução para aceleração do tráfego dos </w:t>
      </w:r>
      <w:r>
        <w:rPr>
          <w:i/>
        </w:rPr>
        <w:t xml:space="preserve">links </w:t>
      </w:r>
      <w:r>
        <w:t xml:space="preserve">via satélite. Adicionalmente, foi ampliada a capacidade de tráfego </w:t>
      </w:r>
      <w:r>
        <w:rPr>
          <w:i/>
        </w:rPr>
        <w:t>internet</w:t>
      </w:r>
      <w:r>
        <w:t xml:space="preserve"> da rede</w:t>
      </w:r>
      <w:r w:rsidR="008C49E7">
        <w:t>,</w:t>
      </w:r>
      <w:r>
        <w:t xml:space="preserve"> mediante a adequação do </w:t>
      </w:r>
      <w:r>
        <w:rPr>
          <w:i/>
        </w:rPr>
        <w:t>Autonomous System</w:t>
      </w:r>
      <w:r>
        <w:t xml:space="preserve"> do Governo do Estado e da Unidade Provedora de </w:t>
      </w:r>
      <w:r w:rsidR="00027693">
        <w:rPr>
          <w:i/>
        </w:rPr>
        <w:t xml:space="preserve">internet </w:t>
      </w:r>
      <w:r>
        <w:t>da operadora da Intragov.</w:t>
      </w:r>
    </w:p>
    <w:p w:rsidR="003E6588" w:rsidRDefault="003E6588">
      <w:pPr>
        <w:ind w:firstLine="1134"/>
        <w:jc w:val="both"/>
      </w:pPr>
    </w:p>
    <w:p w:rsidR="003E6588" w:rsidRDefault="003E6588">
      <w:pPr>
        <w:ind w:firstLine="1134"/>
        <w:jc w:val="both"/>
        <w:rPr>
          <w:b/>
        </w:rPr>
      </w:pPr>
      <w:r>
        <w:rPr>
          <w:b/>
        </w:rPr>
        <w:t>Gestão Empresarial</w:t>
      </w:r>
    </w:p>
    <w:p w:rsidR="003E6588" w:rsidRDefault="003E6588">
      <w:pPr>
        <w:pStyle w:val="NormalWeb"/>
        <w:shd w:val="clear" w:color="auto" w:fill="FFFFFF"/>
        <w:spacing w:before="0" w:beforeAutospacing="0" w:after="0" w:afterAutospacing="0"/>
        <w:ind w:firstLine="1134"/>
        <w:jc w:val="both"/>
        <w:rPr>
          <w:b/>
          <w:lang w:val="pt-PT"/>
        </w:rPr>
      </w:pPr>
    </w:p>
    <w:p w:rsidR="003E6588" w:rsidRDefault="003E6588">
      <w:pPr>
        <w:pStyle w:val="NormalWeb"/>
        <w:shd w:val="clear" w:color="auto" w:fill="FFFFFF"/>
        <w:spacing w:before="0" w:beforeAutospacing="0" w:after="0" w:afterAutospacing="0"/>
        <w:ind w:firstLine="1134"/>
        <w:jc w:val="both"/>
        <w:rPr>
          <w:strike/>
          <w:lang w:val="pt-PT"/>
        </w:rPr>
      </w:pPr>
      <w:r>
        <w:rPr>
          <w:b/>
          <w:lang w:val="pt-PT"/>
        </w:rPr>
        <w:t>Aumento da Relevância da Empresa -</w:t>
      </w:r>
      <w:r>
        <w:rPr>
          <w:lang w:val="pt-PT"/>
        </w:rPr>
        <w:t xml:space="preserve"> </w:t>
      </w:r>
      <w:r w:rsidR="008C49E7">
        <w:rPr>
          <w:lang w:val="pt-PT"/>
        </w:rPr>
        <w:t xml:space="preserve">A </w:t>
      </w:r>
      <w:r>
        <w:rPr>
          <w:lang w:val="pt-PT"/>
        </w:rPr>
        <w:t>receita líquida da empresa</w:t>
      </w:r>
      <w:r w:rsidR="008C49E7">
        <w:rPr>
          <w:lang w:val="pt-PT"/>
        </w:rPr>
        <w:t>,</w:t>
      </w:r>
      <w:r>
        <w:rPr>
          <w:lang w:val="pt-PT"/>
        </w:rPr>
        <w:t xml:space="preserve"> cresceu 19,8% em relação ao mesmo período de 2013. O lucro da companhia no período apresentou expressivo aumento, da ordem de 14,2%.</w:t>
      </w:r>
    </w:p>
    <w:p w:rsidR="003E6588" w:rsidRDefault="003E6588">
      <w:pPr>
        <w:pStyle w:val="NormalWeb"/>
        <w:shd w:val="clear" w:color="auto" w:fill="FFFFFF"/>
        <w:spacing w:before="0" w:beforeAutospacing="0" w:after="0" w:afterAutospacing="0"/>
        <w:ind w:firstLine="1134"/>
        <w:jc w:val="both"/>
        <w:rPr>
          <w:b/>
        </w:rPr>
      </w:pPr>
    </w:p>
    <w:p w:rsidR="003E6588" w:rsidRDefault="003E6588">
      <w:pPr>
        <w:pStyle w:val="NormalWeb"/>
        <w:shd w:val="clear" w:color="auto" w:fill="FFFFFF"/>
        <w:spacing w:before="0" w:beforeAutospacing="0" w:after="0" w:afterAutospacing="0"/>
        <w:ind w:firstLine="1134"/>
        <w:jc w:val="both"/>
      </w:pPr>
      <w:r>
        <w:rPr>
          <w:b/>
        </w:rPr>
        <w:t xml:space="preserve">Programa </w:t>
      </w:r>
      <w:r w:rsidRPr="004F4E1D">
        <w:rPr>
          <w:b/>
          <w:i/>
        </w:rPr>
        <w:t>Lean Six Sigma</w:t>
      </w:r>
      <w:r>
        <w:rPr>
          <w:b/>
        </w:rPr>
        <w:t xml:space="preserve"> -</w:t>
      </w:r>
      <w:r>
        <w:t xml:space="preserve"> Foi dada continuidade ao processo de implantação do </w:t>
      </w:r>
      <w:r>
        <w:rPr>
          <w:i/>
        </w:rPr>
        <w:t>Lean Six Sigma</w:t>
      </w:r>
      <w:r>
        <w:t xml:space="preserve">, conjunto de ferramentas/metodologias voltadas à resolução de problemas/redução de desperdícios, com capacitação de profissionais preparados para aplicação do </w:t>
      </w:r>
      <w:r>
        <w:rPr>
          <w:i/>
        </w:rPr>
        <w:t>Lean Six Sigma</w:t>
      </w:r>
      <w:r>
        <w:t xml:space="preserve"> e de gestores que patrocinam os projetos de melhoria, atuando como seus facilitadores.</w:t>
      </w:r>
    </w:p>
    <w:p w:rsidR="003E6588" w:rsidRDefault="003E6588">
      <w:pPr>
        <w:ind w:firstLine="1134"/>
        <w:jc w:val="both"/>
        <w:rPr>
          <w:b/>
        </w:rPr>
      </w:pPr>
    </w:p>
    <w:p w:rsidR="003E6588" w:rsidRDefault="003E6588">
      <w:pPr>
        <w:ind w:firstLine="1134"/>
        <w:jc w:val="both"/>
      </w:pPr>
      <w:r>
        <w:rPr>
          <w:b/>
        </w:rPr>
        <w:t>Plano de Desenvolvimento &amp; Treinamento -</w:t>
      </w:r>
      <w:r>
        <w:t xml:space="preserve"> A Prodesp investiu R$ 1,7 milhão na capacitação de seus funcionários (5,3 mil participações em cursos, palestras, </w:t>
      </w:r>
      <w:r>
        <w:rPr>
          <w:i/>
        </w:rPr>
        <w:t>workshops</w:t>
      </w:r>
      <w:r>
        <w:t xml:space="preserve"> e outras atividades).</w:t>
      </w:r>
    </w:p>
    <w:p w:rsidR="003E6588" w:rsidRDefault="003E6588">
      <w:pPr>
        <w:ind w:firstLine="1134"/>
        <w:jc w:val="both"/>
      </w:pPr>
    </w:p>
    <w:p w:rsidR="003E6588" w:rsidRDefault="003E6588">
      <w:pPr>
        <w:ind w:firstLine="1134"/>
        <w:jc w:val="both"/>
        <w:rPr>
          <w:b/>
        </w:rPr>
      </w:pPr>
      <w:r>
        <w:rPr>
          <w:b/>
        </w:rPr>
        <w:t>Responsabilidade Social</w:t>
      </w:r>
    </w:p>
    <w:p w:rsidR="003E6588" w:rsidRDefault="003E6588">
      <w:pPr>
        <w:pStyle w:val="NormalWeb"/>
        <w:shd w:val="clear" w:color="auto" w:fill="FFFFFF"/>
        <w:spacing w:before="0" w:beforeAutospacing="0" w:after="0" w:afterAutospacing="0"/>
        <w:ind w:firstLine="1134"/>
        <w:jc w:val="both"/>
        <w:rPr>
          <w:b/>
          <w:lang w:val="pt-PT"/>
        </w:rPr>
      </w:pPr>
    </w:p>
    <w:p w:rsidR="003E6588" w:rsidRDefault="003E6588">
      <w:pPr>
        <w:pStyle w:val="NormalWeb"/>
        <w:shd w:val="clear" w:color="auto" w:fill="FFFFFF"/>
        <w:spacing w:before="0" w:beforeAutospacing="0" w:after="0" w:afterAutospacing="0"/>
        <w:ind w:firstLine="1134"/>
        <w:jc w:val="both"/>
        <w:rPr>
          <w:strike/>
          <w:lang w:val="pt-PT"/>
        </w:rPr>
      </w:pPr>
      <w:r>
        <w:rPr>
          <w:b/>
          <w:lang w:val="pt-PT"/>
        </w:rPr>
        <w:lastRenderedPageBreak/>
        <w:t xml:space="preserve">Campanha do Agasalho - </w:t>
      </w:r>
      <w:r>
        <w:rPr>
          <w:lang w:val="pt-PT"/>
        </w:rPr>
        <w:t>A Prodesp e o Poupatempo arrecadaram 215,6 mil peças para a Campanha do Agasalho 2014, promovida pelo Fundo Social de Solidariedade do Estado de São Paul</w:t>
      </w:r>
      <w:r w:rsidR="008C49E7">
        <w:rPr>
          <w:lang w:val="pt-PT"/>
        </w:rPr>
        <w:t>o.</w:t>
      </w:r>
    </w:p>
    <w:p w:rsidR="008C49E7" w:rsidRPr="004F4E1D" w:rsidRDefault="008C49E7">
      <w:pPr>
        <w:pStyle w:val="NormalWeb"/>
        <w:shd w:val="clear" w:color="auto" w:fill="FFFFFF"/>
        <w:spacing w:before="0" w:beforeAutospacing="0" w:after="0" w:afterAutospacing="0"/>
        <w:ind w:firstLine="1134"/>
        <w:jc w:val="both"/>
        <w:rPr>
          <w:lang w:val="pt-PT"/>
        </w:rPr>
      </w:pPr>
    </w:p>
    <w:p w:rsidR="00B128EC" w:rsidRPr="004F4E1D" w:rsidRDefault="00B128EC">
      <w:pPr>
        <w:pStyle w:val="NormalWeb"/>
        <w:shd w:val="clear" w:color="auto" w:fill="FFFFFF"/>
        <w:spacing w:before="0" w:beforeAutospacing="0" w:after="0" w:afterAutospacing="0"/>
        <w:ind w:firstLine="1134"/>
        <w:jc w:val="both"/>
        <w:rPr>
          <w:lang w:val="pt-PT"/>
        </w:rPr>
      </w:pPr>
    </w:p>
    <w:p w:rsidR="003E6588" w:rsidRDefault="003E6588">
      <w:pPr>
        <w:rPr>
          <w:b/>
        </w:rPr>
      </w:pPr>
      <w:r>
        <w:rPr>
          <w:b/>
        </w:rPr>
        <w:t xml:space="preserve">DEPARTAMENTO DE PERÍCIAS MÉDICAS DO ESTADO DE SÃO PAULO </w:t>
      </w:r>
      <w:r w:rsidR="0076046C">
        <w:rPr>
          <w:b/>
        </w:rPr>
        <w:t xml:space="preserve">- </w:t>
      </w:r>
      <w:r>
        <w:rPr>
          <w:b/>
        </w:rPr>
        <w:t>DPME</w:t>
      </w:r>
    </w:p>
    <w:p w:rsidR="003E6588" w:rsidRDefault="003E6588">
      <w:pPr>
        <w:pStyle w:val="PargrafodaLista"/>
        <w:ind w:left="0" w:firstLine="1134"/>
        <w:rPr>
          <w:rFonts w:ascii="Times New Roman" w:hAnsi="Times New Roman"/>
          <w:sz w:val="24"/>
          <w:szCs w:val="24"/>
        </w:rPr>
      </w:pPr>
    </w:p>
    <w:p w:rsidR="00027693" w:rsidRDefault="00027693">
      <w:pPr>
        <w:pStyle w:val="PargrafodaLista"/>
        <w:ind w:left="0" w:firstLine="1134"/>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bCs/>
          <w:sz w:val="24"/>
          <w:szCs w:val="24"/>
        </w:rPr>
        <w:t xml:space="preserve">Atividades Periciais - </w:t>
      </w:r>
      <w:r>
        <w:rPr>
          <w:rFonts w:ascii="Times New Roman" w:hAnsi="Times New Roman"/>
          <w:sz w:val="24"/>
          <w:szCs w:val="24"/>
        </w:rPr>
        <w:t>O DPME realizou 318.350 perícias médicas</w:t>
      </w:r>
      <w:r w:rsidR="008C49E7">
        <w:rPr>
          <w:rFonts w:ascii="Times New Roman" w:hAnsi="Times New Roman"/>
          <w:sz w:val="24"/>
          <w:szCs w:val="24"/>
        </w:rPr>
        <w:t>.</w:t>
      </w:r>
    </w:p>
    <w:p w:rsidR="00027693" w:rsidRDefault="00027693">
      <w:pPr>
        <w:pStyle w:val="PargrafodaLista"/>
        <w:ind w:left="0" w:firstLine="1134"/>
        <w:contextualSpacing w:val="0"/>
        <w:rPr>
          <w:rFonts w:ascii="Times New Roman" w:hAnsi="Times New Roman"/>
          <w:strike/>
          <w:sz w:val="24"/>
          <w:szCs w:val="24"/>
        </w:rPr>
      </w:pPr>
    </w:p>
    <w:tbl>
      <w:tblPr>
        <w:tblW w:w="9497" w:type="dxa"/>
        <w:jc w:val="center"/>
        <w:tblInd w:w="-6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A0"/>
      </w:tblPr>
      <w:tblGrid>
        <w:gridCol w:w="985"/>
        <w:gridCol w:w="873"/>
        <w:gridCol w:w="992"/>
        <w:gridCol w:w="1276"/>
        <w:gridCol w:w="1418"/>
        <w:gridCol w:w="850"/>
        <w:gridCol w:w="1152"/>
        <w:gridCol w:w="974"/>
        <w:gridCol w:w="977"/>
      </w:tblGrid>
      <w:tr w:rsidR="003E6588" w:rsidRPr="00B128EC" w:rsidTr="00027693">
        <w:trPr>
          <w:trHeight w:val="600"/>
          <w:jc w:val="center"/>
        </w:trPr>
        <w:tc>
          <w:tcPr>
            <w:tcW w:w="985" w:type="dxa"/>
            <w:shd w:val="clear" w:color="auto" w:fill="auto"/>
            <w:vAlign w:val="center"/>
          </w:tcPr>
          <w:p w:rsidR="003E6588" w:rsidRPr="00B128EC" w:rsidRDefault="003E6588">
            <w:pPr>
              <w:rPr>
                <w:b/>
                <w:bCs/>
                <w:sz w:val="20"/>
                <w:szCs w:val="20"/>
              </w:rPr>
            </w:pPr>
            <w:r w:rsidRPr="00B128EC">
              <w:rPr>
                <w:b/>
                <w:bCs/>
                <w:sz w:val="20"/>
                <w:szCs w:val="20"/>
              </w:rPr>
              <w:t>TIPOS PERÍCIA</w:t>
            </w:r>
          </w:p>
        </w:tc>
        <w:tc>
          <w:tcPr>
            <w:tcW w:w="873" w:type="dxa"/>
            <w:shd w:val="clear" w:color="auto" w:fill="auto"/>
            <w:vAlign w:val="center"/>
          </w:tcPr>
          <w:p w:rsidR="003E6588" w:rsidRPr="00B128EC" w:rsidRDefault="003E6588">
            <w:pPr>
              <w:rPr>
                <w:b/>
                <w:bCs/>
                <w:sz w:val="20"/>
                <w:szCs w:val="20"/>
              </w:rPr>
            </w:pPr>
            <w:r w:rsidRPr="00B128EC">
              <w:rPr>
                <w:b/>
                <w:bCs/>
                <w:sz w:val="20"/>
                <w:szCs w:val="20"/>
              </w:rPr>
              <w:t>Ingresso</w:t>
            </w:r>
          </w:p>
        </w:tc>
        <w:tc>
          <w:tcPr>
            <w:tcW w:w="992" w:type="dxa"/>
            <w:shd w:val="clear" w:color="auto" w:fill="auto"/>
            <w:vAlign w:val="center"/>
          </w:tcPr>
          <w:p w:rsidR="003E6588" w:rsidRPr="00B128EC" w:rsidRDefault="003E6588">
            <w:pPr>
              <w:rPr>
                <w:b/>
                <w:bCs/>
                <w:sz w:val="20"/>
                <w:szCs w:val="20"/>
              </w:rPr>
            </w:pPr>
            <w:r w:rsidRPr="00B128EC">
              <w:rPr>
                <w:b/>
                <w:bCs/>
                <w:sz w:val="20"/>
                <w:szCs w:val="20"/>
              </w:rPr>
              <w:t>Licença Médica</w:t>
            </w:r>
          </w:p>
        </w:tc>
        <w:tc>
          <w:tcPr>
            <w:tcW w:w="1276" w:type="dxa"/>
            <w:shd w:val="clear" w:color="auto" w:fill="auto"/>
            <w:vAlign w:val="center"/>
          </w:tcPr>
          <w:p w:rsidR="003E6588" w:rsidRPr="00B128EC" w:rsidRDefault="003E6588">
            <w:pPr>
              <w:rPr>
                <w:b/>
                <w:bCs/>
                <w:sz w:val="20"/>
                <w:szCs w:val="20"/>
              </w:rPr>
            </w:pPr>
            <w:r w:rsidRPr="00B128EC">
              <w:rPr>
                <w:b/>
                <w:bCs/>
                <w:sz w:val="20"/>
                <w:szCs w:val="20"/>
              </w:rPr>
              <w:t>Readaptação</w:t>
            </w:r>
          </w:p>
        </w:tc>
        <w:tc>
          <w:tcPr>
            <w:tcW w:w="1418" w:type="dxa"/>
            <w:shd w:val="clear" w:color="auto" w:fill="auto"/>
            <w:vAlign w:val="center"/>
          </w:tcPr>
          <w:p w:rsidR="003E6588" w:rsidRPr="00B128EC" w:rsidRDefault="003E6588">
            <w:pPr>
              <w:rPr>
                <w:b/>
                <w:bCs/>
                <w:sz w:val="20"/>
                <w:szCs w:val="20"/>
              </w:rPr>
            </w:pPr>
            <w:r w:rsidRPr="00B128EC">
              <w:rPr>
                <w:b/>
                <w:bCs/>
                <w:sz w:val="20"/>
                <w:szCs w:val="20"/>
              </w:rPr>
              <w:t>Aposentadoria</w:t>
            </w:r>
          </w:p>
        </w:tc>
        <w:tc>
          <w:tcPr>
            <w:tcW w:w="850" w:type="dxa"/>
            <w:shd w:val="clear" w:color="auto" w:fill="auto"/>
            <w:vAlign w:val="center"/>
          </w:tcPr>
          <w:p w:rsidR="003E6588" w:rsidRPr="00B128EC" w:rsidRDefault="003E6588">
            <w:pPr>
              <w:rPr>
                <w:b/>
                <w:bCs/>
                <w:sz w:val="20"/>
                <w:szCs w:val="20"/>
              </w:rPr>
            </w:pPr>
            <w:r w:rsidRPr="00B128EC">
              <w:rPr>
                <w:b/>
                <w:bCs/>
                <w:sz w:val="20"/>
                <w:szCs w:val="20"/>
              </w:rPr>
              <w:t>Isenção de IR</w:t>
            </w:r>
          </w:p>
        </w:tc>
        <w:tc>
          <w:tcPr>
            <w:tcW w:w="1152" w:type="dxa"/>
            <w:shd w:val="clear" w:color="auto" w:fill="auto"/>
            <w:vAlign w:val="center"/>
          </w:tcPr>
          <w:p w:rsidR="003E6588" w:rsidRPr="00B128EC" w:rsidRDefault="003E6588">
            <w:pPr>
              <w:rPr>
                <w:b/>
                <w:bCs/>
                <w:sz w:val="20"/>
                <w:szCs w:val="20"/>
              </w:rPr>
            </w:pPr>
            <w:r w:rsidRPr="00B128EC">
              <w:rPr>
                <w:b/>
                <w:bCs/>
                <w:sz w:val="20"/>
                <w:szCs w:val="20"/>
              </w:rPr>
              <w:t>Capacidade Laborativa</w:t>
            </w:r>
          </w:p>
        </w:tc>
        <w:tc>
          <w:tcPr>
            <w:tcW w:w="974" w:type="dxa"/>
            <w:shd w:val="clear" w:color="auto" w:fill="auto"/>
            <w:vAlign w:val="center"/>
          </w:tcPr>
          <w:p w:rsidR="003E6588" w:rsidRPr="00B128EC" w:rsidRDefault="003E6588">
            <w:pPr>
              <w:rPr>
                <w:b/>
                <w:bCs/>
                <w:sz w:val="20"/>
                <w:szCs w:val="20"/>
              </w:rPr>
            </w:pPr>
            <w:r w:rsidRPr="00B128EC">
              <w:rPr>
                <w:b/>
                <w:bCs/>
                <w:sz w:val="20"/>
                <w:szCs w:val="20"/>
              </w:rPr>
              <w:t>Outro Estado</w:t>
            </w:r>
          </w:p>
        </w:tc>
        <w:tc>
          <w:tcPr>
            <w:tcW w:w="977" w:type="dxa"/>
            <w:shd w:val="clear" w:color="auto" w:fill="auto"/>
            <w:vAlign w:val="center"/>
          </w:tcPr>
          <w:p w:rsidR="003E6588" w:rsidRPr="00B128EC" w:rsidRDefault="003E6588">
            <w:pPr>
              <w:rPr>
                <w:b/>
                <w:bCs/>
                <w:sz w:val="20"/>
                <w:szCs w:val="20"/>
              </w:rPr>
            </w:pPr>
            <w:r w:rsidRPr="00B128EC">
              <w:rPr>
                <w:b/>
                <w:bCs/>
                <w:sz w:val="20"/>
                <w:szCs w:val="20"/>
              </w:rPr>
              <w:t>TOTAL</w:t>
            </w:r>
          </w:p>
        </w:tc>
      </w:tr>
      <w:tr w:rsidR="003E6588" w:rsidRPr="00B128EC" w:rsidTr="00027693">
        <w:trPr>
          <w:trHeight w:val="227"/>
          <w:jc w:val="center"/>
        </w:trPr>
        <w:tc>
          <w:tcPr>
            <w:tcW w:w="985" w:type="dxa"/>
            <w:shd w:val="clear" w:color="auto" w:fill="auto"/>
            <w:noWrap/>
            <w:vAlign w:val="center"/>
          </w:tcPr>
          <w:p w:rsidR="003E6588" w:rsidRPr="00B128EC" w:rsidRDefault="003E6588" w:rsidP="00B128EC">
            <w:pPr>
              <w:rPr>
                <w:bCs/>
                <w:sz w:val="20"/>
                <w:szCs w:val="20"/>
              </w:rPr>
            </w:pPr>
            <w:r w:rsidRPr="00B128EC">
              <w:rPr>
                <w:bCs/>
                <w:sz w:val="20"/>
                <w:szCs w:val="20"/>
              </w:rPr>
              <w:t>Acum.</w:t>
            </w:r>
          </w:p>
        </w:tc>
        <w:tc>
          <w:tcPr>
            <w:tcW w:w="873" w:type="dxa"/>
            <w:shd w:val="clear" w:color="auto" w:fill="auto"/>
            <w:noWrap/>
            <w:vAlign w:val="center"/>
          </w:tcPr>
          <w:p w:rsidR="003E6588" w:rsidRPr="00B128EC" w:rsidRDefault="003E6588" w:rsidP="00B128EC">
            <w:pPr>
              <w:rPr>
                <w:bCs/>
                <w:sz w:val="20"/>
                <w:szCs w:val="20"/>
              </w:rPr>
            </w:pPr>
            <w:r w:rsidRPr="00B128EC">
              <w:rPr>
                <w:bCs/>
                <w:sz w:val="20"/>
                <w:szCs w:val="20"/>
              </w:rPr>
              <w:t>84.840</w:t>
            </w:r>
          </w:p>
        </w:tc>
        <w:tc>
          <w:tcPr>
            <w:tcW w:w="992" w:type="dxa"/>
            <w:shd w:val="clear" w:color="auto" w:fill="auto"/>
            <w:noWrap/>
            <w:vAlign w:val="center"/>
          </w:tcPr>
          <w:p w:rsidR="003E6588" w:rsidRPr="00B128EC" w:rsidRDefault="003E6588" w:rsidP="00B128EC">
            <w:pPr>
              <w:rPr>
                <w:bCs/>
                <w:sz w:val="20"/>
                <w:szCs w:val="20"/>
              </w:rPr>
            </w:pPr>
            <w:r w:rsidRPr="00B128EC">
              <w:rPr>
                <w:bCs/>
                <w:sz w:val="20"/>
                <w:szCs w:val="20"/>
              </w:rPr>
              <w:t>226.779</w:t>
            </w:r>
          </w:p>
        </w:tc>
        <w:tc>
          <w:tcPr>
            <w:tcW w:w="1276" w:type="dxa"/>
            <w:shd w:val="clear" w:color="auto" w:fill="auto"/>
            <w:noWrap/>
            <w:vAlign w:val="center"/>
          </w:tcPr>
          <w:p w:rsidR="003E6588" w:rsidRPr="00B128EC" w:rsidRDefault="003E6588" w:rsidP="00B128EC">
            <w:pPr>
              <w:rPr>
                <w:bCs/>
                <w:sz w:val="20"/>
                <w:szCs w:val="20"/>
              </w:rPr>
            </w:pPr>
            <w:r w:rsidRPr="00B128EC">
              <w:rPr>
                <w:bCs/>
                <w:sz w:val="20"/>
                <w:szCs w:val="20"/>
              </w:rPr>
              <w:t>1.992</w:t>
            </w:r>
          </w:p>
        </w:tc>
        <w:tc>
          <w:tcPr>
            <w:tcW w:w="1418" w:type="dxa"/>
            <w:shd w:val="clear" w:color="auto" w:fill="auto"/>
            <w:noWrap/>
            <w:vAlign w:val="center"/>
          </w:tcPr>
          <w:p w:rsidR="003E6588" w:rsidRPr="00B128EC" w:rsidRDefault="003E6588" w:rsidP="00B128EC">
            <w:pPr>
              <w:rPr>
                <w:bCs/>
                <w:sz w:val="20"/>
                <w:szCs w:val="20"/>
              </w:rPr>
            </w:pPr>
            <w:r w:rsidRPr="00B128EC">
              <w:rPr>
                <w:bCs/>
                <w:sz w:val="20"/>
                <w:szCs w:val="20"/>
              </w:rPr>
              <w:t>2.919</w:t>
            </w:r>
          </w:p>
        </w:tc>
        <w:tc>
          <w:tcPr>
            <w:tcW w:w="850" w:type="dxa"/>
            <w:shd w:val="clear" w:color="auto" w:fill="auto"/>
            <w:noWrap/>
            <w:vAlign w:val="center"/>
          </w:tcPr>
          <w:p w:rsidR="003E6588" w:rsidRPr="00B128EC" w:rsidRDefault="003E6588" w:rsidP="00B128EC">
            <w:pPr>
              <w:rPr>
                <w:bCs/>
                <w:sz w:val="20"/>
                <w:szCs w:val="20"/>
              </w:rPr>
            </w:pPr>
            <w:r w:rsidRPr="00B128EC">
              <w:rPr>
                <w:bCs/>
                <w:sz w:val="20"/>
                <w:szCs w:val="20"/>
              </w:rPr>
              <w:t>299</w:t>
            </w:r>
          </w:p>
        </w:tc>
        <w:tc>
          <w:tcPr>
            <w:tcW w:w="1152" w:type="dxa"/>
            <w:shd w:val="clear" w:color="auto" w:fill="auto"/>
            <w:noWrap/>
            <w:vAlign w:val="center"/>
          </w:tcPr>
          <w:p w:rsidR="003E6588" w:rsidRPr="00B128EC" w:rsidRDefault="003E6588" w:rsidP="00B128EC">
            <w:pPr>
              <w:rPr>
                <w:bCs/>
                <w:sz w:val="20"/>
                <w:szCs w:val="20"/>
              </w:rPr>
            </w:pPr>
            <w:r w:rsidRPr="00B128EC">
              <w:rPr>
                <w:bCs/>
                <w:sz w:val="20"/>
                <w:szCs w:val="20"/>
              </w:rPr>
              <w:t>299</w:t>
            </w:r>
          </w:p>
        </w:tc>
        <w:tc>
          <w:tcPr>
            <w:tcW w:w="974" w:type="dxa"/>
            <w:shd w:val="clear" w:color="auto" w:fill="auto"/>
            <w:noWrap/>
            <w:vAlign w:val="center"/>
          </w:tcPr>
          <w:p w:rsidR="003E6588" w:rsidRPr="00B128EC" w:rsidRDefault="003E6588" w:rsidP="00B128EC">
            <w:pPr>
              <w:rPr>
                <w:bCs/>
                <w:sz w:val="20"/>
                <w:szCs w:val="20"/>
              </w:rPr>
            </w:pPr>
            <w:r w:rsidRPr="00B128EC">
              <w:rPr>
                <w:bCs/>
                <w:sz w:val="20"/>
                <w:szCs w:val="20"/>
              </w:rPr>
              <w:t>63</w:t>
            </w:r>
          </w:p>
        </w:tc>
        <w:tc>
          <w:tcPr>
            <w:tcW w:w="977" w:type="dxa"/>
            <w:shd w:val="clear" w:color="auto" w:fill="auto"/>
            <w:noWrap/>
            <w:vAlign w:val="center"/>
          </w:tcPr>
          <w:p w:rsidR="003E6588" w:rsidRPr="00B128EC" w:rsidRDefault="003E6588" w:rsidP="00B128EC">
            <w:pPr>
              <w:rPr>
                <w:bCs/>
                <w:sz w:val="20"/>
                <w:szCs w:val="20"/>
              </w:rPr>
            </w:pPr>
            <w:r w:rsidRPr="00B128EC">
              <w:rPr>
                <w:bCs/>
                <w:sz w:val="20"/>
                <w:szCs w:val="20"/>
              </w:rPr>
              <w:t>318.350</w:t>
            </w:r>
          </w:p>
        </w:tc>
      </w:tr>
    </w:tbl>
    <w:p w:rsidR="003E6588" w:rsidRDefault="003E6588">
      <w:pPr>
        <w:pStyle w:val="PargrafodaLista"/>
        <w:ind w:left="0"/>
        <w:rPr>
          <w:rFonts w:ascii="Times New Roman" w:hAnsi="Times New Roman"/>
          <w:strike/>
          <w:sz w:val="24"/>
          <w:szCs w:val="24"/>
        </w:rPr>
      </w:pPr>
    </w:p>
    <w:p w:rsidR="003E6588" w:rsidRDefault="00B128EC">
      <w:pPr>
        <w:pStyle w:val="PargrafodaLista"/>
        <w:ind w:left="0" w:firstLine="1134"/>
        <w:rPr>
          <w:rFonts w:ascii="Times New Roman" w:hAnsi="Times New Roman"/>
          <w:sz w:val="24"/>
          <w:szCs w:val="24"/>
        </w:rPr>
      </w:pPr>
      <w:r>
        <w:rPr>
          <w:rFonts w:ascii="Times New Roman" w:hAnsi="Times New Roman"/>
          <w:sz w:val="24"/>
          <w:szCs w:val="24"/>
        </w:rPr>
        <w:t xml:space="preserve">Foram </w:t>
      </w:r>
      <w:r w:rsidR="003E6588">
        <w:rPr>
          <w:rFonts w:ascii="Times New Roman" w:hAnsi="Times New Roman"/>
          <w:sz w:val="24"/>
          <w:szCs w:val="24"/>
        </w:rPr>
        <w:t>analisados 77.024 pedidos de reconsideração, dentre os quais 1.861 pedidos de reconsideração de ingresso, 2.600 processos de acidente de trabalho e 18.818 processos de insalubridade.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contextualSpacing w:val="0"/>
        <w:rPr>
          <w:rFonts w:ascii="Times New Roman" w:hAnsi="Times New Roman"/>
          <w:b/>
          <w:bCs/>
          <w:sz w:val="24"/>
          <w:szCs w:val="24"/>
        </w:rPr>
      </w:pPr>
      <w:r>
        <w:rPr>
          <w:rFonts w:ascii="Times New Roman" w:hAnsi="Times New Roman"/>
          <w:b/>
          <w:bCs/>
          <w:sz w:val="24"/>
          <w:szCs w:val="24"/>
        </w:rPr>
        <w:t>Reestruturação DPME</w:t>
      </w:r>
    </w:p>
    <w:p w:rsidR="003E6588" w:rsidRDefault="003E6588">
      <w:pPr>
        <w:pStyle w:val="PargrafodaLista"/>
        <w:ind w:left="0" w:firstLine="1134"/>
        <w:contextualSpacing w:val="0"/>
        <w:rPr>
          <w:rFonts w:ascii="Times New Roman" w:hAnsi="Times New Roman"/>
          <w:b/>
          <w:bCs/>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bCs/>
          <w:sz w:val="24"/>
          <w:szCs w:val="24"/>
        </w:rPr>
        <w:t xml:space="preserve">Descentralização das Perícias - </w:t>
      </w:r>
      <w:r>
        <w:rPr>
          <w:rFonts w:ascii="Times New Roman" w:hAnsi="Times New Roman"/>
          <w:sz w:val="24"/>
          <w:szCs w:val="24"/>
        </w:rPr>
        <w:t xml:space="preserve">No âmbito do convênio estabelecido entre a Secretaria de Gestão Pública - SGP e o Instituto de Assistência Médica ao Servidor Público Estadual - IAMSPE, somam-se, no </w:t>
      </w:r>
      <w:r w:rsidR="00B128EC">
        <w:rPr>
          <w:rFonts w:ascii="Times New Roman" w:hAnsi="Times New Roman"/>
          <w:sz w:val="24"/>
          <w:szCs w:val="24"/>
        </w:rPr>
        <w:t xml:space="preserve">Interior </w:t>
      </w:r>
      <w:r>
        <w:rPr>
          <w:rFonts w:ascii="Times New Roman" w:hAnsi="Times New Roman"/>
          <w:sz w:val="24"/>
          <w:szCs w:val="24"/>
        </w:rPr>
        <w:t>e na Região Metropolitana de São Paulo, 61 polos de atendimento descentralizado, por meio de mais de 300 clínicas conveniadas, garantindo locais de perícia mais próximos à sede de exercício dos servidores do Estado.</w:t>
      </w:r>
    </w:p>
    <w:p w:rsidR="003E6588" w:rsidRDefault="003E6588">
      <w:pPr>
        <w:ind w:firstLine="1134"/>
        <w:jc w:val="both"/>
      </w:pPr>
    </w:p>
    <w:p w:rsidR="003E6588" w:rsidRDefault="003E6588">
      <w:pPr>
        <w:ind w:firstLine="1134"/>
        <w:jc w:val="both"/>
        <w:rPr>
          <w:strike/>
        </w:rPr>
      </w:pPr>
      <w:r>
        <w:t xml:space="preserve">Houve busca por melhores condições de atendimento aos servidores, tendo sido criado setor que visa à fiscalização das clínicas conveniadas, </w:t>
      </w:r>
      <w:r w:rsidR="00B128EC">
        <w:t xml:space="preserve">por meio </w:t>
      </w:r>
      <w:r>
        <w:t>de visitas semanais, utilizando-se de formulário de “Acompanhamento e Qualidade n</w:t>
      </w:r>
      <w:r w:rsidR="00B128EC">
        <w:t>o Atendimento à Perícia Médica”.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bCs/>
          <w:sz w:val="24"/>
          <w:szCs w:val="24"/>
        </w:rPr>
        <w:t xml:space="preserve">Informatização/Ingresso - </w:t>
      </w:r>
      <w:r>
        <w:rPr>
          <w:rFonts w:ascii="Times New Roman" w:hAnsi="Times New Roman"/>
          <w:sz w:val="24"/>
          <w:szCs w:val="24"/>
        </w:rPr>
        <w:t xml:space="preserve">Desde a implantação das perícias </w:t>
      </w:r>
      <w:r>
        <w:rPr>
          <w:rFonts w:ascii="Times New Roman" w:hAnsi="Times New Roman"/>
          <w:i/>
          <w:iCs/>
          <w:sz w:val="24"/>
          <w:szCs w:val="24"/>
        </w:rPr>
        <w:t>on line</w:t>
      </w:r>
      <w:r>
        <w:rPr>
          <w:rFonts w:ascii="Times New Roman" w:hAnsi="Times New Roman"/>
          <w:sz w:val="24"/>
          <w:szCs w:val="24"/>
        </w:rPr>
        <w:t xml:space="preserve">, o processo de informatização do DPME expandiu-se significativamente, especialmente no que diz respeito às perícias de ingresso, em que o próprio candidato, por meio de cadastro no sistema </w:t>
      </w:r>
      <w:r>
        <w:rPr>
          <w:rFonts w:ascii="Times New Roman" w:hAnsi="Times New Roman"/>
          <w:i/>
          <w:iCs/>
          <w:sz w:val="24"/>
          <w:szCs w:val="24"/>
        </w:rPr>
        <w:t>eSisla</w:t>
      </w:r>
      <w:r>
        <w:rPr>
          <w:rFonts w:ascii="Times New Roman" w:hAnsi="Times New Roman"/>
          <w:sz w:val="24"/>
          <w:szCs w:val="24"/>
        </w:rPr>
        <w:t>, solicita sua perícia médica para fins de ingresso. Esse processo, desde a nomeação, até a publicação do resultado, tem sido realizado, em média, em 22 dias.</w:t>
      </w:r>
    </w:p>
    <w:p w:rsidR="003E6588" w:rsidRDefault="003E6588">
      <w:pPr>
        <w:pStyle w:val="PargrafodaLista"/>
        <w:ind w:left="0" w:firstLine="1134"/>
        <w:contextualSpacing w:val="0"/>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Um dado de extrema relevância diz respeito à quantidade de perícias de ingresso realizadas somente para a Secretaria da Educação foram realizadas 37.000 perícias para o cargo de Professor de Educação Básica II, sendo o maior processo de ingresso já realizado pelo DPME.</w:t>
      </w:r>
    </w:p>
    <w:p w:rsidR="003E6588" w:rsidRDefault="003E6588">
      <w:pPr>
        <w:pStyle w:val="PargrafodaLista"/>
        <w:ind w:left="0"/>
        <w:contextualSpacing w:val="0"/>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bCs/>
          <w:sz w:val="24"/>
          <w:szCs w:val="24"/>
        </w:rPr>
        <w:t xml:space="preserve">Agendamento </w:t>
      </w:r>
      <w:r>
        <w:rPr>
          <w:rFonts w:ascii="Times New Roman" w:hAnsi="Times New Roman"/>
          <w:b/>
          <w:bCs/>
          <w:i/>
          <w:iCs/>
          <w:sz w:val="24"/>
          <w:szCs w:val="24"/>
        </w:rPr>
        <w:t>on line</w:t>
      </w:r>
      <w:r>
        <w:rPr>
          <w:rFonts w:ascii="Times New Roman" w:hAnsi="Times New Roman"/>
          <w:b/>
          <w:bCs/>
          <w:sz w:val="24"/>
          <w:szCs w:val="24"/>
        </w:rPr>
        <w:t xml:space="preserve"> de perícia médica para licença para tratamento de saúde - </w:t>
      </w:r>
      <w:r>
        <w:rPr>
          <w:rFonts w:ascii="Times New Roman" w:hAnsi="Times New Roman"/>
          <w:sz w:val="24"/>
          <w:szCs w:val="24"/>
        </w:rPr>
        <w:t>Implantação do sistema de agendamento automático, em que a própria Unidade Administrativa do servidor, ao gerar o protocolo de perícia de licença para tratamento de saúde, já agenda automaticamente o local, a data e o horário em que o solicitante deverá comparecer à perícia médica.</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O resultado altamente positivo destas iniciativas é evidenciado pela média de dias transcorridos entre a solicitação das perícias pelos servidores e a publicação dos resultados pelo DPME, conforme demonstra a tabela a seguir:</w:t>
      </w:r>
    </w:p>
    <w:p w:rsidR="003E6588" w:rsidRDefault="003E6588">
      <w:pPr>
        <w:pStyle w:val="PargrafodaLista"/>
        <w:ind w:left="0"/>
        <w:rPr>
          <w:rFonts w:ascii="Times New Roman" w:hAnsi="Times New Roman"/>
          <w:sz w:val="24"/>
          <w:szCs w:val="24"/>
        </w:rPr>
      </w:pPr>
    </w:p>
    <w:tbl>
      <w:tblPr>
        <w:tblW w:w="852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A0"/>
      </w:tblPr>
      <w:tblGrid>
        <w:gridCol w:w="1482"/>
        <w:gridCol w:w="640"/>
        <w:gridCol w:w="640"/>
        <w:gridCol w:w="640"/>
        <w:gridCol w:w="640"/>
        <w:gridCol w:w="640"/>
        <w:gridCol w:w="640"/>
        <w:gridCol w:w="640"/>
        <w:gridCol w:w="640"/>
        <w:gridCol w:w="640"/>
        <w:gridCol w:w="640"/>
        <w:gridCol w:w="640"/>
      </w:tblGrid>
      <w:tr w:rsidR="003E6588" w:rsidTr="00027693">
        <w:trPr>
          <w:trHeight w:val="405"/>
          <w:jc w:val="center"/>
        </w:trPr>
        <w:tc>
          <w:tcPr>
            <w:tcW w:w="1482" w:type="dxa"/>
            <w:shd w:val="clear" w:color="auto" w:fill="auto"/>
            <w:vAlign w:val="center"/>
          </w:tcPr>
          <w:p w:rsidR="003E6588" w:rsidRDefault="003E6588">
            <w:pPr>
              <w:rPr>
                <w:b/>
                <w:bCs/>
                <w:color w:val="000000"/>
                <w:sz w:val="20"/>
                <w:szCs w:val="20"/>
              </w:rPr>
            </w:pPr>
            <w:r>
              <w:rPr>
                <w:b/>
                <w:bCs/>
                <w:color w:val="000000"/>
                <w:sz w:val="20"/>
                <w:szCs w:val="20"/>
              </w:rPr>
              <w:t>Mês</w:t>
            </w:r>
          </w:p>
        </w:tc>
        <w:tc>
          <w:tcPr>
            <w:tcW w:w="640" w:type="dxa"/>
            <w:shd w:val="clear" w:color="auto" w:fill="auto"/>
            <w:vAlign w:val="center"/>
          </w:tcPr>
          <w:p w:rsidR="003E6588" w:rsidRDefault="003E6588">
            <w:pPr>
              <w:rPr>
                <w:b/>
                <w:bCs/>
                <w:color w:val="000000"/>
                <w:sz w:val="20"/>
                <w:szCs w:val="20"/>
              </w:rPr>
            </w:pPr>
            <w:r>
              <w:rPr>
                <w:b/>
                <w:bCs/>
                <w:color w:val="000000"/>
                <w:sz w:val="20"/>
                <w:szCs w:val="20"/>
              </w:rPr>
              <w:t>Jan</w:t>
            </w:r>
          </w:p>
        </w:tc>
        <w:tc>
          <w:tcPr>
            <w:tcW w:w="640" w:type="dxa"/>
            <w:shd w:val="clear" w:color="auto" w:fill="auto"/>
            <w:vAlign w:val="center"/>
          </w:tcPr>
          <w:p w:rsidR="003E6588" w:rsidRDefault="003E6588">
            <w:pPr>
              <w:rPr>
                <w:b/>
                <w:bCs/>
                <w:color w:val="000000"/>
                <w:sz w:val="20"/>
                <w:szCs w:val="20"/>
              </w:rPr>
            </w:pPr>
            <w:r>
              <w:rPr>
                <w:b/>
                <w:bCs/>
                <w:color w:val="000000"/>
                <w:sz w:val="20"/>
                <w:szCs w:val="20"/>
              </w:rPr>
              <w:t>Fev</w:t>
            </w:r>
          </w:p>
        </w:tc>
        <w:tc>
          <w:tcPr>
            <w:tcW w:w="640" w:type="dxa"/>
            <w:shd w:val="clear" w:color="auto" w:fill="auto"/>
            <w:vAlign w:val="center"/>
          </w:tcPr>
          <w:p w:rsidR="003E6588" w:rsidRDefault="003E6588">
            <w:pPr>
              <w:rPr>
                <w:b/>
                <w:bCs/>
                <w:color w:val="000000"/>
                <w:sz w:val="20"/>
                <w:szCs w:val="20"/>
              </w:rPr>
            </w:pPr>
            <w:r>
              <w:rPr>
                <w:b/>
                <w:bCs/>
                <w:color w:val="000000"/>
                <w:sz w:val="20"/>
                <w:szCs w:val="20"/>
              </w:rPr>
              <w:t>Mar</w:t>
            </w:r>
          </w:p>
        </w:tc>
        <w:tc>
          <w:tcPr>
            <w:tcW w:w="640" w:type="dxa"/>
            <w:shd w:val="clear" w:color="auto" w:fill="auto"/>
            <w:vAlign w:val="center"/>
          </w:tcPr>
          <w:p w:rsidR="003E6588" w:rsidRDefault="003E6588">
            <w:pPr>
              <w:rPr>
                <w:b/>
                <w:bCs/>
                <w:color w:val="000000"/>
                <w:sz w:val="20"/>
                <w:szCs w:val="20"/>
              </w:rPr>
            </w:pPr>
            <w:r>
              <w:rPr>
                <w:b/>
                <w:bCs/>
                <w:color w:val="000000"/>
                <w:sz w:val="20"/>
                <w:szCs w:val="20"/>
              </w:rPr>
              <w:t>Abr</w:t>
            </w:r>
          </w:p>
        </w:tc>
        <w:tc>
          <w:tcPr>
            <w:tcW w:w="640" w:type="dxa"/>
            <w:shd w:val="clear" w:color="auto" w:fill="auto"/>
            <w:vAlign w:val="center"/>
          </w:tcPr>
          <w:p w:rsidR="003E6588" w:rsidRDefault="003E6588">
            <w:pPr>
              <w:rPr>
                <w:b/>
                <w:bCs/>
                <w:color w:val="000000"/>
                <w:sz w:val="20"/>
                <w:szCs w:val="20"/>
              </w:rPr>
            </w:pPr>
            <w:r>
              <w:rPr>
                <w:b/>
                <w:bCs/>
                <w:color w:val="000000"/>
                <w:sz w:val="20"/>
                <w:szCs w:val="20"/>
              </w:rPr>
              <w:t>Mai</w:t>
            </w:r>
          </w:p>
        </w:tc>
        <w:tc>
          <w:tcPr>
            <w:tcW w:w="640" w:type="dxa"/>
            <w:shd w:val="clear" w:color="auto" w:fill="auto"/>
            <w:vAlign w:val="center"/>
          </w:tcPr>
          <w:p w:rsidR="003E6588" w:rsidRDefault="003E6588">
            <w:pPr>
              <w:rPr>
                <w:b/>
                <w:bCs/>
                <w:color w:val="000000"/>
                <w:sz w:val="20"/>
                <w:szCs w:val="20"/>
              </w:rPr>
            </w:pPr>
            <w:r>
              <w:rPr>
                <w:b/>
                <w:bCs/>
                <w:color w:val="000000"/>
                <w:sz w:val="20"/>
                <w:szCs w:val="20"/>
              </w:rPr>
              <w:t>Jun</w:t>
            </w:r>
          </w:p>
        </w:tc>
        <w:tc>
          <w:tcPr>
            <w:tcW w:w="640" w:type="dxa"/>
            <w:shd w:val="clear" w:color="auto" w:fill="auto"/>
            <w:vAlign w:val="center"/>
          </w:tcPr>
          <w:p w:rsidR="003E6588" w:rsidRDefault="003E6588">
            <w:pPr>
              <w:rPr>
                <w:b/>
                <w:bCs/>
                <w:color w:val="000000"/>
                <w:sz w:val="20"/>
                <w:szCs w:val="20"/>
              </w:rPr>
            </w:pPr>
            <w:r>
              <w:rPr>
                <w:b/>
                <w:bCs/>
                <w:color w:val="000000"/>
                <w:sz w:val="20"/>
                <w:szCs w:val="20"/>
              </w:rPr>
              <w:t>Jul</w:t>
            </w:r>
          </w:p>
        </w:tc>
        <w:tc>
          <w:tcPr>
            <w:tcW w:w="640" w:type="dxa"/>
            <w:shd w:val="clear" w:color="auto" w:fill="auto"/>
            <w:vAlign w:val="center"/>
          </w:tcPr>
          <w:p w:rsidR="003E6588" w:rsidRDefault="003E6588">
            <w:pPr>
              <w:rPr>
                <w:b/>
                <w:bCs/>
                <w:color w:val="000000"/>
                <w:sz w:val="20"/>
                <w:szCs w:val="20"/>
              </w:rPr>
            </w:pPr>
            <w:r>
              <w:rPr>
                <w:b/>
                <w:bCs/>
                <w:color w:val="000000"/>
                <w:sz w:val="20"/>
                <w:szCs w:val="20"/>
              </w:rPr>
              <w:t>Ago</w:t>
            </w:r>
          </w:p>
        </w:tc>
        <w:tc>
          <w:tcPr>
            <w:tcW w:w="640" w:type="dxa"/>
            <w:shd w:val="clear" w:color="auto" w:fill="auto"/>
            <w:vAlign w:val="center"/>
          </w:tcPr>
          <w:p w:rsidR="003E6588" w:rsidRDefault="003E6588">
            <w:pPr>
              <w:rPr>
                <w:b/>
                <w:bCs/>
                <w:color w:val="000000"/>
                <w:sz w:val="20"/>
                <w:szCs w:val="20"/>
              </w:rPr>
            </w:pPr>
            <w:r>
              <w:rPr>
                <w:b/>
                <w:bCs/>
                <w:color w:val="000000"/>
                <w:sz w:val="20"/>
                <w:szCs w:val="20"/>
              </w:rPr>
              <w:t>Set</w:t>
            </w:r>
          </w:p>
        </w:tc>
        <w:tc>
          <w:tcPr>
            <w:tcW w:w="640" w:type="dxa"/>
            <w:shd w:val="clear" w:color="auto" w:fill="auto"/>
            <w:vAlign w:val="center"/>
          </w:tcPr>
          <w:p w:rsidR="003E6588" w:rsidRDefault="003E6588">
            <w:pPr>
              <w:rPr>
                <w:b/>
                <w:bCs/>
                <w:color w:val="000000"/>
                <w:sz w:val="20"/>
                <w:szCs w:val="20"/>
              </w:rPr>
            </w:pPr>
            <w:r>
              <w:rPr>
                <w:b/>
                <w:bCs/>
                <w:color w:val="000000"/>
                <w:sz w:val="20"/>
                <w:szCs w:val="20"/>
              </w:rPr>
              <w:t>Out</w:t>
            </w:r>
          </w:p>
        </w:tc>
        <w:tc>
          <w:tcPr>
            <w:tcW w:w="640" w:type="dxa"/>
            <w:shd w:val="clear" w:color="auto" w:fill="auto"/>
            <w:vAlign w:val="center"/>
          </w:tcPr>
          <w:p w:rsidR="003E6588" w:rsidRDefault="003E6588">
            <w:pPr>
              <w:rPr>
                <w:b/>
                <w:bCs/>
                <w:color w:val="000000"/>
                <w:sz w:val="20"/>
                <w:szCs w:val="20"/>
              </w:rPr>
            </w:pPr>
            <w:r>
              <w:rPr>
                <w:b/>
                <w:bCs/>
                <w:color w:val="000000"/>
                <w:sz w:val="20"/>
                <w:szCs w:val="20"/>
              </w:rPr>
              <w:t>Nov</w:t>
            </w:r>
          </w:p>
        </w:tc>
      </w:tr>
      <w:tr w:rsidR="003E6588" w:rsidTr="00027693">
        <w:trPr>
          <w:trHeight w:val="405"/>
          <w:jc w:val="center"/>
        </w:trPr>
        <w:tc>
          <w:tcPr>
            <w:tcW w:w="1482" w:type="dxa"/>
            <w:shd w:val="clear" w:color="auto" w:fill="auto"/>
            <w:vAlign w:val="center"/>
          </w:tcPr>
          <w:p w:rsidR="003E6588" w:rsidRDefault="003E6588">
            <w:pPr>
              <w:rPr>
                <w:b/>
                <w:bCs/>
                <w:color w:val="000000"/>
                <w:sz w:val="20"/>
                <w:szCs w:val="20"/>
              </w:rPr>
            </w:pPr>
            <w:r>
              <w:rPr>
                <w:b/>
                <w:bCs/>
                <w:color w:val="000000"/>
                <w:sz w:val="20"/>
                <w:szCs w:val="20"/>
              </w:rPr>
              <w:t>Média de dias</w:t>
            </w:r>
          </w:p>
        </w:tc>
        <w:tc>
          <w:tcPr>
            <w:tcW w:w="640" w:type="dxa"/>
            <w:shd w:val="clear" w:color="auto" w:fill="auto"/>
            <w:vAlign w:val="center"/>
          </w:tcPr>
          <w:p w:rsidR="003E6588" w:rsidRDefault="003E6588">
            <w:pPr>
              <w:rPr>
                <w:color w:val="000000"/>
                <w:sz w:val="20"/>
                <w:szCs w:val="20"/>
              </w:rPr>
            </w:pPr>
            <w:r>
              <w:rPr>
                <w:color w:val="000000"/>
                <w:sz w:val="20"/>
                <w:szCs w:val="20"/>
              </w:rPr>
              <w:t>16,95</w:t>
            </w:r>
          </w:p>
        </w:tc>
        <w:tc>
          <w:tcPr>
            <w:tcW w:w="640" w:type="dxa"/>
            <w:shd w:val="clear" w:color="auto" w:fill="auto"/>
            <w:vAlign w:val="center"/>
          </w:tcPr>
          <w:p w:rsidR="003E6588" w:rsidRDefault="003E6588">
            <w:pPr>
              <w:rPr>
                <w:color w:val="000000"/>
                <w:sz w:val="20"/>
                <w:szCs w:val="20"/>
              </w:rPr>
            </w:pPr>
            <w:r>
              <w:rPr>
                <w:color w:val="000000"/>
                <w:sz w:val="20"/>
                <w:szCs w:val="20"/>
              </w:rPr>
              <w:t>7,50</w:t>
            </w:r>
          </w:p>
        </w:tc>
        <w:tc>
          <w:tcPr>
            <w:tcW w:w="640" w:type="dxa"/>
            <w:shd w:val="clear" w:color="auto" w:fill="auto"/>
            <w:vAlign w:val="center"/>
          </w:tcPr>
          <w:p w:rsidR="003E6588" w:rsidRDefault="003E6588">
            <w:pPr>
              <w:rPr>
                <w:color w:val="000000"/>
                <w:sz w:val="20"/>
                <w:szCs w:val="20"/>
              </w:rPr>
            </w:pPr>
            <w:r>
              <w:rPr>
                <w:color w:val="000000"/>
                <w:sz w:val="20"/>
                <w:szCs w:val="20"/>
              </w:rPr>
              <w:t>15,46</w:t>
            </w:r>
          </w:p>
        </w:tc>
        <w:tc>
          <w:tcPr>
            <w:tcW w:w="640" w:type="dxa"/>
            <w:shd w:val="clear" w:color="auto" w:fill="auto"/>
            <w:vAlign w:val="center"/>
          </w:tcPr>
          <w:p w:rsidR="003E6588" w:rsidRDefault="003E6588">
            <w:pPr>
              <w:rPr>
                <w:color w:val="000000"/>
                <w:sz w:val="20"/>
                <w:szCs w:val="20"/>
              </w:rPr>
            </w:pPr>
            <w:r>
              <w:rPr>
                <w:color w:val="000000"/>
                <w:sz w:val="20"/>
                <w:szCs w:val="20"/>
              </w:rPr>
              <w:t>15,60</w:t>
            </w:r>
          </w:p>
        </w:tc>
        <w:tc>
          <w:tcPr>
            <w:tcW w:w="640" w:type="dxa"/>
            <w:shd w:val="clear" w:color="auto" w:fill="auto"/>
            <w:vAlign w:val="center"/>
          </w:tcPr>
          <w:p w:rsidR="003E6588" w:rsidRDefault="003E6588">
            <w:pPr>
              <w:rPr>
                <w:color w:val="000000"/>
                <w:sz w:val="20"/>
                <w:szCs w:val="20"/>
              </w:rPr>
            </w:pPr>
            <w:r>
              <w:rPr>
                <w:color w:val="000000"/>
                <w:sz w:val="20"/>
                <w:szCs w:val="20"/>
              </w:rPr>
              <w:t>11,87</w:t>
            </w:r>
          </w:p>
        </w:tc>
        <w:tc>
          <w:tcPr>
            <w:tcW w:w="640" w:type="dxa"/>
            <w:shd w:val="clear" w:color="auto" w:fill="auto"/>
            <w:vAlign w:val="center"/>
          </w:tcPr>
          <w:p w:rsidR="003E6588" w:rsidRDefault="003E6588">
            <w:pPr>
              <w:rPr>
                <w:color w:val="000000"/>
                <w:sz w:val="20"/>
                <w:szCs w:val="20"/>
              </w:rPr>
            </w:pPr>
            <w:r>
              <w:rPr>
                <w:color w:val="000000"/>
                <w:sz w:val="20"/>
                <w:szCs w:val="20"/>
              </w:rPr>
              <w:t>6,34</w:t>
            </w:r>
          </w:p>
        </w:tc>
        <w:tc>
          <w:tcPr>
            <w:tcW w:w="640" w:type="dxa"/>
            <w:shd w:val="clear" w:color="auto" w:fill="auto"/>
            <w:vAlign w:val="center"/>
          </w:tcPr>
          <w:p w:rsidR="003E6588" w:rsidRDefault="003E6588">
            <w:pPr>
              <w:rPr>
                <w:color w:val="000000"/>
                <w:sz w:val="20"/>
                <w:szCs w:val="20"/>
              </w:rPr>
            </w:pPr>
            <w:r>
              <w:rPr>
                <w:color w:val="000000"/>
                <w:sz w:val="20"/>
                <w:szCs w:val="20"/>
              </w:rPr>
              <w:t>8,42</w:t>
            </w:r>
          </w:p>
        </w:tc>
        <w:tc>
          <w:tcPr>
            <w:tcW w:w="640" w:type="dxa"/>
            <w:shd w:val="clear" w:color="auto" w:fill="auto"/>
            <w:vAlign w:val="center"/>
          </w:tcPr>
          <w:p w:rsidR="003E6588" w:rsidRDefault="003E6588">
            <w:pPr>
              <w:rPr>
                <w:color w:val="000000"/>
                <w:sz w:val="20"/>
                <w:szCs w:val="20"/>
              </w:rPr>
            </w:pPr>
            <w:r>
              <w:rPr>
                <w:color w:val="000000"/>
                <w:sz w:val="20"/>
                <w:szCs w:val="20"/>
              </w:rPr>
              <w:t>12,75</w:t>
            </w:r>
          </w:p>
        </w:tc>
        <w:tc>
          <w:tcPr>
            <w:tcW w:w="640" w:type="dxa"/>
            <w:shd w:val="clear" w:color="auto" w:fill="auto"/>
            <w:vAlign w:val="center"/>
          </w:tcPr>
          <w:p w:rsidR="003E6588" w:rsidRDefault="003E6588">
            <w:pPr>
              <w:rPr>
                <w:color w:val="000000"/>
                <w:sz w:val="20"/>
                <w:szCs w:val="20"/>
              </w:rPr>
            </w:pPr>
            <w:r>
              <w:rPr>
                <w:color w:val="000000"/>
                <w:sz w:val="20"/>
                <w:szCs w:val="20"/>
              </w:rPr>
              <w:t>12,80</w:t>
            </w:r>
          </w:p>
        </w:tc>
        <w:tc>
          <w:tcPr>
            <w:tcW w:w="640" w:type="dxa"/>
            <w:shd w:val="clear" w:color="auto" w:fill="auto"/>
            <w:vAlign w:val="center"/>
          </w:tcPr>
          <w:p w:rsidR="003E6588" w:rsidRDefault="003E6588">
            <w:pPr>
              <w:rPr>
                <w:color w:val="000000"/>
                <w:sz w:val="20"/>
                <w:szCs w:val="20"/>
              </w:rPr>
            </w:pPr>
            <w:r>
              <w:rPr>
                <w:color w:val="000000"/>
                <w:sz w:val="20"/>
                <w:szCs w:val="20"/>
              </w:rPr>
              <w:t>12,00</w:t>
            </w:r>
          </w:p>
        </w:tc>
        <w:tc>
          <w:tcPr>
            <w:tcW w:w="640" w:type="dxa"/>
            <w:shd w:val="clear" w:color="auto" w:fill="auto"/>
            <w:vAlign w:val="center"/>
          </w:tcPr>
          <w:p w:rsidR="003E6588" w:rsidRDefault="003E6588">
            <w:pPr>
              <w:rPr>
                <w:color w:val="000000"/>
                <w:sz w:val="20"/>
                <w:szCs w:val="20"/>
              </w:rPr>
            </w:pPr>
            <w:r>
              <w:rPr>
                <w:color w:val="000000"/>
                <w:sz w:val="20"/>
                <w:szCs w:val="20"/>
              </w:rPr>
              <w:t>10,05</w:t>
            </w:r>
          </w:p>
        </w:tc>
      </w:tr>
    </w:tbl>
    <w:p w:rsidR="003E6588" w:rsidRPr="00E92D0F" w:rsidRDefault="003E6588">
      <w:pPr>
        <w:pStyle w:val="PargrafodaLista"/>
        <w:ind w:left="0"/>
        <w:rPr>
          <w:rFonts w:ascii="Times New Roman" w:hAnsi="Times New Roman"/>
          <w:sz w:val="16"/>
          <w:szCs w:val="16"/>
        </w:rPr>
      </w:pPr>
      <w:r>
        <w:rPr>
          <w:rFonts w:ascii="Times New Roman" w:hAnsi="Times New Roman"/>
          <w:i/>
          <w:iCs/>
          <w:sz w:val="16"/>
          <w:szCs w:val="16"/>
        </w:rPr>
        <w:t xml:space="preserve">                  </w:t>
      </w:r>
      <w:r w:rsidRPr="00E92D0F">
        <w:rPr>
          <w:rFonts w:ascii="Times New Roman" w:hAnsi="Times New Roman"/>
          <w:iCs/>
          <w:sz w:val="16"/>
          <w:szCs w:val="16"/>
        </w:rPr>
        <w:t>Fonte: DPME/Prodesp</w:t>
      </w:r>
    </w:p>
    <w:p w:rsidR="00027693" w:rsidRDefault="00027693">
      <w:pPr>
        <w:pStyle w:val="PargrafodaLista"/>
        <w:ind w:left="0" w:firstLine="1134"/>
        <w:contextualSpacing w:val="0"/>
        <w:rPr>
          <w:rFonts w:ascii="Times New Roman" w:hAnsi="Times New Roman"/>
          <w:b/>
          <w:bCs/>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bCs/>
          <w:sz w:val="24"/>
          <w:szCs w:val="24"/>
        </w:rPr>
        <w:t xml:space="preserve">Revisão do Decreto nº 29.180/1988 e do Decreto nº 30.559/1989 - </w:t>
      </w:r>
      <w:r>
        <w:rPr>
          <w:rFonts w:ascii="Times New Roman" w:hAnsi="Times New Roman"/>
          <w:sz w:val="24"/>
          <w:szCs w:val="24"/>
        </w:rPr>
        <w:t>Foram discutidas e apresentadas propostas de revisão do Decreto nº 29.180/1988, que regulamenta as perícias médicas referentes aos funcionários, servidores e candidatos a cargos ou funções públicas civis da Administração Centralizada e das Autarquias do Estado</w:t>
      </w:r>
      <w:r w:rsidR="0076046C">
        <w:rPr>
          <w:rFonts w:ascii="Times New Roman" w:hAnsi="Times New Roman"/>
          <w:sz w:val="24"/>
          <w:szCs w:val="24"/>
        </w:rPr>
        <w:t>,</w:t>
      </w:r>
      <w:r>
        <w:rPr>
          <w:rFonts w:ascii="Times New Roman" w:hAnsi="Times New Roman"/>
          <w:sz w:val="24"/>
          <w:szCs w:val="24"/>
        </w:rPr>
        <w:t xml:space="preserve"> e do Decreto nº 30.559/1989, que reorganiza o DPME. As mesmas foram elaboradas em parceria com a UCRH e UDEMO.</w:t>
      </w:r>
    </w:p>
    <w:p w:rsidR="003E6588" w:rsidRDefault="003E6588">
      <w:pPr>
        <w:pStyle w:val="PargrafodaLista"/>
        <w:ind w:left="0" w:firstLine="1134"/>
        <w:rPr>
          <w:rFonts w:ascii="Times New Roman" w:hAnsi="Times New Roman"/>
          <w:sz w:val="24"/>
          <w:szCs w:val="24"/>
        </w:rPr>
      </w:pPr>
    </w:p>
    <w:p w:rsidR="003E6588" w:rsidRPr="0076046C" w:rsidRDefault="0076046C" w:rsidP="0076046C">
      <w:pPr>
        <w:pStyle w:val="Ttulo3"/>
        <w:spacing w:before="0" w:after="0"/>
        <w:ind w:firstLine="1134"/>
        <w:jc w:val="both"/>
        <w:rPr>
          <w:b w:val="0"/>
          <w:iCs/>
          <w:szCs w:val="24"/>
          <w:lang w:val="pt-BR" w:eastAsia="pt-BR"/>
        </w:rPr>
      </w:pPr>
      <w:r>
        <w:rPr>
          <w:rFonts w:ascii="Times New Roman" w:hAnsi="Times New Roman"/>
          <w:sz w:val="24"/>
          <w:szCs w:val="24"/>
          <w:lang w:val="pt-BR"/>
        </w:rPr>
        <w:t>Unidade Central de Recursos Humanos -</w:t>
      </w:r>
      <w:r w:rsidR="003E6588">
        <w:rPr>
          <w:rFonts w:ascii="Times New Roman" w:hAnsi="Times New Roman"/>
          <w:sz w:val="24"/>
          <w:szCs w:val="24"/>
          <w:lang w:val="pt-BR"/>
        </w:rPr>
        <w:t xml:space="preserve"> UCRH</w:t>
      </w:r>
      <w:r>
        <w:rPr>
          <w:rFonts w:ascii="Times New Roman" w:hAnsi="Times New Roman"/>
          <w:sz w:val="24"/>
          <w:szCs w:val="24"/>
          <w:lang w:val="pt-BR"/>
        </w:rPr>
        <w:t xml:space="preserve"> - </w:t>
      </w:r>
      <w:r w:rsidR="003E6588" w:rsidRPr="0076046C">
        <w:rPr>
          <w:b w:val="0"/>
          <w:iCs/>
          <w:szCs w:val="24"/>
          <w:lang w:val="pt-BR" w:eastAsia="pt-BR"/>
        </w:rPr>
        <w:t>Profissionalização e gestão de carreiras, com valorização da meritocracia</w:t>
      </w:r>
    </w:p>
    <w:p w:rsidR="003E6588" w:rsidRDefault="003E6588" w:rsidP="0076046C">
      <w:pPr>
        <w:pStyle w:val="Corpodetexto"/>
        <w:ind w:firstLine="1134"/>
        <w:jc w:val="both"/>
        <w:rPr>
          <w:iCs/>
          <w:szCs w:val="24"/>
          <w:lang w:eastAsia="pt-BR"/>
        </w:rPr>
      </w:pPr>
    </w:p>
    <w:p w:rsidR="003E6588" w:rsidRPr="0076046C" w:rsidRDefault="003E6588" w:rsidP="0076046C">
      <w:pPr>
        <w:pStyle w:val="Corpodetexto"/>
        <w:ind w:firstLine="1134"/>
        <w:jc w:val="both"/>
        <w:rPr>
          <w:b w:val="0"/>
          <w:iCs/>
          <w:szCs w:val="24"/>
          <w:lang w:eastAsia="pt-BR"/>
        </w:rPr>
      </w:pPr>
      <w:r w:rsidRPr="0076046C">
        <w:rPr>
          <w:b w:val="0"/>
          <w:iCs/>
          <w:szCs w:val="24"/>
          <w:lang w:eastAsia="pt-BR"/>
        </w:rPr>
        <w:t>Participação na elaboração de projetos aprovados no período</w:t>
      </w:r>
    </w:p>
    <w:p w:rsidR="003E6588" w:rsidRDefault="003E6588" w:rsidP="0076046C">
      <w:pPr>
        <w:pStyle w:val="Corpodetexto"/>
        <w:tabs>
          <w:tab w:val="left" w:pos="7380"/>
        </w:tabs>
        <w:ind w:firstLine="1134"/>
        <w:jc w:val="both"/>
        <w:rPr>
          <w:iCs/>
          <w:szCs w:val="24"/>
          <w:lang w:eastAsia="pt-BR"/>
        </w:rPr>
      </w:pPr>
    </w:p>
    <w:p w:rsidR="003E6588" w:rsidRDefault="003E6588" w:rsidP="0076046C">
      <w:pPr>
        <w:pStyle w:val="Corpodetexto"/>
        <w:tabs>
          <w:tab w:val="left" w:pos="7380"/>
        </w:tabs>
        <w:ind w:firstLine="1134"/>
        <w:jc w:val="both"/>
        <w:rPr>
          <w:iCs/>
          <w:szCs w:val="24"/>
          <w:lang w:eastAsia="pt-BR"/>
        </w:rPr>
      </w:pPr>
      <w:r>
        <w:rPr>
          <w:iCs/>
          <w:szCs w:val="24"/>
          <w:lang w:eastAsia="pt-BR"/>
        </w:rPr>
        <w:t>Na área da Educação</w:t>
      </w:r>
    </w:p>
    <w:p w:rsidR="003E6588" w:rsidRDefault="003E6588" w:rsidP="0076046C">
      <w:pPr>
        <w:pStyle w:val="Corpodetexto"/>
        <w:tabs>
          <w:tab w:val="left" w:pos="7380"/>
        </w:tabs>
        <w:ind w:firstLine="1134"/>
        <w:jc w:val="both"/>
        <w:rPr>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 1.240</w:t>
      </w:r>
      <w:r>
        <w:rPr>
          <w:b w:val="0"/>
          <w:iCs/>
          <w:szCs w:val="24"/>
          <w:lang w:eastAsia="pt-BR"/>
        </w:rPr>
        <w:t>/</w:t>
      </w:r>
      <w:r w:rsidR="003E6588">
        <w:rPr>
          <w:b w:val="0"/>
          <w:iCs/>
          <w:szCs w:val="24"/>
          <w:lang w:eastAsia="pt-BR"/>
        </w:rPr>
        <w:t>2014 - Altera a Lei Complementar nº 1.044</w:t>
      </w:r>
      <w:r>
        <w:rPr>
          <w:b w:val="0"/>
          <w:iCs/>
          <w:szCs w:val="24"/>
          <w:lang w:eastAsia="pt-BR"/>
        </w:rPr>
        <w:t>/</w:t>
      </w:r>
      <w:r w:rsidR="003E6588">
        <w:rPr>
          <w:b w:val="0"/>
          <w:iCs/>
          <w:szCs w:val="24"/>
          <w:lang w:eastAsia="pt-BR"/>
        </w:rPr>
        <w:t>2008, que institui o Plano de Carreiras, de Empregos Públicos e Sistema Retribuitório dos servidores do Centro Estadual de Educação Tecnológica Paula Souza - CEETEPS;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 1.242</w:t>
      </w:r>
      <w:r>
        <w:rPr>
          <w:b w:val="0"/>
          <w:iCs/>
          <w:szCs w:val="24"/>
          <w:lang w:eastAsia="pt-BR"/>
        </w:rPr>
        <w:t>/</w:t>
      </w:r>
      <w:r w:rsidR="003E6588">
        <w:rPr>
          <w:b w:val="0"/>
          <w:iCs/>
          <w:szCs w:val="24"/>
          <w:lang w:eastAsia="pt-BR"/>
        </w:rPr>
        <w:t>2014 - Dispõe sobre a criação de empregos públicos no Quadro de Pessoal do Centro Estadual de Educação Tecnológica Paula Souza - CEETEPS e dá providências correlatas;</w:t>
      </w:r>
    </w:p>
    <w:p w:rsidR="0076046C" w:rsidRDefault="0076046C"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 1.248</w:t>
      </w:r>
      <w:r>
        <w:rPr>
          <w:b w:val="0"/>
          <w:iCs/>
          <w:szCs w:val="24"/>
          <w:lang w:eastAsia="pt-BR"/>
        </w:rPr>
        <w:t>/</w:t>
      </w:r>
      <w:r w:rsidR="003E6588">
        <w:rPr>
          <w:b w:val="0"/>
          <w:iCs/>
          <w:szCs w:val="24"/>
          <w:lang w:eastAsia="pt-BR"/>
        </w:rPr>
        <w:t>2014 - Altera a Lei Complementar nº 1.144</w:t>
      </w:r>
      <w:r>
        <w:rPr>
          <w:b w:val="0"/>
          <w:iCs/>
          <w:szCs w:val="24"/>
          <w:lang w:eastAsia="pt-BR"/>
        </w:rPr>
        <w:t>/</w:t>
      </w:r>
      <w:r w:rsidR="003E6588">
        <w:rPr>
          <w:b w:val="0"/>
          <w:iCs/>
          <w:szCs w:val="24"/>
          <w:lang w:eastAsia="pt-BR"/>
        </w:rPr>
        <w:t>2011, que institui o Plano de Cargos, Vencimentos e Salários para os integrantes do Quadro de Apoio Escolar da Secretaria da Educação, e dá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 1.252</w:t>
      </w:r>
      <w:r>
        <w:rPr>
          <w:b w:val="0"/>
          <w:iCs/>
          <w:szCs w:val="24"/>
          <w:lang w:eastAsia="pt-BR"/>
        </w:rPr>
        <w:t>/</w:t>
      </w:r>
      <w:r w:rsidR="003E6588">
        <w:rPr>
          <w:b w:val="0"/>
          <w:iCs/>
          <w:szCs w:val="24"/>
          <w:lang w:eastAsia="pt-BR"/>
        </w:rPr>
        <w:t>2014 - Altera a Lei Complementar nº 1.240</w:t>
      </w:r>
      <w:r>
        <w:rPr>
          <w:b w:val="0"/>
          <w:iCs/>
          <w:szCs w:val="24"/>
          <w:lang w:eastAsia="pt-BR"/>
        </w:rPr>
        <w:t>/</w:t>
      </w:r>
      <w:r w:rsidR="003E6588">
        <w:rPr>
          <w:b w:val="0"/>
          <w:iCs/>
          <w:szCs w:val="24"/>
          <w:lang w:eastAsia="pt-BR"/>
        </w:rPr>
        <w:t>2014, que altera a Lei Complementar 1.044</w:t>
      </w:r>
      <w:r>
        <w:rPr>
          <w:b w:val="0"/>
          <w:iCs/>
          <w:szCs w:val="24"/>
          <w:lang w:eastAsia="pt-BR"/>
        </w:rPr>
        <w:t>/</w:t>
      </w:r>
      <w:r w:rsidR="003E6588">
        <w:rPr>
          <w:b w:val="0"/>
          <w:iCs/>
          <w:szCs w:val="24"/>
          <w:lang w:eastAsia="pt-BR"/>
        </w:rPr>
        <w:t>2008, que institui o Plano de Carreiras, de Empregos Públicos e Sistema Retribuitório dos servidores do Centro Estadual de Educação Tecnológica Paula Souza - CEETEPS e dá outras providências.</w:t>
      </w:r>
    </w:p>
    <w:p w:rsidR="003E6588" w:rsidRDefault="003E6588" w:rsidP="00027693">
      <w:pPr>
        <w:tabs>
          <w:tab w:val="left" w:pos="284"/>
          <w:tab w:val="left" w:pos="1418"/>
        </w:tabs>
        <w:ind w:firstLine="1134"/>
        <w:jc w:val="both"/>
      </w:pPr>
    </w:p>
    <w:p w:rsidR="003E6588" w:rsidRDefault="003E6588" w:rsidP="0076046C">
      <w:pPr>
        <w:pStyle w:val="Corpodetexto"/>
        <w:tabs>
          <w:tab w:val="left" w:pos="284"/>
          <w:tab w:val="left" w:pos="7380"/>
        </w:tabs>
        <w:ind w:firstLine="1134"/>
        <w:jc w:val="both"/>
        <w:rPr>
          <w:iCs/>
          <w:szCs w:val="24"/>
          <w:lang w:eastAsia="pt-BR"/>
        </w:rPr>
      </w:pPr>
      <w:r>
        <w:rPr>
          <w:iCs/>
          <w:szCs w:val="24"/>
          <w:lang w:eastAsia="pt-BR"/>
        </w:rPr>
        <w:t>Na área da Segurança Pública e Penitenciária</w:t>
      </w:r>
    </w:p>
    <w:p w:rsidR="003E6588" w:rsidRDefault="003E6588" w:rsidP="00027693">
      <w:pPr>
        <w:pStyle w:val="Corpodetexto"/>
        <w:tabs>
          <w:tab w:val="left" w:pos="284"/>
          <w:tab w:val="left" w:pos="7380"/>
        </w:tabs>
        <w:ind w:firstLine="1134"/>
        <w:jc w:val="both"/>
        <w:rPr>
          <w:szCs w:val="24"/>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nº 1.245</w:t>
      </w:r>
      <w:r>
        <w:rPr>
          <w:b w:val="0"/>
          <w:iCs/>
          <w:szCs w:val="24"/>
          <w:lang w:eastAsia="pt-BR"/>
        </w:rPr>
        <w:t>/</w:t>
      </w:r>
      <w:r w:rsidR="003E6588">
        <w:rPr>
          <w:b w:val="0"/>
          <w:iCs/>
          <w:szCs w:val="24"/>
          <w:lang w:eastAsia="pt-BR"/>
        </w:rPr>
        <w:t>2014 - Institui a Bonificação por Resultados - BR aos integrantes das Polícias Civil, Técnico-Científica e Militar, e dá providências correlatas;</w:t>
      </w: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lastRenderedPageBreak/>
        <w:t xml:space="preserve">- </w:t>
      </w:r>
      <w:r w:rsidR="003E6588">
        <w:rPr>
          <w:b w:val="0"/>
          <w:iCs/>
          <w:szCs w:val="24"/>
          <w:lang w:eastAsia="pt-BR"/>
        </w:rPr>
        <w:t>Lei Complementar nº 1.246</w:t>
      </w:r>
      <w:r>
        <w:rPr>
          <w:b w:val="0"/>
          <w:iCs/>
          <w:szCs w:val="24"/>
          <w:lang w:eastAsia="pt-BR"/>
        </w:rPr>
        <w:t>/</w:t>
      </w:r>
      <w:r w:rsidR="003E6588">
        <w:rPr>
          <w:b w:val="0"/>
          <w:iCs/>
          <w:szCs w:val="24"/>
          <w:lang w:eastAsia="pt-BR"/>
        </w:rPr>
        <w:t>2014 - Altera as Leis Complementares nº 959</w:t>
      </w:r>
      <w:r>
        <w:rPr>
          <w:b w:val="0"/>
          <w:iCs/>
          <w:szCs w:val="24"/>
          <w:lang w:eastAsia="pt-BR"/>
        </w:rPr>
        <w:t>/</w:t>
      </w:r>
      <w:r w:rsidR="003E6588">
        <w:rPr>
          <w:b w:val="0"/>
          <w:iCs/>
          <w:szCs w:val="24"/>
          <w:lang w:eastAsia="pt-BR"/>
        </w:rPr>
        <w:t>2004; nº 898</w:t>
      </w:r>
      <w:r>
        <w:rPr>
          <w:b w:val="0"/>
          <w:iCs/>
          <w:szCs w:val="24"/>
          <w:lang w:eastAsia="pt-BR"/>
        </w:rPr>
        <w:t>/</w:t>
      </w:r>
      <w:r w:rsidR="003E6588">
        <w:rPr>
          <w:b w:val="0"/>
          <w:iCs/>
          <w:szCs w:val="24"/>
          <w:lang w:eastAsia="pt-BR"/>
        </w:rPr>
        <w:t>2001; nº 842</w:t>
      </w:r>
      <w:r>
        <w:rPr>
          <w:b w:val="0"/>
          <w:iCs/>
          <w:szCs w:val="24"/>
          <w:lang w:eastAsia="pt-BR"/>
        </w:rPr>
        <w:t>/</w:t>
      </w:r>
      <w:r w:rsidR="003E6588">
        <w:rPr>
          <w:b w:val="0"/>
          <w:iCs/>
          <w:szCs w:val="24"/>
          <w:lang w:eastAsia="pt-BR"/>
        </w:rPr>
        <w:t>1998; nº 315</w:t>
      </w:r>
      <w:r>
        <w:rPr>
          <w:b w:val="0"/>
          <w:iCs/>
          <w:szCs w:val="24"/>
          <w:lang w:eastAsia="pt-BR"/>
        </w:rPr>
        <w:t>/</w:t>
      </w:r>
      <w:r w:rsidR="003E6588">
        <w:rPr>
          <w:b w:val="0"/>
          <w:iCs/>
          <w:szCs w:val="24"/>
          <w:lang w:eastAsia="pt-BR"/>
        </w:rPr>
        <w:t>1983 e dá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nº 1.247</w:t>
      </w:r>
      <w:r>
        <w:rPr>
          <w:b w:val="0"/>
          <w:iCs/>
          <w:szCs w:val="24"/>
          <w:lang w:eastAsia="pt-BR"/>
        </w:rPr>
        <w:t>/</w:t>
      </w:r>
      <w:r w:rsidR="003E6588">
        <w:rPr>
          <w:b w:val="0"/>
          <w:iCs/>
          <w:szCs w:val="24"/>
          <w:lang w:eastAsia="pt-BR"/>
        </w:rPr>
        <w:t>2014 - Institui a Diária Especial por Jornada Extraordinária de Trabalho Penitenciário - DEJEP aos integrantes da carreira de Agente de Segurança Penitenciária em exercício na Secretaria da Administração Penitenciária e dá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nº 1.249</w:t>
      </w:r>
      <w:r>
        <w:rPr>
          <w:b w:val="0"/>
          <w:iCs/>
          <w:szCs w:val="24"/>
          <w:lang w:eastAsia="pt-BR"/>
        </w:rPr>
        <w:t>/</w:t>
      </w:r>
      <w:r w:rsidR="003E6588">
        <w:rPr>
          <w:b w:val="0"/>
          <w:iCs/>
          <w:szCs w:val="24"/>
          <w:lang w:eastAsia="pt-BR"/>
        </w:rPr>
        <w:t>2014 - Dispõe sobre a reclassificação dos vencimentos dos integrantes das carreiras policiais civis e militares, da Secretaria da Segurança Pública, bem como da carreira e classe que especifica, da Secretaria da Administração Penitenciária, e dá outras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L</w:t>
      </w:r>
      <w:r w:rsidR="003E6588">
        <w:rPr>
          <w:b w:val="0"/>
          <w:iCs/>
          <w:szCs w:val="24"/>
          <w:lang w:eastAsia="pt-BR"/>
        </w:rPr>
        <w:t>ei nº 15.558</w:t>
      </w:r>
      <w:r>
        <w:rPr>
          <w:b w:val="0"/>
          <w:iCs/>
          <w:szCs w:val="24"/>
          <w:lang w:eastAsia="pt-BR"/>
        </w:rPr>
        <w:t>/</w:t>
      </w:r>
      <w:r w:rsidR="003E6588">
        <w:rPr>
          <w:b w:val="0"/>
          <w:iCs/>
          <w:szCs w:val="24"/>
          <w:lang w:eastAsia="pt-BR"/>
        </w:rPr>
        <w:t>2014 - Cria cargos no Quadro da Secretaria da Administração Penitenciária e dá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nº 15.559</w:t>
      </w:r>
      <w:r>
        <w:rPr>
          <w:b w:val="0"/>
          <w:iCs/>
          <w:szCs w:val="24"/>
          <w:lang w:eastAsia="pt-BR"/>
        </w:rPr>
        <w:t>/</w:t>
      </w:r>
      <w:r w:rsidR="003E6588">
        <w:rPr>
          <w:b w:val="0"/>
          <w:iCs/>
          <w:szCs w:val="24"/>
          <w:lang w:eastAsia="pt-BR"/>
        </w:rPr>
        <w:t>2014 - Cria cargos no Quadro da Secretaria da Administração Penitenciária;</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60.682</w:t>
      </w:r>
      <w:r>
        <w:rPr>
          <w:b w:val="0"/>
          <w:iCs/>
          <w:szCs w:val="24"/>
          <w:lang w:eastAsia="pt-BR"/>
        </w:rPr>
        <w:t>/</w:t>
      </w:r>
      <w:r w:rsidR="003E6588">
        <w:rPr>
          <w:b w:val="0"/>
          <w:iCs/>
          <w:szCs w:val="24"/>
          <w:lang w:eastAsia="pt-BR"/>
        </w:rPr>
        <w:t>2014 - Integra no Sistema Único de Saúde do Estado de São Paulo - SUS/SP, para fins de atribuição da Gratificação pelo Desempenho e Apoio às Atividades Periciais e de Assistência à Saúde - GDAPAS, bem como da Gratificação Especial de Suporte à Saúde - GESS, a unidade de saúde da Secretaria da Administração Penitenciária que especifica e dá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60.866</w:t>
      </w:r>
      <w:r>
        <w:rPr>
          <w:b w:val="0"/>
          <w:iCs/>
          <w:szCs w:val="24"/>
          <w:lang w:eastAsia="pt-BR"/>
        </w:rPr>
        <w:t>/</w:t>
      </w:r>
      <w:r w:rsidR="003E6588">
        <w:rPr>
          <w:b w:val="0"/>
          <w:iCs/>
          <w:szCs w:val="24"/>
          <w:lang w:eastAsia="pt-BR"/>
        </w:rPr>
        <w:t xml:space="preserve">2014 - Integra no Sistema Único de Saúde do Estado de São Paulo - SUS/SP, para fins de atribuição da Gratificação pelo Desempenho e Apoio às Atividades Periciais e de Assistência à Saúde </w:t>
      </w:r>
      <w:r>
        <w:rPr>
          <w:b w:val="0"/>
          <w:iCs/>
          <w:szCs w:val="24"/>
          <w:lang w:eastAsia="pt-BR"/>
        </w:rPr>
        <w:t>-</w:t>
      </w:r>
      <w:r w:rsidR="003E6588">
        <w:rPr>
          <w:b w:val="0"/>
          <w:iCs/>
          <w:szCs w:val="24"/>
          <w:lang w:eastAsia="pt-BR"/>
        </w:rPr>
        <w:t xml:space="preserve"> GDAPAS, bem como da Gratificação Especial de Suporte à Saúde - GESS, a unidade de saúde da Secretaria da Administração Penitenciária.</w:t>
      </w:r>
    </w:p>
    <w:p w:rsidR="003E6588" w:rsidRDefault="003E6588">
      <w:pPr>
        <w:pStyle w:val="PargrafodaLista"/>
        <w:tabs>
          <w:tab w:val="left" w:pos="284"/>
        </w:tabs>
        <w:ind w:left="0" w:firstLine="1134"/>
        <w:rPr>
          <w:rFonts w:ascii="Times New Roman" w:hAnsi="Times New Roman"/>
          <w:sz w:val="24"/>
          <w:szCs w:val="24"/>
          <w:highlight w:val="green"/>
        </w:rPr>
      </w:pPr>
    </w:p>
    <w:p w:rsidR="003E6588" w:rsidRDefault="003E6588" w:rsidP="0076046C">
      <w:pPr>
        <w:pStyle w:val="Corpodetexto"/>
        <w:tabs>
          <w:tab w:val="left" w:pos="284"/>
          <w:tab w:val="left" w:pos="7380"/>
        </w:tabs>
        <w:ind w:firstLine="1134"/>
        <w:jc w:val="both"/>
        <w:rPr>
          <w:b w:val="0"/>
          <w:iCs/>
          <w:szCs w:val="24"/>
          <w:lang w:eastAsia="pt-BR"/>
        </w:rPr>
      </w:pPr>
      <w:r>
        <w:rPr>
          <w:iCs/>
          <w:szCs w:val="24"/>
          <w:lang w:eastAsia="pt-BR"/>
        </w:rPr>
        <w:t>Na área Fazendária</w:t>
      </w:r>
      <w:r w:rsidR="0076046C">
        <w:rPr>
          <w:iCs/>
          <w:szCs w:val="24"/>
          <w:lang w:eastAsia="pt-BR"/>
        </w:rPr>
        <w:t xml:space="preserve"> - </w:t>
      </w:r>
      <w:r>
        <w:rPr>
          <w:b w:val="0"/>
          <w:iCs/>
          <w:szCs w:val="24"/>
          <w:lang w:eastAsia="pt-BR"/>
        </w:rPr>
        <w:t>Lei Complementar nº 1.251</w:t>
      </w:r>
      <w:r w:rsidR="0076046C">
        <w:rPr>
          <w:b w:val="0"/>
          <w:iCs/>
          <w:szCs w:val="24"/>
          <w:lang w:eastAsia="pt-BR"/>
        </w:rPr>
        <w:t>/</w:t>
      </w:r>
      <w:r>
        <w:rPr>
          <w:b w:val="0"/>
          <w:iCs/>
          <w:szCs w:val="24"/>
          <w:lang w:eastAsia="pt-BR"/>
        </w:rPr>
        <w:t>2014 - Dispõe sobre reestruturação dos vencimentos e salários dos integrantes de classes regidas pela Lei Complementar nº 1.122</w:t>
      </w:r>
      <w:r w:rsidR="0076046C">
        <w:rPr>
          <w:b w:val="0"/>
          <w:iCs/>
          <w:szCs w:val="24"/>
          <w:lang w:eastAsia="pt-BR"/>
        </w:rPr>
        <w:t>/</w:t>
      </w:r>
      <w:r w:rsidR="00FD6D30">
        <w:rPr>
          <w:b w:val="0"/>
          <w:iCs/>
          <w:szCs w:val="24"/>
          <w:lang w:eastAsia="pt-BR"/>
        </w:rPr>
        <w:t>2010</w:t>
      </w:r>
      <w:r>
        <w:rPr>
          <w:b w:val="0"/>
          <w:iCs/>
          <w:szCs w:val="24"/>
          <w:lang w:eastAsia="pt-BR"/>
        </w:rPr>
        <w:t xml:space="preserve"> e dá outras providências.</w:t>
      </w:r>
    </w:p>
    <w:p w:rsidR="00027693" w:rsidRDefault="00027693" w:rsidP="0076046C">
      <w:pPr>
        <w:pStyle w:val="Corpodetexto"/>
        <w:tabs>
          <w:tab w:val="left" w:pos="284"/>
          <w:tab w:val="left" w:pos="7380"/>
        </w:tabs>
        <w:ind w:firstLine="1134"/>
        <w:jc w:val="both"/>
        <w:rPr>
          <w:b w:val="0"/>
          <w:iCs/>
          <w:szCs w:val="24"/>
          <w:lang w:eastAsia="pt-BR"/>
        </w:rPr>
      </w:pPr>
    </w:p>
    <w:p w:rsidR="003E6588" w:rsidRDefault="003E6588" w:rsidP="0076046C">
      <w:pPr>
        <w:pStyle w:val="Corpodetexto"/>
        <w:tabs>
          <w:tab w:val="left" w:pos="284"/>
          <w:tab w:val="left" w:pos="7380"/>
        </w:tabs>
        <w:ind w:firstLine="1134"/>
        <w:jc w:val="both"/>
        <w:rPr>
          <w:iCs/>
          <w:szCs w:val="24"/>
          <w:lang w:eastAsia="pt-BR"/>
        </w:rPr>
      </w:pPr>
      <w:r>
        <w:rPr>
          <w:iCs/>
          <w:szCs w:val="24"/>
          <w:lang w:eastAsia="pt-BR"/>
        </w:rPr>
        <w:t>Na área da Gestão Pública e Administração Geral</w:t>
      </w:r>
    </w:p>
    <w:p w:rsidR="003E6588" w:rsidRDefault="003E6588" w:rsidP="00027693">
      <w:pPr>
        <w:pStyle w:val="Corpodetexto"/>
        <w:tabs>
          <w:tab w:val="left" w:pos="284"/>
          <w:tab w:val="left" w:pos="7380"/>
        </w:tabs>
        <w:ind w:firstLine="1134"/>
        <w:jc w:val="both"/>
        <w:rPr>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Complementar nº 1.250</w:t>
      </w:r>
      <w:r>
        <w:rPr>
          <w:b w:val="0"/>
          <w:iCs/>
          <w:szCs w:val="24"/>
          <w:lang w:eastAsia="pt-BR"/>
        </w:rPr>
        <w:t>/</w:t>
      </w:r>
      <w:r w:rsidR="003E6588">
        <w:rPr>
          <w:b w:val="0"/>
          <w:iCs/>
          <w:szCs w:val="24"/>
          <w:lang w:eastAsia="pt-BR"/>
        </w:rPr>
        <w:t>2014 - Dispõe sobre a reclassificação dos vencimentos e salários dos servidores integrantes das classes de natureza permanente regidas pela Lei Complementar nº 1.080</w:t>
      </w:r>
      <w:r>
        <w:rPr>
          <w:b w:val="0"/>
          <w:iCs/>
          <w:szCs w:val="24"/>
          <w:lang w:eastAsia="pt-BR"/>
        </w:rPr>
        <w:t>/</w:t>
      </w:r>
      <w:r w:rsidR="003E6588">
        <w:rPr>
          <w:b w:val="0"/>
          <w:iCs/>
          <w:szCs w:val="24"/>
          <w:lang w:eastAsia="pt-BR"/>
        </w:rPr>
        <w:t>2008, alterada pela Lei Complementar nº 1.158</w:t>
      </w:r>
      <w:r>
        <w:rPr>
          <w:b w:val="0"/>
          <w:iCs/>
          <w:szCs w:val="24"/>
          <w:lang w:eastAsia="pt-BR"/>
        </w:rPr>
        <w:t>/</w:t>
      </w:r>
      <w:r w:rsidR="003E6588">
        <w:rPr>
          <w:b w:val="0"/>
          <w:iCs/>
          <w:szCs w:val="24"/>
          <w:lang w:eastAsia="pt-BR"/>
        </w:rPr>
        <w:t>2011, e dá outras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nº 15.310</w:t>
      </w:r>
      <w:r>
        <w:rPr>
          <w:b w:val="0"/>
          <w:iCs/>
          <w:szCs w:val="24"/>
          <w:lang w:eastAsia="pt-BR"/>
        </w:rPr>
        <w:t>/</w:t>
      </w:r>
      <w:r w:rsidR="003E6588">
        <w:rPr>
          <w:b w:val="0"/>
          <w:iCs/>
          <w:szCs w:val="24"/>
          <w:lang w:eastAsia="pt-BR"/>
        </w:rPr>
        <w:t>2014 - Fixa o subsídio dos deputados estaduais para o exercício de 2014;</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Lei nº 15.311</w:t>
      </w:r>
      <w:r w:rsidR="00FD6D30">
        <w:rPr>
          <w:b w:val="0"/>
          <w:iCs/>
          <w:szCs w:val="24"/>
          <w:lang w:eastAsia="pt-BR"/>
        </w:rPr>
        <w:t>/</w:t>
      </w:r>
      <w:r w:rsidR="003E6588">
        <w:rPr>
          <w:b w:val="0"/>
          <w:iCs/>
          <w:szCs w:val="24"/>
          <w:lang w:eastAsia="pt-BR"/>
        </w:rPr>
        <w:t>2014 - Prorroga para o exercício financeiro de 2014, os efeitos da Lei nº 14.924</w:t>
      </w:r>
      <w:r w:rsidR="00FD6D30">
        <w:rPr>
          <w:b w:val="0"/>
          <w:iCs/>
          <w:szCs w:val="24"/>
          <w:lang w:eastAsia="pt-BR"/>
        </w:rPr>
        <w:t>/</w:t>
      </w:r>
      <w:r w:rsidR="003E6588">
        <w:rPr>
          <w:b w:val="0"/>
          <w:iCs/>
          <w:szCs w:val="24"/>
          <w:lang w:eastAsia="pt-BR"/>
        </w:rPr>
        <w:t>2012, que dispõe sobre o subsídio do Governador, do Vice-Governador e dos Secretários de Estado;</w:t>
      </w:r>
    </w:p>
    <w:p w:rsidR="003E6588" w:rsidRDefault="0076046C" w:rsidP="0076046C">
      <w:pPr>
        <w:pStyle w:val="Corpodetexto"/>
        <w:tabs>
          <w:tab w:val="left" w:pos="284"/>
          <w:tab w:val="left" w:pos="1418"/>
        </w:tabs>
        <w:ind w:firstLine="1134"/>
        <w:jc w:val="both"/>
        <w:rPr>
          <w:b w:val="0"/>
          <w:iCs/>
          <w:szCs w:val="24"/>
          <w:lang w:eastAsia="pt-BR"/>
        </w:rPr>
      </w:pPr>
      <w:r>
        <w:rPr>
          <w:b w:val="0"/>
          <w:iCs/>
          <w:szCs w:val="24"/>
          <w:lang w:eastAsia="pt-BR"/>
        </w:rPr>
        <w:lastRenderedPageBreak/>
        <w:t xml:space="preserve">- </w:t>
      </w:r>
      <w:r w:rsidR="003E6588">
        <w:rPr>
          <w:b w:val="0"/>
          <w:iCs/>
          <w:szCs w:val="24"/>
          <w:lang w:eastAsia="pt-BR"/>
        </w:rPr>
        <w:t>Decreto nº 60.449</w:t>
      </w:r>
      <w:r w:rsidR="00FD6D30">
        <w:rPr>
          <w:b w:val="0"/>
          <w:iCs/>
          <w:szCs w:val="24"/>
          <w:lang w:eastAsia="pt-BR"/>
        </w:rPr>
        <w:t>/</w:t>
      </w:r>
      <w:r w:rsidR="003E6588">
        <w:rPr>
          <w:b w:val="0"/>
          <w:iCs/>
          <w:szCs w:val="24"/>
          <w:lang w:eastAsia="pt-BR"/>
        </w:rPr>
        <w:t>2014 - Regulamenta os procedimentos relativos à realização de concursos públicos, no âmbito da Administração Direta e Autárquica do Estado e dá providências correlatas;</w:t>
      </w:r>
    </w:p>
    <w:p w:rsidR="003E6588" w:rsidRDefault="003E6588" w:rsidP="0076046C">
      <w:pPr>
        <w:pStyle w:val="Corpodetexto"/>
        <w:tabs>
          <w:tab w:val="left" w:pos="284"/>
          <w:tab w:val="left" w:pos="1418"/>
        </w:tabs>
        <w:ind w:firstLine="1134"/>
        <w:jc w:val="both"/>
        <w:rPr>
          <w:b w:val="0"/>
          <w:iCs/>
          <w:szCs w:val="24"/>
          <w:lang w:eastAsia="pt-BR"/>
        </w:rPr>
      </w:pPr>
    </w:p>
    <w:p w:rsidR="003E6588" w:rsidRDefault="007E3B93" w:rsidP="0076046C">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60.545</w:t>
      </w:r>
      <w:r w:rsidR="00FD6D30">
        <w:rPr>
          <w:b w:val="0"/>
          <w:iCs/>
          <w:szCs w:val="24"/>
          <w:lang w:eastAsia="pt-BR"/>
        </w:rPr>
        <w:t>/</w:t>
      </w:r>
      <w:r w:rsidR="003E6588">
        <w:rPr>
          <w:b w:val="0"/>
          <w:iCs/>
          <w:szCs w:val="24"/>
          <w:lang w:eastAsia="pt-BR"/>
        </w:rPr>
        <w:t xml:space="preserve">2014 - Dispõe sobre os procedimentos e critérios relativos à progressão aos servidores integrantes das classes abrangidas pela Lei Complementar nº 1.080, de 17 de dezembro de 2008; </w:t>
      </w:r>
    </w:p>
    <w:p w:rsidR="003E6588" w:rsidRDefault="003E6588" w:rsidP="00027693">
      <w:pPr>
        <w:pStyle w:val="Corpodetexto"/>
        <w:tabs>
          <w:tab w:val="left" w:pos="284"/>
        </w:tabs>
        <w:ind w:firstLine="1134"/>
        <w:jc w:val="both"/>
        <w:rPr>
          <w:b w:val="0"/>
          <w:szCs w:val="24"/>
          <w:highlight w:val="green"/>
        </w:rPr>
      </w:pPr>
    </w:p>
    <w:p w:rsidR="003E6588" w:rsidRDefault="003E6588" w:rsidP="00FD6D30">
      <w:pPr>
        <w:pStyle w:val="Corpodetexto"/>
        <w:tabs>
          <w:tab w:val="left" w:pos="284"/>
          <w:tab w:val="left" w:pos="7380"/>
        </w:tabs>
        <w:ind w:firstLine="1134"/>
        <w:jc w:val="both"/>
        <w:rPr>
          <w:iCs/>
          <w:szCs w:val="24"/>
          <w:lang w:eastAsia="pt-BR"/>
        </w:rPr>
      </w:pPr>
      <w:r>
        <w:rPr>
          <w:iCs/>
          <w:szCs w:val="24"/>
          <w:lang w:eastAsia="pt-BR"/>
        </w:rPr>
        <w:t>Na área da Saúde</w:t>
      </w:r>
    </w:p>
    <w:p w:rsidR="003E6588" w:rsidRDefault="003E6588" w:rsidP="00027693">
      <w:pPr>
        <w:pStyle w:val="Corpodetexto"/>
        <w:tabs>
          <w:tab w:val="left" w:pos="284"/>
          <w:tab w:val="left" w:pos="7380"/>
        </w:tabs>
        <w:ind w:firstLine="1134"/>
        <w:jc w:val="both"/>
        <w:rPr>
          <w:iCs/>
          <w:szCs w:val="24"/>
          <w:lang w:eastAsia="pt-BR"/>
        </w:rPr>
      </w:pPr>
    </w:p>
    <w:p w:rsidR="003E6588" w:rsidRDefault="00FD6D30" w:rsidP="00FD6D30">
      <w:pPr>
        <w:pStyle w:val="Corpodetexto"/>
        <w:tabs>
          <w:tab w:val="left" w:pos="284"/>
          <w:tab w:val="left" w:pos="1418"/>
        </w:tabs>
        <w:ind w:firstLine="1134"/>
        <w:jc w:val="both"/>
        <w:rPr>
          <w:b w:val="0"/>
          <w:iCs/>
          <w:szCs w:val="24"/>
          <w:lang w:eastAsia="pt-BR"/>
        </w:rPr>
      </w:pPr>
      <w:r>
        <w:rPr>
          <w:b w:val="0"/>
          <w:szCs w:val="24"/>
        </w:rPr>
        <w:t xml:space="preserve">- </w:t>
      </w:r>
      <w:hyperlink r:id="rId48" w:tgtFrame="_top" w:history="1">
        <w:r w:rsidR="003E6588">
          <w:rPr>
            <w:b w:val="0"/>
            <w:iCs/>
            <w:szCs w:val="24"/>
            <w:lang w:eastAsia="pt-BR"/>
          </w:rPr>
          <w:t>Lei Complementar nº</w:t>
        </w:r>
      </w:hyperlink>
      <w:r w:rsidR="003E6588">
        <w:rPr>
          <w:b w:val="0"/>
          <w:iCs/>
          <w:szCs w:val="24"/>
          <w:lang w:eastAsia="pt-BR"/>
        </w:rPr>
        <w:t xml:space="preserve"> 1.239</w:t>
      </w:r>
      <w:r>
        <w:rPr>
          <w:b w:val="0"/>
          <w:iCs/>
          <w:szCs w:val="24"/>
          <w:lang w:eastAsia="pt-BR"/>
        </w:rPr>
        <w:t>/</w:t>
      </w:r>
      <w:r w:rsidR="003E6588">
        <w:rPr>
          <w:b w:val="0"/>
          <w:iCs/>
          <w:szCs w:val="24"/>
          <w:lang w:eastAsia="pt-BR"/>
        </w:rPr>
        <w:t xml:space="preserve">2014 - Institui Adicional de Local de Exercício aos integrantes da carreira de Médico, no âmbito da Secretaria da Saúde e nas condições que especifica, altera a </w:t>
      </w:r>
      <w:hyperlink r:id="rId49" w:tgtFrame="_top" w:history="1">
        <w:r w:rsidR="003E6588">
          <w:rPr>
            <w:b w:val="0"/>
            <w:iCs/>
            <w:szCs w:val="24"/>
            <w:lang w:eastAsia="pt-BR"/>
          </w:rPr>
          <w:t>Lei Complementar nº 1.193</w:t>
        </w:r>
        <w:r>
          <w:rPr>
            <w:b w:val="0"/>
            <w:iCs/>
            <w:szCs w:val="24"/>
            <w:lang w:eastAsia="pt-BR"/>
          </w:rPr>
          <w:t>/</w:t>
        </w:r>
        <w:r w:rsidR="003E6588">
          <w:rPr>
            <w:b w:val="0"/>
            <w:iCs/>
            <w:szCs w:val="24"/>
            <w:lang w:eastAsia="pt-BR"/>
          </w:rPr>
          <w:t>2013</w:t>
        </w:r>
      </w:hyperlink>
      <w:r w:rsidR="003E6588">
        <w:rPr>
          <w:b w:val="0"/>
          <w:iCs/>
          <w:szCs w:val="24"/>
          <w:lang w:eastAsia="pt-BR"/>
        </w:rPr>
        <w:t xml:space="preserve"> e dá providências correlatas;</w:t>
      </w:r>
    </w:p>
    <w:p w:rsidR="003E6588" w:rsidRDefault="003E6588" w:rsidP="00FD6D30">
      <w:pPr>
        <w:pStyle w:val="Corpodetexto"/>
        <w:tabs>
          <w:tab w:val="left" w:pos="284"/>
          <w:tab w:val="left" w:pos="1418"/>
        </w:tabs>
        <w:ind w:firstLine="1134"/>
        <w:jc w:val="both"/>
        <w:rPr>
          <w:b w:val="0"/>
          <w:iCs/>
          <w:szCs w:val="24"/>
          <w:lang w:eastAsia="pt-BR"/>
        </w:rPr>
      </w:pPr>
    </w:p>
    <w:p w:rsidR="003E6588" w:rsidRDefault="00FD6D30" w:rsidP="00FD6D30">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60.072</w:t>
      </w:r>
      <w:r>
        <w:rPr>
          <w:b w:val="0"/>
          <w:iCs/>
          <w:szCs w:val="24"/>
          <w:lang w:eastAsia="pt-BR"/>
        </w:rPr>
        <w:t>/</w:t>
      </w:r>
      <w:r w:rsidR="003E6588">
        <w:rPr>
          <w:b w:val="0"/>
          <w:iCs/>
          <w:szCs w:val="24"/>
          <w:lang w:eastAsia="pt-BR"/>
        </w:rPr>
        <w:t>2014 - Altera o anexo II, a que se refere o artigo 1º do Decreto nº 58.303</w:t>
      </w:r>
      <w:r>
        <w:rPr>
          <w:b w:val="0"/>
          <w:iCs/>
          <w:szCs w:val="24"/>
          <w:lang w:eastAsia="pt-BR"/>
        </w:rPr>
        <w:t>/</w:t>
      </w:r>
      <w:r w:rsidR="003E6588">
        <w:rPr>
          <w:b w:val="0"/>
          <w:iCs/>
          <w:szCs w:val="24"/>
          <w:lang w:eastAsia="pt-BR"/>
        </w:rPr>
        <w:t>2012, que fixa, para as unidades de saúde dos órgãos e entidades que especifica os limites de Plantões por mês dos integrantes das classes de Agente Técnico de Assistência à Saúde, Enfermeiro, Técnico de Enfermagem e Auxiliar de Enfermagem;</w:t>
      </w:r>
    </w:p>
    <w:p w:rsidR="003E6588" w:rsidRDefault="003E6588" w:rsidP="00FD6D30">
      <w:pPr>
        <w:pStyle w:val="Corpodetexto"/>
        <w:tabs>
          <w:tab w:val="left" w:pos="284"/>
          <w:tab w:val="left" w:pos="1418"/>
        </w:tabs>
        <w:ind w:firstLine="1134"/>
        <w:jc w:val="both"/>
        <w:rPr>
          <w:b w:val="0"/>
          <w:iCs/>
          <w:szCs w:val="24"/>
          <w:lang w:eastAsia="pt-BR"/>
        </w:rPr>
      </w:pPr>
    </w:p>
    <w:p w:rsidR="003E6588" w:rsidRDefault="00FD6D30" w:rsidP="00FD6D30">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60.516</w:t>
      </w:r>
      <w:r>
        <w:rPr>
          <w:b w:val="0"/>
          <w:iCs/>
          <w:szCs w:val="24"/>
          <w:lang w:eastAsia="pt-BR"/>
        </w:rPr>
        <w:t>/</w:t>
      </w:r>
      <w:r w:rsidR="003E6588">
        <w:rPr>
          <w:b w:val="0"/>
          <w:iCs/>
          <w:szCs w:val="24"/>
          <w:lang w:eastAsia="pt-BR"/>
        </w:rPr>
        <w:t>2014 - Altera o Subanexo 36 do Anexo IV do Decreto nº 34.915</w:t>
      </w:r>
      <w:r>
        <w:rPr>
          <w:b w:val="0"/>
          <w:iCs/>
          <w:szCs w:val="24"/>
          <w:lang w:eastAsia="pt-BR"/>
        </w:rPr>
        <w:t>/1</w:t>
      </w:r>
      <w:r w:rsidR="003E6588">
        <w:rPr>
          <w:b w:val="0"/>
          <w:iCs/>
          <w:szCs w:val="24"/>
          <w:lang w:eastAsia="pt-BR"/>
        </w:rPr>
        <w:t>992, que fixa diretrizes e identifica unidades para fins de concessão das gratificações instituídas pela Lei Complementar nº 674</w:t>
      </w:r>
      <w:r>
        <w:rPr>
          <w:b w:val="0"/>
          <w:iCs/>
          <w:szCs w:val="24"/>
          <w:lang w:eastAsia="pt-BR"/>
        </w:rPr>
        <w:t>/</w:t>
      </w:r>
      <w:r w:rsidR="003E6588">
        <w:rPr>
          <w:b w:val="0"/>
          <w:iCs/>
          <w:szCs w:val="24"/>
          <w:lang w:eastAsia="pt-BR"/>
        </w:rPr>
        <w:t>1992, na parte referente ao Instituto "Lauro de Souza Lima", e dá providências correlatas;</w:t>
      </w:r>
    </w:p>
    <w:p w:rsidR="003E6588" w:rsidRDefault="003E6588" w:rsidP="00FD6D30">
      <w:pPr>
        <w:pStyle w:val="Corpodetexto"/>
        <w:tabs>
          <w:tab w:val="left" w:pos="284"/>
          <w:tab w:val="left" w:pos="1418"/>
        </w:tabs>
        <w:ind w:firstLine="1134"/>
        <w:jc w:val="both"/>
        <w:rPr>
          <w:b w:val="0"/>
          <w:iCs/>
          <w:szCs w:val="24"/>
          <w:lang w:eastAsia="pt-BR"/>
        </w:rPr>
      </w:pPr>
    </w:p>
    <w:p w:rsidR="003E6588" w:rsidRDefault="00FD6D30" w:rsidP="00FD6D30">
      <w:pPr>
        <w:pStyle w:val="Corpodetexto"/>
        <w:tabs>
          <w:tab w:val="left" w:pos="284"/>
          <w:tab w:val="left" w:pos="1418"/>
        </w:tabs>
        <w:ind w:firstLine="1134"/>
        <w:jc w:val="both"/>
        <w:rPr>
          <w:b w:val="0"/>
          <w:iCs/>
          <w:szCs w:val="24"/>
        </w:rPr>
      </w:pPr>
      <w:r>
        <w:rPr>
          <w:b w:val="0"/>
          <w:iCs/>
          <w:szCs w:val="24"/>
          <w:lang w:eastAsia="pt-BR"/>
        </w:rPr>
        <w:t xml:space="preserve">- </w:t>
      </w:r>
      <w:r w:rsidR="003E6588">
        <w:rPr>
          <w:b w:val="0"/>
          <w:iCs/>
          <w:szCs w:val="24"/>
          <w:lang w:eastAsia="pt-BR"/>
        </w:rPr>
        <w:t>Decreto nº 60.702</w:t>
      </w:r>
      <w:r>
        <w:rPr>
          <w:b w:val="0"/>
          <w:iCs/>
          <w:szCs w:val="24"/>
          <w:lang w:eastAsia="pt-BR"/>
        </w:rPr>
        <w:t>/</w:t>
      </w:r>
      <w:r w:rsidR="003E6588">
        <w:rPr>
          <w:b w:val="0"/>
          <w:iCs/>
          <w:szCs w:val="24"/>
          <w:lang w:eastAsia="pt-BR"/>
        </w:rPr>
        <w:t>2014 - Altera o anexo II, a que se refere o artigo 1º do Decreto nº 58.303</w:t>
      </w:r>
      <w:r>
        <w:rPr>
          <w:b w:val="0"/>
          <w:iCs/>
          <w:szCs w:val="24"/>
          <w:lang w:eastAsia="pt-BR"/>
        </w:rPr>
        <w:t>/</w:t>
      </w:r>
      <w:r w:rsidR="003E6588">
        <w:rPr>
          <w:b w:val="0"/>
          <w:iCs/>
          <w:szCs w:val="24"/>
          <w:lang w:eastAsia="pt-BR"/>
        </w:rPr>
        <w:t xml:space="preserve">2012, que fixa, para as unidades de saúde </w:t>
      </w:r>
      <w:r w:rsidR="003E6588">
        <w:rPr>
          <w:b w:val="0"/>
          <w:iCs/>
          <w:szCs w:val="24"/>
        </w:rPr>
        <w:t>dos órgãos e entidades que especifica, os limites de Plantões por mês dos integrantes das classes de Agente Técnico de Assistência à Saúde, Enfermeiro, Técnico de Enfermagem e Auxiliar de Enfermagem e dá providencias correlatas;</w:t>
      </w:r>
    </w:p>
    <w:p w:rsidR="003E6588" w:rsidRDefault="003E6588" w:rsidP="00FD6D30">
      <w:pPr>
        <w:pStyle w:val="Corpodetexto"/>
        <w:tabs>
          <w:tab w:val="left" w:pos="284"/>
          <w:tab w:val="left" w:pos="1418"/>
        </w:tabs>
        <w:ind w:firstLine="1134"/>
        <w:jc w:val="both"/>
        <w:rPr>
          <w:b w:val="0"/>
          <w:iCs/>
          <w:szCs w:val="24"/>
        </w:rPr>
      </w:pPr>
    </w:p>
    <w:p w:rsidR="003E6588" w:rsidRDefault="00FD6D30" w:rsidP="00FD6D30">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60.732</w:t>
      </w:r>
      <w:r>
        <w:rPr>
          <w:b w:val="0"/>
          <w:iCs/>
          <w:szCs w:val="24"/>
          <w:lang w:eastAsia="pt-BR"/>
        </w:rPr>
        <w:t>/</w:t>
      </w:r>
      <w:r w:rsidR="003E6588">
        <w:rPr>
          <w:b w:val="0"/>
          <w:iCs/>
          <w:szCs w:val="24"/>
          <w:lang w:eastAsia="pt-BR"/>
        </w:rPr>
        <w:t>2014 - Altera dispositivos do Decreto nº 58.239</w:t>
      </w:r>
      <w:r>
        <w:rPr>
          <w:b w:val="0"/>
          <w:iCs/>
          <w:szCs w:val="24"/>
          <w:lang w:eastAsia="pt-BR"/>
        </w:rPr>
        <w:t>/</w:t>
      </w:r>
      <w:r w:rsidR="003E6588">
        <w:rPr>
          <w:b w:val="0"/>
          <w:iCs/>
          <w:szCs w:val="24"/>
          <w:lang w:eastAsia="pt-BR"/>
        </w:rPr>
        <w:t>2012, que disciplina a execução dos Plantões e dos Plantões em Estado de Disponibilidade de que tratam os artigos 1º a 9º da Lei Complementar nº 1.176</w:t>
      </w:r>
      <w:r>
        <w:rPr>
          <w:b w:val="0"/>
          <w:iCs/>
          <w:szCs w:val="24"/>
          <w:lang w:eastAsia="pt-BR"/>
        </w:rPr>
        <w:t>/</w:t>
      </w:r>
      <w:r w:rsidR="003E6588">
        <w:rPr>
          <w:b w:val="0"/>
          <w:iCs/>
          <w:szCs w:val="24"/>
          <w:lang w:eastAsia="pt-BR"/>
        </w:rPr>
        <w:t>2012, e dá providências correlatas;</w:t>
      </w:r>
    </w:p>
    <w:p w:rsidR="003E6588" w:rsidRDefault="003E6588" w:rsidP="00FD6D30">
      <w:pPr>
        <w:pStyle w:val="Corpodetexto"/>
        <w:tabs>
          <w:tab w:val="left" w:pos="284"/>
          <w:tab w:val="left" w:pos="1418"/>
        </w:tabs>
        <w:ind w:firstLine="1134"/>
        <w:jc w:val="both"/>
        <w:rPr>
          <w:b w:val="0"/>
          <w:iCs/>
          <w:szCs w:val="24"/>
          <w:lang w:eastAsia="pt-BR"/>
        </w:rPr>
      </w:pPr>
    </w:p>
    <w:p w:rsidR="003E6588" w:rsidRDefault="00FD6D30" w:rsidP="00FD6D30">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60.805</w:t>
      </w:r>
      <w:r>
        <w:rPr>
          <w:b w:val="0"/>
          <w:iCs/>
          <w:szCs w:val="24"/>
          <w:lang w:eastAsia="pt-BR"/>
        </w:rPr>
        <w:t>/</w:t>
      </w:r>
      <w:r w:rsidR="003E6588">
        <w:rPr>
          <w:b w:val="0"/>
          <w:iCs/>
          <w:szCs w:val="24"/>
          <w:lang w:eastAsia="pt-BR"/>
        </w:rPr>
        <w:t>2014 - Altera dispositivos do Decreto nº 58.239</w:t>
      </w:r>
      <w:r>
        <w:rPr>
          <w:b w:val="0"/>
          <w:iCs/>
          <w:szCs w:val="24"/>
          <w:lang w:eastAsia="pt-BR"/>
        </w:rPr>
        <w:t>/</w:t>
      </w:r>
      <w:r w:rsidR="003E6588">
        <w:rPr>
          <w:b w:val="0"/>
          <w:iCs/>
          <w:szCs w:val="24"/>
          <w:lang w:eastAsia="pt-BR"/>
        </w:rPr>
        <w:t>2012, que disciplina a execução dos Plantões e dos Plantões em Estado de Disponibilidade de que tratam os artigos 1º a 9º da Lei Complementar nº 1.176</w:t>
      </w:r>
      <w:r>
        <w:rPr>
          <w:b w:val="0"/>
          <w:iCs/>
          <w:szCs w:val="24"/>
          <w:lang w:eastAsia="pt-BR"/>
        </w:rPr>
        <w:t>/</w:t>
      </w:r>
      <w:r w:rsidR="003E6588">
        <w:rPr>
          <w:b w:val="0"/>
          <w:iCs/>
          <w:szCs w:val="24"/>
          <w:lang w:eastAsia="pt-BR"/>
        </w:rPr>
        <w:t>2012, e dá providências correlatas;</w:t>
      </w:r>
    </w:p>
    <w:p w:rsidR="003E6588" w:rsidRDefault="003E6588" w:rsidP="00FD6D30">
      <w:pPr>
        <w:pStyle w:val="Corpodetexto"/>
        <w:tabs>
          <w:tab w:val="left" w:pos="284"/>
          <w:tab w:val="left" w:pos="1418"/>
        </w:tabs>
        <w:ind w:firstLine="1134"/>
        <w:jc w:val="both"/>
        <w:rPr>
          <w:b w:val="0"/>
          <w:iCs/>
          <w:szCs w:val="24"/>
          <w:lang w:eastAsia="pt-BR"/>
        </w:rPr>
      </w:pPr>
    </w:p>
    <w:p w:rsidR="003E6588" w:rsidRDefault="00FD6D30" w:rsidP="00FD6D30">
      <w:pPr>
        <w:pStyle w:val="Corpodetexto"/>
        <w:tabs>
          <w:tab w:val="left" w:pos="284"/>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Decreto nº 60.859</w:t>
      </w:r>
      <w:r>
        <w:rPr>
          <w:b w:val="0"/>
          <w:iCs/>
          <w:szCs w:val="24"/>
          <w:lang w:eastAsia="pt-BR"/>
        </w:rPr>
        <w:t>/</w:t>
      </w:r>
      <w:r w:rsidR="003E6588">
        <w:rPr>
          <w:b w:val="0"/>
          <w:iCs/>
          <w:szCs w:val="24"/>
          <w:lang w:eastAsia="pt-BR"/>
        </w:rPr>
        <w:t>2014 - Altera dispositivos do Decreto nº 58.239</w:t>
      </w:r>
      <w:r>
        <w:rPr>
          <w:b w:val="0"/>
          <w:iCs/>
          <w:szCs w:val="24"/>
          <w:lang w:eastAsia="pt-BR"/>
        </w:rPr>
        <w:t>/</w:t>
      </w:r>
      <w:r w:rsidR="003E6588">
        <w:rPr>
          <w:b w:val="0"/>
          <w:iCs/>
          <w:szCs w:val="24"/>
          <w:lang w:eastAsia="pt-BR"/>
        </w:rPr>
        <w:t>2012, que disciplina a execução dos Plantões e dos Plantões em Estado de Disponibilidade de que tratam os artigos 1º a 9º da Lei Complementar nº 1.176</w:t>
      </w:r>
      <w:r>
        <w:rPr>
          <w:b w:val="0"/>
          <w:iCs/>
          <w:szCs w:val="24"/>
          <w:lang w:eastAsia="pt-BR"/>
        </w:rPr>
        <w:t>/</w:t>
      </w:r>
      <w:r w:rsidR="003E6588">
        <w:rPr>
          <w:b w:val="0"/>
          <w:iCs/>
          <w:szCs w:val="24"/>
          <w:lang w:eastAsia="pt-BR"/>
        </w:rPr>
        <w:t>2012, e dá providências correlatas.</w:t>
      </w:r>
    </w:p>
    <w:p w:rsidR="00B03D69" w:rsidRDefault="00B03D69" w:rsidP="00B03D69">
      <w:pPr>
        <w:tabs>
          <w:tab w:val="left" w:pos="284"/>
        </w:tabs>
        <w:ind w:firstLine="1134"/>
        <w:jc w:val="both"/>
        <w:rPr>
          <w:iCs/>
          <w:highlight w:val="green"/>
        </w:rPr>
      </w:pPr>
    </w:p>
    <w:p w:rsidR="003E6588" w:rsidRDefault="003E6588" w:rsidP="00FD6D30">
      <w:pPr>
        <w:pStyle w:val="Corpodetexto"/>
        <w:tabs>
          <w:tab w:val="left" w:pos="284"/>
          <w:tab w:val="left" w:pos="7380"/>
        </w:tabs>
        <w:ind w:firstLine="1134"/>
        <w:jc w:val="both"/>
        <w:rPr>
          <w:iCs/>
          <w:szCs w:val="24"/>
          <w:lang w:eastAsia="pt-BR"/>
        </w:rPr>
      </w:pPr>
      <w:r>
        <w:rPr>
          <w:iCs/>
          <w:szCs w:val="24"/>
          <w:lang w:eastAsia="pt-BR"/>
        </w:rPr>
        <w:t>Na área das Autarquias Especiais</w:t>
      </w:r>
    </w:p>
    <w:p w:rsidR="003E6588" w:rsidRDefault="003E6588" w:rsidP="00B03D69">
      <w:pPr>
        <w:pStyle w:val="Corpodetexto"/>
        <w:tabs>
          <w:tab w:val="left" w:pos="284"/>
          <w:tab w:val="left" w:pos="7380"/>
        </w:tabs>
        <w:ind w:firstLine="1134"/>
        <w:jc w:val="both"/>
        <w:rPr>
          <w:iCs/>
          <w:szCs w:val="24"/>
          <w:lang w:eastAsia="pt-BR"/>
        </w:rPr>
      </w:pPr>
    </w:p>
    <w:p w:rsidR="003E6588" w:rsidRDefault="00FD6D30" w:rsidP="00FD6D30">
      <w:pPr>
        <w:pStyle w:val="Corpodetexto"/>
        <w:tabs>
          <w:tab w:val="left" w:pos="284"/>
          <w:tab w:val="left" w:pos="1560"/>
        </w:tabs>
        <w:ind w:firstLine="1134"/>
        <w:jc w:val="both"/>
        <w:rPr>
          <w:b w:val="0"/>
          <w:iCs/>
          <w:szCs w:val="24"/>
          <w:lang w:eastAsia="pt-BR"/>
        </w:rPr>
      </w:pPr>
      <w:r>
        <w:rPr>
          <w:b w:val="0"/>
          <w:iCs/>
          <w:szCs w:val="24"/>
          <w:lang w:eastAsia="pt-BR"/>
        </w:rPr>
        <w:lastRenderedPageBreak/>
        <w:t xml:space="preserve">- </w:t>
      </w:r>
      <w:r w:rsidR="003E6588">
        <w:rPr>
          <w:b w:val="0"/>
          <w:iCs/>
          <w:szCs w:val="24"/>
          <w:lang w:eastAsia="pt-BR"/>
        </w:rPr>
        <w:t>Lei Complementar nº 1.233</w:t>
      </w:r>
      <w:r>
        <w:rPr>
          <w:b w:val="0"/>
          <w:iCs/>
          <w:szCs w:val="24"/>
          <w:lang w:eastAsia="pt-BR"/>
        </w:rPr>
        <w:t>/</w:t>
      </w:r>
      <w:r w:rsidR="003E6588">
        <w:rPr>
          <w:b w:val="0"/>
          <w:iCs/>
          <w:szCs w:val="24"/>
          <w:lang w:eastAsia="pt-BR"/>
        </w:rPr>
        <w:t>2014 - Dispõe sobre a reclassificação dos salários fixados pelos Anexos I e II a que se refere o artigo 58 da Lei Complementar nº 1.025</w:t>
      </w:r>
      <w:r>
        <w:rPr>
          <w:b w:val="0"/>
          <w:iCs/>
          <w:szCs w:val="24"/>
          <w:lang w:eastAsia="pt-BR"/>
        </w:rPr>
        <w:t>/</w:t>
      </w:r>
      <w:r w:rsidR="003E6588">
        <w:rPr>
          <w:b w:val="0"/>
          <w:iCs/>
          <w:szCs w:val="24"/>
          <w:lang w:eastAsia="pt-BR"/>
        </w:rPr>
        <w:t>2007, alterados pelo artigo 1º da Lei Complementar nº 1.180</w:t>
      </w:r>
      <w:r>
        <w:rPr>
          <w:b w:val="0"/>
          <w:iCs/>
          <w:szCs w:val="24"/>
          <w:lang w:eastAsia="pt-BR"/>
        </w:rPr>
        <w:t>/</w:t>
      </w:r>
      <w:r w:rsidR="003E6588">
        <w:rPr>
          <w:b w:val="0"/>
          <w:iCs/>
          <w:szCs w:val="24"/>
          <w:lang w:eastAsia="pt-BR"/>
        </w:rPr>
        <w:t>2012, e dá providências correlatas;</w:t>
      </w:r>
    </w:p>
    <w:p w:rsidR="003E6588" w:rsidRDefault="003E6588">
      <w:pPr>
        <w:pStyle w:val="Corpodetexto"/>
        <w:tabs>
          <w:tab w:val="left" w:pos="284"/>
          <w:tab w:val="left" w:pos="1560"/>
        </w:tabs>
        <w:ind w:left="1134"/>
        <w:jc w:val="both"/>
        <w:rPr>
          <w:b w:val="0"/>
          <w:iCs/>
          <w:szCs w:val="24"/>
          <w:lang w:eastAsia="pt-BR"/>
        </w:rPr>
      </w:pPr>
    </w:p>
    <w:p w:rsidR="003E6588" w:rsidRDefault="00FD6D30" w:rsidP="00FD6D30">
      <w:pPr>
        <w:pStyle w:val="Corpodetexto"/>
        <w:tabs>
          <w:tab w:val="left" w:pos="284"/>
          <w:tab w:val="left" w:pos="1560"/>
        </w:tabs>
        <w:ind w:firstLine="1134"/>
        <w:jc w:val="both"/>
        <w:rPr>
          <w:b w:val="0"/>
          <w:iCs/>
          <w:szCs w:val="24"/>
          <w:lang w:eastAsia="pt-BR"/>
        </w:rPr>
      </w:pPr>
      <w:r>
        <w:rPr>
          <w:b w:val="0"/>
          <w:szCs w:val="24"/>
        </w:rPr>
        <w:t xml:space="preserve">- </w:t>
      </w:r>
      <w:hyperlink r:id="rId50" w:tgtFrame="_top" w:history="1">
        <w:r w:rsidR="003E6588">
          <w:rPr>
            <w:b w:val="0"/>
            <w:iCs/>
            <w:szCs w:val="24"/>
            <w:lang w:eastAsia="pt-BR"/>
          </w:rPr>
          <w:t>Lei Complementar nº</w:t>
        </w:r>
      </w:hyperlink>
      <w:r w:rsidR="003E6588">
        <w:rPr>
          <w:b w:val="0"/>
          <w:iCs/>
          <w:szCs w:val="24"/>
          <w:lang w:eastAsia="pt-BR"/>
        </w:rPr>
        <w:t xml:space="preserve"> 1.236</w:t>
      </w:r>
      <w:r>
        <w:rPr>
          <w:b w:val="0"/>
          <w:iCs/>
          <w:szCs w:val="24"/>
          <w:lang w:eastAsia="pt-BR"/>
        </w:rPr>
        <w:t>/</w:t>
      </w:r>
      <w:r w:rsidR="003E6588">
        <w:rPr>
          <w:b w:val="0"/>
          <w:iCs/>
          <w:szCs w:val="24"/>
          <w:lang w:eastAsia="pt-BR"/>
        </w:rPr>
        <w:t>2014 - Dispõe sobre a reclassificação dos salários dos integrantes do Quadro de Pessoal Técnico e Administrativo da Faculdade de Medicina de São José do Rio Preto - FAMERP e dá providências correlatas;</w:t>
      </w:r>
    </w:p>
    <w:p w:rsidR="003E6588" w:rsidRDefault="003E6588" w:rsidP="00FD6D30">
      <w:pPr>
        <w:pStyle w:val="Corpodetexto"/>
        <w:tabs>
          <w:tab w:val="left" w:pos="284"/>
          <w:tab w:val="left" w:pos="1560"/>
        </w:tabs>
        <w:ind w:firstLine="1134"/>
        <w:jc w:val="both"/>
        <w:rPr>
          <w:b w:val="0"/>
          <w:iCs/>
          <w:szCs w:val="24"/>
          <w:lang w:eastAsia="pt-BR"/>
        </w:rPr>
      </w:pPr>
    </w:p>
    <w:p w:rsidR="003E6588" w:rsidRDefault="00FD6D30" w:rsidP="00FD6D30">
      <w:pPr>
        <w:pStyle w:val="Corpodetexto"/>
        <w:tabs>
          <w:tab w:val="left" w:pos="284"/>
          <w:tab w:val="left" w:pos="1560"/>
        </w:tabs>
        <w:ind w:firstLine="1134"/>
        <w:jc w:val="both"/>
        <w:rPr>
          <w:b w:val="0"/>
          <w:iCs/>
          <w:szCs w:val="24"/>
          <w:lang w:eastAsia="pt-BR"/>
        </w:rPr>
      </w:pPr>
      <w:r>
        <w:rPr>
          <w:b w:val="0"/>
          <w:szCs w:val="24"/>
        </w:rPr>
        <w:t xml:space="preserve">- </w:t>
      </w:r>
      <w:hyperlink r:id="rId51" w:tgtFrame="_top" w:history="1">
        <w:r w:rsidR="003E6588">
          <w:rPr>
            <w:b w:val="0"/>
            <w:iCs/>
            <w:szCs w:val="24"/>
            <w:lang w:eastAsia="pt-BR"/>
          </w:rPr>
          <w:t>Lei Complementar nº</w:t>
        </w:r>
      </w:hyperlink>
      <w:r w:rsidR="003E6588">
        <w:rPr>
          <w:b w:val="0"/>
          <w:iCs/>
          <w:szCs w:val="24"/>
          <w:lang w:eastAsia="pt-BR"/>
        </w:rPr>
        <w:t xml:space="preserve"> 1.237</w:t>
      </w:r>
      <w:r>
        <w:rPr>
          <w:b w:val="0"/>
          <w:iCs/>
          <w:szCs w:val="24"/>
          <w:lang w:eastAsia="pt-BR"/>
        </w:rPr>
        <w:t>/</w:t>
      </w:r>
      <w:r w:rsidR="003E6588">
        <w:rPr>
          <w:b w:val="0"/>
          <w:iCs/>
          <w:szCs w:val="24"/>
          <w:lang w:eastAsia="pt-BR"/>
        </w:rPr>
        <w:t>2014 - Dispõe sobre a reclassificação dos vencimentos dos integrantes da carreira docente da Faculdade de Medicina de São José do Rio Preto - FAMERP, criada pela Lei Complementar nº 1.042</w:t>
      </w:r>
      <w:r>
        <w:rPr>
          <w:b w:val="0"/>
          <w:iCs/>
          <w:szCs w:val="24"/>
          <w:lang w:eastAsia="pt-BR"/>
        </w:rPr>
        <w:t>/</w:t>
      </w:r>
      <w:r w:rsidR="003E6588">
        <w:rPr>
          <w:b w:val="0"/>
          <w:iCs/>
          <w:szCs w:val="24"/>
          <w:lang w:eastAsia="pt-BR"/>
        </w:rPr>
        <w:t>2008, e dá providências correlatas;</w:t>
      </w:r>
    </w:p>
    <w:p w:rsidR="003E6588" w:rsidRDefault="003E6588" w:rsidP="00FD6D30">
      <w:pPr>
        <w:pStyle w:val="Corpodetexto"/>
        <w:tabs>
          <w:tab w:val="left" w:pos="284"/>
          <w:tab w:val="left" w:pos="1560"/>
        </w:tabs>
        <w:ind w:firstLine="1134"/>
        <w:jc w:val="both"/>
        <w:rPr>
          <w:b w:val="0"/>
          <w:iCs/>
          <w:szCs w:val="24"/>
          <w:lang w:eastAsia="pt-BR"/>
        </w:rPr>
      </w:pPr>
    </w:p>
    <w:p w:rsidR="003E6588" w:rsidRDefault="00FD6D30" w:rsidP="00FD6D30">
      <w:pPr>
        <w:pStyle w:val="Corpodetexto"/>
        <w:tabs>
          <w:tab w:val="left" w:pos="284"/>
          <w:tab w:val="left" w:pos="1560"/>
        </w:tabs>
        <w:ind w:firstLine="1134"/>
        <w:jc w:val="both"/>
        <w:rPr>
          <w:b w:val="0"/>
          <w:iCs/>
          <w:szCs w:val="24"/>
          <w:lang w:eastAsia="pt-BR"/>
        </w:rPr>
      </w:pPr>
      <w:r>
        <w:rPr>
          <w:b w:val="0"/>
          <w:szCs w:val="24"/>
        </w:rPr>
        <w:t xml:space="preserve">- </w:t>
      </w:r>
      <w:hyperlink r:id="rId52" w:tgtFrame="_top" w:history="1">
        <w:r w:rsidR="003E6588">
          <w:rPr>
            <w:b w:val="0"/>
            <w:iCs/>
            <w:szCs w:val="24"/>
            <w:lang w:eastAsia="pt-BR"/>
          </w:rPr>
          <w:t>Lei Complementar nº</w:t>
        </w:r>
      </w:hyperlink>
      <w:r w:rsidR="003E6588">
        <w:rPr>
          <w:b w:val="0"/>
          <w:iCs/>
          <w:szCs w:val="24"/>
          <w:lang w:eastAsia="pt-BR"/>
        </w:rPr>
        <w:t xml:space="preserve"> 1.253</w:t>
      </w:r>
      <w:r>
        <w:rPr>
          <w:b w:val="0"/>
          <w:iCs/>
          <w:szCs w:val="24"/>
          <w:lang w:eastAsia="pt-BR"/>
        </w:rPr>
        <w:t>/</w:t>
      </w:r>
      <w:r w:rsidR="003E6588">
        <w:rPr>
          <w:b w:val="0"/>
          <w:iCs/>
          <w:szCs w:val="24"/>
          <w:lang w:eastAsia="pt-BR"/>
        </w:rPr>
        <w:t>2014 - Cria e extingue funções-atividades do Quadro do Hospital das Clínicas da Faculdade de Medicina de Ribeirão Preto da Universidade de São Paulo e dá providências correlatas.</w:t>
      </w:r>
    </w:p>
    <w:p w:rsidR="00FD6D30" w:rsidRDefault="00FD6D30" w:rsidP="00FD6D30">
      <w:pPr>
        <w:pStyle w:val="Corpodetexto"/>
        <w:tabs>
          <w:tab w:val="left" w:pos="284"/>
          <w:tab w:val="left" w:pos="1560"/>
        </w:tabs>
        <w:ind w:firstLine="1134"/>
        <w:jc w:val="both"/>
        <w:rPr>
          <w:b w:val="0"/>
          <w:iCs/>
          <w:szCs w:val="24"/>
          <w:lang w:eastAsia="pt-BR"/>
        </w:rPr>
      </w:pPr>
    </w:p>
    <w:p w:rsidR="003E6588" w:rsidRDefault="00FD6D30" w:rsidP="00FD6D30">
      <w:pPr>
        <w:pStyle w:val="Corpodetexto"/>
        <w:tabs>
          <w:tab w:val="left" w:pos="284"/>
          <w:tab w:val="left" w:pos="1560"/>
        </w:tabs>
        <w:ind w:firstLine="1134"/>
        <w:jc w:val="both"/>
        <w:rPr>
          <w:b w:val="0"/>
          <w:iCs/>
          <w:szCs w:val="24"/>
          <w:lang w:eastAsia="pt-BR"/>
        </w:rPr>
      </w:pPr>
      <w:r>
        <w:rPr>
          <w:b w:val="0"/>
          <w:iCs/>
          <w:szCs w:val="24"/>
          <w:lang w:eastAsia="pt-BR"/>
        </w:rPr>
        <w:t xml:space="preserve">- </w:t>
      </w:r>
      <w:r w:rsidR="003E6588">
        <w:rPr>
          <w:b w:val="0"/>
          <w:iCs/>
          <w:szCs w:val="24"/>
          <w:lang w:eastAsia="pt-BR"/>
        </w:rPr>
        <w:t>Decreto nº 60.206</w:t>
      </w:r>
      <w:r>
        <w:rPr>
          <w:b w:val="0"/>
          <w:iCs/>
          <w:szCs w:val="24"/>
          <w:lang w:eastAsia="pt-BR"/>
        </w:rPr>
        <w:t>/</w:t>
      </w:r>
      <w:r w:rsidR="003E6588">
        <w:rPr>
          <w:b w:val="0"/>
          <w:iCs/>
          <w:szCs w:val="24"/>
          <w:lang w:eastAsia="pt-BR"/>
        </w:rPr>
        <w:t>2014 - Dispõe sobre a vinculação do Quadro Especial em Extinção criado pela Lei Complementar nº 1.130</w:t>
      </w:r>
      <w:r w:rsidR="00B03D69">
        <w:rPr>
          <w:b w:val="0"/>
          <w:iCs/>
          <w:szCs w:val="24"/>
          <w:lang w:eastAsia="pt-BR"/>
        </w:rPr>
        <w:t>/</w:t>
      </w:r>
      <w:r w:rsidR="003E6588">
        <w:rPr>
          <w:b w:val="0"/>
          <w:iCs/>
          <w:szCs w:val="24"/>
          <w:lang w:eastAsia="pt-BR"/>
        </w:rPr>
        <w:t>2010, à Secretaria de Desenvolvimento Econômico, Ciência, Tecnologia e Inovação, e dá providências correlatas;</w:t>
      </w:r>
    </w:p>
    <w:p w:rsidR="003E6588" w:rsidRDefault="003E6588">
      <w:pPr>
        <w:pStyle w:val="Corpodetexto"/>
        <w:tabs>
          <w:tab w:val="left" w:pos="284"/>
          <w:tab w:val="left" w:pos="1560"/>
        </w:tabs>
        <w:ind w:left="1134"/>
        <w:jc w:val="both"/>
        <w:rPr>
          <w:b w:val="0"/>
          <w:iCs/>
          <w:szCs w:val="24"/>
          <w:lang w:eastAsia="pt-BR"/>
        </w:rPr>
      </w:pPr>
    </w:p>
    <w:p w:rsidR="003E6588" w:rsidRPr="00631025" w:rsidRDefault="003E6588" w:rsidP="00FD6D30">
      <w:pPr>
        <w:pStyle w:val="Corpodetexto"/>
        <w:ind w:firstLine="1134"/>
        <w:jc w:val="both"/>
        <w:rPr>
          <w:b w:val="0"/>
          <w:iCs/>
          <w:szCs w:val="24"/>
          <w:lang w:eastAsia="pt-BR"/>
        </w:rPr>
      </w:pPr>
      <w:r w:rsidRPr="00631025">
        <w:rPr>
          <w:b w:val="0"/>
          <w:iCs/>
          <w:szCs w:val="24"/>
          <w:lang w:eastAsia="pt-BR"/>
        </w:rPr>
        <w:t>Participação na elaboração de projetos concluídos no período e em trâmite legislativo</w:t>
      </w:r>
      <w:r w:rsidR="00B03D69">
        <w:rPr>
          <w:b w:val="0"/>
          <w:iCs/>
          <w:szCs w:val="24"/>
          <w:lang w:eastAsia="pt-BR"/>
        </w:rPr>
        <w:t>.</w:t>
      </w:r>
    </w:p>
    <w:p w:rsidR="003E6588" w:rsidRDefault="003E6588" w:rsidP="00B03D69">
      <w:pPr>
        <w:pStyle w:val="Corpodetexto"/>
        <w:tabs>
          <w:tab w:val="left" w:pos="7380"/>
        </w:tabs>
        <w:ind w:firstLine="1134"/>
        <w:jc w:val="both"/>
        <w:rPr>
          <w:b w:val="0"/>
          <w:iCs/>
          <w:szCs w:val="24"/>
          <w:lang w:eastAsia="pt-BR"/>
        </w:rPr>
      </w:pPr>
    </w:p>
    <w:p w:rsidR="003E6588" w:rsidRDefault="003E6588" w:rsidP="00FD6D30">
      <w:pPr>
        <w:pStyle w:val="Corpodetexto"/>
        <w:tabs>
          <w:tab w:val="left" w:pos="7380"/>
        </w:tabs>
        <w:ind w:firstLine="1134"/>
        <w:jc w:val="both"/>
        <w:rPr>
          <w:iCs/>
          <w:szCs w:val="24"/>
          <w:lang w:eastAsia="pt-BR"/>
        </w:rPr>
      </w:pPr>
      <w:r>
        <w:rPr>
          <w:iCs/>
          <w:szCs w:val="24"/>
          <w:lang w:eastAsia="pt-BR"/>
        </w:rPr>
        <w:t>Na área de Autarquias</w:t>
      </w:r>
    </w:p>
    <w:p w:rsidR="00FD6D30" w:rsidRDefault="00FD6D30" w:rsidP="00FD6D30">
      <w:pPr>
        <w:pStyle w:val="Corpodetexto"/>
        <w:tabs>
          <w:tab w:val="left" w:pos="7380"/>
        </w:tabs>
        <w:ind w:firstLine="1134"/>
        <w:jc w:val="both"/>
        <w:rPr>
          <w:iCs/>
          <w:szCs w:val="24"/>
          <w:lang w:eastAsia="pt-BR"/>
        </w:rPr>
      </w:pPr>
    </w:p>
    <w:p w:rsidR="003E6588" w:rsidRDefault="00FD6D30" w:rsidP="00FD6D30">
      <w:pPr>
        <w:pStyle w:val="Corpodetexto"/>
        <w:tabs>
          <w:tab w:val="left" w:pos="426"/>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PL nº 1/2014 - Cria a Região Metropolitana de Sorocaba;</w:t>
      </w:r>
    </w:p>
    <w:p w:rsidR="003E6588" w:rsidRDefault="003E6588" w:rsidP="00FD6D30">
      <w:pPr>
        <w:pStyle w:val="Corpodetexto"/>
        <w:tabs>
          <w:tab w:val="left" w:pos="426"/>
          <w:tab w:val="left" w:pos="1418"/>
        </w:tabs>
        <w:ind w:firstLine="1134"/>
        <w:jc w:val="both"/>
        <w:rPr>
          <w:b w:val="0"/>
          <w:iCs/>
          <w:szCs w:val="24"/>
          <w:lang w:eastAsia="pt-BR"/>
        </w:rPr>
      </w:pPr>
    </w:p>
    <w:p w:rsidR="003E6588" w:rsidRDefault="00FD6D30" w:rsidP="00FD6D30">
      <w:pPr>
        <w:pStyle w:val="Corpodetexto"/>
        <w:tabs>
          <w:tab w:val="left" w:pos="426"/>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PLC nº 3/2014 - Dispõe sobre a criação da Agência Metropolitana do Vale do Paraíba e Litoral Norte - AGEMVALE;</w:t>
      </w:r>
    </w:p>
    <w:p w:rsidR="003E6588" w:rsidRDefault="003E6588" w:rsidP="00FD6D30">
      <w:pPr>
        <w:pStyle w:val="Corpodetexto"/>
        <w:tabs>
          <w:tab w:val="left" w:pos="426"/>
          <w:tab w:val="left" w:pos="1418"/>
        </w:tabs>
        <w:ind w:firstLine="1134"/>
        <w:jc w:val="both"/>
        <w:rPr>
          <w:b w:val="0"/>
          <w:iCs/>
          <w:szCs w:val="24"/>
          <w:lang w:eastAsia="pt-BR"/>
        </w:rPr>
      </w:pPr>
    </w:p>
    <w:p w:rsidR="003E6588" w:rsidRDefault="00FD6D30" w:rsidP="00FD6D30">
      <w:pPr>
        <w:pStyle w:val="Corpodetexto"/>
        <w:tabs>
          <w:tab w:val="left" w:pos="426"/>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PLC nº 13/2014 - Dispõe sobre a criação de empregos públicos em confiança e altera a Lei Complementar nº 1.195</w:t>
      </w:r>
      <w:r>
        <w:rPr>
          <w:b w:val="0"/>
          <w:iCs/>
          <w:szCs w:val="24"/>
          <w:lang w:eastAsia="pt-BR"/>
        </w:rPr>
        <w:t>/</w:t>
      </w:r>
      <w:r w:rsidR="003E6588">
        <w:rPr>
          <w:b w:val="0"/>
          <w:iCs/>
          <w:szCs w:val="24"/>
          <w:lang w:eastAsia="pt-BR"/>
        </w:rPr>
        <w:t>2013, que transforma o Departamento Estadual de Trânsito - DETRAN em autarquia e dá providências correlatas;</w:t>
      </w:r>
    </w:p>
    <w:p w:rsidR="003E6588" w:rsidRDefault="003E6588" w:rsidP="00FD6D30">
      <w:pPr>
        <w:pStyle w:val="Corpodetexto"/>
        <w:tabs>
          <w:tab w:val="left" w:pos="426"/>
          <w:tab w:val="left" w:pos="1418"/>
        </w:tabs>
        <w:ind w:firstLine="1134"/>
        <w:jc w:val="both"/>
        <w:rPr>
          <w:b w:val="0"/>
          <w:iCs/>
          <w:szCs w:val="24"/>
          <w:lang w:eastAsia="pt-BR"/>
        </w:rPr>
      </w:pPr>
    </w:p>
    <w:p w:rsidR="003E6588" w:rsidRDefault="00FD6D30" w:rsidP="00FD6D30">
      <w:pPr>
        <w:pStyle w:val="Corpodetexto"/>
        <w:tabs>
          <w:tab w:val="left" w:pos="426"/>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PLC nº 31/2014 - Confere personalidade jurídica, como entidade autárquica, ao Hospital das Clínicas da Faculdade de Medicina de Marília - HCFAMEMA;</w:t>
      </w:r>
    </w:p>
    <w:p w:rsidR="003E6588" w:rsidRDefault="003E6588" w:rsidP="00FD6D30">
      <w:pPr>
        <w:pStyle w:val="Corpodetexto"/>
        <w:tabs>
          <w:tab w:val="left" w:pos="426"/>
          <w:tab w:val="left" w:pos="1418"/>
        </w:tabs>
        <w:ind w:firstLine="1134"/>
        <w:jc w:val="both"/>
        <w:rPr>
          <w:b w:val="0"/>
          <w:iCs/>
          <w:szCs w:val="24"/>
          <w:lang w:eastAsia="pt-BR"/>
        </w:rPr>
      </w:pPr>
    </w:p>
    <w:p w:rsidR="003E6588" w:rsidRDefault="00FD6D30" w:rsidP="00FD6D30">
      <w:pPr>
        <w:pStyle w:val="Corpodetexto"/>
        <w:tabs>
          <w:tab w:val="left" w:pos="426"/>
          <w:tab w:val="left" w:pos="1418"/>
        </w:tabs>
        <w:ind w:firstLine="1134"/>
        <w:jc w:val="both"/>
        <w:rPr>
          <w:b w:val="0"/>
          <w:iCs/>
          <w:szCs w:val="24"/>
          <w:lang w:eastAsia="pt-BR"/>
        </w:rPr>
      </w:pPr>
      <w:r>
        <w:rPr>
          <w:b w:val="0"/>
          <w:iCs/>
          <w:szCs w:val="24"/>
          <w:lang w:eastAsia="pt-BR"/>
        </w:rPr>
        <w:t xml:space="preserve">- </w:t>
      </w:r>
      <w:r w:rsidR="003E6588">
        <w:rPr>
          <w:b w:val="0"/>
          <w:iCs/>
          <w:szCs w:val="24"/>
          <w:lang w:eastAsia="pt-BR"/>
        </w:rPr>
        <w:t>PLC nº 33/2014 - Institui o Plano de Carreiras e Classes, de Empregos Públicos e Sistema Retribuitório para os empregados da Agência Reguladora de Serviços Públicos Delegados de Transporte do Estado de São Paulo - ARTESP.</w:t>
      </w:r>
    </w:p>
    <w:p w:rsidR="003E6588" w:rsidRDefault="003E6588">
      <w:pPr>
        <w:pStyle w:val="Corpodetexto"/>
        <w:tabs>
          <w:tab w:val="left" w:pos="426"/>
          <w:tab w:val="left" w:pos="7380"/>
        </w:tabs>
        <w:ind w:firstLine="1134"/>
        <w:rPr>
          <w:b w:val="0"/>
          <w:iCs/>
          <w:szCs w:val="24"/>
          <w:lang w:eastAsia="pt-BR"/>
        </w:rPr>
      </w:pPr>
    </w:p>
    <w:p w:rsidR="003E6588" w:rsidRDefault="003E6588" w:rsidP="00FD6D30">
      <w:pPr>
        <w:pStyle w:val="Corpodetexto"/>
        <w:tabs>
          <w:tab w:val="left" w:pos="426"/>
          <w:tab w:val="left" w:pos="7380"/>
        </w:tabs>
        <w:ind w:firstLine="1134"/>
        <w:jc w:val="both"/>
        <w:rPr>
          <w:b w:val="0"/>
          <w:szCs w:val="24"/>
        </w:rPr>
      </w:pPr>
      <w:r>
        <w:rPr>
          <w:iCs/>
          <w:szCs w:val="24"/>
          <w:lang w:eastAsia="pt-BR"/>
        </w:rPr>
        <w:t>Na área de Educação</w:t>
      </w:r>
      <w:r w:rsidR="00FD6D30">
        <w:rPr>
          <w:iCs/>
          <w:szCs w:val="24"/>
          <w:lang w:eastAsia="pt-BR"/>
        </w:rPr>
        <w:t xml:space="preserve"> </w:t>
      </w:r>
      <w:r w:rsidR="00FD6D30">
        <w:rPr>
          <w:b w:val="0"/>
          <w:iCs/>
          <w:szCs w:val="24"/>
          <w:lang w:eastAsia="pt-BR"/>
        </w:rPr>
        <w:t xml:space="preserve">- </w:t>
      </w:r>
      <w:r>
        <w:rPr>
          <w:b w:val="0"/>
          <w:iCs/>
          <w:szCs w:val="24"/>
          <w:lang w:eastAsia="pt-BR"/>
        </w:rPr>
        <w:t xml:space="preserve">PLC nº 23/2014 - Dispõe sobre Estágio Probatório e institui Avaliação Periódica de Desempenho Individual para os ocupantes do cargo de Diretor de Escola e </w:t>
      </w:r>
      <w:r>
        <w:rPr>
          <w:b w:val="0"/>
          <w:iCs/>
          <w:szCs w:val="24"/>
          <w:lang w:eastAsia="pt-BR"/>
        </w:rPr>
        <w:lastRenderedPageBreak/>
        <w:t>Gratificação de Gestão Educacional para os integrantes das classes de suporte pedagógico do Quadro do Magistério da Secretaria da Educação e dá providências correlatas.</w:t>
      </w:r>
    </w:p>
    <w:p w:rsidR="003E6588" w:rsidRDefault="003E6588">
      <w:pPr>
        <w:pStyle w:val="Corpodetexto"/>
        <w:tabs>
          <w:tab w:val="left" w:pos="426"/>
          <w:tab w:val="left" w:pos="1418"/>
        </w:tabs>
        <w:ind w:left="1134"/>
        <w:jc w:val="both"/>
        <w:rPr>
          <w:b w:val="0"/>
          <w:szCs w:val="24"/>
        </w:rPr>
      </w:pPr>
    </w:p>
    <w:p w:rsidR="003E6588" w:rsidRDefault="003E6588" w:rsidP="00FD6D30">
      <w:pPr>
        <w:pStyle w:val="Corpodetexto"/>
        <w:tabs>
          <w:tab w:val="left" w:pos="426"/>
          <w:tab w:val="left" w:pos="7380"/>
        </w:tabs>
        <w:ind w:firstLine="1134"/>
        <w:jc w:val="both"/>
        <w:rPr>
          <w:b w:val="0"/>
          <w:iCs/>
          <w:szCs w:val="24"/>
          <w:lang w:eastAsia="pt-BR"/>
        </w:rPr>
      </w:pPr>
      <w:r>
        <w:rPr>
          <w:iCs/>
          <w:szCs w:val="24"/>
          <w:lang w:eastAsia="pt-BR"/>
        </w:rPr>
        <w:t>Na área da Advocacia Pública</w:t>
      </w:r>
      <w:r w:rsidR="00FD6D30">
        <w:rPr>
          <w:iCs/>
          <w:szCs w:val="24"/>
          <w:lang w:eastAsia="pt-BR"/>
        </w:rPr>
        <w:t xml:space="preserve"> - </w:t>
      </w:r>
      <w:r>
        <w:rPr>
          <w:b w:val="0"/>
          <w:iCs/>
          <w:szCs w:val="24"/>
          <w:lang w:eastAsia="pt-BR"/>
        </w:rPr>
        <w:t>PLC nº 25/2013 - Dispõe sobre a Lei Orgânica da Procuradoria Geral do Estado.</w:t>
      </w:r>
    </w:p>
    <w:p w:rsidR="00B03D69" w:rsidRDefault="00B03D69" w:rsidP="00FD6D30">
      <w:pPr>
        <w:pStyle w:val="Corpodetexto"/>
        <w:tabs>
          <w:tab w:val="left" w:pos="426"/>
          <w:tab w:val="left" w:pos="7380"/>
        </w:tabs>
        <w:ind w:firstLine="1134"/>
        <w:jc w:val="both"/>
        <w:rPr>
          <w:b w:val="0"/>
          <w:iCs/>
          <w:szCs w:val="24"/>
          <w:lang w:eastAsia="pt-BR"/>
        </w:rPr>
      </w:pPr>
    </w:p>
    <w:p w:rsidR="003E6588" w:rsidRDefault="003E6588" w:rsidP="00FD6D30">
      <w:pPr>
        <w:pStyle w:val="Corpodetexto"/>
        <w:tabs>
          <w:tab w:val="left" w:pos="426"/>
          <w:tab w:val="left" w:pos="7380"/>
        </w:tabs>
        <w:ind w:firstLine="1134"/>
        <w:jc w:val="both"/>
        <w:rPr>
          <w:b w:val="0"/>
          <w:iCs/>
          <w:szCs w:val="24"/>
          <w:lang w:eastAsia="pt-BR"/>
        </w:rPr>
      </w:pPr>
      <w:r>
        <w:rPr>
          <w:iCs/>
          <w:szCs w:val="24"/>
          <w:lang w:eastAsia="pt-BR"/>
        </w:rPr>
        <w:t>Na área da Gestão Pública e Administração Geral</w:t>
      </w:r>
      <w:r w:rsidR="00FD6D30">
        <w:rPr>
          <w:iCs/>
          <w:szCs w:val="24"/>
          <w:lang w:eastAsia="pt-BR"/>
        </w:rPr>
        <w:t xml:space="preserve"> - </w:t>
      </w:r>
      <w:r>
        <w:rPr>
          <w:b w:val="0"/>
          <w:iCs/>
          <w:szCs w:val="24"/>
          <w:lang w:eastAsia="pt-BR"/>
        </w:rPr>
        <w:t>PLC nº 58/2013 - Autoriza o Poder Executivo a instituir sistema de pontuação diferenciada em concursos públicos, nas condições e para os candidatos que especifica</w:t>
      </w:r>
      <w:r w:rsidR="00631025">
        <w:rPr>
          <w:b w:val="0"/>
          <w:iCs/>
          <w:szCs w:val="24"/>
          <w:lang w:eastAsia="pt-BR"/>
        </w:rPr>
        <w:t>, e dá providências correlatas.</w:t>
      </w:r>
    </w:p>
    <w:p w:rsidR="00631025" w:rsidRDefault="00631025" w:rsidP="00B03D69">
      <w:pPr>
        <w:pStyle w:val="Corpodetexto"/>
        <w:tabs>
          <w:tab w:val="left" w:pos="7380"/>
        </w:tabs>
        <w:ind w:firstLine="1134"/>
        <w:jc w:val="both"/>
        <w:rPr>
          <w:iCs/>
          <w:szCs w:val="24"/>
          <w:lang w:eastAsia="pt-BR"/>
        </w:rPr>
      </w:pPr>
    </w:p>
    <w:p w:rsidR="003E6588" w:rsidRDefault="003E6588" w:rsidP="00631025">
      <w:pPr>
        <w:pStyle w:val="Corpodetexto"/>
        <w:tabs>
          <w:tab w:val="left" w:pos="1418"/>
        </w:tabs>
        <w:ind w:firstLine="1134"/>
        <w:jc w:val="both"/>
        <w:rPr>
          <w:iCs/>
          <w:szCs w:val="24"/>
          <w:lang w:eastAsia="pt-BR"/>
        </w:rPr>
      </w:pPr>
      <w:r>
        <w:rPr>
          <w:iCs/>
          <w:szCs w:val="24"/>
          <w:lang w:eastAsia="pt-BR"/>
        </w:rPr>
        <w:t>Projeções de Custos e Elaboração de Propostas relativas a Pessoal</w:t>
      </w:r>
    </w:p>
    <w:p w:rsidR="003E6588" w:rsidRDefault="003E6588" w:rsidP="00B03D69">
      <w:pPr>
        <w:pStyle w:val="Corpodetexto"/>
        <w:tabs>
          <w:tab w:val="left" w:pos="1418"/>
        </w:tabs>
        <w:ind w:firstLine="1134"/>
        <w:jc w:val="both"/>
        <w:rPr>
          <w:iCs/>
          <w:szCs w:val="24"/>
          <w:lang w:eastAsia="pt-BR"/>
        </w:rPr>
      </w:pPr>
    </w:p>
    <w:p w:rsidR="003E6588" w:rsidRDefault="00631025" w:rsidP="00631025">
      <w:pPr>
        <w:pStyle w:val="Corpodetexto"/>
        <w:tabs>
          <w:tab w:val="left" w:pos="284"/>
          <w:tab w:val="left" w:pos="1418"/>
        </w:tabs>
        <w:ind w:left="1134"/>
        <w:jc w:val="both"/>
        <w:rPr>
          <w:b w:val="0"/>
          <w:iCs/>
          <w:szCs w:val="24"/>
          <w:lang w:eastAsia="pt-BR"/>
        </w:rPr>
      </w:pPr>
      <w:r>
        <w:rPr>
          <w:b w:val="0"/>
          <w:iCs/>
          <w:szCs w:val="24"/>
          <w:lang w:eastAsia="pt-BR"/>
        </w:rPr>
        <w:t xml:space="preserve">- </w:t>
      </w:r>
      <w:r w:rsidR="003E6588">
        <w:rPr>
          <w:b w:val="0"/>
          <w:iCs/>
          <w:szCs w:val="24"/>
          <w:lang w:eastAsia="pt-BR"/>
        </w:rPr>
        <w:t xml:space="preserve">Projeções de custos </w:t>
      </w:r>
      <w:r>
        <w:rPr>
          <w:b w:val="0"/>
          <w:iCs/>
          <w:szCs w:val="24"/>
          <w:lang w:eastAsia="pt-BR"/>
        </w:rPr>
        <w:t>-</w:t>
      </w:r>
      <w:r w:rsidR="003E6588">
        <w:rPr>
          <w:b w:val="0"/>
          <w:iCs/>
          <w:szCs w:val="24"/>
          <w:lang w:eastAsia="pt-BR"/>
        </w:rPr>
        <w:t xml:space="preserve"> 250</w:t>
      </w:r>
    </w:p>
    <w:p w:rsidR="003E6588" w:rsidRDefault="003E6588">
      <w:pPr>
        <w:pStyle w:val="Corpodetexto"/>
        <w:tabs>
          <w:tab w:val="left" w:pos="284"/>
          <w:tab w:val="left" w:pos="1418"/>
        </w:tabs>
        <w:ind w:left="1134"/>
        <w:jc w:val="both"/>
        <w:rPr>
          <w:b w:val="0"/>
          <w:iCs/>
          <w:szCs w:val="24"/>
          <w:lang w:eastAsia="pt-BR"/>
        </w:rPr>
      </w:pPr>
    </w:p>
    <w:p w:rsidR="003E6588" w:rsidRDefault="00631025" w:rsidP="00631025">
      <w:pPr>
        <w:pStyle w:val="Corpodetexto"/>
        <w:tabs>
          <w:tab w:val="left" w:pos="284"/>
          <w:tab w:val="left" w:pos="1418"/>
        </w:tabs>
        <w:ind w:left="1134"/>
        <w:jc w:val="both"/>
        <w:rPr>
          <w:b w:val="0"/>
          <w:iCs/>
          <w:szCs w:val="24"/>
          <w:lang w:eastAsia="pt-BR"/>
        </w:rPr>
      </w:pPr>
      <w:r>
        <w:rPr>
          <w:b w:val="0"/>
          <w:iCs/>
          <w:szCs w:val="24"/>
          <w:lang w:eastAsia="pt-BR"/>
        </w:rPr>
        <w:t xml:space="preserve">- </w:t>
      </w:r>
      <w:r w:rsidR="003E6588">
        <w:rPr>
          <w:b w:val="0"/>
          <w:iCs/>
          <w:szCs w:val="24"/>
          <w:lang w:eastAsia="pt-BR"/>
        </w:rPr>
        <w:t xml:space="preserve">Elaboração e/ou revisão de anteprojetos de leis complementares e leis </w:t>
      </w:r>
      <w:r>
        <w:rPr>
          <w:b w:val="0"/>
          <w:iCs/>
          <w:szCs w:val="24"/>
          <w:lang w:eastAsia="pt-BR"/>
        </w:rPr>
        <w:t>-</w:t>
      </w:r>
      <w:r w:rsidR="003E6588">
        <w:rPr>
          <w:b w:val="0"/>
          <w:iCs/>
          <w:szCs w:val="24"/>
          <w:lang w:eastAsia="pt-BR"/>
        </w:rPr>
        <w:t xml:space="preserve"> 45</w:t>
      </w:r>
    </w:p>
    <w:p w:rsidR="003E6588" w:rsidRDefault="003E6588" w:rsidP="00B03D69">
      <w:pPr>
        <w:ind w:firstLine="1134"/>
        <w:jc w:val="both"/>
        <w:rPr>
          <w:iCs/>
          <w:highlight w:val="green"/>
        </w:rPr>
      </w:pPr>
    </w:p>
    <w:p w:rsidR="003E6588" w:rsidRDefault="003E6588" w:rsidP="00631025">
      <w:pPr>
        <w:pStyle w:val="Corpodetexto"/>
        <w:ind w:firstLine="1134"/>
        <w:jc w:val="both"/>
        <w:rPr>
          <w:iCs/>
          <w:szCs w:val="24"/>
          <w:lang w:eastAsia="pt-BR"/>
        </w:rPr>
      </w:pPr>
      <w:r>
        <w:rPr>
          <w:iCs/>
          <w:szCs w:val="24"/>
          <w:lang w:eastAsia="pt-BR"/>
        </w:rPr>
        <w:t>Gestão de pessoas e de recursos humanos</w:t>
      </w:r>
    </w:p>
    <w:p w:rsidR="003E6588" w:rsidRDefault="003E6588" w:rsidP="00631025">
      <w:pPr>
        <w:ind w:firstLine="1134"/>
        <w:jc w:val="both"/>
      </w:pPr>
    </w:p>
    <w:p w:rsidR="003E6588" w:rsidRDefault="003E6588" w:rsidP="00631025">
      <w:pPr>
        <w:pStyle w:val="Corpodetexto"/>
        <w:ind w:firstLine="1134"/>
        <w:jc w:val="both"/>
        <w:rPr>
          <w:iCs/>
          <w:szCs w:val="24"/>
          <w:lang w:eastAsia="pt-BR"/>
        </w:rPr>
      </w:pPr>
      <w:r>
        <w:rPr>
          <w:iCs/>
          <w:szCs w:val="24"/>
          <w:lang w:eastAsia="pt-BR"/>
        </w:rPr>
        <w:t>Avaliação de Pessoal</w:t>
      </w:r>
    </w:p>
    <w:p w:rsidR="003E6588" w:rsidRDefault="003E6588" w:rsidP="00B03D69">
      <w:pPr>
        <w:pStyle w:val="Corpodetexto"/>
        <w:tabs>
          <w:tab w:val="left" w:pos="7380"/>
        </w:tabs>
        <w:ind w:firstLine="1134"/>
        <w:jc w:val="both"/>
        <w:rPr>
          <w:b w:val="0"/>
          <w:iCs/>
          <w:szCs w:val="24"/>
          <w:lang w:eastAsia="pt-BR"/>
        </w:rPr>
      </w:pPr>
    </w:p>
    <w:p w:rsidR="003E6588" w:rsidRDefault="003E6588">
      <w:pPr>
        <w:pStyle w:val="Corpodetexto"/>
        <w:tabs>
          <w:tab w:val="left" w:pos="7380"/>
        </w:tabs>
        <w:ind w:firstLine="1134"/>
        <w:jc w:val="both"/>
        <w:rPr>
          <w:b w:val="0"/>
          <w:iCs/>
          <w:szCs w:val="24"/>
          <w:lang w:eastAsia="pt-BR"/>
        </w:rPr>
      </w:pPr>
      <w:r>
        <w:rPr>
          <w:iCs/>
          <w:szCs w:val="24"/>
          <w:lang w:eastAsia="pt-BR"/>
        </w:rPr>
        <w:t xml:space="preserve">Concurso de Promoção  - </w:t>
      </w:r>
      <w:r>
        <w:rPr>
          <w:b w:val="0"/>
          <w:iCs/>
          <w:szCs w:val="24"/>
          <w:lang w:eastAsia="pt-BR"/>
        </w:rPr>
        <w:t>Aplicação do concurso de promoção com 1.207 inscritos e 432 aprovados, em 7 áreas distintas, a saber: Gestão do Atendimento e Comunicações Administrativas; Gestão do Ciclo de Compras e Suprimentos; Contratos de Gestão, Convênios e Parcerias; Gestão do Desenvolvimento do Esporte, Lazer e Cidadania; Planejamento, Orçamento e Finanças; Gestão Estratégica de Pessoas e Recursos Humanos; Sistemas de Informação; e Transporte e Administração de Frotas.</w:t>
      </w:r>
    </w:p>
    <w:p w:rsidR="003E6588" w:rsidRDefault="003E6588" w:rsidP="00B03D69">
      <w:pPr>
        <w:pStyle w:val="Corpodetexto"/>
        <w:tabs>
          <w:tab w:val="left" w:pos="284"/>
          <w:tab w:val="left" w:pos="7380"/>
        </w:tabs>
        <w:ind w:firstLine="1134"/>
        <w:jc w:val="both"/>
        <w:rPr>
          <w:b w:val="0"/>
          <w:iCs/>
          <w:szCs w:val="24"/>
          <w:lang w:eastAsia="pt-BR"/>
        </w:rPr>
      </w:pPr>
    </w:p>
    <w:p w:rsidR="003E6588" w:rsidRDefault="003E6588" w:rsidP="00631025">
      <w:pPr>
        <w:pStyle w:val="Corpodetexto"/>
        <w:tabs>
          <w:tab w:val="left" w:pos="284"/>
          <w:tab w:val="left" w:pos="7380"/>
        </w:tabs>
        <w:ind w:firstLine="1134"/>
        <w:jc w:val="both"/>
        <w:rPr>
          <w:b w:val="0"/>
          <w:iCs/>
          <w:szCs w:val="24"/>
          <w:lang w:eastAsia="pt-BR"/>
        </w:rPr>
      </w:pPr>
      <w:r>
        <w:rPr>
          <w:iCs/>
          <w:szCs w:val="24"/>
          <w:lang w:eastAsia="pt-BR"/>
        </w:rPr>
        <w:t xml:space="preserve">Certificação de Pessoal - </w:t>
      </w:r>
      <w:r>
        <w:rPr>
          <w:b w:val="0"/>
          <w:iCs/>
          <w:szCs w:val="24"/>
          <w:lang w:eastAsia="pt-BR"/>
        </w:rPr>
        <w:t xml:space="preserve">Processo de Certificação para </w:t>
      </w:r>
      <w:r w:rsidR="00631025">
        <w:rPr>
          <w:b w:val="0"/>
          <w:iCs/>
          <w:szCs w:val="24"/>
          <w:lang w:eastAsia="pt-BR"/>
        </w:rPr>
        <w:t>Gerente de Organização Escolar</w:t>
      </w:r>
      <w:r>
        <w:rPr>
          <w:b w:val="0"/>
          <w:iCs/>
          <w:szCs w:val="24"/>
          <w:lang w:eastAsia="pt-BR"/>
        </w:rPr>
        <w:t>.</w:t>
      </w:r>
    </w:p>
    <w:p w:rsidR="003E6588" w:rsidRDefault="003E6588" w:rsidP="00631025">
      <w:pPr>
        <w:pStyle w:val="Corpodetexto"/>
        <w:ind w:firstLine="1134"/>
        <w:jc w:val="both"/>
        <w:rPr>
          <w:b w:val="0"/>
          <w:iCs/>
          <w:szCs w:val="24"/>
        </w:rPr>
      </w:pPr>
    </w:p>
    <w:p w:rsidR="003E6588" w:rsidRDefault="003E6588" w:rsidP="00631025">
      <w:pPr>
        <w:pStyle w:val="Corpodetexto"/>
        <w:ind w:firstLine="1134"/>
        <w:jc w:val="both"/>
        <w:rPr>
          <w:iCs/>
          <w:szCs w:val="24"/>
          <w:lang w:eastAsia="pt-BR"/>
        </w:rPr>
      </w:pPr>
      <w:r>
        <w:rPr>
          <w:iCs/>
          <w:szCs w:val="24"/>
          <w:lang w:eastAsia="pt-BR"/>
        </w:rPr>
        <w:t>Aperfeiçoamento de Pessoas</w:t>
      </w:r>
    </w:p>
    <w:p w:rsidR="003E6588" w:rsidRDefault="003E6588" w:rsidP="00631025">
      <w:pPr>
        <w:pStyle w:val="Corpodetexto"/>
        <w:ind w:firstLine="1134"/>
        <w:jc w:val="both"/>
        <w:rPr>
          <w:b w:val="0"/>
          <w:iCs/>
          <w:szCs w:val="24"/>
        </w:rPr>
      </w:pPr>
    </w:p>
    <w:p w:rsidR="003E6588" w:rsidRDefault="003E6588" w:rsidP="00631025">
      <w:pPr>
        <w:pStyle w:val="Corpodetexto"/>
        <w:tabs>
          <w:tab w:val="left" w:pos="360"/>
        </w:tabs>
        <w:ind w:firstLine="1134"/>
        <w:jc w:val="both"/>
        <w:rPr>
          <w:b w:val="0"/>
          <w:szCs w:val="24"/>
        </w:rPr>
      </w:pPr>
      <w:r>
        <w:rPr>
          <w:szCs w:val="24"/>
        </w:rPr>
        <w:t>I Fórum de Recursos Humanos</w:t>
      </w:r>
      <w:r>
        <w:rPr>
          <w:b w:val="0"/>
          <w:szCs w:val="24"/>
        </w:rPr>
        <w:t xml:space="preserve"> - Ação que reuniu dirigentes dos órgãos setoriais de RH</w:t>
      </w:r>
      <w:r w:rsidR="00631025">
        <w:rPr>
          <w:b w:val="0"/>
          <w:szCs w:val="24"/>
        </w:rPr>
        <w:t>,</w:t>
      </w:r>
      <w:r>
        <w:rPr>
          <w:b w:val="0"/>
          <w:szCs w:val="24"/>
        </w:rPr>
        <w:t xml:space="preserve"> para discutir os desafios do RH no </w:t>
      </w:r>
      <w:r w:rsidR="00631025">
        <w:rPr>
          <w:b w:val="0"/>
          <w:szCs w:val="24"/>
        </w:rPr>
        <w:t xml:space="preserve">Estado </w:t>
      </w:r>
      <w:r>
        <w:rPr>
          <w:b w:val="0"/>
          <w:szCs w:val="24"/>
        </w:rPr>
        <w:t>e propostas para política de recursos humanos.</w:t>
      </w:r>
    </w:p>
    <w:p w:rsidR="003E6588" w:rsidRDefault="003E6588" w:rsidP="00B03D69">
      <w:pPr>
        <w:pStyle w:val="Corpodetexto"/>
        <w:ind w:firstLine="1134"/>
        <w:jc w:val="both"/>
        <w:rPr>
          <w:b w:val="0"/>
          <w:szCs w:val="24"/>
        </w:rPr>
      </w:pPr>
    </w:p>
    <w:p w:rsidR="003E6588" w:rsidRDefault="003E6588">
      <w:pPr>
        <w:pStyle w:val="Corpodetexto"/>
        <w:tabs>
          <w:tab w:val="left" w:pos="360"/>
        </w:tabs>
        <w:ind w:firstLine="1134"/>
        <w:jc w:val="both"/>
        <w:rPr>
          <w:b w:val="0"/>
          <w:szCs w:val="24"/>
        </w:rPr>
      </w:pPr>
      <w:r>
        <w:rPr>
          <w:szCs w:val="24"/>
        </w:rPr>
        <w:t xml:space="preserve">Mapeamento da oferta de capacitação no Estado de São Paulo 2013 </w:t>
      </w:r>
      <w:r>
        <w:rPr>
          <w:b w:val="0"/>
          <w:szCs w:val="24"/>
        </w:rPr>
        <w:t>- Relatório das ofertas de capacitação promovidas pelo Estado de São Paulo.</w:t>
      </w:r>
    </w:p>
    <w:p w:rsidR="003E6588" w:rsidRDefault="003E6588" w:rsidP="00B03D69">
      <w:pPr>
        <w:pStyle w:val="Corpodetexto"/>
        <w:ind w:firstLine="1134"/>
        <w:jc w:val="both"/>
        <w:rPr>
          <w:b w:val="0"/>
          <w:szCs w:val="24"/>
        </w:rPr>
      </w:pPr>
    </w:p>
    <w:p w:rsidR="003E6588" w:rsidRDefault="003E6588">
      <w:pPr>
        <w:pStyle w:val="Corpodetexto"/>
        <w:tabs>
          <w:tab w:val="left" w:pos="360"/>
        </w:tabs>
        <w:ind w:firstLine="1134"/>
        <w:jc w:val="both"/>
        <w:rPr>
          <w:b w:val="0"/>
          <w:szCs w:val="24"/>
        </w:rPr>
      </w:pPr>
      <w:r>
        <w:rPr>
          <w:szCs w:val="24"/>
        </w:rPr>
        <w:t>Congresso anual de gestão de pessoas</w:t>
      </w:r>
      <w:r>
        <w:rPr>
          <w:b w:val="0"/>
          <w:szCs w:val="24"/>
        </w:rPr>
        <w:t xml:space="preserve"> - 21 atividades, 60 convidados e 1.200 congressistas.</w:t>
      </w:r>
    </w:p>
    <w:p w:rsidR="003E6588" w:rsidRDefault="003E6588" w:rsidP="00B03D69">
      <w:pPr>
        <w:pStyle w:val="Corpodetexto"/>
        <w:ind w:firstLine="1134"/>
        <w:jc w:val="both"/>
        <w:rPr>
          <w:b w:val="0"/>
          <w:szCs w:val="24"/>
        </w:rPr>
      </w:pPr>
    </w:p>
    <w:p w:rsidR="003E6588" w:rsidRDefault="003E6588">
      <w:pPr>
        <w:pStyle w:val="Corpodetexto"/>
        <w:tabs>
          <w:tab w:val="left" w:pos="480"/>
        </w:tabs>
        <w:ind w:firstLine="1134"/>
        <w:jc w:val="both"/>
        <w:rPr>
          <w:b w:val="0"/>
          <w:szCs w:val="24"/>
        </w:rPr>
      </w:pPr>
      <w:r>
        <w:rPr>
          <w:szCs w:val="24"/>
        </w:rPr>
        <w:t>Cursos Presenciais</w:t>
      </w:r>
      <w:r>
        <w:rPr>
          <w:b w:val="0"/>
          <w:szCs w:val="24"/>
        </w:rPr>
        <w:t xml:space="preserve"> - Foram realizados 10 cursos presenciais, totalizando 620 vagas.</w:t>
      </w:r>
    </w:p>
    <w:p w:rsidR="00E92D0F" w:rsidRDefault="00E92D0F">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b w:val="0"/>
          <w:szCs w:val="24"/>
        </w:rPr>
      </w:pPr>
      <w:r>
        <w:rPr>
          <w:szCs w:val="24"/>
        </w:rPr>
        <w:lastRenderedPageBreak/>
        <w:t xml:space="preserve">Cursos </w:t>
      </w:r>
      <w:r>
        <w:rPr>
          <w:i/>
          <w:szCs w:val="24"/>
        </w:rPr>
        <w:t>e-learning</w:t>
      </w:r>
      <w:r>
        <w:rPr>
          <w:b w:val="0"/>
          <w:szCs w:val="24"/>
        </w:rPr>
        <w:t xml:space="preserve"> - Foram realizados 9 cursos em EaD, totalizando 2766 vagas; e dois cursos por videoconferência, sendo 271 vagas.</w:t>
      </w:r>
    </w:p>
    <w:p w:rsidR="003E6588" w:rsidRDefault="003E6588" w:rsidP="00B03D69">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b w:val="0"/>
          <w:szCs w:val="24"/>
        </w:rPr>
      </w:pPr>
      <w:r>
        <w:rPr>
          <w:szCs w:val="24"/>
        </w:rPr>
        <w:t>Trilhas de Aprendizagem</w:t>
      </w:r>
      <w:r>
        <w:rPr>
          <w:b w:val="0"/>
          <w:szCs w:val="24"/>
        </w:rPr>
        <w:t xml:space="preserve"> - Produzidas 6 trilhas de aprendizagem.</w:t>
      </w:r>
    </w:p>
    <w:p w:rsidR="003E6588" w:rsidRDefault="003E6588" w:rsidP="00B03D69">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b w:val="0"/>
          <w:szCs w:val="24"/>
        </w:rPr>
      </w:pPr>
      <w:r>
        <w:rPr>
          <w:szCs w:val="24"/>
        </w:rPr>
        <w:t>Diálogos sobre Gestão de Pessoas</w:t>
      </w:r>
      <w:r>
        <w:rPr>
          <w:b w:val="0"/>
          <w:szCs w:val="24"/>
        </w:rPr>
        <w:t xml:space="preserve"> - Encontros bimestrais com temas relacionados à gestão de pessoas. Foram realizados 5 diálogos, com 740 vagas. Todos os diálogos foram gravados e disponibilizados em nosso canal </w:t>
      </w:r>
      <w:r>
        <w:rPr>
          <w:b w:val="0"/>
          <w:i/>
          <w:szCs w:val="24"/>
        </w:rPr>
        <w:t>on line</w:t>
      </w:r>
      <w:r>
        <w:rPr>
          <w:b w:val="0"/>
          <w:szCs w:val="24"/>
        </w:rPr>
        <w:t>.</w:t>
      </w:r>
    </w:p>
    <w:p w:rsidR="003E6588" w:rsidRDefault="003E6588" w:rsidP="00B03D69">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b w:val="0"/>
          <w:szCs w:val="24"/>
        </w:rPr>
      </w:pPr>
      <w:r>
        <w:rPr>
          <w:szCs w:val="24"/>
        </w:rPr>
        <w:t>Livro “Mérito, Desempenho e Resultados”</w:t>
      </w:r>
      <w:r>
        <w:rPr>
          <w:b w:val="0"/>
          <w:szCs w:val="24"/>
        </w:rPr>
        <w:t xml:space="preserve"> - Publicação de livro com 10 capítulos, 314 páginas. Tiragem impressa de 1.000 exemplares, distribuídos pelas Secretarias de Estado, </w:t>
      </w:r>
      <w:r w:rsidR="00DC366D">
        <w:rPr>
          <w:b w:val="0"/>
          <w:szCs w:val="24"/>
        </w:rPr>
        <w:t xml:space="preserve">Procuradoria </w:t>
      </w:r>
      <w:r>
        <w:rPr>
          <w:b w:val="0"/>
          <w:szCs w:val="24"/>
        </w:rPr>
        <w:t xml:space="preserve">Geral do Estado e Autarquias. Disponível livremente em versão </w:t>
      </w:r>
      <w:r>
        <w:rPr>
          <w:b w:val="0"/>
          <w:i/>
          <w:szCs w:val="24"/>
        </w:rPr>
        <w:t>e-book</w:t>
      </w:r>
      <w:r>
        <w:rPr>
          <w:b w:val="0"/>
          <w:szCs w:val="24"/>
        </w:rPr>
        <w:t>.</w:t>
      </w:r>
    </w:p>
    <w:p w:rsidR="003E6588" w:rsidRDefault="003E6588" w:rsidP="00B03D69">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b w:val="0"/>
          <w:szCs w:val="24"/>
        </w:rPr>
      </w:pPr>
      <w:r>
        <w:rPr>
          <w:szCs w:val="24"/>
        </w:rPr>
        <w:t>Cartilha PAP-RH</w:t>
      </w:r>
      <w:r>
        <w:rPr>
          <w:b w:val="0"/>
          <w:szCs w:val="24"/>
        </w:rPr>
        <w:t xml:space="preserve"> - Cartilha de divulgação das atividades do Programa de Aperfeiçoamento de Pessoal em Gestão de Pessoas e Recursos Humanos, com vistas a orientar os dirigentes de recursos humanos sobre a capacitação e aos processos dos eventos ofertados pela Unidade Central de Recursos Humanos por meio do PAP-RH, e quanto ao desenvolvimento da gestão de recursos humanos e a gestão de pessoas </w:t>
      </w:r>
      <w:r w:rsidR="00DC366D">
        <w:rPr>
          <w:b w:val="0"/>
          <w:szCs w:val="24"/>
        </w:rPr>
        <w:t xml:space="preserve">por meio </w:t>
      </w:r>
      <w:r>
        <w:rPr>
          <w:b w:val="0"/>
          <w:szCs w:val="24"/>
        </w:rPr>
        <w:t>da formação do capital intelectual do Governo do Estado. Produção de 200 cartilhas.</w:t>
      </w:r>
    </w:p>
    <w:p w:rsidR="003E6588" w:rsidRDefault="003E6588" w:rsidP="00B03D69">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b w:val="0"/>
          <w:szCs w:val="24"/>
        </w:rPr>
      </w:pPr>
      <w:r>
        <w:rPr>
          <w:szCs w:val="24"/>
        </w:rPr>
        <w:t>Ambiente AVA</w:t>
      </w:r>
      <w:r>
        <w:rPr>
          <w:b w:val="0"/>
          <w:szCs w:val="24"/>
        </w:rPr>
        <w:t xml:space="preserve"> - Ambiente virtual para suporte aos cursos e eventos promovidos pelo PAP-RH e das trilhas de aprendizagem.</w:t>
      </w:r>
    </w:p>
    <w:p w:rsidR="003E6588" w:rsidRDefault="003E6588" w:rsidP="00B03D69">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b w:val="0"/>
          <w:szCs w:val="24"/>
        </w:rPr>
      </w:pPr>
      <w:r>
        <w:rPr>
          <w:szCs w:val="24"/>
        </w:rPr>
        <w:t>Evento de Comemoração do Dia do Servidor</w:t>
      </w:r>
      <w:r>
        <w:rPr>
          <w:b w:val="0"/>
          <w:szCs w:val="24"/>
        </w:rPr>
        <w:t xml:space="preserve"> - Videoconferência em comemoração ao dia do servidor público, transmitido ao vivo através da tecReg.</w:t>
      </w:r>
    </w:p>
    <w:p w:rsidR="003E6588" w:rsidRDefault="003E6588" w:rsidP="00B03D69">
      <w:pPr>
        <w:pStyle w:val="Corpodetexto"/>
        <w:tabs>
          <w:tab w:val="left" w:pos="480"/>
        </w:tabs>
        <w:ind w:firstLine="1134"/>
        <w:jc w:val="both"/>
        <w:rPr>
          <w:b w:val="0"/>
          <w:szCs w:val="24"/>
        </w:rPr>
      </w:pPr>
    </w:p>
    <w:p w:rsidR="003E6588" w:rsidRDefault="003E6588">
      <w:pPr>
        <w:pStyle w:val="Corpodetexto"/>
        <w:tabs>
          <w:tab w:val="left" w:pos="480"/>
        </w:tabs>
        <w:ind w:firstLine="1134"/>
        <w:jc w:val="both"/>
        <w:rPr>
          <w:szCs w:val="24"/>
        </w:rPr>
      </w:pPr>
      <w:r>
        <w:rPr>
          <w:szCs w:val="24"/>
        </w:rPr>
        <w:t>Outras atividades</w:t>
      </w:r>
    </w:p>
    <w:p w:rsidR="003E6588" w:rsidRDefault="003E6588">
      <w:pPr>
        <w:pStyle w:val="Corpodetexto"/>
        <w:tabs>
          <w:tab w:val="left" w:pos="480"/>
        </w:tabs>
        <w:ind w:firstLine="1134"/>
        <w:jc w:val="both"/>
        <w:rPr>
          <w:szCs w:val="24"/>
        </w:rPr>
      </w:pPr>
    </w:p>
    <w:p w:rsidR="003E6588" w:rsidRPr="00DC366D" w:rsidRDefault="00DC366D" w:rsidP="00DC366D">
      <w:pPr>
        <w:pStyle w:val="PargrafodaLista"/>
        <w:tabs>
          <w:tab w:val="left" w:pos="240"/>
          <w:tab w:val="left" w:pos="480"/>
        </w:tabs>
        <w:ind w:left="1134"/>
        <w:rPr>
          <w:rFonts w:ascii="Times New Roman" w:hAnsi="Times New Roman"/>
          <w:sz w:val="24"/>
          <w:szCs w:val="24"/>
        </w:rPr>
      </w:pPr>
      <w:r w:rsidRPr="00DC366D">
        <w:rPr>
          <w:rFonts w:ascii="Times New Roman" w:hAnsi="Times New Roman"/>
          <w:i/>
          <w:sz w:val="24"/>
          <w:szCs w:val="24"/>
        </w:rPr>
        <w:t xml:space="preserve">- </w:t>
      </w:r>
      <w:r w:rsidR="003E6588" w:rsidRPr="00DC366D">
        <w:rPr>
          <w:rFonts w:ascii="Times New Roman" w:hAnsi="Times New Roman"/>
          <w:i/>
          <w:sz w:val="24"/>
          <w:szCs w:val="24"/>
        </w:rPr>
        <w:t>e-zine -</w:t>
      </w:r>
      <w:r w:rsidR="003E6588" w:rsidRPr="00DC366D">
        <w:rPr>
          <w:rFonts w:ascii="Times New Roman" w:hAnsi="Times New Roman"/>
          <w:sz w:val="24"/>
          <w:szCs w:val="24"/>
        </w:rPr>
        <w:t xml:space="preserve"> Boletim semanal da UCRH sobre gestão e pessoas. Foram editados 25 </w:t>
      </w:r>
      <w:r w:rsidR="003E6588" w:rsidRPr="00DC366D">
        <w:rPr>
          <w:rFonts w:ascii="Times New Roman" w:hAnsi="Times New Roman"/>
          <w:i/>
          <w:sz w:val="24"/>
          <w:szCs w:val="24"/>
        </w:rPr>
        <w:t>e-zines</w:t>
      </w:r>
      <w:r w:rsidR="003E6588" w:rsidRPr="00DC366D">
        <w:rPr>
          <w:rFonts w:ascii="Times New Roman" w:hAnsi="Times New Roman"/>
          <w:sz w:val="24"/>
          <w:szCs w:val="24"/>
        </w:rPr>
        <w:t>.</w:t>
      </w:r>
    </w:p>
    <w:p w:rsidR="003E6588" w:rsidRPr="00DC366D" w:rsidRDefault="003E6588">
      <w:pPr>
        <w:pStyle w:val="PargrafodaLista"/>
        <w:tabs>
          <w:tab w:val="left" w:pos="240"/>
          <w:tab w:val="left" w:pos="480"/>
        </w:tabs>
        <w:ind w:left="1134"/>
        <w:rPr>
          <w:rFonts w:ascii="Times New Roman" w:hAnsi="Times New Roman"/>
          <w:sz w:val="24"/>
          <w:szCs w:val="24"/>
        </w:rPr>
      </w:pPr>
    </w:p>
    <w:p w:rsidR="003E6588" w:rsidRPr="00DC366D" w:rsidRDefault="00DC366D" w:rsidP="00DC366D">
      <w:pPr>
        <w:pStyle w:val="PargrafodaLista"/>
        <w:tabs>
          <w:tab w:val="left" w:pos="240"/>
          <w:tab w:val="left" w:pos="480"/>
        </w:tabs>
        <w:ind w:left="1134"/>
        <w:rPr>
          <w:rFonts w:ascii="Times New Roman" w:hAnsi="Times New Roman"/>
          <w:sz w:val="24"/>
          <w:szCs w:val="24"/>
        </w:rPr>
      </w:pPr>
      <w:r w:rsidRPr="00DC366D">
        <w:rPr>
          <w:rFonts w:ascii="Times New Roman" w:hAnsi="Times New Roman"/>
          <w:sz w:val="24"/>
          <w:szCs w:val="24"/>
        </w:rPr>
        <w:t xml:space="preserve">- </w:t>
      </w:r>
      <w:r w:rsidR="003E6588" w:rsidRPr="00DC366D">
        <w:rPr>
          <w:rFonts w:ascii="Times New Roman" w:hAnsi="Times New Roman"/>
          <w:sz w:val="24"/>
          <w:szCs w:val="24"/>
        </w:rPr>
        <w:t>Encontro das escolas de Governo - Realizados 3 encontros;</w:t>
      </w:r>
    </w:p>
    <w:p w:rsidR="003E6588" w:rsidRPr="00DC366D" w:rsidRDefault="003E6588">
      <w:pPr>
        <w:pStyle w:val="PargrafodaLista"/>
        <w:tabs>
          <w:tab w:val="left" w:pos="240"/>
          <w:tab w:val="left" w:pos="480"/>
        </w:tabs>
        <w:ind w:left="0"/>
        <w:rPr>
          <w:rFonts w:ascii="Times New Roman" w:hAnsi="Times New Roman"/>
          <w:sz w:val="24"/>
          <w:szCs w:val="24"/>
        </w:rPr>
      </w:pPr>
    </w:p>
    <w:p w:rsidR="003E6588" w:rsidRDefault="00DC366D" w:rsidP="00DC366D">
      <w:pPr>
        <w:pStyle w:val="PargrafodaLista"/>
        <w:tabs>
          <w:tab w:val="left" w:pos="240"/>
          <w:tab w:val="left" w:pos="480"/>
        </w:tabs>
        <w:ind w:left="0" w:firstLine="1134"/>
        <w:rPr>
          <w:rFonts w:ascii="Times New Roman" w:hAnsi="Times New Roman"/>
          <w:sz w:val="24"/>
          <w:szCs w:val="24"/>
        </w:rPr>
      </w:pPr>
      <w:r w:rsidRPr="00DC366D">
        <w:rPr>
          <w:rFonts w:ascii="Times New Roman" w:hAnsi="Times New Roman"/>
          <w:sz w:val="24"/>
          <w:szCs w:val="24"/>
        </w:rPr>
        <w:t xml:space="preserve">- </w:t>
      </w:r>
      <w:r w:rsidR="003E6588" w:rsidRPr="00DC366D">
        <w:rPr>
          <w:rFonts w:ascii="Times New Roman" w:hAnsi="Times New Roman"/>
          <w:sz w:val="24"/>
          <w:szCs w:val="24"/>
        </w:rPr>
        <w:t>Encontro com Setoriais de Recursos Humanos</w:t>
      </w:r>
      <w:r w:rsidR="003E6588">
        <w:rPr>
          <w:rFonts w:ascii="Times New Roman" w:hAnsi="Times New Roman"/>
          <w:sz w:val="24"/>
          <w:szCs w:val="24"/>
        </w:rPr>
        <w:t xml:space="preserve"> - Realizados 11 encontros com os órgãos das Secretarias e Autarquias.</w:t>
      </w:r>
    </w:p>
    <w:p w:rsidR="003E6588" w:rsidRDefault="003E6588">
      <w:pPr>
        <w:pStyle w:val="PargrafodaLista"/>
        <w:tabs>
          <w:tab w:val="left" w:pos="240"/>
          <w:tab w:val="left" w:pos="480"/>
        </w:tabs>
        <w:ind w:left="0" w:firstLine="1134"/>
        <w:rPr>
          <w:rFonts w:ascii="Times New Roman" w:hAnsi="Times New Roman"/>
          <w:sz w:val="24"/>
          <w:szCs w:val="24"/>
        </w:rPr>
      </w:pPr>
    </w:p>
    <w:p w:rsidR="003E6588" w:rsidRPr="00B03D69" w:rsidRDefault="003E6588" w:rsidP="00B03D69">
      <w:pPr>
        <w:pStyle w:val="Corpodetexto"/>
        <w:ind w:firstLine="1134"/>
        <w:jc w:val="both"/>
        <w:rPr>
          <w:b w:val="0"/>
          <w:szCs w:val="24"/>
        </w:rPr>
      </w:pPr>
      <w:r>
        <w:rPr>
          <w:iCs/>
          <w:szCs w:val="24"/>
          <w:lang w:eastAsia="pt-BR"/>
        </w:rPr>
        <w:t>Redes Sociais e Sistemas Integrados de Apoio</w:t>
      </w:r>
      <w:r w:rsidR="00B03D69">
        <w:rPr>
          <w:iCs/>
          <w:szCs w:val="24"/>
          <w:lang w:eastAsia="pt-BR"/>
        </w:rPr>
        <w:t xml:space="preserve"> - </w:t>
      </w:r>
      <w:r w:rsidRPr="00B03D69">
        <w:rPr>
          <w:b w:val="0"/>
          <w:szCs w:val="24"/>
        </w:rPr>
        <w:t xml:space="preserve">Vclipping: </w:t>
      </w:r>
      <w:hyperlink r:id="rId53" w:history="1">
        <w:r w:rsidRPr="00E92D0F">
          <w:rPr>
            <w:rStyle w:val="Hyperlink"/>
            <w:b w:val="0"/>
            <w:color w:val="auto"/>
            <w:szCs w:val="24"/>
            <w:u w:val="none"/>
          </w:rPr>
          <w:t>HTTP://www.recursoshumanos.sp.gov.br/vcclipping</w:t>
        </w:r>
      </w:hyperlink>
      <w:r w:rsidRPr="00B03D69">
        <w:rPr>
          <w:b w:val="0"/>
          <w:szCs w:val="24"/>
        </w:rPr>
        <w:t xml:space="preserve"> - A legislação pertinente de RH do Estado é disponibilizada em tecnologia </w:t>
      </w:r>
      <w:r w:rsidRPr="00B03D69">
        <w:rPr>
          <w:b w:val="0"/>
          <w:i/>
          <w:szCs w:val="24"/>
        </w:rPr>
        <w:t>Wiki</w:t>
      </w:r>
      <w:r w:rsidRPr="00B03D69">
        <w:rPr>
          <w:b w:val="0"/>
          <w:szCs w:val="24"/>
        </w:rPr>
        <w:t>. Possibilita inserção da legislação de forma mais ágil e dinâmica.</w:t>
      </w:r>
    </w:p>
    <w:p w:rsidR="003E6588" w:rsidRDefault="003E6588">
      <w:pPr>
        <w:pStyle w:val="PargrafodaLista"/>
        <w:tabs>
          <w:tab w:val="left" w:pos="284"/>
        </w:tabs>
        <w:ind w:left="0" w:right="-93" w:firstLine="1134"/>
        <w:rPr>
          <w:rFonts w:ascii="Times New Roman" w:hAnsi="Times New Roman"/>
          <w:sz w:val="24"/>
          <w:szCs w:val="24"/>
        </w:rPr>
      </w:pPr>
    </w:p>
    <w:p w:rsidR="003E6588" w:rsidRDefault="00DC366D" w:rsidP="00DC366D">
      <w:pPr>
        <w:pStyle w:val="PargrafodaLista"/>
        <w:tabs>
          <w:tab w:val="left" w:pos="284"/>
        </w:tabs>
        <w:ind w:left="1134" w:right="567"/>
        <w:rPr>
          <w:rFonts w:ascii="Times New Roman" w:hAnsi="Times New Roman"/>
          <w:bCs/>
          <w:sz w:val="24"/>
          <w:szCs w:val="24"/>
        </w:rPr>
      </w:pPr>
      <w:r>
        <w:rPr>
          <w:rFonts w:ascii="Times New Roman" w:hAnsi="Times New Roman"/>
          <w:sz w:val="24"/>
          <w:szCs w:val="24"/>
        </w:rPr>
        <w:t xml:space="preserve">- </w:t>
      </w:r>
      <w:r w:rsidR="003E6588">
        <w:rPr>
          <w:rFonts w:ascii="Times New Roman" w:hAnsi="Times New Roman"/>
          <w:sz w:val="24"/>
          <w:szCs w:val="24"/>
        </w:rPr>
        <w:t xml:space="preserve">Total de visualizações - </w:t>
      </w:r>
      <w:r w:rsidR="003E6588">
        <w:rPr>
          <w:rFonts w:ascii="Times New Roman" w:hAnsi="Times New Roman"/>
          <w:bCs/>
          <w:sz w:val="24"/>
          <w:szCs w:val="24"/>
        </w:rPr>
        <w:t>1.599.799.</w:t>
      </w:r>
    </w:p>
    <w:p w:rsidR="003E6588" w:rsidRDefault="003E6588">
      <w:pPr>
        <w:pStyle w:val="PargrafodaLista"/>
        <w:tabs>
          <w:tab w:val="left" w:pos="284"/>
        </w:tabs>
        <w:ind w:left="1134" w:right="567"/>
        <w:rPr>
          <w:rFonts w:ascii="Times New Roman" w:hAnsi="Times New Roman"/>
          <w:bCs/>
          <w:sz w:val="24"/>
          <w:szCs w:val="24"/>
        </w:rPr>
      </w:pPr>
    </w:p>
    <w:p w:rsidR="003E6588" w:rsidRDefault="00DC366D" w:rsidP="00DC366D">
      <w:pPr>
        <w:pStyle w:val="PargrafodaLista"/>
        <w:tabs>
          <w:tab w:val="left" w:pos="284"/>
        </w:tabs>
        <w:ind w:left="1134" w:right="567"/>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Total de normas publicadas - 1.091.</w:t>
      </w:r>
    </w:p>
    <w:p w:rsidR="003E6588" w:rsidRDefault="003E6588">
      <w:pPr>
        <w:pStyle w:val="PargrafodaLista"/>
        <w:tabs>
          <w:tab w:val="left" w:pos="284"/>
        </w:tabs>
        <w:ind w:left="0" w:right="567"/>
        <w:rPr>
          <w:rFonts w:ascii="Times New Roman" w:hAnsi="Times New Roman"/>
          <w:sz w:val="24"/>
          <w:szCs w:val="24"/>
        </w:rPr>
      </w:pPr>
    </w:p>
    <w:p w:rsidR="003E6588" w:rsidRDefault="00DC366D" w:rsidP="00DC366D">
      <w:pPr>
        <w:pStyle w:val="PargrafodaLista"/>
        <w:tabs>
          <w:tab w:val="left" w:pos="284"/>
        </w:tabs>
        <w:ind w:left="1134" w:right="567"/>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Total de normas disponibilizadas - 4.847.</w:t>
      </w:r>
    </w:p>
    <w:p w:rsidR="003E6588" w:rsidRDefault="003E6588">
      <w:pPr>
        <w:pStyle w:val="PargrafodaLista"/>
        <w:tabs>
          <w:tab w:val="left" w:pos="284"/>
        </w:tabs>
        <w:ind w:left="0" w:right="567"/>
        <w:rPr>
          <w:rFonts w:ascii="Times New Roman" w:hAnsi="Times New Roman"/>
          <w:sz w:val="24"/>
          <w:szCs w:val="24"/>
        </w:rPr>
      </w:pPr>
    </w:p>
    <w:p w:rsidR="003E6588" w:rsidRDefault="003E6588">
      <w:pPr>
        <w:ind w:right="567" w:firstLine="1134"/>
        <w:jc w:val="both"/>
        <w:rPr>
          <w:bCs/>
        </w:rPr>
      </w:pPr>
      <w:r w:rsidRPr="00DC366D">
        <w:rPr>
          <w:b/>
          <w:i/>
        </w:rPr>
        <w:t>S</w:t>
      </w:r>
      <w:r w:rsidRPr="00DC366D">
        <w:rPr>
          <w:b/>
          <w:bCs/>
          <w:i/>
        </w:rPr>
        <w:t>ite</w:t>
      </w:r>
      <w:r w:rsidRPr="00DC366D">
        <w:rPr>
          <w:bCs/>
          <w:i/>
        </w:rPr>
        <w:t xml:space="preserve"> </w:t>
      </w:r>
      <w:hyperlink r:id="rId54" w:history="1">
        <w:r>
          <w:rPr>
            <w:bCs/>
          </w:rPr>
          <w:t>http://www.recursoshumanos.sp.gov.br</w:t>
        </w:r>
      </w:hyperlink>
      <w:r>
        <w:rPr>
          <w:bCs/>
        </w:rPr>
        <w:t xml:space="preserve"> </w:t>
      </w:r>
      <w:r w:rsidR="00DC366D">
        <w:rPr>
          <w:bCs/>
        </w:rPr>
        <w:t>-</w:t>
      </w:r>
      <w:r>
        <w:rPr>
          <w:bCs/>
        </w:rPr>
        <w:t xml:space="preserve"> acessos - 675.374.</w:t>
      </w:r>
    </w:p>
    <w:p w:rsidR="00B03D69" w:rsidRDefault="00B03D69">
      <w:pPr>
        <w:ind w:right="567" w:firstLine="1134"/>
        <w:jc w:val="both"/>
        <w:rPr>
          <w:bCs/>
        </w:rPr>
      </w:pPr>
    </w:p>
    <w:p w:rsidR="003E6588" w:rsidRPr="00DC366D" w:rsidRDefault="003E6588" w:rsidP="00DC366D">
      <w:pPr>
        <w:pStyle w:val="Ttulo3"/>
        <w:spacing w:before="0" w:after="0"/>
        <w:ind w:firstLine="1134"/>
        <w:jc w:val="both"/>
        <w:rPr>
          <w:rFonts w:ascii="Times New Roman" w:hAnsi="Times New Roman"/>
          <w:sz w:val="24"/>
          <w:szCs w:val="24"/>
          <w:lang w:val="pt-BR"/>
        </w:rPr>
      </w:pPr>
      <w:bookmarkStart w:id="13" w:name="_Toc343616406"/>
      <w:r w:rsidRPr="00DC366D">
        <w:rPr>
          <w:rFonts w:ascii="Times New Roman" w:hAnsi="Times New Roman"/>
          <w:sz w:val="24"/>
          <w:szCs w:val="24"/>
          <w:lang w:val="pt-BR"/>
        </w:rPr>
        <w:t xml:space="preserve">Canal </w:t>
      </w:r>
      <w:r w:rsidRPr="00DC366D">
        <w:rPr>
          <w:rFonts w:ascii="Times New Roman" w:hAnsi="Times New Roman"/>
          <w:i/>
          <w:sz w:val="24"/>
          <w:szCs w:val="24"/>
          <w:lang w:val="pt-BR"/>
        </w:rPr>
        <w:t>on line</w:t>
      </w:r>
    </w:p>
    <w:p w:rsidR="003E6588" w:rsidRPr="00DC366D" w:rsidRDefault="003E6588" w:rsidP="00B03D69">
      <w:pPr>
        <w:jc w:val="both"/>
        <w:rPr>
          <w:lang w:eastAsia="en-US"/>
        </w:rPr>
      </w:pPr>
    </w:p>
    <w:p w:rsidR="003E6588" w:rsidRDefault="00DC366D" w:rsidP="00DC366D">
      <w:pPr>
        <w:pStyle w:val="PargrafodaLista"/>
        <w:tabs>
          <w:tab w:val="left" w:pos="284"/>
        </w:tabs>
        <w:ind w:left="1134"/>
        <w:jc w:val="left"/>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245.151 visualizações.</w:t>
      </w:r>
    </w:p>
    <w:p w:rsidR="003E6588" w:rsidRDefault="003E6588">
      <w:pPr>
        <w:pStyle w:val="PargrafodaLista"/>
        <w:tabs>
          <w:tab w:val="left" w:pos="284"/>
        </w:tabs>
        <w:ind w:left="1134"/>
        <w:jc w:val="left"/>
        <w:rPr>
          <w:rFonts w:ascii="Times New Roman" w:hAnsi="Times New Roman"/>
          <w:sz w:val="24"/>
          <w:szCs w:val="24"/>
        </w:rPr>
      </w:pPr>
    </w:p>
    <w:p w:rsidR="003E6588" w:rsidRDefault="00DC366D" w:rsidP="00DC366D">
      <w:pPr>
        <w:pStyle w:val="PargrafodaLista"/>
        <w:tabs>
          <w:tab w:val="left" w:pos="284"/>
        </w:tabs>
        <w:ind w:left="1134"/>
        <w:jc w:val="left"/>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2.738.661 minutos assistidos.</w:t>
      </w:r>
    </w:p>
    <w:p w:rsidR="003E6588" w:rsidRDefault="003E6588">
      <w:pPr>
        <w:pStyle w:val="PargrafodaLista"/>
        <w:tabs>
          <w:tab w:val="left" w:pos="284"/>
        </w:tabs>
        <w:ind w:left="0"/>
        <w:jc w:val="left"/>
        <w:rPr>
          <w:rFonts w:ascii="Times New Roman" w:hAnsi="Times New Roman"/>
          <w:sz w:val="24"/>
          <w:szCs w:val="24"/>
        </w:rPr>
      </w:pPr>
    </w:p>
    <w:p w:rsidR="003E6588" w:rsidRDefault="00DC366D" w:rsidP="00DC366D">
      <w:pPr>
        <w:pStyle w:val="PargrafodaLista"/>
        <w:tabs>
          <w:tab w:val="left" w:pos="284"/>
        </w:tabs>
        <w:ind w:left="1134"/>
        <w:jc w:val="left"/>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1.769 inscritos.</w:t>
      </w:r>
    </w:p>
    <w:p w:rsidR="003E6588" w:rsidRDefault="003E6588">
      <w:pPr>
        <w:pStyle w:val="PargrafodaLista"/>
        <w:tabs>
          <w:tab w:val="left" w:pos="284"/>
        </w:tabs>
        <w:ind w:left="0" w:firstLine="1134"/>
        <w:jc w:val="left"/>
        <w:rPr>
          <w:rFonts w:ascii="Times New Roman" w:hAnsi="Times New Roman"/>
          <w:sz w:val="24"/>
          <w:szCs w:val="24"/>
        </w:rPr>
      </w:pPr>
    </w:p>
    <w:bookmarkEnd w:id="13"/>
    <w:p w:rsidR="003E6588" w:rsidRDefault="003E6588">
      <w:pPr>
        <w:pStyle w:val="Corpodetexto"/>
        <w:ind w:firstLine="1134"/>
        <w:jc w:val="both"/>
        <w:rPr>
          <w:b w:val="0"/>
          <w:szCs w:val="24"/>
        </w:rPr>
      </w:pPr>
      <w:r>
        <w:rPr>
          <w:szCs w:val="24"/>
        </w:rPr>
        <w:t>Sistema de Cadastro de Cargos e Funções-Atividade - SICAD</w:t>
      </w:r>
      <w:r>
        <w:rPr>
          <w:b w:val="0"/>
          <w:szCs w:val="24"/>
        </w:rPr>
        <w:t xml:space="preserve"> </w:t>
      </w:r>
      <w:r>
        <w:rPr>
          <w:szCs w:val="24"/>
        </w:rPr>
        <w:t>- Decreto nº 50.881/</w:t>
      </w:r>
      <w:r w:rsidR="00B03D69">
        <w:rPr>
          <w:szCs w:val="24"/>
        </w:rPr>
        <w:t>20</w:t>
      </w:r>
      <w:r>
        <w:rPr>
          <w:szCs w:val="24"/>
        </w:rPr>
        <w:t>06 -</w:t>
      </w:r>
      <w:r>
        <w:rPr>
          <w:b w:val="0"/>
          <w:szCs w:val="24"/>
        </w:rPr>
        <w:t xml:space="preserve"> Coordenação e orientação técnica aos setoriais de recursos humanos quanto à manutenção do Sistema.</w:t>
      </w:r>
    </w:p>
    <w:p w:rsidR="003E6588" w:rsidRDefault="003E6588">
      <w:pPr>
        <w:pStyle w:val="Corpodetexto"/>
        <w:jc w:val="both"/>
        <w:rPr>
          <w:b w:val="0"/>
          <w:szCs w:val="24"/>
        </w:rPr>
      </w:pPr>
    </w:p>
    <w:p w:rsidR="003E6588" w:rsidRDefault="003E6588" w:rsidP="00DC366D">
      <w:pPr>
        <w:pStyle w:val="Corpodetexto"/>
        <w:tabs>
          <w:tab w:val="left" w:pos="284"/>
        </w:tabs>
        <w:ind w:firstLine="1134"/>
        <w:jc w:val="both"/>
        <w:rPr>
          <w:b w:val="0"/>
          <w:szCs w:val="24"/>
        </w:rPr>
      </w:pPr>
      <w:r>
        <w:rPr>
          <w:b w:val="0"/>
          <w:szCs w:val="24"/>
        </w:rPr>
        <w:t>Quantidade de cargos, funções-atividades e empregos públicos implantados e mantidos pelos setoriais de recursos humanos - 661.261.</w:t>
      </w:r>
    </w:p>
    <w:p w:rsidR="003E6588" w:rsidRDefault="003E6588" w:rsidP="00DC366D">
      <w:pPr>
        <w:pStyle w:val="Corpodetexto"/>
        <w:tabs>
          <w:tab w:val="left" w:pos="284"/>
        </w:tabs>
        <w:ind w:firstLine="1134"/>
        <w:jc w:val="both"/>
        <w:rPr>
          <w:b w:val="0"/>
          <w:szCs w:val="24"/>
        </w:rPr>
      </w:pPr>
    </w:p>
    <w:p w:rsidR="003E6588" w:rsidRDefault="003E6588" w:rsidP="00DC366D">
      <w:pPr>
        <w:pStyle w:val="Corpodetexto"/>
        <w:tabs>
          <w:tab w:val="left" w:pos="284"/>
        </w:tabs>
        <w:ind w:firstLine="1134"/>
        <w:jc w:val="both"/>
        <w:rPr>
          <w:b w:val="0"/>
          <w:szCs w:val="24"/>
        </w:rPr>
      </w:pPr>
      <w:r>
        <w:rPr>
          <w:b w:val="0"/>
          <w:szCs w:val="24"/>
        </w:rPr>
        <w:t>Criação de cargos/empregos públicos (permanente e em comissão) - 9.049.</w:t>
      </w:r>
    </w:p>
    <w:p w:rsidR="003E6588" w:rsidRDefault="003E6588" w:rsidP="00DC366D">
      <w:pPr>
        <w:pStyle w:val="Corpodetexto"/>
        <w:tabs>
          <w:tab w:val="left" w:pos="284"/>
        </w:tabs>
        <w:ind w:firstLine="1134"/>
        <w:jc w:val="both"/>
        <w:rPr>
          <w:b w:val="0"/>
          <w:szCs w:val="24"/>
        </w:rPr>
      </w:pPr>
    </w:p>
    <w:p w:rsidR="003E6588" w:rsidRDefault="003E6588" w:rsidP="00DC366D">
      <w:pPr>
        <w:pStyle w:val="Corpodetexto"/>
        <w:tabs>
          <w:tab w:val="left" w:pos="284"/>
        </w:tabs>
        <w:ind w:firstLine="1134"/>
        <w:jc w:val="both"/>
        <w:rPr>
          <w:b w:val="0"/>
          <w:szCs w:val="24"/>
        </w:rPr>
      </w:pPr>
      <w:r>
        <w:rPr>
          <w:b w:val="0"/>
          <w:szCs w:val="24"/>
        </w:rPr>
        <w:t>Extinção de cargos/funções-atividades/empregos públicos (permanentes e em comissão) - 1.713.</w:t>
      </w:r>
    </w:p>
    <w:p w:rsidR="003E6588" w:rsidRDefault="003E6588" w:rsidP="00DC366D">
      <w:pPr>
        <w:pStyle w:val="Corpodetexto"/>
        <w:tabs>
          <w:tab w:val="left" w:pos="284"/>
        </w:tabs>
        <w:ind w:firstLine="1134"/>
        <w:jc w:val="both"/>
        <w:rPr>
          <w:b w:val="0"/>
          <w:szCs w:val="24"/>
        </w:rPr>
      </w:pPr>
    </w:p>
    <w:p w:rsidR="003E6588" w:rsidRDefault="003E6588" w:rsidP="00DC366D">
      <w:pPr>
        <w:pStyle w:val="Corpodetexto"/>
        <w:tabs>
          <w:tab w:val="left" w:pos="284"/>
        </w:tabs>
        <w:ind w:firstLine="1134"/>
        <w:jc w:val="both"/>
        <w:rPr>
          <w:b w:val="0"/>
          <w:szCs w:val="24"/>
        </w:rPr>
      </w:pPr>
      <w:r>
        <w:rPr>
          <w:b w:val="0"/>
          <w:szCs w:val="24"/>
        </w:rPr>
        <w:t>Quantidade de cargos, funções-atividades e empregos públicos integrados ao BCEP - 15.871.</w:t>
      </w:r>
    </w:p>
    <w:p w:rsidR="003E6588" w:rsidRDefault="003E6588">
      <w:pPr>
        <w:ind w:firstLine="1134"/>
        <w:jc w:val="both"/>
      </w:pPr>
    </w:p>
    <w:p w:rsidR="003E6588" w:rsidRDefault="003E6588">
      <w:pPr>
        <w:pStyle w:val="Corpodetexto"/>
        <w:ind w:firstLine="1134"/>
        <w:jc w:val="both"/>
        <w:rPr>
          <w:b w:val="0"/>
          <w:szCs w:val="24"/>
        </w:rPr>
      </w:pPr>
      <w:r>
        <w:rPr>
          <w:szCs w:val="24"/>
        </w:rPr>
        <w:t xml:space="preserve">Sistema de Informações Pessoais, Reflexos e Encargos Sociais do Estado - </w:t>
      </w:r>
      <w:r>
        <w:rPr>
          <w:b w:val="0"/>
          <w:szCs w:val="24"/>
        </w:rPr>
        <w:t>Atendimento - consultas de dados de informações de pessoas no âmbito da administração direta e das autarquias.</w:t>
      </w:r>
    </w:p>
    <w:p w:rsidR="003E6588" w:rsidRDefault="003E6588">
      <w:pPr>
        <w:pStyle w:val="Corpodetexto"/>
        <w:ind w:firstLine="1134"/>
        <w:jc w:val="both"/>
        <w:rPr>
          <w:b w:val="0"/>
          <w:szCs w:val="24"/>
        </w:rPr>
      </w:pPr>
    </w:p>
    <w:p w:rsidR="003E6588" w:rsidRDefault="003E6588">
      <w:pPr>
        <w:pStyle w:val="Corpodetexto"/>
        <w:tabs>
          <w:tab w:val="left" w:pos="426"/>
        </w:tabs>
        <w:ind w:left="1134"/>
        <w:jc w:val="both"/>
        <w:rPr>
          <w:b w:val="0"/>
          <w:szCs w:val="24"/>
        </w:rPr>
      </w:pPr>
      <w:r>
        <w:rPr>
          <w:b w:val="0"/>
          <w:szCs w:val="24"/>
        </w:rPr>
        <w:t>Pesquisas diversas realizadas no período para órgãos externos: 121.</w:t>
      </w:r>
    </w:p>
    <w:p w:rsidR="003E6588" w:rsidRDefault="003E6588">
      <w:pPr>
        <w:ind w:firstLine="1134"/>
        <w:jc w:val="both"/>
      </w:pPr>
    </w:p>
    <w:p w:rsidR="003E6588" w:rsidRDefault="003E6588" w:rsidP="00DC366D">
      <w:pPr>
        <w:pStyle w:val="Corpodetexto"/>
        <w:ind w:firstLine="1134"/>
        <w:jc w:val="both"/>
        <w:rPr>
          <w:iCs/>
          <w:szCs w:val="24"/>
          <w:lang w:eastAsia="pt-BR"/>
        </w:rPr>
      </w:pPr>
      <w:r>
        <w:rPr>
          <w:iCs/>
          <w:szCs w:val="24"/>
          <w:lang w:eastAsia="pt-BR"/>
        </w:rPr>
        <w:t>Atividades de Rotina</w:t>
      </w:r>
    </w:p>
    <w:p w:rsidR="003E6588" w:rsidRPr="00E92D0F" w:rsidRDefault="003E6588" w:rsidP="00E92D0F">
      <w:pPr>
        <w:pStyle w:val="Corpodetexto"/>
        <w:ind w:firstLine="1134"/>
        <w:jc w:val="both"/>
        <w:rPr>
          <w:b w:val="0"/>
          <w:iCs/>
          <w:szCs w:val="24"/>
          <w:lang w:eastAsia="pt-BR"/>
        </w:rPr>
      </w:pPr>
    </w:p>
    <w:p w:rsidR="003E6588" w:rsidRDefault="003E6588">
      <w:pPr>
        <w:pStyle w:val="Corpodetexto"/>
        <w:tabs>
          <w:tab w:val="left" w:pos="284"/>
        </w:tabs>
        <w:ind w:left="1134"/>
        <w:jc w:val="both"/>
        <w:rPr>
          <w:szCs w:val="24"/>
        </w:rPr>
      </w:pPr>
      <w:r>
        <w:rPr>
          <w:szCs w:val="24"/>
        </w:rPr>
        <w:t>Análises e Avaliações Técnicas</w:t>
      </w:r>
    </w:p>
    <w:p w:rsidR="003E6588" w:rsidRDefault="003E6588">
      <w:pPr>
        <w:pStyle w:val="Corpodetexto"/>
        <w:tabs>
          <w:tab w:val="left" w:pos="284"/>
        </w:tabs>
        <w:ind w:left="1134"/>
        <w:jc w:val="both"/>
        <w:rPr>
          <w:szCs w:val="24"/>
        </w:rPr>
      </w:pPr>
    </w:p>
    <w:p w:rsidR="003E6588" w:rsidRPr="00DC366D" w:rsidRDefault="003E6588" w:rsidP="00DC366D">
      <w:pPr>
        <w:pStyle w:val="PargrafodaLista"/>
        <w:tabs>
          <w:tab w:val="left" w:pos="284"/>
        </w:tabs>
        <w:ind w:left="0" w:firstLine="1134"/>
        <w:rPr>
          <w:rFonts w:ascii="Times New Roman" w:hAnsi="Times New Roman"/>
          <w:sz w:val="24"/>
          <w:szCs w:val="24"/>
        </w:rPr>
      </w:pPr>
      <w:r w:rsidRPr="00DC366D">
        <w:rPr>
          <w:rFonts w:ascii="Times New Roman" w:hAnsi="Times New Roman"/>
          <w:sz w:val="24"/>
          <w:szCs w:val="24"/>
        </w:rPr>
        <w:t>Editais de Concurso Público - 136 minutas de editais de concurso público</w:t>
      </w:r>
      <w:r w:rsidR="00DC366D">
        <w:rPr>
          <w:rFonts w:ascii="Times New Roman" w:hAnsi="Times New Roman"/>
          <w:sz w:val="24"/>
          <w:szCs w:val="24"/>
        </w:rPr>
        <w:t>,</w:t>
      </w:r>
      <w:r w:rsidRPr="00DC366D">
        <w:rPr>
          <w:rFonts w:ascii="Times New Roman" w:hAnsi="Times New Roman"/>
          <w:sz w:val="24"/>
          <w:szCs w:val="24"/>
        </w:rPr>
        <w:t xml:space="preserve"> que correspondem a 9.840 vagas.</w:t>
      </w:r>
    </w:p>
    <w:p w:rsidR="003E6588" w:rsidRPr="00DC366D" w:rsidRDefault="003E6588" w:rsidP="00DC366D">
      <w:pPr>
        <w:pStyle w:val="PargrafodaLista"/>
        <w:tabs>
          <w:tab w:val="left" w:pos="284"/>
        </w:tabs>
        <w:ind w:left="0" w:firstLine="1134"/>
        <w:rPr>
          <w:rFonts w:ascii="Times New Roman" w:hAnsi="Times New Roman"/>
          <w:sz w:val="24"/>
          <w:szCs w:val="24"/>
        </w:rPr>
      </w:pPr>
    </w:p>
    <w:p w:rsidR="003E6588" w:rsidRPr="00DC366D" w:rsidRDefault="003E6588" w:rsidP="00DC366D">
      <w:pPr>
        <w:pStyle w:val="PargrafodaLista"/>
        <w:tabs>
          <w:tab w:val="left" w:pos="284"/>
        </w:tabs>
        <w:ind w:left="0" w:firstLine="1134"/>
        <w:rPr>
          <w:rFonts w:ascii="Times New Roman" w:hAnsi="Times New Roman"/>
          <w:sz w:val="24"/>
          <w:szCs w:val="24"/>
        </w:rPr>
      </w:pPr>
      <w:r w:rsidRPr="00DC366D">
        <w:rPr>
          <w:rFonts w:ascii="Times New Roman" w:hAnsi="Times New Roman"/>
          <w:sz w:val="24"/>
          <w:szCs w:val="24"/>
        </w:rPr>
        <w:t>Autorizações para Concurso Público - 31 autorizações para concurso público</w:t>
      </w:r>
      <w:r w:rsidR="00DC366D">
        <w:rPr>
          <w:rFonts w:ascii="Times New Roman" w:hAnsi="Times New Roman"/>
          <w:sz w:val="24"/>
          <w:szCs w:val="24"/>
        </w:rPr>
        <w:t>,</w:t>
      </w:r>
      <w:r w:rsidRPr="00DC366D">
        <w:rPr>
          <w:rFonts w:ascii="Times New Roman" w:hAnsi="Times New Roman"/>
          <w:sz w:val="24"/>
          <w:szCs w:val="24"/>
        </w:rPr>
        <w:t xml:space="preserve"> que correspondem a 16.216 cargos, 1.955 funções atividades e 2.796 empregos públicos.</w:t>
      </w:r>
    </w:p>
    <w:p w:rsidR="003E6588" w:rsidRPr="00DC366D" w:rsidRDefault="003E6588" w:rsidP="00DC366D">
      <w:pPr>
        <w:pStyle w:val="PargrafodaLista"/>
        <w:tabs>
          <w:tab w:val="left" w:pos="284"/>
        </w:tabs>
        <w:ind w:left="0" w:firstLine="1134"/>
        <w:rPr>
          <w:rFonts w:ascii="Times New Roman" w:hAnsi="Times New Roman"/>
          <w:sz w:val="24"/>
          <w:szCs w:val="24"/>
        </w:rPr>
      </w:pPr>
    </w:p>
    <w:p w:rsidR="003E6588" w:rsidRPr="00DC366D" w:rsidRDefault="003E6588" w:rsidP="00DC366D">
      <w:pPr>
        <w:pStyle w:val="PargrafodaLista"/>
        <w:tabs>
          <w:tab w:val="left" w:pos="284"/>
        </w:tabs>
        <w:ind w:left="0" w:firstLine="1134"/>
        <w:rPr>
          <w:rFonts w:ascii="Times New Roman" w:hAnsi="Times New Roman"/>
          <w:sz w:val="24"/>
          <w:szCs w:val="24"/>
        </w:rPr>
      </w:pPr>
      <w:r w:rsidRPr="00DC366D">
        <w:rPr>
          <w:rFonts w:ascii="Times New Roman" w:hAnsi="Times New Roman"/>
          <w:sz w:val="24"/>
          <w:szCs w:val="24"/>
        </w:rPr>
        <w:t xml:space="preserve">Classificação </w:t>
      </w:r>
      <w:r w:rsidRPr="00DC366D">
        <w:rPr>
          <w:rFonts w:ascii="Times New Roman" w:hAnsi="Times New Roman"/>
          <w:i/>
          <w:sz w:val="24"/>
          <w:szCs w:val="24"/>
        </w:rPr>
        <w:t>Pro labore -</w:t>
      </w:r>
      <w:r w:rsidRPr="00DC366D">
        <w:rPr>
          <w:rFonts w:ascii="Times New Roman" w:hAnsi="Times New Roman"/>
          <w:sz w:val="24"/>
          <w:szCs w:val="24"/>
        </w:rPr>
        <w:t xml:space="preserve"> 25 processos</w:t>
      </w:r>
      <w:r w:rsidR="00DC366D">
        <w:rPr>
          <w:rFonts w:ascii="Times New Roman" w:hAnsi="Times New Roman"/>
          <w:sz w:val="24"/>
          <w:szCs w:val="24"/>
        </w:rPr>
        <w:t>,</w:t>
      </w:r>
      <w:r w:rsidRPr="00DC366D">
        <w:rPr>
          <w:rFonts w:ascii="Times New Roman" w:hAnsi="Times New Roman"/>
          <w:sz w:val="24"/>
          <w:szCs w:val="24"/>
        </w:rPr>
        <w:t xml:space="preserve"> sendo autorizada a classificação de 42 funções </w:t>
      </w:r>
      <w:r w:rsidRPr="00DC366D">
        <w:rPr>
          <w:rFonts w:ascii="Times New Roman" w:hAnsi="Times New Roman"/>
          <w:i/>
          <w:sz w:val="24"/>
          <w:szCs w:val="24"/>
        </w:rPr>
        <w:t>pro labore</w:t>
      </w:r>
      <w:r w:rsidRPr="00DC366D">
        <w:rPr>
          <w:rFonts w:ascii="Times New Roman" w:hAnsi="Times New Roman"/>
          <w:sz w:val="24"/>
          <w:szCs w:val="24"/>
        </w:rPr>
        <w:t>, nos termos da Lei nº 10.168/68.</w:t>
      </w:r>
    </w:p>
    <w:p w:rsidR="003E6588" w:rsidRDefault="003E6588" w:rsidP="00DC366D">
      <w:pPr>
        <w:pStyle w:val="PargrafodaLista"/>
        <w:tabs>
          <w:tab w:val="left" w:pos="284"/>
        </w:tabs>
        <w:ind w:left="0" w:firstLine="1134"/>
        <w:rPr>
          <w:rFonts w:ascii="Times New Roman" w:hAnsi="Times New Roman"/>
          <w:sz w:val="24"/>
          <w:szCs w:val="24"/>
        </w:rPr>
      </w:pPr>
      <w:r w:rsidRPr="00DC366D">
        <w:rPr>
          <w:rFonts w:ascii="Times New Roman" w:hAnsi="Times New Roman"/>
          <w:sz w:val="24"/>
          <w:szCs w:val="24"/>
        </w:rPr>
        <w:lastRenderedPageBreak/>
        <w:t>Mobilidade Funcional</w:t>
      </w:r>
      <w:r>
        <w:rPr>
          <w:rFonts w:ascii="Times New Roman" w:hAnsi="Times New Roman"/>
          <w:b/>
          <w:sz w:val="24"/>
          <w:szCs w:val="24"/>
        </w:rPr>
        <w:t xml:space="preserve"> -</w:t>
      </w:r>
      <w:r>
        <w:rPr>
          <w:rFonts w:ascii="Times New Roman" w:hAnsi="Times New Roman"/>
          <w:sz w:val="24"/>
          <w:szCs w:val="24"/>
        </w:rPr>
        <w:t xml:space="preserve"> Autorizada a transferência de 305 cargos, funções-atividades ou empregos públicos.</w:t>
      </w:r>
    </w:p>
    <w:p w:rsidR="003E6588" w:rsidRDefault="003E6588">
      <w:pPr>
        <w:pStyle w:val="PargrafodaLista"/>
        <w:tabs>
          <w:tab w:val="left" w:pos="284"/>
        </w:tabs>
        <w:ind w:left="0"/>
        <w:rPr>
          <w:rFonts w:ascii="Times New Roman" w:hAnsi="Times New Roman"/>
          <w:sz w:val="24"/>
          <w:szCs w:val="24"/>
        </w:rPr>
      </w:pPr>
    </w:p>
    <w:p w:rsidR="003E6588" w:rsidRDefault="003E6588" w:rsidP="00DC366D">
      <w:pPr>
        <w:pStyle w:val="PargrafodaLista"/>
        <w:tabs>
          <w:tab w:val="left" w:pos="284"/>
        </w:tabs>
        <w:ind w:left="1134"/>
        <w:rPr>
          <w:rFonts w:ascii="Times New Roman" w:hAnsi="Times New Roman"/>
          <w:sz w:val="24"/>
          <w:szCs w:val="24"/>
        </w:rPr>
      </w:pPr>
      <w:r w:rsidRPr="00DC366D">
        <w:rPr>
          <w:rFonts w:ascii="Times New Roman" w:hAnsi="Times New Roman"/>
          <w:sz w:val="24"/>
          <w:szCs w:val="24"/>
        </w:rPr>
        <w:t>Manifestações técnicas e Orientações expedidas</w:t>
      </w:r>
      <w:r>
        <w:rPr>
          <w:rFonts w:ascii="Times New Roman" w:hAnsi="Times New Roman"/>
          <w:b/>
          <w:sz w:val="24"/>
          <w:szCs w:val="24"/>
        </w:rPr>
        <w:t xml:space="preserve"> - </w:t>
      </w:r>
      <w:r>
        <w:rPr>
          <w:rFonts w:ascii="Times New Roman" w:hAnsi="Times New Roman"/>
          <w:sz w:val="24"/>
          <w:szCs w:val="24"/>
        </w:rPr>
        <w:t>1.427.</w:t>
      </w:r>
    </w:p>
    <w:p w:rsidR="003E6588" w:rsidRDefault="003E6588">
      <w:pPr>
        <w:pStyle w:val="PargrafodaLista"/>
        <w:tabs>
          <w:tab w:val="left" w:pos="284"/>
        </w:tabs>
        <w:ind w:left="0"/>
        <w:rPr>
          <w:rFonts w:ascii="Times New Roman" w:hAnsi="Times New Roman"/>
          <w:sz w:val="24"/>
          <w:szCs w:val="24"/>
        </w:rPr>
      </w:pPr>
    </w:p>
    <w:p w:rsidR="003E6588" w:rsidRDefault="003E6588">
      <w:pPr>
        <w:pStyle w:val="Corpodetexto"/>
        <w:tabs>
          <w:tab w:val="left" w:pos="284"/>
        </w:tabs>
        <w:ind w:left="1134"/>
        <w:jc w:val="both"/>
        <w:rPr>
          <w:szCs w:val="24"/>
        </w:rPr>
      </w:pPr>
      <w:r>
        <w:rPr>
          <w:szCs w:val="24"/>
        </w:rPr>
        <w:t>Manutenção de Sistemas e Informações geradas</w:t>
      </w:r>
    </w:p>
    <w:p w:rsidR="003E6588" w:rsidRDefault="003E6588">
      <w:pPr>
        <w:pStyle w:val="Corpodetexto"/>
        <w:tabs>
          <w:tab w:val="left" w:pos="284"/>
        </w:tabs>
        <w:ind w:left="1134"/>
        <w:jc w:val="both"/>
        <w:rPr>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Auxílio </w:t>
      </w:r>
      <w:r w:rsidR="00DC366D">
        <w:rPr>
          <w:rFonts w:ascii="Times New Roman" w:hAnsi="Times New Roman"/>
          <w:b/>
          <w:sz w:val="24"/>
          <w:szCs w:val="24"/>
        </w:rPr>
        <w:t>-</w:t>
      </w:r>
      <w:r>
        <w:rPr>
          <w:rFonts w:ascii="Times New Roman" w:hAnsi="Times New Roman"/>
          <w:b/>
          <w:sz w:val="24"/>
          <w:szCs w:val="24"/>
        </w:rPr>
        <w:t xml:space="preserve"> Alimentação - </w:t>
      </w:r>
      <w:r>
        <w:rPr>
          <w:rFonts w:ascii="Times New Roman" w:hAnsi="Times New Roman"/>
          <w:sz w:val="24"/>
          <w:szCs w:val="24"/>
        </w:rPr>
        <w:t>Manutenção e acompanhamento da apuração do benefício junto aos sistemas de folhas de pagamento, contando em média com:</w:t>
      </w:r>
    </w:p>
    <w:p w:rsidR="003E6588" w:rsidRDefault="003E6588">
      <w:pPr>
        <w:pStyle w:val="PargrafodaLista"/>
        <w:ind w:left="0" w:firstLine="1134"/>
        <w:rPr>
          <w:rFonts w:ascii="Times New Roman" w:hAnsi="Times New Roman"/>
          <w:sz w:val="24"/>
          <w:szCs w:val="24"/>
        </w:rPr>
      </w:pPr>
    </w:p>
    <w:p w:rsidR="003E6588" w:rsidRDefault="00DC366D" w:rsidP="00DC366D">
      <w:pPr>
        <w:pStyle w:val="PargrafodaLista"/>
        <w:ind w:left="1134"/>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Servidores beneficiados - 305.662.</w:t>
      </w:r>
    </w:p>
    <w:p w:rsidR="003E6588" w:rsidRDefault="003E6588">
      <w:pPr>
        <w:pStyle w:val="PargrafodaLista"/>
        <w:ind w:left="1134"/>
        <w:rPr>
          <w:rFonts w:ascii="Times New Roman" w:hAnsi="Times New Roman"/>
          <w:sz w:val="24"/>
          <w:szCs w:val="24"/>
        </w:rPr>
      </w:pPr>
    </w:p>
    <w:p w:rsidR="003E6588" w:rsidRDefault="00DC366D" w:rsidP="00DC366D">
      <w:pPr>
        <w:pStyle w:val="PargrafodaLista"/>
        <w:ind w:left="1134"/>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Vales distribuídos - 5.052.378.</w:t>
      </w:r>
    </w:p>
    <w:p w:rsidR="003E6588" w:rsidRDefault="003E6588">
      <w:pPr>
        <w:pStyle w:val="PargrafodaLista"/>
        <w:ind w:left="0"/>
        <w:rPr>
          <w:rFonts w:ascii="Times New Roman" w:hAnsi="Times New Roman"/>
          <w:sz w:val="24"/>
          <w:szCs w:val="24"/>
        </w:rPr>
      </w:pPr>
    </w:p>
    <w:p w:rsidR="003E6588" w:rsidRDefault="00DC366D" w:rsidP="00DC366D">
      <w:pPr>
        <w:pStyle w:val="PargrafodaLista"/>
        <w:ind w:left="1134"/>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Custo mensal - R$ 39.525.771,61.</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Recadastramento - </w:t>
      </w:r>
      <w:r>
        <w:rPr>
          <w:rFonts w:ascii="Times New Roman" w:hAnsi="Times New Roman"/>
          <w:sz w:val="24"/>
          <w:szCs w:val="24"/>
        </w:rPr>
        <w:t>Monitoramento, orientação do Sistema de Recadastramento de servidores e militares ativos, da administração direta, autarquias e fundações - recadastraram-se 574.240 servidores.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Emissão de relatórios diversos - </w:t>
      </w:r>
      <w:r w:rsidRPr="00B03D69">
        <w:rPr>
          <w:rFonts w:ascii="Times New Roman" w:hAnsi="Times New Roman"/>
          <w:sz w:val="24"/>
          <w:szCs w:val="24"/>
        </w:rPr>
        <w:t>C</w:t>
      </w:r>
      <w:r>
        <w:rPr>
          <w:rFonts w:ascii="Times New Roman" w:hAnsi="Times New Roman"/>
          <w:sz w:val="24"/>
          <w:szCs w:val="24"/>
        </w:rPr>
        <w:t>ontidas no “Bancão”, Sistema de Recadastramento, Sistema do Auxilio Alimentação, Sistema de Cargos - Total: 111.</w:t>
      </w:r>
    </w:p>
    <w:p w:rsidR="003E6588" w:rsidRDefault="003E6588">
      <w:pPr>
        <w:pStyle w:val="Corpodetexto"/>
        <w:tabs>
          <w:tab w:val="left" w:pos="284"/>
        </w:tabs>
        <w:ind w:firstLine="1134"/>
        <w:jc w:val="both"/>
        <w:rPr>
          <w:b w:val="0"/>
          <w:szCs w:val="24"/>
        </w:rPr>
      </w:pPr>
    </w:p>
    <w:p w:rsidR="003E6588" w:rsidRDefault="003E6588">
      <w:pPr>
        <w:pStyle w:val="Corpodetexto"/>
        <w:tabs>
          <w:tab w:val="left" w:pos="284"/>
        </w:tabs>
        <w:ind w:firstLine="1134"/>
        <w:jc w:val="both"/>
        <w:rPr>
          <w:b w:val="0"/>
          <w:szCs w:val="24"/>
        </w:rPr>
      </w:pPr>
      <w:r>
        <w:rPr>
          <w:szCs w:val="24"/>
        </w:rPr>
        <w:t xml:space="preserve">Atendimento a correios eletrônicos - </w:t>
      </w:r>
      <w:r>
        <w:rPr>
          <w:b w:val="0"/>
          <w:szCs w:val="24"/>
        </w:rPr>
        <w:t>Fale Conosco UCRH/SGP/Governador; Recadastramento; Demandas do Cidadão; Ouvidoria; Serviço de Informação ao Cidadão - SIC; Portal da Transparência - Total: 2.169.</w:t>
      </w:r>
    </w:p>
    <w:p w:rsidR="003E6588" w:rsidRDefault="003E6588">
      <w:pPr>
        <w:ind w:firstLine="1134"/>
      </w:pPr>
    </w:p>
    <w:p w:rsidR="000D1A1B" w:rsidRDefault="00707F4E" w:rsidP="00707F4E">
      <w:pPr>
        <w:ind w:firstLine="1134"/>
        <w:jc w:val="both"/>
        <w:rPr>
          <w:b/>
        </w:rPr>
      </w:pPr>
      <w:r>
        <w:rPr>
          <w:b/>
        </w:rPr>
        <w:t xml:space="preserve">Unidade de Desenvolvimento e Melhoria das Organizações </w:t>
      </w:r>
      <w:r w:rsidR="000D1A1B">
        <w:rPr>
          <w:b/>
        </w:rPr>
        <w:t>-</w:t>
      </w:r>
      <w:r w:rsidR="003E6588">
        <w:rPr>
          <w:b/>
        </w:rPr>
        <w:t xml:space="preserve"> UDEMO</w:t>
      </w:r>
    </w:p>
    <w:p w:rsidR="000D1A1B" w:rsidRDefault="000D1A1B" w:rsidP="00707F4E">
      <w:pPr>
        <w:ind w:firstLine="1134"/>
        <w:jc w:val="both"/>
        <w:rPr>
          <w:b/>
        </w:rPr>
      </w:pPr>
    </w:p>
    <w:p w:rsidR="003E6588" w:rsidRDefault="003E6588" w:rsidP="00707F4E">
      <w:pPr>
        <w:ind w:firstLine="1134"/>
        <w:jc w:val="both"/>
        <w:rPr>
          <w:b/>
        </w:rPr>
      </w:pPr>
      <w:r>
        <w:rPr>
          <w:b/>
        </w:rPr>
        <w:t>Atividades e iniciativas próprias no âmbito da SGP</w:t>
      </w:r>
    </w:p>
    <w:p w:rsidR="003E6588" w:rsidRDefault="003E6588">
      <w:pPr>
        <w:pStyle w:val="PargrafodaLista"/>
        <w:ind w:left="0" w:firstLine="1134"/>
        <w:rPr>
          <w:rFonts w:ascii="Times New Roman" w:hAnsi="Times New Roman"/>
          <w:b/>
          <w:sz w:val="24"/>
          <w:szCs w:val="24"/>
        </w:rPr>
      </w:pPr>
    </w:p>
    <w:p w:rsidR="003E6588" w:rsidRDefault="003E6588" w:rsidP="00707F4E">
      <w:pPr>
        <w:pStyle w:val="PargrafodaLista"/>
        <w:suppressAutoHyphens/>
        <w:ind w:left="0" w:firstLine="1134"/>
        <w:contextualSpacing w:val="0"/>
        <w:rPr>
          <w:rFonts w:ascii="Times New Roman" w:hAnsi="Times New Roman"/>
          <w:b/>
          <w:sz w:val="24"/>
          <w:szCs w:val="24"/>
        </w:rPr>
      </w:pPr>
      <w:r>
        <w:rPr>
          <w:rFonts w:ascii="Times New Roman" w:hAnsi="Times New Roman"/>
          <w:b/>
          <w:sz w:val="24"/>
          <w:szCs w:val="24"/>
        </w:rPr>
        <w:t>Prêmio M</w:t>
      </w:r>
      <w:r w:rsidR="00E92D0F">
        <w:rPr>
          <w:rFonts w:ascii="Times New Roman" w:hAnsi="Times New Roman"/>
          <w:b/>
          <w:sz w:val="24"/>
          <w:szCs w:val="24"/>
        </w:rPr>
        <w:t>a</w:t>
      </w:r>
      <w:r>
        <w:rPr>
          <w:rFonts w:ascii="Times New Roman" w:hAnsi="Times New Roman"/>
          <w:b/>
          <w:sz w:val="24"/>
          <w:szCs w:val="24"/>
        </w:rPr>
        <w:t>rio Covas</w:t>
      </w:r>
      <w:r w:rsidR="00707F4E">
        <w:rPr>
          <w:rFonts w:ascii="Times New Roman" w:hAnsi="Times New Roman"/>
          <w:b/>
          <w:sz w:val="24"/>
          <w:szCs w:val="24"/>
        </w:rPr>
        <w:t xml:space="preserve"> - </w:t>
      </w:r>
      <w:r>
        <w:rPr>
          <w:rFonts w:ascii="Times New Roman" w:hAnsi="Times New Roman"/>
          <w:b/>
          <w:sz w:val="24"/>
          <w:szCs w:val="24"/>
        </w:rPr>
        <w:t>Atividades realizadas -</w:t>
      </w:r>
      <w:r>
        <w:rPr>
          <w:rFonts w:ascii="Times New Roman" w:hAnsi="Times New Roman"/>
          <w:sz w:val="24"/>
          <w:szCs w:val="24"/>
        </w:rPr>
        <w:t xml:space="preserve"> 10ª edição do Prêmio Mario Covas; promover a difusão das iniciativas vencedoras da 10ª edição; editar novo Regulamento, planejar a 11ª edição.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suppressAutoHyphens/>
        <w:ind w:left="1134"/>
        <w:contextualSpacing w:val="0"/>
        <w:rPr>
          <w:rFonts w:ascii="Times New Roman" w:hAnsi="Times New Roman"/>
          <w:b/>
          <w:sz w:val="24"/>
          <w:szCs w:val="24"/>
        </w:rPr>
      </w:pPr>
      <w:r>
        <w:rPr>
          <w:rFonts w:ascii="Times New Roman" w:hAnsi="Times New Roman"/>
          <w:b/>
          <w:sz w:val="24"/>
          <w:szCs w:val="24"/>
        </w:rPr>
        <w:t>Estruturas Organizacionais - Análise e Parecer</w:t>
      </w:r>
    </w:p>
    <w:p w:rsidR="003E6588" w:rsidRPr="00B03D69" w:rsidRDefault="003E6588">
      <w:pPr>
        <w:pStyle w:val="PargrafodaLista"/>
        <w:suppressAutoHyphens/>
        <w:ind w:left="1134"/>
        <w:contextualSpacing w:val="0"/>
        <w:rPr>
          <w:rFonts w:ascii="Times New Roman" w:hAnsi="Times New Roman"/>
          <w:b/>
          <w:sz w:val="24"/>
          <w:szCs w:val="24"/>
        </w:rPr>
      </w:pPr>
    </w:p>
    <w:p w:rsidR="003E6588" w:rsidRDefault="003E6588">
      <w:pPr>
        <w:pStyle w:val="PargrafodaLista"/>
        <w:tabs>
          <w:tab w:val="left" w:pos="240"/>
        </w:tabs>
        <w:ind w:left="0" w:firstLine="1134"/>
        <w:rPr>
          <w:rFonts w:ascii="Times New Roman" w:hAnsi="Times New Roman"/>
          <w:b/>
          <w:sz w:val="24"/>
          <w:szCs w:val="24"/>
        </w:rPr>
      </w:pPr>
      <w:r>
        <w:rPr>
          <w:rFonts w:ascii="Times New Roman" w:hAnsi="Times New Roman"/>
          <w:b/>
          <w:sz w:val="24"/>
          <w:szCs w:val="24"/>
        </w:rPr>
        <w:t>Atividades realizadas</w:t>
      </w:r>
    </w:p>
    <w:p w:rsidR="003E6588" w:rsidRDefault="003E6588">
      <w:pPr>
        <w:pStyle w:val="PargrafodaLista"/>
        <w:tabs>
          <w:tab w:val="left" w:pos="240"/>
        </w:tabs>
        <w:ind w:left="0" w:firstLine="1134"/>
        <w:rPr>
          <w:rFonts w:ascii="Times New Roman" w:hAnsi="Times New Roman"/>
          <w:b/>
          <w:sz w:val="24"/>
          <w:szCs w:val="24"/>
        </w:rPr>
      </w:pPr>
    </w:p>
    <w:p w:rsidR="003E6588" w:rsidRDefault="00B03D69"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Parecer técnico sobre a reorganização do Departamento de Perícias Médicas do Estado - DPME, processo SGP/29488/2014;</w:t>
      </w:r>
    </w:p>
    <w:p w:rsidR="00707F4E" w:rsidRDefault="00707F4E" w:rsidP="00707F4E">
      <w:pPr>
        <w:pStyle w:val="PargrafodaLista"/>
        <w:tabs>
          <w:tab w:val="left" w:pos="240"/>
        </w:tabs>
        <w:suppressAutoHyphens/>
        <w:ind w:left="0" w:firstLine="1134"/>
        <w:contextualSpacing w:val="0"/>
        <w:rPr>
          <w:rFonts w:ascii="Times New Roman" w:hAnsi="Times New Roman"/>
          <w:sz w:val="24"/>
          <w:szCs w:val="24"/>
        </w:rPr>
      </w:pPr>
    </w:p>
    <w:p w:rsidR="003E6588" w:rsidRDefault="00B03D69"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Parecer técnico sobre o Projeto de lei n° 1.238</w:t>
      </w:r>
      <w:r w:rsidR="00707F4E">
        <w:rPr>
          <w:rFonts w:ascii="Times New Roman" w:hAnsi="Times New Roman"/>
          <w:sz w:val="24"/>
          <w:szCs w:val="24"/>
        </w:rPr>
        <w:t>/</w:t>
      </w:r>
      <w:r w:rsidR="003E6588">
        <w:rPr>
          <w:rFonts w:ascii="Times New Roman" w:hAnsi="Times New Roman"/>
          <w:sz w:val="24"/>
          <w:szCs w:val="24"/>
        </w:rPr>
        <w:t>2014, que veda a desvinculação dos hospitais universitários e dos Centros de Saúde-Escola da estrutura administrativa das Universidades Públicas Estaduais Paulistas.</w:t>
      </w:r>
    </w:p>
    <w:p w:rsidR="00707F4E" w:rsidRDefault="00707F4E">
      <w:pPr>
        <w:pStyle w:val="PargrafodaLista"/>
        <w:ind w:left="0" w:firstLine="1134"/>
        <w:rPr>
          <w:rFonts w:ascii="Times New Roman" w:hAnsi="Times New Roman"/>
          <w:sz w:val="24"/>
          <w:szCs w:val="24"/>
        </w:rPr>
      </w:pPr>
    </w:p>
    <w:p w:rsidR="000D1A1B" w:rsidRDefault="003E6588" w:rsidP="00707F4E">
      <w:pPr>
        <w:pStyle w:val="PargrafodaLista"/>
        <w:suppressAutoHyphens/>
        <w:ind w:left="0" w:firstLine="1134"/>
        <w:contextualSpacing w:val="0"/>
        <w:rPr>
          <w:rFonts w:ascii="Times New Roman" w:hAnsi="Times New Roman"/>
          <w:b/>
          <w:sz w:val="24"/>
          <w:szCs w:val="24"/>
        </w:rPr>
      </w:pPr>
      <w:r>
        <w:rPr>
          <w:rFonts w:ascii="Times New Roman" w:hAnsi="Times New Roman"/>
          <w:b/>
          <w:sz w:val="24"/>
          <w:szCs w:val="24"/>
        </w:rPr>
        <w:t>Lei de Acesso à Informação</w:t>
      </w:r>
    </w:p>
    <w:p w:rsidR="000D1A1B" w:rsidRDefault="000D1A1B" w:rsidP="00707F4E">
      <w:pPr>
        <w:pStyle w:val="PargrafodaLista"/>
        <w:suppressAutoHyphens/>
        <w:ind w:left="0" w:firstLine="1134"/>
        <w:contextualSpacing w:val="0"/>
        <w:rPr>
          <w:rFonts w:ascii="Times New Roman" w:hAnsi="Times New Roman"/>
          <w:b/>
          <w:sz w:val="24"/>
          <w:szCs w:val="24"/>
        </w:rPr>
      </w:pPr>
    </w:p>
    <w:p w:rsidR="003E6588" w:rsidRDefault="003E6588" w:rsidP="00707F4E">
      <w:pPr>
        <w:pStyle w:val="PargrafodaLista"/>
        <w:suppressAutoHyphens/>
        <w:ind w:left="0" w:firstLine="1134"/>
        <w:contextualSpacing w:val="0"/>
        <w:rPr>
          <w:rFonts w:ascii="Times New Roman" w:hAnsi="Times New Roman"/>
          <w:b/>
          <w:sz w:val="24"/>
          <w:szCs w:val="24"/>
        </w:rPr>
      </w:pPr>
      <w:r w:rsidRPr="000D1A1B">
        <w:rPr>
          <w:rFonts w:ascii="Times New Roman" w:hAnsi="Times New Roman"/>
          <w:b/>
          <w:sz w:val="24"/>
          <w:szCs w:val="24"/>
        </w:rPr>
        <w:t xml:space="preserve">Objetivo </w:t>
      </w:r>
      <w:r>
        <w:rPr>
          <w:rFonts w:ascii="Times New Roman" w:hAnsi="Times New Roman"/>
          <w:b/>
          <w:sz w:val="24"/>
          <w:szCs w:val="24"/>
        </w:rPr>
        <w:t>-</w:t>
      </w:r>
      <w:r>
        <w:rPr>
          <w:rFonts w:ascii="Times New Roman" w:hAnsi="Times New Roman"/>
          <w:sz w:val="24"/>
          <w:szCs w:val="24"/>
        </w:rPr>
        <w:t xml:space="preserve"> Auxiliar no cumprimento de atribuições descritas nas normas de regulamentação da Lei de Acesso à Informação no Estado de São Paulo.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Atividades realizadas</w:t>
      </w:r>
    </w:p>
    <w:p w:rsidR="003E6588" w:rsidRDefault="003E6588">
      <w:pPr>
        <w:pStyle w:val="PargrafodaLista"/>
        <w:ind w:left="0" w:firstLine="1134"/>
        <w:rPr>
          <w:rFonts w:ascii="Times New Roman" w:hAnsi="Times New Roman"/>
          <w:b/>
          <w:sz w:val="24"/>
          <w:szCs w:val="24"/>
        </w:rPr>
      </w:pPr>
    </w:p>
    <w:p w:rsidR="003E6588" w:rsidRDefault="00B03D69"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Obtenção de registro do </w:t>
      </w:r>
      <w:r w:rsidR="003E6588">
        <w:rPr>
          <w:rFonts w:ascii="Times New Roman" w:hAnsi="Times New Roman"/>
          <w:i/>
          <w:sz w:val="24"/>
          <w:szCs w:val="24"/>
        </w:rPr>
        <w:t>ISBN (International Standard Book Number)</w:t>
      </w:r>
      <w:r w:rsidR="003E6588">
        <w:rPr>
          <w:rFonts w:ascii="Times New Roman" w:hAnsi="Times New Roman"/>
          <w:sz w:val="24"/>
          <w:szCs w:val="24"/>
        </w:rPr>
        <w:t xml:space="preserve"> para os Guias da coleção Transparência;</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Divulgação dos Guias no </w:t>
      </w:r>
      <w:r w:rsidR="003E6588">
        <w:rPr>
          <w:rFonts w:ascii="Times New Roman" w:hAnsi="Times New Roman"/>
          <w:i/>
          <w:sz w:val="24"/>
          <w:szCs w:val="24"/>
        </w:rPr>
        <w:t>Blog</w:t>
      </w:r>
      <w:r w:rsidR="003E6588">
        <w:rPr>
          <w:rFonts w:ascii="Times New Roman" w:hAnsi="Times New Roman"/>
          <w:sz w:val="24"/>
          <w:szCs w:val="24"/>
        </w:rPr>
        <w:t xml:space="preserve"> da LAI, versão eletrônica;</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Levantamento de experiências nacionais e internacionais de implementação de políticas de acesso à informação e transparência;</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Divulgação dos Guias da Transparência via correio eletrônico, da rede executiva Prodesp e de </w:t>
      </w:r>
      <w:r w:rsidR="003E6588">
        <w:rPr>
          <w:rFonts w:ascii="Times New Roman" w:hAnsi="Times New Roman"/>
          <w:i/>
          <w:sz w:val="24"/>
          <w:szCs w:val="24"/>
        </w:rPr>
        <w:t>banners</w:t>
      </w:r>
      <w:r w:rsidR="003E6588">
        <w:rPr>
          <w:rFonts w:ascii="Times New Roman" w:hAnsi="Times New Roman"/>
          <w:sz w:val="24"/>
          <w:szCs w:val="24"/>
        </w:rPr>
        <w:t xml:space="preserve"> e </w:t>
      </w:r>
      <w:r w:rsidR="003E6588">
        <w:rPr>
          <w:rFonts w:ascii="Times New Roman" w:hAnsi="Times New Roman"/>
          <w:i/>
          <w:sz w:val="24"/>
          <w:szCs w:val="24"/>
        </w:rPr>
        <w:t>release</w:t>
      </w:r>
      <w:r w:rsidR="003E6588">
        <w:rPr>
          <w:rFonts w:ascii="Times New Roman" w:hAnsi="Times New Roman"/>
          <w:sz w:val="24"/>
          <w:szCs w:val="24"/>
        </w:rPr>
        <w:t xml:space="preserve"> nos </w:t>
      </w:r>
      <w:r w:rsidR="003E6588">
        <w:rPr>
          <w:rFonts w:ascii="Times New Roman" w:hAnsi="Times New Roman"/>
          <w:i/>
          <w:sz w:val="24"/>
          <w:szCs w:val="24"/>
        </w:rPr>
        <w:t>sites</w:t>
      </w:r>
      <w:r w:rsidR="003E6588">
        <w:rPr>
          <w:rFonts w:ascii="Times New Roman" w:hAnsi="Times New Roman"/>
          <w:sz w:val="24"/>
          <w:szCs w:val="24"/>
        </w:rPr>
        <w:t xml:space="preserve"> da Gestão Pública;</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Produção de nota técnica sobre o mapeamento dos órgãos colegiados estaduais e divulgação no </w:t>
      </w:r>
      <w:r w:rsidR="003E6588">
        <w:rPr>
          <w:rFonts w:ascii="Times New Roman" w:hAnsi="Times New Roman"/>
          <w:i/>
          <w:sz w:val="24"/>
          <w:szCs w:val="24"/>
        </w:rPr>
        <w:t>Blog</w:t>
      </w:r>
      <w:r w:rsidR="003E6588">
        <w:rPr>
          <w:rFonts w:ascii="Times New Roman" w:hAnsi="Times New Roman"/>
          <w:sz w:val="24"/>
          <w:szCs w:val="24"/>
        </w:rPr>
        <w:t xml:space="preserve"> da LAI;</w:t>
      </w:r>
    </w:p>
    <w:p w:rsidR="003E6588" w:rsidRPr="00707F4E"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Produção de dicionário de variáveis do banco de dados sobre os órgãos colegiados estaduais e divulgação no </w:t>
      </w:r>
      <w:r w:rsidR="003E6588">
        <w:rPr>
          <w:rFonts w:ascii="Times New Roman" w:hAnsi="Times New Roman"/>
          <w:i/>
          <w:sz w:val="24"/>
          <w:szCs w:val="24"/>
        </w:rPr>
        <w:t>Blog</w:t>
      </w:r>
      <w:r w:rsidR="003E6588">
        <w:rPr>
          <w:rFonts w:ascii="Times New Roman" w:hAnsi="Times New Roman"/>
          <w:sz w:val="24"/>
          <w:szCs w:val="24"/>
        </w:rPr>
        <w:t xml:space="preserve"> da LAI;</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de cadastro e divulgação por correio eletrônico dos Guias da Transparência;</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de proposta de regulamentação de padrões mínimos de disponibilização de informações para os órgãos colegiados estaduais;</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Apresentação do Mapeamento dos Órgãos Colegiados da Administração Direta </w:t>
      </w:r>
      <w:r>
        <w:rPr>
          <w:rFonts w:ascii="Times New Roman" w:hAnsi="Times New Roman"/>
          <w:sz w:val="24"/>
          <w:szCs w:val="24"/>
        </w:rPr>
        <w:t xml:space="preserve">estadual </w:t>
      </w:r>
      <w:r w:rsidR="003E6588">
        <w:rPr>
          <w:rFonts w:ascii="Times New Roman" w:hAnsi="Times New Roman"/>
          <w:sz w:val="24"/>
          <w:szCs w:val="24"/>
        </w:rPr>
        <w:t>e discussão de proposta de padronização mínima de informações dos órgãos na 21ª Reunião do Conselho de Transparência da Administração Pública;</w:t>
      </w:r>
    </w:p>
    <w:p w:rsidR="003E6588" w:rsidRDefault="003E6588" w:rsidP="00707F4E">
      <w:pPr>
        <w:pStyle w:val="PargrafodaLista"/>
        <w:tabs>
          <w:tab w:val="left" w:pos="48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48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de plano de trabalho “Lei de Acesso à Inf</w:t>
      </w:r>
      <w:r>
        <w:rPr>
          <w:rFonts w:ascii="Times New Roman" w:hAnsi="Times New Roman"/>
          <w:sz w:val="24"/>
          <w:szCs w:val="24"/>
        </w:rPr>
        <w:t>ormação: fomento e capacitação”;</w:t>
      </w:r>
    </w:p>
    <w:p w:rsidR="003E6588" w:rsidRDefault="003E6588" w:rsidP="00707F4E">
      <w:pPr>
        <w:pStyle w:val="PargrafodaLista"/>
        <w:tabs>
          <w:tab w:val="left" w:pos="480"/>
        </w:tabs>
        <w:ind w:left="0" w:firstLine="1134"/>
        <w:rPr>
          <w:rFonts w:ascii="Times New Roman" w:hAnsi="Times New Roman"/>
          <w:sz w:val="24"/>
          <w:szCs w:val="24"/>
        </w:rPr>
      </w:pPr>
    </w:p>
    <w:p w:rsidR="003E6588" w:rsidRDefault="003E6588">
      <w:pPr>
        <w:pStyle w:val="PargrafodaLista"/>
        <w:tabs>
          <w:tab w:val="left" w:pos="240"/>
        </w:tabs>
        <w:ind w:left="0" w:firstLine="1134"/>
        <w:rPr>
          <w:rFonts w:ascii="Times New Roman" w:hAnsi="Times New Roman"/>
          <w:sz w:val="24"/>
          <w:szCs w:val="24"/>
        </w:rPr>
      </w:pPr>
      <w:r w:rsidRPr="000D1A1B">
        <w:rPr>
          <w:rFonts w:ascii="Times New Roman" w:hAnsi="Times New Roman"/>
          <w:b/>
          <w:sz w:val="24"/>
          <w:szCs w:val="24"/>
        </w:rPr>
        <w:t xml:space="preserve">Objetivo </w:t>
      </w:r>
      <w:r w:rsidRPr="00707F4E">
        <w:rPr>
          <w:rFonts w:ascii="Times New Roman" w:hAnsi="Times New Roman"/>
          <w:sz w:val="24"/>
          <w:szCs w:val="24"/>
        </w:rPr>
        <w:t>-</w:t>
      </w:r>
      <w:r>
        <w:rPr>
          <w:rFonts w:ascii="Times New Roman" w:hAnsi="Times New Roman"/>
          <w:b/>
          <w:sz w:val="24"/>
          <w:szCs w:val="24"/>
        </w:rPr>
        <w:t xml:space="preserve"> </w:t>
      </w:r>
      <w:r>
        <w:rPr>
          <w:rFonts w:ascii="Times New Roman" w:hAnsi="Times New Roman"/>
          <w:sz w:val="24"/>
          <w:szCs w:val="24"/>
        </w:rPr>
        <w:t>Fomento e capacitação.</w:t>
      </w:r>
    </w:p>
    <w:p w:rsidR="003E6588" w:rsidRDefault="003E6588">
      <w:pPr>
        <w:pStyle w:val="PargrafodaLista"/>
        <w:tabs>
          <w:tab w:val="left" w:pos="240"/>
        </w:tabs>
        <w:ind w:left="0" w:firstLine="1134"/>
        <w:rPr>
          <w:rFonts w:ascii="Times New Roman" w:hAnsi="Times New Roman"/>
          <w:sz w:val="24"/>
          <w:szCs w:val="24"/>
        </w:rPr>
      </w:pPr>
    </w:p>
    <w:p w:rsidR="003E6588" w:rsidRDefault="003E6588">
      <w:pPr>
        <w:pStyle w:val="PargrafodaLista"/>
        <w:tabs>
          <w:tab w:val="left" w:pos="240"/>
        </w:tabs>
        <w:ind w:left="0" w:firstLine="1134"/>
        <w:rPr>
          <w:rFonts w:ascii="Times New Roman" w:hAnsi="Times New Roman"/>
          <w:b/>
          <w:sz w:val="24"/>
          <w:szCs w:val="24"/>
        </w:rPr>
      </w:pPr>
      <w:r>
        <w:rPr>
          <w:rFonts w:ascii="Times New Roman" w:hAnsi="Times New Roman"/>
          <w:b/>
          <w:sz w:val="24"/>
          <w:szCs w:val="24"/>
        </w:rPr>
        <w:t>Atividades realizadas</w:t>
      </w:r>
    </w:p>
    <w:p w:rsidR="00707F4E" w:rsidRDefault="00707F4E">
      <w:pPr>
        <w:pStyle w:val="PargrafodaLista"/>
        <w:tabs>
          <w:tab w:val="left" w:pos="240"/>
        </w:tabs>
        <w:ind w:left="0" w:firstLine="1134"/>
        <w:rPr>
          <w:rFonts w:ascii="Times New Roman" w:hAnsi="Times New Roman"/>
          <w:b/>
          <w:sz w:val="24"/>
          <w:szCs w:val="24"/>
        </w:rPr>
      </w:pPr>
    </w:p>
    <w:p w:rsidR="003E6588" w:rsidRDefault="00707F4E"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Impressão de 11.000 exemplares dos Guias da Transparência: Guia do Agente Público, Guia da Transparência Ativa, Guia do Cidadão, Guia dos Municípios;</w:t>
      </w:r>
    </w:p>
    <w:p w:rsidR="000D1A1B" w:rsidRDefault="000D1A1B" w:rsidP="00707F4E">
      <w:pPr>
        <w:pStyle w:val="PargrafodaLista"/>
        <w:tabs>
          <w:tab w:val="left" w:pos="24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Parceria com a Secretaria da Justiça e da Defesa da Cidadania para organização do ciclo de oficinas “Diálogo sobre a Lei de Acesso à Informação nos Centros Integrados da Cidadania </w:t>
      </w:r>
      <w:r>
        <w:rPr>
          <w:rFonts w:ascii="Times New Roman" w:hAnsi="Times New Roman"/>
          <w:sz w:val="24"/>
          <w:szCs w:val="24"/>
        </w:rPr>
        <w:t xml:space="preserve">- </w:t>
      </w:r>
      <w:r w:rsidR="003E6588">
        <w:rPr>
          <w:rFonts w:ascii="Times New Roman" w:hAnsi="Times New Roman"/>
          <w:sz w:val="24"/>
          <w:szCs w:val="24"/>
        </w:rPr>
        <w:t>CICs”;</w:t>
      </w:r>
    </w:p>
    <w:p w:rsidR="003E6588" w:rsidRDefault="003E6588">
      <w:pPr>
        <w:pStyle w:val="PargrafodaLista"/>
        <w:tabs>
          <w:tab w:val="left" w:pos="240"/>
        </w:tabs>
        <w:suppressAutoHyphens/>
        <w:ind w:left="0"/>
        <w:contextualSpacing w:val="0"/>
        <w:rPr>
          <w:rFonts w:ascii="Times New Roman" w:hAnsi="Times New Roman"/>
          <w:sz w:val="24"/>
          <w:szCs w:val="24"/>
        </w:rPr>
      </w:pPr>
    </w:p>
    <w:p w:rsidR="003E6588" w:rsidRDefault="00707F4E"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Realização de Oficinas sobre a Lei de Acesso à Informação na I Conferência Regional de Segurança Pública com Cidadania;</w:t>
      </w:r>
    </w:p>
    <w:p w:rsidR="003E6588" w:rsidRDefault="003E6588" w:rsidP="00707F4E">
      <w:pPr>
        <w:pStyle w:val="PargrafodaLista"/>
        <w:tabs>
          <w:tab w:val="left" w:pos="24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Realização de 6 oficinas sobre a Lei de Acesso à Informação em CICs;</w:t>
      </w:r>
    </w:p>
    <w:p w:rsidR="003E6588" w:rsidRDefault="003E6588" w:rsidP="00707F4E">
      <w:pPr>
        <w:pStyle w:val="PargrafodaLista"/>
        <w:tabs>
          <w:tab w:val="left" w:pos="24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Realização de 5 palestras em diversos eventos da administração pública;</w:t>
      </w:r>
    </w:p>
    <w:p w:rsidR="003E6588" w:rsidRDefault="003E6588" w:rsidP="00707F4E">
      <w:pPr>
        <w:pStyle w:val="PargrafodaLista"/>
        <w:tabs>
          <w:tab w:val="left" w:pos="240"/>
        </w:tabs>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24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Construção do depósito legal dos guias da coleção transparência junto à Biblioteca Nacional.</w:t>
      </w:r>
    </w:p>
    <w:p w:rsidR="003E6588" w:rsidRDefault="003E6588">
      <w:pPr>
        <w:pStyle w:val="PargrafodaLista"/>
        <w:ind w:left="0" w:firstLine="1134"/>
        <w:rPr>
          <w:rFonts w:ascii="Times New Roman" w:hAnsi="Times New Roman"/>
          <w:sz w:val="24"/>
          <w:szCs w:val="24"/>
        </w:rPr>
      </w:pPr>
    </w:p>
    <w:p w:rsidR="000D1A1B" w:rsidRDefault="003E6588" w:rsidP="00707F4E">
      <w:pPr>
        <w:pStyle w:val="PargrafodaLista"/>
        <w:tabs>
          <w:tab w:val="left" w:pos="360"/>
        </w:tabs>
        <w:suppressAutoHyphens/>
        <w:ind w:left="0" w:firstLine="1134"/>
        <w:contextualSpacing w:val="0"/>
        <w:rPr>
          <w:rFonts w:ascii="Times New Roman" w:hAnsi="Times New Roman"/>
          <w:b/>
          <w:sz w:val="24"/>
          <w:szCs w:val="24"/>
        </w:rPr>
      </w:pPr>
      <w:r>
        <w:rPr>
          <w:rFonts w:ascii="Times New Roman" w:hAnsi="Times New Roman"/>
          <w:b/>
          <w:sz w:val="24"/>
          <w:szCs w:val="24"/>
        </w:rPr>
        <w:t>Contratações Públicas</w:t>
      </w:r>
    </w:p>
    <w:p w:rsidR="000D1A1B" w:rsidRDefault="000D1A1B" w:rsidP="00707F4E">
      <w:pPr>
        <w:pStyle w:val="PargrafodaLista"/>
        <w:tabs>
          <w:tab w:val="left" w:pos="360"/>
        </w:tabs>
        <w:suppressAutoHyphens/>
        <w:ind w:left="0" w:firstLine="1134"/>
        <w:contextualSpacing w:val="0"/>
        <w:rPr>
          <w:rFonts w:ascii="Times New Roman" w:hAnsi="Times New Roman"/>
          <w:b/>
          <w:sz w:val="24"/>
          <w:szCs w:val="24"/>
        </w:rPr>
      </w:pPr>
    </w:p>
    <w:p w:rsidR="003E6588" w:rsidRDefault="003E6588" w:rsidP="00707F4E">
      <w:pPr>
        <w:pStyle w:val="PargrafodaLista"/>
        <w:tabs>
          <w:tab w:val="left" w:pos="360"/>
        </w:tabs>
        <w:suppressAutoHyphens/>
        <w:ind w:left="0" w:firstLine="1134"/>
        <w:contextualSpacing w:val="0"/>
        <w:rPr>
          <w:rFonts w:ascii="Times New Roman" w:hAnsi="Times New Roman"/>
          <w:sz w:val="24"/>
          <w:szCs w:val="24"/>
        </w:rPr>
      </w:pPr>
      <w:r w:rsidRPr="000D1A1B">
        <w:rPr>
          <w:rFonts w:ascii="Times New Roman" w:hAnsi="Times New Roman"/>
          <w:b/>
          <w:sz w:val="24"/>
          <w:szCs w:val="24"/>
        </w:rPr>
        <w:t xml:space="preserve">Objetivo </w:t>
      </w:r>
      <w:r>
        <w:rPr>
          <w:rFonts w:ascii="Times New Roman" w:hAnsi="Times New Roman"/>
          <w:b/>
          <w:sz w:val="24"/>
          <w:szCs w:val="24"/>
        </w:rPr>
        <w:t xml:space="preserve">- </w:t>
      </w:r>
      <w:r>
        <w:rPr>
          <w:rFonts w:ascii="Times New Roman" w:hAnsi="Times New Roman"/>
          <w:sz w:val="24"/>
          <w:szCs w:val="24"/>
        </w:rPr>
        <w:t>Promoção de estudos, pesquisa de normas, regulamentos e instruções, bem como busca e análise de soluções sobre o tema de sustentabilidade em contratações públicas (GEPOC).</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Atividades realizadas</w:t>
      </w:r>
    </w:p>
    <w:p w:rsidR="003E6588" w:rsidRDefault="003E6588">
      <w:pPr>
        <w:pStyle w:val="PargrafodaLista"/>
        <w:tabs>
          <w:tab w:val="left" w:pos="360"/>
        </w:tabs>
        <w:ind w:left="0" w:firstLine="1134"/>
        <w:rPr>
          <w:rFonts w:ascii="Times New Roman" w:hAnsi="Times New Roman"/>
          <w:b/>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do Projeto Controle de Qualidade Sustentável, para cumprimento ao Programa Estadual de Contratações Públicas Sustentáveis e o Plano Estadual de Mudanças Climáticas;</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Organização de fórum com vistas à definição de papéis e responsabilidades dos atores envolvidos em diversos tópicos relacionados às compras sustentáveis;</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Organização do Encontro Técnico das Comissões Internas de Contratações Públicas Sustentáveis;</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na elaboração de questionários direcionados para os órgãos e entidades da Administração Pública Estadual, para subsidiar o Relatório Anual de Sustentabilidade;</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junto às Secretarias do Meio Ambiente e da Fazenda, na compilação e sistematização das informações e indicadores, diagramação e redação, do Relatório Anual de Sustentabilidade;</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Assessoramento ao Grupo Técnico de Aquisição de Passagens Aéreas na elaboração do edital de contratação de serviço de agenciamento sistematizado de viagens coorporativas;</w:t>
      </w:r>
    </w:p>
    <w:p w:rsidR="00707F4E" w:rsidRPr="00707F4E" w:rsidRDefault="00707F4E" w:rsidP="00707F4E">
      <w:pPr>
        <w:pStyle w:val="PargrafodaLista"/>
        <w:tabs>
          <w:tab w:val="left" w:pos="360"/>
        </w:tabs>
        <w:suppressAutoHyphens/>
        <w:ind w:left="0" w:firstLine="1134"/>
        <w:contextualSpacing w:val="0"/>
        <w:rPr>
          <w:rFonts w:ascii="Times New Roman" w:hAnsi="Times New Roman"/>
          <w:sz w:val="24"/>
          <w:szCs w:val="24"/>
        </w:rPr>
      </w:pPr>
    </w:p>
    <w:p w:rsidR="003E6588" w:rsidRDefault="00B03D69"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Início da construção de diagnóstico da área meio da Ad</w:t>
      </w:r>
      <w:r w:rsidR="00707F4E">
        <w:rPr>
          <w:rFonts w:ascii="Times New Roman" w:hAnsi="Times New Roman"/>
          <w:sz w:val="24"/>
          <w:szCs w:val="24"/>
        </w:rPr>
        <w:t>ministração Pública do Estado</w:t>
      </w:r>
      <w:r w:rsidR="003E6588">
        <w:rPr>
          <w:rFonts w:ascii="Times New Roman" w:hAnsi="Times New Roman"/>
          <w:sz w:val="24"/>
          <w:szCs w:val="24"/>
        </w:rPr>
        <w:t>, junto à Secretaria de Planejamento e Desenvolvimento Regional, no tocante a Licitações e Contratações Públicas, para fins do Planejamento Plurianual.</w:t>
      </w:r>
    </w:p>
    <w:p w:rsidR="003E6588" w:rsidRDefault="003E6588">
      <w:pPr>
        <w:pStyle w:val="PargrafodaLista"/>
        <w:tabs>
          <w:tab w:val="left" w:pos="360"/>
        </w:tabs>
        <w:ind w:left="0" w:firstLine="1134"/>
        <w:rPr>
          <w:rFonts w:ascii="Times New Roman" w:hAnsi="Times New Roman"/>
          <w:sz w:val="24"/>
          <w:szCs w:val="24"/>
        </w:rPr>
      </w:pPr>
    </w:p>
    <w:p w:rsidR="003E6588" w:rsidRDefault="003E6588">
      <w:pPr>
        <w:pStyle w:val="PargrafodaLista"/>
        <w:suppressAutoHyphens/>
        <w:ind w:left="1134"/>
        <w:contextualSpacing w:val="0"/>
        <w:rPr>
          <w:rFonts w:ascii="Times New Roman" w:hAnsi="Times New Roman"/>
          <w:sz w:val="24"/>
          <w:szCs w:val="24"/>
        </w:rPr>
      </w:pPr>
      <w:r w:rsidRPr="000D1A1B">
        <w:rPr>
          <w:rFonts w:ascii="Times New Roman" w:hAnsi="Times New Roman"/>
          <w:b/>
          <w:sz w:val="24"/>
          <w:szCs w:val="24"/>
        </w:rPr>
        <w:t>Objetivo</w:t>
      </w:r>
      <w:r>
        <w:rPr>
          <w:rFonts w:ascii="Times New Roman" w:hAnsi="Times New Roman"/>
          <w:b/>
          <w:sz w:val="24"/>
          <w:szCs w:val="24"/>
        </w:rPr>
        <w:t xml:space="preserve"> -</w:t>
      </w:r>
      <w:r>
        <w:rPr>
          <w:rFonts w:ascii="Times New Roman" w:hAnsi="Times New Roman"/>
          <w:sz w:val="24"/>
          <w:szCs w:val="24"/>
        </w:rPr>
        <w:t xml:space="preserve"> Manualizar os procedimentos de contratações da SGP.</w:t>
      </w:r>
    </w:p>
    <w:p w:rsidR="000D1A1B" w:rsidRDefault="000D1A1B">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Atividades realizadas -</w:t>
      </w:r>
      <w:r>
        <w:rPr>
          <w:rFonts w:ascii="Times New Roman" w:hAnsi="Times New Roman"/>
          <w:sz w:val="24"/>
          <w:szCs w:val="24"/>
        </w:rPr>
        <w:t xml:space="preserve"> Levantamento do fluxo e redesenho dos processos; </w:t>
      </w:r>
      <w:r>
        <w:rPr>
          <w:rFonts w:ascii="Times New Roman" w:hAnsi="Times New Roman"/>
          <w:i/>
          <w:sz w:val="24"/>
          <w:szCs w:val="24"/>
        </w:rPr>
        <w:t xml:space="preserve">Benchmarking </w:t>
      </w:r>
      <w:r>
        <w:rPr>
          <w:rFonts w:ascii="Times New Roman" w:hAnsi="Times New Roman"/>
          <w:sz w:val="24"/>
          <w:szCs w:val="24"/>
        </w:rPr>
        <w:t>das contratações em outras áreas; construção de material técnico (manuais e guias).</w:t>
      </w:r>
    </w:p>
    <w:p w:rsidR="00B03D69" w:rsidRDefault="00B03D69">
      <w:pPr>
        <w:pStyle w:val="PargrafodaLista"/>
        <w:tabs>
          <w:tab w:val="left" w:pos="360"/>
        </w:tabs>
        <w:ind w:left="0" w:firstLine="1134"/>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sz w:val="24"/>
          <w:szCs w:val="24"/>
        </w:rPr>
      </w:pPr>
      <w:r w:rsidRPr="000D1A1B">
        <w:rPr>
          <w:rFonts w:ascii="Times New Roman" w:hAnsi="Times New Roman"/>
          <w:b/>
          <w:sz w:val="24"/>
          <w:szCs w:val="24"/>
        </w:rPr>
        <w:t xml:space="preserve">Objetivo </w:t>
      </w:r>
      <w:r>
        <w:rPr>
          <w:rFonts w:ascii="Times New Roman" w:hAnsi="Times New Roman"/>
          <w:b/>
          <w:sz w:val="24"/>
          <w:szCs w:val="24"/>
        </w:rPr>
        <w:t xml:space="preserve">- </w:t>
      </w:r>
      <w:r>
        <w:rPr>
          <w:rFonts w:ascii="Times New Roman" w:hAnsi="Times New Roman"/>
          <w:sz w:val="24"/>
          <w:szCs w:val="24"/>
        </w:rPr>
        <w:t>Revisão da ata de registro de Preços para Aquisição de Passagens Aéreas (GAPA).</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sidRPr="000D1A1B">
        <w:rPr>
          <w:rFonts w:ascii="Times New Roman" w:hAnsi="Times New Roman"/>
          <w:b/>
          <w:sz w:val="24"/>
          <w:szCs w:val="24"/>
        </w:rPr>
        <w:t>Produtos entregues</w:t>
      </w:r>
      <w:r>
        <w:rPr>
          <w:rFonts w:ascii="Times New Roman" w:hAnsi="Times New Roman"/>
          <w:b/>
          <w:sz w:val="24"/>
          <w:szCs w:val="24"/>
        </w:rPr>
        <w:t xml:space="preserve"> - </w:t>
      </w:r>
      <w:r>
        <w:rPr>
          <w:rFonts w:ascii="Times New Roman" w:hAnsi="Times New Roman"/>
          <w:sz w:val="24"/>
          <w:szCs w:val="24"/>
        </w:rPr>
        <w:t xml:space="preserve">Novo edital da ARP 2014 de passagens aéreas; </w:t>
      </w:r>
      <w:r w:rsidR="00707F4E">
        <w:rPr>
          <w:rFonts w:ascii="Times New Roman" w:hAnsi="Times New Roman"/>
          <w:sz w:val="24"/>
          <w:szCs w:val="24"/>
        </w:rPr>
        <w:t xml:space="preserve">realização </w:t>
      </w:r>
      <w:r>
        <w:rPr>
          <w:rFonts w:ascii="Times New Roman" w:hAnsi="Times New Roman"/>
          <w:sz w:val="24"/>
          <w:szCs w:val="24"/>
        </w:rPr>
        <w:t>do pregão; Simpósio de Melhoria do Gasto, em parceria com a EACH/USP e ESAF; Cartilha sobre a Política de Passagens Aéreas do Estado de São Paulo.</w:t>
      </w:r>
    </w:p>
    <w:p w:rsidR="003E6588" w:rsidRDefault="003E6588">
      <w:pPr>
        <w:pStyle w:val="PargrafodaLista"/>
        <w:tabs>
          <w:tab w:val="left" w:pos="360"/>
        </w:tabs>
        <w:ind w:left="0" w:firstLine="1134"/>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sz w:val="24"/>
          <w:szCs w:val="24"/>
        </w:rPr>
      </w:pPr>
      <w:r w:rsidRPr="000D1A1B">
        <w:rPr>
          <w:rFonts w:ascii="Times New Roman" w:hAnsi="Times New Roman"/>
          <w:b/>
          <w:sz w:val="24"/>
          <w:szCs w:val="24"/>
        </w:rPr>
        <w:t>Objetivo</w:t>
      </w:r>
      <w:r>
        <w:rPr>
          <w:rFonts w:ascii="Times New Roman" w:hAnsi="Times New Roman"/>
          <w:b/>
          <w:sz w:val="24"/>
          <w:szCs w:val="24"/>
        </w:rPr>
        <w:t xml:space="preserve"> - </w:t>
      </w:r>
      <w:r>
        <w:rPr>
          <w:rFonts w:ascii="Times New Roman" w:hAnsi="Times New Roman"/>
          <w:sz w:val="24"/>
          <w:szCs w:val="24"/>
        </w:rPr>
        <w:t>Revisão dos processos relativos a</w:t>
      </w:r>
      <w:r>
        <w:rPr>
          <w:rFonts w:ascii="Times New Roman" w:hAnsi="Times New Roman"/>
          <w:b/>
          <w:sz w:val="24"/>
          <w:szCs w:val="24"/>
        </w:rPr>
        <w:t xml:space="preserve"> </w:t>
      </w:r>
      <w:r>
        <w:rPr>
          <w:rFonts w:ascii="Times New Roman" w:hAnsi="Times New Roman"/>
          <w:sz w:val="24"/>
          <w:szCs w:val="24"/>
        </w:rPr>
        <w:t>cartão combustível e manutenção de frotas.</w:t>
      </w:r>
    </w:p>
    <w:p w:rsidR="003E6588" w:rsidRDefault="003E6588">
      <w:pPr>
        <w:pStyle w:val="PargrafodaLista"/>
        <w:tabs>
          <w:tab w:val="left" w:pos="360"/>
        </w:tabs>
        <w:ind w:left="0" w:firstLine="1134"/>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sz w:val="24"/>
          <w:szCs w:val="24"/>
        </w:rPr>
      </w:pPr>
      <w:r w:rsidRPr="000D1A1B">
        <w:rPr>
          <w:rFonts w:ascii="Times New Roman" w:hAnsi="Times New Roman"/>
          <w:b/>
          <w:sz w:val="24"/>
          <w:szCs w:val="24"/>
        </w:rPr>
        <w:t>Produto entregue</w:t>
      </w:r>
      <w:r>
        <w:rPr>
          <w:rFonts w:ascii="Times New Roman" w:hAnsi="Times New Roman"/>
          <w:b/>
          <w:sz w:val="24"/>
          <w:szCs w:val="24"/>
        </w:rPr>
        <w:t xml:space="preserve"> - </w:t>
      </w:r>
      <w:r>
        <w:rPr>
          <w:rFonts w:ascii="Times New Roman" w:hAnsi="Times New Roman"/>
          <w:sz w:val="24"/>
          <w:szCs w:val="24"/>
        </w:rPr>
        <w:t>Minuta do edital para ARP de Combustível e Manutenção (em análise na CJ/SGP).</w:t>
      </w:r>
    </w:p>
    <w:p w:rsidR="003E6588" w:rsidRDefault="003E6588">
      <w:pPr>
        <w:pStyle w:val="PargrafodaLista"/>
        <w:tabs>
          <w:tab w:val="left" w:pos="360"/>
        </w:tabs>
        <w:ind w:left="0" w:firstLine="1134"/>
        <w:rPr>
          <w:rFonts w:ascii="Times New Roman" w:hAnsi="Times New Roman"/>
          <w:sz w:val="24"/>
          <w:szCs w:val="24"/>
        </w:rPr>
      </w:pPr>
    </w:p>
    <w:p w:rsidR="003E6588" w:rsidRDefault="003E6588" w:rsidP="00E44982">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b/>
          <w:sz w:val="24"/>
          <w:szCs w:val="24"/>
        </w:rPr>
        <w:t>Projeto - Digitalização de Processos</w:t>
      </w:r>
      <w:r w:rsidR="00707F4E">
        <w:rPr>
          <w:rFonts w:ascii="Times New Roman" w:hAnsi="Times New Roman"/>
          <w:b/>
          <w:sz w:val="24"/>
          <w:szCs w:val="24"/>
        </w:rPr>
        <w:t xml:space="preserve"> - </w:t>
      </w:r>
      <w:r>
        <w:rPr>
          <w:rFonts w:ascii="Times New Roman" w:hAnsi="Times New Roman"/>
          <w:b/>
          <w:sz w:val="24"/>
          <w:szCs w:val="24"/>
        </w:rPr>
        <w:t xml:space="preserve">Atividades realizadas - </w:t>
      </w:r>
      <w:r>
        <w:rPr>
          <w:rFonts w:ascii="Times New Roman" w:hAnsi="Times New Roman"/>
          <w:sz w:val="24"/>
          <w:szCs w:val="24"/>
        </w:rPr>
        <w:t>Levantamento do fluxo e redesenho dos processos.</w:t>
      </w:r>
    </w:p>
    <w:p w:rsidR="003E6588" w:rsidRDefault="003E6588">
      <w:pPr>
        <w:pStyle w:val="PargrafodaLista"/>
        <w:tabs>
          <w:tab w:val="left" w:pos="360"/>
        </w:tabs>
        <w:ind w:left="0" w:firstLine="1134"/>
        <w:rPr>
          <w:rFonts w:ascii="Times New Roman" w:hAnsi="Times New Roman"/>
          <w:sz w:val="24"/>
          <w:szCs w:val="24"/>
        </w:rPr>
      </w:pPr>
    </w:p>
    <w:p w:rsidR="003E6588" w:rsidRDefault="003E6588" w:rsidP="00707F4E">
      <w:pPr>
        <w:pStyle w:val="PargrafodaLista"/>
        <w:tabs>
          <w:tab w:val="left" w:pos="360"/>
        </w:tabs>
        <w:suppressAutoHyphens/>
        <w:ind w:left="1134"/>
        <w:contextualSpacing w:val="0"/>
        <w:rPr>
          <w:rFonts w:ascii="Times New Roman" w:hAnsi="Times New Roman"/>
          <w:b/>
          <w:sz w:val="24"/>
          <w:szCs w:val="24"/>
        </w:rPr>
      </w:pPr>
      <w:r>
        <w:rPr>
          <w:rFonts w:ascii="Times New Roman" w:hAnsi="Times New Roman"/>
          <w:b/>
          <w:sz w:val="24"/>
          <w:szCs w:val="24"/>
        </w:rPr>
        <w:t xml:space="preserve">Serviço de Apoio à Bonificação por Resultados </w:t>
      </w:r>
      <w:r w:rsidR="00707F4E">
        <w:rPr>
          <w:rFonts w:ascii="Times New Roman" w:hAnsi="Times New Roman"/>
          <w:b/>
          <w:sz w:val="24"/>
          <w:szCs w:val="24"/>
        </w:rPr>
        <w:t xml:space="preserve">- </w:t>
      </w:r>
      <w:r>
        <w:rPr>
          <w:rFonts w:ascii="Times New Roman" w:hAnsi="Times New Roman"/>
          <w:b/>
          <w:sz w:val="24"/>
          <w:szCs w:val="24"/>
        </w:rPr>
        <w:t>SABR</w:t>
      </w:r>
    </w:p>
    <w:p w:rsidR="00707F4E" w:rsidRPr="00E44982" w:rsidRDefault="00707F4E" w:rsidP="00707F4E">
      <w:pPr>
        <w:pStyle w:val="PargrafodaLista"/>
        <w:tabs>
          <w:tab w:val="left" w:pos="360"/>
        </w:tabs>
        <w:suppressAutoHyphens/>
        <w:ind w:left="1134"/>
        <w:contextualSpacing w:val="0"/>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Produtos entregues - </w:t>
      </w:r>
      <w:r>
        <w:rPr>
          <w:rFonts w:ascii="Times New Roman" w:hAnsi="Times New Roman"/>
          <w:sz w:val="24"/>
          <w:szCs w:val="24"/>
        </w:rPr>
        <w:t>36 pareceres técnicos e redação de minutas de Resolução e Manual de BR.</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Cooperações Técnicas no âmbito da administração pública</w:t>
      </w:r>
    </w:p>
    <w:p w:rsidR="003E6588" w:rsidRDefault="003E6588">
      <w:pPr>
        <w:ind w:firstLine="1134"/>
        <w:jc w:val="both"/>
        <w:rPr>
          <w:b/>
        </w:rPr>
      </w:pPr>
    </w:p>
    <w:p w:rsidR="00E44982" w:rsidRDefault="003E6588" w:rsidP="00707F4E">
      <w:pPr>
        <w:tabs>
          <w:tab w:val="left" w:pos="360"/>
        </w:tabs>
        <w:ind w:firstLine="1134"/>
        <w:jc w:val="both"/>
        <w:rPr>
          <w:b/>
        </w:rPr>
      </w:pPr>
      <w:r>
        <w:rPr>
          <w:b/>
        </w:rPr>
        <w:t xml:space="preserve">Casa Civil - Agência Metropolitana de Campinas </w:t>
      </w:r>
      <w:r w:rsidR="00E92D0F">
        <w:rPr>
          <w:b/>
        </w:rPr>
        <w:t>-</w:t>
      </w:r>
      <w:r w:rsidR="00707F4E">
        <w:rPr>
          <w:b/>
        </w:rPr>
        <w:t xml:space="preserve"> </w:t>
      </w:r>
      <w:r>
        <w:rPr>
          <w:b/>
        </w:rPr>
        <w:t>AGEMCAMP</w:t>
      </w:r>
    </w:p>
    <w:p w:rsidR="00E44982" w:rsidRDefault="00E44982" w:rsidP="00707F4E">
      <w:pPr>
        <w:tabs>
          <w:tab w:val="left" w:pos="360"/>
        </w:tabs>
        <w:ind w:firstLine="1134"/>
        <w:jc w:val="both"/>
        <w:rPr>
          <w:b/>
        </w:rPr>
      </w:pPr>
    </w:p>
    <w:p w:rsidR="003E6588" w:rsidRDefault="003E6588" w:rsidP="00707F4E">
      <w:pPr>
        <w:tabs>
          <w:tab w:val="left" w:pos="360"/>
        </w:tabs>
        <w:ind w:firstLine="1134"/>
        <w:jc w:val="both"/>
        <w:rPr>
          <w:b/>
        </w:rPr>
      </w:pPr>
      <w:r>
        <w:rPr>
          <w:b/>
        </w:rPr>
        <w:t>Atividades realizadas</w:t>
      </w:r>
    </w:p>
    <w:p w:rsidR="003E6588" w:rsidRDefault="003E6588">
      <w:pPr>
        <w:pStyle w:val="PargrafodaLista"/>
        <w:tabs>
          <w:tab w:val="left" w:pos="360"/>
        </w:tabs>
        <w:ind w:left="0" w:firstLine="1134"/>
        <w:rPr>
          <w:rFonts w:ascii="Times New Roman" w:hAnsi="Times New Roman"/>
          <w:b/>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ao Programa Metropolitano de Atenção e Inclusão à Terceira Idade no âmbito do convênio entre AGEMCAMP e PUC-Campinas;</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Revisão do Plano Diretor Metropolitano de Gestão de Resíduos Sólidos de 2009: com apoio da CT de Saneamento e Meio Ambiente e da Secretaria do Meio Ambiente;</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Apoio técnico ao grupo de avaliação do protocolo de atendimento à população em situação de rua da RMC, vinculado à CT de Assistência Social, e da elaboração de proposta de implantação de abrigo regional para população de rua para atender a mais de um município da região;</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Sistematização de demandas nas áreas de Assistência Social e de Habitação.</w:t>
      </w:r>
    </w:p>
    <w:p w:rsidR="003E6588" w:rsidRDefault="003E6588" w:rsidP="00707F4E">
      <w:pPr>
        <w:tabs>
          <w:tab w:val="left" w:pos="360"/>
        </w:tabs>
        <w:ind w:firstLine="1134"/>
        <w:jc w:val="both"/>
        <w:rPr>
          <w:b/>
        </w:rPr>
      </w:pPr>
    </w:p>
    <w:p w:rsidR="003E6588" w:rsidRDefault="003E6588">
      <w:pPr>
        <w:tabs>
          <w:tab w:val="left" w:pos="360"/>
        </w:tabs>
        <w:ind w:firstLine="1134"/>
        <w:jc w:val="both"/>
        <w:rPr>
          <w:b/>
        </w:rPr>
      </w:pPr>
      <w:r>
        <w:rPr>
          <w:b/>
        </w:rPr>
        <w:t xml:space="preserve">Casa Civil - Empresa Paulista de Planejamento Metropolitano SA </w:t>
      </w:r>
      <w:r w:rsidR="00707F4E">
        <w:rPr>
          <w:b/>
        </w:rPr>
        <w:t xml:space="preserve">- </w:t>
      </w:r>
      <w:r>
        <w:rPr>
          <w:b/>
        </w:rPr>
        <w:t>EMPLASA</w:t>
      </w:r>
    </w:p>
    <w:p w:rsidR="003E6588" w:rsidRDefault="003E6588">
      <w:pPr>
        <w:pStyle w:val="PargrafodaLista"/>
        <w:tabs>
          <w:tab w:val="left" w:pos="360"/>
        </w:tabs>
        <w:ind w:left="0" w:firstLine="1134"/>
        <w:rPr>
          <w:rFonts w:ascii="Times New Roman" w:hAnsi="Times New Roman"/>
          <w:b/>
          <w:sz w:val="24"/>
          <w:szCs w:val="24"/>
        </w:rPr>
      </w:pPr>
    </w:p>
    <w:p w:rsidR="003E6588" w:rsidRPr="00B03D69"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Plano Metropolitano de Desenvolvimento Habitacional.</w:t>
      </w:r>
    </w:p>
    <w:p w:rsidR="00E44982" w:rsidRDefault="00E44982" w:rsidP="00707F4E">
      <w:pPr>
        <w:pStyle w:val="PargrafodaLista"/>
        <w:tabs>
          <w:tab w:val="left" w:pos="360"/>
        </w:tabs>
        <w:ind w:left="0" w:firstLine="1134"/>
        <w:rPr>
          <w:rFonts w:ascii="Times New Roman" w:hAnsi="Times New Roman"/>
          <w:b/>
          <w:sz w:val="24"/>
          <w:szCs w:val="24"/>
        </w:rPr>
      </w:pPr>
    </w:p>
    <w:p w:rsidR="003E6588" w:rsidRDefault="003E6588" w:rsidP="00707F4E">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Produto entregue</w:t>
      </w:r>
      <w:r w:rsidR="00707F4E">
        <w:rPr>
          <w:rFonts w:ascii="Times New Roman" w:hAnsi="Times New Roman"/>
          <w:b/>
          <w:sz w:val="24"/>
          <w:szCs w:val="24"/>
        </w:rPr>
        <w:t xml:space="preserve"> - </w:t>
      </w:r>
      <w:r>
        <w:rPr>
          <w:rFonts w:ascii="Times New Roman" w:hAnsi="Times New Roman"/>
          <w:sz w:val="24"/>
          <w:szCs w:val="24"/>
        </w:rPr>
        <w:t>Texto e estrutura preliminar de entrevista para melhor compreensão dos processos de regularização fundiária no âmbito do Programa Cidade Legal.</w:t>
      </w:r>
    </w:p>
    <w:p w:rsidR="00B03D69" w:rsidRDefault="00B03D69" w:rsidP="00707F4E">
      <w:pPr>
        <w:pStyle w:val="PargrafodaLista"/>
        <w:tabs>
          <w:tab w:val="left" w:pos="360"/>
        </w:tabs>
        <w:ind w:left="0" w:firstLine="1134"/>
        <w:rPr>
          <w:rFonts w:ascii="Times New Roman" w:hAnsi="Times New Roman"/>
          <w:sz w:val="24"/>
          <w:szCs w:val="24"/>
        </w:rPr>
      </w:pPr>
    </w:p>
    <w:p w:rsidR="003E6588" w:rsidRPr="00B03D69"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 xml:space="preserve">Projeto - </w:t>
      </w:r>
      <w:r>
        <w:rPr>
          <w:rFonts w:ascii="Times New Roman" w:hAnsi="Times New Roman"/>
          <w:sz w:val="24"/>
          <w:szCs w:val="24"/>
        </w:rPr>
        <w:t>Áreas de Influência do Transporte Metropolitano.</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Relatório dos Marcos Regulatórios, produto 3 - Linha 6 Laranja - análises especializadas e propostas de diretrizes para inserção da linha e requalificação urbana em relação aos marcos regulatórios do setor;</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Relatório dos Marcos Regulatórios, produto 4 - Corredor 2 - BRT Perimetral Alto Tietê - Avaliação de impactos da implantação do Corredor, abrangendo os estudos Inserção urbana e identificação e análise de parâmetros urbanísticos.</w:t>
      </w:r>
    </w:p>
    <w:p w:rsidR="003E6588" w:rsidRDefault="003E6588">
      <w:pPr>
        <w:pStyle w:val="PargrafodaLista"/>
        <w:tabs>
          <w:tab w:val="left" w:pos="360"/>
        </w:tabs>
        <w:ind w:left="0" w:firstLine="1134"/>
        <w:rPr>
          <w:rFonts w:ascii="Times New Roman" w:hAnsi="Times New Roman"/>
          <w:sz w:val="24"/>
          <w:szCs w:val="24"/>
        </w:rPr>
      </w:pPr>
    </w:p>
    <w:p w:rsidR="003E6588" w:rsidRPr="00B03D69"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 xml:space="preserve">Projeto - </w:t>
      </w:r>
      <w:r>
        <w:rPr>
          <w:rFonts w:ascii="Times New Roman" w:hAnsi="Times New Roman"/>
          <w:sz w:val="24"/>
          <w:szCs w:val="24"/>
        </w:rPr>
        <w:t xml:space="preserve">Indicadores do Plano de Ação da Macrometrópole Paulista </w:t>
      </w:r>
      <w:r w:rsidR="00707F4E">
        <w:rPr>
          <w:rFonts w:ascii="Times New Roman" w:hAnsi="Times New Roman"/>
          <w:sz w:val="24"/>
          <w:szCs w:val="24"/>
        </w:rPr>
        <w:t xml:space="preserve">- </w:t>
      </w:r>
      <w:r>
        <w:rPr>
          <w:rFonts w:ascii="Times New Roman" w:hAnsi="Times New Roman"/>
          <w:sz w:val="24"/>
          <w:szCs w:val="24"/>
        </w:rPr>
        <w:t>PAM 2013-2040.</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Texto base para o tópico “Estrutura dos serviços na Macrometrópole Paulista”;</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Mapa de indicadores para eixos temáticos do PAM e Câmaras Temáticas do COMPETE-SP;</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Modelos de fichas descritivas de indicadores (sintética e ampliada);</w:t>
      </w:r>
    </w:p>
    <w:p w:rsidR="003E6588" w:rsidRDefault="003E6588" w:rsidP="00707F4E">
      <w:pPr>
        <w:pStyle w:val="PargrafodaLista"/>
        <w:suppressAutoHyphens/>
        <w:ind w:left="0" w:firstLine="1134"/>
        <w:contextualSpacing w:val="0"/>
        <w:rPr>
          <w:rFonts w:ascii="Times New Roman" w:hAnsi="Times New Roman"/>
          <w:sz w:val="24"/>
          <w:szCs w:val="24"/>
        </w:rPr>
      </w:pPr>
    </w:p>
    <w:p w:rsidR="003E6588" w:rsidRDefault="00707F4E" w:rsidP="00707F4E">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Ficha de apuração do indicador de nível de proficiência de alunos em leitura, ciências e matemática.</w:t>
      </w:r>
    </w:p>
    <w:p w:rsidR="003E6588" w:rsidRDefault="003E6588">
      <w:pPr>
        <w:tabs>
          <w:tab w:val="left" w:pos="360"/>
        </w:tabs>
        <w:ind w:firstLine="1134"/>
        <w:jc w:val="both"/>
        <w:rPr>
          <w:b/>
        </w:rPr>
      </w:pPr>
    </w:p>
    <w:p w:rsidR="003E6588" w:rsidRDefault="003E6588">
      <w:pPr>
        <w:tabs>
          <w:tab w:val="left" w:pos="360"/>
        </w:tabs>
        <w:ind w:firstLine="1134"/>
        <w:jc w:val="both"/>
        <w:rPr>
          <w:b/>
        </w:rPr>
      </w:pPr>
      <w:r>
        <w:rPr>
          <w:b/>
        </w:rPr>
        <w:t xml:space="preserve">Departamento Estadual de Trânsito </w:t>
      </w:r>
      <w:r w:rsidR="004C7102">
        <w:rPr>
          <w:b/>
        </w:rPr>
        <w:t xml:space="preserve">- </w:t>
      </w:r>
      <w:r>
        <w:rPr>
          <w:b/>
        </w:rPr>
        <w:t>DETRAN</w:t>
      </w:r>
    </w:p>
    <w:p w:rsidR="003E6588" w:rsidRDefault="003E6588">
      <w:pPr>
        <w:pStyle w:val="PargrafodaLista"/>
        <w:tabs>
          <w:tab w:val="left" w:pos="360"/>
        </w:tabs>
        <w:ind w:left="0" w:firstLine="1134"/>
        <w:rPr>
          <w:rFonts w:ascii="Times New Roman" w:hAnsi="Times New Roman"/>
          <w:b/>
          <w:sz w:val="24"/>
          <w:szCs w:val="24"/>
        </w:rPr>
      </w:pPr>
    </w:p>
    <w:p w:rsidR="003E6588" w:rsidRPr="00E44982"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Produção de conteúdos para o portal Detran.SP.</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lastRenderedPageBreak/>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i/>
          <w:sz w:val="24"/>
          <w:szCs w:val="24"/>
        </w:rPr>
        <w:t xml:space="preserve">- </w:t>
      </w:r>
      <w:r w:rsidR="003E6588">
        <w:rPr>
          <w:rFonts w:ascii="Times New Roman" w:hAnsi="Times New Roman"/>
          <w:i/>
          <w:sz w:val="24"/>
          <w:szCs w:val="24"/>
        </w:rPr>
        <w:t>Scripts</w:t>
      </w:r>
      <w:r w:rsidR="003E6588">
        <w:rPr>
          <w:rFonts w:ascii="Times New Roman" w:hAnsi="Times New Roman"/>
          <w:sz w:val="24"/>
          <w:szCs w:val="24"/>
        </w:rPr>
        <w:t xml:space="preserve"> de Habilitação;</w:t>
      </w:r>
    </w:p>
    <w:p w:rsidR="003E6588" w:rsidRDefault="003E6588">
      <w:pPr>
        <w:pStyle w:val="PargrafodaLista"/>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Questionário da pesquisa sobre navegação, reformulado.</w:t>
      </w:r>
    </w:p>
    <w:p w:rsidR="003E6588" w:rsidRPr="00E44982" w:rsidRDefault="003E6588">
      <w:pPr>
        <w:pStyle w:val="PargrafodaLista"/>
        <w:tabs>
          <w:tab w:val="left" w:pos="360"/>
        </w:tabs>
        <w:ind w:left="0" w:firstLine="1134"/>
        <w:rPr>
          <w:rFonts w:ascii="Times New Roman" w:hAnsi="Times New Roman"/>
          <w:b/>
          <w:sz w:val="24"/>
          <w:szCs w:val="24"/>
        </w:rPr>
      </w:pPr>
    </w:p>
    <w:p w:rsidR="003E6588" w:rsidRPr="00E92D0F"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 xml:space="preserve">Estruturação do Observatório Paulista de Trânsito </w:t>
      </w:r>
      <w:r w:rsidR="00E44982">
        <w:rPr>
          <w:rFonts w:ascii="Times New Roman" w:hAnsi="Times New Roman"/>
          <w:sz w:val="24"/>
          <w:szCs w:val="24"/>
        </w:rPr>
        <w:t xml:space="preserve">- </w:t>
      </w:r>
      <w:r>
        <w:rPr>
          <w:rFonts w:ascii="Times New Roman" w:hAnsi="Times New Roman"/>
          <w:sz w:val="24"/>
          <w:szCs w:val="24"/>
        </w:rPr>
        <w:t>OPT.</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Plano de Comunicação Estratégico;</w:t>
      </w:r>
    </w:p>
    <w:p w:rsidR="003E6588" w:rsidRDefault="003E6588">
      <w:pPr>
        <w:pStyle w:val="PargrafodaLista"/>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Plano Tático e Plano Operacional.</w:t>
      </w:r>
    </w:p>
    <w:p w:rsidR="000D1A1B" w:rsidRDefault="000D1A1B" w:rsidP="00F11A45">
      <w:pPr>
        <w:pStyle w:val="PargrafodaLista"/>
        <w:tabs>
          <w:tab w:val="left" w:pos="360"/>
        </w:tabs>
        <w:suppressAutoHyphens/>
        <w:ind w:left="1134"/>
        <w:contextualSpacing w:val="0"/>
        <w:rPr>
          <w:rFonts w:ascii="Times New Roman" w:hAnsi="Times New Roman"/>
          <w:sz w:val="24"/>
          <w:szCs w:val="24"/>
        </w:rPr>
      </w:pPr>
    </w:p>
    <w:p w:rsidR="003E6588" w:rsidRDefault="003E6588">
      <w:pPr>
        <w:tabs>
          <w:tab w:val="left" w:pos="360"/>
        </w:tabs>
        <w:ind w:firstLine="1134"/>
        <w:jc w:val="both"/>
        <w:rPr>
          <w:b/>
        </w:rPr>
      </w:pPr>
      <w:r>
        <w:rPr>
          <w:b/>
        </w:rPr>
        <w:t xml:space="preserve">Secretaria dos Direitos da Pessoa com Deficiência </w:t>
      </w:r>
      <w:r w:rsidR="00F11A45">
        <w:rPr>
          <w:b/>
        </w:rPr>
        <w:t xml:space="preserve">- </w:t>
      </w:r>
      <w:r>
        <w:rPr>
          <w:b/>
        </w:rPr>
        <w:t>SDPD</w:t>
      </w:r>
    </w:p>
    <w:p w:rsidR="003E6588" w:rsidRDefault="003E6588">
      <w:pPr>
        <w:tabs>
          <w:tab w:val="left" w:pos="360"/>
        </w:tabs>
        <w:ind w:firstLine="1134"/>
        <w:jc w:val="both"/>
        <w:rPr>
          <w:b/>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Atividades realizadas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no desenvolvimento de produtos para o Concurso “Passa Lá em Casa - A Moradia Assistida e a Autonomia Possível”;</w:t>
      </w:r>
    </w:p>
    <w:p w:rsidR="003E6588" w:rsidRDefault="003E6588" w:rsidP="00F11A45">
      <w:pPr>
        <w:pStyle w:val="PargrafodaLista"/>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na Gestão do contrato do “Estudo sobre a Política de Benefícios Assistenciais às Pessoas com Deficiência, com Proposta de Reformulação”;</w:t>
      </w:r>
    </w:p>
    <w:p w:rsidR="003E6588" w:rsidRDefault="003E6588" w:rsidP="00F11A45">
      <w:pPr>
        <w:pStyle w:val="PargrafodaLista"/>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Apoio técnico no desenvolvimento de produtos para a Comissão Organizadora do </w:t>
      </w:r>
      <w:r>
        <w:rPr>
          <w:rFonts w:ascii="Times New Roman" w:hAnsi="Times New Roman"/>
          <w:sz w:val="24"/>
          <w:szCs w:val="24"/>
        </w:rPr>
        <w:t>“</w:t>
      </w:r>
      <w:r w:rsidR="003E6588">
        <w:rPr>
          <w:rFonts w:ascii="Times New Roman" w:hAnsi="Times New Roman"/>
          <w:sz w:val="24"/>
          <w:szCs w:val="24"/>
        </w:rPr>
        <w:t>IV Prêmio Ações Inclusivas para as Pessoas com Deficiência</w:t>
      </w:r>
      <w:r>
        <w:rPr>
          <w:rFonts w:ascii="Times New Roman" w:hAnsi="Times New Roman"/>
          <w:sz w:val="24"/>
          <w:szCs w:val="24"/>
        </w:rPr>
        <w:t>”</w:t>
      </w:r>
      <w:r w:rsidR="003E6588">
        <w:rPr>
          <w:rFonts w:ascii="Times New Roman" w:hAnsi="Times New Roman"/>
          <w:sz w:val="24"/>
          <w:szCs w:val="24"/>
        </w:rPr>
        <w:t>;</w:t>
      </w:r>
    </w:p>
    <w:p w:rsidR="003E6588" w:rsidRDefault="003E6588" w:rsidP="00F11A45">
      <w:pPr>
        <w:pStyle w:val="PargrafodaLista"/>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Participação na organização da Comissão Intersecretarial do Programa de Prevenção e Combate à Violência contra Pessoas com Deficiência;</w:t>
      </w:r>
    </w:p>
    <w:p w:rsidR="003E6588" w:rsidRDefault="003E6588" w:rsidP="00F11A45">
      <w:pPr>
        <w:pStyle w:val="PargrafodaLista"/>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na implementação da Delegacia Especializada da Pessoa com Deficiência.</w:t>
      </w:r>
    </w:p>
    <w:p w:rsidR="003E6588" w:rsidRDefault="003E6588">
      <w:pPr>
        <w:pStyle w:val="PargrafodaLista"/>
        <w:tabs>
          <w:tab w:val="left" w:pos="360"/>
        </w:tabs>
        <w:ind w:left="0" w:firstLine="1134"/>
        <w:rPr>
          <w:rFonts w:ascii="Times New Roman" w:hAnsi="Times New Roman"/>
          <w:sz w:val="24"/>
          <w:szCs w:val="24"/>
        </w:rPr>
      </w:pPr>
    </w:p>
    <w:p w:rsidR="003E6588" w:rsidRDefault="003E6588">
      <w:pPr>
        <w:tabs>
          <w:tab w:val="left" w:pos="360"/>
        </w:tabs>
        <w:ind w:firstLine="1134"/>
        <w:jc w:val="both"/>
        <w:rPr>
          <w:b/>
        </w:rPr>
      </w:pPr>
      <w:r>
        <w:rPr>
          <w:b/>
        </w:rPr>
        <w:t xml:space="preserve">Secretaria da Cultura </w:t>
      </w:r>
      <w:r w:rsidR="00F11A45">
        <w:rPr>
          <w:b/>
        </w:rPr>
        <w:t xml:space="preserve">- </w:t>
      </w:r>
      <w:r>
        <w:rPr>
          <w:b/>
        </w:rPr>
        <w:t xml:space="preserve">SC e Secretaria da Saúde </w:t>
      </w:r>
      <w:r w:rsidR="00F11A45">
        <w:rPr>
          <w:b/>
        </w:rPr>
        <w:t xml:space="preserve">- </w:t>
      </w:r>
      <w:r>
        <w:rPr>
          <w:b/>
        </w:rPr>
        <w:t>SS</w:t>
      </w:r>
    </w:p>
    <w:p w:rsidR="003E6588" w:rsidRDefault="003E6588">
      <w:pPr>
        <w:tabs>
          <w:tab w:val="left" w:pos="360"/>
        </w:tabs>
        <w:ind w:firstLine="1134"/>
        <w:jc w:val="both"/>
        <w:rPr>
          <w:b/>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Atividades realizadas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Estudo de gestão de pessoas nas Organizações Sociais de Saúde;</w:t>
      </w:r>
    </w:p>
    <w:p w:rsidR="003E6588" w:rsidRDefault="003E6588" w:rsidP="00F11A45">
      <w:pPr>
        <w:pStyle w:val="PargrafodaLista"/>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na elaboração da matriz de comparação de séries históricas das Organizações Sociais de Cultura;</w:t>
      </w:r>
    </w:p>
    <w:p w:rsidR="003E6588" w:rsidRDefault="003E6588" w:rsidP="00F11A45">
      <w:pPr>
        <w:pStyle w:val="PargrafodaLista"/>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na regulamentação da transparência das Organizações Sociais de Saúde;</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Painel de Transparência das Organizações Sociais de Saúde;</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Matriz de Transparência - Painel de monitoramento da transparência e prestação de informações das Organizações Sociais de Cultura;</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de formulário para pesquisa sobre força de trabalho nas Organizações Sociais de Cultura;</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Análise comentada de nova minuta de contrato de gestão das Organizações Sociais de Cultura;</w:t>
      </w:r>
    </w:p>
    <w:p w:rsidR="00E44982" w:rsidRDefault="00E44982"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Guia para elaboração de regulamentos e gestão de compras e contratações nas Organizações Sociais de Cultura;</w:t>
      </w:r>
    </w:p>
    <w:p w:rsidR="003E6588" w:rsidRDefault="003E6588">
      <w:pPr>
        <w:pStyle w:val="PargrafodaLista"/>
        <w:tabs>
          <w:tab w:val="left" w:pos="360"/>
        </w:tabs>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Proposta de escopo para um sistema de acompanhamento dos contratos de gestão;</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Parecer técnico sobre criação de Unidade Central de Gestão das Organizações Sociais (Nota Técnica UDEMO nº 01/2014; Processo SGP nº 53.590/2013);</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Pareceres técnicos nos projetos: PL nº 932/2014 (NT UDEMO nº 02/2014) e PL nº 1.238/2014 (NT UDEMO nº 04/2014);</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Parecer técnico acerca da qualificação de entidade como Organização Social de Saúde (Instituto de Medicina, Estudos e Desenvolvimento) e ALC de iniciativa da SDECTI, para alterações na Lei Complementar nº 846/1998 (NT UDEMO nº 03/2014);</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à implantação do modelo de OS na Secretaria dos Direitos da Pessoa com Deficiência;</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Produção de material técnico para o GT Intersecretarial instituído junto ao CQGP na elaboração de proposta de regulamentação da Lei Federal nº 13.019/2014 no âmbito da Administração Pública Estadual.</w:t>
      </w:r>
    </w:p>
    <w:p w:rsidR="003E6588" w:rsidRDefault="003E6588">
      <w:pPr>
        <w:pStyle w:val="PargrafodaLista"/>
        <w:tabs>
          <w:tab w:val="left" w:pos="360"/>
        </w:tabs>
        <w:suppressAutoHyphens/>
        <w:ind w:left="0"/>
        <w:contextualSpacing w:val="0"/>
        <w:rPr>
          <w:rFonts w:ascii="Times New Roman" w:hAnsi="Times New Roman"/>
          <w:sz w:val="24"/>
          <w:szCs w:val="24"/>
        </w:rPr>
      </w:pPr>
    </w:p>
    <w:p w:rsidR="00E44982" w:rsidRDefault="003E6588" w:rsidP="00F11A45">
      <w:pPr>
        <w:tabs>
          <w:tab w:val="left" w:pos="360"/>
        </w:tabs>
        <w:ind w:firstLine="1134"/>
        <w:jc w:val="both"/>
        <w:rPr>
          <w:b/>
        </w:rPr>
      </w:pPr>
      <w:r>
        <w:rPr>
          <w:b/>
        </w:rPr>
        <w:t>Secretaria da Educação</w:t>
      </w:r>
    </w:p>
    <w:p w:rsidR="00E44982" w:rsidRDefault="00E44982" w:rsidP="00F11A45">
      <w:pPr>
        <w:tabs>
          <w:tab w:val="left" w:pos="360"/>
        </w:tabs>
        <w:ind w:firstLine="1134"/>
        <w:jc w:val="both"/>
        <w:rPr>
          <w:b/>
        </w:rPr>
      </w:pPr>
    </w:p>
    <w:p w:rsidR="003E6588" w:rsidRDefault="003E6588" w:rsidP="00F11A45">
      <w:pPr>
        <w:tabs>
          <w:tab w:val="left" w:pos="360"/>
        </w:tabs>
        <w:ind w:firstLine="1134"/>
        <w:jc w:val="both"/>
        <w:rPr>
          <w:b/>
        </w:rPr>
      </w:pPr>
      <w:r>
        <w:rPr>
          <w:b/>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Segunda versão do Manual do Escritório de Projetos;</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Agenda Estratégica SE 2013-2014 atualizada;</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Arquitetura do módulo de gestão de programas para o sistema informatizado;</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 xml:space="preserve">Minuta de resolução que institui o Escritório de Gestão de Projetos e Programas </w:t>
      </w:r>
      <w:r>
        <w:rPr>
          <w:rFonts w:ascii="Times New Roman" w:hAnsi="Times New Roman"/>
          <w:sz w:val="24"/>
          <w:szCs w:val="24"/>
        </w:rPr>
        <w:t xml:space="preserve">- </w:t>
      </w:r>
      <w:r w:rsidR="003E6588">
        <w:rPr>
          <w:rFonts w:ascii="Times New Roman" w:hAnsi="Times New Roman"/>
          <w:sz w:val="24"/>
          <w:szCs w:val="24"/>
        </w:rPr>
        <w:t xml:space="preserve">EGPP e a Rede de Assistências Técnicas </w:t>
      </w:r>
      <w:r>
        <w:rPr>
          <w:rFonts w:ascii="Times New Roman" w:hAnsi="Times New Roman"/>
          <w:sz w:val="24"/>
          <w:szCs w:val="24"/>
        </w:rPr>
        <w:t xml:space="preserve">- </w:t>
      </w:r>
      <w:r w:rsidR="003E6588">
        <w:rPr>
          <w:rFonts w:ascii="Times New Roman" w:hAnsi="Times New Roman"/>
          <w:sz w:val="24"/>
          <w:szCs w:val="24"/>
        </w:rPr>
        <w:t>REDE-AT da SE - convertida na Resolução SE</w:t>
      </w:r>
      <w:r w:rsidR="00E92D0F">
        <w:rPr>
          <w:rFonts w:ascii="Times New Roman" w:hAnsi="Times New Roman"/>
          <w:sz w:val="24"/>
          <w:szCs w:val="24"/>
        </w:rPr>
        <w:t xml:space="preserve"> nº </w:t>
      </w:r>
      <w:r w:rsidR="003E6588">
        <w:rPr>
          <w:rFonts w:ascii="Times New Roman" w:hAnsi="Times New Roman"/>
          <w:sz w:val="24"/>
          <w:szCs w:val="24"/>
        </w:rPr>
        <w:t>15/2014;</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Materiais de referência para as reuniões do Conselho Consultivo do programa “Educação - Compromisso de São Paulo”;</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Documento Orientador CGEB nº 03/2014: Plano de Ação - Escolas Prioritárias 2014;</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"Plano de Trabalho das Ações CGEB/CISE" em atendimento à requisição do Ministério Público do Estado de São Paulo.</w:t>
      </w:r>
    </w:p>
    <w:p w:rsidR="003E6588" w:rsidRDefault="003E6588">
      <w:pPr>
        <w:tabs>
          <w:tab w:val="left" w:pos="360"/>
        </w:tabs>
        <w:ind w:firstLine="1134"/>
        <w:jc w:val="both"/>
        <w:rPr>
          <w:b/>
        </w:rPr>
      </w:pPr>
    </w:p>
    <w:p w:rsidR="003E6588" w:rsidRDefault="003E6588">
      <w:pPr>
        <w:tabs>
          <w:tab w:val="left" w:pos="360"/>
        </w:tabs>
        <w:ind w:firstLine="1134"/>
        <w:jc w:val="both"/>
        <w:rPr>
          <w:b/>
        </w:rPr>
      </w:pPr>
      <w:r>
        <w:rPr>
          <w:b/>
        </w:rPr>
        <w:t xml:space="preserve">Secretaria da Justiça e da Defesa da Cidadania </w:t>
      </w:r>
      <w:r w:rsidR="00F11A45">
        <w:rPr>
          <w:b/>
        </w:rPr>
        <w:t xml:space="preserve">- </w:t>
      </w:r>
      <w:r>
        <w:rPr>
          <w:b/>
        </w:rPr>
        <w:t>SJDC</w:t>
      </w:r>
    </w:p>
    <w:p w:rsidR="003E6588" w:rsidRDefault="003E6588">
      <w:pPr>
        <w:tabs>
          <w:tab w:val="left" w:pos="360"/>
        </w:tabs>
        <w:ind w:firstLine="1134"/>
        <w:jc w:val="both"/>
        <w:rPr>
          <w:b/>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 xml:space="preserve">Revisão do Programa Estadual de Direitos Humanos </w:t>
      </w:r>
      <w:r w:rsidR="00F11A45">
        <w:rPr>
          <w:rFonts w:ascii="Times New Roman" w:hAnsi="Times New Roman"/>
          <w:sz w:val="24"/>
          <w:szCs w:val="24"/>
        </w:rPr>
        <w:t xml:space="preserve">- </w:t>
      </w:r>
      <w:r>
        <w:rPr>
          <w:rFonts w:ascii="Times New Roman" w:hAnsi="Times New Roman"/>
          <w:sz w:val="24"/>
          <w:szCs w:val="24"/>
        </w:rPr>
        <w:t>PEDH.</w:t>
      </w:r>
    </w:p>
    <w:p w:rsidR="003E6588" w:rsidRPr="000D1A1B" w:rsidRDefault="003E6588">
      <w:pPr>
        <w:pStyle w:val="PargrafodaLista"/>
        <w:tabs>
          <w:tab w:val="left" w:pos="360"/>
        </w:tabs>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0D1A1B" w:rsidRDefault="000D1A1B">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Minuta de resolução da SJDC para cumprimento dos objetivos do PEDH;</w:t>
      </w:r>
    </w:p>
    <w:p w:rsidR="003E6588" w:rsidRDefault="003E6588">
      <w:pPr>
        <w:pStyle w:val="PargrafodaLista"/>
        <w:tabs>
          <w:tab w:val="left" w:pos="360"/>
        </w:tabs>
        <w:suppressAutoHyphens/>
        <w:ind w:left="1134"/>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da Minuta de decreto de revisão do PEDH (Decreto nº 42.209/</w:t>
      </w:r>
      <w:r w:rsidR="000D1A1B">
        <w:rPr>
          <w:rFonts w:ascii="Times New Roman" w:hAnsi="Times New Roman"/>
          <w:sz w:val="24"/>
          <w:szCs w:val="24"/>
        </w:rPr>
        <w:t>19</w:t>
      </w:r>
      <w:r w:rsidR="003E6588">
        <w:rPr>
          <w:rFonts w:ascii="Times New Roman" w:hAnsi="Times New Roman"/>
          <w:sz w:val="24"/>
          <w:szCs w:val="24"/>
        </w:rPr>
        <w:t>97);</w:t>
      </w:r>
    </w:p>
    <w:p w:rsidR="003E6588" w:rsidRDefault="003E6588">
      <w:pPr>
        <w:pStyle w:val="PargrafodaLista"/>
        <w:tabs>
          <w:tab w:val="left" w:pos="360"/>
        </w:tabs>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Relatório final do projeto de revisão do PEDH.</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 xml:space="preserve">Apoio à Gestão do Centro de Integração da Cidadania </w:t>
      </w:r>
      <w:r w:rsidR="00F11A45">
        <w:rPr>
          <w:rFonts w:ascii="Times New Roman" w:hAnsi="Times New Roman"/>
          <w:sz w:val="24"/>
          <w:szCs w:val="24"/>
        </w:rPr>
        <w:t xml:space="preserve">- </w:t>
      </w:r>
      <w:r>
        <w:rPr>
          <w:rFonts w:ascii="Times New Roman" w:hAnsi="Times New Roman"/>
          <w:sz w:val="24"/>
          <w:szCs w:val="24"/>
        </w:rPr>
        <w:t>CIC.</w:t>
      </w:r>
    </w:p>
    <w:p w:rsidR="003E6588" w:rsidRPr="000D1A1B" w:rsidRDefault="003E6588">
      <w:pPr>
        <w:pStyle w:val="PargrafodaLista"/>
        <w:tabs>
          <w:tab w:val="left" w:pos="360"/>
        </w:tabs>
        <w:ind w:left="0" w:firstLine="1134"/>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Planilha-Modelo de Relatório Qualitativo dos Postos;</w:t>
      </w:r>
    </w:p>
    <w:p w:rsidR="003E6588" w:rsidRDefault="003E6588">
      <w:pPr>
        <w:pStyle w:val="PargrafodaLista"/>
        <w:tabs>
          <w:tab w:val="left" w:pos="360"/>
        </w:tabs>
        <w:suppressAutoHyphens/>
        <w:ind w:left="1134"/>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Planilha de Compilação de Atendimentos dos Postos;</w:t>
      </w:r>
    </w:p>
    <w:p w:rsidR="003E6588" w:rsidRDefault="003E6588">
      <w:pPr>
        <w:pStyle w:val="PargrafodaLista"/>
        <w:tabs>
          <w:tab w:val="left" w:pos="360"/>
        </w:tabs>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Planilha de Atendimento dos Parceiros (Relatório Quantitativo) - Modelo;</w:t>
      </w:r>
    </w:p>
    <w:p w:rsidR="003E6588" w:rsidRDefault="003E6588">
      <w:pPr>
        <w:pStyle w:val="PargrafodaLista"/>
        <w:tabs>
          <w:tab w:val="left" w:pos="360"/>
        </w:tabs>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Novo desenho de fluxo de processo - emissão de segunda via de certidão;</w:t>
      </w:r>
    </w:p>
    <w:p w:rsidR="003E6588" w:rsidRDefault="003E6588">
      <w:pPr>
        <w:pStyle w:val="PargrafodaLista"/>
        <w:tabs>
          <w:tab w:val="left" w:pos="360"/>
        </w:tabs>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Manual de orientações para emissão de segunda via de certidão;</w:t>
      </w:r>
    </w:p>
    <w:p w:rsidR="003E6588" w:rsidRDefault="003E6588">
      <w:pPr>
        <w:pStyle w:val="PargrafodaLista"/>
        <w:tabs>
          <w:tab w:val="left" w:pos="360"/>
        </w:tabs>
        <w:suppressAutoHyphens/>
        <w:ind w:left="0"/>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Relatório de elaboração e metodologia desenvolvida para redesenho de processos.</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Mapeamento sobre Tráfico de Pessoas e Trabalho Escravo no Estado.</w:t>
      </w:r>
    </w:p>
    <w:p w:rsidR="00F11A45" w:rsidRPr="000D1A1B" w:rsidRDefault="00F11A45">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lastRenderedPageBreak/>
        <w:t xml:space="preserve">Produto entregue - </w:t>
      </w:r>
      <w:r>
        <w:rPr>
          <w:rFonts w:ascii="Times New Roman" w:hAnsi="Times New Roman"/>
          <w:sz w:val="24"/>
          <w:szCs w:val="24"/>
        </w:rPr>
        <w:t>Relatório final de Mapeamento sobre tráfico de pessoas e trabalho escravo no Estado</w:t>
      </w:r>
      <w:r w:rsidR="00F11A45">
        <w:rPr>
          <w:rFonts w:ascii="Times New Roman" w:hAnsi="Times New Roman"/>
          <w:sz w:val="24"/>
          <w:szCs w:val="24"/>
        </w:rPr>
        <w:t>,</w:t>
      </w:r>
      <w:r>
        <w:rPr>
          <w:rFonts w:ascii="Times New Roman" w:hAnsi="Times New Roman"/>
          <w:sz w:val="24"/>
          <w:szCs w:val="24"/>
        </w:rPr>
        <w:t xml:space="preserve"> com apreciação quantitativa e qualitativa, além de breve análise do funcionamento e articulação da rede de enfrentamento ao tráfico de pessoas no Estado.</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Fóruns de Participação e Formulação de Políticas Públicas da Secretaria da Justiça</w:t>
      </w:r>
      <w:r w:rsidR="00F11A45">
        <w:rPr>
          <w:rFonts w:ascii="Times New Roman" w:hAnsi="Times New Roman"/>
          <w:sz w:val="24"/>
          <w:szCs w:val="24"/>
        </w:rPr>
        <w:t xml:space="preserve"> e da Defesa da Cidadania</w:t>
      </w:r>
      <w:r>
        <w:rPr>
          <w:rFonts w:ascii="Times New Roman" w:hAnsi="Times New Roman"/>
          <w:sz w:val="24"/>
          <w:szCs w:val="24"/>
        </w:rPr>
        <w:t>.</w:t>
      </w:r>
    </w:p>
    <w:p w:rsidR="003E6588" w:rsidRPr="000D1A1B" w:rsidRDefault="003E6588">
      <w:pPr>
        <w:pStyle w:val="PargrafodaLista"/>
        <w:tabs>
          <w:tab w:val="left" w:pos="360"/>
        </w:tabs>
        <w:ind w:left="0" w:firstLine="1134"/>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Produto entregue - </w:t>
      </w:r>
      <w:r>
        <w:rPr>
          <w:rFonts w:ascii="Times New Roman" w:hAnsi="Times New Roman"/>
          <w:sz w:val="24"/>
          <w:szCs w:val="24"/>
        </w:rPr>
        <w:t>Sistematização do resultado da Conferência Estadual dos Direitos da Criança e do Adolescente.</w:t>
      </w:r>
    </w:p>
    <w:p w:rsidR="003E6588" w:rsidRDefault="003E6588">
      <w:pPr>
        <w:tabs>
          <w:tab w:val="left" w:pos="360"/>
        </w:tabs>
        <w:ind w:firstLine="1134"/>
        <w:jc w:val="both"/>
        <w:rPr>
          <w:b/>
        </w:rPr>
      </w:pPr>
    </w:p>
    <w:p w:rsidR="003E6588" w:rsidRDefault="003E6588">
      <w:pPr>
        <w:tabs>
          <w:tab w:val="left" w:pos="360"/>
        </w:tabs>
        <w:ind w:firstLine="1134"/>
        <w:jc w:val="both"/>
        <w:rPr>
          <w:b/>
        </w:rPr>
      </w:pPr>
      <w:r>
        <w:rPr>
          <w:b/>
        </w:rPr>
        <w:t xml:space="preserve">Secretaria de Planejamento e Desenvolvimento Regional </w:t>
      </w:r>
      <w:r w:rsidR="00F11A45">
        <w:rPr>
          <w:b/>
        </w:rPr>
        <w:t xml:space="preserve">- </w:t>
      </w:r>
      <w:r>
        <w:rPr>
          <w:b/>
        </w:rPr>
        <w:t>SPDR</w:t>
      </w:r>
    </w:p>
    <w:p w:rsidR="003E6588" w:rsidRDefault="003E6588">
      <w:pPr>
        <w:tabs>
          <w:tab w:val="left" w:pos="360"/>
        </w:tabs>
        <w:ind w:firstLine="1134"/>
        <w:jc w:val="both"/>
        <w:rPr>
          <w:b/>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Unidade de Financiamento da SPDR.</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E44982" w:rsidRDefault="00E44982">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Relatórios mensais da execução financeira e orçamentária;</w:t>
      </w:r>
    </w:p>
    <w:p w:rsidR="003E6588" w:rsidRDefault="003E6588">
      <w:pPr>
        <w:pStyle w:val="PargrafodaLista"/>
        <w:tabs>
          <w:tab w:val="left" w:pos="360"/>
        </w:tabs>
        <w:suppressAutoHyphens/>
        <w:ind w:left="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Análise e consolidação de dados de execução e previsão financeira dos contratos de financiamento em que o Governo do Estado é mutuário.</w:t>
      </w:r>
    </w:p>
    <w:p w:rsidR="003E6588" w:rsidRDefault="003E6588">
      <w:pPr>
        <w:pStyle w:val="PargrafodaLista"/>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Sistema de Planejamento, Monitoramento e Avaliação de Programas e Políticas Públicas do Estado de São Paulo.</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Materiais de referência para as reuniões com os pilotos de OpR (IAMSPE e Centro Paula Souza) e Comitê Gestor do projeto;</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Estrutura do Documento de Referência do OpR;</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Estrutura preliminar do Manual Metodológico do OpR;</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Planilhas com tabelas de resultados consolidados, por secretaria, conforme produtos dispostos na Lei Orçamentária Anual;</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Relatório produzido no âmbito do Grupo de Trabalho instituído pela Resolução CC-25</w:t>
      </w:r>
      <w:r>
        <w:rPr>
          <w:rFonts w:ascii="Times New Roman" w:hAnsi="Times New Roman"/>
          <w:sz w:val="24"/>
          <w:szCs w:val="24"/>
        </w:rPr>
        <w:t>/</w:t>
      </w:r>
      <w:r w:rsidR="003E6588">
        <w:rPr>
          <w:rFonts w:ascii="Times New Roman" w:hAnsi="Times New Roman"/>
          <w:sz w:val="24"/>
          <w:szCs w:val="24"/>
        </w:rPr>
        <w:t>2014.</w:t>
      </w:r>
    </w:p>
    <w:p w:rsidR="003E6588" w:rsidRDefault="003E6588">
      <w:pPr>
        <w:tabs>
          <w:tab w:val="left" w:pos="360"/>
        </w:tabs>
        <w:ind w:firstLine="1134"/>
        <w:jc w:val="both"/>
        <w:rPr>
          <w:b/>
        </w:rPr>
      </w:pPr>
    </w:p>
    <w:p w:rsidR="003E6588" w:rsidRDefault="003E6588">
      <w:pPr>
        <w:tabs>
          <w:tab w:val="left" w:pos="360"/>
        </w:tabs>
        <w:ind w:firstLine="1134"/>
        <w:jc w:val="both"/>
        <w:rPr>
          <w:b/>
        </w:rPr>
      </w:pPr>
      <w:r>
        <w:rPr>
          <w:b/>
        </w:rPr>
        <w:t xml:space="preserve">Secretaria de Planejamento e Desenvolvimento Regional - Fundação Sistema Estadual de Análise de Dados </w:t>
      </w:r>
      <w:r w:rsidR="00F11A45">
        <w:rPr>
          <w:b/>
        </w:rPr>
        <w:t xml:space="preserve">- </w:t>
      </w:r>
      <w:r>
        <w:rPr>
          <w:b/>
        </w:rPr>
        <w:t>SEADE</w:t>
      </w:r>
    </w:p>
    <w:p w:rsidR="003E6588" w:rsidRDefault="003E6588">
      <w:pPr>
        <w:tabs>
          <w:tab w:val="left" w:pos="360"/>
        </w:tabs>
        <w:ind w:firstLine="1134"/>
        <w:jc w:val="both"/>
        <w:rPr>
          <w:b/>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Primeira Análise/Estudos Socioeconômicos.</w:t>
      </w: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lastRenderedPageBreak/>
        <w:t>Atividades realizadas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Levantamento de dados da Pesquisa de Emprego e Desemprego - PED (Seade/Dieese) e da Pesquisa Nacional de Amostra Domiciliar - PNAD (IBGE) e revisão bibliográfica sobre polarização do mercado de trabalho;</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Elaboração de estudo para o Boletim “Primeira Análise” sobre a polarização do mercado de trabalho na Região Metropolitana de São Paulo </w:t>
      </w:r>
      <w:r>
        <w:rPr>
          <w:rFonts w:ascii="Times New Roman" w:hAnsi="Times New Roman"/>
          <w:sz w:val="24"/>
          <w:szCs w:val="24"/>
        </w:rPr>
        <w:t xml:space="preserve">- </w:t>
      </w:r>
      <w:r w:rsidR="003E6588">
        <w:rPr>
          <w:rFonts w:ascii="Times New Roman" w:hAnsi="Times New Roman"/>
          <w:sz w:val="24"/>
          <w:szCs w:val="24"/>
        </w:rPr>
        <w:t>RMSP;</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de texto, em conjunto com equipe da PED, para o Portal do Seade, sobre a condição de atividade e escolaridade dos jovens na RMSP;</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Produção de texto, em conjunto com equipe da PED, sobre o perfil das mulheres desempregadas na RMSP.</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Indicadores de Finanças Públicas.</w:t>
      </w:r>
    </w:p>
    <w:p w:rsidR="000D1A1B" w:rsidRDefault="000D1A1B">
      <w:pPr>
        <w:pStyle w:val="PargrafodaLista"/>
        <w:tabs>
          <w:tab w:val="left" w:pos="360"/>
        </w:tabs>
        <w:ind w:left="0" w:firstLine="1134"/>
        <w:rPr>
          <w:rFonts w:ascii="Times New Roman" w:hAnsi="Times New Roman"/>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Banco de dados de finanças públicas municipais;</w:t>
      </w:r>
    </w:p>
    <w:p w:rsidR="003E6588" w:rsidRDefault="003E6588" w:rsidP="00E44982">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Artigo sobre a situação das finanças públicas nos municípios do Estado de São Paulo.</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sz w:val="24"/>
          <w:szCs w:val="24"/>
        </w:rPr>
      </w:pPr>
      <w:r>
        <w:rPr>
          <w:rFonts w:ascii="Times New Roman" w:hAnsi="Times New Roman"/>
          <w:b/>
          <w:sz w:val="24"/>
          <w:szCs w:val="24"/>
        </w:rPr>
        <w:t xml:space="preserve">Projeto - </w:t>
      </w:r>
      <w:r>
        <w:rPr>
          <w:rFonts w:ascii="Times New Roman" w:hAnsi="Times New Roman"/>
          <w:sz w:val="24"/>
          <w:szCs w:val="24"/>
        </w:rPr>
        <w:t>Indicadores Macroeconômicos.</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Produtos entregues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Estudo sobre regionalização das exportações;</w:t>
      </w:r>
    </w:p>
    <w:p w:rsidR="003E6588" w:rsidRDefault="003E6588">
      <w:pPr>
        <w:pStyle w:val="PargrafodaLista"/>
        <w:tabs>
          <w:tab w:val="left" w:pos="360"/>
        </w:tabs>
        <w:suppressAutoHyphens/>
        <w:ind w:left="1134"/>
        <w:contextualSpacing w:val="0"/>
        <w:rPr>
          <w:rFonts w:ascii="Times New Roman" w:hAnsi="Times New Roman"/>
          <w:sz w:val="24"/>
          <w:szCs w:val="24"/>
        </w:rPr>
      </w:pPr>
    </w:p>
    <w:p w:rsidR="003E6588" w:rsidRDefault="00F11A45" w:rsidP="00F11A45">
      <w:pPr>
        <w:pStyle w:val="PargrafodaLista"/>
        <w:tabs>
          <w:tab w:val="left" w:pos="360"/>
        </w:tabs>
        <w:suppressAutoHyphens/>
        <w:ind w:left="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Estudo sobre as características das importações paulistas.</w:t>
      </w:r>
    </w:p>
    <w:p w:rsidR="003E6588" w:rsidRDefault="003E6588">
      <w:pPr>
        <w:tabs>
          <w:tab w:val="left" w:pos="360"/>
        </w:tabs>
        <w:ind w:firstLine="1134"/>
        <w:jc w:val="both"/>
        <w:rPr>
          <w:b/>
        </w:rPr>
      </w:pPr>
    </w:p>
    <w:p w:rsidR="003E6588" w:rsidRDefault="003E6588">
      <w:pPr>
        <w:tabs>
          <w:tab w:val="left" w:pos="360"/>
        </w:tabs>
        <w:ind w:firstLine="1134"/>
        <w:jc w:val="both"/>
        <w:rPr>
          <w:b/>
        </w:rPr>
      </w:pPr>
      <w:r>
        <w:rPr>
          <w:b/>
        </w:rPr>
        <w:t xml:space="preserve">Secretaria da Segurança Pública </w:t>
      </w:r>
      <w:r w:rsidR="00F11A45">
        <w:rPr>
          <w:b/>
        </w:rPr>
        <w:t xml:space="preserve">- </w:t>
      </w:r>
      <w:r>
        <w:rPr>
          <w:b/>
        </w:rPr>
        <w:t>SSP</w:t>
      </w:r>
    </w:p>
    <w:p w:rsidR="003E6588" w:rsidRDefault="003E6588">
      <w:pPr>
        <w:tabs>
          <w:tab w:val="left" w:pos="360"/>
        </w:tabs>
        <w:ind w:firstLine="1134"/>
        <w:jc w:val="both"/>
        <w:rPr>
          <w:b/>
        </w:rPr>
      </w:pPr>
    </w:p>
    <w:p w:rsidR="003E6588" w:rsidRDefault="003E6588">
      <w:pPr>
        <w:pStyle w:val="PargrafodaLista"/>
        <w:tabs>
          <w:tab w:val="left" w:pos="360"/>
        </w:tabs>
        <w:ind w:left="0" w:firstLine="1134"/>
        <w:rPr>
          <w:rFonts w:ascii="Times New Roman" w:hAnsi="Times New Roman"/>
          <w:b/>
          <w:sz w:val="24"/>
          <w:szCs w:val="24"/>
        </w:rPr>
      </w:pPr>
      <w:r>
        <w:rPr>
          <w:rFonts w:ascii="Times New Roman" w:hAnsi="Times New Roman"/>
          <w:b/>
          <w:sz w:val="24"/>
          <w:szCs w:val="24"/>
        </w:rPr>
        <w:t>Atividades realizadas</w:t>
      </w:r>
    </w:p>
    <w:p w:rsidR="003E6588" w:rsidRDefault="003E6588">
      <w:pPr>
        <w:pStyle w:val="PargrafodaLista"/>
        <w:tabs>
          <w:tab w:val="left" w:pos="360"/>
        </w:tabs>
        <w:ind w:left="0" w:firstLine="1134"/>
        <w:rPr>
          <w:rFonts w:ascii="Times New Roman" w:hAnsi="Times New Roman"/>
          <w:b/>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Elaboração e revisão de propostas quanto ao escopo da cooperação;</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em atividades na SSP, relativas ao termo de cooperação em construção;</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Treinamentos teóricos e práticos nas ferramentas da SSP, relativas ao programa de metas e BR;</w:t>
      </w: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Treinamentos teóricos e práticos sobre projetos e as metodologias já utilizadas na SSP;</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lastRenderedPageBreak/>
        <w:t xml:space="preserve">- </w:t>
      </w:r>
      <w:r w:rsidR="003E6588">
        <w:rPr>
          <w:rFonts w:ascii="Times New Roman" w:hAnsi="Times New Roman"/>
          <w:sz w:val="24"/>
          <w:szCs w:val="24"/>
        </w:rPr>
        <w:t>Treinamento nas ferramentas de acompanhamento de projetos;</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Apoio técnico na estruturação da SAPE;</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 xml:space="preserve">Desenvolvimento das apresentações e análises mensais para acompanhamento regionalizado das metas (indicadores), reuniões de </w:t>
      </w:r>
      <w:r w:rsidR="003E6588">
        <w:rPr>
          <w:rFonts w:ascii="Times New Roman" w:hAnsi="Times New Roman"/>
          <w:i/>
          <w:sz w:val="24"/>
          <w:szCs w:val="24"/>
        </w:rPr>
        <w:t>feedback</w:t>
      </w:r>
      <w:r w:rsidR="003E6588">
        <w:rPr>
          <w:rFonts w:ascii="Times New Roman" w:hAnsi="Times New Roman"/>
          <w:sz w:val="24"/>
          <w:szCs w:val="24"/>
        </w:rPr>
        <w:t xml:space="preserve"> e reuniões mensais de acompanhamento das metas (níveis 3, 2 e 1);</w:t>
      </w:r>
    </w:p>
    <w:p w:rsidR="003E6588" w:rsidRDefault="003E6588" w:rsidP="00F11A45">
      <w:pPr>
        <w:pStyle w:val="PargrafodaLista"/>
        <w:tabs>
          <w:tab w:val="left" w:pos="360"/>
        </w:tabs>
        <w:suppressAutoHyphens/>
        <w:ind w:left="0" w:firstLine="1134"/>
        <w:contextualSpacing w:val="0"/>
        <w:rPr>
          <w:rFonts w:ascii="Times New Roman" w:hAnsi="Times New Roman"/>
          <w:sz w:val="24"/>
          <w:szCs w:val="24"/>
        </w:rPr>
      </w:pPr>
    </w:p>
    <w:p w:rsidR="003E6588" w:rsidRDefault="00F11A45" w:rsidP="00F11A45">
      <w:pPr>
        <w:pStyle w:val="PargrafodaLista"/>
        <w:tabs>
          <w:tab w:val="left" w:pos="360"/>
        </w:tabs>
        <w:suppressAutoHyphens/>
        <w:ind w:left="0" w:firstLine="1134"/>
        <w:contextualSpacing w:val="0"/>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Desenvolvimento de manual sobre as atividades do programa de metas.</w:t>
      </w:r>
    </w:p>
    <w:p w:rsidR="003E6588" w:rsidRDefault="003E6588">
      <w:pPr>
        <w:pStyle w:val="PargrafodaLista"/>
        <w:tabs>
          <w:tab w:val="left" w:pos="360"/>
        </w:tabs>
        <w:ind w:left="0" w:firstLine="1134"/>
        <w:rPr>
          <w:rFonts w:ascii="Times New Roman" w:hAnsi="Times New Roman"/>
          <w:b/>
          <w:sz w:val="24"/>
          <w:szCs w:val="24"/>
        </w:rPr>
      </w:pPr>
    </w:p>
    <w:p w:rsidR="003E6588" w:rsidRDefault="003E6588" w:rsidP="00F11A45">
      <w:pPr>
        <w:ind w:firstLine="1134"/>
        <w:jc w:val="both"/>
        <w:rPr>
          <w:b/>
        </w:rPr>
      </w:pPr>
      <w:r>
        <w:rPr>
          <w:b/>
        </w:rPr>
        <w:t xml:space="preserve">Grupo Central de Transportes Internos </w:t>
      </w:r>
      <w:r w:rsidR="00E44982">
        <w:rPr>
          <w:b/>
        </w:rPr>
        <w:t>-</w:t>
      </w:r>
      <w:r>
        <w:rPr>
          <w:b/>
        </w:rPr>
        <w:t xml:space="preserve"> GCTI</w:t>
      </w:r>
    </w:p>
    <w:p w:rsidR="00E44982" w:rsidRDefault="00E44982" w:rsidP="00F11A45">
      <w:pPr>
        <w:ind w:firstLine="1134"/>
        <w:jc w:val="both"/>
        <w:rPr>
          <w:b/>
        </w:rPr>
      </w:pPr>
    </w:p>
    <w:tbl>
      <w:tblPr>
        <w:tblpPr w:leftFromText="141" w:rightFromText="141" w:vertAnchor="text" w:horzAnchor="margin" w:tblpXSpec="center" w:tblpY="490"/>
        <w:tblW w:w="985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tblPr>
      <w:tblGrid>
        <w:gridCol w:w="921"/>
        <w:gridCol w:w="2410"/>
        <w:gridCol w:w="1275"/>
        <w:gridCol w:w="1134"/>
        <w:gridCol w:w="1276"/>
        <w:gridCol w:w="1559"/>
        <w:gridCol w:w="1276"/>
      </w:tblGrid>
      <w:tr w:rsidR="00B65F9A" w:rsidTr="00E44982">
        <w:trPr>
          <w:trHeight w:val="418"/>
        </w:trPr>
        <w:tc>
          <w:tcPr>
            <w:tcW w:w="921" w:type="dxa"/>
            <w:shd w:val="clear" w:color="auto" w:fill="auto"/>
            <w:noWrap/>
            <w:vAlign w:val="center"/>
            <w:hideMark/>
          </w:tcPr>
          <w:p w:rsidR="00B65F9A" w:rsidRDefault="00B65F9A" w:rsidP="00B65F9A">
            <w:pPr>
              <w:rPr>
                <w:b/>
                <w:bCs/>
                <w:sz w:val="18"/>
                <w:szCs w:val="18"/>
              </w:rPr>
            </w:pPr>
            <w:r>
              <w:rPr>
                <w:b/>
                <w:bCs/>
                <w:sz w:val="18"/>
                <w:szCs w:val="18"/>
              </w:rPr>
              <w:t>Nº LEILÃO</w:t>
            </w:r>
          </w:p>
        </w:tc>
        <w:tc>
          <w:tcPr>
            <w:tcW w:w="2410" w:type="dxa"/>
            <w:shd w:val="clear" w:color="auto" w:fill="auto"/>
            <w:vAlign w:val="center"/>
            <w:hideMark/>
          </w:tcPr>
          <w:p w:rsidR="00B65F9A" w:rsidRDefault="00B65F9A" w:rsidP="00B65F9A">
            <w:pPr>
              <w:rPr>
                <w:b/>
                <w:bCs/>
                <w:sz w:val="18"/>
                <w:szCs w:val="18"/>
              </w:rPr>
            </w:pPr>
            <w:r>
              <w:rPr>
                <w:b/>
                <w:bCs/>
                <w:sz w:val="18"/>
                <w:szCs w:val="18"/>
              </w:rPr>
              <w:t>PÁTIOS</w:t>
            </w:r>
          </w:p>
        </w:tc>
        <w:tc>
          <w:tcPr>
            <w:tcW w:w="1275" w:type="dxa"/>
            <w:shd w:val="clear" w:color="auto" w:fill="auto"/>
            <w:vAlign w:val="center"/>
            <w:hideMark/>
          </w:tcPr>
          <w:p w:rsidR="00B65F9A" w:rsidRDefault="00B65F9A" w:rsidP="00B65F9A">
            <w:pPr>
              <w:rPr>
                <w:b/>
                <w:bCs/>
                <w:sz w:val="18"/>
                <w:szCs w:val="18"/>
              </w:rPr>
            </w:pPr>
            <w:r>
              <w:rPr>
                <w:b/>
                <w:bCs/>
                <w:sz w:val="18"/>
                <w:szCs w:val="18"/>
              </w:rPr>
              <w:t>Nº LOTES</w:t>
            </w:r>
          </w:p>
          <w:p w:rsidR="00B65F9A" w:rsidRDefault="00B65F9A" w:rsidP="00B65F9A">
            <w:pPr>
              <w:rPr>
                <w:b/>
                <w:bCs/>
                <w:sz w:val="18"/>
                <w:szCs w:val="18"/>
              </w:rPr>
            </w:pPr>
            <w:r>
              <w:rPr>
                <w:b/>
                <w:bCs/>
                <w:sz w:val="18"/>
                <w:szCs w:val="18"/>
              </w:rPr>
              <w:t>AVALIADOS</w:t>
            </w:r>
          </w:p>
        </w:tc>
        <w:tc>
          <w:tcPr>
            <w:tcW w:w="1134" w:type="dxa"/>
            <w:shd w:val="clear" w:color="auto" w:fill="auto"/>
            <w:vAlign w:val="center"/>
            <w:hideMark/>
          </w:tcPr>
          <w:p w:rsidR="00B65F9A" w:rsidRDefault="00B65F9A" w:rsidP="00B65F9A">
            <w:pPr>
              <w:rPr>
                <w:b/>
                <w:bCs/>
                <w:sz w:val="18"/>
                <w:szCs w:val="18"/>
              </w:rPr>
            </w:pPr>
            <w:r>
              <w:rPr>
                <w:b/>
                <w:bCs/>
                <w:sz w:val="18"/>
                <w:szCs w:val="18"/>
              </w:rPr>
              <w:t>Nº LOTES</w:t>
            </w:r>
          </w:p>
          <w:p w:rsidR="00B65F9A" w:rsidRDefault="00B65F9A" w:rsidP="00B65F9A">
            <w:pPr>
              <w:rPr>
                <w:b/>
                <w:bCs/>
                <w:sz w:val="18"/>
                <w:szCs w:val="18"/>
              </w:rPr>
            </w:pPr>
            <w:r>
              <w:rPr>
                <w:b/>
                <w:bCs/>
                <w:sz w:val="18"/>
                <w:szCs w:val="18"/>
              </w:rPr>
              <w:t>VEND.</w:t>
            </w:r>
          </w:p>
        </w:tc>
        <w:tc>
          <w:tcPr>
            <w:tcW w:w="1276" w:type="dxa"/>
            <w:shd w:val="clear" w:color="auto" w:fill="auto"/>
            <w:vAlign w:val="center"/>
            <w:hideMark/>
          </w:tcPr>
          <w:p w:rsidR="00B65F9A" w:rsidRDefault="00B65F9A" w:rsidP="00B65F9A">
            <w:pPr>
              <w:rPr>
                <w:b/>
                <w:bCs/>
                <w:sz w:val="18"/>
                <w:szCs w:val="18"/>
              </w:rPr>
            </w:pPr>
            <w:r>
              <w:rPr>
                <w:b/>
                <w:bCs/>
                <w:sz w:val="18"/>
                <w:szCs w:val="18"/>
              </w:rPr>
              <w:t>VALOR MÍNIMO (R$)</w:t>
            </w:r>
          </w:p>
        </w:tc>
        <w:tc>
          <w:tcPr>
            <w:tcW w:w="1559" w:type="dxa"/>
            <w:shd w:val="clear" w:color="auto" w:fill="auto"/>
            <w:noWrap/>
            <w:vAlign w:val="center"/>
            <w:hideMark/>
          </w:tcPr>
          <w:p w:rsidR="00B65F9A" w:rsidRDefault="00B65F9A" w:rsidP="00B65F9A">
            <w:pPr>
              <w:rPr>
                <w:b/>
                <w:bCs/>
                <w:sz w:val="18"/>
                <w:szCs w:val="18"/>
              </w:rPr>
            </w:pPr>
            <w:r>
              <w:rPr>
                <w:b/>
                <w:bCs/>
                <w:sz w:val="18"/>
                <w:szCs w:val="18"/>
              </w:rPr>
              <w:t>VALOR ARREMATADO</w:t>
            </w:r>
          </w:p>
          <w:p w:rsidR="00B65F9A" w:rsidRDefault="00B65F9A" w:rsidP="00B65F9A">
            <w:pPr>
              <w:rPr>
                <w:b/>
                <w:bCs/>
                <w:sz w:val="18"/>
                <w:szCs w:val="18"/>
              </w:rPr>
            </w:pPr>
            <w:r>
              <w:rPr>
                <w:b/>
                <w:bCs/>
                <w:sz w:val="18"/>
                <w:szCs w:val="18"/>
              </w:rPr>
              <w:t>R$</w:t>
            </w:r>
          </w:p>
        </w:tc>
        <w:tc>
          <w:tcPr>
            <w:tcW w:w="1276" w:type="dxa"/>
            <w:shd w:val="clear" w:color="auto" w:fill="auto"/>
            <w:vAlign w:val="center"/>
            <w:hideMark/>
          </w:tcPr>
          <w:p w:rsidR="00B65F9A" w:rsidRDefault="00B65F9A" w:rsidP="00B65F9A">
            <w:pPr>
              <w:rPr>
                <w:b/>
                <w:bCs/>
                <w:sz w:val="18"/>
                <w:szCs w:val="18"/>
              </w:rPr>
            </w:pPr>
            <w:r>
              <w:rPr>
                <w:b/>
                <w:bCs/>
                <w:sz w:val="18"/>
                <w:szCs w:val="18"/>
              </w:rPr>
              <w:t>MÉDIA POR LOTE (R$)</w:t>
            </w:r>
          </w:p>
        </w:tc>
      </w:tr>
      <w:tr w:rsidR="00B65F9A" w:rsidTr="00E44982">
        <w:trPr>
          <w:trHeight w:val="276"/>
        </w:trPr>
        <w:tc>
          <w:tcPr>
            <w:tcW w:w="921" w:type="dxa"/>
            <w:shd w:val="clear" w:color="auto" w:fill="auto"/>
            <w:noWrap/>
            <w:vAlign w:val="center"/>
            <w:hideMark/>
          </w:tcPr>
          <w:p w:rsidR="00B65F9A" w:rsidRDefault="00B65F9A" w:rsidP="00B65F9A">
            <w:pPr>
              <w:rPr>
                <w:sz w:val="18"/>
                <w:szCs w:val="18"/>
              </w:rPr>
            </w:pPr>
            <w:r>
              <w:rPr>
                <w:sz w:val="18"/>
                <w:szCs w:val="18"/>
              </w:rPr>
              <w:t>01/2014</w:t>
            </w:r>
          </w:p>
        </w:tc>
        <w:tc>
          <w:tcPr>
            <w:tcW w:w="2410" w:type="dxa"/>
            <w:shd w:val="clear" w:color="auto" w:fill="auto"/>
            <w:vAlign w:val="center"/>
            <w:hideMark/>
          </w:tcPr>
          <w:p w:rsidR="00B65F9A" w:rsidRDefault="00B65F9A" w:rsidP="00B65F9A">
            <w:pPr>
              <w:jc w:val="left"/>
              <w:rPr>
                <w:sz w:val="18"/>
                <w:szCs w:val="18"/>
              </w:rPr>
            </w:pPr>
            <w:r>
              <w:rPr>
                <w:sz w:val="18"/>
                <w:szCs w:val="18"/>
              </w:rPr>
              <w:t>DER - PRES. PRUDENTE</w:t>
            </w:r>
          </w:p>
        </w:tc>
        <w:tc>
          <w:tcPr>
            <w:tcW w:w="1275" w:type="dxa"/>
            <w:shd w:val="clear" w:color="auto" w:fill="auto"/>
            <w:noWrap/>
            <w:vAlign w:val="center"/>
            <w:hideMark/>
          </w:tcPr>
          <w:p w:rsidR="00B65F9A" w:rsidRDefault="00B65F9A" w:rsidP="00B65F9A">
            <w:pPr>
              <w:rPr>
                <w:sz w:val="18"/>
                <w:szCs w:val="18"/>
              </w:rPr>
            </w:pPr>
            <w:r>
              <w:rPr>
                <w:sz w:val="18"/>
                <w:szCs w:val="18"/>
              </w:rPr>
              <w:t>185</w:t>
            </w:r>
          </w:p>
        </w:tc>
        <w:tc>
          <w:tcPr>
            <w:tcW w:w="1134" w:type="dxa"/>
            <w:shd w:val="clear" w:color="auto" w:fill="auto"/>
            <w:noWrap/>
            <w:vAlign w:val="center"/>
            <w:hideMark/>
          </w:tcPr>
          <w:p w:rsidR="00B65F9A" w:rsidRDefault="00B65F9A" w:rsidP="00B65F9A">
            <w:pPr>
              <w:rPr>
                <w:sz w:val="18"/>
                <w:szCs w:val="18"/>
              </w:rPr>
            </w:pPr>
            <w:r>
              <w:rPr>
                <w:sz w:val="18"/>
                <w:szCs w:val="18"/>
              </w:rPr>
              <w:t>177</w:t>
            </w:r>
          </w:p>
        </w:tc>
        <w:tc>
          <w:tcPr>
            <w:tcW w:w="1276" w:type="dxa"/>
            <w:shd w:val="clear" w:color="auto" w:fill="auto"/>
            <w:noWrap/>
            <w:vAlign w:val="center"/>
            <w:hideMark/>
          </w:tcPr>
          <w:p w:rsidR="00B65F9A" w:rsidRDefault="00B65F9A" w:rsidP="00B65F9A">
            <w:pPr>
              <w:jc w:val="right"/>
              <w:rPr>
                <w:sz w:val="18"/>
                <w:szCs w:val="18"/>
              </w:rPr>
            </w:pPr>
            <w:r>
              <w:rPr>
                <w:sz w:val="18"/>
                <w:szCs w:val="18"/>
              </w:rPr>
              <w:t>332.400,00</w:t>
            </w:r>
          </w:p>
        </w:tc>
        <w:tc>
          <w:tcPr>
            <w:tcW w:w="1559" w:type="dxa"/>
            <w:shd w:val="clear" w:color="auto" w:fill="auto"/>
            <w:noWrap/>
            <w:vAlign w:val="center"/>
            <w:hideMark/>
          </w:tcPr>
          <w:p w:rsidR="00B65F9A" w:rsidRDefault="00B65F9A" w:rsidP="00B65F9A">
            <w:pPr>
              <w:jc w:val="right"/>
              <w:rPr>
                <w:sz w:val="18"/>
                <w:szCs w:val="18"/>
              </w:rPr>
            </w:pPr>
            <w:r>
              <w:rPr>
                <w:sz w:val="18"/>
                <w:szCs w:val="18"/>
              </w:rPr>
              <w:t>725.600,00</w:t>
            </w:r>
          </w:p>
        </w:tc>
        <w:tc>
          <w:tcPr>
            <w:tcW w:w="1276" w:type="dxa"/>
            <w:shd w:val="clear" w:color="auto" w:fill="auto"/>
            <w:noWrap/>
            <w:vAlign w:val="center"/>
            <w:hideMark/>
          </w:tcPr>
          <w:p w:rsidR="00B65F9A" w:rsidRDefault="00B65F9A" w:rsidP="00B65F9A">
            <w:pPr>
              <w:jc w:val="right"/>
              <w:rPr>
                <w:sz w:val="18"/>
                <w:szCs w:val="18"/>
              </w:rPr>
            </w:pPr>
            <w:r>
              <w:rPr>
                <w:sz w:val="18"/>
                <w:szCs w:val="18"/>
              </w:rPr>
              <w:t>4.099,44</w:t>
            </w:r>
          </w:p>
        </w:tc>
      </w:tr>
      <w:tr w:rsidR="00B65F9A" w:rsidTr="00E44982">
        <w:trPr>
          <w:trHeight w:val="127"/>
        </w:trPr>
        <w:tc>
          <w:tcPr>
            <w:tcW w:w="921" w:type="dxa"/>
            <w:shd w:val="clear" w:color="auto" w:fill="auto"/>
            <w:noWrap/>
            <w:vAlign w:val="center"/>
            <w:hideMark/>
          </w:tcPr>
          <w:p w:rsidR="00B65F9A" w:rsidRDefault="00B65F9A" w:rsidP="00B65F9A">
            <w:pPr>
              <w:rPr>
                <w:sz w:val="18"/>
                <w:szCs w:val="18"/>
              </w:rPr>
            </w:pPr>
            <w:r>
              <w:rPr>
                <w:sz w:val="18"/>
                <w:szCs w:val="18"/>
              </w:rPr>
              <w:t>02/2014</w:t>
            </w:r>
          </w:p>
        </w:tc>
        <w:tc>
          <w:tcPr>
            <w:tcW w:w="2410" w:type="dxa"/>
            <w:shd w:val="clear" w:color="auto" w:fill="auto"/>
            <w:vAlign w:val="center"/>
            <w:hideMark/>
          </w:tcPr>
          <w:p w:rsidR="00B65F9A" w:rsidRDefault="00B65F9A" w:rsidP="00B65F9A">
            <w:pPr>
              <w:jc w:val="left"/>
              <w:rPr>
                <w:sz w:val="18"/>
                <w:szCs w:val="18"/>
              </w:rPr>
            </w:pPr>
            <w:r>
              <w:rPr>
                <w:sz w:val="18"/>
                <w:szCs w:val="18"/>
              </w:rPr>
              <w:t>FERNÃO DIAS/SP</w:t>
            </w:r>
          </w:p>
        </w:tc>
        <w:tc>
          <w:tcPr>
            <w:tcW w:w="1275" w:type="dxa"/>
            <w:shd w:val="clear" w:color="auto" w:fill="auto"/>
            <w:noWrap/>
            <w:vAlign w:val="center"/>
            <w:hideMark/>
          </w:tcPr>
          <w:p w:rsidR="00B65F9A" w:rsidRDefault="00B65F9A" w:rsidP="00B65F9A">
            <w:pPr>
              <w:rPr>
                <w:sz w:val="18"/>
                <w:szCs w:val="18"/>
              </w:rPr>
            </w:pPr>
            <w:r>
              <w:rPr>
                <w:sz w:val="18"/>
                <w:szCs w:val="18"/>
              </w:rPr>
              <w:t>607</w:t>
            </w:r>
          </w:p>
        </w:tc>
        <w:tc>
          <w:tcPr>
            <w:tcW w:w="1134" w:type="dxa"/>
            <w:shd w:val="clear" w:color="auto" w:fill="auto"/>
            <w:noWrap/>
            <w:vAlign w:val="center"/>
            <w:hideMark/>
          </w:tcPr>
          <w:p w:rsidR="00B65F9A" w:rsidRDefault="00B65F9A" w:rsidP="00B65F9A">
            <w:pPr>
              <w:rPr>
                <w:sz w:val="18"/>
                <w:szCs w:val="18"/>
              </w:rPr>
            </w:pPr>
            <w:r>
              <w:rPr>
                <w:sz w:val="18"/>
                <w:szCs w:val="18"/>
              </w:rPr>
              <w:t>583</w:t>
            </w:r>
          </w:p>
        </w:tc>
        <w:tc>
          <w:tcPr>
            <w:tcW w:w="1276" w:type="dxa"/>
            <w:shd w:val="clear" w:color="auto" w:fill="auto"/>
            <w:noWrap/>
            <w:vAlign w:val="center"/>
            <w:hideMark/>
          </w:tcPr>
          <w:p w:rsidR="00B65F9A" w:rsidRDefault="00B65F9A" w:rsidP="00B65F9A">
            <w:pPr>
              <w:jc w:val="right"/>
              <w:rPr>
                <w:sz w:val="18"/>
                <w:szCs w:val="18"/>
              </w:rPr>
            </w:pPr>
            <w:r>
              <w:rPr>
                <w:sz w:val="18"/>
                <w:szCs w:val="18"/>
              </w:rPr>
              <w:t>996.775,00</w:t>
            </w:r>
          </w:p>
        </w:tc>
        <w:tc>
          <w:tcPr>
            <w:tcW w:w="1559" w:type="dxa"/>
            <w:shd w:val="clear" w:color="auto" w:fill="auto"/>
            <w:noWrap/>
            <w:vAlign w:val="center"/>
            <w:hideMark/>
          </w:tcPr>
          <w:p w:rsidR="00B65F9A" w:rsidRDefault="00B65F9A" w:rsidP="00B65F9A">
            <w:pPr>
              <w:jc w:val="right"/>
              <w:rPr>
                <w:sz w:val="18"/>
                <w:szCs w:val="18"/>
              </w:rPr>
            </w:pPr>
            <w:r>
              <w:rPr>
                <w:sz w:val="18"/>
                <w:szCs w:val="18"/>
              </w:rPr>
              <w:t>2.891.550,00</w:t>
            </w:r>
          </w:p>
        </w:tc>
        <w:tc>
          <w:tcPr>
            <w:tcW w:w="1276" w:type="dxa"/>
            <w:shd w:val="clear" w:color="auto" w:fill="auto"/>
            <w:noWrap/>
            <w:vAlign w:val="center"/>
            <w:hideMark/>
          </w:tcPr>
          <w:p w:rsidR="00B65F9A" w:rsidRDefault="00B65F9A" w:rsidP="00B65F9A">
            <w:pPr>
              <w:jc w:val="right"/>
              <w:rPr>
                <w:sz w:val="18"/>
                <w:szCs w:val="18"/>
              </w:rPr>
            </w:pPr>
            <w:r>
              <w:rPr>
                <w:sz w:val="18"/>
                <w:szCs w:val="18"/>
              </w:rPr>
              <w:t>4.959,78</w:t>
            </w:r>
          </w:p>
        </w:tc>
      </w:tr>
      <w:tr w:rsidR="00B65F9A" w:rsidTr="00E44982">
        <w:trPr>
          <w:trHeight w:val="145"/>
        </w:trPr>
        <w:tc>
          <w:tcPr>
            <w:tcW w:w="921" w:type="dxa"/>
            <w:shd w:val="clear" w:color="auto" w:fill="auto"/>
            <w:noWrap/>
            <w:vAlign w:val="center"/>
            <w:hideMark/>
          </w:tcPr>
          <w:p w:rsidR="00B65F9A" w:rsidRDefault="00B65F9A" w:rsidP="00B65F9A">
            <w:pPr>
              <w:rPr>
                <w:sz w:val="18"/>
                <w:szCs w:val="18"/>
              </w:rPr>
            </w:pPr>
            <w:r>
              <w:rPr>
                <w:sz w:val="18"/>
                <w:szCs w:val="18"/>
              </w:rPr>
              <w:t>03/2014</w:t>
            </w:r>
          </w:p>
        </w:tc>
        <w:tc>
          <w:tcPr>
            <w:tcW w:w="2410" w:type="dxa"/>
            <w:shd w:val="clear" w:color="auto" w:fill="auto"/>
            <w:vAlign w:val="center"/>
            <w:hideMark/>
          </w:tcPr>
          <w:p w:rsidR="00B65F9A" w:rsidRDefault="00B65F9A" w:rsidP="00E44982">
            <w:pPr>
              <w:jc w:val="left"/>
              <w:rPr>
                <w:sz w:val="18"/>
                <w:szCs w:val="18"/>
              </w:rPr>
            </w:pPr>
            <w:r>
              <w:rPr>
                <w:sz w:val="18"/>
                <w:szCs w:val="18"/>
              </w:rPr>
              <w:t>CAÇAPAVA</w:t>
            </w:r>
          </w:p>
        </w:tc>
        <w:tc>
          <w:tcPr>
            <w:tcW w:w="1275" w:type="dxa"/>
            <w:shd w:val="clear" w:color="auto" w:fill="auto"/>
            <w:noWrap/>
            <w:vAlign w:val="center"/>
            <w:hideMark/>
          </w:tcPr>
          <w:p w:rsidR="00B65F9A" w:rsidRDefault="00B65F9A" w:rsidP="00B65F9A">
            <w:pPr>
              <w:rPr>
                <w:sz w:val="18"/>
                <w:szCs w:val="18"/>
              </w:rPr>
            </w:pPr>
            <w:r>
              <w:rPr>
                <w:sz w:val="18"/>
                <w:szCs w:val="18"/>
              </w:rPr>
              <w:t>709</w:t>
            </w:r>
          </w:p>
        </w:tc>
        <w:tc>
          <w:tcPr>
            <w:tcW w:w="1134" w:type="dxa"/>
            <w:shd w:val="clear" w:color="auto" w:fill="auto"/>
            <w:noWrap/>
            <w:vAlign w:val="center"/>
            <w:hideMark/>
          </w:tcPr>
          <w:p w:rsidR="00B65F9A" w:rsidRDefault="00B65F9A" w:rsidP="00B65F9A">
            <w:pPr>
              <w:rPr>
                <w:sz w:val="18"/>
                <w:szCs w:val="18"/>
              </w:rPr>
            </w:pPr>
            <w:r>
              <w:rPr>
                <w:sz w:val="18"/>
                <w:szCs w:val="18"/>
              </w:rPr>
              <w:t>706</w:t>
            </w:r>
          </w:p>
        </w:tc>
        <w:tc>
          <w:tcPr>
            <w:tcW w:w="1276" w:type="dxa"/>
            <w:shd w:val="clear" w:color="auto" w:fill="auto"/>
            <w:noWrap/>
            <w:vAlign w:val="center"/>
            <w:hideMark/>
          </w:tcPr>
          <w:p w:rsidR="00B65F9A" w:rsidRDefault="00B65F9A" w:rsidP="00B65F9A">
            <w:pPr>
              <w:jc w:val="right"/>
              <w:rPr>
                <w:sz w:val="18"/>
                <w:szCs w:val="18"/>
              </w:rPr>
            </w:pPr>
            <w:r>
              <w:rPr>
                <w:sz w:val="18"/>
                <w:szCs w:val="18"/>
              </w:rPr>
              <w:t>1.056.690,00</w:t>
            </w:r>
          </w:p>
        </w:tc>
        <w:tc>
          <w:tcPr>
            <w:tcW w:w="1559" w:type="dxa"/>
            <w:shd w:val="clear" w:color="auto" w:fill="auto"/>
            <w:noWrap/>
            <w:vAlign w:val="center"/>
            <w:hideMark/>
          </w:tcPr>
          <w:p w:rsidR="00B65F9A" w:rsidRDefault="00B65F9A" w:rsidP="00B65F9A">
            <w:pPr>
              <w:jc w:val="right"/>
              <w:rPr>
                <w:sz w:val="18"/>
                <w:szCs w:val="18"/>
              </w:rPr>
            </w:pPr>
            <w:r>
              <w:rPr>
                <w:sz w:val="18"/>
                <w:szCs w:val="18"/>
              </w:rPr>
              <w:t>3.832.100,00</w:t>
            </w:r>
          </w:p>
        </w:tc>
        <w:tc>
          <w:tcPr>
            <w:tcW w:w="1276" w:type="dxa"/>
            <w:shd w:val="clear" w:color="auto" w:fill="auto"/>
            <w:noWrap/>
            <w:vAlign w:val="center"/>
            <w:hideMark/>
          </w:tcPr>
          <w:p w:rsidR="00B65F9A" w:rsidRDefault="00B65F9A" w:rsidP="00B65F9A">
            <w:pPr>
              <w:jc w:val="right"/>
              <w:rPr>
                <w:sz w:val="18"/>
                <w:szCs w:val="18"/>
              </w:rPr>
            </w:pPr>
            <w:r>
              <w:rPr>
                <w:sz w:val="18"/>
                <w:szCs w:val="18"/>
              </w:rPr>
              <w:t>5.427,90</w:t>
            </w:r>
          </w:p>
        </w:tc>
      </w:tr>
      <w:tr w:rsidR="00B65F9A" w:rsidTr="00E44982">
        <w:trPr>
          <w:trHeight w:val="263"/>
        </w:trPr>
        <w:tc>
          <w:tcPr>
            <w:tcW w:w="921" w:type="dxa"/>
            <w:shd w:val="clear" w:color="auto" w:fill="auto"/>
            <w:noWrap/>
            <w:vAlign w:val="center"/>
            <w:hideMark/>
          </w:tcPr>
          <w:p w:rsidR="00B65F9A" w:rsidRDefault="00B65F9A" w:rsidP="00B65F9A">
            <w:pPr>
              <w:rPr>
                <w:sz w:val="18"/>
                <w:szCs w:val="18"/>
              </w:rPr>
            </w:pPr>
            <w:r>
              <w:rPr>
                <w:sz w:val="18"/>
                <w:szCs w:val="18"/>
              </w:rPr>
              <w:t>04/2014</w:t>
            </w:r>
          </w:p>
        </w:tc>
        <w:tc>
          <w:tcPr>
            <w:tcW w:w="2410" w:type="dxa"/>
            <w:shd w:val="clear" w:color="auto" w:fill="auto"/>
            <w:noWrap/>
            <w:vAlign w:val="center"/>
            <w:hideMark/>
          </w:tcPr>
          <w:p w:rsidR="00B65F9A" w:rsidRDefault="00B65F9A" w:rsidP="00E44982">
            <w:pPr>
              <w:jc w:val="left"/>
              <w:rPr>
                <w:sz w:val="18"/>
                <w:szCs w:val="18"/>
              </w:rPr>
            </w:pPr>
            <w:r>
              <w:rPr>
                <w:sz w:val="18"/>
                <w:szCs w:val="18"/>
              </w:rPr>
              <w:t>CAÇAPAVA</w:t>
            </w:r>
          </w:p>
        </w:tc>
        <w:tc>
          <w:tcPr>
            <w:tcW w:w="1275" w:type="dxa"/>
            <w:shd w:val="clear" w:color="auto" w:fill="auto"/>
            <w:noWrap/>
            <w:vAlign w:val="center"/>
            <w:hideMark/>
          </w:tcPr>
          <w:p w:rsidR="00B65F9A" w:rsidRDefault="00B65F9A" w:rsidP="00B65F9A">
            <w:pPr>
              <w:rPr>
                <w:sz w:val="18"/>
                <w:szCs w:val="18"/>
              </w:rPr>
            </w:pPr>
            <w:r>
              <w:rPr>
                <w:sz w:val="18"/>
                <w:szCs w:val="18"/>
              </w:rPr>
              <w:t>696</w:t>
            </w:r>
          </w:p>
        </w:tc>
        <w:tc>
          <w:tcPr>
            <w:tcW w:w="1134" w:type="dxa"/>
            <w:shd w:val="clear" w:color="auto" w:fill="auto"/>
            <w:noWrap/>
            <w:vAlign w:val="center"/>
            <w:hideMark/>
          </w:tcPr>
          <w:p w:rsidR="00B65F9A" w:rsidRDefault="00B65F9A" w:rsidP="00B65F9A">
            <w:pPr>
              <w:rPr>
                <w:sz w:val="18"/>
                <w:szCs w:val="18"/>
              </w:rPr>
            </w:pPr>
            <w:r>
              <w:rPr>
                <w:sz w:val="18"/>
                <w:szCs w:val="18"/>
              </w:rPr>
              <w:t>659</w:t>
            </w:r>
          </w:p>
        </w:tc>
        <w:tc>
          <w:tcPr>
            <w:tcW w:w="1276" w:type="dxa"/>
            <w:shd w:val="clear" w:color="auto" w:fill="auto"/>
            <w:noWrap/>
            <w:vAlign w:val="center"/>
            <w:hideMark/>
          </w:tcPr>
          <w:p w:rsidR="00B65F9A" w:rsidRDefault="00B65F9A" w:rsidP="00B65F9A">
            <w:pPr>
              <w:jc w:val="right"/>
              <w:rPr>
                <w:sz w:val="18"/>
                <w:szCs w:val="18"/>
              </w:rPr>
            </w:pPr>
            <w:r>
              <w:rPr>
                <w:sz w:val="18"/>
                <w:szCs w:val="18"/>
              </w:rPr>
              <w:t>1.291.600,00</w:t>
            </w:r>
          </w:p>
        </w:tc>
        <w:tc>
          <w:tcPr>
            <w:tcW w:w="1559" w:type="dxa"/>
            <w:shd w:val="clear" w:color="auto" w:fill="auto"/>
            <w:noWrap/>
            <w:vAlign w:val="center"/>
            <w:hideMark/>
          </w:tcPr>
          <w:p w:rsidR="00B65F9A" w:rsidRDefault="00B65F9A" w:rsidP="00B65F9A">
            <w:pPr>
              <w:jc w:val="right"/>
              <w:rPr>
                <w:sz w:val="18"/>
                <w:szCs w:val="18"/>
              </w:rPr>
            </w:pPr>
            <w:r>
              <w:rPr>
                <w:sz w:val="18"/>
                <w:szCs w:val="18"/>
              </w:rPr>
              <w:t>3.119.450,00</w:t>
            </w:r>
          </w:p>
        </w:tc>
        <w:tc>
          <w:tcPr>
            <w:tcW w:w="1276" w:type="dxa"/>
            <w:shd w:val="clear" w:color="auto" w:fill="auto"/>
            <w:noWrap/>
            <w:vAlign w:val="center"/>
            <w:hideMark/>
          </w:tcPr>
          <w:p w:rsidR="00B65F9A" w:rsidRDefault="00B65F9A" w:rsidP="00B65F9A">
            <w:pPr>
              <w:jc w:val="right"/>
              <w:rPr>
                <w:sz w:val="18"/>
                <w:szCs w:val="18"/>
              </w:rPr>
            </w:pPr>
            <w:r>
              <w:rPr>
                <w:sz w:val="18"/>
                <w:szCs w:val="18"/>
              </w:rPr>
              <w:t>4.733,61</w:t>
            </w:r>
          </w:p>
        </w:tc>
      </w:tr>
      <w:tr w:rsidR="00B65F9A" w:rsidTr="00E44982">
        <w:trPr>
          <w:trHeight w:val="137"/>
        </w:trPr>
        <w:tc>
          <w:tcPr>
            <w:tcW w:w="921" w:type="dxa"/>
            <w:shd w:val="clear" w:color="auto" w:fill="auto"/>
            <w:noWrap/>
            <w:vAlign w:val="center"/>
            <w:hideMark/>
          </w:tcPr>
          <w:p w:rsidR="00B65F9A" w:rsidRDefault="00B65F9A" w:rsidP="00B65F9A">
            <w:pPr>
              <w:rPr>
                <w:sz w:val="18"/>
                <w:szCs w:val="18"/>
              </w:rPr>
            </w:pPr>
            <w:r>
              <w:rPr>
                <w:sz w:val="18"/>
                <w:szCs w:val="18"/>
              </w:rPr>
              <w:t>05/2014</w:t>
            </w:r>
          </w:p>
        </w:tc>
        <w:tc>
          <w:tcPr>
            <w:tcW w:w="2410" w:type="dxa"/>
            <w:shd w:val="clear" w:color="auto" w:fill="auto"/>
            <w:vAlign w:val="center"/>
            <w:hideMark/>
          </w:tcPr>
          <w:p w:rsidR="00B65F9A" w:rsidRDefault="00B65F9A" w:rsidP="00E44982">
            <w:pPr>
              <w:jc w:val="left"/>
              <w:rPr>
                <w:sz w:val="18"/>
                <w:szCs w:val="18"/>
              </w:rPr>
            </w:pPr>
            <w:r>
              <w:rPr>
                <w:sz w:val="18"/>
                <w:szCs w:val="18"/>
              </w:rPr>
              <w:t>ARICANDUVA</w:t>
            </w:r>
          </w:p>
        </w:tc>
        <w:tc>
          <w:tcPr>
            <w:tcW w:w="1275" w:type="dxa"/>
            <w:shd w:val="clear" w:color="auto" w:fill="auto"/>
            <w:noWrap/>
            <w:vAlign w:val="center"/>
            <w:hideMark/>
          </w:tcPr>
          <w:p w:rsidR="00B65F9A" w:rsidRDefault="00B65F9A" w:rsidP="00B65F9A">
            <w:pPr>
              <w:rPr>
                <w:sz w:val="18"/>
                <w:szCs w:val="18"/>
              </w:rPr>
            </w:pPr>
            <w:r>
              <w:rPr>
                <w:sz w:val="18"/>
                <w:szCs w:val="18"/>
              </w:rPr>
              <w:t>207</w:t>
            </w:r>
          </w:p>
        </w:tc>
        <w:tc>
          <w:tcPr>
            <w:tcW w:w="1134" w:type="dxa"/>
            <w:shd w:val="clear" w:color="auto" w:fill="auto"/>
            <w:noWrap/>
            <w:vAlign w:val="center"/>
            <w:hideMark/>
          </w:tcPr>
          <w:p w:rsidR="00B65F9A" w:rsidRDefault="00B65F9A" w:rsidP="00B65F9A">
            <w:pPr>
              <w:rPr>
                <w:sz w:val="18"/>
                <w:szCs w:val="18"/>
              </w:rPr>
            </w:pPr>
            <w:r>
              <w:rPr>
                <w:sz w:val="18"/>
                <w:szCs w:val="18"/>
              </w:rPr>
              <w:t>204</w:t>
            </w:r>
          </w:p>
        </w:tc>
        <w:tc>
          <w:tcPr>
            <w:tcW w:w="1276" w:type="dxa"/>
            <w:shd w:val="clear" w:color="auto" w:fill="auto"/>
            <w:noWrap/>
            <w:vAlign w:val="center"/>
            <w:hideMark/>
          </w:tcPr>
          <w:p w:rsidR="00B65F9A" w:rsidRDefault="00B65F9A" w:rsidP="00B65F9A">
            <w:pPr>
              <w:jc w:val="right"/>
              <w:rPr>
                <w:sz w:val="18"/>
                <w:szCs w:val="18"/>
              </w:rPr>
            </w:pPr>
            <w:r>
              <w:rPr>
                <w:sz w:val="18"/>
                <w:szCs w:val="18"/>
              </w:rPr>
              <w:t>382.300,00</w:t>
            </w:r>
          </w:p>
        </w:tc>
        <w:tc>
          <w:tcPr>
            <w:tcW w:w="1559" w:type="dxa"/>
            <w:shd w:val="clear" w:color="auto" w:fill="auto"/>
            <w:noWrap/>
            <w:vAlign w:val="center"/>
            <w:hideMark/>
          </w:tcPr>
          <w:p w:rsidR="00B65F9A" w:rsidRDefault="00B65F9A" w:rsidP="00B65F9A">
            <w:pPr>
              <w:jc w:val="right"/>
              <w:rPr>
                <w:sz w:val="18"/>
                <w:szCs w:val="18"/>
              </w:rPr>
            </w:pPr>
            <w:r>
              <w:rPr>
                <w:sz w:val="18"/>
                <w:szCs w:val="18"/>
              </w:rPr>
              <w:t>997.950,00</w:t>
            </w:r>
          </w:p>
        </w:tc>
        <w:tc>
          <w:tcPr>
            <w:tcW w:w="1276" w:type="dxa"/>
            <w:shd w:val="clear" w:color="auto" w:fill="auto"/>
            <w:noWrap/>
            <w:vAlign w:val="center"/>
            <w:hideMark/>
          </w:tcPr>
          <w:p w:rsidR="00B65F9A" w:rsidRDefault="00B65F9A" w:rsidP="00B65F9A">
            <w:pPr>
              <w:jc w:val="right"/>
              <w:rPr>
                <w:sz w:val="18"/>
                <w:szCs w:val="18"/>
              </w:rPr>
            </w:pPr>
            <w:r>
              <w:rPr>
                <w:sz w:val="18"/>
                <w:szCs w:val="18"/>
              </w:rPr>
              <w:t>4.891,91</w:t>
            </w:r>
          </w:p>
        </w:tc>
      </w:tr>
      <w:tr w:rsidR="00B65F9A" w:rsidTr="00E44982">
        <w:trPr>
          <w:trHeight w:val="211"/>
        </w:trPr>
        <w:tc>
          <w:tcPr>
            <w:tcW w:w="921" w:type="dxa"/>
            <w:shd w:val="clear" w:color="auto" w:fill="auto"/>
            <w:noWrap/>
            <w:vAlign w:val="center"/>
            <w:hideMark/>
          </w:tcPr>
          <w:p w:rsidR="00B65F9A" w:rsidRDefault="00B65F9A" w:rsidP="00B65F9A">
            <w:pPr>
              <w:rPr>
                <w:sz w:val="18"/>
                <w:szCs w:val="18"/>
              </w:rPr>
            </w:pPr>
            <w:r>
              <w:rPr>
                <w:sz w:val="18"/>
                <w:szCs w:val="18"/>
              </w:rPr>
              <w:t>06/2014</w:t>
            </w:r>
          </w:p>
        </w:tc>
        <w:tc>
          <w:tcPr>
            <w:tcW w:w="2410" w:type="dxa"/>
            <w:shd w:val="clear" w:color="auto" w:fill="auto"/>
            <w:noWrap/>
            <w:vAlign w:val="center"/>
            <w:hideMark/>
          </w:tcPr>
          <w:p w:rsidR="00B65F9A" w:rsidRDefault="00B65F9A" w:rsidP="00B65F9A">
            <w:pPr>
              <w:jc w:val="left"/>
              <w:rPr>
                <w:sz w:val="18"/>
                <w:szCs w:val="18"/>
              </w:rPr>
            </w:pPr>
            <w:r>
              <w:rPr>
                <w:sz w:val="18"/>
                <w:szCs w:val="18"/>
              </w:rPr>
              <w:t>S. J. RIO PRETO</w:t>
            </w:r>
          </w:p>
        </w:tc>
        <w:tc>
          <w:tcPr>
            <w:tcW w:w="1275" w:type="dxa"/>
            <w:shd w:val="clear" w:color="auto" w:fill="auto"/>
            <w:noWrap/>
            <w:vAlign w:val="center"/>
            <w:hideMark/>
          </w:tcPr>
          <w:p w:rsidR="00B65F9A" w:rsidRDefault="00B65F9A" w:rsidP="00B65F9A">
            <w:pPr>
              <w:rPr>
                <w:sz w:val="18"/>
                <w:szCs w:val="18"/>
              </w:rPr>
            </w:pPr>
            <w:r>
              <w:rPr>
                <w:sz w:val="18"/>
                <w:szCs w:val="18"/>
              </w:rPr>
              <w:t>187</w:t>
            </w:r>
          </w:p>
        </w:tc>
        <w:tc>
          <w:tcPr>
            <w:tcW w:w="1134" w:type="dxa"/>
            <w:shd w:val="clear" w:color="auto" w:fill="auto"/>
            <w:noWrap/>
            <w:vAlign w:val="center"/>
            <w:hideMark/>
          </w:tcPr>
          <w:p w:rsidR="00B65F9A" w:rsidRDefault="00B65F9A" w:rsidP="00B65F9A">
            <w:pPr>
              <w:rPr>
                <w:sz w:val="18"/>
                <w:szCs w:val="18"/>
              </w:rPr>
            </w:pPr>
            <w:r>
              <w:rPr>
                <w:sz w:val="18"/>
                <w:szCs w:val="18"/>
              </w:rPr>
              <w:t>187</w:t>
            </w:r>
          </w:p>
        </w:tc>
        <w:tc>
          <w:tcPr>
            <w:tcW w:w="1276" w:type="dxa"/>
            <w:shd w:val="clear" w:color="auto" w:fill="auto"/>
            <w:noWrap/>
            <w:vAlign w:val="center"/>
            <w:hideMark/>
          </w:tcPr>
          <w:p w:rsidR="00B65F9A" w:rsidRDefault="00B65F9A" w:rsidP="00B65F9A">
            <w:pPr>
              <w:jc w:val="right"/>
              <w:rPr>
                <w:sz w:val="18"/>
                <w:szCs w:val="18"/>
              </w:rPr>
            </w:pPr>
            <w:r>
              <w:rPr>
                <w:sz w:val="18"/>
                <w:szCs w:val="18"/>
              </w:rPr>
              <w:t>245.170,00</w:t>
            </w:r>
          </w:p>
        </w:tc>
        <w:tc>
          <w:tcPr>
            <w:tcW w:w="1559" w:type="dxa"/>
            <w:shd w:val="clear" w:color="auto" w:fill="auto"/>
            <w:noWrap/>
            <w:vAlign w:val="center"/>
            <w:hideMark/>
          </w:tcPr>
          <w:p w:rsidR="00B65F9A" w:rsidRDefault="00B65F9A" w:rsidP="00B65F9A">
            <w:pPr>
              <w:jc w:val="right"/>
              <w:rPr>
                <w:sz w:val="18"/>
                <w:szCs w:val="18"/>
              </w:rPr>
            </w:pPr>
            <w:r>
              <w:rPr>
                <w:sz w:val="18"/>
                <w:szCs w:val="18"/>
              </w:rPr>
              <w:t>554.700,00</w:t>
            </w:r>
          </w:p>
        </w:tc>
        <w:tc>
          <w:tcPr>
            <w:tcW w:w="1276" w:type="dxa"/>
            <w:shd w:val="clear" w:color="auto" w:fill="auto"/>
            <w:noWrap/>
            <w:vAlign w:val="center"/>
            <w:hideMark/>
          </w:tcPr>
          <w:p w:rsidR="00B65F9A" w:rsidRDefault="00B65F9A" w:rsidP="00B65F9A">
            <w:pPr>
              <w:jc w:val="right"/>
              <w:rPr>
                <w:sz w:val="18"/>
                <w:szCs w:val="18"/>
              </w:rPr>
            </w:pPr>
            <w:r>
              <w:rPr>
                <w:sz w:val="18"/>
                <w:szCs w:val="18"/>
              </w:rPr>
              <w:t>2.966,31</w:t>
            </w:r>
          </w:p>
        </w:tc>
      </w:tr>
      <w:tr w:rsidR="00B65F9A" w:rsidTr="00E44982">
        <w:trPr>
          <w:trHeight w:val="271"/>
        </w:trPr>
        <w:tc>
          <w:tcPr>
            <w:tcW w:w="921" w:type="dxa"/>
            <w:shd w:val="clear" w:color="auto" w:fill="auto"/>
            <w:noWrap/>
            <w:vAlign w:val="center"/>
            <w:hideMark/>
          </w:tcPr>
          <w:p w:rsidR="00B65F9A" w:rsidRDefault="00B65F9A" w:rsidP="00B65F9A">
            <w:pPr>
              <w:rPr>
                <w:sz w:val="18"/>
                <w:szCs w:val="18"/>
              </w:rPr>
            </w:pPr>
            <w:r>
              <w:rPr>
                <w:sz w:val="18"/>
                <w:szCs w:val="18"/>
              </w:rPr>
              <w:t>07/2014</w:t>
            </w:r>
          </w:p>
        </w:tc>
        <w:tc>
          <w:tcPr>
            <w:tcW w:w="2410" w:type="dxa"/>
            <w:shd w:val="clear" w:color="auto" w:fill="auto"/>
            <w:vAlign w:val="center"/>
            <w:hideMark/>
          </w:tcPr>
          <w:p w:rsidR="00B65F9A" w:rsidRDefault="00B65F9A" w:rsidP="00B65F9A">
            <w:pPr>
              <w:jc w:val="left"/>
              <w:rPr>
                <w:sz w:val="18"/>
                <w:szCs w:val="18"/>
              </w:rPr>
            </w:pPr>
            <w:r>
              <w:rPr>
                <w:sz w:val="18"/>
                <w:szCs w:val="18"/>
              </w:rPr>
              <w:t>PRES. PRUDENTE</w:t>
            </w:r>
          </w:p>
        </w:tc>
        <w:tc>
          <w:tcPr>
            <w:tcW w:w="1275" w:type="dxa"/>
            <w:shd w:val="clear" w:color="auto" w:fill="auto"/>
            <w:noWrap/>
            <w:vAlign w:val="center"/>
            <w:hideMark/>
          </w:tcPr>
          <w:p w:rsidR="00B65F9A" w:rsidRDefault="00B65F9A" w:rsidP="00B65F9A">
            <w:pPr>
              <w:rPr>
                <w:sz w:val="18"/>
                <w:szCs w:val="18"/>
              </w:rPr>
            </w:pPr>
            <w:r>
              <w:rPr>
                <w:sz w:val="18"/>
                <w:szCs w:val="18"/>
              </w:rPr>
              <w:t>279</w:t>
            </w:r>
          </w:p>
        </w:tc>
        <w:tc>
          <w:tcPr>
            <w:tcW w:w="1134" w:type="dxa"/>
            <w:shd w:val="clear" w:color="auto" w:fill="auto"/>
            <w:noWrap/>
            <w:vAlign w:val="center"/>
            <w:hideMark/>
          </w:tcPr>
          <w:p w:rsidR="00B65F9A" w:rsidRDefault="00B65F9A" w:rsidP="00B65F9A">
            <w:pPr>
              <w:rPr>
                <w:sz w:val="18"/>
                <w:szCs w:val="18"/>
              </w:rPr>
            </w:pPr>
            <w:r>
              <w:rPr>
                <w:sz w:val="18"/>
                <w:szCs w:val="18"/>
              </w:rPr>
              <w:t>278</w:t>
            </w:r>
          </w:p>
        </w:tc>
        <w:tc>
          <w:tcPr>
            <w:tcW w:w="1276" w:type="dxa"/>
            <w:shd w:val="clear" w:color="auto" w:fill="auto"/>
            <w:noWrap/>
            <w:vAlign w:val="center"/>
            <w:hideMark/>
          </w:tcPr>
          <w:p w:rsidR="00B65F9A" w:rsidRDefault="00B65F9A" w:rsidP="00B65F9A">
            <w:pPr>
              <w:jc w:val="right"/>
              <w:rPr>
                <w:sz w:val="18"/>
                <w:szCs w:val="18"/>
              </w:rPr>
            </w:pPr>
            <w:r>
              <w:rPr>
                <w:sz w:val="18"/>
                <w:szCs w:val="18"/>
              </w:rPr>
              <w:t>364.520,00</w:t>
            </w:r>
          </w:p>
        </w:tc>
        <w:tc>
          <w:tcPr>
            <w:tcW w:w="1559" w:type="dxa"/>
            <w:shd w:val="clear" w:color="auto" w:fill="auto"/>
            <w:noWrap/>
            <w:vAlign w:val="center"/>
            <w:hideMark/>
          </w:tcPr>
          <w:p w:rsidR="00B65F9A" w:rsidRDefault="00B65F9A" w:rsidP="00B65F9A">
            <w:pPr>
              <w:jc w:val="right"/>
              <w:rPr>
                <w:sz w:val="18"/>
                <w:szCs w:val="18"/>
              </w:rPr>
            </w:pPr>
            <w:r>
              <w:rPr>
                <w:sz w:val="18"/>
                <w:szCs w:val="18"/>
              </w:rPr>
              <w:t>938.200,00</w:t>
            </w:r>
          </w:p>
        </w:tc>
        <w:tc>
          <w:tcPr>
            <w:tcW w:w="1276" w:type="dxa"/>
            <w:shd w:val="clear" w:color="auto" w:fill="auto"/>
            <w:noWrap/>
            <w:vAlign w:val="center"/>
            <w:hideMark/>
          </w:tcPr>
          <w:p w:rsidR="00B65F9A" w:rsidRDefault="00B65F9A" w:rsidP="00B65F9A">
            <w:pPr>
              <w:jc w:val="right"/>
              <w:rPr>
                <w:sz w:val="18"/>
                <w:szCs w:val="18"/>
              </w:rPr>
            </w:pPr>
            <w:r>
              <w:rPr>
                <w:sz w:val="18"/>
                <w:szCs w:val="18"/>
              </w:rPr>
              <w:t>3.374,82</w:t>
            </w:r>
          </w:p>
        </w:tc>
      </w:tr>
      <w:tr w:rsidR="00B65F9A" w:rsidTr="00E44982">
        <w:trPr>
          <w:trHeight w:val="135"/>
        </w:trPr>
        <w:tc>
          <w:tcPr>
            <w:tcW w:w="921" w:type="dxa"/>
            <w:shd w:val="clear" w:color="auto" w:fill="auto"/>
            <w:noWrap/>
            <w:vAlign w:val="center"/>
            <w:hideMark/>
          </w:tcPr>
          <w:p w:rsidR="00B65F9A" w:rsidRDefault="00B65F9A" w:rsidP="00B65F9A">
            <w:pPr>
              <w:rPr>
                <w:sz w:val="18"/>
                <w:szCs w:val="18"/>
              </w:rPr>
            </w:pPr>
            <w:r>
              <w:rPr>
                <w:sz w:val="18"/>
                <w:szCs w:val="18"/>
              </w:rPr>
              <w:t>08/2014</w:t>
            </w:r>
          </w:p>
        </w:tc>
        <w:tc>
          <w:tcPr>
            <w:tcW w:w="2410" w:type="dxa"/>
            <w:shd w:val="clear" w:color="auto" w:fill="auto"/>
            <w:vAlign w:val="center"/>
            <w:hideMark/>
          </w:tcPr>
          <w:p w:rsidR="00B65F9A" w:rsidRDefault="00B65F9A" w:rsidP="00E44982">
            <w:pPr>
              <w:jc w:val="left"/>
              <w:rPr>
                <w:sz w:val="18"/>
                <w:szCs w:val="18"/>
              </w:rPr>
            </w:pPr>
            <w:r>
              <w:rPr>
                <w:sz w:val="18"/>
                <w:szCs w:val="18"/>
              </w:rPr>
              <w:t>CAÇAPAVA</w:t>
            </w:r>
          </w:p>
        </w:tc>
        <w:tc>
          <w:tcPr>
            <w:tcW w:w="1275" w:type="dxa"/>
            <w:shd w:val="clear" w:color="auto" w:fill="auto"/>
            <w:noWrap/>
            <w:vAlign w:val="center"/>
            <w:hideMark/>
          </w:tcPr>
          <w:p w:rsidR="00B65F9A" w:rsidRDefault="00B65F9A" w:rsidP="00B65F9A">
            <w:pPr>
              <w:rPr>
                <w:sz w:val="18"/>
                <w:szCs w:val="18"/>
              </w:rPr>
            </w:pPr>
            <w:r>
              <w:rPr>
                <w:sz w:val="18"/>
                <w:szCs w:val="18"/>
              </w:rPr>
              <w:t>713</w:t>
            </w:r>
          </w:p>
        </w:tc>
        <w:tc>
          <w:tcPr>
            <w:tcW w:w="1134" w:type="dxa"/>
            <w:shd w:val="clear" w:color="auto" w:fill="auto"/>
            <w:noWrap/>
            <w:vAlign w:val="center"/>
            <w:hideMark/>
          </w:tcPr>
          <w:p w:rsidR="00B65F9A" w:rsidRDefault="00B65F9A" w:rsidP="00B65F9A">
            <w:pPr>
              <w:rPr>
                <w:sz w:val="18"/>
                <w:szCs w:val="18"/>
              </w:rPr>
            </w:pPr>
            <w:r>
              <w:rPr>
                <w:sz w:val="18"/>
                <w:szCs w:val="18"/>
              </w:rPr>
              <w:t>706</w:t>
            </w:r>
          </w:p>
        </w:tc>
        <w:tc>
          <w:tcPr>
            <w:tcW w:w="1276" w:type="dxa"/>
            <w:shd w:val="clear" w:color="auto" w:fill="auto"/>
            <w:noWrap/>
            <w:vAlign w:val="center"/>
            <w:hideMark/>
          </w:tcPr>
          <w:p w:rsidR="00B65F9A" w:rsidRDefault="00B65F9A" w:rsidP="00B65F9A">
            <w:pPr>
              <w:jc w:val="right"/>
              <w:rPr>
                <w:sz w:val="18"/>
                <w:szCs w:val="18"/>
              </w:rPr>
            </w:pPr>
            <w:r>
              <w:rPr>
                <w:sz w:val="18"/>
                <w:szCs w:val="18"/>
              </w:rPr>
              <w:t>972.260,00</w:t>
            </w:r>
          </w:p>
        </w:tc>
        <w:tc>
          <w:tcPr>
            <w:tcW w:w="1559" w:type="dxa"/>
            <w:shd w:val="clear" w:color="auto" w:fill="auto"/>
            <w:noWrap/>
            <w:vAlign w:val="center"/>
            <w:hideMark/>
          </w:tcPr>
          <w:p w:rsidR="00B65F9A" w:rsidRDefault="00B65F9A" w:rsidP="00B65F9A">
            <w:pPr>
              <w:jc w:val="right"/>
              <w:rPr>
                <w:sz w:val="18"/>
                <w:szCs w:val="18"/>
              </w:rPr>
            </w:pPr>
            <w:r>
              <w:rPr>
                <w:sz w:val="18"/>
                <w:szCs w:val="18"/>
              </w:rPr>
              <w:t>2.424.750,00</w:t>
            </w:r>
          </w:p>
        </w:tc>
        <w:tc>
          <w:tcPr>
            <w:tcW w:w="1276" w:type="dxa"/>
            <w:shd w:val="clear" w:color="auto" w:fill="auto"/>
            <w:noWrap/>
            <w:vAlign w:val="center"/>
            <w:hideMark/>
          </w:tcPr>
          <w:p w:rsidR="00B65F9A" w:rsidRDefault="00B65F9A" w:rsidP="00B65F9A">
            <w:pPr>
              <w:jc w:val="right"/>
              <w:rPr>
                <w:sz w:val="18"/>
                <w:szCs w:val="18"/>
              </w:rPr>
            </w:pPr>
            <w:r>
              <w:rPr>
                <w:sz w:val="18"/>
                <w:szCs w:val="18"/>
              </w:rPr>
              <w:t>3.434,49</w:t>
            </w:r>
          </w:p>
        </w:tc>
      </w:tr>
      <w:tr w:rsidR="00B65F9A" w:rsidTr="00E44982">
        <w:trPr>
          <w:trHeight w:val="337"/>
        </w:trPr>
        <w:tc>
          <w:tcPr>
            <w:tcW w:w="921" w:type="dxa"/>
            <w:shd w:val="clear" w:color="auto" w:fill="auto"/>
            <w:noWrap/>
            <w:vAlign w:val="center"/>
            <w:hideMark/>
          </w:tcPr>
          <w:p w:rsidR="00B65F9A" w:rsidRDefault="00B65F9A" w:rsidP="00B65F9A">
            <w:pPr>
              <w:rPr>
                <w:sz w:val="18"/>
                <w:szCs w:val="18"/>
              </w:rPr>
            </w:pPr>
            <w:r>
              <w:rPr>
                <w:sz w:val="18"/>
                <w:szCs w:val="18"/>
              </w:rPr>
              <w:t>09/2014</w:t>
            </w:r>
          </w:p>
        </w:tc>
        <w:tc>
          <w:tcPr>
            <w:tcW w:w="2410" w:type="dxa"/>
            <w:shd w:val="clear" w:color="auto" w:fill="auto"/>
            <w:vAlign w:val="center"/>
            <w:hideMark/>
          </w:tcPr>
          <w:p w:rsidR="00B65F9A" w:rsidRDefault="00B65F9A" w:rsidP="00E44982">
            <w:pPr>
              <w:jc w:val="left"/>
              <w:rPr>
                <w:sz w:val="18"/>
                <w:szCs w:val="18"/>
              </w:rPr>
            </w:pPr>
            <w:r>
              <w:rPr>
                <w:sz w:val="18"/>
                <w:szCs w:val="18"/>
              </w:rPr>
              <w:t>ARICANDUVA</w:t>
            </w:r>
          </w:p>
        </w:tc>
        <w:tc>
          <w:tcPr>
            <w:tcW w:w="1275" w:type="dxa"/>
            <w:shd w:val="clear" w:color="auto" w:fill="auto"/>
            <w:noWrap/>
            <w:vAlign w:val="center"/>
            <w:hideMark/>
          </w:tcPr>
          <w:p w:rsidR="00B65F9A" w:rsidRDefault="00B65F9A" w:rsidP="00B65F9A">
            <w:pPr>
              <w:rPr>
                <w:sz w:val="18"/>
                <w:szCs w:val="18"/>
              </w:rPr>
            </w:pPr>
            <w:r>
              <w:rPr>
                <w:sz w:val="18"/>
                <w:szCs w:val="18"/>
              </w:rPr>
              <w:t>335</w:t>
            </w:r>
          </w:p>
        </w:tc>
        <w:tc>
          <w:tcPr>
            <w:tcW w:w="1134" w:type="dxa"/>
            <w:shd w:val="clear" w:color="auto" w:fill="auto"/>
            <w:noWrap/>
            <w:vAlign w:val="center"/>
            <w:hideMark/>
          </w:tcPr>
          <w:p w:rsidR="00B65F9A" w:rsidRDefault="00B65F9A" w:rsidP="00B65F9A">
            <w:pPr>
              <w:rPr>
                <w:sz w:val="18"/>
                <w:szCs w:val="18"/>
              </w:rPr>
            </w:pPr>
            <w:r>
              <w:rPr>
                <w:sz w:val="18"/>
                <w:szCs w:val="18"/>
              </w:rPr>
              <w:t>335</w:t>
            </w:r>
          </w:p>
        </w:tc>
        <w:tc>
          <w:tcPr>
            <w:tcW w:w="1276" w:type="dxa"/>
            <w:shd w:val="clear" w:color="auto" w:fill="auto"/>
            <w:noWrap/>
            <w:vAlign w:val="center"/>
            <w:hideMark/>
          </w:tcPr>
          <w:p w:rsidR="00B65F9A" w:rsidRDefault="00B65F9A" w:rsidP="00B65F9A">
            <w:pPr>
              <w:jc w:val="right"/>
              <w:rPr>
                <w:sz w:val="18"/>
                <w:szCs w:val="18"/>
              </w:rPr>
            </w:pPr>
            <w:r>
              <w:rPr>
                <w:sz w:val="18"/>
                <w:szCs w:val="18"/>
              </w:rPr>
              <w:t>711.460,00</w:t>
            </w:r>
          </w:p>
        </w:tc>
        <w:tc>
          <w:tcPr>
            <w:tcW w:w="1559" w:type="dxa"/>
            <w:shd w:val="clear" w:color="auto" w:fill="auto"/>
            <w:noWrap/>
            <w:vAlign w:val="center"/>
            <w:hideMark/>
          </w:tcPr>
          <w:p w:rsidR="00B65F9A" w:rsidRDefault="00B65F9A" w:rsidP="00B65F9A">
            <w:pPr>
              <w:jc w:val="right"/>
              <w:rPr>
                <w:sz w:val="18"/>
                <w:szCs w:val="18"/>
              </w:rPr>
            </w:pPr>
            <w:r>
              <w:rPr>
                <w:sz w:val="18"/>
                <w:szCs w:val="18"/>
              </w:rPr>
              <w:t>1.679.400,00</w:t>
            </w:r>
          </w:p>
        </w:tc>
        <w:tc>
          <w:tcPr>
            <w:tcW w:w="1276" w:type="dxa"/>
            <w:shd w:val="clear" w:color="auto" w:fill="auto"/>
            <w:noWrap/>
            <w:vAlign w:val="center"/>
            <w:hideMark/>
          </w:tcPr>
          <w:p w:rsidR="00B65F9A" w:rsidRDefault="00B65F9A" w:rsidP="00B65F9A">
            <w:pPr>
              <w:jc w:val="right"/>
              <w:rPr>
                <w:sz w:val="18"/>
                <w:szCs w:val="18"/>
              </w:rPr>
            </w:pPr>
            <w:r>
              <w:rPr>
                <w:sz w:val="18"/>
                <w:szCs w:val="18"/>
              </w:rPr>
              <w:t>5.013,13</w:t>
            </w:r>
          </w:p>
        </w:tc>
      </w:tr>
      <w:tr w:rsidR="00B65F9A" w:rsidTr="00E44982">
        <w:trPr>
          <w:trHeight w:val="271"/>
        </w:trPr>
        <w:tc>
          <w:tcPr>
            <w:tcW w:w="921" w:type="dxa"/>
            <w:shd w:val="clear" w:color="auto" w:fill="auto"/>
            <w:noWrap/>
            <w:vAlign w:val="center"/>
            <w:hideMark/>
          </w:tcPr>
          <w:p w:rsidR="00B65F9A" w:rsidRDefault="00B65F9A" w:rsidP="00B65F9A">
            <w:pPr>
              <w:rPr>
                <w:sz w:val="18"/>
                <w:szCs w:val="18"/>
              </w:rPr>
            </w:pPr>
          </w:p>
        </w:tc>
        <w:tc>
          <w:tcPr>
            <w:tcW w:w="2410" w:type="dxa"/>
            <w:shd w:val="clear" w:color="auto" w:fill="auto"/>
            <w:vAlign w:val="center"/>
            <w:hideMark/>
          </w:tcPr>
          <w:p w:rsidR="00B65F9A" w:rsidRDefault="00B65F9A" w:rsidP="00B65F9A">
            <w:pPr>
              <w:jc w:val="left"/>
              <w:rPr>
                <w:b/>
                <w:bCs/>
                <w:sz w:val="18"/>
                <w:szCs w:val="18"/>
              </w:rPr>
            </w:pPr>
            <w:r>
              <w:rPr>
                <w:b/>
                <w:bCs/>
                <w:sz w:val="18"/>
                <w:szCs w:val="18"/>
              </w:rPr>
              <w:t>9 LEILÕES REALIZADOS</w:t>
            </w:r>
          </w:p>
        </w:tc>
        <w:tc>
          <w:tcPr>
            <w:tcW w:w="1275" w:type="dxa"/>
            <w:shd w:val="clear" w:color="auto" w:fill="auto"/>
            <w:noWrap/>
            <w:vAlign w:val="center"/>
            <w:hideMark/>
          </w:tcPr>
          <w:p w:rsidR="00B65F9A" w:rsidRDefault="00B65F9A" w:rsidP="00B65F9A">
            <w:pPr>
              <w:rPr>
                <w:b/>
                <w:bCs/>
                <w:sz w:val="18"/>
                <w:szCs w:val="18"/>
              </w:rPr>
            </w:pPr>
            <w:r>
              <w:rPr>
                <w:b/>
                <w:bCs/>
                <w:sz w:val="18"/>
                <w:szCs w:val="18"/>
              </w:rPr>
              <w:t>3.918</w:t>
            </w:r>
          </w:p>
        </w:tc>
        <w:tc>
          <w:tcPr>
            <w:tcW w:w="1134" w:type="dxa"/>
            <w:shd w:val="clear" w:color="auto" w:fill="auto"/>
            <w:noWrap/>
            <w:vAlign w:val="center"/>
            <w:hideMark/>
          </w:tcPr>
          <w:p w:rsidR="00B65F9A" w:rsidRDefault="00B65F9A" w:rsidP="00B65F9A">
            <w:pPr>
              <w:rPr>
                <w:b/>
                <w:bCs/>
                <w:sz w:val="18"/>
                <w:szCs w:val="18"/>
              </w:rPr>
            </w:pPr>
            <w:r>
              <w:rPr>
                <w:b/>
                <w:bCs/>
                <w:sz w:val="18"/>
                <w:szCs w:val="18"/>
              </w:rPr>
              <w:t>3.835</w:t>
            </w:r>
          </w:p>
        </w:tc>
        <w:tc>
          <w:tcPr>
            <w:tcW w:w="1276" w:type="dxa"/>
            <w:shd w:val="clear" w:color="auto" w:fill="auto"/>
            <w:noWrap/>
            <w:vAlign w:val="center"/>
            <w:hideMark/>
          </w:tcPr>
          <w:p w:rsidR="00B65F9A" w:rsidRDefault="00B65F9A" w:rsidP="00B65F9A">
            <w:pPr>
              <w:jc w:val="right"/>
              <w:rPr>
                <w:b/>
                <w:bCs/>
                <w:sz w:val="18"/>
                <w:szCs w:val="18"/>
              </w:rPr>
            </w:pPr>
            <w:r>
              <w:rPr>
                <w:b/>
                <w:bCs/>
                <w:sz w:val="18"/>
                <w:szCs w:val="18"/>
              </w:rPr>
              <w:t>6.353.175,00</w:t>
            </w:r>
          </w:p>
        </w:tc>
        <w:tc>
          <w:tcPr>
            <w:tcW w:w="1559" w:type="dxa"/>
            <w:shd w:val="clear" w:color="auto" w:fill="auto"/>
            <w:noWrap/>
            <w:vAlign w:val="center"/>
            <w:hideMark/>
          </w:tcPr>
          <w:p w:rsidR="00B65F9A" w:rsidRDefault="00B65F9A" w:rsidP="00B65F9A">
            <w:pPr>
              <w:jc w:val="right"/>
              <w:rPr>
                <w:b/>
                <w:bCs/>
                <w:sz w:val="18"/>
                <w:szCs w:val="18"/>
              </w:rPr>
            </w:pPr>
            <w:r>
              <w:rPr>
                <w:b/>
                <w:bCs/>
                <w:sz w:val="18"/>
                <w:szCs w:val="18"/>
              </w:rPr>
              <w:t>17.163.700,00</w:t>
            </w:r>
          </w:p>
        </w:tc>
        <w:tc>
          <w:tcPr>
            <w:tcW w:w="1276" w:type="dxa"/>
            <w:shd w:val="clear" w:color="auto" w:fill="auto"/>
            <w:noWrap/>
            <w:vAlign w:val="center"/>
            <w:hideMark/>
          </w:tcPr>
          <w:p w:rsidR="00B65F9A" w:rsidRDefault="00B65F9A" w:rsidP="00B65F9A">
            <w:pPr>
              <w:jc w:val="right"/>
              <w:rPr>
                <w:b/>
                <w:bCs/>
                <w:sz w:val="18"/>
                <w:szCs w:val="18"/>
              </w:rPr>
            </w:pPr>
            <w:r>
              <w:rPr>
                <w:b/>
                <w:bCs/>
                <w:sz w:val="18"/>
                <w:szCs w:val="18"/>
              </w:rPr>
              <w:t>4.475,54</w:t>
            </w:r>
          </w:p>
        </w:tc>
      </w:tr>
    </w:tbl>
    <w:p w:rsidR="00F11A45" w:rsidRDefault="00E44982" w:rsidP="00E92D0F">
      <w:pPr>
        <w:tabs>
          <w:tab w:val="left" w:pos="735"/>
        </w:tabs>
        <w:suppressAutoHyphens/>
        <w:ind w:firstLine="1134"/>
        <w:jc w:val="both"/>
        <w:rPr>
          <w:b/>
        </w:rPr>
      </w:pPr>
      <w:r>
        <w:rPr>
          <w:b/>
        </w:rPr>
        <w:t>Leilões de Veículos e Sucatas de Veículos</w:t>
      </w:r>
    </w:p>
    <w:p w:rsidR="00B65F9A" w:rsidRDefault="00B65F9A">
      <w:pPr>
        <w:tabs>
          <w:tab w:val="left" w:pos="735"/>
        </w:tabs>
        <w:suppressAutoHyphens/>
        <w:ind w:firstLine="1134"/>
        <w:jc w:val="both"/>
        <w:rPr>
          <w:b/>
        </w:rPr>
      </w:pPr>
    </w:p>
    <w:p w:rsidR="003E6588" w:rsidRDefault="003E6588">
      <w:pPr>
        <w:tabs>
          <w:tab w:val="left" w:pos="735"/>
        </w:tabs>
        <w:suppressAutoHyphens/>
        <w:ind w:firstLine="1134"/>
        <w:jc w:val="both"/>
      </w:pPr>
      <w:r>
        <w:rPr>
          <w:b/>
        </w:rPr>
        <w:t>Renovação da Frota -</w:t>
      </w:r>
      <w:r>
        <w:t xml:space="preserve"> Foram adquiridos 3.335 veículos, dos quais 643 referem-se a motocicletas, 529 veículos locados e 2.246 veículos arrolados (inservíveis).</w:t>
      </w:r>
    </w:p>
    <w:p w:rsidR="003E6588" w:rsidRDefault="003E6588">
      <w:pPr>
        <w:tabs>
          <w:tab w:val="left" w:pos="735"/>
        </w:tabs>
        <w:suppressAutoHyphens/>
        <w:ind w:firstLine="1134"/>
        <w:jc w:val="both"/>
      </w:pPr>
    </w:p>
    <w:p w:rsidR="003E6588" w:rsidRDefault="003E6588">
      <w:pPr>
        <w:tabs>
          <w:tab w:val="left" w:pos="735"/>
        </w:tabs>
        <w:suppressAutoHyphens/>
        <w:ind w:firstLine="1134"/>
        <w:jc w:val="both"/>
      </w:pPr>
      <w:r>
        <w:rPr>
          <w:b/>
        </w:rPr>
        <w:t>Combustível -</w:t>
      </w:r>
      <w:r>
        <w:t xml:space="preserve"> Foram consumidos 30.817.082 litros de gasolina, 38.599.581 litros de álcool e 18.144.372 litros de diesel, incluindo veículos e outros fins e 2.276 m³ de </w:t>
      </w:r>
      <w:r w:rsidR="00E44982">
        <w:t xml:space="preserve">Gás Natural Veicular - </w:t>
      </w:r>
      <w:r>
        <w:t>GNV.</w:t>
      </w:r>
    </w:p>
    <w:p w:rsidR="003E6588" w:rsidRDefault="003E6588">
      <w:pPr>
        <w:tabs>
          <w:tab w:val="left" w:pos="735"/>
        </w:tabs>
        <w:suppressAutoHyphens/>
        <w:ind w:firstLine="1134"/>
        <w:jc w:val="both"/>
      </w:pPr>
    </w:p>
    <w:p w:rsidR="003E6588" w:rsidRDefault="003E6588">
      <w:pPr>
        <w:autoSpaceDE w:val="0"/>
        <w:autoSpaceDN w:val="0"/>
        <w:adjustRightInd w:val="0"/>
        <w:ind w:firstLine="1134"/>
        <w:jc w:val="both"/>
      </w:pPr>
      <w:r>
        <w:rPr>
          <w:b/>
        </w:rPr>
        <w:t>Sítio -</w:t>
      </w:r>
      <w:r>
        <w:t xml:space="preserve"> </w:t>
      </w:r>
      <w:hyperlink r:id="rId55" w:history="1">
        <w:r w:rsidRPr="00E92D0F">
          <w:t>www.gcti.sp.gov.br</w:t>
        </w:r>
      </w:hyperlink>
      <w:r>
        <w:t xml:space="preserve"> manutenção do sítio com normas relativas ao Sistema de Administração dos Transportes Internos Motorizados da Administração Pública Estadual, incluindo o “Fale Conosco” (</w:t>
      </w:r>
      <w:r w:rsidRPr="00E44982">
        <w:rPr>
          <w:i/>
        </w:rPr>
        <w:t>link</w:t>
      </w:r>
      <w:r>
        <w:t xml:space="preserve"> disponível destinado a perguntas e dúvidas da clientela e do público em geral).</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Foram realizadas 1.800 informações técnicas referentes à homologação, aquisição, locação, doação e vendas de veículos, fixação e readequação de cotas de combustíveis, fale conosco e indagação via notes, além de 2.995 atendimentos telefônicos referentes à orientação técnica às Unidades Frotistas sobre assuntos relativos ao Sistema de Administração dos Transportes Internos Motorizados - SATIM, bem como pertinentes aos leilões de veículos, vendas e doações às Prefeituras.</w:t>
      </w:r>
    </w:p>
    <w:p w:rsidR="003E6588" w:rsidRDefault="003E6588">
      <w:pPr>
        <w:pStyle w:val="ndice"/>
        <w:suppressLineNumbers w:val="0"/>
        <w:ind w:firstLine="1134"/>
        <w:jc w:val="both"/>
      </w:pPr>
      <w:r>
        <w:rPr>
          <w:b/>
        </w:rPr>
        <w:lastRenderedPageBreak/>
        <w:t xml:space="preserve">Doação de veículos às Prefeituras </w:t>
      </w:r>
      <w:r w:rsidR="00E92D0F">
        <w:rPr>
          <w:b/>
        </w:rPr>
        <w:t>-</w:t>
      </w:r>
      <w:r w:rsidR="00B65F9A">
        <w:t xml:space="preserve"> Por meio </w:t>
      </w:r>
      <w:r>
        <w:t>do Grupo Central de Transportes Internos, realizaram-se as seguintes vendas e doações às Prefeituras:</w:t>
      </w:r>
    </w:p>
    <w:p w:rsidR="003E6588" w:rsidRPr="00E44982" w:rsidRDefault="003E6588"/>
    <w:tbl>
      <w:tblPr>
        <w:tblW w:w="0" w:type="auto"/>
        <w:jc w:val="center"/>
        <w:tblInd w:w="-185" w:type="dxa"/>
        <w:tblCellMar>
          <w:left w:w="70" w:type="dxa"/>
          <w:right w:w="70" w:type="dxa"/>
        </w:tblCellMar>
        <w:tblLook w:val="04A0"/>
      </w:tblPr>
      <w:tblGrid>
        <w:gridCol w:w="2659"/>
        <w:gridCol w:w="932"/>
        <w:gridCol w:w="1305"/>
        <w:gridCol w:w="146"/>
        <w:gridCol w:w="366"/>
        <w:gridCol w:w="3976"/>
        <w:gridCol w:w="913"/>
      </w:tblGrid>
      <w:tr w:rsidR="003E6588" w:rsidTr="00B65F9A">
        <w:trPr>
          <w:trHeight w:val="255"/>
          <w:jc w:val="center"/>
        </w:trPr>
        <w:tc>
          <w:tcPr>
            <w:tcW w:w="4896" w:type="dxa"/>
            <w:gridSpan w:val="3"/>
            <w:tcBorders>
              <w:top w:val="nil"/>
              <w:left w:val="nil"/>
              <w:bottom w:val="nil"/>
              <w:right w:val="nil"/>
            </w:tcBorders>
            <w:shd w:val="clear" w:color="auto" w:fill="auto"/>
            <w:vAlign w:val="bottom"/>
            <w:hideMark/>
          </w:tcPr>
          <w:p w:rsidR="003E6588" w:rsidRDefault="003E6588" w:rsidP="00B65F9A">
            <w:pPr>
              <w:rPr>
                <w:b/>
                <w:bCs/>
                <w:sz w:val="20"/>
                <w:szCs w:val="20"/>
              </w:rPr>
            </w:pPr>
            <w:r>
              <w:rPr>
                <w:b/>
                <w:bCs/>
                <w:sz w:val="20"/>
                <w:szCs w:val="20"/>
              </w:rPr>
              <w:t>VENDAS ÀS PREFEITURAS</w:t>
            </w:r>
          </w:p>
        </w:tc>
        <w:tc>
          <w:tcPr>
            <w:tcW w:w="0" w:type="auto"/>
            <w:tcBorders>
              <w:top w:val="nil"/>
              <w:left w:val="nil"/>
              <w:bottom w:val="nil"/>
              <w:right w:val="nil"/>
            </w:tcBorders>
            <w:shd w:val="clear" w:color="auto" w:fill="auto"/>
            <w:noWrap/>
            <w:vAlign w:val="bottom"/>
            <w:hideMark/>
          </w:tcPr>
          <w:p w:rsidR="003E6588" w:rsidRDefault="003E6588">
            <w:pPr>
              <w:rPr>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sz w:val="20"/>
                <w:szCs w:val="20"/>
              </w:rPr>
            </w:pPr>
          </w:p>
        </w:tc>
        <w:tc>
          <w:tcPr>
            <w:tcW w:w="4889" w:type="dxa"/>
            <w:gridSpan w:val="2"/>
            <w:tcBorders>
              <w:top w:val="nil"/>
              <w:left w:val="nil"/>
              <w:bottom w:val="nil"/>
              <w:right w:val="nil"/>
            </w:tcBorders>
            <w:shd w:val="clear" w:color="auto" w:fill="auto"/>
            <w:vAlign w:val="bottom"/>
            <w:hideMark/>
          </w:tcPr>
          <w:p w:rsidR="003E6588" w:rsidRDefault="003E6588" w:rsidP="00B65F9A">
            <w:pPr>
              <w:rPr>
                <w:b/>
                <w:bCs/>
                <w:sz w:val="20"/>
                <w:szCs w:val="20"/>
              </w:rPr>
            </w:pPr>
            <w:r>
              <w:rPr>
                <w:b/>
                <w:bCs/>
                <w:sz w:val="20"/>
                <w:szCs w:val="20"/>
              </w:rPr>
              <w:t>DOAÇÕES ÀS PREFEITURAS</w:t>
            </w:r>
          </w:p>
        </w:tc>
      </w:tr>
      <w:tr w:rsidR="003E6588" w:rsidTr="00B65F9A">
        <w:trPr>
          <w:trHeight w:val="180"/>
          <w:jc w:val="center"/>
        </w:trPr>
        <w:tc>
          <w:tcPr>
            <w:tcW w:w="260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307"/>
          <w:jc w:val="center"/>
        </w:trPr>
        <w:tc>
          <w:tcPr>
            <w:tcW w:w="26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color w:val="000000"/>
                <w:sz w:val="20"/>
                <w:szCs w:val="20"/>
              </w:rPr>
            </w:pPr>
            <w:r>
              <w:rPr>
                <w:b/>
                <w:bCs/>
                <w:color w:val="000000"/>
                <w:sz w:val="20"/>
                <w:szCs w:val="20"/>
              </w:rPr>
              <w:t>PREFEITURA</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3E6588" w:rsidRDefault="003E6588" w:rsidP="00B65F9A">
            <w:pPr>
              <w:rPr>
                <w:b/>
                <w:bCs/>
                <w:color w:val="000000"/>
                <w:sz w:val="20"/>
                <w:szCs w:val="20"/>
              </w:rPr>
            </w:pPr>
            <w:r>
              <w:rPr>
                <w:b/>
                <w:bCs/>
                <w:color w:val="000000"/>
                <w:sz w:val="20"/>
                <w:szCs w:val="20"/>
              </w:rPr>
              <w:t>QUANT</w:t>
            </w:r>
            <w:r w:rsidR="00B65F9A">
              <w:rPr>
                <w:b/>
                <w:bCs/>
                <w:color w:val="000000"/>
                <w:sz w:val="20"/>
                <w:szCs w:val="20"/>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3E6588" w:rsidRDefault="003E6588" w:rsidP="00B65F9A">
            <w:pPr>
              <w:rPr>
                <w:b/>
                <w:bCs/>
                <w:color w:val="000000"/>
                <w:sz w:val="20"/>
                <w:szCs w:val="20"/>
              </w:rPr>
            </w:pPr>
            <w:r>
              <w:rPr>
                <w:b/>
                <w:bCs/>
                <w:color w:val="000000"/>
                <w:sz w:val="20"/>
                <w:szCs w:val="20"/>
              </w:rPr>
              <w:t>VENDA</w:t>
            </w:r>
            <w:r w:rsidR="00B65F9A">
              <w:rPr>
                <w:b/>
                <w:bCs/>
                <w:color w:val="000000"/>
                <w:sz w:val="20"/>
                <w:szCs w:val="20"/>
              </w:rPr>
              <w:t xml:space="preserve"> (</w:t>
            </w:r>
            <w:r>
              <w:rPr>
                <w:b/>
                <w:bCs/>
                <w:color w:val="000000"/>
                <w:sz w:val="20"/>
                <w:szCs w:val="20"/>
              </w:rPr>
              <w:t>R$</w:t>
            </w:r>
            <w:r w:rsidR="00B65F9A">
              <w:rPr>
                <w:b/>
                <w:bCs/>
                <w:color w:val="000000"/>
                <w:sz w:val="20"/>
                <w:szCs w:val="20"/>
              </w:rPr>
              <w:t>)</w:t>
            </w:r>
          </w:p>
        </w:tc>
        <w:tc>
          <w:tcPr>
            <w:tcW w:w="0" w:type="auto"/>
            <w:tcBorders>
              <w:top w:val="nil"/>
              <w:left w:val="nil"/>
              <w:bottom w:val="nil"/>
              <w:right w:val="nil"/>
            </w:tcBorders>
            <w:shd w:val="clear" w:color="auto" w:fill="auto"/>
            <w:noWrap/>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hideMark/>
          </w:tcPr>
          <w:p w:rsidR="003E6588" w:rsidRDefault="003E6588">
            <w:pPr>
              <w:rPr>
                <w:color w:val="000000"/>
                <w:sz w:val="20"/>
                <w:szCs w:val="20"/>
              </w:rPr>
            </w:pPr>
          </w:p>
        </w:tc>
        <w:tc>
          <w:tcPr>
            <w:tcW w:w="39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E6588" w:rsidRDefault="003E6588">
            <w:pPr>
              <w:rPr>
                <w:b/>
                <w:bCs/>
                <w:color w:val="000000"/>
                <w:sz w:val="20"/>
                <w:szCs w:val="20"/>
              </w:rPr>
            </w:pPr>
            <w:r>
              <w:rPr>
                <w:b/>
                <w:bCs/>
                <w:color w:val="000000"/>
                <w:sz w:val="20"/>
                <w:szCs w:val="20"/>
              </w:rPr>
              <w:t>PREFEITURA</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3E6588" w:rsidRDefault="003E6588" w:rsidP="00B65F9A">
            <w:pPr>
              <w:rPr>
                <w:b/>
                <w:bCs/>
                <w:color w:val="000000"/>
                <w:sz w:val="20"/>
                <w:szCs w:val="20"/>
              </w:rPr>
            </w:pPr>
            <w:r>
              <w:rPr>
                <w:b/>
                <w:bCs/>
                <w:color w:val="000000"/>
                <w:sz w:val="20"/>
                <w:szCs w:val="20"/>
              </w:rPr>
              <w:t>QUANT</w:t>
            </w:r>
            <w:r w:rsidR="00B65F9A">
              <w:rPr>
                <w:b/>
                <w:bCs/>
                <w:color w:val="000000"/>
                <w:sz w:val="20"/>
                <w:szCs w:val="20"/>
              </w:rPr>
              <w:t>.</w:t>
            </w:r>
          </w:p>
        </w:tc>
      </w:tr>
      <w:tr w:rsidR="003E6588" w:rsidTr="00B65F9A">
        <w:trPr>
          <w:trHeight w:val="116"/>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ADAMANTINA</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5.500,00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BARRINHA</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4</w:t>
            </w:r>
          </w:p>
        </w:tc>
      </w:tr>
      <w:tr w:rsidR="003E6588" w:rsidTr="00E44982">
        <w:trPr>
          <w:trHeight w:val="303"/>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E44982">
            <w:pPr>
              <w:jc w:val="left"/>
              <w:rPr>
                <w:color w:val="000000"/>
                <w:sz w:val="20"/>
                <w:szCs w:val="20"/>
              </w:rPr>
            </w:pPr>
            <w:r>
              <w:rPr>
                <w:color w:val="000000"/>
                <w:sz w:val="20"/>
                <w:szCs w:val="20"/>
              </w:rPr>
              <w:t>ALVARES MACHADO</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26.500,00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ASSOCIAÇÃO BENEFICENTE PEDRA DE ESQUINA</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r>
      <w:tr w:rsidR="003E6588" w:rsidTr="00B65F9A">
        <w:trPr>
          <w:trHeight w:val="126"/>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ALVINLANDIA</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9.500,00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PONTAL</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3</w:t>
            </w:r>
          </w:p>
        </w:tc>
      </w:tr>
      <w:tr w:rsidR="003E6588" w:rsidTr="00B65F9A">
        <w:trPr>
          <w:trHeight w:val="44"/>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ASSIS</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31.000,00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VÁRZEA PAULISTA</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4</w:t>
            </w:r>
          </w:p>
        </w:tc>
      </w:tr>
      <w:tr w:rsidR="003E6588" w:rsidTr="00E44982">
        <w:trPr>
          <w:trHeight w:val="204"/>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CACONDE</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12.000,00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single" w:sz="4" w:space="0" w:color="auto"/>
              <w:bottom w:val="single" w:sz="4" w:space="0" w:color="auto"/>
              <w:right w:val="single" w:sz="4"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T O T A L</w:t>
            </w:r>
          </w:p>
        </w:tc>
        <w:tc>
          <w:tcPr>
            <w:tcW w:w="0" w:type="auto"/>
            <w:tcBorders>
              <w:top w:val="nil"/>
              <w:left w:val="nil"/>
              <w:bottom w:val="single" w:sz="4" w:space="0" w:color="auto"/>
              <w:right w:val="single" w:sz="4"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12</w:t>
            </w:r>
          </w:p>
        </w:tc>
      </w:tr>
      <w:tr w:rsidR="003E6588" w:rsidTr="00B65F9A">
        <w:trPr>
          <w:trHeight w:val="249"/>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IACRI</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4.200,00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140"/>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MARINOPOLIS</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10.800,00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172"/>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MARTINOPOLIS</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21.000,00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218"/>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PATROCINIO PAULISTA</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14.700,00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181"/>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PONTAL</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13.100,00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167"/>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QUINTANA</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16.000,00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214"/>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RIBEIRÃO CORRENTE</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94.300,00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118"/>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SAGRES</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10.000,00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150"/>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SANTA CLARA D’OESTE</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10.000,00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54"/>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S. JOSÉ DO RIO PARDO</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13.500,00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B65F9A">
        <w:trPr>
          <w:trHeight w:val="100"/>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rsidP="00B65F9A">
            <w:pPr>
              <w:jc w:val="left"/>
              <w:rPr>
                <w:color w:val="000000"/>
                <w:sz w:val="20"/>
                <w:szCs w:val="20"/>
              </w:rPr>
            </w:pPr>
            <w:r>
              <w:rPr>
                <w:color w:val="000000"/>
                <w:sz w:val="20"/>
                <w:szCs w:val="20"/>
              </w:rPr>
              <w:t>TABAPUÃ</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3E6588" w:rsidRDefault="003E6588">
            <w:pPr>
              <w:rPr>
                <w:color w:val="000000"/>
                <w:sz w:val="20"/>
                <w:szCs w:val="20"/>
              </w:rPr>
            </w:pPr>
            <w:r>
              <w:rPr>
                <w:color w:val="000000"/>
                <w:sz w:val="20"/>
                <w:szCs w:val="20"/>
              </w:rPr>
              <w:t>8.000,00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r w:rsidR="003E6588" w:rsidTr="00E44982">
        <w:trPr>
          <w:trHeight w:val="146"/>
          <w:jc w:val="center"/>
        </w:trPr>
        <w:tc>
          <w:tcPr>
            <w:tcW w:w="2606" w:type="dxa"/>
            <w:tcBorders>
              <w:top w:val="nil"/>
              <w:left w:val="single" w:sz="4" w:space="0" w:color="auto"/>
              <w:bottom w:val="single" w:sz="4" w:space="0" w:color="auto"/>
              <w:right w:val="single" w:sz="4" w:space="0" w:color="auto"/>
            </w:tcBorders>
            <w:shd w:val="clear" w:color="auto" w:fill="auto"/>
            <w:vAlign w:val="center"/>
            <w:hideMark/>
          </w:tcPr>
          <w:p w:rsidR="003E6588" w:rsidRDefault="003E6588">
            <w:pPr>
              <w:rPr>
                <w:b/>
                <w:bCs/>
                <w:color w:val="000000"/>
                <w:sz w:val="20"/>
                <w:szCs w:val="20"/>
              </w:rPr>
            </w:pPr>
            <w:r>
              <w:rPr>
                <w:b/>
                <w:bCs/>
                <w:color w:val="000000"/>
                <w:sz w:val="20"/>
                <w:szCs w:val="20"/>
              </w:rPr>
              <w:t>T O T A L</w:t>
            </w:r>
          </w:p>
        </w:tc>
        <w:tc>
          <w:tcPr>
            <w:tcW w:w="0" w:type="auto"/>
            <w:tcBorders>
              <w:top w:val="nil"/>
              <w:left w:val="nil"/>
              <w:bottom w:val="single" w:sz="4" w:space="0" w:color="auto"/>
              <w:right w:val="single" w:sz="4"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39</w:t>
            </w:r>
          </w:p>
        </w:tc>
        <w:tc>
          <w:tcPr>
            <w:tcW w:w="0" w:type="auto"/>
            <w:tcBorders>
              <w:top w:val="nil"/>
              <w:left w:val="nil"/>
              <w:bottom w:val="single" w:sz="4" w:space="0" w:color="auto"/>
              <w:right w:val="single" w:sz="4" w:space="0" w:color="auto"/>
            </w:tcBorders>
            <w:shd w:val="clear" w:color="auto" w:fill="auto"/>
            <w:noWrap/>
            <w:vAlign w:val="center"/>
            <w:hideMark/>
          </w:tcPr>
          <w:p w:rsidR="003E6588" w:rsidRDefault="003E6588">
            <w:pPr>
              <w:rPr>
                <w:b/>
                <w:bCs/>
                <w:color w:val="000000"/>
                <w:sz w:val="20"/>
                <w:szCs w:val="20"/>
              </w:rPr>
            </w:pPr>
            <w:r>
              <w:rPr>
                <w:b/>
                <w:bCs/>
                <w:color w:val="000000"/>
                <w:sz w:val="20"/>
                <w:szCs w:val="20"/>
              </w:rPr>
              <w:t>300.100,00</w:t>
            </w: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6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3976" w:type="dxa"/>
            <w:tcBorders>
              <w:top w:val="nil"/>
              <w:left w:val="nil"/>
              <w:bottom w:val="nil"/>
              <w:right w:val="nil"/>
            </w:tcBorders>
            <w:shd w:val="clear" w:color="auto" w:fill="auto"/>
            <w:noWrap/>
            <w:vAlign w:val="bottom"/>
            <w:hideMark/>
          </w:tcPr>
          <w:p w:rsidR="003E6588" w:rsidRDefault="003E6588">
            <w:pPr>
              <w:rPr>
                <w:color w:val="000000"/>
                <w:sz w:val="20"/>
                <w:szCs w:val="20"/>
              </w:rPr>
            </w:pPr>
          </w:p>
        </w:tc>
        <w:tc>
          <w:tcPr>
            <w:tcW w:w="0" w:type="auto"/>
            <w:tcBorders>
              <w:top w:val="nil"/>
              <w:left w:val="nil"/>
              <w:bottom w:val="nil"/>
              <w:right w:val="nil"/>
            </w:tcBorders>
            <w:shd w:val="clear" w:color="auto" w:fill="auto"/>
            <w:noWrap/>
            <w:vAlign w:val="bottom"/>
            <w:hideMark/>
          </w:tcPr>
          <w:p w:rsidR="003E6588" w:rsidRDefault="003E6588">
            <w:pPr>
              <w:rPr>
                <w:color w:val="000000"/>
                <w:sz w:val="20"/>
                <w:szCs w:val="20"/>
              </w:rPr>
            </w:pPr>
          </w:p>
        </w:tc>
      </w:tr>
    </w:tbl>
    <w:p w:rsidR="003E6588" w:rsidRDefault="003E6588">
      <w:pPr>
        <w:shd w:val="clear" w:color="auto" w:fill="FFFFFF"/>
        <w:spacing w:after="10"/>
      </w:pPr>
    </w:p>
    <w:p w:rsidR="003E6588" w:rsidRDefault="003E6588">
      <w:pPr>
        <w:shd w:val="clear" w:color="auto" w:fill="FFFFFF"/>
        <w:spacing w:after="10"/>
        <w:rPr>
          <w:b/>
          <w:bCs/>
        </w:rPr>
      </w:pPr>
      <w:r>
        <w:br w:type="page"/>
      </w:r>
      <w:r>
        <w:rPr>
          <w:b/>
          <w:bCs/>
        </w:rPr>
        <w:lastRenderedPageBreak/>
        <w:t>SECRETARIA DA HABITAÇÃO</w:t>
      </w:r>
    </w:p>
    <w:p w:rsidR="003E6588" w:rsidRDefault="003E6588"/>
    <w:p w:rsidR="003E6588" w:rsidRDefault="003E6588">
      <w:pPr>
        <w:jc w:val="both"/>
      </w:pPr>
    </w:p>
    <w:p w:rsidR="003E6588" w:rsidRDefault="003E6588">
      <w:pPr>
        <w:ind w:firstLine="1134"/>
        <w:jc w:val="both"/>
      </w:pPr>
      <w:bookmarkStart w:id="14" w:name="_GoBack"/>
      <w:bookmarkEnd w:id="14"/>
      <w:r>
        <w:t>Dentre as ações institucionais e gerenciais que a Pasta tem empreendido, destacam-se:</w:t>
      </w:r>
    </w:p>
    <w:p w:rsidR="003E6588" w:rsidRDefault="003E6588">
      <w:pPr>
        <w:ind w:firstLine="1134"/>
        <w:jc w:val="both"/>
        <w:rPr>
          <w:b/>
        </w:rPr>
      </w:pPr>
    </w:p>
    <w:p w:rsidR="003E6588" w:rsidRDefault="003E6588">
      <w:pPr>
        <w:ind w:firstLine="1134"/>
        <w:jc w:val="both"/>
      </w:pPr>
      <w:r>
        <w:rPr>
          <w:b/>
        </w:rPr>
        <w:t xml:space="preserve">Funcionamento do Conselho Estadual de Habitação - CEH - </w:t>
      </w:r>
      <w:r>
        <w:t>O Conselho Estadual da Habitação realizou duas reuniões ordinárias:</w:t>
      </w:r>
    </w:p>
    <w:p w:rsidR="003E6588" w:rsidRDefault="003E6588">
      <w:pPr>
        <w:ind w:firstLine="1134"/>
        <w:jc w:val="both"/>
      </w:pPr>
    </w:p>
    <w:p w:rsidR="003E6588" w:rsidRDefault="003E6588">
      <w:pPr>
        <w:pStyle w:val="PargrafodaLista"/>
        <w:ind w:left="0" w:firstLine="1134"/>
        <w:rPr>
          <w:rFonts w:ascii="Times New Roman" w:hAnsi="Times New Roman"/>
          <w:sz w:val="24"/>
          <w:szCs w:val="24"/>
          <w:lang w:eastAsia="pt-BR"/>
        </w:rPr>
      </w:pPr>
      <w:r>
        <w:rPr>
          <w:rFonts w:ascii="Times New Roman" w:hAnsi="Times New Roman"/>
          <w:sz w:val="24"/>
          <w:szCs w:val="24"/>
          <w:lang w:eastAsia="pt-BR"/>
        </w:rPr>
        <w:t>- Na 10ª Reunião Ordinária do Conselho Estadual de Habitação, foi dada posse aos membros do Conselho para o triênio 2013-2016 - Titulares e Suplentes; apresentado o Balanço Secretaria da Habitação/Casa Paulista e CDHU (exercício 2013) e o Programa Desenvolvimento Sustentável do Litoral Paulista.</w:t>
      </w:r>
    </w:p>
    <w:p w:rsidR="003E6588" w:rsidRDefault="003E6588">
      <w:pPr>
        <w:pStyle w:val="PargrafodaLista"/>
        <w:ind w:left="0" w:firstLine="1134"/>
        <w:rPr>
          <w:rFonts w:ascii="Times New Roman" w:hAnsi="Times New Roman"/>
          <w:sz w:val="24"/>
          <w:szCs w:val="24"/>
          <w:lang w:eastAsia="pt-BR"/>
        </w:rPr>
      </w:pPr>
    </w:p>
    <w:p w:rsidR="003E6588" w:rsidRDefault="003E6588">
      <w:pPr>
        <w:pStyle w:val="PargrafodaLista"/>
        <w:ind w:left="0" w:firstLine="1134"/>
        <w:rPr>
          <w:rFonts w:ascii="Times New Roman" w:hAnsi="Times New Roman"/>
          <w:sz w:val="24"/>
          <w:szCs w:val="24"/>
          <w:lang w:eastAsia="pt-BR"/>
        </w:rPr>
      </w:pPr>
      <w:r>
        <w:rPr>
          <w:rFonts w:ascii="Times New Roman" w:hAnsi="Times New Roman"/>
          <w:sz w:val="24"/>
          <w:szCs w:val="24"/>
          <w:lang w:eastAsia="pt-BR"/>
        </w:rPr>
        <w:t>- Na 11ª Reunião Ordinária do Conselho Estadual de Habitação, foi apresentado o Balanço das Ações da Secretaria da Habitação/Casa Paulista e CDHU no ano de 2014.</w:t>
      </w:r>
    </w:p>
    <w:p w:rsidR="003E6588" w:rsidRDefault="003E6588">
      <w:pPr>
        <w:ind w:firstLine="1134"/>
        <w:jc w:val="both"/>
        <w:rPr>
          <w:b/>
          <w:spacing w:val="-4"/>
        </w:rPr>
      </w:pPr>
    </w:p>
    <w:p w:rsidR="003E6588" w:rsidRDefault="003E6588">
      <w:pPr>
        <w:ind w:firstLine="1134"/>
        <w:jc w:val="both"/>
      </w:pPr>
      <w:r>
        <w:rPr>
          <w:b/>
        </w:rPr>
        <w:t xml:space="preserve">Ações de Qualidade e Sustentabilidade - </w:t>
      </w:r>
      <w:r>
        <w:t>Dentre as ações de qualidade e sustentabilidade promovidas pela SH, destacam-se:</w:t>
      </w:r>
    </w:p>
    <w:p w:rsidR="003E6588" w:rsidRDefault="003E6588">
      <w:pPr>
        <w:ind w:firstLine="1134"/>
        <w:jc w:val="both"/>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xml:space="preserve">- A continuidade da parceria entre SH e o Conselho Brasileiro de Construção Sustentável </w:t>
      </w:r>
      <w:r w:rsidR="00400261">
        <w:rPr>
          <w:rFonts w:ascii="Times New Roman" w:hAnsi="Times New Roman"/>
          <w:sz w:val="24"/>
          <w:szCs w:val="24"/>
          <w:lang w:eastAsia="pt-BR"/>
        </w:rPr>
        <w:t xml:space="preserve">- </w:t>
      </w:r>
      <w:r>
        <w:rPr>
          <w:rFonts w:ascii="Times New Roman" w:hAnsi="Times New Roman"/>
          <w:sz w:val="24"/>
          <w:szCs w:val="24"/>
          <w:lang w:eastAsia="pt-BR"/>
        </w:rPr>
        <w:t xml:space="preserve">CBCS, que contribui para melhoria das ações da CDHU e promove práticas sustentáveis na habitação de interesse social. Tal medida proporcionou a participação na Iniciativa para Habitação Social Sustentável (SUSHI), da Organização das Nações Unidas </w:t>
      </w:r>
      <w:r w:rsidR="00400261">
        <w:rPr>
          <w:rFonts w:ascii="Times New Roman" w:hAnsi="Times New Roman"/>
          <w:sz w:val="24"/>
          <w:szCs w:val="24"/>
          <w:lang w:eastAsia="pt-BR"/>
        </w:rPr>
        <w:t xml:space="preserve">- </w:t>
      </w:r>
      <w:r>
        <w:rPr>
          <w:rFonts w:ascii="Times New Roman" w:hAnsi="Times New Roman"/>
          <w:sz w:val="24"/>
          <w:szCs w:val="24"/>
          <w:lang w:eastAsia="pt-BR"/>
        </w:rPr>
        <w:t xml:space="preserve">ONU e do Programa de Meio Ambiente/ONU-PNUMA, no contexto da </w:t>
      </w:r>
      <w:r>
        <w:rPr>
          <w:rFonts w:ascii="Times New Roman" w:hAnsi="Times New Roman"/>
          <w:i/>
          <w:sz w:val="24"/>
          <w:szCs w:val="24"/>
          <w:lang w:eastAsia="pt-BR"/>
        </w:rPr>
        <w:t>Sustainable Buildings and Climate Initiative</w:t>
      </w:r>
      <w:r>
        <w:rPr>
          <w:rFonts w:ascii="Times New Roman" w:hAnsi="Times New Roman"/>
          <w:sz w:val="24"/>
          <w:szCs w:val="24"/>
          <w:lang w:eastAsia="pt-BR"/>
        </w:rPr>
        <w:t xml:space="preserve"> </w:t>
      </w:r>
      <w:r w:rsidR="00400261">
        <w:rPr>
          <w:rFonts w:ascii="Times New Roman" w:hAnsi="Times New Roman"/>
          <w:sz w:val="24"/>
          <w:szCs w:val="24"/>
          <w:lang w:eastAsia="pt-BR"/>
        </w:rPr>
        <w:t xml:space="preserve">- </w:t>
      </w:r>
      <w:r>
        <w:rPr>
          <w:rFonts w:ascii="Times New Roman" w:hAnsi="Times New Roman"/>
          <w:i/>
          <w:sz w:val="24"/>
          <w:szCs w:val="24"/>
          <w:lang w:eastAsia="pt-BR"/>
        </w:rPr>
        <w:t>SBCI;</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xml:space="preserve">- A CDHU adota a metodologia mundialmente reconhecida do </w:t>
      </w:r>
      <w:r>
        <w:rPr>
          <w:rFonts w:ascii="Times New Roman" w:hAnsi="Times New Roman"/>
          <w:i/>
          <w:sz w:val="24"/>
          <w:szCs w:val="24"/>
          <w:lang w:eastAsia="pt-BR"/>
        </w:rPr>
        <w:t xml:space="preserve">Global Reporting Initiative </w:t>
      </w:r>
      <w:r w:rsidR="00400261">
        <w:rPr>
          <w:rFonts w:ascii="Times New Roman" w:hAnsi="Times New Roman"/>
          <w:i/>
          <w:sz w:val="24"/>
          <w:szCs w:val="24"/>
          <w:lang w:eastAsia="pt-BR"/>
        </w:rPr>
        <w:t xml:space="preserve">- </w:t>
      </w:r>
      <w:r>
        <w:rPr>
          <w:rFonts w:ascii="Times New Roman" w:hAnsi="Times New Roman"/>
          <w:i/>
          <w:sz w:val="24"/>
          <w:szCs w:val="24"/>
          <w:lang w:eastAsia="pt-BR"/>
        </w:rPr>
        <w:t>GRI</w:t>
      </w:r>
      <w:r>
        <w:rPr>
          <w:rFonts w:ascii="Times New Roman" w:hAnsi="Times New Roman"/>
          <w:sz w:val="24"/>
          <w:szCs w:val="24"/>
          <w:lang w:eastAsia="pt-BR"/>
        </w:rPr>
        <w:t>, como forma de apresentar seu relatório de sustentabilidade e possibilitar progressiva incorporação da agenda da sustentabilidade na rotina da Companhia. Foi elaborado o quarto relatório GRI-2013, obtendo-se o Nível de Aplicação B+ em virtude da ampliação do número de indicadores;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Foi dado prosseguimento às ações voltadas à eficiência energética, com instalação de 50 mil Sistemas de Aquecedor Solar - SAS em empreendimentos da CDHU;</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Foi homologada A licitação na modalidade Pregão Eletrônico cujo objeto é a aquisição e instalação de Sistemas de Aquecimento Solar de água - SAS. A previsão de instalação dos SAS segue a programação de entrega dos empreendimentos habitacionais, com atendimento de 13.500 unidades.</w:t>
      </w:r>
    </w:p>
    <w:p w:rsidR="003E6588" w:rsidRDefault="003E6588">
      <w:pPr>
        <w:ind w:firstLine="1134"/>
        <w:jc w:val="both"/>
      </w:pPr>
    </w:p>
    <w:p w:rsidR="003E6588" w:rsidRDefault="003E6588">
      <w:pPr>
        <w:ind w:firstLine="1134"/>
        <w:jc w:val="both"/>
      </w:pPr>
      <w:r>
        <w:rPr>
          <w:b/>
        </w:rPr>
        <w:t xml:space="preserve">Parcerias com a Empresa Paulista de Desenvolvimento Metropolitano - EMPLASA - </w:t>
      </w:r>
      <w:r>
        <w:t xml:space="preserve">As parcerias com a EMPLASA têm como foco promover suporte ao </w:t>
      </w:r>
      <w:r w:rsidRPr="00400261">
        <w:t>planejamento e à gestão</w:t>
      </w:r>
      <w:r>
        <w:t xml:space="preserve"> municipal e regional para desenvolvimento habitacional nos 106 municípios das regiões metropolitanas paulistas, além de constituir importante insumo para a política estadual de habitação nessas regiões que concentram os mais significativos desafios habitacionais no Estado, marcados pelo porte, intensidade e complexidade social, urbana e ambiental.</w:t>
      </w:r>
    </w:p>
    <w:p w:rsidR="003E6588" w:rsidRDefault="003E6588">
      <w:pPr>
        <w:ind w:firstLine="1134"/>
        <w:jc w:val="both"/>
      </w:pPr>
      <w:r>
        <w:rPr>
          <w:b/>
        </w:rPr>
        <w:lastRenderedPageBreak/>
        <w:t xml:space="preserve">Concepção e Estruturação do Sistema Integrado de Demanda Habitacional/SIHAB - </w:t>
      </w:r>
      <w:r>
        <w:t>Prosseguiram os trabalhos para estruturação do SIHAB - com seus 3 módulos municipais - Sistema de Beneficiados; Sistema de Demanda e SIHAB-Município (que especializa os assentamentos precários, a oferta habitacional e demais informações de interesse, integrando-as aos sistemas anteriores e ao SIHAB-Metrópole). Trata-se de importante instrumento de planejamento regional e gestão habitacional, que estabelece procedimentos padronizados para identificação da demanda para os diferentes programas habitacionais de interesse social, nos três níveis de governo, e permite aos gestores públicos o compartilhamento de informações indispensáveis à focalização das ações.</w:t>
      </w:r>
    </w:p>
    <w:p w:rsidR="003E6588" w:rsidRDefault="003E6588">
      <w:pPr>
        <w:ind w:firstLine="1134"/>
        <w:jc w:val="both"/>
      </w:pPr>
    </w:p>
    <w:p w:rsidR="003E6588" w:rsidRDefault="003E6588">
      <w:pPr>
        <w:ind w:firstLine="1134"/>
        <w:jc w:val="both"/>
      </w:pPr>
      <w:r>
        <w:t>A meta é promover a visão local e regional das demandas habitacionais nas 4 regiões metropolitanas, abrangendo 106 municípios e 65% da população do Estado. O sistema de Demanda organiza e compartilha os dados de famílias interessadas nos programas habitacionais e de famílias moradoras em assentamentos precários e áreas de risco; o de Beneficiados organiza e compartilha os dados de famílias efetivamente beneficiadas pelos diversos agentes habitacionais; e o eixo Informações Territoriais - SIHab Município identifica e caracteriza os assentamentos precários e irregulares dos municípios metropolitanos.</w:t>
      </w:r>
    </w:p>
    <w:p w:rsidR="003E6588" w:rsidRDefault="003E6588">
      <w:pPr>
        <w:ind w:firstLine="1134"/>
        <w:jc w:val="both"/>
      </w:pPr>
    </w:p>
    <w:p w:rsidR="003E6588" w:rsidRDefault="003E6588">
      <w:pPr>
        <w:ind w:firstLine="1134"/>
        <w:jc w:val="both"/>
      </w:pPr>
      <w:r>
        <w:rPr>
          <w:b/>
        </w:rPr>
        <w:t xml:space="preserve">Desenvolvimento dos Planos Metropolitanos de Desenvolvimento Habitacional - </w:t>
      </w:r>
      <w:r>
        <w:t>No sentido da continuidade e do aprimoramento do PEH, prosseguem em trabalhos técnicos para subsidiar o desenvolvimento dos Planos Metropolitanos de Desenvolvimento Habitacional para as regiões da Baixada Santista, Campinas, São Paulo e Vale de Paraíba/Litoral Norte. Tais planos contarão com participação dos diversos atores da política habitacional e pretendem aprofundar o diagnóstico habitacional e urbano das metrópoles, apontando diretrizes e novos instrumentos para aplicação nos territórios metropolitanos.</w:t>
      </w:r>
    </w:p>
    <w:p w:rsidR="003E6588" w:rsidRDefault="003E6588">
      <w:pPr>
        <w:ind w:left="567" w:firstLine="1134"/>
        <w:jc w:val="both"/>
      </w:pPr>
    </w:p>
    <w:p w:rsidR="003E6588" w:rsidRDefault="003E6588">
      <w:pPr>
        <w:ind w:firstLine="1134"/>
        <w:jc w:val="both"/>
      </w:pPr>
      <w:r>
        <w:rPr>
          <w:b/>
        </w:rPr>
        <w:t xml:space="preserve">Ações gerenciais da CDHU para captação de recursos e diminuição dos índices de inadimplência - </w:t>
      </w:r>
      <w:r>
        <w:t>A CDHU deu continuidade aos esforços para captação de novas fontes de recursos e incremento de receitas próprias.</w:t>
      </w:r>
    </w:p>
    <w:p w:rsidR="003E6588" w:rsidRDefault="003E6588">
      <w:pPr>
        <w:ind w:firstLine="1134"/>
        <w:jc w:val="both"/>
      </w:pPr>
    </w:p>
    <w:p w:rsidR="003E6588" w:rsidRDefault="003E6588">
      <w:pPr>
        <w:ind w:firstLine="1134"/>
        <w:jc w:val="both"/>
      </w:pPr>
      <w:r>
        <w:t>A redução foi de 1 ponto percentual, ou seja, se estabilizou em 17%, propiciando arrecadação de R$ 550 milhões. Tais esforços redundam importante complemento à destinação continuada de recursos do Tesouro.</w:t>
      </w:r>
    </w:p>
    <w:p w:rsidR="003E6588" w:rsidRDefault="003E6588">
      <w:pPr>
        <w:ind w:firstLine="1134"/>
        <w:jc w:val="both"/>
      </w:pPr>
    </w:p>
    <w:p w:rsidR="003E6588" w:rsidRDefault="003E6588">
      <w:pPr>
        <w:ind w:firstLine="1134"/>
        <w:jc w:val="both"/>
        <w:rPr>
          <w:b/>
        </w:rPr>
      </w:pPr>
      <w:r>
        <w:rPr>
          <w:b/>
        </w:rPr>
        <w:t>Ações Sociais em Habitação</w:t>
      </w:r>
    </w:p>
    <w:p w:rsidR="003E6588" w:rsidRDefault="003E6588">
      <w:pPr>
        <w:ind w:firstLine="1134"/>
        <w:jc w:val="both"/>
        <w:rPr>
          <w:b/>
        </w:rPr>
      </w:pPr>
    </w:p>
    <w:p w:rsidR="003E6588" w:rsidRDefault="003E6588">
      <w:pPr>
        <w:ind w:firstLine="1134"/>
        <w:jc w:val="both"/>
        <w:rPr>
          <w:snapToGrid w:val="0"/>
        </w:rPr>
      </w:pPr>
      <w:r>
        <w:rPr>
          <w:b/>
        </w:rPr>
        <w:t xml:space="preserve">Trabalho Técnico-social em Urbanização de Favelas e Áreas Urbanas Degradadas - </w:t>
      </w:r>
      <w:r>
        <w:rPr>
          <w:snapToGrid w:val="0"/>
        </w:rPr>
        <w:t xml:space="preserve">O trabalho técnico social contribui para a sustentabilidade urbanística, socioeconômica, ambiental e cultural das intervenções promovidas pela CDHU em favelas. Está ancorado nos princípios de construção do pacto social preliminar como subsídio para a proposta de intervenção, apoio à intervenção físico-urbanística e organização comunitária com desenvolvimento local. Em consonância com essas macro-ações, 15 projetos de organização comunitária e desenvolvimento local foram implantados ou estão em andamento. Na Capital, o Projeto Pantanal, nos Municípios da Região Metropolitana de São Paulo, tais como Guarulhos, Santo André e São Bernardo (Projetos Pimentas, </w:t>
      </w:r>
      <w:r>
        <w:rPr>
          <w:snapToGrid w:val="0"/>
        </w:rPr>
        <w:lastRenderedPageBreak/>
        <w:t>Jardim Santo André e Vila Ferreira, respectivamente), no Município de Hortolândia e na Baixada Santista, o Programa Serra do Mar, em Cubatão.</w:t>
      </w:r>
    </w:p>
    <w:p w:rsidR="003E6588" w:rsidRDefault="003E6588">
      <w:pPr>
        <w:ind w:firstLine="1134"/>
        <w:jc w:val="both"/>
        <w:rPr>
          <w:snapToGrid w:val="0"/>
        </w:rPr>
      </w:pPr>
    </w:p>
    <w:p w:rsidR="003E6588" w:rsidRDefault="003E6588">
      <w:pPr>
        <w:ind w:firstLine="1134"/>
        <w:jc w:val="both"/>
        <w:rPr>
          <w:snapToGrid w:val="0"/>
        </w:rPr>
      </w:pPr>
      <w:r>
        <w:rPr>
          <w:snapToGrid w:val="0"/>
        </w:rPr>
        <w:t>As ações têm o desafio de serem captadoras e indutoras das potencialidades locais, tornando-se orgânicas na medida em que a intervenção urbanística está acontecendo, entendendo-se que essa relação é sistêmica e condição básica para sustentabilidade. Os projetos podem ser entendidos em 5 grandes frentes:</w:t>
      </w:r>
    </w:p>
    <w:p w:rsidR="003E6588" w:rsidRDefault="003E6588">
      <w:pPr>
        <w:ind w:firstLine="1134"/>
        <w:jc w:val="both"/>
        <w:rPr>
          <w:snapToGrid w:val="0"/>
        </w:rPr>
      </w:pPr>
    </w:p>
    <w:p w:rsidR="003E6588" w:rsidRDefault="003E6588">
      <w:pPr>
        <w:ind w:firstLine="1134"/>
        <w:jc w:val="both"/>
        <w:rPr>
          <w:snapToGrid w:val="0"/>
        </w:rPr>
      </w:pPr>
      <w:r>
        <w:rPr>
          <w:snapToGrid w:val="0"/>
        </w:rPr>
        <w:t>- Participação e Organização Comunitária - Formação de 304 agentes comunitários; reuniões de acompanhamento de obras no Programa de Recuperação Socioambiental da Serra do Mar e Projeto Guarulhos C - Pimentas por meio do Núcleo Operacional de Urbanização.</w:t>
      </w:r>
    </w:p>
    <w:p w:rsidR="003E6588" w:rsidRDefault="003E6588">
      <w:pPr>
        <w:ind w:firstLine="1134"/>
        <w:jc w:val="both"/>
        <w:rPr>
          <w:snapToGrid w:val="0"/>
        </w:rPr>
      </w:pPr>
    </w:p>
    <w:p w:rsidR="003E6588" w:rsidRDefault="003E6588">
      <w:pPr>
        <w:ind w:firstLine="1134"/>
        <w:jc w:val="both"/>
        <w:rPr>
          <w:snapToGrid w:val="0"/>
        </w:rPr>
      </w:pPr>
      <w:r>
        <w:rPr>
          <w:snapToGrid w:val="0"/>
        </w:rPr>
        <w:t>- Mundo do Trabalho e Geração de Trabalho e Renda - no Programa Serra do Mar está em desenvolvimento o Núcleo de Economia Solidária e Desenvolvimento Local, com dois grupos produtivos nas áreas de alimentação e artesanato; o Ateliê Arte nas Cotas, com a criação de linha produtos em papelaria e confecção, estampados manualmente. No Projeto Pantanal, a Cooperativa de Reciclagem Nova Esperança é central de triagem vinculada ao serviço municipal de limpeza urbana, com média de processamento mensal de 80 toneladas e cerca de 40 cooperados.</w:t>
      </w:r>
    </w:p>
    <w:p w:rsidR="003E6588" w:rsidRDefault="003E6588">
      <w:pPr>
        <w:ind w:firstLine="1134"/>
        <w:jc w:val="both"/>
        <w:rPr>
          <w:snapToGrid w:val="0"/>
        </w:rPr>
      </w:pPr>
    </w:p>
    <w:p w:rsidR="003E6588" w:rsidRDefault="003E6588">
      <w:pPr>
        <w:ind w:firstLine="1134"/>
        <w:jc w:val="both"/>
        <w:rPr>
          <w:snapToGrid w:val="0"/>
        </w:rPr>
      </w:pPr>
      <w:r>
        <w:rPr>
          <w:snapToGrid w:val="0"/>
        </w:rPr>
        <w:t>- As Práticas Culturais de Intervenção Urbana e Apropriação do Novo Espaço fomentam a arte-educação por meio das técnicas de mosaico, desenho, pintura, estêncil e intervenções de arte urbana nos espaços públicos projetados nos bairros urbanizados. O Projeto Arte nas Cotas realizou 1.100 atividades e mais de 4.200 moradores passaram pelo seu ateliê. O trabalho de arte-educação também foi replicado em Guarulhos e desenvolve a formação técnica dos moradores participantes para início das intervenções no bairro.</w:t>
      </w:r>
    </w:p>
    <w:p w:rsidR="003E6588" w:rsidRDefault="003E6588">
      <w:pPr>
        <w:ind w:firstLine="1134"/>
        <w:jc w:val="both"/>
        <w:rPr>
          <w:snapToGrid w:val="0"/>
        </w:rPr>
      </w:pPr>
    </w:p>
    <w:p w:rsidR="003E6588" w:rsidRDefault="003E6588">
      <w:pPr>
        <w:ind w:firstLine="1134"/>
        <w:jc w:val="both"/>
        <w:rPr>
          <w:snapToGrid w:val="0"/>
        </w:rPr>
      </w:pPr>
      <w:r>
        <w:rPr>
          <w:snapToGrid w:val="0"/>
        </w:rPr>
        <w:t>- As ações de Educação Socioambiental têm como objetivo promover ações de recuperação ambiental, intervenção em praças e áreas verdes, além da manutenção de hortas comunitárias. O Projeto Viveiro Escola do Projeto Pantanal capacitou 105 moradores nas áreas de jardinagem, paisagismo e agricultura urbana e configura-se como espaço aberto de oficinas, distribuição de mudas e plantio coletivo em áreas públicas do bairro. O Projeto Cota Viva, em Cubatão, certificou 113 moradores nas áreas de Ecoturismo, Agentes Ambientais, Agentes Ambientais Mirins, Viveiristas e Jardineiros Ecológicos.</w:t>
      </w:r>
    </w:p>
    <w:p w:rsidR="003E6588" w:rsidRDefault="003E6588">
      <w:pPr>
        <w:ind w:firstLine="1134"/>
        <w:jc w:val="both"/>
        <w:rPr>
          <w:snapToGrid w:val="0"/>
        </w:rPr>
      </w:pPr>
    </w:p>
    <w:p w:rsidR="003E6588" w:rsidRDefault="003E6588">
      <w:pPr>
        <w:ind w:firstLine="1134"/>
        <w:jc w:val="both"/>
        <w:rPr>
          <w:snapToGrid w:val="0"/>
        </w:rPr>
      </w:pPr>
      <w:r>
        <w:rPr>
          <w:snapToGrid w:val="0"/>
        </w:rPr>
        <w:t>- Protagonismo e Comunicação Comunitária - O Projeto ComCom promove a formação em diferentes técnicas de comunicação, por meio da apropriação, produção e difusão da informação pela própria comunidade. O ComCom já alcançou diretamente 4.000 moradores e realizou 600 atividades na Serra do Mar, entre oficinas, publicação de jornal, programas de TV e rádio, sessões de cinema ao ar livre, Cabine da Memória, produções audiovisuais, curtas metragens, documentários, coberturas colaborativas. Iniciou suas atividades no Projeto Guarulhos C - Pimentas, onde conta com a publicação de jornal comunitário, programa de rádio veiculado em rádio local e 150 certificações técnicas nas áreas de TV, jornal, rádio, fotografia e edição. Todo o conteúdo do Projeto ComCom é veiculado em redes sociais por meio de canais exclusivos.</w:t>
      </w:r>
    </w:p>
    <w:p w:rsidR="003E6588" w:rsidRDefault="003E6588">
      <w:pPr>
        <w:ind w:firstLine="1134"/>
        <w:jc w:val="both"/>
      </w:pPr>
      <w:r>
        <w:lastRenderedPageBreak/>
        <w:t>Além dos projetos de urbanização de favelas, tem sido crescente a participação da CDHU em intervenções integradas com outras secretarias e órgãos da administração pública, como é o caso das parcerias estabelecidas com o Metrô e a CPTM. Para viabilizar os projetos de mobilidade urbana, coube à equipe técnica social a pactuação e obtenção de adesão para remoção de 500 famílias que ocupavam a área de influência das obras da Linha 17 do Metrô e 400 famílias da Linha 9 da CPTM, cujas ações estão em curso.</w:t>
      </w:r>
    </w:p>
    <w:p w:rsidR="003E6588" w:rsidRDefault="003E6588">
      <w:pPr>
        <w:ind w:firstLine="1134"/>
        <w:jc w:val="both"/>
      </w:pPr>
    </w:p>
    <w:p w:rsidR="003E6588" w:rsidRDefault="003E6588">
      <w:pPr>
        <w:ind w:firstLine="1134"/>
        <w:jc w:val="both"/>
        <w:rPr>
          <w:snapToGrid w:val="0"/>
        </w:rPr>
      </w:pPr>
      <w:r>
        <w:rPr>
          <w:b/>
        </w:rPr>
        <w:t xml:space="preserve">Apoio à Gestão Condominial - </w:t>
      </w:r>
      <w:r>
        <w:rPr>
          <w:snapToGrid w:val="0"/>
        </w:rPr>
        <w:t>A CDHU tem por objetivo orientar os moradores no uso, conservação e pertencimento de sua nova moradia, apoiá-los nas questões relacionadas às regras de convivência em condomínio, exercer a administração condominial na forma da lei e capacitar o Corpo Diretivo para a gestão financeira e desenvolvimento de suas funções e atribuições. Visa capacitar os moradores para o cumprimento de suas obrigações e direitos, para o fortalecimento dos valores relacionados à cidadania, à harmonia no convívio condominial e à melhoria de qualidade de vida.</w:t>
      </w:r>
    </w:p>
    <w:p w:rsidR="003E6588" w:rsidRDefault="003E6588">
      <w:pPr>
        <w:ind w:firstLine="1134"/>
        <w:jc w:val="both"/>
        <w:rPr>
          <w:snapToGrid w:val="0"/>
        </w:rPr>
      </w:pPr>
    </w:p>
    <w:p w:rsidR="003E6588" w:rsidRDefault="003E6588">
      <w:pPr>
        <w:widowControl w:val="0"/>
        <w:suppressAutoHyphens/>
        <w:ind w:firstLine="1134"/>
        <w:jc w:val="both"/>
        <w:rPr>
          <w:snapToGrid w:val="0"/>
        </w:rPr>
      </w:pPr>
      <w:r>
        <w:rPr>
          <w:snapToGrid w:val="0"/>
        </w:rPr>
        <w:t>Destacam-se os resultados:</w:t>
      </w:r>
    </w:p>
    <w:p w:rsidR="003E6588" w:rsidRDefault="003E6588">
      <w:pPr>
        <w:widowControl w:val="0"/>
        <w:suppressAutoHyphens/>
        <w:ind w:firstLine="1134"/>
        <w:jc w:val="both"/>
        <w:rPr>
          <w:snapToGrid w:val="0"/>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Administração Condominial profissionalizada, atingindo 19.695 famílias beneficiadas;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Responsabilização jurídica, administrativa e financeira de cotas condominiais, tarifas de Concessionárias e abastecimento de gás, pelos condomínios instalados. 88 condomínios instituídos e 172 condomínios administrados. 36 contatos com concessionárias;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Realizadas 247 assembleias com moradores dos 83 empreendimentos;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Obtidos 13 CNPJ de condomínios;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Visando à redução das taxas de inadimplência, por meio do monitoramento constante e dos plantões condominiais de renegociação de débitos, foram realizados 1.497 atendimentos aos condôminos;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A conscientização dos Síndicos e Corpos Diretivos com relação às suas responsabilidades jurídicas, administrativas e financeiras, foi desenvolvida nos 246 Cursos de Capacitação de Corpo Diretivo Condominial, como parte das atividades pedagógicas de informação, sensibilização e capacitação das lideranças;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rPr>
      </w:pPr>
      <w:r>
        <w:rPr>
          <w:rFonts w:ascii="Times New Roman" w:hAnsi="Times New Roman"/>
          <w:sz w:val="24"/>
          <w:szCs w:val="24"/>
          <w:lang w:eastAsia="pt-BR"/>
        </w:rPr>
        <w:t>- A proximidade das equipes com os Síndicos e Corpos Diretivos proporciona identificar prontamente eventuais irregularidades na ocupação das unidades habitacionais da CDHU, que pode tomar as providências necessárias.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widowControl w:val="0"/>
        <w:suppressAutoHyphens/>
        <w:ind w:firstLine="1134"/>
        <w:jc w:val="both"/>
      </w:pPr>
      <w:r>
        <w:rPr>
          <w:b/>
          <w:snapToGrid w:val="0"/>
        </w:rPr>
        <w:t xml:space="preserve">Capital, Grande São Paulo e Baixada Santista - resultados obtidos - </w:t>
      </w:r>
      <w:r>
        <w:t>O contrato com os Consórcios Organiza e Diagonal foram encerrados e nova licitação foi aberta para que o trabalho na Capital, Grande São Paulo e Baixada Santista tenham continuidade e as atividades de desenvolvimento social como oficinas, cursos, eventos socioculturais e o Projeto Amigos do Esporte sejam retomadas.</w:t>
      </w:r>
    </w:p>
    <w:p w:rsidR="003E6588" w:rsidRDefault="003E6588">
      <w:pPr>
        <w:pStyle w:val="PargrafodaLista"/>
        <w:widowControl w:val="0"/>
        <w:suppressAutoHyphens/>
        <w:snapToGrid w:val="0"/>
        <w:ind w:left="0" w:firstLine="1134"/>
        <w:rPr>
          <w:rFonts w:ascii="Times New Roman" w:hAnsi="Times New Roman"/>
          <w:snapToGrid w:val="0"/>
          <w:sz w:val="24"/>
          <w:szCs w:val="24"/>
        </w:rPr>
      </w:pPr>
      <w:r>
        <w:rPr>
          <w:rFonts w:ascii="Times New Roman" w:hAnsi="Times New Roman"/>
          <w:sz w:val="24"/>
          <w:szCs w:val="24"/>
          <w:lang w:eastAsia="pt-BR"/>
        </w:rPr>
        <w:lastRenderedPageBreak/>
        <w:t xml:space="preserve">Aguardando a contratação dos novos consórcios, a Gerência de Orientação Social contou com quadro técnico da CDHU, que desenvolveu a organização e orientação condominial, sem apoio técnico de empresa de administração condominial. </w:t>
      </w:r>
      <w:r>
        <w:rPr>
          <w:rFonts w:ascii="Times New Roman" w:hAnsi="Times New Roman"/>
          <w:snapToGrid w:val="0"/>
          <w:sz w:val="24"/>
          <w:szCs w:val="24"/>
        </w:rPr>
        <w:t>Resultados obtidos:</w:t>
      </w:r>
    </w:p>
    <w:p w:rsidR="003E6588" w:rsidRDefault="003E6588">
      <w:pPr>
        <w:widowControl w:val="0"/>
        <w:suppressAutoHyphens/>
        <w:ind w:firstLine="1134"/>
        <w:jc w:val="both"/>
        <w:rPr>
          <w:snapToGrid w:val="0"/>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Organização e orientação condominial a 5.346 famílias na Capital, Grande São Paulo e Baixada Santista;</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Responsabilidade jurídica, administrativa, financeira de cotas condominiais, e das tarifas de Concessionárias (água, energia elétrica e gás) pelos condomínios instalados, desonerando a Companhia dos pagamentos de dívidas que, por não estar o condomínio legalmente instalado, a titularidade das contas das áreas comuns ficavam vinculadas à CDHU;</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A redução das taxas de inadimplência, por meio do monitoramento constante e dos plantões condominiais realizados pelos Técnicos Sociais, para renegociação de débitos realizados em Santana de Parnaíba, Rubens Lara e Guarulhos Pimentas;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 xml:space="preserve">- A obtenção da tarifa social, proporcionando redução de 60% no valor mensal das contas de água </w:t>
      </w:r>
      <w:r w:rsidR="00400261">
        <w:rPr>
          <w:rFonts w:ascii="Times New Roman" w:hAnsi="Times New Roman"/>
          <w:sz w:val="24"/>
          <w:szCs w:val="24"/>
          <w:lang w:eastAsia="pt-BR"/>
        </w:rPr>
        <w:t>-</w:t>
      </w:r>
      <w:r>
        <w:rPr>
          <w:rFonts w:ascii="Times New Roman" w:hAnsi="Times New Roman"/>
          <w:sz w:val="24"/>
          <w:szCs w:val="24"/>
          <w:lang w:eastAsia="pt-BR"/>
        </w:rPr>
        <w:t xml:space="preserve"> foram emitidas 464 cartas para obtenção da Tarifa Social (sendo 452 do Núcleo de Orientação Social e 11 do Núcleo Gestão Social em Programas Federais);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widowControl w:val="0"/>
        <w:suppressAutoHyphens/>
        <w:snapToGrid w:val="0"/>
        <w:ind w:left="0" w:firstLine="1134"/>
        <w:rPr>
          <w:rFonts w:ascii="Times New Roman" w:hAnsi="Times New Roman"/>
          <w:sz w:val="24"/>
          <w:szCs w:val="24"/>
        </w:rPr>
      </w:pPr>
      <w:r>
        <w:rPr>
          <w:rFonts w:ascii="Times New Roman" w:hAnsi="Times New Roman"/>
          <w:sz w:val="24"/>
          <w:szCs w:val="24"/>
          <w:lang w:eastAsia="pt-BR"/>
        </w:rPr>
        <w:t>- Foram obtidos 12 CNPJ e fornecidas 14 cartas para a obtenção do CNPJ;</w:t>
      </w:r>
    </w:p>
    <w:p w:rsidR="003E6588" w:rsidRDefault="003E6588">
      <w:pPr>
        <w:pStyle w:val="PargrafodaLista"/>
        <w:widowControl w:val="0"/>
        <w:suppressAutoHyphens/>
        <w:snapToGrid w:val="0"/>
        <w:ind w:left="0" w:firstLine="1134"/>
        <w:rPr>
          <w:rFonts w:ascii="Times New Roman" w:hAnsi="Times New Roman"/>
          <w:sz w:val="24"/>
          <w:szCs w:val="24"/>
        </w:rPr>
      </w:pPr>
    </w:p>
    <w:p w:rsidR="003E6588" w:rsidRDefault="003E6588">
      <w:pPr>
        <w:pStyle w:val="PargrafodaLista"/>
        <w:widowControl w:val="0"/>
        <w:suppressAutoHyphens/>
        <w:snapToGrid w:val="0"/>
        <w:ind w:left="0" w:firstLine="1134"/>
        <w:rPr>
          <w:rFonts w:ascii="Times New Roman" w:hAnsi="Times New Roman"/>
          <w:sz w:val="24"/>
          <w:szCs w:val="24"/>
        </w:rPr>
      </w:pPr>
      <w:r>
        <w:rPr>
          <w:rFonts w:ascii="Times New Roman" w:hAnsi="Times New Roman"/>
          <w:sz w:val="24"/>
          <w:szCs w:val="24"/>
        </w:rPr>
        <w:t>- Formação de Conselho Gestor,visando à regularização da gleba São Miguel Paulista F - Jardim São Carlos, 1413 HIS - Unidades Habitacionais de Interesse Social;</w:t>
      </w:r>
    </w:p>
    <w:p w:rsidR="003E6588" w:rsidRDefault="003E6588">
      <w:pPr>
        <w:pStyle w:val="PargrafodaLista"/>
        <w:widowControl w:val="0"/>
        <w:suppressAutoHyphens/>
        <w:snapToGrid w:val="0"/>
        <w:ind w:left="0" w:firstLine="1134"/>
        <w:rPr>
          <w:rFonts w:ascii="Times New Roman" w:hAnsi="Times New Roman"/>
          <w:sz w:val="24"/>
          <w:szCs w:val="24"/>
        </w:rPr>
      </w:pPr>
    </w:p>
    <w:p w:rsidR="003E6588" w:rsidRDefault="003E6588">
      <w:pPr>
        <w:pStyle w:val="PargrafodaLista"/>
        <w:widowControl w:val="0"/>
        <w:suppressAutoHyphens/>
        <w:snapToGrid w:val="0"/>
        <w:ind w:left="0" w:firstLine="1134"/>
        <w:rPr>
          <w:rFonts w:ascii="Times New Roman" w:hAnsi="Times New Roman"/>
          <w:sz w:val="24"/>
          <w:szCs w:val="24"/>
        </w:rPr>
      </w:pPr>
      <w:r>
        <w:rPr>
          <w:rFonts w:ascii="Times New Roman" w:hAnsi="Times New Roman"/>
          <w:sz w:val="24"/>
          <w:szCs w:val="24"/>
        </w:rPr>
        <w:t>- Realização de plantões semanais na Gleba São Miguel Paulista E - 3472 HIS, para esclarecimentos sobre as obras de regularização e obtenção do Auto de Vistoria do Corpo de Bombeiros;</w:t>
      </w:r>
    </w:p>
    <w:p w:rsidR="003E6588" w:rsidRDefault="003E6588">
      <w:pPr>
        <w:pStyle w:val="PargrafodaLista"/>
        <w:widowControl w:val="0"/>
        <w:suppressAutoHyphens/>
        <w:snapToGrid w:val="0"/>
        <w:ind w:left="0" w:firstLine="1134"/>
        <w:rPr>
          <w:rFonts w:ascii="Times New Roman" w:hAnsi="Times New Roman"/>
          <w:sz w:val="24"/>
          <w:szCs w:val="24"/>
        </w:rPr>
      </w:pPr>
    </w:p>
    <w:p w:rsidR="003E6588" w:rsidRDefault="003E6588">
      <w:pPr>
        <w:pStyle w:val="PargrafodaLista"/>
        <w:widowControl w:val="0"/>
        <w:suppressAutoHyphens/>
        <w:snapToGrid w:val="0"/>
        <w:ind w:left="0" w:firstLine="1134"/>
        <w:rPr>
          <w:rFonts w:ascii="Times New Roman" w:hAnsi="Times New Roman"/>
          <w:sz w:val="24"/>
          <w:szCs w:val="24"/>
        </w:rPr>
      </w:pPr>
      <w:r>
        <w:rPr>
          <w:rFonts w:ascii="Times New Roman" w:hAnsi="Times New Roman"/>
          <w:sz w:val="24"/>
          <w:szCs w:val="24"/>
        </w:rPr>
        <w:t>- Realização de 508 inscrições para o programa Via Rápida, parceria com a Secretaria de Desenvolvimento Econômico, Ciência, Tecnologia e Inovação.</w:t>
      </w:r>
    </w:p>
    <w:p w:rsidR="003E6588" w:rsidRDefault="003E6588">
      <w:pPr>
        <w:widowControl w:val="0"/>
        <w:suppressAutoHyphens/>
        <w:snapToGrid w:val="0"/>
        <w:ind w:firstLine="1134"/>
        <w:jc w:val="both"/>
      </w:pPr>
    </w:p>
    <w:p w:rsidR="003E6588" w:rsidRDefault="003E6588">
      <w:pPr>
        <w:pStyle w:val="PargrafodaLista"/>
        <w:widowControl w:val="0"/>
        <w:suppressAutoHyphens/>
        <w:snapToGrid w:val="0"/>
        <w:ind w:left="0" w:firstLine="1134"/>
        <w:rPr>
          <w:rFonts w:ascii="Times New Roman" w:hAnsi="Times New Roman"/>
          <w:sz w:val="24"/>
          <w:szCs w:val="24"/>
          <w:lang w:eastAsia="pt-BR"/>
        </w:rPr>
      </w:pPr>
      <w:r>
        <w:rPr>
          <w:rFonts w:ascii="Times New Roman" w:hAnsi="Times New Roman"/>
          <w:sz w:val="24"/>
          <w:szCs w:val="24"/>
          <w:lang w:eastAsia="pt-BR"/>
        </w:rPr>
        <w:t>A Superintendência de Desenvolvimento Social foi premiada no “10º Premio Mario Covas” na Categoria Inovação em Gestão Estadual, pelo Trabalho Técnico de Gestão Integrada de Organização Social e Administração Condominial em HIS.</w:t>
      </w:r>
    </w:p>
    <w:p w:rsidR="003E6588" w:rsidRDefault="003E6588">
      <w:pPr>
        <w:pStyle w:val="PargrafodaLista"/>
        <w:widowControl w:val="0"/>
        <w:suppressAutoHyphens/>
        <w:snapToGrid w:val="0"/>
        <w:ind w:left="0" w:firstLine="1134"/>
        <w:rPr>
          <w:rFonts w:ascii="Times New Roman" w:hAnsi="Times New Roman"/>
          <w:sz w:val="24"/>
          <w:szCs w:val="24"/>
          <w:lang w:eastAsia="pt-BR"/>
        </w:rPr>
      </w:pPr>
    </w:p>
    <w:p w:rsidR="003E6588" w:rsidRDefault="003E6588">
      <w:pPr>
        <w:pStyle w:val="PargrafodaLista"/>
        <w:ind w:left="1134"/>
        <w:rPr>
          <w:rFonts w:ascii="Times New Roman" w:hAnsi="Times New Roman"/>
          <w:b/>
          <w:sz w:val="24"/>
          <w:szCs w:val="24"/>
          <w:lang w:eastAsia="pt-BR"/>
        </w:rPr>
      </w:pPr>
      <w:r>
        <w:rPr>
          <w:rFonts w:ascii="Times New Roman" w:hAnsi="Times New Roman"/>
          <w:b/>
          <w:sz w:val="24"/>
          <w:szCs w:val="24"/>
          <w:lang w:eastAsia="pt-BR"/>
        </w:rPr>
        <w:t>Auxílio Moradia Provisório</w:t>
      </w:r>
    </w:p>
    <w:p w:rsidR="003E6588" w:rsidRDefault="003E6588">
      <w:pPr>
        <w:autoSpaceDE w:val="0"/>
        <w:autoSpaceDN w:val="0"/>
        <w:adjustRightInd w:val="0"/>
        <w:ind w:firstLine="1134"/>
        <w:jc w:val="both"/>
        <w:rPr>
          <w:b/>
          <w:bCs/>
        </w:rPr>
      </w:pPr>
    </w:p>
    <w:p w:rsidR="003E6588" w:rsidRDefault="003E6588">
      <w:pPr>
        <w:autoSpaceDE w:val="0"/>
        <w:autoSpaceDN w:val="0"/>
        <w:adjustRightInd w:val="0"/>
        <w:ind w:firstLine="1134"/>
        <w:jc w:val="both"/>
        <w:rPr>
          <w:bCs/>
        </w:rPr>
      </w:pPr>
      <w:r>
        <w:rPr>
          <w:b/>
          <w:bCs/>
        </w:rPr>
        <w:t xml:space="preserve">Auxílio-Moradia Emergencial - AME e Novo Começo - </w:t>
      </w:r>
      <w:r>
        <w:t xml:space="preserve">Houve continuidade das ações adotadas para enfrentar situações emergenciais. O equacionamento dessas situações dá-se por meio de conjunto de medidas, entre elas: concessão do AME (Decretos n° 55.370/2010 e n° 55.664/2011) e do Programa Novo Começo (Decretos n° 55.432/2010 e n° 55.665/2011); construção de empreendimentos habitacionais em regime de emergência; e destinação de UHs em empreendimentos prontos às vítimas, </w:t>
      </w:r>
      <w:r>
        <w:lastRenderedPageBreak/>
        <w:t xml:space="preserve">além da concessão de créditos para reforma de moradias de interesse social que foram atingidas pelas inundações. Foram concedidos auxílios moradia emergenciais a </w:t>
      </w:r>
      <w:r>
        <w:rPr>
          <w:bCs/>
        </w:rPr>
        <w:t>2.114 famílias.</w:t>
      </w:r>
    </w:p>
    <w:p w:rsidR="003E6588" w:rsidRDefault="003E6588">
      <w:pPr>
        <w:autoSpaceDE w:val="0"/>
        <w:autoSpaceDN w:val="0"/>
        <w:adjustRightInd w:val="0"/>
        <w:ind w:firstLine="1134"/>
        <w:jc w:val="both"/>
        <w:rPr>
          <w:b/>
          <w:bCs/>
        </w:rPr>
      </w:pPr>
    </w:p>
    <w:p w:rsidR="003E6588" w:rsidRDefault="003E6588">
      <w:pPr>
        <w:autoSpaceDE w:val="0"/>
        <w:autoSpaceDN w:val="0"/>
        <w:adjustRightInd w:val="0"/>
        <w:ind w:firstLine="1134"/>
        <w:jc w:val="both"/>
      </w:pPr>
      <w:r>
        <w:rPr>
          <w:b/>
          <w:bCs/>
        </w:rPr>
        <w:t xml:space="preserve">Auxílio Moradia - </w:t>
      </w:r>
      <w:r>
        <w:t xml:space="preserve">Foram concedidos auxílios moradia, de forma provisória, a </w:t>
      </w:r>
      <w:r>
        <w:rPr>
          <w:bCs/>
        </w:rPr>
        <w:t>13.165 famílias</w:t>
      </w:r>
      <w:r>
        <w:t xml:space="preserve"> removidas em função de obras de urbanização ou necessidade de reassentamento para execução de obras públicas. Tais famílias deverão ter seu atendimento habitacional definitivo equacionado nos próximos anos.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bCs/>
        </w:rPr>
        <w:t xml:space="preserve">AME e Auxílio Moradia - </w:t>
      </w:r>
      <w:r>
        <w:t>Observou-se que mais da metade (56%) dos auxílios foram concedidos a famílias da Capital (8.671). Verificou-se que 72% das famílias atendidas pelos auxílios moradia recebem o benefício há mais de 3 anos e que 62% têm origem da demanda em intervenções urbanas da CDHU, às quais se somam outras demandas da Pasta da Habitação.</w:t>
      </w:r>
    </w:p>
    <w:p w:rsidR="003E6588" w:rsidRDefault="003E6588">
      <w:pPr>
        <w:ind w:firstLine="1134"/>
        <w:jc w:val="both"/>
      </w:pPr>
    </w:p>
    <w:p w:rsidR="003E6588" w:rsidRDefault="003E6588">
      <w:pPr>
        <w:ind w:firstLine="1134"/>
        <w:jc w:val="both"/>
      </w:pPr>
      <w:r>
        <w:t>A seguir, quadro com os totais de beneficiários e os recursos:</w:t>
      </w:r>
    </w:p>
    <w:p w:rsidR="003E6588" w:rsidRDefault="003E6588">
      <w:pPr>
        <w:ind w:firstLine="284"/>
        <w:jc w:val="both"/>
      </w:pPr>
    </w:p>
    <w:p w:rsidR="003E6588" w:rsidRDefault="00AD3B0F">
      <w:pPr>
        <w:ind w:firstLine="284"/>
      </w:pPr>
      <w:r>
        <w:rPr>
          <w:noProof/>
        </w:rPr>
        <w:drawing>
          <wp:inline distT="0" distB="0" distL="0" distR="0">
            <wp:extent cx="5857875" cy="1257300"/>
            <wp:effectExtent l="19050" t="0" r="9525" b="0"/>
            <wp:docPr id="1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56" cstate="print"/>
                    <a:srcRect/>
                    <a:stretch>
                      <a:fillRect/>
                    </a:stretch>
                  </pic:blipFill>
                  <pic:spPr bwMode="auto">
                    <a:xfrm>
                      <a:off x="0" y="0"/>
                      <a:ext cx="5857875" cy="1257300"/>
                    </a:xfrm>
                    <a:prstGeom prst="rect">
                      <a:avLst/>
                    </a:prstGeom>
                    <a:noFill/>
                    <a:ln w="9525">
                      <a:noFill/>
                      <a:miter lim="800000"/>
                      <a:headEnd/>
                      <a:tailEnd/>
                    </a:ln>
                  </pic:spPr>
                </pic:pic>
              </a:graphicData>
            </a:graphic>
          </wp:inline>
        </w:drawing>
      </w:r>
    </w:p>
    <w:p w:rsidR="003E6588" w:rsidRDefault="00400261">
      <w:pPr>
        <w:ind w:left="284"/>
        <w:jc w:val="both"/>
        <w:rPr>
          <w:sz w:val="16"/>
          <w:szCs w:val="16"/>
        </w:rPr>
      </w:pPr>
      <w:r>
        <w:rPr>
          <w:sz w:val="16"/>
          <w:szCs w:val="16"/>
        </w:rPr>
        <w:t xml:space="preserve">        </w:t>
      </w:r>
      <w:r w:rsidR="003E6588">
        <w:rPr>
          <w:sz w:val="16"/>
          <w:szCs w:val="16"/>
        </w:rPr>
        <w:t>Fonte: DAH</w:t>
      </w:r>
    </w:p>
    <w:p w:rsidR="003E6588" w:rsidRDefault="003E6588"/>
    <w:p w:rsidR="003E6588" w:rsidRDefault="003E6588">
      <w:pPr>
        <w:pStyle w:val="PargrafodaLista"/>
        <w:tabs>
          <w:tab w:val="left" w:pos="993"/>
        </w:tabs>
        <w:ind w:left="0" w:firstLine="1134"/>
      </w:pPr>
      <w:r>
        <w:rPr>
          <w:rFonts w:ascii="Times New Roman" w:hAnsi="Times New Roman"/>
          <w:b/>
          <w:sz w:val="24"/>
          <w:szCs w:val="24"/>
          <w:lang w:eastAsia="pt-BR"/>
        </w:rPr>
        <w:t xml:space="preserve">Assistência Técnica aos Municípios - </w:t>
      </w:r>
      <w:r>
        <w:rPr>
          <w:rFonts w:ascii="Times New Roman" w:hAnsi="Times New Roman"/>
          <w:sz w:val="24"/>
          <w:szCs w:val="24"/>
        </w:rPr>
        <w:t>33 municípios foram beneficiados pelos trabalhos de Capacitação de Agentes Sociais de Habitação, realizados pela CDHU como suporte ao desenvolvimento do Programa de Parceria com Municípios, aos quais se somam 106 municípios que serão beneficiados com os trabalhos em desenvolvimento na parceria com a EMPLASA para Regiões Metropolitanas</w:t>
      </w:r>
      <w:r>
        <w:t>.</w:t>
      </w:r>
    </w:p>
    <w:p w:rsidR="003E6588" w:rsidRDefault="003E6588">
      <w:pPr>
        <w:ind w:firstLine="1134"/>
        <w:jc w:val="both"/>
      </w:pPr>
    </w:p>
    <w:p w:rsidR="003E6588" w:rsidRDefault="003E6588">
      <w:pPr>
        <w:pStyle w:val="PargrafodaLista"/>
        <w:ind w:left="0" w:firstLine="1134"/>
        <w:rPr>
          <w:rFonts w:ascii="Times New Roman" w:hAnsi="Times New Roman"/>
          <w:b/>
          <w:sz w:val="24"/>
          <w:szCs w:val="24"/>
          <w:lang w:eastAsia="pt-BR"/>
        </w:rPr>
      </w:pPr>
      <w:r>
        <w:rPr>
          <w:rFonts w:ascii="Times New Roman" w:hAnsi="Times New Roman"/>
          <w:b/>
          <w:sz w:val="24"/>
          <w:szCs w:val="24"/>
          <w:lang w:eastAsia="pt-BR"/>
        </w:rPr>
        <w:t>Parcerias Internacionais de Cooperação e Apoio Técnico</w:t>
      </w:r>
    </w:p>
    <w:p w:rsidR="003E6588" w:rsidRDefault="003E6588">
      <w:pPr>
        <w:ind w:firstLine="1134"/>
        <w:jc w:val="both"/>
        <w:rPr>
          <w:b/>
        </w:rPr>
      </w:pPr>
    </w:p>
    <w:p w:rsidR="003E6588" w:rsidRDefault="003E6588">
      <w:pPr>
        <w:autoSpaceDE w:val="0"/>
        <w:autoSpaceDN w:val="0"/>
        <w:adjustRightInd w:val="0"/>
        <w:ind w:firstLine="1134"/>
        <w:jc w:val="both"/>
      </w:pPr>
      <w:r>
        <w:rPr>
          <w:b/>
          <w:bCs/>
        </w:rPr>
        <w:t xml:space="preserve">Acordo Internacional de Cooperação Técnica com Gana - </w:t>
      </w:r>
      <w:r>
        <w:t>Foi assinado Protocolo de Intenções entre a Secretaria da Habitação, por meio da CDHU, e o Governo de Gana, com objetivo de estabelecer intercâmbio de experiências na formulação e execução de programas de moradia. Estão previstas ações conjuntas para aperfeiçoamento das políticas habitacionais dos respectivos governos e intercâmbio de conhecimento sobre formulação e execução de programas de construção de moradias de interesse social.</w:t>
      </w:r>
    </w:p>
    <w:p w:rsidR="003E6588" w:rsidRDefault="003E6588">
      <w:pPr>
        <w:ind w:firstLine="1134"/>
        <w:jc w:val="both"/>
        <w:rPr>
          <w:sz w:val="20"/>
          <w:szCs w:val="20"/>
        </w:rPr>
      </w:pPr>
    </w:p>
    <w:p w:rsidR="003E6588" w:rsidRDefault="003E6588">
      <w:pPr>
        <w:pStyle w:val="PargrafodaLista"/>
        <w:tabs>
          <w:tab w:val="left" w:pos="993"/>
        </w:tabs>
        <w:autoSpaceDE w:val="0"/>
        <w:autoSpaceDN w:val="0"/>
        <w:adjustRightInd w:val="0"/>
        <w:ind w:left="0" w:firstLine="1134"/>
        <w:rPr>
          <w:rFonts w:ascii="Times New Roman" w:hAnsi="Times New Roman"/>
          <w:sz w:val="24"/>
          <w:szCs w:val="24"/>
        </w:rPr>
      </w:pPr>
      <w:r>
        <w:rPr>
          <w:rFonts w:ascii="Times New Roman" w:hAnsi="Times New Roman"/>
          <w:b/>
          <w:bCs/>
          <w:sz w:val="24"/>
          <w:szCs w:val="24"/>
        </w:rPr>
        <w:t xml:space="preserve">Acordo Internacional de Cooperação França - </w:t>
      </w:r>
      <w:r>
        <w:rPr>
          <w:rFonts w:ascii="Times New Roman" w:hAnsi="Times New Roman"/>
          <w:b/>
          <w:bCs/>
          <w:i/>
          <w:sz w:val="24"/>
          <w:szCs w:val="24"/>
        </w:rPr>
        <w:t>Advancity</w:t>
      </w:r>
      <w:r>
        <w:rPr>
          <w:rFonts w:ascii="Times New Roman" w:hAnsi="Times New Roman"/>
          <w:b/>
          <w:bCs/>
          <w:sz w:val="24"/>
          <w:szCs w:val="24"/>
        </w:rPr>
        <w:t xml:space="preserve"> - </w:t>
      </w:r>
      <w:r>
        <w:rPr>
          <w:rFonts w:ascii="Times New Roman" w:hAnsi="Times New Roman"/>
          <w:sz w:val="24"/>
          <w:szCs w:val="24"/>
        </w:rPr>
        <w:t xml:space="preserve">Foi firmado Protocolo de Intenções CDHU e </w:t>
      </w:r>
      <w:r>
        <w:rPr>
          <w:rFonts w:ascii="Times New Roman" w:hAnsi="Times New Roman"/>
          <w:i/>
          <w:sz w:val="24"/>
          <w:szCs w:val="24"/>
        </w:rPr>
        <w:t>Advancity -Pôle de Compétivité</w:t>
      </w:r>
      <w:r>
        <w:rPr>
          <w:rFonts w:ascii="Times New Roman" w:hAnsi="Times New Roman"/>
          <w:sz w:val="24"/>
          <w:szCs w:val="24"/>
        </w:rPr>
        <w:t xml:space="preserve">, da região de Île de France, com objetivo de unir esforços visando à sustentabilidade de empreendimentos habitacionais no âmbito de intercâmbio de </w:t>
      </w:r>
      <w:r>
        <w:rPr>
          <w:rFonts w:ascii="Times New Roman" w:hAnsi="Times New Roman"/>
          <w:sz w:val="24"/>
          <w:szCs w:val="24"/>
        </w:rPr>
        <w:lastRenderedPageBreak/>
        <w:t>experiências em projetos e produtos tecnológicos, voltados principalmente à eficiência energética, reuso da água, resíduos sólidos e desempenho de materiais aplicados à habitação social.</w:t>
      </w:r>
    </w:p>
    <w:p w:rsidR="003E6588" w:rsidRDefault="003E6588">
      <w:pPr>
        <w:ind w:firstLine="1134"/>
        <w:jc w:val="both"/>
        <w:rPr>
          <w:rFonts w:ascii="Arial" w:hAnsi="Arial" w:cs="Arial"/>
          <w:sz w:val="22"/>
          <w:szCs w:val="22"/>
        </w:rPr>
      </w:pPr>
    </w:p>
    <w:p w:rsidR="003E6588" w:rsidRDefault="003E6588">
      <w:pPr>
        <w:ind w:firstLine="1134"/>
        <w:jc w:val="both"/>
      </w:pPr>
      <w:r>
        <w:rPr>
          <w:b/>
        </w:rPr>
        <w:t xml:space="preserve">Planejamento Estratégico - </w:t>
      </w:r>
      <w:r>
        <w:t>Teve início trabalho de planejamento estratégico para preparação da CDHU e da Pasta da Habitação para os desafios da próxima década. Esse trabalho foi finalizado com a apresentação dos resultados ao Conselho de Administração da Companhia.</w:t>
      </w:r>
    </w:p>
    <w:p w:rsidR="003E6588" w:rsidRDefault="003E6588">
      <w:pPr>
        <w:ind w:firstLine="1134"/>
        <w:jc w:val="both"/>
      </w:pPr>
    </w:p>
    <w:p w:rsidR="003E6588" w:rsidRDefault="003E6588">
      <w:pPr>
        <w:ind w:firstLine="1134"/>
        <w:jc w:val="both"/>
      </w:pPr>
      <w:r>
        <w:rPr>
          <w:b/>
        </w:rPr>
        <w:t xml:space="preserve">Funcionamento da Coordenadoria de Planejamento Habitacional - CPH - </w:t>
      </w:r>
      <w:r>
        <w:t>Coordenadoria que atua em apoio ao planejamento e operação da Secretaria da Habitação, a CPH auxilia na operação do Programa Especial de Melhorias - PEM, do Fundo Estadual da Habitação, do Auxílio Moradia Emergencial - AME, do São Paulo de Cara Nova e do Vila Dignidade.</w:t>
      </w:r>
    </w:p>
    <w:p w:rsidR="003E6588" w:rsidRDefault="003E6588">
      <w:pPr>
        <w:ind w:firstLine="1134"/>
        <w:jc w:val="both"/>
      </w:pPr>
    </w:p>
    <w:p w:rsidR="003E6588" w:rsidRDefault="003E6588">
      <w:pPr>
        <w:ind w:firstLine="1134"/>
        <w:jc w:val="both"/>
        <w:rPr>
          <w:lang w:eastAsia="en-US"/>
        </w:rPr>
      </w:pPr>
      <w:r>
        <w:rPr>
          <w:b/>
        </w:rPr>
        <w:t xml:space="preserve">Funcionamento da Coordenadoria de Licenciamento de Operações e Controle Tecnológico </w:t>
      </w:r>
      <w:r w:rsidR="00400261">
        <w:rPr>
          <w:b/>
        </w:rPr>
        <w:t xml:space="preserve">- </w:t>
      </w:r>
      <w:r>
        <w:rPr>
          <w:b/>
        </w:rPr>
        <w:t xml:space="preserve">CLOCT - </w:t>
      </w:r>
      <w:r>
        <w:t>Tendo como atribuição o exame e avaliação, mediante realização de vistorias em campo, dos projetos de parcelamento do solo urbano que visam aprovações de áreas comerciais e industriais em todo o território paulista, a Coordenadoria possui assento no colegiado do GRAPROHAB. A CLOCT realizou 177 vistorias, elaborou 173 relatórios de inspeção de campo, com registros fotográficos dos empreendimentos, e realizou 18 vistorias de parcelamentos irregulares a pedido do Ministério Público e do Poder Judiciário. O corpo técnico da Coordenadoria analisou 1.681 processos, sendo 775 novos e 906 contendo exigências em andamento, além de emitirem 747 informações técnicas que englobam processos e expedientes diversos.</w:t>
      </w:r>
    </w:p>
    <w:p w:rsidR="003E6588" w:rsidRDefault="003E6588">
      <w:pPr>
        <w:pStyle w:val="PargrafodaLista"/>
        <w:ind w:left="0"/>
        <w:rPr>
          <w:rFonts w:ascii="Times New Roman" w:eastAsia="Times New Roman" w:hAnsi="Times New Roman"/>
          <w:sz w:val="24"/>
          <w:szCs w:val="24"/>
          <w:lang w:eastAsia="pt-BR"/>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Funcionamento do Grupo de Análise de Projetos Habitacionais do Estado de São Paulo - GRAPROHAB - </w:t>
      </w:r>
      <w:r>
        <w:rPr>
          <w:rFonts w:ascii="Times New Roman" w:hAnsi="Times New Roman"/>
          <w:sz w:val="24"/>
          <w:szCs w:val="24"/>
        </w:rPr>
        <w:t xml:space="preserve">O Grupo de Análise e Aprovação de Projetos Habitacionais do Estado de São Paulo - GRAPROHAB, cuja principal função é centralizar e agilizar as aprovações para implantação de empreendimentos habitacionais e parcelamentos de solo solicitados por instituições públicas ou privadas, conta com estrutura de corpo técnico da Secretaria da Habitação e, reuniu-se em 48 ocasiões, analisando 2.637 protocolos e dispensas. 1.291 processos de dispensa e protocolo foram recebidos pelo colegiado. O colegiado viabilizou a operação - que encontra-se em fase final de teste de relevante sistema informatizado de acesso e transparência, e emissão de Certificação Digital, que permite o recebimento de requisições via </w:t>
      </w:r>
      <w:r>
        <w:rPr>
          <w:rFonts w:ascii="Times New Roman" w:hAnsi="Times New Roman"/>
          <w:i/>
          <w:sz w:val="24"/>
          <w:szCs w:val="24"/>
        </w:rPr>
        <w:t>internet.</w:t>
      </w:r>
    </w:p>
    <w:p w:rsidR="003E6588" w:rsidRDefault="003E6588">
      <w:pPr>
        <w:ind w:firstLine="1134"/>
        <w:jc w:val="both"/>
      </w:pPr>
    </w:p>
    <w:p w:rsidR="003E6588" w:rsidRDefault="003E6588">
      <w:pPr>
        <w:pStyle w:val="PargrafodaLista"/>
        <w:tabs>
          <w:tab w:val="left" w:pos="284"/>
        </w:tabs>
        <w:ind w:left="0" w:firstLine="1134"/>
        <w:rPr>
          <w:rFonts w:ascii="Times New Roman" w:hAnsi="Times New Roman"/>
          <w:b/>
          <w:sz w:val="24"/>
          <w:szCs w:val="24"/>
          <w:lang w:eastAsia="pt-BR"/>
        </w:rPr>
      </w:pPr>
      <w:r>
        <w:rPr>
          <w:rFonts w:ascii="Times New Roman" w:hAnsi="Times New Roman"/>
          <w:b/>
          <w:sz w:val="24"/>
          <w:szCs w:val="24"/>
          <w:lang w:eastAsia="pt-BR"/>
        </w:rPr>
        <w:t>Síntese de Investimentos e Quadros Resumo da Atuação</w:t>
      </w:r>
    </w:p>
    <w:p w:rsidR="003E6588" w:rsidRDefault="003E6588">
      <w:pPr>
        <w:pStyle w:val="PargrafodaLista"/>
        <w:tabs>
          <w:tab w:val="left" w:pos="284"/>
        </w:tabs>
        <w:ind w:left="0" w:firstLine="1134"/>
        <w:rPr>
          <w:rFonts w:ascii="Times New Roman" w:hAnsi="Times New Roman"/>
          <w:b/>
          <w:sz w:val="24"/>
          <w:szCs w:val="24"/>
          <w:lang w:eastAsia="pt-BR"/>
        </w:rPr>
      </w:pPr>
    </w:p>
    <w:p w:rsidR="003E6588" w:rsidRDefault="003E6588">
      <w:pPr>
        <w:pStyle w:val="PargrafodaLista"/>
        <w:tabs>
          <w:tab w:val="left" w:pos="284"/>
        </w:tabs>
        <w:ind w:left="0" w:firstLine="1134"/>
        <w:rPr>
          <w:rFonts w:ascii="Times New Roman" w:hAnsi="Times New Roman"/>
          <w:sz w:val="24"/>
          <w:szCs w:val="24"/>
          <w:lang w:eastAsia="pt-BR"/>
        </w:rPr>
      </w:pPr>
      <w:r>
        <w:rPr>
          <w:rFonts w:ascii="Times New Roman" w:hAnsi="Times New Roman"/>
          <w:b/>
          <w:sz w:val="24"/>
          <w:szCs w:val="24"/>
          <w:lang w:eastAsia="pt-BR"/>
        </w:rPr>
        <w:t>Informações Econômico-Financeiras SH/CDHU</w:t>
      </w:r>
    </w:p>
    <w:p w:rsidR="003E6588" w:rsidRDefault="003E6588">
      <w:pPr>
        <w:pStyle w:val="PargrafodaLista"/>
        <w:tabs>
          <w:tab w:val="left" w:pos="426"/>
        </w:tabs>
        <w:ind w:left="0" w:firstLine="1134"/>
        <w:rPr>
          <w:rFonts w:ascii="Times New Roman" w:hAnsi="Times New Roman"/>
          <w:sz w:val="24"/>
          <w:szCs w:val="24"/>
          <w:lang w:eastAsia="pt-BR"/>
        </w:rPr>
      </w:pPr>
    </w:p>
    <w:p w:rsidR="003E6588" w:rsidRDefault="003E6588">
      <w:pPr>
        <w:ind w:firstLine="1134"/>
        <w:jc w:val="both"/>
        <w:rPr>
          <w:b/>
        </w:rPr>
      </w:pPr>
      <w:r>
        <w:rPr>
          <w:b/>
        </w:rPr>
        <w:t>SH/Valores em R$ milhões</w:t>
      </w:r>
    </w:p>
    <w:p w:rsidR="003E6588" w:rsidRDefault="003E6588">
      <w:pPr>
        <w:jc w:val="both"/>
      </w:pPr>
    </w:p>
    <w:tbl>
      <w:tblPr>
        <w:tblW w:w="0" w:type="auto"/>
        <w:jc w:val="center"/>
        <w:tblInd w:w="136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1754"/>
        <w:gridCol w:w="1123"/>
        <w:gridCol w:w="1285"/>
        <w:gridCol w:w="2237"/>
        <w:gridCol w:w="1984"/>
      </w:tblGrid>
      <w:tr w:rsidR="003E6588" w:rsidTr="00400261">
        <w:trPr>
          <w:jc w:val="center"/>
        </w:trPr>
        <w:tc>
          <w:tcPr>
            <w:tcW w:w="1754" w:type="dxa"/>
            <w:shd w:val="clear" w:color="auto" w:fill="auto"/>
          </w:tcPr>
          <w:p w:rsidR="003E6588" w:rsidRDefault="003E6588">
            <w:pPr>
              <w:rPr>
                <w:b/>
                <w:sz w:val="20"/>
                <w:szCs w:val="20"/>
              </w:rPr>
            </w:pPr>
          </w:p>
        </w:tc>
        <w:tc>
          <w:tcPr>
            <w:tcW w:w="1123" w:type="dxa"/>
            <w:shd w:val="clear" w:color="auto" w:fill="auto"/>
            <w:hideMark/>
          </w:tcPr>
          <w:p w:rsidR="003E6588" w:rsidRDefault="003E6588">
            <w:pPr>
              <w:rPr>
                <w:b/>
                <w:sz w:val="20"/>
                <w:szCs w:val="20"/>
              </w:rPr>
            </w:pPr>
            <w:r>
              <w:rPr>
                <w:b/>
                <w:sz w:val="20"/>
                <w:szCs w:val="20"/>
              </w:rPr>
              <w:t>Previsto</w:t>
            </w:r>
          </w:p>
        </w:tc>
        <w:tc>
          <w:tcPr>
            <w:tcW w:w="1285" w:type="dxa"/>
            <w:shd w:val="clear" w:color="auto" w:fill="auto"/>
            <w:hideMark/>
          </w:tcPr>
          <w:p w:rsidR="003E6588" w:rsidRDefault="003E6588">
            <w:pPr>
              <w:rPr>
                <w:b/>
                <w:sz w:val="20"/>
                <w:szCs w:val="20"/>
              </w:rPr>
            </w:pPr>
            <w:r>
              <w:rPr>
                <w:b/>
                <w:sz w:val="20"/>
                <w:szCs w:val="20"/>
              </w:rPr>
              <w:t>Realizado</w:t>
            </w:r>
          </w:p>
        </w:tc>
        <w:tc>
          <w:tcPr>
            <w:tcW w:w="2237" w:type="dxa"/>
            <w:shd w:val="clear" w:color="auto" w:fill="auto"/>
            <w:hideMark/>
          </w:tcPr>
          <w:p w:rsidR="003E6588" w:rsidRDefault="003E6588">
            <w:pPr>
              <w:rPr>
                <w:b/>
                <w:sz w:val="20"/>
                <w:szCs w:val="20"/>
              </w:rPr>
            </w:pPr>
            <w:r>
              <w:rPr>
                <w:b/>
                <w:sz w:val="20"/>
                <w:szCs w:val="20"/>
              </w:rPr>
              <w:t>Diferença Percentual</w:t>
            </w:r>
          </w:p>
          <w:p w:rsidR="003E6588" w:rsidRDefault="003E6588">
            <w:pPr>
              <w:rPr>
                <w:b/>
                <w:sz w:val="20"/>
                <w:szCs w:val="20"/>
              </w:rPr>
            </w:pPr>
            <w:r>
              <w:rPr>
                <w:b/>
                <w:sz w:val="20"/>
                <w:szCs w:val="20"/>
              </w:rPr>
              <w:t>(Liq./Dot. Inicial)</w:t>
            </w:r>
          </w:p>
        </w:tc>
        <w:tc>
          <w:tcPr>
            <w:tcW w:w="1984" w:type="dxa"/>
            <w:shd w:val="clear" w:color="auto" w:fill="auto"/>
            <w:hideMark/>
          </w:tcPr>
          <w:p w:rsidR="003E6588" w:rsidRDefault="003E6588">
            <w:pPr>
              <w:rPr>
                <w:b/>
                <w:sz w:val="20"/>
                <w:szCs w:val="20"/>
              </w:rPr>
            </w:pPr>
            <w:r>
              <w:rPr>
                <w:b/>
                <w:sz w:val="20"/>
                <w:szCs w:val="20"/>
              </w:rPr>
              <w:t>Realizado/Total</w:t>
            </w:r>
          </w:p>
        </w:tc>
      </w:tr>
      <w:tr w:rsidR="003E6588" w:rsidTr="00400261">
        <w:trPr>
          <w:jc w:val="center"/>
        </w:trPr>
        <w:tc>
          <w:tcPr>
            <w:tcW w:w="1754" w:type="dxa"/>
            <w:hideMark/>
          </w:tcPr>
          <w:p w:rsidR="003E6588" w:rsidRPr="00400261" w:rsidRDefault="003E6588">
            <w:pPr>
              <w:jc w:val="both"/>
              <w:rPr>
                <w:sz w:val="20"/>
                <w:szCs w:val="20"/>
              </w:rPr>
            </w:pPr>
            <w:r w:rsidRPr="00400261">
              <w:rPr>
                <w:sz w:val="20"/>
                <w:szCs w:val="20"/>
              </w:rPr>
              <w:t>Custeio</w:t>
            </w:r>
          </w:p>
        </w:tc>
        <w:tc>
          <w:tcPr>
            <w:tcW w:w="1123" w:type="dxa"/>
            <w:hideMark/>
          </w:tcPr>
          <w:p w:rsidR="003E6588" w:rsidRDefault="003E6588">
            <w:pPr>
              <w:rPr>
                <w:sz w:val="20"/>
                <w:szCs w:val="20"/>
              </w:rPr>
            </w:pPr>
            <w:r>
              <w:rPr>
                <w:sz w:val="20"/>
                <w:szCs w:val="20"/>
              </w:rPr>
              <w:t>155,25</w:t>
            </w:r>
          </w:p>
        </w:tc>
        <w:tc>
          <w:tcPr>
            <w:tcW w:w="1285" w:type="dxa"/>
            <w:hideMark/>
          </w:tcPr>
          <w:p w:rsidR="003E6588" w:rsidRDefault="003E6588">
            <w:pPr>
              <w:rPr>
                <w:sz w:val="20"/>
                <w:szCs w:val="20"/>
              </w:rPr>
            </w:pPr>
            <w:r>
              <w:rPr>
                <w:sz w:val="20"/>
                <w:szCs w:val="20"/>
              </w:rPr>
              <w:t>60,21</w:t>
            </w:r>
          </w:p>
        </w:tc>
        <w:tc>
          <w:tcPr>
            <w:tcW w:w="2237" w:type="dxa"/>
            <w:hideMark/>
          </w:tcPr>
          <w:p w:rsidR="003E6588" w:rsidRDefault="003E6588">
            <w:pPr>
              <w:rPr>
                <w:sz w:val="20"/>
                <w:szCs w:val="20"/>
              </w:rPr>
            </w:pPr>
            <w:r>
              <w:rPr>
                <w:sz w:val="20"/>
                <w:szCs w:val="20"/>
              </w:rPr>
              <w:t>38,78</w:t>
            </w:r>
          </w:p>
        </w:tc>
        <w:tc>
          <w:tcPr>
            <w:tcW w:w="1984" w:type="dxa"/>
            <w:hideMark/>
          </w:tcPr>
          <w:p w:rsidR="003E6588" w:rsidRDefault="003E6588">
            <w:pPr>
              <w:rPr>
                <w:sz w:val="20"/>
                <w:szCs w:val="20"/>
              </w:rPr>
            </w:pPr>
            <w:r>
              <w:rPr>
                <w:sz w:val="20"/>
                <w:szCs w:val="20"/>
              </w:rPr>
              <w:t>100,00</w:t>
            </w:r>
          </w:p>
        </w:tc>
      </w:tr>
      <w:tr w:rsidR="003E6588" w:rsidTr="00400261">
        <w:trPr>
          <w:jc w:val="center"/>
        </w:trPr>
        <w:tc>
          <w:tcPr>
            <w:tcW w:w="1754" w:type="dxa"/>
            <w:hideMark/>
          </w:tcPr>
          <w:p w:rsidR="003E6588" w:rsidRPr="00400261" w:rsidRDefault="003E6588">
            <w:pPr>
              <w:jc w:val="both"/>
              <w:rPr>
                <w:sz w:val="20"/>
                <w:szCs w:val="20"/>
              </w:rPr>
            </w:pPr>
            <w:r w:rsidRPr="00400261">
              <w:rPr>
                <w:sz w:val="20"/>
                <w:szCs w:val="20"/>
              </w:rPr>
              <w:t xml:space="preserve">Investimento </w:t>
            </w:r>
          </w:p>
        </w:tc>
        <w:tc>
          <w:tcPr>
            <w:tcW w:w="1123" w:type="dxa"/>
            <w:hideMark/>
          </w:tcPr>
          <w:p w:rsidR="003E6588" w:rsidRDefault="003E6588">
            <w:pPr>
              <w:rPr>
                <w:sz w:val="20"/>
                <w:szCs w:val="20"/>
              </w:rPr>
            </w:pPr>
            <w:r>
              <w:rPr>
                <w:sz w:val="20"/>
                <w:szCs w:val="20"/>
              </w:rPr>
              <w:t>722,22</w:t>
            </w:r>
          </w:p>
        </w:tc>
        <w:tc>
          <w:tcPr>
            <w:tcW w:w="1285" w:type="dxa"/>
            <w:hideMark/>
          </w:tcPr>
          <w:p w:rsidR="003E6588" w:rsidRDefault="003E6588">
            <w:pPr>
              <w:rPr>
                <w:sz w:val="20"/>
                <w:szCs w:val="20"/>
              </w:rPr>
            </w:pPr>
            <w:r>
              <w:rPr>
                <w:sz w:val="20"/>
                <w:szCs w:val="20"/>
              </w:rPr>
              <w:t>443,87</w:t>
            </w:r>
          </w:p>
        </w:tc>
        <w:tc>
          <w:tcPr>
            <w:tcW w:w="2237" w:type="dxa"/>
            <w:hideMark/>
          </w:tcPr>
          <w:p w:rsidR="003E6588" w:rsidRDefault="003E6588">
            <w:pPr>
              <w:rPr>
                <w:sz w:val="20"/>
                <w:szCs w:val="20"/>
              </w:rPr>
            </w:pPr>
            <w:r>
              <w:rPr>
                <w:sz w:val="20"/>
                <w:szCs w:val="20"/>
              </w:rPr>
              <w:t>61,46</w:t>
            </w:r>
          </w:p>
        </w:tc>
        <w:tc>
          <w:tcPr>
            <w:tcW w:w="1984" w:type="dxa"/>
            <w:hideMark/>
          </w:tcPr>
          <w:p w:rsidR="003E6588" w:rsidRDefault="003E6588">
            <w:pPr>
              <w:rPr>
                <w:sz w:val="20"/>
                <w:szCs w:val="20"/>
              </w:rPr>
            </w:pPr>
            <w:r>
              <w:rPr>
                <w:sz w:val="20"/>
                <w:szCs w:val="20"/>
              </w:rPr>
              <w:t>100,00</w:t>
            </w:r>
          </w:p>
        </w:tc>
      </w:tr>
    </w:tbl>
    <w:p w:rsidR="003E6588" w:rsidRDefault="00400261">
      <w:pPr>
        <w:pStyle w:val="PargrafodaLista"/>
        <w:ind w:left="5" w:firstLine="703"/>
        <w:rPr>
          <w:rFonts w:ascii="Times New Roman" w:hAnsi="Times New Roman"/>
          <w:sz w:val="16"/>
          <w:szCs w:val="16"/>
          <w:lang w:eastAsia="pt-BR"/>
        </w:rPr>
      </w:pPr>
      <w:r>
        <w:rPr>
          <w:rFonts w:ascii="Times New Roman" w:hAnsi="Times New Roman"/>
          <w:sz w:val="16"/>
          <w:szCs w:val="16"/>
          <w:lang w:eastAsia="pt-BR"/>
        </w:rPr>
        <w:t xml:space="preserve">   </w:t>
      </w:r>
      <w:r w:rsidR="003E6588">
        <w:rPr>
          <w:rFonts w:ascii="Times New Roman" w:hAnsi="Times New Roman"/>
          <w:sz w:val="16"/>
          <w:szCs w:val="16"/>
          <w:lang w:eastAsia="pt-BR"/>
        </w:rPr>
        <w:t>Fonte: GSPOFP</w:t>
      </w:r>
    </w:p>
    <w:p w:rsidR="003E6588" w:rsidRDefault="003E6588">
      <w:pPr>
        <w:jc w:val="both"/>
        <w:rPr>
          <w:b/>
        </w:rPr>
      </w:pPr>
    </w:p>
    <w:p w:rsidR="003E6588" w:rsidRDefault="003E6588">
      <w:pPr>
        <w:ind w:firstLine="1134"/>
        <w:jc w:val="both"/>
        <w:rPr>
          <w:b/>
        </w:rPr>
      </w:pPr>
      <w:r>
        <w:rPr>
          <w:b/>
        </w:rPr>
        <w:lastRenderedPageBreak/>
        <w:t>CDHU/Valores em R$ milhões</w:t>
      </w:r>
    </w:p>
    <w:p w:rsidR="003E6588" w:rsidRDefault="003E6588">
      <w:pPr>
        <w:ind w:left="354"/>
        <w:jc w:val="both"/>
      </w:pPr>
    </w:p>
    <w:tbl>
      <w:tblPr>
        <w:tblW w:w="0" w:type="auto"/>
        <w:jc w:val="center"/>
        <w:tblInd w:w="9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443"/>
        <w:gridCol w:w="1243"/>
        <w:gridCol w:w="1418"/>
        <w:gridCol w:w="2172"/>
      </w:tblGrid>
      <w:tr w:rsidR="003E6588" w:rsidTr="00400261">
        <w:trPr>
          <w:jc w:val="center"/>
        </w:trPr>
        <w:tc>
          <w:tcPr>
            <w:tcW w:w="2443" w:type="dxa"/>
            <w:shd w:val="clear" w:color="auto" w:fill="auto"/>
          </w:tcPr>
          <w:p w:rsidR="003E6588" w:rsidRDefault="003E6588">
            <w:pPr>
              <w:rPr>
                <w:b/>
                <w:sz w:val="20"/>
                <w:szCs w:val="20"/>
              </w:rPr>
            </w:pPr>
          </w:p>
        </w:tc>
        <w:tc>
          <w:tcPr>
            <w:tcW w:w="1243" w:type="dxa"/>
            <w:shd w:val="clear" w:color="auto" w:fill="auto"/>
            <w:hideMark/>
          </w:tcPr>
          <w:p w:rsidR="003E6588" w:rsidRDefault="003E6588">
            <w:pPr>
              <w:rPr>
                <w:b/>
                <w:sz w:val="20"/>
                <w:szCs w:val="20"/>
              </w:rPr>
            </w:pPr>
            <w:r>
              <w:rPr>
                <w:b/>
                <w:sz w:val="20"/>
                <w:szCs w:val="20"/>
              </w:rPr>
              <w:t>Previsto</w:t>
            </w:r>
            <w:r>
              <w:rPr>
                <w:b/>
                <w:sz w:val="20"/>
                <w:szCs w:val="20"/>
                <w:vertAlign w:val="superscript"/>
              </w:rPr>
              <w:t>A</w:t>
            </w:r>
          </w:p>
        </w:tc>
        <w:tc>
          <w:tcPr>
            <w:tcW w:w="1418" w:type="dxa"/>
            <w:shd w:val="clear" w:color="auto" w:fill="auto"/>
            <w:hideMark/>
          </w:tcPr>
          <w:p w:rsidR="003E6588" w:rsidRDefault="003E6588">
            <w:pPr>
              <w:rPr>
                <w:b/>
                <w:sz w:val="20"/>
                <w:szCs w:val="20"/>
              </w:rPr>
            </w:pPr>
            <w:r>
              <w:rPr>
                <w:b/>
                <w:sz w:val="20"/>
                <w:szCs w:val="20"/>
              </w:rPr>
              <w:t>Realizado</w:t>
            </w:r>
            <w:r>
              <w:rPr>
                <w:b/>
                <w:sz w:val="20"/>
                <w:szCs w:val="20"/>
                <w:vertAlign w:val="superscript"/>
              </w:rPr>
              <w:t>B</w:t>
            </w:r>
          </w:p>
        </w:tc>
        <w:tc>
          <w:tcPr>
            <w:tcW w:w="2172" w:type="dxa"/>
            <w:shd w:val="clear" w:color="auto" w:fill="auto"/>
            <w:hideMark/>
          </w:tcPr>
          <w:p w:rsidR="003E6588" w:rsidRDefault="003E6588">
            <w:pPr>
              <w:rPr>
                <w:b/>
                <w:sz w:val="20"/>
                <w:szCs w:val="20"/>
              </w:rPr>
            </w:pPr>
            <w:r>
              <w:rPr>
                <w:b/>
                <w:sz w:val="20"/>
                <w:szCs w:val="20"/>
              </w:rPr>
              <w:t>Percentual Realizado</w:t>
            </w:r>
          </w:p>
        </w:tc>
      </w:tr>
      <w:tr w:rsidR="003E6588" w:rsidTr="00400261">
        <w:trPr>
          <w:jc w:val="center"/>
        </w:trPr>
        <w:tc>
          <w:tcPr>
            <w:tcW w:w="2443" w:type="dxa"/>
            <w:hideMark/>
          </w:tcPr>
          <w:p w:rsidR="003E6588" w:rsidRPr="00400261" w:rsidRDefault="003E6588">
            <w:pPr>
              <w:jc w:val="both"/>
              <w:rPr>
                <w:sz w:val="20"/>
                <w:szCs w:val="20"/>
              </w:rPr>
            </w:pPr>
            <w:r w:rsidRPr="00400261">
              <w:rPr>
                <w:sz w:val="20"/>
                <w:szCs w:val="20"/>
              </w:rPr>
              <w:t>Custeio</w:t>
            </w:r>
          </w:p>
        </w:tc>
        <w:tc>
          <w:tcPr>
            <w:tcW w:w="1243" w:type="dxa"/>
            <w:hideMark/>
          </w:tcPr>
          <w:p w:rsidR="003E6588" w:rsidRDefault="003E6588">
            <w:pPr>
              <w:rPr>
                <w:sz w:val="20"/>
                <w:szCs w:val="20"/>
              </w:rPr>
            </w:pPr>
            <w:r>
              <w:rPr>
                <w:sz w:val="20"/>
                <w:szCs w:val="20"/>
              </w:rPr>
              <w:t>236,0</w:t>
            </w:r>
          </w:p>
        </w:tc>
        <w:tc>
          <w:tcPr>
            <w:tcW w:w="1418" w:type="dxa"/>
            <w:hideMark/>
          </w:tcPr>
          <w:p w:rsidR="003E6588" w:rsidRDefault="003E6588">
            <w:pPr>
              <w:rPr>
                <w:sz w:val="20"/>
                <w:szCs w:val="20"/>
              </w:rPr>
            </w:pPr>
            <w:r>
              <w:rPr>
                <w:sz w:val="20"/>
                <w:szCs w:val="20"/>
              </w:rPr>
              <w:t>255,0</w:t>
            </w:r>
          </w:p>
        </w:tc>
        <w:tc>
          <w:tcPr>
            <w:tcW w:w="2172" w:type="dxa"/>
            <w:hideMark/>
          </w:tcPr>
          <w:p w:rsidR="003E6588" w:rsidRDefault="003E6588">
            <w:pPr>
              <w:rPr>
                <w:sz w:val="20"/>
                <w:szCs w:val="20"/>
              </w:rPr>
            </w:pPr>
            <w:r>
              <w:rPr>
                <w:sz w:val="20"/>
                <w:szCs w:val="20"/>
              </w:rPr>
              <w:t>108,05%</w:t>
            </w:r>
          </w:p>
        </w:tc>
      </w:tr>
      <w:tr w:rsidR="003E6588" w:rsidTr="00400261">
        <w:trPr>
          <w:jc w:val="center"/>
        </w:trPr>
        <w:tc>
          <w:tcPr>
            <w:tcW w:w="2443" w:type="dxa"/>
            <w:hideMark/>
          </w:tcPr>
          <w:p w:rsidR="003E6588" w:rsidRPr="00400261" w:rsidRDefault="003E6588">
            <w:pPr>
              <w:jc w:val="both"/>
              <w:rPr>
                <w:sz w:val="20"/>
                <w:szCs w:val="20"/>
              </w:rPr>
            </w:pPr>
            <w:r w:rsidRPr="00400261">
              <w:rPr>
                <w:sz w:val="20"/>
                <w:szCs w:val="20"/>
              </w:rPr>
              <w:t xml:space="preserve">Investimento </w:t>
            </w:r>
          </w:p>
        </w:tc>
        <w:tc>
          <w:tcPr>
            <w:tcW w:w="1243" w:type="dxa"/>
            <w:hideMark/>
          </w:tcPr>
          <w:p w:rsidR="003E6588" w:rsidRDefault="003E6588">
            <w:pPr>
              <w:rPr>
                <w:sz w:val="20"/>
                <w:szCs w:val="20"/>
              </w:rPr>
            </w:pPr>
            <w:r>
              <w:rPr>
                <w:sz w:val="20"/>
                <w:szCs w:val="20"/>
              </w:rPr>
              <w:t>1.844,0</w:t>
            </w:r>
          </w:p>
        </w:tc>
        <w:tc>
          <w:tcPr>
            <w:tcW w:w="1418" w:type="dxa"/>
            <w:hideMark/>
          </w:tcPr>
          <w:p w:rsidR="003E6588" w:rsidRDefault="003E6588">
            <w:pPr>
              <w:rPr>
                <w:sz w:val="20"/>
                <w:szCs w:val="20"/>
              </w:rPr>
            </w:pPr>
            <w:r>
              <w:rPr>
                <w:sz w:val="20"/>
                <w:szCs w:val="20"/>
              </w:rPr>
              <w:t>1.494,0</w:t>
            </w:r>
          </w:p>
        </w:tc>
        <w:tc>
          <w:tcPr>
            <w:tcW w:w="2172" w:type="dxa"/>
            <w:hideMark/>
          </w:tcPr>
          <w:p w:rsidR="003E6588" w:rsidRDefault="003E6588">
            <w:pPr>
              <w:rPr>
                <w:sz w:val="20"/>
                <w:szCs w:val="20"/>
              </w:rPr>
            </w:pPr>
            <w:r>
              <w:rPr>
                <w:sz w:val="20"/>
                <w:szCs w:val="20"/>
              </w:rPr>
              <w:t>81,02%</w:t>
            </w:r>
          </w:p>
        </w:tc>
      </w:tr>
    </w:tbl>
    <w:p w:rsidR="003E6588" w:rsidRDefault="00400261">
      <w:pPr>
        <w:pStyle w:val="PargrafodaLista"/>
        <w:ind w:left="5" w:firstLine="703"/>
        <w:rPr>
          <w:rFonts w:ascii="Times New Roman" w:hAnsi="Times New Roman"/>
          <w:sz w:val="16"/>
          <w:szCs w:val="16"/>
          <w:lang w:eastAsia="pt-BR"/>
        </w:rPr>
      </w:pPr>
      <w:r>
        <w:rPr>
          <w:rFonts w:ascii="Times New Roman" w:hAnsi="Times New Roman"/>
          <w:sz w:val="16"/>
          <w:szCs w:val="16"/>
          <w:lang w:eastAsia="pt-BR"/>
        </w:rPr>
        <w:t xml:space="preserve">              </w:t>
      </w:r>
      <w:r w:rsidR="003E6588">
        <w:rPr>
          <w:rFonts w:ascii="Times New Roman" w:hAnsi="Times New Roman"/>
          <w:sz w:val="16"/>
          <w:szCs w:val="16"/>
          <w:lang w:eastAsia="pt-BR"/>
        </w:rPr>
        <w:t xml:space="preserve">   A) Orçamento Empresarial. Fonte: GOC</w:t>
      </w:r>
    </w:p>
    <w:p w:rsidR="003E6588" w:rsidRDefault="00400261">
      <w:pPr>
        <w:pStyle w:val="PargrafodaLista"/>
        <w:ind w:left="5" w:firstLine="703"/>
        <w:rPr>
          <w:rFonts w:ascii="Times New Roman" w:hAnsi="Times New Roman"/>
          <w:sz w:val="16"/>
          <w:szCs w:val="16"/>
          <w:lang w:eastAsia="pt-BR"/>
        </w:rPr>
      </w:pPr>
      <w:r>
        <w:rPr>
          <w:rFonts w:ascii="Times New Roman" w:hAnsi="Times New Roman"/>
          <w:sz w:val="16"/>
          <w:szCs w:val="16"/>
          <w:lang w:eastAsia="pt-BR"/>
        </w:rPr>
        <w:t xml:space="preserve">              </w:t>
      </w:r>
      <w:r w:rsidR="003E6588">
        <w:rPr>
          <w:rFonts w:ascii="Times New Roman" w:hAnsi="Times New Roman"/>
          <w:sz w:val="16"/>
          <w:szCs w:val="16"/>
          <w:lang w:eastAsia="pt-BR"/>
        </w:rPr>
        <w:t xml:space="preserve">   B) Fonte: GOC</w:t>
      </w:r>
    </w:p>
    <w:p w:rsidR="003E6588" w:rsidRDefault="003E6588">
      <w:pPr>
        <w:pStyle w:val="PargrafodaLista"/>
        <w:ind w:left="5"/>
        <w:rPr>
          <w:rFonts w:ascii="Times New Roman" w:hAnsi="Times New Roman"/>
          <w:sz w:val="24"/>
          <w:szCs w:val="24"/>
          <w:lang w:eastAsia="pt-BR"/>
        </w:rPr>
      </w:pPr>
    </w:p>
    <w:p w:rsidR="003E6588" w:rsidRDefault="003E6588">
      <w:pPr>
        <w:pStyle w:val="PargrafodaLista"/>
        <w:tabs>
          <w:tab w:val="left" w:pos="1134"/>
        </w:tabs>
        <w:ind w:left="1134"/>
        <w:rPr>
          <w:rFonts w:ascii="Times New Roman" w:hAnsi="Times New Roman"/>
          <w:b/>
          <w:sz w:val="24"/>
          <w:szCs w:val="24"/>
          <w:lang w:eastAsia="pt-BR"/>
        </w:rPr>
      </w:pPr>
      <w:r>
        <w:rPr>
          <w:rFonts w:ascii="Times New Roman" w:hAnsi="Times New Roman"/>
          <w:b/>
          <w:sz w:val="24"/>
          <w:szCs w:val="24"/>
          <w:lang w:eastAsia="pt-BR"/>
        </w:rPr>
        <w:t>Total Geral de Atendimentos - Entregues e Contratados/Canteiro</w:t>
      </w:r>
    </w:p>
    <w:p w:rsidR="003E6588" w:rsidRDefault="003E6588">
      <w:pPr>
        <w:tabs>
          <w:tab w:val="left" w:pos="1134"/>
        </w:tabs>
        <w:ind w:left="492"/>
        <w:jc w:val="both"/>
        <w:rPr>
          <w:b/>
        </w:rPr>
      </w:pPr>
    </w:p>
    <w:tbl>
      <w:tblPr>
        <w:tblW w:w="7281" w:type="dxa"/>
        <w:jc w:val="center"/>
        <w:tblInd w:w="3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1676"/>
        <w:gridCol w:w="2030"/>
        <w:gridCol w:w="1974"/>
        <w:gridCol w:w="1601"/>
      </w:tblGrid>
      <w:tr w:rsidR="003E6588" w:rsidTr="00400261">
        <w:trPr>
          <w:trHeight w:val="315"/>
          <w:jc w:val="center"/>
        </w:trPr>
        <w:tc>
          <w:tcPr>
            <w:tcW w:w="1676" w:type="dxa"/>
            <w:shd w:val="clear" w:color="auto" w:fill="FFFFFF"/>
            <w:noWrap/>
            <w:vAlign w:val="center"/>
            <w:hideMark/>
          </w:tcPr>
          <w:p w:rsidR="003E6588" w:rsidRDefault="003E6588">
            <w:pPr>
              <w:rPr>
                <w:b/>
                <w:bCs/>
                <w:sz w:val="20"/>
                <w:szCs w:val="20"/>
              </w:rPr>
            </w:pPr>
            <w:r>
              <w:rPr>
                <w:b/>
                <w:bCs/>
                <w:sz w:val="20"/>
                <w:szCs w:val="20"/>
              </w:rPr>
              <w:t> </w:t>
            </w:r>
          </w:p>
        </w:tc>
        <w:tc>
          <w:tcPr>
            <w:tcW w:w="2030" w:type="dxa"/>
            <w:shd w:val="clear" w:color="auto" w:fill="auto"/>
            <w:noWrap/>
            <w:vAlign w:val="center"/>
            <w:hideMark/>
          </w:tcPr>
          <w:p w:rsidR="003E6588" w:rsidRDefault="003E6588">
            <w:pPr>
              <w:rPr>
                <w:b/>
                <w:bCs/>
                <w:sz w:val="20"/>
                <w:szCs w:val="20"/>
              </w:rPr>
            </w:pPr>
            <w:r>
              <w:rPr>
                <w:b/>
                <w:bCs/>
                <w:sz w:val="20"/>
                <w:szCs w:val="20"/>
              </w:rPr>
              <w:t>Contratados/Canteiro</w:t>
            </w:r>
          </w:p>
        </w:tc>
        <w:tc>
          <w:tcPr>
            <w:tcW w:w="1974" w:type="dxa"/>
            <w:shd w:val="clear" w:color="auto" w:fill="auto"/>
            <w:noWrap/>
            <w:vAlign w:val="center"/>
            <w:hideMark/>
          </w:tcPr>
          <w:p w:rsidR="003E6588" w:rsidRDefault="003E6588">
            <w:pPr>
              <w:rPr>
                <w:b/>
                <w:bCs/>
                <w:sz w:val="20"/>
                <w:szCs w:val="20"/>
              </w:rPr>
            </w:pPr>
            <w:r>
              <w:rPr>
                <w:b/>
                <w:bCs/>
                <w:sz w:val="20"/>
                <w:szCs w:val="20"/>
              </w:rPr>
              <w:t>Entregues</w:t>
            </w:r>
          </w:p>
        </w:tc>
        <w:tc>
          <w:tcPr>
            <w:tcW w:w="1601" w:type="dxa"/>
            <w:shd w:val="clear" w:color="auto" w:fill="auto"/>
            <w:noWrap/>
            <w:vAlign w:val="center"/>
            <w:hideMark/>
          </w:tcPr>
          <w:p w:rsidR="003E6588" w:rsidRDefault="003E6588">
            <w:pPr>
              <w:rPr>
                <w:b/>
                <w:bCs/>
                <w:sz w:val="20"/>
                <w:szCs w:val="20"/>
              </w:rPr>
            </w:pPr>
            <w:r>
              <w:rPr>
                <w:b/>
                <w:bCs/>
                <w:sz w:val="20"/>
                <w:szCs w:val="20"/>
              </w:rPr>
              <w:t>TOTAL</w:t>
            </w:r>
          </w:p>
        </w:tc>
      </w:tr>
      <w:tr w:rsidR="003E6588" w:rsidTr="00400261">
        <w:trPr>
          <w:trHeight w:val="315"/>
          <w:jc w:val="center"/>
        </w:trPr>
        <w:tc>
          <w:tcPr>
            <w:tcW w:w="1676" w:type="dxa"/>
            <w:shd w:val="clear" w:color="auto" w:fill="FFFFFF"/>
            <w:noWrap/>
            <w:vAlign w:val="center"/>
            <w:hideMark/>
          </w:tcPr>
          <w:p w:rsidR="003E6588" w:rsidRDefault="003E6588">
            <w:pPr>
              <w:rPr>
                <w:b/>
                <w:bCs/>
                <w:sz w:val="20"/>
                <w:szCs w:val="20"/>
              </w:rPr>
            </w:pPr>
            <w:r>
              <w:rPr>
                <w:b/>
                <w:bCs/>
                <w:sz w:val="20"/>
                <w:szCs w:val="20"/>
              </w:rPr>
              <w:t>CDHU</w:t>
            </w:r>
          </w:p>
        </w:tc>
        <w:tc>
          <w:tcPr>
            <w:tcW w:w="2030" w:type="dxa"/>
            <w:shd w:val="clear" w:color="auto" w:fill="FFFFFF"/>
            <w:noWrap/>
            <w:vAlign w:val="center"/>
            <w:hideMark/>
          </w:tcPr>
          <w:p w:rsidR="003E6588" w:rsidRDefault="003E6588">
            <w:pPr>
              <w:rPr>
                <w:sz w:val="20"/>
                <w:szCs w:val="20"/>
              </w:rPr>
            </w:pPr>
            <w:r>
              <w:rPr>
                <w:sz w:val="20"/>
                <w:szCs w:val="20"/>
              </w:rPr>
              <w:t>51.462</w:t>
            </w:r>
          </w:p>
        </w:tc>
        <w:tc>
          <w:tcPr>
            <w:tcW w:w="1974" w:type="dxa"/>
            <w:shd w:val="clear" w:color="auto" w:fill="FFFFFF"/>
            <w:noWrap/>
            <w:vAlign w:val="center"/>
            <w:hideMark/>
          </w:tcPr>
          <w:p w:rsidR="003E6588" w:rsidRDefault="003E6588">
            <w:pPr>
              <w:rPr>
                <w:sz w:val="20"/>
                <w:szCs w:val="20"/>
              </w:rPr>
            </w:pPr>
            <w:r>
              <w:rPr>
                <w:sz w:val="20"/>
                <w:szCs w:val="20"/>
              </w:rPr>
              <w:t>11.564</w:t>
            </w:r>
          </w:p>
        </w:tc>
        <w:tc>
          <w:tcPr>
            <w:tcW w:w="1601" w:type="dxa"/>
            <w:shd w:val="clear" w:color="auto" w:fill="FFFFFF"/>
            <w:noWrap/>
            <w:vAlign w:val="center"/>
            <w:hideMark/>
          </w:tcPr>
          <w:p w:rsidR="003E6588" w:rsidRDefault="003E6588">
            <w:pPr>
              <w:rPr>
                <w:b/>
                <w:bCs/>
                <w:sz w:val="20"/>
                <w:szCs w:val="20"/>
              </w:rPr>
            </w:pPr>
            <w:r>
              <w:rPr>
                <w:b/>
                <w:bCs/>
                <w:sz w:val="20"/>
                <w:szCs w:val="20"/>
              </w:rPr>
              <w:t>63.026</w:t>
            </w:r>
          </w:p>
        </w:tc>
      </w:tr>
      <w:tr w:rsidR="003E6588" w:rsidTr="00400261">
        <w:trPr>
          <w:trHeight w:val="315"/>
          <w:jc w:val="center"/>
        </w:trPr>
        <w:tc>
          <w:tcPr>
            <w:tcW w:w="1676" w:type="dxa"/>
            <w:shd w:val="clear" w:color="auto" w:fill="FFFFFF"/>
            <w:noWrap/>
            <w:vAlign w:val="center"/>
            <w:hideMark/>
          </w:tcPr>
          <w:p w:rsidR="003E6588" w:rsidRDefault="003E6588">
            <w:pPr>
              <w:rPr>
                <w:b/>
                <w:bCs/>
                <w:sz w:val="20"/>
                <w:szCs w:val="20"/>
              </w:rPr>
            </w:pPr>
            <w:r>
              <w:rPr>
                <w:b/>
                <w:bCs/>
                <w:sz w:val="20"/>
                <w:szCs w:val="20"/>
              </w:rPr>
              <w:t>Casa Paulista</w:t>
            </w:r>
          </w:p>
        </w:tc>
        <w:tc>
          <w:tcPr>
            <w:tcW w:w="2030" w:type="dxa"/>
            <w:shd w:val="clear" w:color="auto" w:fill="FFFFFF"/>
            <w:noWrap/>
            <w:vAlign w:val="center"/>
            <w:hideMark/>
          </w:tcPr>
          <w:p w:rsidR="003E6588" w:rsidRDefault="003E6588">
            <w:pPr>
              <w:rPr>
                <w:sz w:val="20"/>
                <w:szCs w:val="20"/>
              </w:rPr>
            </w:pPr>
            <w:r>
              <w:rPr>
                <w:sz w:val="20"/>
                <w:szCs w:val="20"/>
              </w:rPr>
              <w:t>54.265</w:t>
            </w:r>
          </w:p>
        </w:tc>
        <w:tc>
          <w:tcPr>
            <w:tcW w:w="1974" w:type="dxa"/>
            <w:shd w:val="clear" w:color="auto" w:fill="FFFFFF"/>
            <w:noWrap/>
            <w:vAlign w:val="center"/>
            <w:hideMark/>
          </w:tcPr>
          <w:p w:rsidR="003E6588" w:rsidRDefault="003E6588">
            <w:pPr>
              <w:rPr>
                <w:sz w:val="20"/>
                <w:szCs w:val="20"/>
              </w:rPr>
            </w:pPr>
            <w:r>
              <w:rPr>
                <w:sz w:val="20"/>
                <w:szCs w:val="20"/>
              </w:rPr>
              <w:t>11.135</w:t>
            </w:r>
          </w:p>
        </w:tc>
        <w:tc>
          <w:tcPr>
            <w:tcW w:w="1601" w:type="dxa"/>
            <w:shd w:val="clear" w:color="auto" w:fill="FFFFFF"/>
            <w:noWrap/>
            <w:vAlign w:val="center"/>
            <w:hideMark/>
          </w:tcPr>
          <w:p w:rsidR="003E6588" w:rsidRDefault="003E6588">
            <w:pPr>
              <w:rPr>
                <w:b/>
                <w:bCs/>
                <w:sz w:val="20"/>
                <w:szCs w:val="20"/>
              </w:rPr>
            </w:pPr>
            <w:r>
              <w:rPr>
                <w:b/>
                <w:bCs/>
                <w:sz w:val="20"/>
                <w:szCs w:val="20"/>
              </w:rPr>
              <w:t>65.400</w:t>
            </w:r>
          </w:p>
        </w:tc>
      </w:tr>
      <w:tr w:rsidR="003E6588" w:rsidTr="00400261">
        <w:trPr>
          <w:trHeight w:val="315"/>
          <w:jc w:val="center"/>
        </w:trPr>
        <w:tc>
          <w:tcPr>
            <w:tcW w:w="1676" w:type="dxa"/>
            <w:shd w:val="clear" w:color="auto" w:fill="FFFFFF"/>
            <w:noWrap/>
            <w:vAlign w:val="center"/>
            <w:hideMark/>
          </w:tcPr>
          <w:p w:rsidR="003E6588" w:rsidRDefault="003E6588">
            <w:pPr>
              <w:rPr>
                <w:b/>
                <w:bCs/>
                <w:sz w:val="20"/>
                <w:szCs w:val="20"/>
              </w:rPr>
            </w:pPr>
            <w:r>
              <w:rPr>
                <w:b/>
                <w:bCs/>
                <w:sz w:val="20"/>
                <w:szCs w:val="20"/>
              </w:rPr>
              <w:t>TOTAL</w:t>
            </w:r>
          </w:p>
        </w:tc>
        <w:tc>
          <w:tcPr>
            <w:tcW w:w="2030" w:type="dxa"/>
            <w:shd w:val="clear" w:color="auto" w:fill="FFFFFF"/>
            <w:noWrap/>
            <w:vAlign w:val="center"/>
            <w:hideMark/>
          </w:tcPr>
          <w:p w:rsidR="003E6588" w:rsidRDefault="003E6588">
            <w:pPr>
              <w:rPr>
                <w:b/>
                <w:bCs/>
                <w:sz w:val="20"/>
                <w:szCs w:val="20"/>
              </w:rPr>
            </w:pPr>
            <w:r>
              <w:rPr>
                <w:b/>
                <w:bCs/>
                <w:sz w:val="20"/>
                <w:szCs w:val="20"/>
              </w:rPr>
              <w:t>105.727</w:t>
            </w:r>
          </w:p>
        </w:tc>
        <w:tc>
          <w:tcPr>
            <w:tcW w:w="1974" w:type="dxa"/>
            <w:shd w:val="clear" w:color="auto" w:fill="FFFFFF"/>
            <w:noWrap/>
            <w:vAlign w:val="center"/>
            <w:hideMark/>
          </w:tcPr>
          <w:p w:rsidR="003E6588" w:rsidRDefault="003E6588">
            <w:pPr>
              <w:rPr>
                <w:b/>
                <w:bCs/>
                <w:sz w:val="20"/>
                <w:szCs w:val="20"/>
              </w:rPr>
            </w:pPr>
            <w:r>
              <w:rPr>
                <w:b/>
                <w:bCs/>
                <w:sz w:val="20"/>
                <w:szCs w:val="20"/>
              </w:rPr>
              <w:t>22.699</w:t>
            </w:r>
          </w:p>
        </w:tc>
        <w:tc>
          <w:tcPr>
            <w:tcW w:w="1601" w:type="dxa"/>
            <w:shd w:val="clear" w:color="auto" w:fill="FFFFFF"/>
            <w:noWrap/>
            <w:vAlign w:val="center"/>
            <w:hideMark/>
          </w:tcPr>
          <w:p w:rsidR="003E6588" w:rsidRDefault="003E6588">
            <w:pPr>
              <w:rPr>
                <w:b/>
                <w:bCs/>
                <w:sz w:val="20"/>
                <w:szCs w:val="20"/>
              </w:rPr>
            </w:pPr>
            <w:r>
              <w:rPr>
                <w:b/>
                <w:bCs/>
                <w:sz w:val="20"/>
                <w:szCs w:val="20"/>
              </w:rPr>
              <w:t>128.426</w:t>
            </w:r>
          </w:p>
        </w:tc>
      </w:tr>
    </w:tbl>
    <w:p w:rsidR="003E6588" w:rsidRDefault="003E6588">
      <w:pPr>
        <w:tabs>
          <w:tab w:val="left" w:pos="1134"/>
        </w:tabs>
        <w:jc w:val="both"/>
        <w:rPr>
          <w:sz w:val="16"/>
          <w:szCs w:val="16"/>
        </w:rPr>
      </w:pPr>
      <w:r>
        <w:rPr>
          <w:sz w:val="16"/>
          <w:szCs w:val="16"/>
        </w:rPr>
        <w:tab/>
      </w:r>
      <w:r w:rsidR="00400261">
        <w:rPr>
          <w:sz w:val="16"/>
          <w:szCs w:val="16"/>
        </w:rPr>
        <w:t xml:space="preserve">       </w:t>
      </w:r>
      <w:r>
        <w:rPr>
          <w:sz w:val="16"/>
          <w:szCs w:val="16"/>
        </w:rPr>
        <w:t>Nota: Entregues CDHU incluem os 15.579 auxílios  moradia.</w:t>
      </w:r>
    </w:p>
    <w:p w:rsidR="003E6588" w:rsidRDefault="003E6588">
      <w:pPr>
        <w:tabs>
          <w:tab w:val="left" w:pos="1134"/>
        </w:tabs>
        <w:jc w:val="both"/>
        <w:rPr>
          <w:sz w:val="20"/>
          <w:szCs w:val="20"/>
        </w:rPr>
      </w:pPr>
    </w:p>
    <w:p w:rsidR="003E6588" w:rsidRDefault="003E6588">
      <w:pPr>
        <w:pStyle w:val="PargrafodaLista"/>
        <w:tabs>
          <w:tab w:val="left" w:pos="1134"/>
        </w:tabs>
        <w:ind w:left="0" w:firstLine="1134"/>
        <w:rPr>
          <w:rFonts w:ascii="Times New Roman" w:hAnsi="Times New Roman"/>
          <w:b/>
          <w:sz w:val="24"/>
          <w:szCs w:val="24"/>
          <w:lang w:eastAsia="pt-BR"/>
        </w:rPr>
      </w:pPr>
      <w:r>
        <w:rPr>
          <w:rFonts w:ascii="Times New Roman" w:hAnsi="Times New Roman"/>
          <w:b/>
          <w:sz w:val="24"/>
          <w:szCs w:val="24"/>
          <w:lang w:eastAsia="pt-BR"/>
        </w:rPr>
        <w:t>Atendimentos CDHU e Casa Paulista</w:t>
      </w:r>
    </w:p>
    <w:p w:rsidR="003E6588" w:rsidRDefault="003E6588">
      <w:pPr>
        <w:pStyle w:val="PargrafodaLista"/>
        <w:tabs>
          <w:tab w:val="left" w:pos="1134"/>
        </w:tabs>
        <w:ind w:left="0" w:firstLine="1134"/>
        <w:rPr>
          <w:rFonts w:ascii="Times New Roman" w:hAnsi="Times New Roman"/>
          <w:b/>
          <w:sz w:val="24"/>
          <w:szCs w:val="24"/>
          <w:lang w:eastAsia="pt-BR"/>
        </w:rPr>
      </w:pPr>
    </w:p>
    <w:p w:rsidR="003E6588" w:rsidRDefault="003E6588">
      <w:pPr>
        <w:pStyle w:val="PargrafodaLista"/>
        <w:ind w:left="0" w:firstLine="1134"/>
        <w:rPr>
          <w:rFonts w:ascii="Times New Roman" w:hAnsi="Times New Roman"/>
          <w:b/>
          <w:sz w:val="24"/>
          <w:szCs w:val="24"/>
          <w:lang w:eastAsia="pt-BR"/>
        </w:rPr>
      </w:pPr>
      <w:r>
        <w:rPr>
          <w:rFonts w:ascii="Times New Roman" w:hAnsi="Times New Roman"/>
          <w:b/>
          <w:sz w:val="24"/>
          <w:szCs w:val="24"/>
          <w:lang w:eastAsia="pt-BR"/>
        </w:rPr>
        <w:t>Total de Atendimentos - CDHU</w:t>
      </w:r>
    </w:p>
    <w:p w:rsidR="003E6588" w:rsidRDefault="003E6588">
      <w:pPr>
        <w:pStyle w:val="PargrafodaLista"/>
        <w:ind w:left="0" w:firstLine="1134"/>
        <w:rPr>
          <w:rFonts w:ascii="Times New Roman" w:hAnsi="Times New Roman"/>
          <w:b/>
          <w:sz w:val="24"/>
          <w:szCs w:val="24"/>
          <w:lang w:eastAsia="pt-BR"/>
        </w:rPr>
      </w:pPr>
    </w:p>
    <w:tbl>
      <w:tblPr>
        <w:tblW w:w="0" w:type="auto"/>
        <w:jc w:val="center"/>
        <w:tblInd w:w="22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tblPr>
      <w:tblGrid>
        <w:gridCol w:w="6228"/>
        <w:gridCol w:w="1134"/>
      </w:tblGrid>
      <w:tr w:rsidR="003E6588" w:rsidTr="00400261">
        <w:trPr>
          <w:trHeight w:val="255"/>
          <w:jc w:val="center"/>
        </w:trPr>
        <w:tc>
          <w:tcPr>
            <w:tcW w:w="6228" w:type="dxa"/>
            <w:shd w:val="clear" w:color="auto" w:fill="FFFFFF"/>
            <w:vAlign w:val="bottom"/>
            <w:hideMark/>
          </w:tcPr>
          <w:p w:rsidR="003E6588" w:rsidRDefault="003E6588">
            <w:pPr>
              <w:jc w:val="both"/>
              <w:rPr>
                <w:sz w:val="20"/>
                <w:szCs w:val="20"/>
              </w:rPr>
            </w:pPr>
            <w:r>
              <w:rPr>
                <w:sz w:val="20"/>
                <w:szCs w:val="20"/>
              </w:rPr>
              <w:t>Unidades Habitacionais Entregues - CDHU</w:t>
            </w:r>
          </w:p>
        </w:tc>
        <w:tc>
          <w:tcPr>
            <w:tcW w:w="1134" w:type="dxa"/>
            <w:vAlign w:val="bottom"/>
            <w:hideMark/>
          </w:tcPr>
          <w:p w:rsidR="003E6588" w:rsidRDefault="003E6588">
            <w:pPr>
              <w:jc w:val="right"/>
              <w:rPr>
                <w:sz w:val="20"/>
                <w:szCs w:val="20"/>
              </w:rPr>
            </w:pPr>
            <w:r>
              <w:rPr>
                <w:sz w:val="20"/>
                <w:szCs w:val="20"/>
              </w:rPr>
              <w:t>10.897</w:t>
            </w:r>
          </w:p>
        </w:tc>
      </w:tr>
      <w:tr w:rsidR="003E6588" w:rsidTr="00400261">
        <w:trPr>
          <w:trHeight w:val="255"/>
          <w:jc w:val="center"/>
        </w:trPr>
        <w:tc>
          <w:tcPr>
            <w:tcW w:w="6228" w:type="dxa"/>
            <w:vAlign w:val="bottom"/>
            <w:hideMark/>
          </w:tcPr>
          <w:p w:rsidR="003E6588" w:rsidRDefault="003E6588">
            <w:pPr>
              <w:jc w:val="both"/>
              <w:rPr>
                <w:sz w:val="20"/>
                <w:szCs w:val="20"/>
              </w:rPr>
            </w:pPr>
            <w:r>
              <w:rPr>
                <w:sz w:val="20"/>
                <w:szCs w:val="20"/>
              </w:rPr>
              <w:t>Famílias Beneficiadas por Obras de Urbanização de Favelas - CDHU</w:t>
            </w:r>
          </w:p>
        </w:tc>
        <w:tc>
          <w:tcPr>
            <w:tcW w:w="1134" w:type="dxa"/>
            <w:vAlign w:val="bottom"/>
            <w:hideMark/>
          </w:tcPr>
          <w:p w:rsidR="003E6588" w:rsidRDefault="003E6588">
            <w:pPr>
              <w:jc w:val="right"/>
              <w:rPr>
                <w:sz w:val="20"/>
                <w:szCs w:val="20"/>
              </w:rPr>
            </w:pPr>
            <w:r>
              <w:rPr>
                <w:sz w:val="20"/>
                <w:szCs w:val="20"/>
              </w:rPr>
              <w:t>507</w:t>
            </w:r>
          </w:p>
        </w:tc>
      </w:tr>
      <w:tr w:rsidR="003E6588" w:rsidTr="00400261">
        <w:trPr>
          <w:trHeight w:val="255"/>
          <w:jc w:val="center"/>
        </w:trPr>
        <w:tc>
          <w:tcPr>
            <w:tcW w:w="6228" w:type="dxa"/>
            <w:vAlign w:val="bottom"/>
            <w:hideMark/>
          </w:tcPr>
          <w:p w:rsidR="003E6588" w:rsidRDefault="003E6588">
            <w:pPr>
              <w:jc w:val="both"/>
              <w:rPr>
                <w:sz w:val="20"/>
                <w:szCs w:val="20"/>
              </w:rPr>
            </w:pPr>
            <w:r>
              <w:rPr>
                <w:sz w:val="20"/>
                <w:szCs w:val="20"/>
              </w:rPr>
              <w:t>Cartas de Crédito - CDHU</w:t>
            </w:r>
          </w:p>
        </w:tc>
        <w:tc>
          <w:tcPr>
            <w:tcW w:w="1134" w:type="dxa"/>
            <w:vAlign w:val="bottom"/>
            <w:hideMark/>
          </w:tcPr>
          <w:p w:rsidR="003E6588" w:rsidRDefault="003E6588">
            <w:pPr>
              <w:jc w:val="right"/>
              <w:rPr>
                <w:sz w:val="20"/>
                <w:szCs w:val="20"/>
              </w:rPr>
            </w:pPr>
            <w:r>
              <w:rPr>
                <w:sz w:val="20"/>
                <w:szCs w:val="20"/>
              </w:rPr>
              <w:t>160</w:t>
            </w:r>
          </w:p>
        </w:tc>
      </w:tr>
      <w:tr w:rsidR="003E6588" w:rsidTr="00400261">
        <w:trPr>
          <w:trHeight w:val="255"/>
          <w:jc w:val="center"/>
        </w:trPr>
        <w:tc>
          <w:tcPr>
            <w:tcW w:w="6228" w:type="dxa"/>
            <w:vAlign w:val="bottom"/>
            <w:hideMark/>
          </w:tcPr>
          <w:p w:rsidR="003E6588" w:rsidRDefault="003E6588">
            <w:pPr>
              <w:jc w:val="both"/>
              <w:rPr>
                <w:sz w:val="20"/>
                <w:szCs w:val="20"/>
              </w:rPr>
            </w:pPr>
            <w:r>
              <w:rPr>
                <w:sz w:val="20"/>
                <w:szCs w:val="20"/>
              </w:rPr>
              <w:t>Auxílio Moradia Emergencial e Auxílio-Moradia - CDHU</w:t>
            </w:r>
          </w:p>
        </w:tc>
        <w:tc>
          <w:tcPr>
            <w:tcW w:w="1134" w:type="dxa"/>
            <w:vAlign w:val="bottom"/>
            <w:hideMark/>
          </w:tcPr>
          <w:p w:rsidR="003E6588" w:rsidRDefault="003E6588">
            <w:pPr>
              <w:jc w:val="right"/>
              <w:rPr>
                <w:sz w:val="20"/>
                <w:szCs w:val="20"/>
              </w:rPr>
            </w:pPr>
            <w:r>
              <w:rPr>
                <w:sz w:val="20"/>
                <w:szCs w:val="20"/>
              </w:rPr>
              <w:t>15.579</w:t>
            </w:r>
          </w:p>
        </w:tc>
      </w:tr>
      <w:tr w:rsidR="003E6588" w:rsidTr="00400261">
        <w:trPr>
          <w:trHeight w:val="255"/>
          <w:jc w:val="center"/>
        </w:trPr>
        <w:tc>
          <w:tcPr>
            <w:tcW w:w="6228" w:type="dxa"/>
            <w:shd w:val="clear" w:color="auto" w:fill="FFFFFF"/>
            <w:vAlign w:val="bottom"/>
            <w:hideMark/>
          </w:tcPr>
          <w:p w:rsidR="003E6588" w:rsidRDefault="003E6588">
            <w:pPr>
              <w:jc w:val="both"/>
              <w:rPr>
                <w:sz w:val="20"/>
                <w:szCs w:val="20"/>
              </w:rPr>
            </w:pPr>
            <w:r>
              <w:rPr>
                <w:sz w:val="20"/>
                <w:szCs w:val="20"/>
              </w:rPr>
              <w:t>Unidades Habitacionais em Obras - CDHU</w:t>
            </w:r>
          </w:p>
        </w:tc>
        <w:tc>
          <w:tcPr>
            <w:tcW w:w="1134" w:type="dxa"/>
            <w:vAlign w:val="bottom"/>
            <w:hideMark/>
          </w:tcPr>
          <w:p w:rsidR="003E6588" w:rsidRDefault="003E6588">
            <w:pPr>
              <w:jc w:val="right"/>
              <w:rPr>
                <w:sz w:val="20"/>
                <w:szCs w:val="20"/>
              </w:rPr>
            </w:pPr>
            <w:r>
              <w:rPr>
                <w:sz w:val="20"/>
                <w:szCs w:val="20"/>
              </w:rPr>
              <w:t>31.316</w:t>
            </w:r>
          </w:p>
        </w:tc>
      </w:tr>
      <w:tr w:rsidR="003E6588" w:rsidTr="00400261">
        <w:trPr>
          <w:trHeight w:val="255"/>
          <w:jc w:val="center"/>
        </w:trPr>
        <w:tc>
          <w:tcPr>
            <w:tcW w:w="6228" w:type="dxa"/>
            <w:shd w:val="clear" w:color="auto" w:fill="FFFFFF"/>
            <w:vAlign w:val="bottom"/>
            <w:hideMark/>
          </w:tcPr>
          <w:p w:rsidR="003E6588" w:rsidRDefault="003E6588">
            <w:pPr>
              <w:jc w:val="both"/>
              <w:rPr>
                <w:sz w:val="20"/>
                <w:szCs w:val="20"/>
              </w:rPr>
            </w:pPr>
            <w:r>
              <w:rPr>
                <w:sz w:val="20"/>
                <w:szCs w:val="20"/>
              </w:rPr>
              <w:t>Urbanizações de Favelas em Obras - CDHU</w:t>
            </w:r>
          </w:p>
        </w:tc>
        <w:tc>
          <w:tcPr>
            <w:tcW w:w="1134" w:type="dxa"/>
            <w:vAlign w:val="bottom"/>
            <w:hideMark/>
          </w:tcPr>
          <w:p w:rsidR="003E6588" w:rsidRDefault="003E6588">
            <w:pPr>
              <w:jc w:val="right"/>
              <w:rPr>
                <w:sz w:val="20"/>
                <w:szCs w:val="20"/>
              </w:rPr>
            </w:pPr>
            <w:r>
              <w:rPr>
                <w:sz w:val="20"/>
                <w:szCs w:val="20"/>
              </w:rPr>
              <w:t>4.567</w:t>
            </w:r>
          </w:p>
        </w:tc>
      </w:tr>
      <w:tr w:rsidR="003E6588" w:rsidTr="00400261">
        <w:trPr>
          <w:trHeight w:val="255"/>
          <w:jc w:val="center"/>
        </w:trPr>
        <w:tc>
          <w:tcPr>
            <w:tcW w:w="6228" w:type="dxa"/>
            <w:vAlign w:val="bottom"/>
            <w:hideMark/>
          </w:tcPr>
          <w:p w:rsidR="003E6588" w:rsidRDefault="003E6588">
            <w:pPr>
              <w:jc w:val="both"/>
              <w:rPr>
                <w:sz w:val="20"/>
                <w:szCs w:val="20"/>
              </w:rPr>
            </w:pPr>
            <w:r>
              <w:rPr>
                <w:b/>
                <w:sz w:val="20"/>
                <w:szCs w:val="20"/>
              </w:rPr>
              <w:t>Total de Atendimentos CDHU (1)</w:t>
            </w:r>
          </w:p>
        </w:tc>
        <w:tc>
          <w:tcPr>
            <w:tcW w:w="1134" w:type="dxa"/>
            <w:vAlign w:val="bottom"/>
            <w:hideMark/>
          </w:tcPr>
          <w:p w:rsidR="003E6588" w:rsidRDefault="003E6588">
            <w:pPr>
              <w:jc w:val="right"/>
              <w:rPr>
                <w:b/>
                <w:sz w:val="20"/>
                <w:szCs w:val="20"/>
              </w:rPr>
            </w:pPr>
            <w:r>
              <w:rPr>
                <w:b/>
                <w:sz w:val="20"/>
                <w:szCs w:val="20"/>
              </w:rPr>
              <w:t>63.026</w:t>
            </w:r>
          </w:p>
        </w:tc>
      </w:tr>
    </w:tbl>
    <w:p w:rsidR="003E6588" w:rsidRDefault="003E6588">
      <w:pPr>
        <w:pStyle w:val="PargrafodaLista"/>
        <w:ind w:left="5"/>
        <w:rPr>
          <w:rFonts w:ascii="Times New Roman" w:hAnsi="Times New Roman"/>
          <w:b/>
          <w:sz w:val="24"/>
          <w:szCs w:val="24"/>
          <w:lang w:eastAsia="pt-BR"/>
        </w:rPr>
      </w:pPr>
    </w:p>
    <w:p w:rsidR="003E6588" w:rsidRDefault="003E6588">
      <w:pPr>
        <w:autoSpaceDE w:val="0"/>
        <w:autoSpaceDN w:val="0"/>
        <w:adjustRightInd w:val="0"/>
        <w:ind w:firstLine="1134"/>
        <w:jc w:val="both"/>
        <w:rPr>
          <w:bCs/>
          <w:lang w:eastAsia="en-US"/>
        </w:rPr>
      </w:pPr>
      <w:r>
        <w:rPr>
          <w:bCs/>
        </w:rPr>
        <w:t>Outros dados da atuação da CDHU merecem destaque, entre eles:</w:t>
      </w:r>
    </w:p>
    <w:p w:rsidR="003E6588" w:rsidRDefault="003E6588">
      <w:pPr>
        <w:autoSpaceDE w:val="0"/>
        <w:autoSpaceDN w:val="0"/>
        <w:adjustRightInd w:val="0"/>
        <w:ind w:firstLine="1134"/>
        <w:jc w:val="both"/>
        <w:rPr>
          <w:bCs/>
        </w:rPr>
      </w:pPr>
    </w:p>
    <w:p w:rsidR="003E6588" w:rsidRDefault="003E6588">
      <w:pPr>
        <w:autoSpaceDE w:val="0"/>
        <w:autoSpaceDN w:val="0"/>
        <w:adjustRightInd w:val="0"/>
        <w:ind w:firstLine="1134"/>
        <w:jc w:val="both"/>
        <w:rPr>
          <w:bCs/>
        </w:rPr>
      </w:pPr>
      <w:r>
        <w:rPr>
          <w:bCs/>
        </w:rPr>
        <w:t>- Empreendimentos Iniciados - 114 empreendimentos com 14.032 UHs.</w:t>
      </w:r>
    </w:p>
    <w:p w:rsidR="003E6588" w:rsidRDefault="003E6588">
      <w:pPr>
        <w:autoSpaceDE w:val="0"/>
        <w:autoSpaceDN w:val="0"/>
        <w:adjustRightInd w:val="0"/>
        <w:ind w:firstLine="1134"/>
        <w:jc w:val="both"/>
        <w:rPr>
          <w:bCs/>
        </w:rPr>
      </w:pPr>
    </w:p>
    <w:p w:rsidR="003E6588" w:rsidRDefault="003E6588">
      <w:pPr>
        <w:tabs>
          <w:tab w:val="left" w:pos="1134"/>
        </w:tabs>
        <w:autoSpaceDE w:val="0"/>
        <w:autoSpaceDN w:val="0"/>
        <w:adjustRightInd w:val="0"/>
        <w:ind w:firstLine="1134"/>
        <w:jc w:val="both"/>
        <w:rPr>
          <w:bCs/>
        </w:rPr>
      </w:pPr>
      <w:r>
        <w:rPr>
          <w:bCs/>
        </w:rPr>
        <w:t>- Convênios assinados para produção de UHs - 58 empreendimentos com 8.119 UHs.</w:t>
      </w:r>
    </w:p>
    <w:p w:rsidR="003E6588" w:rsidRDefault="003E6588">
      <w:pPr>
        <w:tabs>
          <w:tab w:val="left" w:pos="1134"/>
        </w:tabs>
        <w:autoSpaceDE w:val="0"/>
        <w:autoSpaceDN w:val="0"/>
        <w:adjustRightInd w:val="0"/>
        <w:ind w:firstLine="1134"/>
        <w:jc w:val="both"/>
        <w:rPr>
          <w:bCs/>
        </w:rPr>
      </w:pPr>
    </w:p>
    <w:p w:rsidR="003E6588" w:rsidRDefault="003E6588">
      <w:pPr>
        <w:tabs>
          <w:tab w:val="left" w:pos="1134"/>
        </w:tabs>
        <w:autoSpaceDE w:val="0"/>
        <w:autoSpaceDN w:val="0"/>
        <w:adjustRightInd w:val="0"/>
        <w:ind w:firstLine="1134"/>
        <w:jc w:val="both"/>
        <w:rPr>
          <w:bCs/>
        </w:rPr>
      </w:pPr>
      <w:r>
        <w:rPr>
          <w:bCs/>
        </w:rPr>
        <w:t>- Contratos assinados para produção de UHs - 84 empreendimentos com 10.002 UHs.</w:t>
      </w:r>
    </w:p>
    <w:p w:rsidR="003E6588" w:rsidRDefault="003E6588">
      <w:pPr>
        <w:tabs>
          <w:tab w:val="left" w:pos="1134"/>
        </w:tabs>
        <w:autoSpaceDE w:val="0"/>
        <w:autoSpaceDN w:val="0"/>
        <w:adjustRightInd w:val="0"/>
        <w:ind w:firstLine="1134"/>
        <w:jc w:val="both"/>
        <w:rPr>
          <w:bCs/>
        </w:rPr>
      </w:pPr>
    </w:p>
    <w:p w:rsidR="003E6588" w:rsidRDefault="003E6588">
      <w:pPr>
        <w:tabs>
          <w:tab w:val="left" w:pos="1134"/>
        </w:tabs>
        <w:autoSpaceDE w:val="0"/>
        <w:autoSpaceDN w:val="0"/>
        <w:adjustRightInd w:val="0"/>
        <w:ind w:firstLine="1134"/>
        <w:jc w:val="both"/>
        <w:rPr>
          <w:bCs/>
        </w:rPr>
      </w:pPr>
      <w:r>
        <w:rPr>
          <w:bCs/>
        </w:rPr>
        <w:t>- Empreendimentos com Projeto Básico Concluído - 67 empreendimentos com 8.854 UHs.</w:t>
      </w:r>
    </w:p>
    <w:p w:rsidR="003E6588" w:rsidRDefault="003E6588">
      <w:pPr>
        <w:tabs>
          <w:tab w:val="left" w:pos="1134"/>
        </w:tabs>
        <w:autoSpaceDE w:val="0"/>
        <w:autoSpaceDN w:val="0"/>
        <w:adjustRightInd w:val="0"/>
        <w:ind w:firstLine="1134"/>
        <w:jc w:val="both"/>
        <w:rPr>
          <w:bCs/>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lang w:eastAsia="pt-BR"/>
        </w:rPr>
        <w:t xml:space="preserve">- Melhorias Habitacionais - </w:t>
      </w:r>
      <w:r>
        <w:rPr>
          <w:rFonts w:ascii="Times New Roman" w:hAnsi="Times New Roman"/>
          <w:sz w:val="24"/>
          <w:szCs w:val="24"/>
        </w:rPr>
        <w:t>160 empreendimentos com 26.285 UHs.</w:t>
      </w:r>
    </w:p>
    <w:p w:rsidR="003E6588" w:rsidRDefault="003E6588">
      <w:pPr>
        <w:autoSpaceDE w:val="0"/>
        <w:autoSpaceDN w:val="0"/>
        <w:adjustRightInd w:val="0"/>
        <w:spacing w:line="240" w:lineRule="atLeast"/>
        <w:rPr>
          <w:b/>
        </w:rPr>
      </w:pPr>
    </w:p>
    <w:p w:rsidR="003E6588" w:rsidRDefault="003E6588">
      <w:pPr>
        <w:pStyle w:val="PargrafodaLista"/>
        <w:ind w:left="0" w:firstLine="1134"/>
        <w:rPr>
          <w:rFonts w:ascii="Times New Roman" w:hAnsi="Times New Roman"/>
          <w:b/>
          <w:sz w:val="24"/>
          <w:szCs w:val="24"/>
          <w:lang w:eastAsia="pt-BR"/>
        </w:rPr>
      </w:pPr>
      <w:r>
        <w:rPr>
          <w:rFonts w:ascii="Times New Roman" w:hAnsi="Times New Roman"/>
          <w:b/>
          <w:sz w:val="24"/>
          <w:szCs w:val="24"/>
          <w:lang w:eastAsia="pt-BR"/>
        </w:rPr>
        <w:t>Total de Atendimentos - Casa Paulista:</w:t>
      </w:r>
    </w:p>
    <w:p w:rsidR="003E6588" w:rsidRDefault="003E6588">
      <w:pPr>
        <w:pStyle w:val="PargrafodaLista"/>
        <w:ind w:left="0" w:firstLine="1134"/>
        <w:rPr>
          <w:rFonts w:ascii="Times New Roman" w:hAnsi="Times New Roman"/>
          <w:b/>
          <w:sz w:val="24"/>
          <w:szCs w:val="24"/>
          <w:lang w:eastAsia="pt-BR"/>
        </w:rPr>
      </w:pPr>
    </w:p>
    <w:p w:rsidR="00400261" w:rsidRDefault="00400261">
      <w:pPr>
        <w:pStyle w:val="PargrafodaLista"/>
        <w:ind w:left="0" w:firstLine="1134"/>
        <w:rPr>
          <w:rFonts w:ascii="Times New Roman" w:hAnsi="Times New Roman"/>
          <w:b/>
          <w:sz w:val="24"/>
          <w:szCs w:val="24"/>
          <w:lang w:eastAsia="pt-BR"/>
        </w:rPr>
      </w:pPr>
    </w:p>
    <w:tbl>
      <w:tblPr>
        <w:tblW w:w="0" w:type="auto"/>
        <w:jc w:val="center"/>
        <w:tblInd w:w="92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tblPr>
      <w:tblGrid>
        <w:gridCol w:w="6945"/>
        <w:gridCol w:w="1349"/>
      </w:tblGrid>
      <w:tr w:rsidR="003E6588" w:rsidTr="001112C9">
        <w:trPr>
          <w:trHeight w:val="193"/>
          <w:jc w:val="center"/>
        </w:trPr>
        <w:tc>
          <w:tcPr>
            <w:tcW w:w="6945" w:type="dxa"/>
            <w:shd w:val="clear" w:color="auto" w:fill="FFFFFF"/>
            <w:vAlign w:val="bottom"/>
            <w:hideMark/>
          </w:tcPr>
          <w:p w:rsidR="003E6588" w:rsidRDefault="003E6588">
            <w:pPr>
              <w:jc w:val="both"/>
              <w:rPr>
                <w:sz w:val="20"/>
                <w:szCs w:val="20"/>
              </w:rPr>
            </w:pPr>
            <w:r>
              <w:rPr>
                <w:sz w:val="20"/>
                <w:szCs w:val="20"/>
              </w:rPr>
              <w:lastRenderedPageBreak/>
              <w:t>Unidades Habitacionais Entregues/Parceria Pmcmv</w:t>
            </w:r>
          </w:p>
        </w:tc>
        <w:tc>
          <w:tcPr>
            <w:tcW w:w="1349" w:type="dxa"/>
            <w:vAlign w:val="bottom"/>
            <w:hideMark/>
          </w:tcPr>
          <w:p w:rsidR="003E6588" w:rsidRDefault="003E6588">
            <w:pPr>
              <w:jc w:val="right"/>
              <w:rPr>
                <w:sz w:val="20"/>
                <w:szCs w:val="20"/>
              </w:rPr>
            </w:pPr>
            <w:r>
              <w:rPr>
                <w:sz w:val="20"/>
                <w:szCs w:val="20"/>
              </w:rPr>
              <w:t>8.192</w:t>
            </w:r>
          </w:p>
        </w:tc>
      </w:tr>
      <w:tr w:rsidR="003E6588" w:rsidTr="001112C9">
        <w:trPr>
          <w:trHeight w:val="83"/>
          <w:jc w:val="center"/>
        </w:trPr>
        <w:tc>
          <w:tcPr>
            <w:tcW w:w="6945" w:type="dxa"/>
            <w:shd w:val="clear" w:color="auto" w:fill="FFFFFF"/>
            <w:vAlign w:val="bottom"/>
            <w:hideMark/>
          </w:tcPr>
          <w:p w:rsidR="003E6588" w:rsidRDefault="003E6588">
            <w:pPr>
              <w:jc w:val="both"/>
              <w:rPr>
                <w:sz w:val="20"/>
                <w:szCs w:val="20"/>
              </w:rPr>
            </w:pPr>
            <w:r>
              <w:rPr>
                <w:sz w:val="20"/>
                <w:szCs w:val="20"/>
              </w:rPr>
              <w:t>Unidades Habitacionais Assinadas/Parceria Pmcmv</w:t>
            </w:r>
          </w:p>
        </w:tc>
        <w:tc>
          <w:tcPr>
            <w:tcW w:w="1349" w:type="dxa"/>
            <w:vAlign w:val="bottom"/>
            <w:hideMark/>
          </w:tcPr>
          <w:p w:rsidR="003E6588" w:rsidRDefault="003E6588">
            <w:pPr>
              <w:jc w:val="right"/>
              <w:rPr>
                <w:sz w:val="20"/>
                <w:szCs w:val="20"/>
              </w:rPr>
            </w:pPr>
            <w:r>
              <w:rPr>
                <w:sz w:val="20"/>
                <w:szCs w:val="20"/>
              </w:rPr>
              <w:t>25.961</w:t>
            </w:r>
          </w:p>
        </w:tc>
      </w:tr>
      <w:tr w:rsidR="003E6588" w:rsidTr="001112C9">
        <w:trPr>
          <w:trHeight w:val="129"/>
          <w:jc w:val="center"/>
        </w:trPr>
        <w:tc>
          <w:tcPr>
            <w:tcW w:w="6945" w:type="dxa"/>
            <w:shd w:val="clear" w:color="auto" w:fill="FFFFFF"/>
            <w:vAlign w:val="bottom"/>
            <w:hideMark/>
          </w:tcPr>
          <w:p w:rsidR="003E6588" w:rsidRDefault="003E6588">
            <w:pPr>
              <w:jc w:val="both"/>
              <w:rPr>
                <w:sz w:val="20"/>
                <w:szCs w:val="20"/>
              </w:rPr>
            </w:pPr>
            <w:r>
              <w:rPr>
                <w:sz w:val="20"/>
                <w:szCs w:val="20"/>
              </w:rPr>
              <w:t>Unidades Habitacionais em Obras/Parceria Pmcmv</w:t>
            </w:r>
          </w:p>
        </w:tc>
        <w:tc>
          <w:tcPr>
            <w:tcW w:w="1349" w:type="dxa"/>
            <w:vAlign w:val="bottom"/>
            <w:hideMark/>
          </w:tcPr>
          <w:p w:rsidR="003E6588" w:rsidRDefault="003E6588">
            <w:pPr>
              <w:jc w:val="right"/>
              <w:rPr>
                <w:sz w:val="20"/>
                <w:szCs w:val="20"/>
              </w:rPr>
            </w:pPr>
            <w:r>
              <w:rPr>
                <w:sz w:val="20"/>
                <w:szCs w:val="20"/>
              </w:rPr>
              <w:t>21.404</w:t>
            </w:r>
          </w:p>
        </w:tc>
      </w:tr>
      <w:tr w:rsidR="003E6588" w:rsidTr="001112C9">
        <w:trPr>
          <w:trHeight w:val="174"/>
          <w:jc w:val="center"/>
        </w:trPr>
        <w:tc>
          <w:tcPr>
            <w:tcW w:w="6945" w:type="dxa"/>
            <w:shd w:val="clear" w:color="auto" w:fill="FFFFFF"/>
            <w:vAlign w:val="bottom"/>
            <w:hideMark/>
          </w:tcPr>
          <w:p w:rsidR="003E6588" w:rsidRDefault="003E6588">
            <w:pPr>
              <w:jc w:val="both"/>
              <w:rPr>
                <w:sz w:val="20"/>
                <w:szCs w:val="20"/>
              </w:rPr>
            </w:pPr>
            <w:r>
              <w:rPr>
                <w:sz w:val="20"/>
                <w:szCs w:val="20"/>
              </w:rPr>
              <w:t>Unidades Habitacionais Entregues/Programa Moradia Melhor</w:t>
            </w:r>
          </w:p>
        </w:tc>
        <w:tc>
          <w:tcPr>
            <w:tcW w:w="1349" w:type="dxa"/>
            <w:vAlign w:val="bottom"/>
            <w:hideMark/>
          </w:tcPr>
          <w:p w:rsidR="003E6588" w:rsidRDefault="003E6588">
            <w:pPr>
              <w:jc w:val="right"/>
              <w:rPr>
                <w:sz w:val="20"/>
                <w:szCs w:val="20"/>
              </w:rPr>
            </w:pPr>
            <w:r>
              <w:rPr>
                <w:sz w:val="20"/>
                <w:szCs w:val="20"/>
              </w:rPr>
              <w:t>60</w:t>
            </w:r>
          </w:p>
        </w:tc>
      </w:tr>
      <w:tr w:rsidR="003E6588" w:rsidTr="001112C9">
        <w:trPr>
          <w:trHeight w:val="78"/>
          <w:jc w:val="center"/>
        </w:trPr>
        <w:tc>
          <w:tcPr>
            <w:tcW w:w="6945" w:type="dxa"/>
            <w:shd w:val="clear" w:color="auto" w:fill="FFFFFF"/>
            <w:vAlign w:val="bottom"/>
            <w:hideMark/>
          </w:tcPr>
          <w:p w:rsidR="003E6588" w:rsidRDefault="003E6588">
            <w:pPr>
              <w:jc w:val="both"/>
              <w:rPr>
                <w:sz w:val="20"/>
                <w:szCs w:val="20"/>
              </w:rPr>
            </w:pPr>
            <w:r>
              <w:rPr>
                <w:sz w:val="20"/>
                <w:szCs w:val="20"/>
              </w:rPr>
              <w:t>Unidades Habitacionais Assinadas/Programa Moradia Melhor</w:t>
            </w:r>
          </w:p>
        </w:tc>
        <w:tc>
          <w:tcPr>
            <w:tcW w:w="1349" w:type="dxa"/>
            <w:vAlign w:val="bottom"/>
            <w:hideMark/>
          </w:tcPr>
          <w:p w:rsidR="003E6588" w:rsidRDefault="003E6588">
            <w:pPr>
              <w:jc w:val="right"/>
              <w:rPr>
                <w:sz w:val="20"/>
                <w:szCs w:val="20"/>
              </w:rPr>
            </w:pPr>
            <w:r>
              <w:rPr>
                <w:sz w:val="20"/>
                <w:szCs w:val="20"/>
              </w:rPr>
              <w:t>1.197</w:t>
            </w:r>
          </w:p>
        </w:tc>
      </w:tr>
      <w:tr w:rsidR="003E6588" w:rsidTr="001112C9">
        <w:trPr>
          <w:trHeight w:val="124"/>
          <w:jc w:val="center"/>
        </w:trPr>
        <w:tc>
          <w:tcPr>
            <w:tcW w:w="6945" w:type="dxa"/>
            <w:shd w:val="clear" w:color="auto" w:fill="FFFFFF"/>
            <w:vAlign w:val="bottom"/>
            <w:hideMark/>
          </w:tcPr>
          <w:p w:rsidR="003E6588" w:rsidRDefault="003E6588">
            <w:pPr>
              <w:jc w:val="both"/>
              <w:rPr>
                <w:sz w:val="20"/>
                <w:szCs w:val="20"/>
              </w:rPr>
            </w:pPr>
            <w:r>
              <w:rPr>
                <w:sz w:val="20"/>
                <w:szCs w:val="20"/>
              </w:rPr>
              <w:t>Unidades Habitacionais em Obras - Programa Moradia Melhor</w:t>
            </w:r>
          </w:p>
        </w:tc>
        <w:tc>
          <w:tcPr>
            <w:tcW w:w="1349" w:type="dxa"/>
            <w:vAlign w:val="bottom"/>
            <w:hideMark/>
          </w:tcPr>
          <w:p w:rsidR="003E6588" w:rsidRDefault="003E6588">
            <w:pPr>
              <w:jc w:val="right"/>
              <w:rPr>
                <w:sz w:val="20"/>
                <w:szCs w:val="20"/>
              </w:rPr>
            </w:pPr>
            <w:r>
              <w:rPr>
                <w:sz w:val="20"/>
                <w:szCs w:val="20"/>
              </w:rPr>
              <w:t>57</w:t>
            </w:r>
          </w:p>
        </w:tc>
      </w:tr>
      <w:tr w:rsidR="003E6588" w:rsidTr="001112C9">
        <w:trPr>
          <w:trHeight w:val="156"/>
          <w:jc w:val="center"/>
        </w:trPr>
        <w:tc>
          <w:tcPr>
            <w:tcW w:w="6945" w:type="dxa"/>
            <w:shd w:val="clear" w:color="auto" w:fill="FFFFFF"/>
            <w:vAlign w:val="bottom"/>
            <w:hideMark/>
          </w:tcPr>
          <w:p w:rsidR="003E6588" w:rsidRDefault="003E6588" w:rsidP="002479D8">
            <w:pPr>
              <w:jc w:val="both"/>
              <w:rPr>
                <w:sz w:val="20"/>
                <w:szCs w:val="20"/>
              </w:rPr>
            </w:pPr>
            <w:r>
              <w:rPr>
                <w:sz w:val="20"/>
                <w:szCs w:val="20"/>
              </w:rPr>
              <w:t xml:space="preserve">Unidades Habitacionais em Andamento/Parceria Público-Privada </w:t>
            </w:r>
            <w:r w:rsidR="002479D8">
              <w:rPr>
                <w:sz w:val="20"/>
                <w:szCs w:val="20"/>
              </w:rPr>
              <w:t xml:space="preserve">- </w:t>
            </w:r>
            <w:r>
              <w:rPr>
                <w:sz w:val="20"/>
                <w:szCs w:val="20"/>
              </w:rPr>
              <w:t>PPP</w:t>
            </w:r>
          </w:p>
        </w:tc>
        <w:tc>
          <w:tcPr>
            <w:tcW w:w="1349" w:type="dxa"/>
            <w:vAlign w:val="bottom"/>
            <w:hideMark/>
          </w:tcPr>
          <w:p w:rsidR="003E6588" w:rsidRDefault="003E6588">
            <w:pPr>
              <w:jc w:val="right"/>
              <w:rPr>
                <w:sz w:val="20"/>
                <w:szCs w:val="20"/>
              </w:rPr>
            </w:pPr>
            <w:r>
              <w:rPr>
                <w:sz w:val="20"/>
                <w:szCs w:val="20"/>
              </w:rPr>
              <w:t>3.683</w:t>
            </w:r>
          </w:p>
        </w:tc>
      </w:tr>
      <w:tr w:rsidR="003E6588" w:rsidTr="001112C9">
        <w:trPr>
          <w:trHeight w:val="60"/>
          <w:jc w:val="center"/>
        </w:trPr>
        <w:tc>
          <w:tcPr>
            <w:tcW w:w="6945" w:type="dxa"/>
            <w:shd w:val="clear" w:color="auto" w:fill="FFFFFF"/>
            <w:vAlign w:val="bottom"/>
            <w:hideMark/>
          </w:tcPr>
          <w:p w:rsidR="003E6588" w:rsidRDefault="003E6588">
            <w:pPr>
              <w:jc w:val="both"/>
              <w:rPr>
                <w:sz w:val="20"/>
                <w:szCs w:val="20"/>
              </w:rPr>
            </w:pPr>
            <w:r>
              <w:rPr>
                <w:sz w:val="20"/>
                <w:szCs w:val="20"/>
              </w:rPr>
              <w:t>Lotes - Assinados/Programa Lotes Urbanizados</w:t>
            </w:r>
          </w:p>
        </w:tc>
        <w:tc>
          <w:tcPr>
            <w:tcW w:w="1349" w:type="dxa"/>
            <w:vAlign w:val="bottom"/>
            <w:hideMark/>
          </w:tcPr>
          <w:p w:rsidR="003E6588" w:rsidRDefault="003E6588">
            <w:pPr>
              <w:jc w:val="right"/>
              <w:rPr>
                <w:sz w:val="20"/>
                <w:szCs w:val="20"/>
              </w:rPr>
            </w:pPr>
            <w:r>
              <w:rPr>
                <w:sz w:val="20"/>
                <w:szCs w:val="20"/>
              </w:rPr>
              <w:t>270</w:t>
            </w:r>
          </w:p>
        </w:tc>
      </w:tr>
      <w:tr w:rsidR="003E6588" w:rsidTr="001112C9">
        <w:trPr>
          <w:trHeight w:val="106"/>
          <w:jc w:val="center"/>
        </w:trPr>
        <w:tc>
          <w:tcPr>
            <w:tcW w:w="6945" w:type="dxa"/>
            <w:shd w:val="clear" w:color="auto" w:fill="FFFFFF"/>
            <w:vAlign w:val="bottom"/>
            <w:hideMark/>
          </w:tcPr>
          <w:p w:rsidR="003E6588" w:rsidRDefault="003E6588">
            <w:pPr>
              <w:jc w:val="both"/>
              <w:rPr>
                <w:sz w:val="20"/>
                <w:szCs w:val="20"/>
              </w:rPr>
            </w:pPr>
            <w:r>
              <w:rPr>
                <w:sz w:val="20"/>
                <w:szCs w:val="20"/>
              </w:rPr>
              <w:t>Lotes - Em obras/Programa Lotes Urbanizados</w:t>
            </w:r>
          </w:p>
        </w:tc>
        <w:tc>
          <w:tcPr>
            <w:tcW w:w="1349" w:type="dxa"/>
            <w:vAlign w:val="bottom"/>
            <w:hideMark/>
          </w:tcPr>
          <w:p w:rsidR="003E6588" w:rsidRDefault="003E6588">
            <w:pPr>
              <w:jc w:val="right"/>
              <w:rPr>
                <w:sz w:val="20"/>
                <w:szCs w:val="20"/>
              </w:rPr>
            </w:pPr>
            <w:r>
              <w:rPr>
                <w:sz w:val="20"/>
                <w:szCs w:val="20"/>
              </w:rPr>
              <w:t>253</w:t>
            </w:r>
          </w:p>
        </w:tc>
      </w:tr>
      <w:tr w:rsidR="003E6588" w:rsidTr="001112C9">
        <w:trPr>
          <w:trHeight w:val="152"/>
          <w:jc w:val="center"/>
        </w:trPr>
        <w:tc>
          <w:tcPr>
            <w:tcW w:w="6945" w:type="dxa"/>
            <w:shd w:val="clear" w:color="auto" w:fill="FFFFFF"/>
            <w:vAlign w:val="bottom"/>
            <w:hideMark/>
          </w:tcPr>
          <w:p w:rsidR="003E6588" w:rsidRDefault="003E6588">
            <w:pPr>
              <w:jc w:val="both"/>
              <w:rPr>
                <w:sz w:val="20"/>
                <w:szCs w:val="20"/>
              </w:rPr>
            </w:pPr>
            <w:r>
              <w:rPr>
                <w:sz w:val="20"/>
                <w:szCs w:val="20"/>
              </w:rPr>
              <w:t>Urbanizações - Assinados/Programa Desenvolvimento Urbano</w:t>
            </w:r>
          </w:p>
        </w:tc>
        <w:tc>
          <w:tcPr>
            <w:tcW w:w="1349" w:type="dxa"/>
            <w:vAlign w:val="bottom"/>
            <w:hideMark/>
          </w:tcPr>
          <w:p w:rsidR="003E6588" w:rsidRDefault="003E6588">
            <w:pPr>
              <w:jc w:val="right"/>
              <w:rPr>
                <w:sz w:val="20"/>
                <w:szCs w:val="20"/>
              </w:rPr>
            </w:pPr>
            <w:r>
              <w:rPr>
                <w:sz w:val="20"/>
                <w:szCs w:val="20"/>
              </w:rPr>
              <w:t>1.440</w:t>
            </w:r>
          </w:p>
        </w:tc>
      </w:tr>
      <w:tr w:rsidR="003E6588" w:rsidTr="001112C9">
        <w:trPr>
          <w:trHeight w:val="55"/>
          <w:jc w:val="center"/>
        </w:trPr>
        <w:tc>
          <w:tcPr>
            <w:tcW w:w="6945" w:type="dxa"/>
            <w:shd w:val="clear" w:color="auto" w:fill="FFFFFF"/>
            <w:vAlign w:val="bottom"/>
            <w:hideMark/>
          </w:tcPr>
          <w:p w:rsidR="003E6588" w:rsidRDefault="003E6588">
            <w:pPr>
              <w:jc w:val="both"/>
              <w:rPr>
                <w:sz w:val="20"/>
                <w:szCs w:val="20"/>
              </w:rPr>
            </w:pPr>
            <w:r>
              <w:rPr>
                <w:sz w:val="20"/>
                <w:szCs w:val="20"/>
              </w:rPr>
              <w:t>Carta Crédito - Entregues/Contratos Assinados/Programa Servidor Público</w:t>
            </w:r>
          </w:p>
        </w:tc>
        <w:tc>
          <w:tcPr>
            <w:tcW w:w="1349" w:type="dxa"/>
            <w:vAlign w:val="bottom"/>
            <w:hideMark/>
          </w:tcPr>
          <w:p w:rsidR="003E6588" w:rsidRDefault="003E6588">
            <w:pPr>
              <w:jc w:val="right"/>
              <w:rPr>
                <w:sz w:val="20"/>
                <w:szCs w:val="20"/>
              </w:rPr>
            </w:pPr>
            <w:r>
              <w:rPr>
                <w:sz w:val="20"/>
                <w:szCs w:val="20"/>
              </w:rPr>
              <w:t>2.148</w:t>
            </w:r>
          </w:p>
        </w:tc>
      </w:tr>
      <w:tr w:rsidR="003E6588" w:rsidTr="001112C9">
        <w:trPr>
          <w:trHeight w:val="386"/>
          <w:jc w:val="center"/>
        </w:trPr>
        <w:tc>
          <w:tcPr>
            <w:tcW w:w="6945" w:type="dxa"/>
            <w:shd w:val="clear" w:color="auto" w:fill="FFFFFF"/>
            <w:vAlign w:val="bottom"/>
            <w:hideMark/>
          </w:tcPr>
          <w:p w:rsidR="00400261" w:rsidRDefault="003E6588">
            <w:pPr>
              <w:ind w:right="-142"/>
              <w:jc w:val="both"/>
              <w:rPr>
                <w:sz w:val="20"/>
                <w:szCs w:val="20"/>
              </w:rPr>
            </w:pPr>
            <w:r>
              <w:rPr>
                <w:sz w:val="20"/>
                <w:szCs w:val="20"/>
              </w:rPr>
              <w:t xml:space="preserve">Carta Crédito - Entregues/Contratos Assinados/Programa Microcrédito </w:t>
            </w:r>
            <w:r w:rsidR="001112C9">
              <w:rPr>
                <w:sz w:val="20"/>
                <w:szCs w:val="20"/>
              </w:rPr>
              <w:t>-</w:t>
            </w:r>
            <w:r>
              <w:rPr>
                <w:sz w:val="20"/>
                <w:szCs w:val="20"/>
              </w:rPr>
              <w:t xml:space="preserve"> Parceria</w:t>
            </w:r>
          </w:p>
          <w:p w:rsidR="003E6588" w:rsidRDefault="003E6588">
            <w:pPr>
              <w:ind w:right="-142"/>
              <w:jc w:val="both"/>
              <w:rPr>
                <w:sz w:val="20"/>
                <w:szCs w:val="20"/>
              </w:rPr>
            </w:pPr>
            <w:r>
              <w:rPr>
                <w:sz w:val="20"/>
                <w:szCs w:val="20"/>
              </w:rPr>
              <w:t>com Banco do Povo Paulista/SERT</w:t>
            </w:r>
          </w:p>
        </w:tc>
        <w:tc>
          <w:tcPr>
            <w:tcW w:w="1349" w:type="dxa"/>
            <w:vAlign w:val="bottom"/>
            <w:hideMark/>
          </w:tcPr>
          <w:p w:rsidR="003E6588" w:rsidRDefault="003E6588">
            <w:pPr>
              <w:jc w:val="right"/>
              <w:rPr>
                <w:sz w:val="20"/>
                <w:szCs w:val="20"/>
              </w:rPr>
            </w:pPr>
            <w:r>
              <w:rPr>
                <w:sz w:val="20"/>
                <w:szCs w:val="20"/>
              </w:rPr>
              <w:t>735</w:t>
            </w:r>
          </w:p>
        </w:tc>
      </w:tr>
      <w:tr w:rsidR="003E6588" w:rsidTr="001112C9">
        <w:trPr>
          <w:trHeight w:val="194"/>
          <w:jc w:val="center"/>
        </w:trPr>
        <w:tc>
          <w:tcPr>
            <w:tcW w:w="6945" w:type="dxa"/>
            <w:shd w:val="clear" w:color="auto" w:fill="FFFFFF"/>
            <w:vAlign w:val="bottom"/>
            <w:hideMark/>
          </w:tcPr>
          <w:p w:rsidR="003E6588" w:rsidRDefault="003E6588">
            <w:pPr>
              <w:jc w:val="both"/>
              <w:rPr>
                <w:sz w:val="20"/>
                <w:szCs w:val="20"/>
              </w:rPr>
            </w:pPr>
            <w:r>
              <w:rPr>
                <w:b/>
                <w:sz w:val="20"/>
                <w:szCs w:val="20"/>
              </w:rPr>
              <w:t>Total de Atendimentos Casa Paulista (2)</w:t>
            </w:r>
          </w:p>
        </w:tc>
        <w:tc>
          <w:tcPr>
            <w:tcW w:w="1349" w:type="dxa"/>
            <w:shd w:val="clear" w:color="auto" w:fill="FFFFFF"/>
            <w:vAlign w:val="bottom"/>
            <w:hideMark/>
          </w:tcPr>
          <w:p w:rsidR="003E6588" w:rsidRDefault="003E6588">
            <w:pPr>
              <w:jc w:val="right"/>
              <w:rPr>
                <w:b/>
                <w:sz w:val="20"/>
                <w:szCs w:val="20"/>
              </w:rPr>
            </w:pPr>
            <w:r>
              <w:rPr>
                <w:b/>
                <w:sz w:val="20"/>
                <w:szCs w:val="20"/>
              </w:rPr>
              <w:t>65.400</w:t>
            </w:r>
          </w:p>
        </w:tc>
      </w:tr>
    </w:tbl>
    <w:p w:rsidR="003E6588" w:rsidRDefault="003E6588">
      <w:pPr>
        <w:rPr>
          <w:sz w:val="16"/>
          <w:szCs w:val="16"/>
          <w:lang w:eastAsia="en-US"/>
        </w:rPr>
      </w:pPr>
    </w:p>
    <w:tbl>
      <w:tblPr>
        <w:tblW w:w="0" w:type="auto"/>
        <w:jc w:val="center"/>
        <w:tblInd w:w="93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tblPr>
      <w:tblGrid>
        <w:gridCol w:w="6945"/>
        <w:gridCol w:w="1352"/>
      </w:tblGrid>
      <w:tr w:rsidR="003E6588" w:rsidTr="001112C9">
        <w:trPr>
          <w:trHeight w:val="255"/>
          <w:jc w:val="center"/>
        </w:trPr>
        <w:tc>
          <w:tcPr>
            <w:tcW w:w="6945" w:type="dxa"/>
            <w:shd w:val="clear" w:color="auto" w:fill="FFFFFF"/>
            <w:vAlign w:val="bottom"/>
            <w:hideMark/>
          </w:tcPr>
          <w:p w:rsidR="003E6588" w:rsidRDefault="003E6588">
            <w:pPr>
              <w:jc w:val="both"/>
              <w:rPr>
                <w:b/>
                <w:sz w:val="20"/>
                <w:szCs w:val="20"/>
              </w:rPr>
            </w:pPr>
            <w:r>
              <w:rPr>
                <w:b/>
                <w:sz w:val="20"/>
                <w:szCs w:val="20"/>
              </w:rPr>
              <w:t>Total Geral de Atendimentos SH (CDHU (1) + Casa Paulista (2))</w:t>
            </w:r>
          </w:p>
        </w:tc>
        <w:tc>
          <w:tcPr>
            <w:tcW w:w="1352" w:type="dxa"/>
            <w:shd w:val="clear" w:color="auto" w:fill="FFFFFF"/>
            <w:vAlign w:val="bottom"/>
            <w:hideMark/>
          </w:tcPr>
          <w:p w:rsidR="003E6588" w:rsidRDefault="003E6588">
            <w:pPr>
              <w:jc w:val="right"/>
              <w:rPr>
                <w:b/>
                <w:sz w:val="20"/>
                <w:szCs w:val="20"/>
              </w:rPr>
            </w:pPr>
            <w:r>
              <w:rPr>
                <w:b/>
                <w:sz w:val="20"/>
                <w:szCs w:val="20"/>
              </w:rPr>
              <w:t>128.442</w:t>
            </w:r>
          </w:p>
        </w:tc>
      </w:tr>
    </w:tbl>
    <w:p w:rsidR="003E6588" w:rsidRDefault="003E6588">
      <w:pPr>
        <w:pStyle w:val="PargrafodaLista"/>
        <w:ind w:left="5"/>
        <w:rPr>
          <w:rFonts w:ascii="Times New Roman" w:hAnsi="Times New Roman"/>
          <w:b/>
          <w:sz w:val="24"/>
          <w:szCs w:val="24"/>
          <w:lang w:eastAsia="pt-BR"/>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b/>
          <w:sz w:val="24"/>
          <w:szCs w:val="24"/>
          <w:lang w:eastAsia="pt-BR"/>
        </w:rPr>
        <w:t xml:space="preserve">Atendimentos por Unidades, Urbanizações, Lotes, Cartas de Crédito e Crédito para Reforma - por Programa PPA, Ação PPA e Programa Habitacional - </w:t>
      </w:r>
      <w:r>
        <w:rPr>
          <w:rFonts w:ascii="Times New Roman" w:hAnsi="Times New Roman"/>
          <w:sz w:val="24"/>
          <w:szCs w:val="24"/>
        </w:rPr>
        <w:t>A seguir, o desempenho em números de Unidades Habitacionais - UHs conforme meta PPA:</w:t>
      </w:r>
    </w:p>
    <w:p w:rsidR="003E6588" w:rsidRDefault="003E6588">
      <w:pPr>
        <w:pStyle w:val="PargrafodaLista"/>
        <w:tabs>
          <w:tab w:val="left" w:pos="426"/>
        </w:tabs>
        <w:ind w:left="0" w:firstLine="1134"/>
      </w:pPr>
    </w:p>
    <w:p w:rsidR="003E6588" w:rsidRDefault="003E6588">
      <w:pPr>
        <w:pStyle w:val="PargrafodaLista"/>
        <w:ind w:left="0" w:firstLine="1134"/>
        <w:rPr>
          <w:rFonts w:ascii="Times New Roman" w:hAnsi="Times New Roman"/>
          <w:sz w:val="24"/>
          <w:szCs w:val="24"/>
          <w:lang w:eastAsia="pt-BR"/>
        </w:rPr>
      </w:pPr>
      <w:r>
        <w:rPr>
          <w:rFonts w:ascii="Times New Roman" w:hAnsi="Times New Roman"/>
          <w:sz w:val="24"/>
          <w:szCs w:val="24"/>
          <w:lang w:eastAsia="pt-BR"/>
        </w:rPr>
        <w:t>CDHU unidades habitacionais entregues, Obras de urbanização de favelas e cartas de crédito e; Casa Paulista - unidades habitacionais entregues, assinadas e em obras, lotes assinados, em obras e em andamento (via Parceria Público-Privada - PPP), cartas de crédito e microcrédito para reformas em parceria com o Banco do Povo Paulista, da Secretaria do Emprego e Relações do Trabalho - SERT.</w:t>
      </w:r>
    </w:p>
    <w:p w:rsidR="003E6588" w:rsidRDefault="003E6588">
      <w:pPr>
        <w:ind w:firstLine="284"/>
        <w:jc w:val="both"/>
      </w:pPr>
    </w:p>
    <w:tbl>
      <w:tblPr>
        <w:tblW w:w="10358" w:type="dxa"/>
        <w:tblInd w:w="15" w:type="dxa"/>
        <w:tblLayout w:type="fixed"/>
        <w:tblCellMar>
          <w:left w:w="0" w:type="dxa"/>
          <w:right w:w="0" w:type="dxa"/>
        </w:tblCellMar>
        <w:tblLook w:val="04A0"/>
      </w:tblPr>
      <w:tblGrid>
        <w:gridCol w:w="1840"/>
        <w:gridCol w:w="2830"/>
        <w:gridCol w:w="2830"/>
        <w:gridCol w:w="849"/>
        <w:gridCol w:w="848"/>
        <w:gridCol w:w="844"/>
        <w:gridCol w:w="30"/>
        <w:gridCol w:w="287"/>
      </w:tblGrid>
      <w:tr w:rsidR="003E6588" w:rsidTr="00400261">
        <w:trPr>
          <w:gridAfter w:val="2"/>
          <w:wAfter w:w="308" w:type="dxa"/>
          <w:cantSplit/>
          <w:trHeight w:val="296"/>
        </w:trPr>
        <w:tc>
          <w:tcPr>
            <w:tcW w:w="1843"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sz w:val="18"/>
                <w:szCs w:val="18"/>
              </w:rPr>
            </w:pPr>
            <w:r>
              <w:rPr>
                <w:b/>
                <w:sz w:val="18"/>
                <w:szCs w:val="18"/>
              </w:rPr>
              <w:t>Programa PPA</w:t>
            </w: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sz w:val="18"/>
                <w:szCs w:val="18"/>
              </w:rPr>
            </w:pPr>
            <w:r>
              <w:rPr>
                <w:b/>
                <w:sz w:val="18"/>
                <w:szCs w:val="18"/>
              </w:rPr>
              <w:t>Ação PPA</w:t>
            </w: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sz w:val="18"/>
                <w:szCs w:val="18"/>
              </w:rPr>
            </w:pPr>
            <w:r>
              <w:rPr>
                <w:b/>
                <w:sz w:val="18"/>
                <w:szCs w:val="18"/>
              </w:rPr>
              <w:t>Programa Habitacional</w:t>
            </w:r>
          </w:p>
        </w:tc>
        <w:tc>
          <w:tcPr>
            <w:tcW w:w="85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sz w:val="18"/>
                <w:szCs w:val="18"/>
              </w:rPr>
            </w:pPr>
            <w:r>
              <w:rPr>
                <w:b/>
                <w:sz w:val="18"/>
                <w:szCs w:val="18"/>
              </w:rPr>
              <w:t>CDHU</w:t>
            </w:r>
          </w:p>
        </w:tc>
        <w:tc>
          <w:tcPr>
            <w:tcW w:w="85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sz w:val="18"/>
                <w:szCs w:val="18"/>
              </w:rPr>
            </w:pPr>
            <w:r>
              <w:rPr>
                <w:b/>
                <w:sz w:val="18"/>
                <w:szCs w:val="18"/>
              </w:rPr>
              <w:t>Casa Paulista</w:t>
            </w:r>
          </w:p>
        </w:tc>
        <w:tc>
          <w:tcPr>
            <w:tcW w:w="846"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sz w:val="18"/>
                <w:szCs w:val="18"/>
              </w:rPr>
            </w:pPr>
            <w:r>
              <w:rPr>
                <w:b/>
                <w:sz w:val="18"/>
                <w:szCs w:val="18"/>
              </w:rPr>
              <w:t>TOTAL</w:t>
            </w:r>
          </w:p>
        </w:tc>
      </w:tr>
      <w:tr w:rsidR="003E6588" w:rsidTr="00400261">
        <w:trPr>
          <w:gridAfter w:val="2"/>
          <w:wAfter w:w="308" w:type="dxa"/>
          <w:cantSplit/>
          <w:trHeight w:val="51"/>
        </w:trPr>
        <w:tc>
          <w:tcPr>
            <w:tcW w:w="1843"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2508 - Provisão de Moradias</w:t>
            </w:r>
          </w:p>
        </w:tc>
        <w:tc>
          <w:tcPr>
            <w:tcW w:w="2835"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2006 - Produção de Moradias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Parceria Municípios</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8.412</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8.765</w:t>
            </w:r>
          </w:p>
        </w:tc>
      </w:tr>
      <w:tr w:rsidR="003E6588" w:rsidTr="00400261">
        <w:trPr>
          <w:gridAfter w:val="2"/>
          <w:wAfter w:w="308" w:type="dxa"/>
          <w:cantSplit/>
          <w:trHeight w:val="112"/>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Parceria Associações e Cooperativas</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184</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r>
      <w:tr w:rsidR="003E6588" w:rsidTr="00400261">
        <w:trPr>
          <w:gridAfter w:val="2"/>
          <w:wAfter w:w="308" w:type="dxa"/>
          <w:cantSplit/>
          <w:trHeight w:val="44"/>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Moradia Indígena</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29</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r>
      <w:tr w:rsidR="003E6588" w:rsidTr="00400261">
        <w:trPr>
          <w:gridAfter w:val="2"/>
          <w:wAfter w:w="308" w:type="dxa"/>
          <w:cantSplit/>
          <w:trHeight w:val="104"/>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Vila Dignidade</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140</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r>
      <w:tr w:rsidR="003E6588" w:rsidTr="00400261">
        <w:trPr>
          <w:gridAfter w:val="2"/>
          <w:wAfter w:w="308" w:type="dxa"/>
          <w:cantSplit/>
          <w:trHeight w:val="164"/>
        </w:trPr>
        <w:tc>
          <w:tcPr>
            <w:tcW w:w="1843"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2509 - Requalificação Habitacional e Urbana</w:t>
            </w:r>
          </w:p>
        </w:tc>
        <w:tc>
          <w:tcPr>
            <w:tcW w:w="2835"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2431 - Revitalização de Áreas Centrais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Atuação em Cortiços</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44</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1.490</w:t>
            </w:r>
          </w:p>
        </w:tc>
      </w:tr>
      <w:tr w:rsidR="003E6588" w:rsidTr="00400261">
        <w:trPr>
          <w:gridAfter w:val="2"/>
          <w:wAfter w:w="308" w:type="dxa"/>
          <w:cantSplit/>
          <w:trHeight w:val="96"/>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Reassentamento - Carta de Crédito</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6</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color w:val="0070C0"/>
                <w:sz w:val="18"/>
                <w:szCs w:val="18"/>
              </w:rPr>
            </w:pPr>
            <w:r>
              <w:rPr>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r>
      <w:tr w:rsidR="003E6588" w:rsidTr="00400261">
        <w:trPr>
          <w:gridAfter w:val="2"/>
          <w:wAfter w:w="308" w:type="dxa"/>
          <w:cantSplit/>
          <w:trHeight w:val="170"/>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5057 - Melhorias Urbanas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Programa de Desenvolvimento Urbano</w:t>
            </w:r>
          </w:p>
        </w:tc>
        <w:tc>
          <w:tcPr>
            <w:tcW w:w="851" w:type="dxa"/>
            <w:tcBorders>
              <w:top w:val="single" w:sz="8" w:space="0" w:color="auto"/>
              <w:left w:val="single" w:sz="8" w:space="0" w:color="auto"/>
              <w:bottom w:val="single" w:sz="8" w:space="0" w:color="auto"/>
              <w:right w:val="single" w:sz="8" w:space="0" w:color="auto"/>
            </w:tcBorders>
            <w:vAlign w:val="center"/>
          </w:tcPr>
          <w:p w:rsidR="003E6588" w:rsidRDefault="003E6588">
            <w:pPr>
              <w:rPr>
                <w:sz w:val="18"/>
                <w:szCs w:val="18"/>
              </w:rPr>
            </w:pP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1.440</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r>
      <w:tr w:rsidR="003E6588" w:rsidTr="00400261">
        <w:trPr>
          <w:gridAfter w:val="2"/>
          <w:wAfter w:w="308" w:type="dxa"/>
          <w:cantSplit/>
          <w:trHeight w:val="230"/>
        </w:trPr>
        <w:tc>
          <w:tcPr>
            <w:tcW w:w="1843"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2510 - Urbanização de Favelas e Assentamen-tos Precários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2005 - Urbanização de Favelas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Urbanização de Favelas</w:t>
            </w:r>
          </w:p>
        </w:tc>
        <w:tc>
          <w:tcPr>
            <w:tcW w:w="851" w:type="dxa"/>
            <w:tcBorders>
              <w:top w:val="single" w:sz="8" w:space="0" w:color="auto"/>
              <w:left w:val="single" w:sz="8" w:space="0" w:color="auto"/>
              <w:bottom w:val="single" w:sz="8" w:space="0" w:color="auto"/>
              <w:right w:val="single" w:sz="8" w:space="0" w:color="auto"/>
            </w:tcBorders>
            <w:vAlign w:val="center"/>
          </w:tcPr>
          <w:p w:rsidR="003E6588" w:rsidRDefault="003E6588">
            <w:pPr>
              <w:rPr>
                <w:sz w:val="18"/>
                <w:szCs w:val="18"/>
              </w:rPr>
            </w:pP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FF0000"/>
                <w:sz w:val="18"/>
                <w:szCs w:val="18"/>
              </w:rPr>
            </w:pPr>
            <w:r>
              <w:rPr>
                <w:b/>
                <w:sz w:val="18"/>
                <w:szCs w:val="18"/>
              </w:rPr>
              <w:t>1.245</w:t>
            </w:r>
          </w:p>
        </w:tc>
      </w:tr>
      <w:tr w:rsidR="003E6588" w:rsidTr="00400261">
        <w:trPr>
          <w:gridAfter w:val="2"/>
          <w:wAfter w:w="308" w:type="dxa"/>
          <w:cantSplit/>
          <w:trHeight w:val="192"/>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2004 - Reassentamento Habitacional de Risco e Favelas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Reassentamento Habitacional</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1.093</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color w:val="FF0000"/>
                <w:sz w:val="18"/>
                <w:szCs w:val="18"/>
              </w:rPr>
            </w:pPr>
          </w:p>
        </w:tc>
      </w:tr>
      <w:tr w:rsidR="003E6588" w:rsidTr="00400261">
        <w:trPr>
          <w:gridAfter w:val="2"/>
          <w:wAfter w:w="308" w:type="dxa"/>
          <w:cantSplit/>
          <w:trHeight w:val="194"/>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Reassentamento - Carta de Crédito</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152</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color w:val="FF0000"/>
                <w:sz w:val="18"/>
                <w:szCs w:val="18"/>
              </w:rPr>
            </w:pPr>
          </w:p>
        </w:tc>
      </w:tr>
      <w:tr w:rsidR="003E6588" w:rsidTr="00400261">
        <w:trPr>
          <w:gridAfter w:val="2"/>
          <w:wAfter w:w="308" w:type="dxa"/>
          <w:cantSplit/>
          <w:trHeight w:val="147"/>
        </w:trPr>
        <w:tc>
          <w:tcPr>
            <w:tcW w:w="1843"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3906 - Saneamento Ambiental</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1440 - Mananciais do Alto Tietê</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Urbanização</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229</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FF0000"/>
                <w:sz w:val="18"/>
                <w:szCs w:val="18"/>
              </w:rPr>
            </w:pPr>
            <w:r>
              <w:rPr>
                <w:b/>
                <w:sz w:val="18"/>
                <w:szCs w:val="18"/>
              </w:rPr>
              <w:t>1.504</w:t>
            </w:r>
          </w:p>
        </w:tc>
      </w:tr>
      <w:tr w:rsidR="003E6588" w:rsidTr="00400261">
        <w:trPr>
          <w:gridAfter w:val="2"/>
          <w:wAfter w:w="308" w:type="dxa"/>
          <w:cantSplit/>
          <w:trHeight w:val="208"/>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1998 - Recuperação Socioambiental da Serra do Mar</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Urbanização</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278</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color w:val="FF0000"/>
                <w:sz w:val="18"/>
                <w:szCs w:val="18"/>
              </w:rPr>
            </w:pPr>
          </w:p>
        </w:tc>
      </w:tr>
      <w:tr w:rsidR="003E6588" w:rsidTr="00400261">
        <w:trPr>
          <w:gridAfter w:val="2"/>
          <w:wAfter w:w="308" w:type="dxa"/>
          <w:cantSplit/>
          <w:trHeight w:val="166"/>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Reassentamento - Carta de Crédito</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2</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color w:val="FF0000"/>
                <w:sz w:val="18"/>
                <w:szCs w:val="18"/>
              </w:rPr>
            </w:pPr>
          </w:p>
        </w:tc>
      </w:tr>
      <w:tr w:rsidR="003E6588" w:rsidTr="00400261">
        <w:trPr>
          <w:gridAfter w:val="2"/>
          <w:wAfter w:w="308" w:type="dxa"/>
          <w:cantSplit/>
          <w:trHeight w:val="120"/>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2432 - Habitação Sustentável no Litoral Paulista</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Parceria Municípios</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color w:val="FF0000"/>
                <w:sz w:val="18"/>
                <w:szCs w:val="18"/>
              </w:rPr>
            </w:pPr>
          </w:p>
        </w:tc>
      </w:tr>
      <w:tr w:rsidR="003E6588" w:rsidTr="00400261">
        <w:trPr>
          <w:gridAfter w:val="2"/>
          <w:wAfter w:w="308" w:type="dxa"/>
          <w:cantSplit/>
          <w:trHeight w:val="162"/>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Moradia Quilombola</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41</w:t>
            </w:r>
          </w:p>
        </w:tc>
        <w:tc>
          <w:tcPr>
            <w:tcW w:w="850" w:type="dxa"/>
            <w:tcBorders>
              <w:top w:val="single" w:sz="8" w:space="0" w:color="auto"/>
              <w:left w:val="single" w:sz="8" w:space="0" w:color="auto"/>
              <w:bottom w:val="single" w:sz="8" w:space="0" w:color="auto"/>
              <w:right w:val="single" w:sz="8" w:space="0" w:color="auto"/>
            </w:tcBorders>
            <w:vAlign w:val="center"/>
          </w:tcPr>
          <w:p w:rsidR="003E6588" w:rsidRDefault="003E6588">
            <w:pPr>
              <w:jc w:val="right"/>
              <w:rPr>
                <w:b/>
                <w:color w:val="0070C0"/>
                <w:sz w:val="18"/>
                <w:szCs w:val="18"/>
              </w:rPr>
            </w:pP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color w:val="FF0000"/>
                <w:sz w:val="18"/>
                <w:szCs w:val="18"/>
              </w:rPr>
            </w:pPr>
          </w:p>
        </w:tc>
      </w:tr>
      <w:tr w:rsidR="003E6588" w:rsidTr="00400261">
        <w:trPr>
          <w:gridAfter w:val="2"/>
          <w:wAfter w:w="308" w:type="dxa"/>
          <w:cantSplit/>
          <w:trHeight w:val="44"/>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 xml:space="preserve">Reassentamento Habitacional </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954</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color w:val="0070C0"/>
                <w:sz w:val="18"/>
                <w:szCs w:val="18"/>
              </w:rPr>
            </w:pPr>
            <w:r>
              <w:rPr>
                <w:b/>
                <w:color w:val="0070C0"/>
                <w:sz w:val="18"/>
                <w:szCs w:val="18"/>
              </w:rPr>
              <w:t>-</w:t>
            </w: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color w:val="FF0000"/>
                <w:sz w:val="18"/>
                <w:szCs w:val="18"/>
              </w:rPr>
            </w:pPr>
          </w:p>
        </w:tc>
      </w:tr>
      <w:tr w:rsidR="003E6588" w:rsidTr="00400261">
        <w:trPr>
          <w:gridAfter w:val="2"/>
          <w:wAfter w:w="308" w:type="dxa"/>
          <w:cantSplit/>
          <w:trHeight w:val="476"/>
        </w:trPr>
        <w:tc>
          <w:tcPr>
            <w:tcW w:w="1843"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r>
              <w:rPr>
                <w:sz w:val="18"/>
                <w:szCs w:val="18"/>
              </w:rPr>
              <w:t xml:space="preserve">2505 - Fomento à Habitação de Interesse </w:t>
            </w:r>
            <w:r>
              <w:rPr>
                <w:sz w:val="18"/>
                <w:szCs w:val="18"/>
              </w:rPr>
              <w:lastRenderedPageBreak/>
              <w:t>Social - Casa Paulista</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lastRenderedPageBreak/>
              <w:t>2276 - Apoio ao Crédito Habitacional</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Servidor Público Estadual</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sz w:val="18"/>
                <w:szCs w:val="18"/>
              </w:rPr>
            </w:pPr>
            <w:r>
              <w:rPr>
                <w:sz w:val="18"/>
                <w:szCs w:val="18"/>
              </w:rPr>
              <w:t>-</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2.148</w:t>
            </w:r>
          </w:p>
        </w:tc>
        <w:tc>
          <w:tcPr>
            <w:tcW w:w="846"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2.148</w:t>
            </w:r>
          </w:p>
        </w:tc>
      </w:tr>
      <w:tr w:rsidR="003E6588" w:rsidTr="00400261">
        <w:trPr>
          <w:gridAfter w:val="2"/>
          <w:wAfter w:w="308" w:type="dxa"/>
          <w:cantSplit/>
          <w:trHeight w:val="279"/>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2486 - Participação do Estado no Programa Nacional de Habitação Urbana - FAR</w:t>
            </w:r>
          </w:p>
        </w:tc>
        <w:tc>
          <w:tcPr>
            <w:tcW w:w="2835"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Parceria com PMCMV</w:t>
            </w:r>
          </w:p>
          <w:p w:rsidR="003E6588" w:rsidRDefault="003E6588">
            <w:pPr>
              <w:jc w:val="left"/>
              <w:rPr>
                <w:sz w:val="18"/>
                <w:szCs w:val="18"/>
              </w:rPr>
            </w:pPr>
            <w:r>
              <w:rPr>
                <w:sz w:val="18"/>
                <w:szCs w:val="18"/>
              </w:rPr>
              <w:t>(Entregues/Obras/Assinadas)</w:t>
            </w:r>
          </w:p>
        </w:tc>
        <w:tc>
          <w:tcPr>
            <w:tcW w:w="851"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sz w:val="18"/>
                <w:szCs w:val="18"/>
              </w:rPr>
            </w:pPr>
            <w:r>
              <w:rPr>
                <w:sz w:val="18"/>
                <w:szCs w:val="18"/>
              </w:rPr>
              <w:t>-</w:t>
            </w:r>
          </w:p>
        </w:tc>
        <w:tc>
          <w:tcPr>
            <w:tcW w:w="850"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55.557</w:t>
            </w:r>
          </w:p>
        </w:tc>
        <w:tc>
          <w:tcPr>
            <w:tcW w:w="846" w:type="dxa"/>
            <w:vMerge w:val="restart"/>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55.557</w:t>
            </w:r>
          </w:p>
        </w:tc>
      </w:tr>
      <w:tr w:rsidR="003E6588" w:rsidTr="00400261">
        <w:trPr>
          <w:gridAfter w:val="2"/>
          <w:wAfter w:w="308" w:type="dxa"/>
          <w:cantSplit/>
          <w:trHeight w:val="279"/>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rsidP="001112C9">
            <w:pPr>
              <w:jc w:val="left"/>
              <w:rPr>
                <w:sz w:val="18"/>
                <w:szCs w:val="18"/>
              </w:rPr>
            </w:pPr>
            <w:r>
              <w:rPr>
                <w:sz w:val="18"/>
                <w:szCs w:val="18"/>
              </w:rPr>
              <w:t xml:space="preserve">2487 - Participação do Estado no Prog. Nacional de Hab. Urbana </w:t>
            </w:r>
            <w:r w:rsidR="001112C9">
              <w:rPr>
                <w:sz w:val="18"/>
                <w:szCs w:val="18"/>
              </w:rPr>
              <w:t>-</w:t>
            </w:r>
            <w:r>
              <w:rPr>
                <w:sz w:val="18"/>
                <w:szCs w:val="18"/>
              </w:rPr>
              <w:t xml:space="preserve"> Coop. e Associações</w:t>
            </w: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851"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p>
        </w:tc>
        <w:tc>
          <w:tcPr>
            <w:tcW w:w="850"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r>
      <w:tr w:rsidR="003E6588" w:rsidTr="00400261">
        <w:trPr>
          <w:gridAfter w:val="2"/>
          <w:wAfter w:w="308" w:type="dxa"/>
          <w:cantSplit/>
          <w:trHeight w:val="279"/>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2488 - Participação do Estado no Plano Nacional de Habitação Rural</w:t>
            </w:r>
          </w:p>
        </w:tc>
        <w:tc>
          <w:tcPr>
            <w:tcW w:w="2835"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p>
        </w:tc>
        <w:tc>
          <w:tcPr>
            <w:tcW w:w="851"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p>
        </w:tc>
        <w:tc>
          <w:tcPr>
            <w:tcW w:w="850"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c>
          <w:tcPr>
            <w:tcW w:w="846"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rPr>
                <w:b/>
                <w:sz w:val="18"/>
                <w:szCs w:val="18"/>
              </w:rPr>
            </w:pPr>
          </w:p>
        </w:tc>
      </w:tr>
      <w:tr w:rsidR="003E6588" w:rsidTr="00400261">
        <w:trPr>
          <w:gridAfter w:val="2"/>
          <w:wAfter w:w="308" w:type="dxa"/>
          <w:cantSplit/>
          <w:trHeight w:val="70"/>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 xml:space="preserve">2489 - Moradia Melhor </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Moradia Melhor</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sz w:val="18"/>
                <w:szCs w:val="18"/>
              </w:rPr>
            </w:pPr>
            <w:r>
              <w:rPr>
                <w:sz w:val="18"/>
                <w:szCs w:val="18"/>
              </w:rPr>
              <w:t>-</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1.314</w:t>
            </w:r>
          </w:p>
        </w:tc>
        <w:tc>
          <w:tcPr>
            <w:tcW w:w="846"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1.314</w:t>
            </w:r>
          </w:p>
        </w:tc>
      </w:tr>
      <w:tr w:rsidR="003E6588" w:rsidTr="00400261">
        <w:trPr>
          <w:gridAfter w:val="2"/>
          <w:wAfter w:w="308" w:type="dxa"/>
          <w:cantSplit/>
          <w:trHeight w:val="286"/>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2490 - Produção de Lotes Urb. em Parceria com Municípios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Lotes Urbanizados</w:t>
            </w:r>
          </w:p>
        </w:tc>
        <w:tc>
          <w:tcPr>
            <w:tcW w:w="851"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sz w:val="18"/>
                <w:szCs w:val="18"/>
              </w:rPr>
            </w:pPr>
            <w:r>
              <w:rPr>
                <w:sz w:val="18"/>
                <w:szCs w:val="18"/>
              </w:rPr>
              <w:t>-</w:t>
            </w: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523</w:t>
            </w:r>
          </w:p>
        </w:tc>
        <w:tc>
          <w:tcPr>
            <w:tcW w:w="846"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523</w:t>
            </w:r>
          </w:p>
        </w:tc>
      </w:tr>
      <w:tr w:rsidR="003E6588" w:rsidTr="00400261">
        <w:trPr>
          <w:gridAfter w:val="2"/>
          <w:wAfter w:w="308" w:type="dxa"/>
          <w:cantSplit/>
          <w:trHeight w:val="279"/>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2492 - Parceria Público Privada – PPP Habitacional</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Parceria Público-Privada</w:t>
            </w:r>
          </w:p>
        </w:tc>
        <w:tc>
          <w:tcPr>
            <w:tcW w:w="851" w:type="dxa"/>
            <w:tcBorders>
              <w:top w:val="single" w:sz="8" w:space="0" w:color="auto"/>
              <w:left w:val="single" w:sz="8" w:space="0" w:color="auto"/>
              <w:bottom w:val="single" w:sz="8" w:space="0" w:color="auto"/>
              <w:right w:val="single" w:sz="8" w:space="0" w:color="auto"/>
            </w:tcBorders>
            <w:vAlign w:val="center"/>
          </w:tcPr>
          <w:p w:rsidR="003E6588" w:rsidRDefault="003E6588">
            <w:pPr>
              <w:jc w:val="right"/>
              <w:rPr>
                <w:sz w:val="18"/>
                <w:szCs w:val="18"/>
                <w:highlight w:val="yellow"/>
              </w:rPr>
            </w:pP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3.683</w:t>
            </w:r>
          </w:p>
        </w:tc>
        <w:tc>
          <w:tcPr>
            <w:tcW w:w="846"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3.683</w:t>
            </w:r>
          </w:p>
        </w:tc>
      </w:tr>
      <w:tr w:rsidR="003E6588" w:rsidTr="00400261">
        <w:trPr>
          <w:gridAfter w:val="2"/>
          <w:wAfter w:w="308" w:type="dxa"/>
          <w:cantSplit/>
          <w:trHeight w:val="279"/>
        </w:trPr>
        <w:tc>
          <w:tcPr>
            <w:tcW w:w="1843" w:type="dxa"/>
            <w:vMerge/>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2491 - Microcrédito Para Reforma de Moradias</w:t>
            </w:r>
          </w:p>
        </w:tc>
        <w:tc>
          <w:tcPr>
            <w:tcW w:w="2835"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left"/>
              <w:rPr>
                <w:sz w:val="18"/>
                <w:szCs w:val="18"/>
              </w:rPr>
            </w:pPr>
            <w:r>
              <w:rPr>
                <w:sz w:val="18"/>
                <w:szCs w:val="18"/>
              </w:rPr>
              <w:t xml:space="preserve">Programa Microcrédito </w:t>
            </w:r>
          </w:p>
          <w:p w:rsidR="003E6588" w:rsidRDefault="003E6588">
            <w:pPr>
              <w:jc w:val="left"/>
              <w:rPr>
                <w:b/>
                <w:sz w:val="18"/>
                <w:szCs w:val="18"/>
              </w:rPr>
            </w:pPr>
            <w:r>
              <w:rPr>
                <w:sz w:val="18"/>
                <w:szCs w:val="18"/>
              </w:rPr>
              <w:t>Parceria com Banco do Povo Paulista</w:t>
            </w:r>
          </w:p>
        </w:tc>
        <w:tc>
          <w:tcPr>
            <w:tcW w:w="851" w:type="dxa"/>
            <w:tcBorders>
              <w:top w:val="single" w:sz="8" w:space="0" w:color="auto"/>
              <w:left w:val="single" w:sz="8" w:space="0" w:color="auto"/>
              <w:bottom w:val="single" w:sz="8" w:space="0" w:color="auto"/>
              <w:right w:val="single" w:sz="8" w:space="0" w:color="auto"/>
            </w:tcBorders>
          </w:tcPr>
          <w:p w:rsidR="003E6588" w:rsidRDefault="003E6588">
            <w:pPr>
              <w:jc w:val="right"/>
              <w:rPr>
                <w:b/>
                <w:sz w:val="18"/>
                <w:szCs w:val="18"/>
                <w:highlight w:val="yellow"/>
              </w:rPr>
            </w:pPr>
          </w:p>
        </w:tc>
        <w:tc>
          <w:tcPr>
            <w:tcW w:w="85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sz w:val="18"/>
                <w:szCs w:val="18"/>
              </w:rPr>
            </w:pPr>
            <w:r>
              <w:rPr>
                <w:sz w:val="18"/>
                <w:szCs w:val="18"/>
              </w:rPr>
              <w:t>735</w:t>
            </w:r>
          </w:p>
        </w:tc>
        <w:tc>
          <w:tcPr>
            <w:tcW w:w="846" w:type="dxa"/>
            <w:tcBorders>
              <w:top w:val="single" w:sz="8" w:space="0" w:color="auto"/>
              <w:left w:val="single" w:sz="8" w:space="0" w:color="auto"/>
              <w:bottom w:val="single" w:sz="8" w:space="0" w:color="auto"/>
              <w:right w:val="single" w:sz="8" w:space="0" w:color="auto"/>
            </w:tcBorders>
            <w:vAlign w:val="center"/>
            <w:hideMark/>
          </w:tcPr>
          <w:p w:rsidR="003E6588" w:rsidRDefault="003E6588">
            <w:pPr>
              <w:jc w:val="right"/>
              <w:rPr>
                <w:b/>
                <w:sz w:val="18"/>
                <w:szCs w:val="18"/>
              </w:rPr>
            </w:pPr>
            <w:r>
              <w:rPr>
                <w:b/>
                <w:sz w:val="18"/>
                <w:szCs w:val="18"/>
              </w:rPr>
              <w:t>735</w:t>
            </w:r>
          </w:p>
        </w:tc>
      </w:tr>
      <w:tr w:rsidR="003E6588" w:rsidTr="00400261">
        <w:trPr>
          <w:gridAfter w:val="2"/>
          <w:wAfter w:w="308" w:type="dxa"/>
          <w:cantSplit/>
          <w:trHeight w:val="138"/>
        </w:trPr>
        <w:tc>
          <w:tcPr>
            <w:tcW w:w="4678" w:type="dxa"/>
            <w:gridSpan w:val="2"/>
            <w:tcBorders>
              <w:top w:val="single" w:sz="8" w:space="0" w:color="auto"/>
              <w:left w:val="nil"/>
              <w:bottom w:val="nil"/>
              <w:right w:val="single" w:sz="8" w:space="0" w:color="auto"/>
            </w:tcBorders>
            <w:vAlign w:val="center"/>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left"/>
              <w:rPr>
                <w:b/>
                <w:sz w:val="18"/>
                <w:szCs w:val="18"/>
              </w:rPr>
            </w:pPr>
            <w:r>
              <w:rPr>
                <w:b/>
                <w:sz w:val="18"/>
                <w:szCs w:val="18"/>
              </w:rPr>
              <w:t>TOTAL GERAL</w:t>
            </w:r>
          </w:p>
        </w:tc>
        <w:tc>
          <w:tcPr>
            <w:tcW w:w="851" w:type="dxa"/>
            <w:tcBorders>
              <w:top w:val="single" w:sz="8" w:space="0" w:color="auto"/>
              <w:left w:val="single" w:sz="8" w:space="0" w:color="auto"/>
              <w:bottom w:val="single" w:sz="8" w:space="0" w:color="auto"/>
              <w:right w:val="single" w:sz="8" w:space="0" w:color="auto"/>
            </w:tcBorders>
            <w:shd w:val="clear" w:color="auto" w:fill="auto"/>
            <w:hideMark/>
          </w:tcPr>
          <w:p w:rsidR="003E6588" w:rsidRDefault="003E6588">
            <w:pPr>
              <w:rPr>
                <w:b/>
                <w:sz w:val="18"/>
                <w:szCs w:val="18"/>
              </w:rPr>
            </w:pPr>
            <w:r>
              <w:rPr>
                <w:b/>
                <w:sz w:val="18"/>
                <w:szCs w:val="18"/>
              </w:rPr>
              <w:t>11.564</w:t>
            </w:r>
          </w:p>
        </w:tc>
        <w:tc>
          <w:tcPr>
            <w:tcW w:w="85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b/>
                <w:sz w:val="18"/>
                <w:szCs w:val="18"/>
              </w:rPr>
            </w:pPr>
            <w:r>
              <w:rPr>
                <w:b/>
                <w:sz w:val="18"/>
                <w:szCs w:val="18"/>
              </w:rPr>
              <w:t>65.400</w:t>
            </w:r>
          </w:p>
        </w:tc>
        <w:tc>
          <w:tcPr>
            <w:tcW w:w="846"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right"/>
              <w:rPr>
                <w:b/>
                <w:sz w:val="18"/>
                <w:szCs w:val="18"/>
              </w:rPr>
            </w:pPr>
            <w:r>
              <w:rPr>
                <w:b/>
                <w:sz w:val="18"/>
                <w:szCs w:val="18"/>
              </w:rPr>
              <w:t>76.964</w:t>
            </w:r>
          </w:p>
        </w:tc>
      </w:tr>
      <w:tr w:rsidR="003E6588" w:rsidTr="00400261">
        <w:trPr>
          <w:gridAfter w:val="1"/>
          <w:wAfter w:w="278" w:type="dxa"/>
          <w:cantSplit/>
          <w:trHeight w:val="198"/>
        </w:trPr>
        <w:tc>
          <w:tcPr>
            <w:tcW w:w="4678" w:type="dxa"/>
            <w:gridSpan w:val="2"/>
            <w:tcBorders>
              <w:top w:val="nil"/>
              <w:left w:val="nil"/>
              <w:bottom w:val="nil"/>
              <w:right w:val="single" w:sz="8" w:space="0" w:color="auto"/>
            </w:tcBorders>
            <w:vAlign w:val="center"/>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left"/>
              <w:rPr>
                <w:b/>
                <w:sz w:val="18"/>
                <w:szCs w:val="18"/>
              </w:rPr>
            </w:pPr>
            <w:r>
              <w:rPr>
                <w:b/>
                <w:sz w:val="18"/>
                <w:szCs w:val="18"/>
              </w:rPr>
              <w:t>TOTAL UHs</w:t>
            </w:r>
          </w:p>
        </w:tc>
        <w:tc>
          <w:tcPr>
            <w:tcW w:w="851" w:type="dxa"/>
            <w:tcBorders>
              <w:top w:val="single" w:sz="8" w:space="0" w:color="auto"/>
              <w:left w:val="single" w:sz="8" w:space="0" w:color="auto"/>
              <w:bottom w:val="single" w:sz="8" w:space="0" w:color="auto"/>
              <w:right w:val="single" w:sz="8" w:space="0" w:color="auto"/>
            </w:tcBorders>
            <w:shd w:val="clear" w:color="auto" w:fill="auto"/>
            <w:hideMark/>
          </w:tcPr>
          <w:p w:rsidR="003E6588" w:rsidRDefault="003E6588">
            <w:pPr>
              <w:tabs>
                <w:tab w:val="center" w:pos="488"/>
                <w:tab w:val="right" w:pos="976"/>
              </w:tabs>
              <w:rPr>
                <w:sz w:val="18"/>
                <w:szCs w:val="18"/>
              </w:rPr>
            </w:pPr>
            <w:r>
              <w:rPr>
                <w:sz w:val="18"/>
                <w:szCs w:val="18"/>
              </w:rPr>
              <w:t>10.897</w:t>
            </w:r>
          </w:p>
        </w:tc>
        <w:tc>
          <w:tcPr>
            <w:tcW w:w="85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sz w:val="18"/>
                <w:szCs w:val="18"/>
              </w:rPr>
            </w:pPr>
            <w:r>
              <w:rPr>
                <w:sz w:val="18"/>
                <w:szCs w:val="18"/>
              </w:rPr>
              <w:t>60.554</w:t>
            </w:r>
          </w:p>
        </w:tc>
        <w:tc>
          <w:tcPr>
            <w:tcW w:w="846"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right"/>
              <w:rPr>
                <w:b/>
                <w:sz w:val="18"/>
                <w:szCs w:val="18"/>
              </w:rPr>
            </w:pPr>
            <w:r>
              <w:rPr>
                <w:b/>
                <w:sz w:val="18"/>
                <w:szCs w:val="18"/>
              </w:rPr>
              <w:t>71.461</w:t>
            </w:r>
          </w:p>
        </w:tc>
        <w:tc>
          <w:tcPr>
            <w:tcW w:w="20" w:type="dxa"/>
            <w:tcBorders>
              <w:left w:val="single" w:sz="8" w:space="0" w:color="auto"/>
            </w:tcBorders>
          </w:tcPr>
          <w:p w:rsidR="003E6588" w:rsidRDefault="003E6588">
            <w:pPr>
              <w:jc w:val="both"/>
              <w:rPr>
                <w:b/>
                <w:sz w:val="18"/>
                <w:szCs w:val="18"/>
              </w:rPr>
            </w:pPr>
          </w:p>
        </w:tc>
      </w:tr>
      <w:tr w:rsidR="003E6588" w:rsidTr="00400261">
        <w:trPr>
          <w:gridAfter w:val="1"/>
          <w:wAfter w:w="278" w:type="dxa"/>
          <w:cantSplit/>
          <w:trHeight w:val="116"/>
        </w:trPr>
        <w:tc>
          <w:tcPr>
            <w:tcW w:w="4678" w:type="dxa"/>
            <w:gridSpan w:val="2"/>
            <w:tcBorders>
              <w:top w:val="nil"/>
              <w:left w:val="nil"/>
              <w:bottom w:val="nil"/>
              <w:right w:val="single" w:sz="8" w:space="0" w:color="auto"/>
            </w:tcBorders>
            <w:vAlign w:val="center"/>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left"/>
              <w:rPr>
                <w:b/>
                <w:sz w:val="18"/>
                <w:szCs w:val="18"/>
              </w:rPr>
            </w:pPr>
            <w:r>
              <w:rPr>
                <w:b/>
                <w:sz w:val="18"/>
                <w:szCs w:val="18"/>
              </w:rPr>
              <w:t>TOTAL LOTES</w:t>
            </w:r>
          </w:p>
        </w:tc>
        <w:tc>
          <w:tcPr>
            <w:tcW w:w="851" w:type="dxa"/>
            <w:tcBorders>
              <w:top w:val="single" w:sz="8" w:space="0" w:color="auto"/>
              <w:left w:val="single" w:sz="8" w:space="0" w:color="auto"/>
              <w:bottom w:val="single" w:sz="8" w:space="0" w:color="auto"/>
              <w:right w:val="single" w:sz="8" w:space="0" w:color="auto"/>
            </w:tcBorders>
            <w:shd w:val="clear" w:color="auto" w:fill="auto"/>
            <w:hideMark/>
          </w:tcPr>
          <w:p w:rsidR="003E6588" w:rsidRDefault="003E6588">
            <w:pPr>
              <w:rPr>
                <w:sz w:val="18"/>
                <w:szCs w:val="18"/>
              </w:rPr>
            </w:pPr>
            <w:r>
              <w:rPr>
                <w:sz w:val="18"/>
                <w:szCs w:val="18"/>
              </w:rPr>
              <w:t>-</w:t>
            </w:r>
          </w:p>
        </w:tc>
        <w:tc>
          <w:tcPr>
            <w:tcW w:w="85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sz w:val="18"/>
                <w:szCs w:val="18"/>
              </w:rPr>
            </w:pPr>
            <w:r>
              <w:rPr>
                <w:sz w:val="18"/>
                <w:szCs w:val="18"/>
              </w:rPr>
              <w:t>523</w:t>
            </w:r>
          </w:p>
        </w:tc>
        <w:tc>
          <w:tcPr>
            <w:tcW w:w="846"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right"/>
              <w:rPr>
                <w:b/>
                <w:sz w:val="18"/>
                <w:szCs w:val="18"/>
              </w:rPr>
            </w:pPr>
            <w:r>
              <w:rPr>
                <w:b/>
                <w:sz w:val="18"/>
                <w:szCs w:val="18"/>
              </w:rPr>
              <w:t>523</w:t>
            </w:r>
          </w:p>
        </w:tc>
        <w:tc>
          <w:tcPr>
            <w:tcW w:w="20" w:type="dxa"/>
            <w:tcBorders>
              <w:left w:val="single" w:sz="8" w:space="0" w:color="auto"/>
            </w:tcBorders>
          </w:tcPr>
          <w:p w:rsidR="003E6588" w:rsidRDefault="003E6588">
            <w:pPr>
              <w:jc w:val="both"/>
              <w:rPr>
                <w:b/>
                <w:sz w:val="18"/>
                <w:szCs w:val="18"/>
              </w:rPr>
            </w:pPr>
          </w:p>
        </w:tc>
      </w:tr>
      <w:tr w:rsidR="003E6588" w:rsidTr="00400261">
        <w:trPr>
          <w:gridAfter w:val="1"/>
          <w:wAfter w:w="278" w:type="dxa"/>
          <w:cantSplit/>
          <w:trHeight w:val="48"/>
        </w:trPr>
        <w:tc>
          <w:tcPr>
            <w:tcW w:w="4678" w:type="dxa"/>
            <w:gridSpan w:val="2"/>
            <w:tcBorders>
              <w:top w:val="nil"/>
              <w:left w:val="nil"/>
              <w:bottom w:val="nil"/>
              <w:right w:val="single" w:sz="8" w:space="0" w:color="auto"/>
            </w:tcBorders>
            <w:vAlign w:val="center"/>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left"/>
              <w:rPr>
                <w:b/>
                <w:sz w:val="18"/>
                <w:szCs w:val="18"/>
              </w:rPr>
            </w:pPr>
            <w:r>
              <w:rPr>
                <w:b/>
                <w:sz w:val="18"/>
                <w:szCs w:val="18"/>
              </w:rPr>
              <w:t>TOTAL URBANIZAÇÕES</w:t>
            </w:r>
          </w:p>
        </w:tc>
        <w:tc>
          <w:tcPr>
            <w:tcW w:w="851" w:type="dxa"/>
            <w:tcBorders>
              <w:top w:val="single" w:sz="8" w:space="0" w:color="auto"/>
              <w:left w:val="single" w:sz="8" w:space="0" w:color="auto"/>
              <w:bottom w:val="single" w:sz="8" w:space="0" w:color="auto"/>
              <w:right w:val="single" w:sz="8" w:space="0" w:color="auto"/>
            </w:tcBorders>
            <w:shd w:val="clear" w:color="auto" w:fill="auto"/>
            <w:hideMark/>
          </w:tcPr>
          <w:p w:rsidR="003E6588" w:rsidRDefault="003E6588">
            <w:pPr>
              <w:rPr>
                <w:sz w:val="18"/>
                <w:szCs w:val="18"/>
              </w:rPr>
            </w:pPr>
            <w:r>
              <w:rPr>
                <w:sz w:val="18"/>
                <w:szCs w:val="18"/>
              </w:rPr>
              <w:t>507</w:t>
            </w:r>
          </w:p>
        </w:tc>
        <w:tc>
          <w:tcPr>
            <w:tcW w:w="85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sz w:val="18"/>
                <w:szCs w:val="18"/>
              </w:rPr>
            </w:pPr>
            <w:r>
              <w:rPr>
                <w:sz w:val="18"/>
                <w:szCs w:val="18"/>
              </w:rPr>
              <w:t>1.440</w:t>
            </w:r>
          </w:p>
        </w:tc>
        <w:tc>
          <w:tcPr>
            <w:tcW w:w="846"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right"/>
              <w:rPr>
                <w:b/>
                <w:sz w:val="18"/>
                <w:szCs w:val="18"/>
              </w:rPr>
            </w:pPr>
            <w:r>
              <w:rPr>
                <w:b/>
                <w:sz w:val="18"/>
                <w:szCs w:val="18"/>
              </w:rPr>
              <w:t>1.947</w:t>
            </w:r>
          </w:p>
        </w:tc>
        <w:tc>
          <w:tcPr>
            <w:tcW w:w="20" w:type="dxa"/>
            <w:tcBorders>
              <w:left w:val="single" w:sz="8" w:space="0" w:color="auto"/>
            </w:tcBorders>
          </w:tcPr>
          <w:p w:rsidR="003E6588" w:rsidRDefault="003E6588">
            <w:pPr>
              <w:jc w:val="both"/>
              <w:rPr>
                <w:b/>
                <w:sz w:val="18"/>
                <w:szCs w:val="18"/>
              </w:rPr>
            </w:pPr>
          </w:p>
        </w:tc>
      </w:tr>
      <w:tr w:rsidR="003E6588" w:rsidTr="00400261">
        <w:trPr>
          <w:cantSplit/>
          <w:trHeight w:val="107"/>
        </w:trPr>
        <w:tc>
          <w:tcPr>
            <w:tcW w:w="4678" w:type="dxa"/>
            <w:gridSpan w:val="2"/>
            <w:tcBorders>
              <w:top w:val="nil"/>
              <w:left w:val="nil"/>
              <w:bottom w:val="nil"/>
              <w:right w:val="single" w:sz="8" w:space="0" w:color="auto"/>
            </w:tcBorders>
            <w:vAlign w:val="center"/>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left"/>
              <w:rPr>
                <w:b/>
                <w:sz w:val="18"/>
                <w:szCs w:val="18"/>
              </w:rPr>
            </w:pPr>
            <w:r>
              <w:rPr>
                <w:b/>
                <w:sz w:val="18"/>
                <w:szCs w:val="18"/>
              </w:rPr>
              <w:t>TOTAL CARTAS DE CRÉDITO</w:t>
            </w:r>
          </w:p>
        </w:tc>
        <w:tc>
          <w:tcPr>
            <w:tcW w:w="85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sz w:val="18"/>
                <w:szCs w:val="18"/>
              </w:rPr>
            </w:pPr>
            <w:r>
              <w:rPr>
                <w:sz w:val="18"/>
                <w:szCs w:val="18"/>
              </w:rPr>
              <w:t>160</w:t>
            </w:r>
          </w:p>
        </w:tc>
        <w:tc>
          <w:tcPr>
            <w:tcW w:w="85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sz w:val="18"/>
                <w:szCs w:val="18"/>
              </w:rPr>
            </w:pPr>
            <w:r>
              <w:rPr>
                <w:sz w:val="18"/>
                <w:szCs w:val="18"/>
              </w:rPr>
              <w:t>2.148</w:t>
            </w:r>
          </w:p>
        </w:tc>
        <w:tc>
          <w:tcPr>
            <w:tcW w:w="846"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right"/>
              <w:rPr>
                <w:b/>
                <w:sz w:val="18"/>
                <w:szCs w:val="18"/>
              </w:rPr>
            </w:pPr>
            <w:r>
              <w:rPr>
                <w:b/>
                <w:sz w:val="18"/>
                <w:szCs w:val="18"/>
              </w:rPr>
              <w:t>2.308</w:t>
            </w:r>
          </w:p>
        </w:tc>
        <w:tc>
          <w:tcPr>
            <w:tcW w:w="20" w:type="dxa"/>
            <w:tcBorders>
              <w:left w:val="single" w:sz="8" w:space="0" w:color="auto"/>
            </w:tcBorders>
          </w:tcPr>
          <w:p w:rsidR="003E6588" w:rsidRDefault="003E6588">
            <w:pPr>
              <w:jc w:val="both"/>
              <w:rPr>
                <w:b/>
                <w:color w:val="0070C0"/>
                <w:sz w:val="18"/>
                <w:szCs w:val="18"/>
              </w:rPr>
            </w:pPr>
          </w:p>
        </w:tc>
        <w:tc>
          <w:tcPr>
            <w:tcW w:w="278" w:type="dxa"/>
          </w:tcPr>
          <w:p w:rsidR="003E6588" w:rsidRDefault="003E6588">
            <w:pPr>
              <w:jc w:val="both"/>
              <w:rPr>
                <w:b/>
                <w:sz w:val="18"/>
                <w:szCs w:val="18"/>
              </w:rPr>
            </w:pPr>
          </w:p>
        </w:tc>
      </w:tr>
      <w:tr w:rsidR="003E6588" w:rsidTr="00400261">
        <w:trPr>
          <w:cantSplit/>
          <w:trHeight w:val="182"/>
        </w:trPr>
        <w:tc>
          <w:tcPr>
            <w:tcW w:w="4678" w:type="dxa"/>
            <w:gridSpan w:val="2"/>
            <w:tcBorders>
              <w:top w:val="nil"/>
              <w:left w:val="nil"/>
              <w:bottom w:val="nil"/>
              <w:right w:val="single" w:sz="8" w:space="0" w:color="auto"/>
            </w:tcBorders>
            <w:vAlign w:val="center"/>
          </w:tcPr>
          <w:p w:rsidR="003E6588" w:rsidRDefault="003E6588">
            <w:pPr>
              <w:jc w:val="left"/>
              <w:rPr>
                <w:b/>
                <w:sz w:val="18"/>
                <w:szCs w:val="18"/>
              </w:rPr>
            </w:pP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left"/>
              <w:rPr>
                <w:b/>
                <w:sz w:val="18"/>
                <w:szCs w:val="18"/>
              </w:rPr>
            </w:pPr>
            <w:r>
              <w:rPr>
                <w:b/>
                <w:sz w:val="18"/>
                <w:szCs w:val="18"/>
              </w:rPr>
              <w:t>TOTAL CRÉDITO REFORMA</w:t>
            </w:r>
          </w:p>
        </w:tc>
        <w:tc>
          <w:tcPr>
            <w:tcW w:w="851" w:type="dxa"/>
            <w:tcBorders>
              <w:top w:val="single" w:sz="8" w:space="0" w:color="auto"/>
              <w:left w:val="single" w:sz="8" w:space="0" w:color="auto"/>
              <w:bottom w:val="single" w:sz="8" w:space="0" w:color="auto"/>
              <w:right w:val="single" w:sz="8" w:space="0" w:color="auto"/>
            </w:tcBorders>
            <w:shd w:val="clear" w:color="auto" w:fill="auto"/>
            <w:hideMark/>
          </w:tcPr>
          <w:p w:rsidR="003E6588" w:rsidRDefault="003E6588">
            <w:pPr>
              <w:rPr>
                <w:sz w:val="18"/>
                <w:szCs w:val="18"/>
              </w:rPr>
            </w:pPr>
            <w:r>
              <w:rPr>
                <w:sz w:val="18"/>
                <w:szCs w:val="18"/>
              </w:rPr>
              <w:t>-</w:t>
            </w:r>
          </w:p>
        </w:tc>
        <w:tc>
          <w:tcPr>
            <w:tcW w:w="85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rPr>
                <w:sz w:val="18"/>
                <w:szCs w:val="18"/>
              </w:rPr>
            </w:pPr>
            <w:r>
              <w:rPr>
                <w:sz w:val="18"/>
                <w:szCs w:val="18"/>
              </w:rPr>
              <w:t>735</w:t>
            </w:r>
          </w:p>
        </w:tc>
        <w:tc>
          <w:tcPr>
            <w:tcW w:w="846"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6588" w:rsidRDefault="003E6588">
            <w:pPr>
              <w:jc w:val="right"/>
              <w:rPr>
                <w:b/>
                <w:sz w:val="18"/>
                <w:szCs w:val="18"/>
              </w:rPr>
            </w:pPr>
            <w:r>
              <w:rPr>
                <w:b/>
                <w:sz w:val="18"/>
                <w:szCs w:val="18"/>
              </w:rPr>
              <w:t>735</w:t>
            </w:r>
          </w:p>
        </w:tc>
        <w:tc>
          <w:tcPr>
            <w:tcW w:w="20" w:type="dxa"/>
            <w:tcBorders>
              <w:left w:val="single" w:sz="8" w:space="0" w:color="auto"/>
            </w:tcBorders>
          </w:tcPr>
          <w:p w:rsidR="003E6588" w:rsidRDefault="003E6588">
            <w:pPr>
              <w:jc w:val="both"/>
              <w:rPr>
                <w:b/>
                <w:color w:val="0070C0"/>
                <w:sz w:val="18"/>
                <w:szCs w:val="18"/>
              </w:rPr>
            </w:pPr>
          </w:p>
        </w:tc>
        <w:tc>
          <w:tcPr>
            <w:tcW w:w="278" w:type="dxa"/>
          </w:tcPr>
          <w:p w:rsidR="003E6588" w:rsidRDefault="003E6588">
            <w:pPr>
              <w:jc w:val="both"/>
              <w:rPr>
                <w:b/>
                <w:sz w:val="18"/>
                <w:szCs w:val="18"/>
              </w:rPr>
            </w:pPr>
          </w:p>
        </w:tc>
      </w:tr>
    </w:tbl>
    <w:p w:rsidR="003E6588" w:rsidRPr="00400261" w:rsidRDefault="003E6588">
      <w:pPr>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Síntese de Resultados da Casa Paulista em 3 anos de operação - </w:t>
      </w:r>
      <w:r>
        <w:rPr>
          <w:rFonts w:ascii="Times New Roman" w:hAnsi="Times New Roman"/>
          <w:sz w:val="24"/>
          <w:szCs w:val="24"/>
        </w:rPr>
        <w:t>No ano em que a Casa Paulista completa 3 anos de operação, os números apresentados consolidam o desempenho geral obtido. Foi possível alcançar um quadro positivo, viabilizado por meio de instrumentos inovadores da política pública habitacional e urbana aplicada pela Secretaria da Habitação. Em parceira com demais instâncias governamentais, agentes financeiros, iniciativa privada, entidades, cooperativas e servidores público estaduais, foi possível obter-se os resultados que seguem:</w:t>
      </w:r>
    </w:p>
    <w:p w:rsidR="003E6588" w:rsidRDefault="003E6588">
      <w:pPr>
        <w:ind w:firstLine="1134"/>
        <w:jc w:val="both"/>
        <w:rPr>
          <w:sz w:val="16"/>
          <w:szCs w:val="16"/>
        </w:rPr>
      </w:pPr>
    </w:p>
    <w:p w:rsidR="003E6588" w:rsidRDefault="003E6588">
      <w:pPr>
        <w:pStyle w:val="PargrafodaLista"/>
        <w:ind w:left="0" w:firstLine="1134"/>
        <w:rPr>
          <w:rFonts w:ascii="Times New Roman" w:hAnsi="Times New Roman"/>
          <w:b/>
          <w:sz w:val="24"/>
          <w:szCs w:val="24"/>
          <w:lang w:eastAsia="pt-BR"/>
        </w:rPr>
      </w:pPr>
      <w:r>
        <w:rPr>
          <w:rFonts w:ascii="Times New Roman" w:hAnsi="Times New Roman"/>
          <w:b/>
          <w:sz w:val="24"/>
          <w:szCs w:val="24"/>
          <w:lang w:eastAsia="pt-BR"/>
        </w:rPr>
        <w:t>Total de Atendimentos 2011-2014/Casa Paulista</w:t>
      </w:r>
    </w:p>
    <w:p w:rsidR="003E6588" w:rsidRDefault="003E6588">
      <w:pPr>
        <w:pStyle w:val="PargrafodaLista"/>
        <w:ind w:left="0" w:firstLine="1134"/>
        <w:rPr>
          <w:rFonts w:ascii="Times New Roman" w:hAnsi="Times New Roman"/>
          <w:b/>
          <w:sz w:val="16"/>
          <w:szCs w:val="16"/>
          <w:lang w:eastAsia="pt-BR"/>
        </w:rPr>
      </w:pPr>
    </w:p>
    <w:tbl>
      <w:tblPr>
        <w:tblW w:w="0" w:type="auto"/>
        <w:jc w:val="center"/>
        <w:tblInd w:w="97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tblPr>
      <w:tblGrid>
        <w:gridCol w:w="6970"/>
        <w:gridCol w:w="1276"/>
      </w:tblGrid>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Unidades Habitacionais Entregues/Parceria PMCMV</w:t>
            </w:r>
          </w:p>
        </w:tc>
        <w:tc>
          <w:tcPr>
            <w:tcW w:w="1276" w:type="dxa"/>
            <w:vAlign w:val="bottom"/>
            <w:hideMark/>
          </w:tcPr>
          <w:p w:rsidR="003E6588" w:rsidRDefault="003E6588" w:rsidP="002479D8">
            <w:pPr>
              <w:jc w:val="right"/>
              <w:rPr>
                <w:sz w:val="20"/>
                <w:szCs w:val="20"/>
              </w:rPr>
            </w:pPr>
            <w:r>
              <w:rPr>
                <w:sz w:val="20"/>
                <w:szCs w:val="20"/>
              </w:rPr>
              <w:t>8.610</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Unidades Habitacionais Assinadas/Parceria PMCMV</w:t>
            </w:r>
          </w:p>
        </w:tc>
        <w:tc>
          <w:tcPr>
            <w:tcW w:w="1276" w:type="dxa"/>
            <w:vAlign w:val="bottom"/>
            <w:hideMark/>
          </w:tcPr>
          <w:p w:rsidR="003E6588" w:rsidRDefault="003E6588" w:rsidP="002479D8">
            <w:pPr>
              <w:jc w:val="right"/>
              <w:rPr>
                <w:sz w:val="20"/>
                <w:szCs w:val="20"/>
              </w:rPr>
            </w:pPr>
            <w:r>
              <w:rPr>
                <w:sz w:val="20"/>
                <w:szCs w:val="20"/>
              </w:rPr>
              <w:t>31.765</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Unidades Habitacionais em Obras/Parceria PMCMV</w:t>
            </w:r>
          </w:p>
        </w:tc>
        <w:tc>
          <w:tcPr>
            <w:tcW w:w="1276" w:type="dxa"/>
            <w:vAlign w:val="bottom"/>
            <w:hideMark/>
          </w:tcPr>
          <w:p w:rsidR="003E6588" w:rsidRDefault="003E6588" w:rsidP="002479D8">
            <w:pPr>
              <w:jc w:val="right"/>
              <w:rPr>
                <w:sz w:val="20"/>
                <w:szCs w:val="20"/>
              </w:rPr>
            </w:pPr>
            <w:r>
              <w:rPr>
                <w:sz w:val="20"/>
                <w:szCs w:val="20"/>
              </w:rPr>
              <w:t>64.158</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Unidades Habitacionais Entregues/Programa Moradia Melhor</w:t>
            </w:r>
          </w:p>
        </w:tc>
        <w:tc>
          <w:tcPr>
            <w:tcW w:w="1276" w:type="dxa"/>
            <w:vAlign w:val="bottom"/>
            <w:hideMark/>
          </w:tcPr>
          <w:p w:rsidR="003E6588" w:rsidRDefault="003E6588" w:rsidP="002479D8">
            <w:pPr>
              <w:jc w:val="right"/>
              <w:rPr>
                <w:sz w:val="20"/>
                <w:szCs w:val="20"/>
              </w:rPr>
            </w:pPr>
            <w:r>
              <w:rPr>
                <w:sz w:val="20"/>
                <w:szCs w:val="20"/>
              </w:rPr>
              <w:t>60</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Unidades Habitacionais Assinadas/Programa Moradia Melhor</w:t>
            </w:r>
          </w:p>
        </w:tc>
        <w:tc>
          <w:tcPr>
            <w:tcW w:w="1276" w:type="dxa"/>
            <w:vAlign w:val="bottom"/>
            <w:hideMark/>
          </w:tcPr>
          <w:p w:rsidR="003E6588" w:rsidRDefault="003E6588" w:rsidP="002479D8">
            <w:pPr>
              <w:jc w:val="right"/>
              <w:rPr>
                <w:sz w:val="20"/>
                <w:szCs w:val="20"/>
              </w:rPr>
            </w:pPr>
            <w:r>
              <w:rPr>
                <w:sz w:val="20"/>
                <w:szCs w:val="20"/>
              </w:rPr>
              <w:t>1.337</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Unidades Habitacionais em Obras/Programa Moradia Melhor</w:t>
            </w:r>
          </w:p>
        </w:tc>
        <w:tc>
          <w:tcPr>
            <w:tcW w:w="1276" w:type="dxa"/>
            <w:vAlign w:val="bottom"/>
            <w:hideMark/>
          </w:tcPr>
          <w:p w:rsidR="003E6588" w:rsidRDefault="003E6588" w:rsidP="002479D8">
            <w:pPr>
              <w:jc w:val="right"/>
              <w:rPr>
                <w:sz w:val="20"/>
                <w:szCs w:val="20"/>
              </w:rPr>
            </w:pPr>
            <w:r>
              <w:rPr>
                <w:sz w:val="20"/>
                <w:szCs w:val="20"/>
              </w:rPr>
              <w:t>175</w:t>
            </w:r>
          </w:p>
        </w:tc>
      </w:tr>
      <w:tr w:rsidR="003E6588" w:rsidTr="001112C9">
        <w:trPr>
          <w:trHeight w:val="255"/>
          <w:jc w:val="center"/>
        </w:trPr>
        <w:tc>
          <w:tcPr>
            <w:tcW w:w="6970" w:type="dxa"/>
            <w:shd w:val="clear" w:color="auto" w:fill="FFFFFF"/>
            <w:vAlign w:val="bottom"/>
            <w:hideMark/>
          </w:tcPr>
          <w:p w:rsidR="003E6588" w:rsidRDefault="003E6588" w:rsidP="002479D8">
            <w:pPr>
              <w:jc w:val="both"/>
              <w:rPr>
                <w:sz w:val="20"/>
                <w:szCs w:val="20"/>
              </w:rPr>
            </w:pPr>
            <w:r>
              <w:rPr>
                <w:sz w:val="20"/>
                <w:szCs w:val="20"/>
              </w:rPr>
              <w:t xml:space="preserve">Unidades Habitacionais em Andamento/Parceria Público-Privada </w:t>
            </w:r>
            <w:r w:rsidR="002479D8">
              <w:rPr>
                <w:sz w:val="20"/>
                <w:szCs w:val="20"/>
              </w:rPr>
              <w:t xml:space="preserve">- </w:t>
            </w:r>
            <w:r>
              <w:rPr>
                <w:sz w:val="20"/>
                <w:szCs w:val="20"/>
              </w:rPr>
              <w:t>PPP</w:t>
            </w:r>
          </w:p>
        </w:tc>
        <w:tc>
          <w:tcPr>
            <w:tcW w:w="1276" w:type="dxa"/>
            <w:vAlign w:val="bottom"/>
            <w:hideMark/>
          </w:tcPr>
          <w:p w:rsidR="003E6588" w:rsidRDefault="003E6588" w:rsidP="002479D8">
            <w:pPr>
              <w:jc w:val="right"/>
              <w:rPr>
                <w:sz w:val="20"/>
                <w:szCs w:val="20"/>
              </w:rPr>
            </w:pPr>
            <w:r>
              <w:rPr>
                <w:sz w:val="20"/>
                <w:szCs w:val="20"/>
              </w:rPr>
              <w:t>3.683</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Lotes - Concluídos/Programa Lotes Urbanizados</w:t>
            </w:r>
          </w:p>
        </w:tc>
        <w:tc>
          <w:tcPr>
            <w:tcW w:w="1276" w:type="dxa"/>
            <w:vAlign w:val="bottom"/>
            <w:hideMark/>
          </w:tcPr>
          <w:p w:rsidR="003E6588" w:rsidRDefault="003E6588" w:rsidP="002479D8">
            <w:pPr>
              <w:jc w:val="right"/>
              <w:rPr>
                <w:sz w:val="20"/>
                <w:szCs w:val="20"/>
              </w:rPr>
            </w:pPr>
            <w:r>
              <w:rPr>
                <w:sz w:val="20"/>
                <w:szCs w:val="20"/>
              </w:rPr>
              <w:t>699</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Lotes - Em obras/Programa Lotes Urbanizados</w:t>
            </w:r>
          </w:p>
        </w:tc>
        <w:tc>
          <w:tcPr>
            <w:tcW w:w="1276" w:type="dxa"/>
            <w:vAlign w:val="bottom"/>
            <w:hideMark/>
          </w:tcPr>
          <w:p w:rsidR="003E6588" w:rsidRDefault="003E6588" w:rsidP="002479D8">
            <w:pPr>
              <w:jc w:val="right"/>
              <w:rPr>
                <w:sz w:val="20"/>
                <w:szCs w:val="20"/>
              </w:rPr>
            </w:pPr>
            <w:r>
              <w:rPr>
                <w:sz w:val="20"/>
                <w:szCs w:val="20"/>
              </w:rPr>
              <w:t>1.519</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Lotes - Assinados/Programa Lotes Urbanizados</w:t>
            </w:r>
          </w:p>
        </w:tc>
        <w:tc>
          <w:tcPr>
            <w:tcW w:w="1276" w:type="dxa"/>
            <w:vAlign w:val="bottom"/>
            <w:hideMark/>
          </w:tcPr>
          <w:p w:rsidR="003E6588" w:rsidRDefault="003E6588" w:rsidP="002479D8">
            <w:pPr>
              <w:jc w:val="right"/>
              <w:rPr>
                <w:sz w:val="20"/>
                <w:szCs w:val="20"/>
              </w:rPr>
            </w:pPr>
            <w:r>
              <w:rPr>
                <w:sz w:val="20"/>
                <w:szCs w:val="20"/>
              </w:rPr>
              <w:t>448</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Urbanizações - Em Obras/Programa Desenvolvimento Urbano</w:t>
            </w:r>
          </w:p>
        </w:tc>
        <w:tc>
          <w:tcPr>
            <w:tcW w:w="1276" w:type="dxa"/>
            <w:vAlign w:val="bottom"/>
            <w:hideMark/>
          </w:tcPr>
          <w:p w:rsidR="003E6588" w:rsidRDefault="003E6588" w:rsidP="002479D8">
            <w:pPr>
              <w:jc w:val="right"/>
              <w:rPr>
                <w:sz w:val="20"/>
                <w:szCs w:val="20"/>
              </w:rPr>
            </w:pPr>
            <w:r>
              <w:rPr>
                <w:sz w:val="20"/>
                <w:szCs w:val="20"/>
              </w:rPr>
              <w:t>5.082</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Urbanizações - Assinadas/Programa Desenvolvimento Urbano</w:t>
            </w:r>
          </w:p>
        </w:tc>
        <w:tc>
          <w:tcPr>
            <w:tcW w:w="1276" w:type="dxa"/>
            <w:vAlign w:val="bottom"/>
            <w:hideMark/>
          </w:tcPr>
          <w:p w:rsidR="003E6588" w:rsidRDefault="003E6588" w:rsidP="002479D8">
            <w:pPr>
              <w:jc w:val="right"/>
              <w:rPr>
                <w:sz w:val="20"/>
                <w:szCs w:val="20"/>
              </w:rPr>
            </w:pPr>
            <w:r>
              <w:rPr>
                <w:sz w:val="20"/>
                <w:szCs w:val="20"/>
              </w:rPr>
              <w:t>1.440</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sz w:val="20"/>
                <w:szCs w:val="20"/>
              </w:rPr>
              <w:t>Carta Crédito - Entregues/Contratos Assinados/Programa Servidor Público</w:t>
            </w:r>
          </w:p>
        </w:tc>
        <w:tc>
          <w:tcPr>
            <w:tcW w:w="1276" w:type="dxa"/>
            <w:vAlign w:val="bottom"/>
            <w:hideMark/>
          </w:tcPr>
          <w:p w:rsidR="003E6588" w:rsidRDefault="003E6588" w:rsidP="002479D8">
            <w:pPr>
              <w:jc w:val="right"/>
              <w:rPr>
                <w:sz w:val="20"/>
                <w:szCs w:val="20"/>
              </w:rPr>
            </w:pPr>
            <w:r>
              <w:rPr>
                <w:sz w:val="20"/>
                <w:szCs w:val="20"/>
              </w:rPr>
              <w:t>3.542</w:t>
            </w:r>
          </w:p>
        </w:tc>
      </w:tr>
      <w:tr w:rsidR="003E6588" w:rsidTr="001112C9">
        <w:trPr>
          <w:trHeight w:val="255"/>
          <w:jc w:val="center"/>
        </w:trPr>
        <w:tc>
          <w:tcPr>
            <w:tcW w:w="6970" w:type="dxa"/>
            <w:shd w:val="clear" w:color="auto" w:fill="FFFFFF"/>
            <w:vAlign w:val="bottom"/>
            <w:hideMark/>
          </w:tcPr>
          <w:p w:rsidR="003E6588" w:rsidRDefault="003E6588">
            <w:pPr>
              <w:ind w:right="-142"/>
              <w:jc w:val="both"/>
              <w:rPr>
                <w:sz w:val="20"/>
                <w:szCs w:val="20"/>
              </w:rPr>
            </w:pPr>
            <w:r>
              <w:rPr>
                <w:sz w:val="20"/>
                <w:szCs w:val="20"/>
              </w:rPr>
              <w:t>Carta Crédito - Entregues/Contratos Assinados/Programa Microcrédito</w:t>
            </w:r>
          </w:p>
          <w:p w:rsidR="003E6588" w:rsidRDefault="003E6588">
            <w:pPr>
              <w:ind w:right="-142"/>
              <w:jc w:val="both"/>
              <w:rPr>
                <w:sz w:val="20"/>
                <w:szCs w:val="20"/>
              </w:rPr>
            </w:pPr>
            <w:r>
              <w:rPr>
                <w:sz w:val="20"/>
                <w:szCs w:val="20"/>
              </w:rPr>
              <w:t>Parceria com Banco do Povo Paulista/SERT</w:t>
            </w:r>
          </w:p>
        </w:tc>
        <w:tc>
          <w:tcPr>
            <w:tcW w:w="1276" w:type="dxa"/>
            <w:vAlign w:val="bottom"/>
            <w:hideMark/>
          </w:tcPr>
          <w:p w:rsidR="003E6588" w:rsidRDefault="003E6588" w:rsidP="002479D8">
            <w:pPr>
              <w:jc w:val="right"/>
              <w:rPr>
                <w:sz w:val="20"/>
                <w:szCs w:val="20"/>
              </w:rPr>
            </w:pPr>
            <w:r>
              <w:rPr>
                <w:sz w:val="20"/>
                <w:szCs w:val="20"/>
              </w:rPr>
              <w:t>1.576</w:t>
            </w:r>
          </w:p>
        </w:tc>
      </w:tr>
      <w:tr w:rsidR="003E6588" w:rsidTr="001112C9">
        <w:trPr>
          <w:trHeight w:val="255"/>
          <w:jc w:val="center"/>
        </w:trPr>
        <w:tc>
          <w:tcPr>
            <w:tcW w:w="6970" w:type="dxa"/>
            <w:shd w:val="clear" w:color="auto" w:fill="FFFFFF"/>
            <w:vAlign w:val="bottom"/>
            <w:hideMark/>
          </w:tcPr>
          <w:p w:rsidR="003E6588" w:rsidRDefault="003E6588">
            <w:pPr>
              <w:jc w:val="both"/>
              <w:rPr>
                <w:sz w:val="20"/>
                <w:szCs w:val="20"/>
              </w:rPr>
            </w:pPr>
            <w:r>
              <w:rPr>
                <w:b/>
                <w:sz w:val="20"/>
                <w:szCs w:val="20"/>
              </w:rPr>
              <w:t>Total de Atendimentos Casa Paulista na Gestão 2011-2014</w:t>
            </w:r>
          </w:p>
        </w:tc>
        <w:tc>
          <w:tcPr>
            <w:tcW w:w="1276" w:type="dxa"/>
            <w:shd w:val="clear" w:color="auto" w:fill="FFFFFF"/>
            <w:vAlign w:val="bottom"/>
            <w:hideMark/>
          </w:tcPr>
          <w:p w:rsidR="003E6588" w:rsidRDefault="003E6588" w:rsidP="002479D8">
            <w:pPr>
              <w:jc w:val="right"/>
              <w:rPr>
                <w:b/>
                <w:sz w:val="20"/>
                <w:szCs w:val="20"/>
              </w:rPr>
            </w:pPr>
            <w:r>
              <w:rPr>
                <w:b/>
                <w:sz w:val="20"/>
                <w:szCs w:val="20"/>
              </w:rPr>
              <w:t>124.094</w:t>
            </w:r>
          </w:p>
        </w:tc>
      </w:tr>
    </w:tbl>
    <w:p w:rsidR="003E6588" w:rsidRDefault="003E6588">
      <w:pPr>
        <w:ind w:firstLine="1134"/>
        <w:jc w:val="both"/>
        <w:rPr>
          <w:b/>
        </w:rPr>
      </w:pPr>
    </w:p>
    <w:p w:rsidR="003E6588" w:rsidRDefault="003E6588">
      <w:pPr>
        <w:ind w:firstLine="1134"/>
        <w:jc w:val="both"/>
        <w:rPr>
          <w:b/>
        </w:rPr>
      </w:pPr>
      <w:r>
        <w:rPr>
          <w:b/>
        </w:rPr>
        <w:lastRenderedPageBreak/>
        <w:t xml:space="preserve">Total de Atendimentos 2011-2014 </w:t>
      </w:r>
      <w:r w:rsidR="001112C9">
        <w:rPr>
          <w:b/>
        </w:rPr>
        <w:t>-</w:t>
      </w:r>
      <w:r>
        <w:rPr>
          <w:b/>
        </w:rPr>
        <w:t xml:space="preserve"> Em Andamento e Entregues/Casa Paulista</w:t>
      </w:r>
    </w:p>
    <w:p w:rsidR="003E6588" w:rsidRDefault="003E6588">
      <w:pPr>
        <w:tabs>
          <w:tab w:val="left" w:pos="1134"/>
        </w:tabs>
        <w:ind w:left="492"/>
        <w:jc w:val="both"/>
        <w:rPr>
          <w:b/>
        </w:rPr>
      </w:pPr>
    </w:p>
    <w:tbl>
      <w:tblPr>
        <w:tblW w:w="6920" w:type="dxa"/>
        <w:jc w:val="center"/>
        <w:tblInd w:w="853" w:type="dxa"/>
        <w:tblCellMar>
          <w:left w:w="70" w:type="dxa"/>
          <w:right w:w="70" w:type="dxa"/>
        </w:tblCellMar>
        <w:tblLook w:val="04A0"/>
      </w:tblPr>
      <w:tblGrid>
        <w:gridCol w:w="1182"/>
        <w:gridCol w:w="2052"/>
        <w:gridCol w:w="1843"/>
        <w:gridCol w:w="1843"/>
      </w:tblGrid>
      <w:tr w:rsidR="003E6588" w:rsidTr="001112C9">
        <w:trPr>
          <w:trHeight w:val="191"/>
          <w:jc w:val="center"/>
        </w:trPr>
        <w:tc>
          <w:tcPr>
            <w:tcW w:w="1182" w:type="dxa"/>
            <w:tcBorders>
              <w:bottom w:val="single" w:sz="8" w:space="0" w:color="auto"/>
              <w:right w:val="single" w:sz="8" w:space="0" w:color="auto"/>
            </w:tcBorders>
            <w:shd w:val="clear" w:color="auto" w:fill="FFFFFF"/>
            <w:noWrap/>
            <w:vAlign w:val="center"/>
            <w:hideMark/>
          </w:tcPr>
          <w:p w:rsidR="003E6588" w:rsidRDefault="003E6588">
            <w:pPr>
              <w:rPr>
                <w:b/>
                <w:bCs/>
                <w:sz w:val="20"/>
                <w:szCs w:val="20"/>
              </w:rPr>
            </w:pPr>
            <w:r>
              <w:rPr>
                <w:b/>
                <w:bCs/>
                <w:sz w:val="20"/>
                <w:szCs w:val="20"/>
              </w:rPr>
              <w:t> </w:t>
            </w:r>
          </w:p>
        </w:tc>
        <w:tc>
          <w:tcPr>
            <w:tcW w:w="205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Em andamento</w:t>
            </w:r>
          </w:p>
        </w:tc>
        <w:tc>
          <w:tcPr>
            <w:tcW w:w="184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Entregues</w:t>
            </w:r>
          </w:p>
        </w:tc>
        <w:tc>
          <w:tcPr>
            <w:tcW w:w="184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TOTAL</w:t>
            </w:r>
          </w:p>
        </w:tc>
      </w:tr>
      <w:tr w:rsidR="003E6588" w:rsidTr="001112C9">
        <w:trPr>
          <w:trHeight w:val="80"/>
          <w:jc w:val="center"/>
        </w:trPr>
        <w:tc>
          <w:tcPr>
            <w:tcW w:w="1182" w:type="dxa"/>
            <w:tcBorders>
              <w:top w:val="single" w:sz="8" w:space="0" w:color="auto"/>
              <w:left w:val="single" w:sz="8" w:space="0" w:color="auto"/>
              <w:bottom w:val="single" w:sz="8" w:space="0" w:color="auto"/>
              <w:right w:val="single" w:sz="8" w:space="0" w:color="auto"/>
            </w:tcBorders>
            <w:shd w:val="clear" w:color="auto" w:fill="FFFFFF"/>
            <w:noWrap/>
            <w:vAlign w:val="center"/>
            <w:hideMark/>
          </w:tcPr>
          <w:p w:rsidR="003E6588" w:rsidRDefault="003E6588">
            <w:pPr>
              <w:rPr>
                <w:b/>
                <w:bCs/>
                <w:sz w:val="20"/>
                <w:szCs w:val="20"/>
              </w:rPr>
            </w:pPr>
            <w:r>
              <w:rPr>
                <w:b/>
                <w:bCs/>
                <w:sz w:val="20"/>
                <w:szCs w:val="20"/>
              </w:rPr>
              <w:t>TOTAL</w:t>
            </w:r>
          </w:p>
        </w:tc>
        <w:tc>
          <w:tcPr>
            <w:tcW w:w="2052" w:type="dxa"/>
            <w:tcBorders>
              <w:top w:val="single" w:sz="8" w:space="0" w:color="auto"/>
              <w:left w:val="single" w:sz="8" w:space="0" w:color="auto"/>
              <w:bottom w:val="single" w:sz="8" w:space="0" w:color="auto"/>
              <w:right w:val="single" w:sz="8" w:space="0" w:color="auto"/>
            </w:tcBorders>
            <w:shd w:val="clear" w:color="auto" w:fill="FFFFFF"/>
            <w:noWrap/>
            <w:vAlign w:val="center"/>
            <w:hideMark/>
          </w:tcPr>
          <w:p w:rsidR="003E6588" w:rsidRPr="002479D8" w:rsidRDefault="003E6588">
            <w:pPr>
              <w:rPr>
                <w:bCs/>
                <w:sz w:val="20"/>
                <w:szCs w:val="20"/>
              </w:rPr>
            </w:pPr>
            <w:r w:rsidRPr="002479D8">
              <w:rPr>
                <w:bCs/>
                <w:sz w:val="20"/>
                <w:szCs w:val="20"/>
              </w:rPr>
              <w:t>110.306</w:t>
            </w:r>
          </w:p>
        </w:tc>
        <w:tc>
          <w:tcPr>
            <w:tcW w:w="1843" w:type="dxa"/>
            <w:tcBorders>
              <w:top w:val="single" w:sz="8" w:space="0" w:color="auto"/>
              <w:left w:val="single" w:sz="8" w:space="0" w:color="auto"/>
              <w:bottom w:val="single" w:sz="8" w:space="0" w:color="auto"/>
              <w:right w:val="single" w:sz="8" w:space="0" w:color="auto"/>
            </w:tcBorders>
            <w:shd w:val="clear" w:color="auto" w:fill="FFFFFF"/>
            <w:noWrap/>
            <w:vAlign w:val="center"/>
            <w:hideMark/>
          </w:tcPr>
          <w:p w:rsidR="003E6588" w:rsidRPr="002479D8" w:rsidRDefault="003E6588">
            <w:pPr>
              <w:rPr>
                <w:bCs/>
                <w:sz w:val="20"/>
                <w:szCs w:val="20"/>
              </w:rPr>
            </w:pPr>
            <w:r w:rsidRPr="002479D8">
              <w:rPr>
                <w:bCs/>
                <w:sz w:val="20"/>
                <w:szCs w:val="20"/>
              </w:rPr>
              <w:t>13.788</w:t>
            </w:r>
          </w:p>
        </w:tc>
        <w:tc>
          <w:tcPr>
            <w:tcW w:w="1843" w:type="dxa"/>
            <w:tcBorders>
              <w:top w:val="single" w:sz="8" w:space="0" w:color="auto"/>
              <w:left w:val="single" w:sz="8" w:space="0" w:color="auto"/>
              <w:bottom w:val="single" w:sz="8" w:space="0" w:color="auto"/>
              <w:right w:val="single" w:sz="8" w:space="0" w:color="auto"/>
            </w:tcBorders>
            <w:shd w:val="clear" w:color="auto" w:fill="FFFFFF"/>
            <w:noWrap/>
            <w:vAlign w:val="center"/>
            <w:hideMark/>
          </w:tcPr>
          <w:p w:rsidR="003E6588" w:rsidRPr="002479D8" w:rsidRDefault="003E6588">
            <w:pPr>
              <w:rPr>
                <w:bCs/>
                <w:sz w:val="20"/>
                <w:szCs w:val="20"/>
              </w:rPr>
            </w:pPr>
            <w:r w:rsidRPr="002479D8">
              <w:rPr>
                <w:bCs/>
                <w:sz w:val="20"/>
                <w:szCs w:val="20"/>
              </w:rPr>
              <w:t>124.094</w:t>
            </w:r>
          </w:p>
        </w:tc>
      </w:tr>
    </w:tbl>
    <w:p w:rsidR="003E6588" w:rsidRDefault="003E6588">
      <w:pPr>
        <w:ind w:firstLine="284"/>
        <w:jc w:val="both"/>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b/>
          <w:sz w:val="24"/>
          <w:szCs w:val="24"/>
          <w:lang w:eastAsia="pt-BR"/>
        </w:rPr>
        <w:t xml:space="preserve">Melhorias Urbanas CDHU - </w:t>
      </w:r>
      <w:r>
        <w:rPr>
          <w:rFonts w:ascii="Times New Roman" w:hAnsi="Times New Roman"/>
          <w:sz w:val="24"/>
          <w:szCs w:val="24"/>
        </w:rPr>
        <w:t>189 empreendimentos habitacionais da CDHU foram beneficiados por melhorias urbanas. Isso representa 80.004 unidades habitacionais atendidas por obras de melhorias, com destaque para ação de individualização de medição de água.</w:t>
      </w:r>
    </w:p>
    <w:p w:rsidR="003E6588" w:rsidRDefault="003E6588">
      <w:pPr>
        <w:pStyle w:val="Corpodetexto"/>
        <w:spacing w:before="120"/>
        <w:ind w:firstLine="284"/>
        <w:jc w:val="both"/>
        <w:rPr>
          <w:szCs w:val="24"/>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b/>
          <w:sz w:val="24"/>
          <w:szCs w:val="24"/>
          <w:lang w:eastAsia="pt-BR"/>
        </w:rPr>
        <w:t xml:space="preserve">Programa Especial de Melhorias - PEM - </w:t>
      </w:r>
      <w:r>
        <w:rPr>
          <w:rFonts w:ascii="Times New Roman" w:hAnsi="Times New Roman"/>
          <w:sz w:val="24"/>
          <w:szCs w:val="24"/>
        </w:rPr>
        <w:t>Por meio de repasse de recurso da SH, a fundo perdido, com previsão de contrapartida municipal, o programa realiza intervenções físicas que resultam melhorias urbanas em empreendimentos habitacionais desenvolvidos pela administração pública, direta ou indireta, dos poderes públicos municipal, estadual ou federal, ou em bairros degradados objeto de intervenção municipal por meio de projetos de infraestrutura ou de equipamentos sociais. Foram formalizados 127 convênios com o PEM, contemplando 114 municípios totalizando 169 núcleos habitacionais.</w:t>
      </w:r>
    </w:p>
    <w:p w:rsidR="003E6588" w:rsidRDefault="003E6588">
      <w:pPr>
        <w:ind w:firstLine="1134"/>
        <w:jc w:val="both"/>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b/>
          <w:sz w:val="24"/>
          <w:szCs w:val="24"/>
          <w:lang w:eastAsia="pt-BR"/>
        </w:rPr>
        <w:t xml:space="preserve">Cidade Legal - </w:t>
      </w:r>
      <w:r>
        <w:rPr>
          <w:rFonts w:ascii="Times New Roman" w:hAnsi="Times New Roman"/>
          <w:sz w:val="24"/>
          <w:szCs w:val="24"/>
        </w:rPr>
        <w:t>Com objetivo de implementar, agilizar e desburocratizar ações e processos de regularizações fundiárias de núcleos habitacionais de interesse social, o programa oferece orientação e apoio técnico e administrativo. Os resultados apontam 1.157 núcleos municipais regularizados, o que representa 163.160 lotes e 822.328 pessoas beneficiadas.</w:t>
      </w:r>
    </w:p>
    <w:p w:rsidR="003E6588" w:rsidRDefault="003E6588">
      <w:pPr>
        <w:ind w:firstLine="1134"/>
        <w:jc w:val="both"/>
        <w:rPr>
          <w:b/>
        </w:rPr>
      </w:pPr>
    </w:p>
    <w:p w:rsidR="003E6588" w:rsidRDefault="003E6588">
      <w:pPr>
        <w:pStyle w:val="PargrafodaLista"/>
        <w:tabs>
          <w:tab w:val="left" w:pos="426"/>
        </w:tabs>
        <w:ind w:left="0" w:firstLine="1134"/>
        <w:rPr>
          <w:rFonts w:ascii="Times New Roman" w:hAnsi="Times New Roman"/>
          <w:sz w:val="24"/>
          <w:szCs w:val="24"/>
        </w:rPr>
      </w:pPr>
      <w:r>
        <w:rPr>
          <w:rFonts w:ascii="Times New Roman" w:hAnsi="Times New Roman"/>
          <w:b/>
          <w:sz w:val="24"/>
          <w:szCs w:val="24"/>
          <w:lang w:eastAsia="pt-BR"/>
        </w:rPr>
        <w:t xml:space="preserve">Regularização Fundiária de Empreendimentos da CDHU - </w:t>
      </w:r>
      <w:r>
        <w:rPr>
          <w:rFonts w:ascii="Times New Roman" w:hAnsi="Times New Roman"/>
          <w:sz w:val="24"/>
          <w:szCs w:val="24"/>
        </w:rPr>
        <w:t>61 empreendimentos foram averbados, compreendendo 10.909 UHs regularizadas.</w:t>
      </w:r>
    </w:p>
    <w:p w:rsidR="003E6588" w:rsidRDefault="003E6588">
      <w:pPr>
        <w:ind w:firstLine="1134"/>
        <w:jc w:val="both"/>
      </w:pPr>
    </w:p>
    <w:p w:rsidR="003E6588" w:rsidRDefault="003E6588">
      <w:pPr>
        <w:pStyle w:val="PargrafodaLista"/>
        <w:tabs>
          <w:tab w:val="left" w:pos="284"/>
          <w:tab w:val="left" w:pos="426"/>
        </w:tabs>
        <w:ind w:left="1134"/>
        <w:rPr>
          <w:rFonts w:ascii="Times New Roman" w:hAnsi="Times New Roman"/>
          <w:b/>
          <w:sz w:val="24"/>
          <w:szCs w:val="24"/>
          <w:lang w:eastAsia="pt-BR"/>
        </w:rPr>
      </w:pPr>
      <w:r>
        <w:rPr>
          <w:rFonts w:ascii="Times New Roman" w:hAnsi="Times New Roman"/>
          <w:b/>
          <w:sz w:val="24"/>
          <w:szCs w:val="24"/>
          <w:lang w:eastAsia="pt-BR"/>
        </w:rPr>
        <w:t>Parcerias Governamentais e Projetos Prioritários</w:t>
      </w:r>
    </w:p>
    <w:p w:rsidR="003E6588" w:rsidRDefault="003E6588">
      <w:pPr>
        <w:pStyle w:val="PargrafodaLista"/>
        <w:tabs>
          <w:tab w:val="left" w:pos="284"/>
          <w:tab w:val="left" w:pos="426"/>
        </w:tabs>
        <w:ind w:left="1134"/>
        <w:rPr>
          <w:rFonts w:ascii="Times New Roman" w:hAnsi="Times New Roman"/>
          <w:sz w:val="24"/>
          <w:szCs w:val="24"/>
          <w:lang w:eastAsia="pt-BR"/>
        </w:rPr>
      </w:pPr>
    </w:p>
    <w:p w:rsidR="003E6588" w:rsidRDefault="003E6588">
      <w:pPr>
        <w:ind w:firstLine="1134"/>
        <w:jc w:val="both"/>
        <w:rPr>
          <w:b/>
        </w:rPr>
      </w:pPr>
      <w:r>
        <w:rPr>
          <w:b/>
        </w:rPr>
        <w:t xml:space="preserve">PAC destinado à Habitação e Urbanização - </w:t>
      </w:r>
      <w:r>
        <w:t>Prosseguem os trabalhos de articulação de recursos federais e estaduais que envolvem ampla gama de projetos, visando à intervenção em favelas e assentamentos precários. Envolve ações de urbanização, reassentamentos habitacionais para apoio à urbanização, remoção e reassentamento de famílias moradoras de áreas de risco ou afetadas por obras públicas, e ações na área central do Município de São Paulo. Provisão ou requalificação de moradias na área central, visando à qualificação urbana e incremento da qualidade de vida, por meio de ações nas Subprefeituras Sé e Moóca. Essa parceria atende 30 mil famílias na Região Metropolitana de São Paulo, na Baixada Santista e nas Regiões de Campinas e Ribeirão Preto.</w:t>
      </w:r>
    </w:p>
    <w:p w:rsidR="003E6588" w:rsidRDefault="003E6588">
      <w:pPr>
        <w:ind w:firstLine="1134"/>
        <w:jc w:val="both"/>
        <w:rPr>
          <w:b/>
        </w:rPr>
      </w:pPr>
    </w:p>
    <w:p w:rsidR="003E6588" w:rsidRDefault="003E6588">
      <w:pPr>
        <w:pStyle w:val="PargrafodaLista"/>
        <w:ind w:left="0" w:firstLine="1134"/>
        <w:rPr>
          <w:rFonts w:ascii="Times New Roman" w:hAnsi="Times New Roman"/>
          <w:bCs/>
          <w:snapToGrid w:val="0"/>
          <w:spacing w:val="-2"/>
          <w:sz w:val="24"/>
          <w:szCs w:val="24"/>
        </w:rPr>
      </w:pPr>
      <w:r>
        <w:rPr>
          <w:rFonts w:ascii="Times New Roman" w:hAnsi="Times New Roman"/>
          <w:b/>
          <w:sz w:val="24"/>
          <w:szCs w:val="24"/>
          <w:lang w:eastAsia="pt-BR"/>
        </w:rPr>
        <w:t xml:space="preserve">Parcerias em Programas Federais - </w:t>
      </w:r>
      <w:r>
        <w:rPr>
          <w:rFonts w:ascii="Times New Roman" w:hAnsi="Times New Roman"/>
          <w:bCs/>
          <w:sz w:val="24"/>
          <w:szCs w:val="24"/>
        </w:rPr>
        <w:t xml:space="preserve">Foi dada </w:t>
      </w:r>
      <w:r>
        <w:rPr>
          <w:rFonts w:ascii="Times New Roman" w:hAnsi="Times New Roman"/>
          <w:bCs/>
          <w:snapToGrid w:val="0"/>
          <w:spacing w:val="-2"/>
          <w:sz w:val="24"/>
          <w:szCs w:val="24"/>
        </w:rPr>
        <w:t>continuidade à parceria com a CAIXA, voltada à viabilização de aportes a atendimentos habitacionais, em apoio aos programas federais, com destaque para o Programa Minha Casa Minha Vida - PMCMV nos modelos FAR, FDS - Entidades, Chamamento Público e PNHR - Rural.</w:t>
      </w:r>
    </w:p>
    <w:p w:rsidR="003E6588" w:rsidRDefault="003E6588">
      <w:pPr>
        <w:ind w:firstLine="1134"/>
        <w:jc w:val="both"/>
        <w:rPr>
          <w:bCs/>
          <w:snapToGrid w:val="0"/>
          <w:spacing w:val="-2"/>
        </w:rPr>
      </w:pPr>
    </w:p>
    <w:p w:rsidR="003E6588" w:rsidRDefault="003E6588">
      <w:pPr>
        <w:pStyle w:val="PargrafodaLista"/>
        <w:ind w:left="0" w:firstLine="1134"/>
        <w:rPr>
          <w:rFonts w:ascii="Times New Roman" w:hAnsi="Times New Roman"/>
          <w:sz w:val="24"/>
          <w:szCs w:val="24"/>
        </w:rPr>
      </w:pPr>
      <w:r>
        <w:rPr>
          <w:rFonts w:ascii="Times New Roman" w:eastAsia="Times New Roman" w:hAnsi="Times New Roman"/>
          <w:b/>
          <w:iCs/>
          <w:sz w:val="24"/>
          <w:szCs w:val="24"/>
          <w:lang w:eastAsia="pt-BR"/>
        </w:rPr>
        <w:lastRenderedPageBreak/>
        <w:t xml:space="preserve">Programa Parceria com Municípios - </w:t>
      </w:r>
      <w:r>
        <w:rPr>
          <w:rFonts w:ascii="Times New Roman" w:hAnsi="Times New Roman"/>
          <w:sz w:val="24"/>
          <w:szCs w:val="24"/>
        </w:rPr>
        <w:t>Principal linha de ação da SH/CDHU, o programa de Parceria com Municípios foi aprimorado nos aspectos técnico-gerenciais, para aumentar a eficácia dos repasses de recursos e do cronograma de execução das obras.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Foram entregues 8.956 UHs e assinados 58 convênios para 8.119 UHs.</w:t>
      </w:r>
    </w:p>
    <w:p w:rsidR="003E6588" w:rsidRDefault="003E6588">
      <w:pPr>
        <w:autoSpaceDE w:val="0"/>
        <w:autoSpaceDN w:val="0"/>
        <w:adjustRightInd w:val="0"/>
        <w:ind w:firstLine="1134"/>
        <w:jc w:val="both"/>
      </w:pPr>
    </w:p>
    <w:p w:rsidR="003E6588" w:rsidRDefault="003E6588">
      <w:pPr>
        <w:pStyle w:val="PargrafodaLista"/>
        <w:ind w:left="0" w:firstLine="1134"/>
        <w:rPr>
          <w:rFonts w:ascii="Times New Roman" w:hAnsi="Times New Roman"/>
          <w:sz w:val="24"/>
          <w:szCs w:val="24"/>
        </w:rPr>
      </w:pPr>
      <w:r>
        <w:rPr>
          <w:rFonts w:ascii="Times New Roman" w:eastAsia="Times New Roman" w:hAnsi="Times New Roman"/>
          <w:b/>
          <w:iCs/>
          <w:sz w:val="24"/>
          <w:szCs w:val="24"/>
          <w:lang w:eastAsia="pt-BR"/>
        </w:rPr>
        <w:t xml:space="preserve">Produção habitacional por meio de parcerias com Entidades do Terceiro Setor - </w:t>
      </w:r>
      <w:r>
        <w:rPr>
          <w:rFonts w:ascii="Times New Roman" w:hAnsi="Times New Roman"/>
          <w:sz w:val="24"/>
          <w:szCs w:val="24"/>
        </w:rPr>
        <w:t>Atuação direta da CDHU na promoção de empreendimentos habitacionais, em parceria com entidades organizadoras ou por meio de apoio a ações da SH/Casa Paulista, na parceria PMCMV - Entidades, incluindo a viabilização/transferência de terrenos desapropriados pela Companhia. Nos programas desenvolvidos, a parceria com as entidades abrange orientação social ao grupo alvo, participação sociocomunitária/inserção social/cidadania e orientação para gestão e manutenção da unidade e do condomínio.</w:t>
      </w:r>
    </w:p>
    <w:p w:rsidR="003E6588" w:rsidRDefault="003E6588">
      <w:pPr>
        <w:autoSpaceDE w:val="0"/>
        <w:autoSpaceDN w:val="0"/>
        <w:adjustRightInd w:val="0"/>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pacing w:val="-4"/>
          <w:sz w:val="24"/>
          <w:szCs w:val="24"/>
          <w:lang w:eastAsia="pt-BR"/>
        </w:rPr>
        <w:t xml:space="preserve">Parceria com a DERSA - Rodoanel, Complexo Viário Jacu-Pêssego e Rodoanel Norte - </w:t>
      </w:r>
      <w:r>
        <w:rPr>
          <w:rFonts w:ascii="Times New Roman" w:hAnsi="Times New Roman"/>
          <w:sz w:val="24"/>
          <w:szCs w:val="24"/>
        </w:rPr>
        <w:t>Por meio dos Convênios nº 316/2011 e nº 191/2011, foram firmadas parcerias com a DERSA para a viabilização de soluções de atendimento habitacional para o Rodoanel Sul/Complexo Jacu-Pêssego e Rodoanel Norte, respectivamente.</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Merecem destaque:</w:t>
      </w:r>
    </w:p>
    <w:p w:rsidR="003E6588" w:rsidRDefault="003E6588">
      <w:pPr>
        <w:autoSpaceDE w:val="0"/>
        <w:autoSpaceDN w:val="0"/>
        <w:adjustRightInd w:val="0"/>
        <w:ind w:firstLine="1134"/>
        <w:jc w:val="both"/>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b/>
          <w:bCs/>
          <w:sz w:val="24"/>
          <w:szCs w:val="24"/>
        </w:rPr>
        <w:t>- Atendimento complementar ao Rodoanel - Trecho Sul e Complexo Jacu-Pêssego</w:t>
      </w:r>
      <w:r>
        <w:rPr>
          <w:rFonts w:ascii="Times New Roman" w:hAnsi="Times New Roman"/>
          <w:sz w:val="24"/>
          <w:szCs w:val="24"/>
        </w:rPr>
        <w:t>, com estimativa de inicial de atendimento a 1.600 famílias - atualizada a demanda habitacional para atendimento a 1.073 famílias, sendo a redução decorrente de adesão de famílias a outros tipos de indenização pela DERSA. Nessas áreas estão em Auxílio Moradia 912 famílias.</w:t>
      </w:r>
    </w:p>
    <w:p w:rsidR="003E6588" w:rsidRDefault="003E6588">
      <w:pPr>
        <w:autoSpaceDE w:val="0"/>
        <w:autoSpaceDN w:val="0"/>
        <w:adjustRightInd w:val="0"/>
        <w:ind w:firstLine="1134"/>
      </w:pPr>
    </w:p>
    <w:p w:rsidR="003E6588" w:rsidRDefault="003E6588">
      <w:pPr>
        <w:autoSpaceDE w:val="0"/>
        <w:autoSpaceDN w:val="0"/>
        <w:adjustRightInd w:val="0"/>
        <w:ind w:firstLine="1134"/>
        <w:jc w:val="both"/>
      </w:pPr>
      <w:r>
        <w:t>Para atendimento a essa parceria, estão em viabilização terrenos indicados pela DERSA e analisados pela CDHU nos Municípios de São Paulo, Mauá e Embu, que têm capacidade para atendimento de toda a demanda, além das cartas de crédito em viabilização.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O convênio nº 0316/</w:t>
      </w:r>
      <w:r w:rsidR="002479D8">
        <w:t>20</w:t>
      </w:r>
      <w:r>
        <w:t>11 foi aditado - TRR 0758/</w:t>
      </w:r>
      <w:r w:rsidR="002479D8">
        <w:t>20</w:t>
      </w:r>
      <w:r>
        <w:t>12 - e está previsto atendimento complementar por meio de Cartas de Crédito. Mais de 1.000 famílias foram convocadas, 533 cartas de crédito foram emitidas, destas 147 famílias apresentaram imóveis e destas 101 processos foram concluídos com o recebimento das escrituras pelas famílias beneficiadas, incluídas as aquisições de Uhs em empreendimento da CDHU- Sacomã A.</w:t>
      </w:r>
    </w:p>
    <w:p w:rsidR="003E6588" w:rsidRDefault="003E6588">
      <w:pPr>
        <w:autoSpaceDE w:val="0"/>
        <w:autoSpaceDN w:val="0"/>
        <w:adjustRightInd w:val="0"/>
        <w:ind w:firstLine="1134"/>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b/>
          <w:sz w:val="24"/>
          <w:szCs w:val="24"/>
        </w:rPr>
        <w:t xml:space="preserve">- Atendimento de apoio ao Rodoanel - Trecho Norte, </w:t>
      </w:r>
      <w:r>
        <w:rPr>
          <w:rFonts w:ascii="Times New Roman" w:hAnsi="Times New Roman"/>
          <w:sz w:val="24"/>
          <w:szCs w:val="24"/>
        </w:rPr>
        <w:t>com estimativa inicial de atendimento a 600 famílias, elevada informalmente pela DERSA para 1.900 atendimentos.</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autoSpaceDE w:val="0"/>
        <w:autoSpaceDN w:val="0"/>
        <w:adjustRightInd w:val="0"/>
        <w:ind w:firstLine="1134"/>
        <w:jc w:val="both"/>
      </w:pPr>
      <w:r>
        <w:t>Foram viabilizados pela CDHU os seguintes empreendimentos no Município de São Paulo: SP/Freguesia do Ó “A” - 118 UHs; SP/Perus “D” - 140 UHs e SP/Jaraguá “Q” - 273 UHs.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lastRenderedPageBreak/>
        <w:t>A Casa Paulista está viabilizando atendimento à demanda do Município de Guarulhos, no empreendimento Clarice Lispector - 360 UHs, assim como deverá viabilizar parte do atendimento da demanda do Município de São Paulo.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As famílias encontram-se em atendimento por Auxílio Moradia. Esse benefício poderá se estender por 36 meses a partir da remoção das áreas de obras, até a entrega definitiva das unidades habitacionais que serão construídas pela CDHU ou viabilizadas pela Casa Paulista e repassadas com devida titularidade - escritura pública com registro. Após a remoção, o trabalho social será de responsabilidade da CDHU.</w:t>
      </w:r>
    </w:p>
    <w:p w:rsidR="003E6588" w:rsidRDefault="003E6588">
      <w:pPr>
        <w:autoSpaceDE w:val="0"/>
        <w:autoSpaceDN w:val="0"/>
        <w:adjustRightInd w:val="0"/>
        <w:ind w:firstLine="1134"/>
        <w:jc w:val="both"/>
        <w:rPr>
          <w:b/>
          <w:bCs/>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Programa Mananciais - </w:t>
      </w:r>
      <w:r>
        <w:rPr>
          <w:rFonts w:ascii="Times New Roman" w:hAnsi="Times New Roman"/>
          <w:sz w:val="24"/>
          <w:szCs w:val="24"/>
        </w:rPr>
        <w:t>O Programa Mananciais-Guarapiranga e Billings abrange conjunto de intervenções nas áreas das bacias hidrográficas dos mananciais Guarapiranga e Billings no Município de São Paulo, voltadas para urbanização de favelas, reassentamento populacional e expansão de infraestrutura básica. O Programa prevê reassentamento de 5.300 famílias, cabendo ao Governo do Estado, por meio da SH/CDHU, o atendimento de 2.548 famílias que serão removidas da APRM - Áreas de Proteção e Recuperação Ambiental das Bacias Hidrográficas Billings e Guarapiranga, viabilizando as obras de urbanização sob responsabilidade da Prefeitura do Município de São Paulo (2ª etapa da intervenção). Total de 1.119 atendimentos em viabilização nos seguintes empreendimentos:</w:t>
      </w:r>
    </w:p>
    <w:p w:rsidR="003E6588" w:rsidRDefault="003E6588">
      <w:pPr>
        <w:autoSpaceDE w:val="0"/>
        <w:autoSpaceDN w:val="0"/>
        <w:adjustRightInd w:val="0"/>
        <w:ind w:firstLine="1134"/>
      </w:pPr>
    </w:p>
    <w:p w:rsidR="003E6588" w:rsidRDefault="003E6588">
      <w:pPr>
        <w:pStyle w:val="PargrafodaLista"/>
        <w:autoSpaceDE w:val="0"/>
        <w:autoSpaceDN w:val="0"/>
        <w:adjustRightInd w:val="0"/>
        <w:ind w:left="1134"/>
        <w:jc w:val="left"/>
        <w:rPr>
          <w:rFonts w:ascii="Times New Roman" w:hAnsi="Times New Roman"/>
          <w:sz w:val="24"/>
          <w:szCs w:val="24"/>
        </w:rPr>
      </w:pPr>
      <w:r>
        <w:rPr>
          <w:rFonts w:ascii="Times New Roman" w:hAnsi="Times New Roman"/>
          <w:sz w:val="24"/>
          <w:szCs w:val="24"/>
        </w:rPr>
        <w:t>- Cidade Ademar C (96 UHs).</w:t>
      </w:r>
    </w:p>
    <w:p w:rsidR="003E6588" w:rsidRDefault="003E6588">
      <w:pPr>
        <w:pStyle w:val="PargrafodaLista"/>
        <w:autoSpaceDE w:val="0"/>
        <w:autoSpaceDN w:val="0"/>
        <w:adjustRightInd w:val="0"/>
        <w:ind w:left="0"/>
        <w:jc w:val="left"/>
        <w:rPr>
          <w:rFonts w:ascii="Times New Roman" w:hAnsi="Times New Roman"/>
          <w:sz w:val="24"/>
          <w:szCs w:val="24"/>
        </w:rPr>
      </w:pPr>
    </w:p>
    <w:p w:rsidR="003E6588" w:rsidRDefault="003E6588">
      <w:pPr>
        <w:pStyle w:val="PargrafodaLista"/>
        <w:autoSpaceDE w:val="0"/>
        <w:autoSpaceDN w:val="0"/>
        <w:adjustRightInd w:val="0"/>
        <w:ind w:left="1134"/>
        <w:jc w:val="left"/>
        <w:rPr>
          <w:rFonts w:ascii="Times New Roman" w:hAnsi="Times New Roman"/>
          <w:sz w:val="24"/>
          <w:szCs w:val="24"/>
        </w:rPr>
      </w:pPr>
      <w:r>
        <w:rPr>
          <w:rFonts w:ascii="Times New Roman" w:hAnsi="Times New Roman"/>
          <w:sz w:val="24"/>
          <w:szCs w:val="24"/>
        </w:rPr>
        <w:t>- Capão Redondo E (118 UHs).</w:t>
      </w:r>
    </w:p>
    <w:p w:rsidR="003E6588" w:rsidRDefault="003E6588">
      <w:pPr>
        <w:pStyle w:val="PargrafodaLista"/>
        <w:autoSpaceDE w:val="0"/>
        <w:autoSpaceDN w:val="0"/>
        <w:adjustRightInd w:val="0"/>
        <w:jc w:val="left"/>
        <w:rPr>
          <w:rFonts w:ascii="Times New Roman" w:hAnsi="Times New Roman"/>
          <w:sz w:val="24"/>
          <w:szCs w:val="24"/>
        </w:rPr>
      </w:pPr>
    </w:p>
    <w:p w:rsidR="003E6588" w:rsidRDefault="003E6588">
      <w:pPr>
        <w:pStyle w:val="PargrafodaLista"/>
        <w:autoSpaceDE w:val="0"/>
        <w:autoSpaceDN w:val="0"/>
        <w:adjustRightInd w:val="0"/>
        <w:ind w:left="1134"/>
        <w:jc w:val="left"/>
        <w:rPr>
          <w:rFonts w:ascii="Times New Roman" w:hAnsi="Times New Roman"/>
          <w:sz w:val="24"/>
          <w:szCs w:val="24"/>
        </w:rPr>
      </w:pPr>
      <w:r>
        <w:rPr>
          <w:rFonts w:ascii="Times New Roman" w:hAnsi="Times New Roman"/>
          <w:sz w:val="24"/>
          <w:szCs w:val="24"/>
        </w:rPr>
        <w:t>- Capão Redondo I (60 UHs).</w:t>
      </w:r>
    </w:p>
    <w:p w:rsidR="003E6588" w:rsidRDefault="003E6588">
      <w:pPr>
        <w:pStyle w:val="PargrafodaLista"/>
        <w:autoSpaceDE w:val="0"/>
        <w:autoSpaceDN w:val="0"/>
        <w:adjustRightInd w:val="0"/>
        <w:jc w:val="left"/>
        <w:rPr>
          <w:rFonts w:ascii="Times New Roman" w:hAnsi="Times New Roman"/>
          <w:sz w:val="24"/>
          <w:szCs w:val="24"/>
        </w:rPr>
      </w:pPr>
    </w:p>
    <w:p w:rsidR="003E6588" w:rsidRDefault="003E6588">
      <w:pPr>
        <w:pStyle w:val="PargrafodaLista"/>
        <w:autoSpaceDE w:val="0"/>
        <w:autoSpaceDN w:val="0"/>
        <w:adjustRightInd w:val="0"/>
        <w:ind w:left="1134"/>
        <w:jc w:val="left"/>
        <w:rPr>
          <w:rFonts w:ascii="Times New Roman" w:hAnsi="Times New Roman"/>
          <w:sz w:val="24"/>
          <w:szCs w:val="24"/>
        </w:rPr>
      </w:pPr>
      <w:r>
        <w:rPr>
          <w:rFonts w:ascii="Times New Roman" w:hAnsi="Times New Roman"/>
          <w:sz w:val="24"/>
          <w:szCs w:val="24"/>
        </w:rPr>
        <w:t>- Grajaú B (517 UHs).</w:t>
      </w:r>
    </w:p>
    <w:p w:rsidR="003E6588" w:rsidRDefault="003E6588">
      <w:pPr>
        <w:pStyle w:val="PargrafodaLista"/>
        <w:autoSpaceDE w:val="0"/>
        <w:autoSpaceDN w:val="0"/>
        <w:adjustRightInd w:val="0"/>
        <w:ind w:left="0"/>
        <w:jc w:val="left"/>
        <w:rPr>
          <w:rFonts w:ascii="Times New Roman" w:hAnsi="Times New Roman"/>
          <w:sz w:val="24"/>
          <w:szCs w:val="24"/>
        </w:rPr>
      </w:pPr>
    </w:p>
    <w:p w:rsidR="003E6588" w:rsidRDefault="003E6588">
      <w:pPr>
        <w:pStyle w:val="PargrafodaLista"/>
        <w:autoSpaceDE w:val="0"/>
        <w:autoSpaceDN w:val="0"/>
        <w:adjustRightInd w:val="0"/>
        <w:ind w:left="1134"/>
        <w:jc w:val="left"/>
        <w:rPr>
          <w:rFonts w:ascii="Times New Roman" w:hAnsi="Times New Roman"/>
          <w:sz w:val="24"/>
          <w:szCs w:val="24"/>
        </w:rPr>
      </w:pPr>
      <w:r>
        <w:rPr>
          <w:rFonts w:ascii="Times New Roman" w:hAnsi="Times New Roman"/>
          <w:sz w:val="24"/>
          <w:szCs w:val="24"/>
        </w:rPr>
        <w:t>- Jardim Ângela A (328 UHs).</w:t>
      </w:r>
    </w:p>
    <w:p w:rsidR="003E6588" w:rsidRDefault="003E6588">
      <w:pPr>
        <w:autoSpaceDE w:val="0"/>
        <w:autoSpaceDN w:val="0"/>
        <w:adjustRightInd w:val="0"/>
        <w:ind w:firstLine="1134"/>
        <w:jc w:val="both"/>
        <w:rPr>
          <w:b/>
        </w:rPr>
      </w:pPr>
    </w:p>
    <w:p w:rsidR="003E6588" w:rsidRDefault="003E6588">
      <w:pPr>
        <w:autoSpaceDE w:val="0"/>
        <w:autoSpaceDN w:val="0"/>
        <w:adjustRightInd w:val="0"/>
        <w:ind w:firstLine="1134"/>
        <w:jc w:val="both"/>
      </w:pPr>
      <w:r>
        <w:rPr>
          <w:b/>
        </w:rPr>
        <w:t>Saldo de unidades para atendimento</w:t>
      </w:r>
      <w:r>
        <w:t xml:space="preserve"> - Empreendimentos com aporte da SH/Casa Paulista em parceria com a PMSP.</w:t>
      </w:r>
    </w:p>
    <w:p w:rsidR="003E6588" w:rsidRDefault="003E6588">
      <w:pPr>
        <w:ind w:firstLine="1134"/>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Projeto Parque Várzeas do Tietê - </w:t>
      </w:r>
      <w:r>
        <w:rPr>
          <w:rFonts w:ascii="Times New Roman" w:hAnsi="Times New Roman"/>
          <w:sz w:val="24"/>
          <w:szCs w:val="24"/>
        </w:rPr>
        <w:t>Reassentamento habitacional necessário para implantação do Parque Linear Várzeas do Tietê, obra da Secretaria de Saneamento e Recursos Hídricos - SSRH e do Departamento de Águas e Energia Elétrica - DAEE. Conforme Convênio firmado a CDHU está responsável pelo atendimento habitacional de 2.500 famílias oriundas do Município de São Paulo e a SH está responsável pelo atendimento habitacional a 600 famílias oriundas do Município de Guarulhos ,a serem removidas na primeira etapa do projeto.</w:t>
      </w:r>
    </w:p>
    <w:p w:rsidR="003E6588" w:rsidRDefault="003E6588">
      <w:pPr>
        <w:pStyle w:val="PargrafodaLista"/>
        <w:ind w:left="0" w:firstLine="1134"/>
        <w:rPr>
          <w:rFonts w:ascii="Times New Roman" w:hAnsi="Times New Roman"/>
          <w:sz w:val="24"/>
          <w:szCs w:val="24"/>
        </w:rPr>
      </w:pPr>
    </w:p>
    <w:p w:rsidR="003E6588" w:rsidRDefault="003E6588">
      <w:pPr>
        <w:autoSpaceDE w:val="0"/>
        <w:autoSpaceDN w:val="0"/>
        <w:adjustRightInd w:val="0"/>
        <w:ind w:firstLine="1134"/>
        <w:jc w:val="both"/>
      </w:pPr>
      <w:r>
        <w:t>O total de atendimentos previsto inicialmente é de 5 mil famílias, sendo que a demanda total será definida durante a elaboração do projeto do Parque, que se estenderá ao longo das margens do rio, entre São Paulo e Salesópolis (parte do Projeto Nova Marginal).</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lastRenderedPageBreak/>
        <w:t>A CDHU atendeu 340 famílias nos empreendimentos Itaquaquecetuba A, C e V. Estão em programação para atendimento do Projeto os empreendimentos: Guarulhos AA, Guarulhos AB, Guarulhos AC e Guarulhos AD, totalizando 1.263 unidades habitacionais.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Para atendimento à demanda de Guarulhos, estão destinadas 600 UH no empreendimento Lavras, em viabilização por meio de aporte de recursos do FPHIS - SH/Casa Paulista.</w:t>
      </w:r>
    </w:p>
    <w:p w:rsidR="003E6588" w:rsidRDefault="003E6588">
      <w:pPr>
        <w:ind w:firstLine="1134"/>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Convênios com o Município de São Bernardo do Campo - </w:t>
      </w:r>
      <w:r>
        <w:rPr>
          <w:rFonts w:ascii="Times New Roman" w:hAnsi="Times New Roman"/>
          <w:snapToGrid w:val="0"/>
          <w:spacing w:val="-2"/>
          <w:sz w:val="24"/>
          <w:szCs w:val="24"/>
        </w:rPr>
        <w:t xml:space="preserve">Tendo </w:t>
      </w:r>
      <w:r>
        <w:rPr>
          <w:rFonts w:ascii="Times New Roman" w:hAnsi="Times New Roman"/>
          <w:sz w:val="24"/>
          <w:szCs w:val="24"/>
        </w:rPr>
        <w:t>como partícipes a SH, CDHU e Município de São Bernardo do Campo, foi dada continuidade ao Protocolo de Intenção n° 325/2011, onde constam as propostas de ações feitas pelo Município, que se tornaram Convênios:</w:t>
      </w:r>
    </w:p>
    <w:p w:rsidR="003E6588" w:rsidRDefault="003E6588">
      <w:pPr>
        <w:ind w:firstLine="1134"/>
        <w:jc w:val="both"/>
      </w:pPr>
    </w:p>
    <w:p w:rsidR="003E6588" w:rsidRDefault="003E6588">
      <w:pPr>
        <w:ind w:firstLine="1134"/>
        <w:jc w:val="both"/>
      </w:pPr>
      <w:r w:rsidRPr="007E3B93">
        <w:rPr>
          <w:b/>
        </w:rPr>
        <w:t>Ação 1 -</w:t>
      </w:r>
      <w:r>
        <w:t xml:space="preserve"> </w:t>
      </w:r>
      <w:r w:rsidRPr="007E3B93">
        <w:t>Produção de 1.868 UHs para reassentamentos</w:t>
      </w:r>
      <w:r>
        <w:rPr>
          <w:b/>
        </w:rPr>
        <w:t xml:space="preserve"> - </w:t>
      </w:r>
      <w:r>
        <w:t xml:space="preserve">Convênio </w:t>
      </w:r>
      <w:r w:rsidR="002479D8">
        <w:t xml:space="preserve">nº </w:t>
      </w:r>
      <w:r>
        <w:t xml:space="preserve">0135/2012, que prevê repasse de recursos financeiros para execução de 540 UHs; Convênio </w:t>
      </w:r>
      <w:r w:rsidR="002479D8">
        <w:t xml:space="preserve">nº </w:t>
      </w:r>
      <w:r>
        <w:t xml:space="preserve">0142/2012, que prevê repasse de recursos financeiros para execução de 366 UHs; Convênio </w:t>
      </w:r>
      <w:r w:rsidR="002479D8">
        <w:t xml:space="preserve">nº </w:t>
      </w:r>
      <w:r>
        <w:t xml:space="preserve">0318/2011, que prevê repasse de recursos financeiros para construção de 778 UHs; Convênio </w:t>
      </w:r>
      <w:r w:rsidR="002479D8">
        <w:t xml:space="preserve">nº </w:t>
      </w:r>
      <w:r>
        <w:t>442/2012, que prevê repasse de recursos financeiros para execução de 184 unidades no Jardim Lavínia - 2ª etapa. Foram entregues 96 unidades habitacionais.</w:t>
      </w:r>
    </w:p>
    <w:p w:rsidR="003E6588" w:rsidRDefault="003E6588">
      <w:pPr>
        <w:ind w:firstLine="1134"/>
        <w:jc w:val="both"/>
      </w:pPr>
    </w:p>
    <w:p w:rsidR="003E6588" w:rsidRDefault="003E6588">
      <w:pPr>
        <w:ind w:firstLine="1134"/>
        <w:jc w:val="both"/>
      </w:pPr>
      <w:r w:rsidRPr="007E3B93">
        <w:rPr>
          <w:b/>
        </w:rPr>
        <w:t>Ação 2</w:t>
      </w:r>
      <w:r>
        <w:t xml:space="preserve"> - </w:t>
      </w:r>
      <w:r w:rsidRPr="007E3B93">
        <w:t xml:space="preserve">Obras de Urbanização, beneficiando 1.763 domicílios </w:t>
      </w:r>
      <w:r>
        <w:rPr>
          <w:b/>
        </w:rPr>
        <w:t>-</w:t>
      </w:r>
      <w:r>
        <w:t xml:space="preserve"> Convênio </w:t>
      </w:r>
      <w:r w:rsidR="002479D8">
        <w:t xml:space="preserve">nº </w:t>
      </w:r>
      <w:r>
        <w:t>0318/2011 - Projeto de Urbanização Integrada do Parque São Bernardo, Alto da Bela Vista e Novo Parque. Foram entregues 412 unidades habitacionais.</w:t>
      </w:r>
    </w:p>
    <w:p w:rsidR="003E6588" w:rsidRDefault="003E6588">
      <w:pPr>
        <w:ind w:firstLine="1134"/>
        <w:jc w:val="both"/>
      </w:pPr>
    </w:p>
    <w:p w:rsidR="003E6588" w:rsidRDefault="003E6588">
      <w:pPr>
        <w:ind w:firstLine="1134"/>
        <w:jc w:val="both"/>
      </w:pPr>
      <w:r w:rsidRPr="007E3B93">
        <w:rPr>
          <w:b/>
        </w:rPr>
        <w:t>Ação 3</w:t>
      </w:r>
      <w:r>
        <w:t xml:space="preserve"> - </w:t>
      </w:r>
      <w:r w:rsidRPr="007E3B93">
        <w:t>Complementação de recursos para a produção de 460 UHs</w:t>
      </w:r>
      <w:r>
        <w:t xml:space="preserve"> no Empreendimento Residencial Tiradentes - MCMV para reassentamento de famílias a serem removidas para obras de urbanização dos córregos Saracantan e Colina, famílias que ocupam faixa de domínio da Rodovia Anchieta e outras famílias que serão atendidas.</w:t>
      </w:r>
    </w:p>
    <w:p w:rsidR="003E6588" w:rsidRDefault="003E6588">
      <w:pPr>
        <w:ind w:firstLine="1134"/>
        <w:jc w:val="both"/>
      </w:pPr>
    </w:p>
    <w:p w:rsidR="003E6588" w:rsidRDefault="003E6588">
      <w:pPr>
        <w:pStyle w:val="PargrafodaLista"/>
        <w:ind w:left="0" w:firstLine="1134"/>
        <w:jc w:val="left"/>
        <w:rPr>
          <w:rFonts w:ascii="Times New Roman" w:hAnsi="Times New Roman"/>
          <w:b/>
          <w:sz w:val="24"/>
          <w:szCs w:val="24"/>
          <w:lang w:eastAsia="pt-BR"/>
        </w:rPr>
      </w:pPr>
      <w:r>
        <w:rPr>
          <w:rFonts w:ascii="Times New Roman" w:hAnsi="Times New Roman"/>
          <w:b/>
          <w:sz w:val="24"/>
          <w:szCs w:val="24"/>
          <w:lang w:eastAsia="pt-BR"/>
        </w:rPr>
        <w:t>Convênios com o Município de Santos</w:t>
      </w:r>
    </w:p>
    <w:p w:rsidR="003E6588" w:rsidRDefault="003E6588" w:rsidP="002479D8">
      <w:pPr>
        <w:ind w:firstLine="1134"/>
        <w:jc w:val="both"/>
        <w:rPr>
          <w:b/>
          <w:lang w:eastAsia="en-US"/>
        </w:rPr>
      </w:pPr>
    </w:p>
    <w:p w:rsidR="003E6588" w:rsidRDefault="003E6588">
      <w:pPr>
        <w:ind w:firstLine="1134"/>
        <w:jc w:val="both"/>
        <w:rPr>
          <w:snapToGrid w:val="0"/>
          <w:spacing w:val="-2"/>
        </w:rPr>
      </w:pPr>
      <w:r>
        <w:rPr>
          <w:b/>
          <w:snapToGrid w:val="0"/>
          <w:spacing w:val="-2"/>
        </w:rPr>
        <w:t>Favela Santa Casa -</w:t>
      </w:r>
      <w:r>
        <w:rPr>
          <w:snapToGrid w:val="0"/>
          <w:spacing w:val="-2"/>
        </w:rPr>
        <w:t xml:space="preserve"> Termo de Cooperação entre CDHU e Prefeitura Municipal de Santos, visando à transferência de área de propriedade da COHAB-ST, para implantação de empreendimento habitacional - Santos “T”, com 133 unidades habitacionais, para atendimento a famílias que ocupam terreno de propriedade da COHAB-ST.</w:t>
      </w:r>
    </w:p>
    <w:p w:rsidR="003E6588" w:rsidRDefault="003E6588">
      <w:pPr>
        <w:ind w:firstLine="1134"/>
        <w:jc w:val="both"/>
        <w:rPr>
          <w:b/>
          <w:snapToGrid w:val="0"/>
          <w:spacing w:val="-2"/>
        </w:rPr>
      </w:pPr>
    </w:p>
    <w:p w:rsidR="003E6588" w:rsidRDefault="003E6588">
      <w:pPr>
        <w:ind w:firstLine="1134"/>
        <w:jc w:val="both"/>
        <w:rPr>
          <w:snapToGrid w:val="0"/>
          <w:spacing w:val="-2"/>
        </w:rPr>
      </w:pPr>
      <w:r>
        <w:rPr>
          <w:b/>
          <w:snapToGrid w:val="0"/>
          <w:spacing w:val="-2"/>
        </w:rPr>
        <w:t>Tancredo Neves e Caneleiras IV -</w:t>
      </w:r>
      <w:r>
        <w:rPr>
          <w:snapToGrid w:val="0"/>
          <w:spacing w:val="-2"/>
        </w:rPr>
        <w:t xml:space="preserve"> Convênio nº 0012/14, visando repasse de recursos financeiros para COHAB-ST, para produção de 1.800 unidades habitacionais nos empreendimentos denominados “Tancredo Neves III” (1.120 UHs) e “Caneleiras IV” (680 UHs).</w:t>
      </w:r>
    </w:p>
    <w:p w:rsidR="003E6588" w:rsidRDefault="003E6588">
      <w:pPr>
        <w:ind w:firstLine="1134"/>
        <w:jc w:val="both"/>
        <w:rPr>
          <w:b/>
          <w:snapToGrid w:val="0"/>
          <w:spacing w:val="-2"/>
        </w:rPr>
      </w:pPr>
    </w:p>
    <w:p w:rsidR="003E6588" w:rsidRDefault="003E6588">
      <w:pPr>
        <w:ind w:firstLine="1134"/>
        <w:jc w:val="both"/>
        <w:rPr>
          <w:snapToGrid w:val="0"/>
          <w:spacing w:val="-2"/>
        </w:rPr>
      </w:pPr>
      <w:r>
        <w:rPr>
          <w:b/>
          <w:snapToGrid w:val="0"/>
          <w:spacing w:val="-2"/>
        </w:rPr>
        <w:t>Cubatão -</w:t>
      </w:r>
      <w:r>
        <w:rPr>
          <w:snapToGrid w:val="0"/>
          <w:spacing w:val="-2"/>
        </w:rPr>
        <w:t xml:space="preserve"> Protocolo de intenções para viabilizar remoção de famílias moradoras no Bairro Vila Noel, no Município de Cubatão, em caráter definitivo, por meio de empreendimento habitacional com potencial estimado de 180 unidades habitacionais, a ser viabilizado em parte do terreno com área total de 41.570,07 m², localizado na Avenida Jornalista Giusfredo Santini.</w:t>
      </w:r>
    </w:p>
    <w:p w:rsidR="003E6588" w:rsidRDefault="003E6588">
      <w:pPr>
        <w:ind w:firstLine="1134"/>
        <w:jc w:val="both"/>
        <w:rPr>
          <w:snapToGrid w:val="0"/>
          <w:spacing w:val="-2"/>
        </w:rPr>
      </w:pPr>
    </w:p>
    <w:p w:rsidR="003E6588" w:rsidRDefault="003E6588">
      <w:pPr>
        <w:pStyle w:val="PargrafodaLista"/>
        <w:ind w:left="0" w:firstLine="1134"/>
        <w:jc w:val="left"/>
        <w:rPr>
          <w:rFonts w:ascii="Times New Roman" w:hAnsi="Times New Roman"/>
          <w:b/>
          <w:sz w:val="24"/>
          <w:szCs w:val="24"/>
          <w:lang w:eastAsia="pt-BR"/>
        </w:rPr>
      </w:pPr>
      <w:r>
        <w:rPr>
          <w:rFonts w:ascii="Times New Roman" w:hAnsi="Times New Roman"/>
          <w:b/>
          <w:sz w:val="24"/>
          <w:szCs w:val="24"/>
          <w:lang w:eastAsia="pt-BR"/>
        </w:rPr>
        <w:lastRenderedPageBreak/>
        <w:t>Convênios Município de São Paulo</w:t>
      </w:r>
    </w:p>
    <w:p w:rsidR="003E6588" w:rsidRDefault="003E6588">
      <w:pPr>
        <w:pStyle w:val="PargrafodaLista"/>
        <w:ind w:left="0" w:firstLine="1134"/>
        <w:rPr>
          <w:rFonts w:ascii="Times New Roman" w:hAnsi="Times New Roman"/>
          <w:b/>
          <w:sz w:val="24"/>
          <w:szCs w:val="24"/>
          <w:lang w:eastAsia="pt-BR"/>
        </w:rPr>
      </w:pPr>
    </w:p>
    <w:p w:rsidR="003E6588" w:rsidRDefault="003E6588">
      <w:pPr>
        <w:ind w:firstLine="1134"/>
        <w:jc w:val="both"/>
        <w:rPr>
          <w:lang w:eastAsia="en-US"/>
        </w:rPr>
      </w:pPr>
      <w:r>
        <w:rPr>
          <w:b/>
        </w:rPr>
        <w:t xml:space="preserve">Convênio Lidiane - </w:t>
      </w:r>
      <w:r>
        <w:t xml:space="preserve">Convênio entre CDHU/PMSP/SEHAB para execução de 235 unidades habitacionais - Programa Urbanização de Favelas, denominado como Lidiane </w:t>
      </w:r>
      <w:r>
        <w:rPr>
          <w:bCs/>
        </w:rPr>
        <w:t>“Empreendimento SP - Limão C”</w:t>
      </w:r>
      <w:r>
        <w:t>, visando ao atendimento futuro às famílias que se encontram em situação transitória, oriundas das Favelas: Ilha Verde, Sampaio Correa e Aldeinha.</w:t>
      </w:r>
    </w:p>
    <w:p w:rsidR="003E6588" w:rsidRDefault="003E6588">
      <w:pPr>
        <w:ind w:firstLine="1134"/>
        <w:jc w:val="both"/>
        <w:rPr>
          <w:b/>
        </w:rPr>
      </w:pPr>
    </w:p>
    <w:p w:rsidR="003E6588" w:rsidRDefault="003E6588">
      <w:pPr>
        <w:ind w:firstLine="1134"/>
        <w:jc w:val="both"/>
      </w:pPr>
      <w:r>
        <w:rPr>
          <w:b/>
        </w:rPr>
        <w:t xml:space="preserve">Convênio Jardim Pabreu - </w:t>
      </w:r>
      <w:r>
        <w:t xml:space="preserve">Convênio entre CDHU/PMSP/SEHAB de 1.055 urbanizações de domicílios nos loteamentos JD PABREU/PRAINHA e execução de 560 unidades habitacionais, no empreendimento Chácara do Conde </w:t>
      </w:r>
      <w:r>
        <w:rPr>
          <w:bCs/>
        </w:rPr>
        <w:t>“Grajaú D”, quadras B, F e H</w:t>
      </w:r>
      <w:r>
        <w:t>, relativos ao programa denominado Mananciais Billings/Guarapiranga.</w:t>
      </w:r>
    </w:p>
    <w:p w:rsidR="003E6588" w:rsidRDefault="003E6588">
      <w:pPr>
        <w:ind w:firstLine="1134"/>
        <w:jc w:val="both"/>
      </w:pPr>
    </w:p>
    <w:p w:rsidR="003E6588" w:rsidRDefault="003E6588">
      <w:pPr>
        <w:ind w:firstLine="1134"/>
        <w:jc w:val="both"/>
      </w:pPr>
      <w:r>
        <w:rPr>
          <w:b/>
        </w:rPr>
        <w:t xml:space="preserve">Convênio Heliópolis - </w:t>
      </w:r>
      <w:r>
        <w:t>Convênio entre CDHU/PMSP/SEHAB para execução de 1.050 unidades pelo Programa Urbanização de Favelas, denominado como Heliópolis - “Sacomã H” e “Sacomã I” - área Sabesp 2, sendo 186 unidades habitacionais para Sacomã H e 864 unidades habitacionais para Sacomã I, com vistas à relocação e reassentamento das famílias ocupantes da Favela Heliópolis na Capital de São Paulo.</w:t>
      </w:r>
    </w:p>
    <w:p w:rsidR="003E6588" w:rsidRDefault="003E6588">
      <w:pPr>
        <w:ind w:firstLine="1134"/>
        <w:jc w:val="both"/>
      </w:pPr>
    </w:p>
    <w:p w:rsidR="003E6588" w:rsidRDefault="003E6588">
      <w:pPr>
        <w:ind w:firstLine="1134"/>
        <w:jc w:val="both"/>
      </w:pPr>
      <w:r>
        <w:rPr>
          <w:b/>
        </w:rPr>
        <w:t>Convênio São Caetano - Empreendimento SP - Bom Retiro E</w:t>
      </w:r>
      <w:r>
        <w:t xml:space="preserve"> - Convênio entre CDHU, a SEHAB e COHAB, visando ao repasse de recursos financeiros para execução de 126 unidades habitacionais, no empreendimento habitacional Bom Retiro “E”/São Caetano, no Município de São Paulo para atendimento a demanda a ser indicada pela SEHAB.</w:t>
      </w:r>
    </w:p>
    <w:p w:rsidR="003E6588" w:rsidRDefault="003E6588">
      <w:pPr>
        <w:ind w:firstLine="1134"/>
        <w:jc w:val="both"/>
      </w:pPr>
    </w:p>
    <w:p w:rsidR="003E6588" w:rsidRDefault="003E6588">
      <w:pPr>
        <w:ind w:firstLine="1134"/>
        <w:jc w:val="both"/>
      </w:pPr>
      <w:r>
        <w:rPr>
          <w:b/>
        </w:rPr>
        <w:t xml:space="preserve">Convênio Minas Gás/Limão B - </w:t>
      </w:r>
      <w:r>
        <w:t>Convênio entre CDHU/PMSP/SEHAB para execução de 100 unidades - Empreendimento Limão B. Entregue.</w:t>
      </w:r>
    </w:p>
    <w:p w:rsidR="003E6588" w:rsidRDefault="003E6588">
      <w:pPr>
        <w:ind w:firstLine="1134"/>
        <w:jc w:val="both"/>
      </w:pPr>
    </w:p>
    <w:p w:rsidR="003E6588" w:rsidRDefault="003E6588">
      <w:pPr>
        <w:ind w:firstLine="1134"/>
        <w:jc w:val="both"/>
      </w:pPr>
      <w:r>
        <w:rPr>
          <w:b/>
        </w:rPr>
        <w:t xml:space="preserve">Convênio Joaquim Leal/Empreendimento SP - Vila Curuçá J - </w:t>
      </w:r>
      <w:r>
        <w:t>Tratativas para confecção de convênio para estabelecimento de parceria entre PMSP e CDHU, visando à transferência de terreno à CDHU para implantação de empreendimento habitacional - denominado SP/Vila Curuçá “J” - destinado ao atendimento das famílias atingidas pelas obras de implantação do Parque Várzeas do Tietê.</w:t>
      </w:r>
    </w:p>
    <w:p w:rsidR="003E6588" w:rsidRDefault="003E6588">
      <w:pPr>
        <w:ind w:firstLine="1134"/>
        <w:jc w:val="both"/>
      </w:pPr>
    </w:p>
    <w:p w:rsidR="003E6588" w:rsidRDefault="003E6588">
      <w:pPr>
        <w:ind w:firstLine="1134"/>
        <w:jc w:val="both"/>
      </w:pPr>
      <w:r>
        <w:rPr>
          <w:b/>
        </w:rPr>
        <w:t xml:space="preserve">Convênio Iguape B/Empreendimento SP - Cidade Líder B - </w:t>
      </w:r>
      <w:r>
        <w:t>Tratativas para confecção de convênio para estabelecimento de parceria entre PMSP, COHAB e CDHU, visando à transferência de terreno de propriedade da COHAB à CDHU, para implantação de empreendimento habitacional - denominado SP/Cidade Líder B - destinado ao atendimento prioritário a famílias da Favela da Paz.</w:t>
      </w:r>
    </w:p>
    <w:p w:rsidR="003E6588" w:rsidRDefault="003E6588">
      <w:pPr>
        <w:ind w:firstLine="1134"/>
        <w:jc w:val="both"/>
      </w:pPr>
    </w:p>
    <w:p w:rsidR="003E6588" w:rsidRDefault="003E6588">
      <w:pPr>
        <w:ind w:firstLine="1134"/>
        <w:jc w:val="both"/>
      </w:pPr>
      <w:r>
        <w:rPr>
          <w:b/>
        </w:rPr>
        <w:t xml:space="preserve">Convênio Estrada das Lágrimas - </w:t>
      </w:r>
      <w:r>
        <w:t>Tratativas para confecção de convênio para estabelecimento de parceria entre PMSP e CDHU, visando à transferência de terreno de propriedade da COHAB à CDHU, para implantação de empreendimento habitacional - denominado SP/Cidade Líder B - destinado ao atendimento prioritário a famílias da Favela da Paz.</w:t>
      </w:r>
    </w:p>
    <w:p w:rsidR="003E6588" w:rsidRDefault="003E6588">
      <w:pPr>
        <w:pStyle w:val="PargrafodaLista"/>
        <w:ind w:left="0" w:firstLine="1134"/>
        <w:rPr>
          <w:rFonts w:ascii="Times New Roman" w:hAnsi="Times New Roman"/>
          <w:snapToGrid w:val="0"/>
          <w:sz w:val="24"/>
          <w:szCs w:val="24"/>
          <w:lang w:eastAsia="pt-BR"/>
        </w:rPr>
      </w:pPr>
    </w:p>
    <w:p w:rsidR="003E6588" w:rsidRDefault="003E6588">
      <w:pPr>
        <w:pStyle w:val="PargrafodaLista"/>
        <w:ind w:left="0" w:firstLine="1134"/>
        <w:rPr>
          <w:rFonts w:ascii="Times New Roman" w:hAnsi="Times New Roman"/>
          <w:snapToGrid w:val="0"/>
          <w:sz w:val="24"/>
          <w:szCs w:val="24"/>
          <w:lang w:eastAsia="pt-BR"/>
        </w:rPr>
      </w:pPr>
    </w:p>
    <w:p w:rsidR="003E6588" w:rsidRDefault="003E6588">
      <w:pPr>
        <w:pStyle w:val="PargrafodaLista"/>
        <w:tabs>
          <w:tab w:val="left" w:pos="851"/>
        </w:tabs>
        <w:ind w:left="0" w:firstLine="1134"/>
        <w:jc w:val="left"/>
        <w:rPr>
          <w:rFonts w:ascii="Times New Roman" w:hAnsi="Times New Roman"/>
          <w:b/>
          <w:sz w:val="24"/>
          <w:szCs w:val="24"/>
          <w:lang w:eastAsia="pt-BR"/>
        </w:rPr>
      </w:pPr>
      <w:r>
        <w:rPr>
          <w:rFonts w:ascii="Times New Roman" w:hAnsi="Times New Roman"/>
          <w:b/>
          <w:sz w:val="24"/>
          <w:szCs w:val="24"/>
          <w:lang w:eastAsia="pt-BR"/>
        </w:rPr>
        <w:lastRenderedPageBreak/>
        <w:t>Convênios Metrô</w:t>
      </w:r>
    </w:p>
    <w:p w:rsidR="003E6588" w:rsidRDefault="003E6588">
      <w:pPr>
        <w:ind w:firstLine="1134"/>
        <w:jc w:val="both"/>
        <w:rPr>
          <w:b/>
        </w:rPr>
      </w:pPr>
    </w:p>
    <w:p w:rsidR="003E6588" w:rsidRDefault="003E6588">
      <w:pPr>
        <w:autoSpaceDE w:val="0"/>
        <w:autoSpaceDN w:val="0"/>
        <w:adjustRightInd w:val="0"/>
        <w:ind w:firstLine="1134"/>
        <w:jc w:val="both"/>
      </w:pPr>
      <w:r>
        <w:rPr>
          <w:b/>
        </w:rPr>
        <w:t>Linha 17</w:t>
      </w:r>
      <w:r w:rsidR="002479D8">
        <w:rPr>
          <w:b/>
        </w:rPr>
        <w:t xml:space="preserve"> </w:t>
      </w:r>
      <w:r>
        <w:rPr>
          <w:b/>
        </w:rPr>
        <w:t>-</w:t>
      </w:r>
      <w:r w:rsidR="002479D8">
        <w:rPr>
          <w:b/>
        </w:rPr>
        <w:t xml:space="preserve"> </w:t>
      </w:r>
      <w:r>
        <w:rPr>
          <w:b/>
        </w:rPr>
        <w:t>Ouro</w:t>
      </w:r>
      <w:r>
        <w:t xml:space="preserve"> -</w:t>
      </w:r>
      <w:r>
        <w:rPr>
          <w:b/>
        </w:rPr>
        <w:t xml:space="preserve"> Em andamento (Trecho 1) -</w:t>
      </w:r>
      <w:r>
        <w:t xml:space="preserve"> Conjugação de esforços entre CDHU e Metrô, com vistas a viabilizar atendimento habitacional e social dos moradores vulneráveis localizados nas áreas atingidas pelas obras da Linha 17 - Ouro, desenvolvido pelo Metrô, bem como nas áreas adjacentes necessárias, com transferência de recursos do Metrô à CDHU.</w:t>
      </w:r>
    </w:p>
    <w:p w:rsidR="003E6588" w:rsidRDefault="003E6588">
      <w:pPr>
        <w:autoSpaceDE w:val="0"/>
        <w:autoSpaceDN w:val="0"/>
        <w:adjustRightInd w:val="0"/>
        <w:ind w:firstLine="1134"/>
        <w:jc w:val="both"/>
        <w:rPr>
          <w:lang w:eastAsia="en-US"/>
        </w:rPr>
      </w:pPr>
    </w:p>
    <w:p w:rsidR="003E6588" w:rsidRDefault="003E6588">
      <w:pPr>
        <w:autoSpaceDE w:val="0"/>
        <w:autoSpaceDN w:val="0"/>
        <w:adjustRightInd w:val="0"/>
        <w:ind w:firstLine="1134"/>
        <w:jc w:val="both"/>
      </w:pPr>
      <w:r>
        <w:rPr>
          <w:b/>
        </w:rPr>
        <w:t>Linha 17 - Ouro -</w:t>
      </w:r>
      <w:r>
        <w:t xml:space="preserve"> </w:t>
      </w:r>
      <w:r>
        <w:rPr>
          <w:b/>
        </w:rPr>
        <w:t xml:space="preserve">Ações a iniciar (Trechos 2 e 3) - </w:t>
      </w:r>
      <w:r>
        <w:t>Cooperação técnica e material entre Governo do Estado e Prefeitura Municipal de São Paulo, visando à execução das obras de adequação viária e demais serviços, necessários à implantação da Linha 17</w:t>
      </w:r>
      <w:r w:rsidR="001112C9">
        <w:t xml:space="preserve"> </w:t>
      </w:r>
      <w:r>
        <w:t>-</w:t>
      </w:r>
      <w:r w:rsidR="001112C9">
        <w:t xml:space="preserve"> </w:t>
      </w:r>
      <w:r>
        <w:t>Ouro, a serem definidos em planos de trabalho específicos.</w:t>
      </w:r>
      <w:r>
        <w:rPr>
          <w:b/>
        </w:rPr>
        <w:t xml:space="preserve"> </w:t>
      </w:r>
      <w:r>
        <w:t>Convênio assinado. Convênios específicos serão firmados entre o Metrô e a CDHU para a consecução das ações previstas nos Planos de Trabalho 1 e 2.</w:t>
      </w:r>
    </w:p>
    <w:p w:rsidR="003E6588" w:rsidRDefault="003E6588">
      <w:pPr>
        <w:autoSpaceDE w:val="0"/>
        <w:autoSpaceDN w:val="0"/>
        <w:adjustRightInd w:val="0"/>
        <w:ind w:firstLine="1134"/>
        <w:jc w:val="both"/>
        <w:rPr>
          <w:b/>
        </w:rPr>
      </w:pPr>
    </w:p>
    <w:p w:rsidR="003E6588" w:rsidRDefault="003E6588">
      <w:pPr>
        <w:autoSpaceDE w:val="0"/>
        <w:autoSpaceDN w:val="0"/>
        <w:adjustRightInd w:val="0"/>
        <w:ind w:firstLine="1134"/>
        <w:jc w:val="both"/>
      </w:pPr>
      <w:r>
        <w:rPr>
          <w:b/>
        </w:rPr>
        <w:t>Linhas 5</w:t>
      </w:r>
      <w:r w:rsidR="002479D8">
        <w:rPr>
          <w:b/>
        </w:rPr>
        <w:t xml:space="preserve"> </w:t>
      </w:r>
      <w:r>
        <w:rPr>
          <w:b/>
        </w:rPr>
        <w:t>-</w:t>
      </w:r>
      <w:r w:rsidR="002479D8">
        <w:rPr>
          <w:b/>
        </w:rPr>
        <w:t xml:space="preserve"> </w:t>
      </w:r>
      <w:r>
        <w:rPr>
          <w:b/>
        </w:rPr>
        <w:t>Lilás e 15-Prata - Ações a iniciar -</w:t>
      </w:r>
      <w:r>
        <w:t xml:space="preserve"> Conjugação de esforços entre CDHU e Metrô com vistas a viabilizar atendimento habitacional e social dos moradores vulneráveis localizados nas áreas atingidas pelas obras das Linhas 5 - Lilás e 15 - Prata, desenvolvido pelo Metrô, bem como nas áreas adjacentes necessárias, com transferência de recursos do Metrô à CDHU. Convênio assinado. Empreendimento vinculado ao atendimento da demanda conveniada: SP/Vila Prudente G.</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rPr>
        <w:t>Linha 2 - Verde - Em elaboração -</w:t>
      </w:r>
      <w:r>
        <w:t xml:space="preserve"> Conjugação de esforços entre CDHU e Metrô, com vistas a viabilizar atendimento habitacional das famílias vulneráveis assentadas irregularmente nas áreas atingidas por obras de implantação da Linha 2 - Verde do Metrô, trecho Estação Vila Prudente - Estação Dutra, bem como nas áreas adjacentes, necessárias, com transferência de recursos do Metrô à CDHU.</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rPr>
        <w:t xml:space="preserve">Linha 2 - Verde - A formatar - </w:t>
      </w:r>
      <w:r>
        <w:t>Conjugação de esforços entre CDHU e Metrô</w:t>
      </w:r>
      <w:r>
        <w:rPr>
          <w:b/>
        </w:rPr>
        <w:t xml:space="preserve"> </w:t>
      </w:r>
      <w:r>
        <w:t>com vistas a viabilizar a cessão de áreas pela CDHU para a implantação da Linha 2 - Verde - Pátio Paulo Freire - projetada  pelo Metrô.</w:t>
      </w:r>
    </w:p>
    <w:p w:rsidR="003E6588" w:rsidRDefault="003E6588">
      <w:pPr>
        <w:autoSpaceDE w:val="0"/>
        <w:autoSpaceDN w:val="0"/>
        <w:adjustRightInd w:val="0"/>
        <w:ind w:firstLine="1134"/>
        <w:jc w:val="both"/>
      </w:pPr>
    </w:p>
    <w:p w:rsidR="003E6588" w:rsidRDefault="003E6588">
      <w:pPr>
        <w:pStyle w:val="PargrafodaLista"/>
        <w:ind w:left="1134"/>
        <w:jc w:val="left"/>
        <w:rPr>
          <w:rFonts w:ascii="Times New Roman" w:hAnsi="Times New Roman"/>
          <w:b/>
          <w:sz w:val="24"/>
          <w:szCs w:val="24"/>
          <w:lang w:eastAsia="pt-BR"/>
        </w:rPr>
      </w:pPr>
      <w:r>
        <w:rPr>
          <w:rFonts w:ascii="Times New Roman" w:hAnsi="Times New Roman"/>
          <w:b/>
          <w:sz w:val="24"/>
          <w:szCs w:val="24"/>
          <w:lang w:eastAsia="pt-BR"/>
        </w:rPr>
        <w:t>Convênios CPTM</w:t>
      </w:r>
    </w:p>
    <w:p w:rsidR="003E6588" w:rsidRDefault="003E6588">
      <w:pPr>
        <w:pStyle w:val="PargrafodaLista"/>
        <w:ind w:left="0" w:firstLine="1134"/>
        <w:rPr>
          <w:rFonts w:ascii="Times New Roman" w:hAnsi="Times New Roman"/>
          <w:b/>
          <w:sz w:val="24"/>
          <w:szCs w:val="24"/>
          <w:lang w:eastAsia="pt-BR"/>
        </w:rPr>
      </w:pPr>
    </w:p>
    <w:p w:rsidR="003E6588" w:rsidRDefault="003E6588">
      <w:pPr>
        <w:autoSpaceDE w:val="0"/>
        <w:autoSpaceDN w:val="0"/>
        <w:adjustRightInd w:val="0"/>
        <w:ind w:firstLine="1134"/>
        <w:jc w:val="both"/>
      </w:pPr>
      <w:r>
        <w:rPr>
          <w:b/>
        </w:rPr>
        <w:t>Linha 9</w:t>
      </w:r>
      <w:r w:rsidR="002479D8">
        <w:rPr>
          <w:b/>
        </w:rPr>
        <w:t xml:space="preserve"> </w:t>
      </w:r>
      <w:r>
        <w:rPr>
          <w:b/>
        </w:rPr>
        <w:t>-</w:t>
      </w:r>
      <w:r w:rsidR="002479D8">
        <w:rPr>
          <w:b/>
        </w:rPr>
        <w:t xml:space="preserve"> </w:t>
      </w:r>
      <w:r>
        <w:rPr>
          <w:b/>
        </w:rPr>
        <w:t>Esmeralda - Em andamento -</w:t>
      </w:r>
      <w:r>
        <w:t xml:space="preserve"> Parceria entre CDHU e CPTM com vistas a viabilizar o atendimento habitacional e social dos moradores vulneráveis localizados nas áreas atingidas pelas obras da reativação do serviço ferroviário do Trecho Grajaú a Varginha, Linha 9 - Esmeralda, da CPTM, bem como nas áreas adjacentes necessárias para o escopo do Convênio, com transferência de recursos da CPTM à CDHU. Empreendimentos vinculados ao atendimento da demanda conveniada: SP/Parelheiros D (184 UHS) e Grajaú F (160 UHs).</w:t>
      </w:r>
    </w:p>
    <w:p w:rsidR="003E6588" w:rsidRDefault="003E6588">
      <w:pPr>
        <w:autoSpaceDE w:val="0"/>
        <w:autoSpaceDN w:val="0"/>
        <w:adjustRightInd w:val="0"/>
        <w:ind w:firstLine="1134"/>
        <w:jc w:val="both"/>
        <w:rPr>
          <w:lang w:eastAsia="en-US"/>
        </w:rPr>
      </w:pPr>
    </w:p>
    <w:p w:rsidR="003E6588" w:rsidRDefault="003E6588">
      <w:pPr>
        <w:autoSpaceDE w:val="0"/>
        <w:autoSpaceDN w:val="0"/>
        <w:adjustRightInd w:val="0"/>
        <w:ind w:firstLine="1134"/>
        <w:jc w:val="both"/>
      </w:pPr>
      <w:r>
        <w:rPr>
          <w:b/>
        </w:rPr>
        <w:t>Linha 12</w:t>
      </w:r>
      <w:r w:rsidR="002479D8">
        <w:rPr>
          <w:b/>
        </w:rPr>
        <w:t xml:space="preserve"> </w:t>
      </w:r>
      <w:r>
        <w:rPr>
          <w:b/>
        </w:rPr>
        <w:t>-</w:t>
      </w:r>
      <w:r w:rsidR="002479D8">
        <w:rPr>
          <w:b/>
        </w:rPr>
        <w:t xml:space="preserve"> </w:t>
      </w:r>
      <w:r>
        <w:rPr>
          <w:b/>
        </w:rPr>
        <w:t>Safira - Em andamento -</w:t>
      </w:r>
      <w:r>
        <w:t xml:space="preserve"> Parceria entre CDHU e CPTM com vistas a viabilizar atendimento habitacional dos indivíduos e famílias vulneráveis assentados irregularmente nas áreas atingidas por obras de modernização e expansão da CPTM, correspondente à realização do Reassentamento da população afetada pelas obras da Estação São Miguel Paulista, Linha 12</w:t>
      </w:r>
      <w:r w:rsidR="001112C9">
        <w:t xml:space="preserve"> -</w:t>
      </w:r>
      <w:r>
        <w:t xml:space="preserve"> Safira, com transferência de recursos da CPTM à CDHU. Convênio assinado.</w:t>
      </w:r>
    </w:p>
    <w:p w:rsidR="003E6588" w:rsidRDefault="003E6588">
      <w:pPr>
        <w:pStyle w:val="PargrafodaLista"/>
        <w:ind w:left="1134"/>
        <w:jc w:val="left"/>
        <w:rPr>
          <w:rFonts w:ascii="Times New Roman" w:hAnsi="Times New Roman"/>
          <w:b/>
          <w:sz w:val="24"/>
          <w:szCs w:val="24"/>
          <w:lang w:eastAsia="pt-BR"/>
        </w:rPr>
      </w:pPr>
      <w:r>
        <w:rPr>
          <w:rFonts w:ascii="Times New Roman" w:hAnsi="Times New Roman"/>
          <w:b/>
          <w:sz w:val="24"/>
          <w:szCs w:val="24"/>
          <w:lang w:eastAsia="pt-BR"/>
        </w:rPr>
        <w:lastRenderedPageBreak/>
        <w:t>Convênios DAEE</w:t>
      </w:r>
    </w:p>
    <w:p w:rsidR="003E6588" w:rsidRDefault="003E6588" w:rsidP="002479D8">
      <w:pPr>
        <w:ind w:firstLine="1134"/>
        <w:jc w:val="both"/>
        <w:rPr>
          <w:b/>
          <w:lang w:eastAsia="en-US"/>
        </w:rPr>
      </w:pPr>
    </w:p>
    <w:p w:rsidR="003E6588" w:rsidRDefault="003E6588">
      <w:pPr>
        <w:ind w:firstLine="1134"/>
        <w:jc w:val="both"/>
      </w:pPr>
      <w:r>
        <w:rPr>
          <w:b/>
        </w:rPr>
        <w:t>Ribeirão Vermelho -</w:t>
      </w:r>
      <w:r>
        <w:t xml:space="preserve"> Parceria SH/DAEE/PM Osasco a formatar. Demanda - 250 famílias que ocupam área de abrangência de obras de canalização do córrego Ribeirão Vermelho em Osasco;</w:t>
      </w:r>
    </w:p>
    <w:p w:rsidR="003E6588" w:rsidRDefault="003E6588">
      <w:pPr>
        <w:ind w:firstLine="1134"/>
        <w:jc w:val="both"/>
        <w:rPr>
          <w:b/>
        </w:rPr>
      </w:pPr>
    </w:p>
    <w:p w:rsidR="003E6588" w:rsidRDefault="003E6588">
      <w:pPr>
        <w:ind w:firstLine="1134"/>
        <w:jc w:val="both"/>
      </w:pPr>
      <w:r>
        <w:rPr>
          <w:b/>
        </w:rPr>
        <w:t>Parque Várzeas</w:t>
      </w:r>
    </w:p>
    <w:p w:rsidR="003E6588" w:rsidRDefault="003E6588">
      <w:pPr>
        <w:ind w:firstLine="1134"/>
        <w:jc w:val="both"/>
        <w:rPr>
          <w:b/>
        </w:rPr>
      </w:pPr>
    </w:p>
    <w:p w:rsidR="003E6588" w:rsidRDefault="003E6588">
      <w:pPr>
        <w:ind w:firstLine="1134"/>
        <w:jc w:val="both"/>
      </w:pPr>
      <w:r>
        <w:rPr>
          <w:b/>
        </w:rPr>
        <w:t xml:space="preserve">Baquirivu - </w:t>
      </w:r>
      <w:r>
        <w:t>Parceria CDHU/SH/DAEE em elaboração. Repasse de recursos financeiros do DAEE para atendimento habitacional de famílias a serem removidas da área de abrangência de obras de canalização do córrego Baquirivu em Guarulhos (1.100 famílias);</w:t>
      </w:r>
    </w:p>
    <w:p w:rsidR="003E6588" w:rsidRDefault="003E6588">
      <w:pPr>
        <w:ind w:firstLine="1134"/>
        <w:jc w:val="both"/>
        <w:rPr>
          <w:b/>
        </w:rPr>
      </w:pPr>
    </w:p>
    <w:p w:rsidR="003E6588" w:rsidRDefault="003E6588">
      <w:pPr>
        <w:ind w:firstLine="1134"/>
        <w:jc w:val="both"/>
      </w:pPr>
      <w:r>
        <w:rPr>
          <w:b/>
        </w:rPr>
        <w:t>Pirajussara -</w:t>
      </w:r>
      <w:r>
        <w:t xml:space="preserve"> Parceria SH/DAEE a formatar. Demanda: famílias a serem removidas da área de abrangência de obras de canalização do Córrego Pirajussara (78 famílias - Embu);</w:t>
      </w:r>
    </w:p>
    <w:p w:rsidR="003E6588" w:rsidRDefault="003E6588">
      <w:pPr>
        <w:ind w:firstLine="1134"/>
        <w:jc w:val="both"/>
        <w:rPr>
          <w:b/>
        </w:rPr>
      </w:pPr>
    </w:p>
    <w:p w:rsidR="003E6588" w:rsidRDefault="003E6588">
      <w:pPr>
        <w:ind w:firstLine="1134"/>
        <w:jc w:val="both"/>
      </w:pPr>
      <w:r>
        <w:rPr>
          <w:b/>
        </w:rPr>
        <w:t>Córrego Oratório -</w:t>
      </w:r>
      <w:r>
        <w:t xml:space="preserve"> Parceria SH/DAEE a formatar. Demanda - atendimento habitacional de famílias a serem removidas da área de abrangência de obras de canalização do Córrego Oratório (1.260 famílias, sendo 1.000 em São Paulo e 260 em Santo André).</w:t>
      </w:r>
    </w:p>
    <w:p w:rsidR="003E6588" w:rsidRDefault="003E6588" w:rsidP="002479D8">
      <w:pPr>
        <w:ind w:firstLine="1134"/>
        <w:jc w:val="both"/>
        <w:rPr>
          <w:b/>
        </w:rPr>
      </w:pPr>
    </w:p>
    <w:p w:rsidR="003E6588" w:rsidRDefault="003E6588">
      <w:pPr>
        <w:pStyle w:val="PargrafodaLista"/>
        <w:ind w:left="0" w:firstLine="1134"/>
        <w:jc w:val="left"/>
        <w:rPr>
          <w:rFonts w:ascii="Times New Roman" w:hAnsi="Times New Roman"/>
          <w:b/>
          <w:sz w:val="24"/>
          <w:szCs w:val="24"/>
          <w:lang w:eastAsia="pt-BR"/>
        </w:rPr>
      </w:pPr>
      <w:r>
        <w:rPr>
          <w:rFonts w:ascii="Times New Roman" w:hAnsi="Times New Roman"/>
          <w:b/>
          <w:sz w:val="24"/>
          <w:szCs w:val="24"/>
          <w:lang w:eastAsia="pt-BR"/>
        </w:rPr>
        <w:t>Convênios STM</w:t>
      </w:r>
    </w:p>
    <w:p w:rsidR="003E6588" w:rsidRDefault="003E6588" w:rsidP="002479D8">
      <w:pPr>
        <w:ind w:firstLine="1134"/>
        <w:jc w:val="both"/>
        <w:rPr>
          <w:b/>
        </w:rPr>
      </w:pPr>
    </w:p>
    <w:p w:rsidR="003E6588" w:rsidRDefault="003E6588">
      <w:pPr>
        <w:ind w:firstLine="1134"/>
        <w:jc w:val="both"/>
      </w:pPr>
      <w:r>
        <w:rPr>
          <w:b/>
        </w:rPr>
        <w:t xml:space="preserve">Linha 6 - Laranja - Em aprovação - </w:t>
      </w:r>
      <w:r>
        <w:t>Conjugação de esforços e transferência de recursos financeiros pela STM à CDHU, relativamente ao atendimento habitacional dos indivíduos ou famílias vulneráveis identificadas nas áreas atingidas pelas obras de implantação da Linha 6 - Laranja do Metrô de São Paulo, trecho São Joaquim - Vila Brasilândia.</w:t>
      </w:r>
    </w:p>
    <w:p w:rsidR="003E6588" w:rsidRDefault="003E6588" w:rsidP="002479D8">
      <w:pPr>
        <w:ind w:firstLine="1134"/>
        <w:jc w:val="both"/>
        <w:rPr>
          <w:b/>
        </w:rPr>
      </w:pPr>
    </w:p>
    <w:p w:rsidR="003E6588" w:rsidRDefault="003E6588">
      <w:pPr>
        <w:ind w:firstLine="1134"/>
        <w:jc w:val="both"/>
      </w:pPr>
      <w:r>
        <w:rPr>
          <w:b/>
        </w:rPr>
        <w:t xml:space="preserve">Linha 18 - Bronze - </w:t>
      </w:r>
      <w:r>
        <w:t>Parceria CDHU/STM a formatar. Repasse de recursos financeiros da STM à CDHU para atendimento habitacional de famílias vulneráveis a serem removidas das áreas atingidas pelas obras de implantação da Linha 18 - Bronze do Metrô de São Paulo.</w:t>
      </w:r>
    </w:p>
    <w:p w:rsidR="003E6588" w:rsidRDefault="003E6588">
      <w:pPr>
        <w:ind w:firstLine="1134"/>
        <w:jc w:val="both"/>
      </w:pPr>
    </w:p>
    <w:p w:rsidR="003E6588" w:rsidRDefault="003E6588">
      <w:pPr>
        <w:ind w:firstLine="1134"/>
        <w:jc w:val="both"/>
        <w:rPr>
          <w:b/>
        </w:rPr>
      </w:pPr>
      <w:r>
        <w:rPr>
          <w:b/>
        </w:rPr>
        <w:t>Convênio Diadema - Imigrantes</w:t>
      </w:r>
    </w:p>
    <w:p w:rsidR="003E6588" w:rsidRDefault="003E6588">
      <w:pPr>
        <w:pStyle w:val="PargrafodaLista"/>
        <w:ind w:left="0" w:firstLine="1134"/>
        <w:rPr>
          <w:rFonts w:ascii="Times New Roman" w:hAnsi="Times New Roman"/>
          <w:b/>
          <w:sz w:val="24"/>
          <w:szCs w:val="24"/>
          <w:lang w:eastAsia="pt-BR"/>
        </w:rPr>
      </w:pPr>
    </w:p>
    <w:p w:rsidR="003E6588" w:rsidRDefault="003E6588">
      <w:pPr>
        <w:autoSpaceDE w:val="0"/>
        <w:autoSpaceDN w:val="0"/>
        <w:adjustRightInd w:val="0"/>
        <w:ind w:firstLine="1134"/>
        <w:jc w:val="both"/>
      </w:pPr>
      <w:r>
        <w:t xml:space="preserve">Convênio </w:t>
      </w:r>
      <w:r w:rsidR="002479D8">
        <w:t xml:space="preserve">nº </w:t>
      </w:r>
      <w:r>
        <w:t xml:space="preserve">054/2014 assinado. Parceria entre CDHU e Município de Diadema, visando </w:t>
      </w:r>
      <w:r w:rsidRPr="002479D8">
        <w:t xml:space="preserve">ao </w:t>
      </w:r>
      <w:r>
        <w:t>aporte de recursos da CDHU para elaboração de projetos de urbanização das áreas inseridas na faixa de domínio da Rodovia dos Imigrantes.</w:t>
      </w:r>
    </w:p>
    <w:p w:rsidR="003E6588" w:rsidRDefault="003E6588">
      <w:pPr>
        <w:autoSpaceDE w:val="0"/>
        <w:autoSpaceDN w:val="0"/>
        <w:adjustRightInd w:val="0"/>
        <w:ind w:firstLine="1134"/>
        <w:jc w:val="both"/>
        <w:rPr>
          <w:lang w:eastAsia="en-US"/>
        </w:rPr>
      </w:pPr>
    </w:p>
    <w:p w:rsidR="003E6588" w:rsidRDefault="003E6588">
      <w:pPr>
        <w:autoSpaceDE w:val="0"/>
        <w:autoSpaceDN w:val="0"/>
        <w:adjustRightInd w:val="0"/>
        <w:ind w:firstLine="1134"/>
        <w:jc w:val="both"/>
      </w:pPr>
      <w:r>
        <w:t>Os projetos envolvem atendimento de 1.360 famílias e serão realizados para os seguintes núcleos: Parque Reid, Serra do Acarai, Maria Leonor, Mulford, Quito/Pequim, Pré-Moldados, Barbosinha, Arco Íris I e II, Piratininga, Jardim Ruyce e Barão de Uruguaiana.</w:t>
      </w:r>
    </w:p>
    <w:p w:rsidR="003E6588" w:rsidRDefault="003E6588">
      <w:pPr>
        <w:pStyle w:val="PargrafodaLista"/>
        <w:ind w:left="0" w:firstLine="1134"/>
        <w:rPr>
          <w:rFonts w:ascii="Times New Roman" w:hAnsi="Times New Roman"/>
          <w:snapToGrid w:val="0"/>
          <w:sz w:val="24"/>
          <w:szCs w:val="24"/>
          <w:lang w:eastAsia="pt-BR"/>
        </w:rPr>
      </w:pPr>
    </w:p>
    <w:p w:rsidR="003E6588" w:rsidRDefault="003E6588">
      <w:pPr>
        <w:pStyle w:val="PargrafodaLista"/>
        <w:ind w:left="0" w:firstLine="1134"/>
        <w:jc w:val="left"/>
        <w:rPr>
          <w:rFonts w:ascii="Times New Roman" w:hAnsi="Times New Roman"/>
          <w:b/>
          <w:sz w:val="24"/>
          <w:szCs w:val="24"/>
          <w:lang w:eastAsia="pt-BR"/>
        </w:rPr>
      </w:pPr>
      <w:r>
        <w:rPr>
          <w:rFonts w:ascii="Times New Roman" w:hAnsi="Times New Roman"/>
          <w:b/>
          <w:sz w:val="24"/>
          <w:szCs w:val="24"/>
          <w:lang w:eastAsia="pt-BR"/>
        </w:rPr>
        <w:t>Outras Ações</w:t>
      </w:r>
    </w:p>
    <w:p w:rsidR="003E6588" w:rsidRDefault="003E6588">
      <w:pPr>
        <w:pStyle w:val="PargrafodaLista"/>
        <w:ind w:left="0" w:firstLine="1134"/>
        <w:rPr>
          <w:rFonts w:ascii="Times New Roman" w:hAnsi="Times New Roman"/>
          <w:b/>
          <w:sz w:val="24"/>
          <w:szCs w:val="24"/>
          <w:lang w:eastAsia="pt-BR"/>
        </w:rPr>
      </w:pPr>
    </w:p>
    <w:p w:rsidR="003E6588" w:rsidRDefault="003E6588">
      <w:pPr>
        <w:autoSpaceDE w:val="0"/>
        <w:autoSpaceDN w:val="0"/>
        <w:adjustRightInd w:val="0"/>
        <w:ind w:firstLine="1134"/>
        <w:jc w:val="both"/>
      </w:pPr>
      <w:r>
        <w:rPr>
          <w:b/>
          <w:bCs/>
        </w:rPr>
        <w:t xml:space="preserve">Área Central do Município - </w:t>
      </w:r>
      <w:r>
        <w:t xml:space="preserve">Empreendimentos no âmbito do Projeto Área Central, originados no Programa Atuação em Cortiços/PAC-BID. A continuidade do programa conta com </w:t>
      </w:r>
      <w:r>
        <w:lastRenderedPageBreak/>
        <w:t>recursos do Governo Federal e compreende os seguintes empreendimentos: Belém J, Belém H, República A e B, Bela Vista E, Bela Vista G, Sé A, Santa Cecília D. Empreendimentos em obras: Bela Vista E - 31 UHs; Bela Vista G - 104 UHs e Belém H - 44 UHs.</w:t>
      </w:r>
    </w:p>
    <w:p w:rsidR="003E6588" w:rsidRDefault="003E6588">
      <w:pPr>
        <w:autoSpaceDE w:val="0"/>
        <w:autoSpaceDN w:val="0"/>
        <w:adjustRightInd w:val="0"/>
        <w:ind w:firstLine="1134"/>
        <w:jc w:val="both"/>
        <w:rPr>
          <w:lang w:eastAsia="en-US"/>
        </w:rPr>
      </w:pPr>
    </w:p>
    <w:p w:rsidR="003E6588" w:rsidRDefault="003E6588">
      <w:pPr>
        <w:autoSpaceDE w:val="0"/>
        <w:autoSpaceDN w:val="0"/>
        <w:adjustRightInd w:val="0"/>
        <w:ind w:firstLine="1134"/>
        <w:jc w:val="both"/>
      </w:pPr>
      <w:r>
        <w:rPr>
          <w:b/>
          <w:bCs/>
        </w:rPr>
        <w:t xml:space="preserve">Projeto Marginais Leste - </w:t>
      </w:r>
      <w:r>
        <w:t>Produção de 2.076 unidades habitacionais nos empreendimentos Cidade Líder E, Ermelino Matarazzo K, Ermelino Matarazzo J, Penha A, Penha C, Penha D, Penha E, Vila Maria B e Vila Maria C.</w:t>
      </w:r>
    </w:p>
    <w:p w:rsidR="003E6588" w:rsidRDefault="003E6588">
      <w:pPr>
        <w:pStyle w:val="PargrafodaLista"/>
        <w:ind w:left="0" w:firstLine="1134"/>
        <w:rPr>
          <w:rFonts w:ascii="Times New Roman" w:hAnsi="Times New Roman"/>
          <w:snapToGrid w:val="0"/>
          <w:sz w:val="24"/>
          <w:szCs w:val="24"/>
          <w:lang w:eastAsia="pt-BR"/>
        </w:rPr>
      </w:pPr>
    </w:p>
    <w:p w:rsidR="003E6588" w:rsidRDefault="003E6588">
      <w:pPr>
        <w:pStyle w:val="PargrafodaLista"/>
        <w:ind w:left="0" w:firstLine="1134"/>
        <w:rPr>
          <w:rFonts w:ascii="Times New Roman" w:hAnsi="Times New Roman"/>
          <w:b/>
          <w:sz w:val="24"/>
          <w:szCs w:val="24"/>
          <w:lang w:eastAsia="pt-BR"/>
        </w:rPr>
      </w:pPr>
      <w:r>
        <w:rPr>
          <w:rFonts w:ascii="Times New Roman" w:hAnsi="Times New Roman"/>
          <w:b/>
          <w:sz w:val="24"/>
          <w:szCs w:val="24"/>
          <w:lang w:eastAsia="pt-BR"/>
        </w:rPr>
        <w:t>Projetos Prioritários - Assentamentos Precários, Recuperação Ambiental e Urbana e Demandas Específicas</w:t>
      </w:r>
    </w:p>
    <w:p w:rsidR="003E6588" w:rsidRDefault="003E6588">
      <w:pPr>
        <w:pStyle w:val="PargrafodaLista"/>
        <w:ind w:left="0" w:firstLine="1134"/>
        <w:rPr>
          <w:rFonts w:ascii="Times New Roman" w:hAnsi="Times New Roman"/>
          <w:b/>
          <w:sz w:val="24"/>
          <w:szCs w:val="24"/>
          <w:lang w:eastAsia="pt-BR"/>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Urbanização Jardim Santo André - </w:t>
      </w:r>
      <w:r>
        <w:rPr>
          <w:rFonts w:ascii="Times New Roman" w:hAnsi="Times New Roman"/>
          <w:sz w:val="24"/>
          <w:szCs w:val="24"/>
        </w:rPr>
        <w:t>Na Região Sul do Município de Santo André, fazendo divisa com área de proteção aos mananciais da Bacia Billings e com o Parque Municipal Pedroso, a CDHU adquiriu em 1977 uma área com topografia bastante acidentada e com encostas íngremes, composta por seis glebas perfazendo uma área total de cerca de 1.470.000m². Na década de 1980 a área sofreu intenso processo de ocupação irregular gerando complexo de seis favelas denominadas: Toledanos, Lamartine, Dominicanos, Cruzados, Missionários e Campineiros.</w:t>
      </w:r>
    </w:p>
    <w:p w:rsidR="003E6588" w:rsidRDefault="003E6588">
      <w:pPr>
        <w:autoSpaceDE w:val="0"/>
        <w:autoSpaceDN w:val="0"/>
        <w:adjustRightInd w:val="0"/>
        <w:ind w:firstLine="1134"/>
        <w:jc w:val="both"/>
        <w:rPr>
          <w:spacing w:val="-4"/>
        </w:rPr>
      </w:pPr>
    </w:p>
    <w:p w:rsidR="003E6588" w:rsidRDefault="003E6588">
      <w:pPr>
        <w:autoSpaceDE w:val="0"/>
        <w:autoSpaceDN w:val="0"/>
        <w:adjustRightInd w:val="0"/>
        <w:ind w:firstLine="1134"/>
        <w:jc w:val="both"/>
        <w:rPr>
          <w:spacing w:val="-4"/>
        </w:rPr>
      </w:pPr>
      <w:r>
        <w:rPr>
          <w:spacing w:val="-4"/>
        </w:rPr>
        <w:t>Com objetivo inicial de promover a substituição total da ocupação, a partir de 1987 tem início a primeira fase do projeto com a construção na própria área de 3.031 novas unidades habitacionais, o que possibilitou a remoção de 2.220 famílias de áreas de risco e liberação de novas frentes de obras.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 segunda fase do projeto, iniciada em 2008, tem por fim promover a urbanização integrada dos assentamentos, visando à regularização fundiária de toda a gleba, à recuperação ambiental das áreas degradadas e à erradicação de situações de risco, com atendimento global de aproximadamente 9.100 famílias. Como parte do atendimento proposto no projeto, foram implantados no local equipamentos públicos de educação, saúde e lazer e estão em atividade.</w:t>
      </w:r>
    </w:p>
    <w:p w:rsidR="003E6588" w:rsidRDefault="003E6588">
      <w:pPr>
        <w:autoSpaceDE w:val="0"/>
        <w:autoSpaceDN w:val="0"/>
        <w:adjustRightInd w:val="0"/>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Cs/>
          <w:sz w:val="24"/>
          <w:szCs w:val="24"/>
        </w:rPr>
        <w:t xml:space="preserve">As atuais ações envolvem cerca de 6.000 edificações arroladas nas favelas. Aproximadamente 4.000 remoções são necessárias para erradicação das situações de risco e viabilização das obras de urbanização; destas 1.600 serão realizadas; todas as famílias removidas serão reassentadas em novas unidades habitacionais, que serão construídas no Jardim Santo André e em outros bairros do Município. 2.000 famílias serão beneficiadas com obras de urbanização, que compreendem implantação de infraestrutura adequada, recuperação ambiental e regularização fundiária. </w:t>
      </w:r>
      <w:r>
        <w:rPr>
          <w:rFonts w:ascii="Times New Roman" w:hAnsi="Times New Roman"/>
          <w:sz w:val="24"/>
          <w:szCs w:val="24"/>
        </w:rPr>
        <w:t>Foram realizadas 314 remoções e 300 Cartas de Crédito e parte das famílias estão em auxilio moradia.</w:t>
      </w:r>
    </w:p>
    <w:p w:rsidR="003E6588" w:rsidRDefault="003E6588">
      <w:pPr>
        <w:pStyle w:val="PargrafodaLista"/>
        <w:ind w:left="0" w:firstLine="1134"/>
        <w:rPr>
          <w:rFonts w:ascii="Times New Roman" w:hAnsi="Times New Roman"/>
          <w:sz w:val="24"/>
          <w:szCs w:val="24"/>
          <w:lang w:eastAsia="pt-BR"/>
        </w:rPr>
      </w:pPr>
    </w:p>
    <w:p w:rsidR="003E6588" w:rsidRDefault="003E6588">
      <w:pPr>
        <w:pStyle w:val="PargrafodaLista"/>
        <w:ind w:left="0" w:firstLine="1134"/>
        <w:rPr>
          <w:rFonts w:ascii="Times New Roman" w:hAnsi="Times New Roman"/>
          <w:bCs/>
          <w:sz w:val="24"/>
          <w:szCs w:val="24"/>
        </w:rPr>
      </w:pPr>
      <w:r>
        <w:rPr>
          <w:rFonts w:ascii="Times New Roman" w:hAnsi="Times New Roman"/>
          <w:b/>
          <w:sz w:val="24"/>
          <w:szCs w:val="24"/>
          <w:lang w:eastAsia="pt-BR"/>
        </w:rPr>
        <w:t xml:space="preserve">Urbanização Favela Pimentas - </w:t>
      </w:r>
      <w:r>
        <w:rPr>
          <w:rFonts w:ascii="Times New Roman" w:hAnsi="Times New Roman"/>
          <w:sz w:val="24"/>
          <w:szCs w:val="24"/>
        </w:rPr>
        <w:t xml:space="preserve">Tem como objetivo viabilizar a recuperação urbana e ambiental e regularização urbanística e fundiária de assentamento localizado no Bairro Pimentas, no Município de Guarulhos, </w:t>
      </w:r>
      <w:r>
        <w:rPr>
          <w:rFonts w:ascii="Times New Roman" w:hAnsi="Times New Roman"/>
          <w:bCs/>
          <w:sz w:val="24"/>
          <w:szCs w:val="24"/>
        </w:rPr>
        <w:t>com atendimento de 6.500 famílias. As ações em execução abrangem produção de 2.000 novas unidades habitacionais, na área de intervenção e no entorno, urbanização de 1.492 moradias e regularização 3.074 unidades entregues, com implantação de infraestrutura urbana e de parque regional (8,5 hectares).</w:t>
      </w:r>
    </w:p>
    <w:p w:rsidR="003E6588" w:rsidRDefault="003E6588">
      <w:pPr>
        <w:pStyle w:val="PargrafodaLista"/>
        <w:ind w:left="0" w:firstLine="1134"/>
        <w:jc w:val="left"/>
        <w:rPr>
          <w:rFonts w:ascii="Times New Roman" w:hAnsi="Times New Roman"/>
          <w:b/>
          <w:sz w:val="24"/>
          <w:szCs w:val="24"/>
          <w:lang w:eastAsia="pt-BR"/>
        </w:rPr>
      </w:pPr>
      <w:r>
        <w:rPr>
          <w:rFonts w:ascii="Times New Roman" w:hAnsi="Times New Roman"/>
          <w:b/>
          <w:sz w:val="24"/>
          <w:szCs w:val="24"/>
          <w:lang w:eastAsia="pt-BR"/>
        </w:rPr>
        <w:lastRenderedPageBreak/>
        <w:t>Regularização técnica e fundiária de intervenções em favelas</w:t>
      </w:r>
    </w:p>
    <w:p w:rsidR="003E6588" w:rsidRDefault="003E6588">
      <w:pPr>
        <w:pStyle w:val="PargrafodaLista"/>
        <w:ind w:left="0" w:firstLine="1134"/>
        <w:rPr>
          <w:rFonts w:ascii="Times New Roman" w:hAnsi="Times New Roman"/>
          <w:sz w:val="24"/>
          <w:szCs w:val="24"/>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Projeto Pantanal (Vila Jacuí A e B) - Em andamento a realização de estudos e projetos para regularização técnica da ocupação. População a ser atendida: 7.108 famílias;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Projeto Sumaré C - Em andamento a realização dos estudos e projetos para regularização técnica e fundiária do empreendimento. População a ser atendida: 1.100 famílias;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Projeto Hortolândia A1 e A2 - Em andamento a realização de estudos e projetos para regularização técnica e fundiária do empreendimento. População a ser atendida: 1.720 famílias.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Programa Vila Dignidade - </w:t>
      </w:r>
      <w:r>
        <w:rPr>
          <w:rFonts w:ascii="Times New Roman" w:hAnsi="Times New Roman"/>
          <w:sz w:val="24"/>
          <w:szCs w:val="24"/>
        </w:rPr>
        <w:t>O Programa Vila Dignidade objetivou promover o atendimento habitacional a idosos, na forma de promoção pela SH/CDHU de equipamentos de moradia assistida, garantindo ao idoso atendimento por meio da rede de serviços municipais, nas áreas da assistência, saúde, cultura.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Em 2013, foi entregue o empreendimento Limeira L e retomadas as obras de empreendimentos com convênios assinados entre 2009 e 2010, que sofreram alterações nos projetos de arquitetura. Superada a etapa de novos projetos, foram retomadas as obras de 8 empreendimentos: Mogi Mirim I, Laranjal Paulista D, Jaú Q, Itapetininga M, Jundiaí N, Ituverava I, Tupã I e Botucatu G, totalizando novos 156 atendimentos.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rPr>
          <w:spacing w:val="-2"/>
        </w:rPr>
      </w:pPr>
      <w:r>
        <w:rPr>
          <w:spacing w:val="-2"/>
        </w:rPr>
        <w:t>Tiveram andamento as obras de 76 unidades habitacionais em 4 empreendimentos: São José do Rio Preto G, Araraquara N, Sorocaba V e Mogi das Cruzes S, e foram iniciados 7 projetos para implantação de 146 unidades nos Municípios de Bauru K, Barretos K, Catanduva P, São Roque C, Bastos I, Santa Barbara D'Oeste G e São José do Rio Pardo I.</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O Programa atinge o número de 760 unidades habitacionais em equipamentos de moradia assistida, considerando empreendimentos entregues, em produção ou autorizados pela Secretaria da Habitação em 38 municípios paulistas.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jc w:val="left"/>
        <w:rPr>
          <w:rFonts w:ascii="Times New Roman" w:hAnsi="Times New Roman"/>
          <w:b/>
          <w:sz w:val="24"/>
          <w:szCs w:val="24"/>
          <w:lang w:eastAsia="pt-BR"/>
        </w:rPr>
      </w:pPr>
      <w:r>
        <w:rPr>
          <w:rFonts w:ascii="Times New Roman" w:hAnsi="Times New Roman"/>
          <w:b/>
          <w:sz w:val="24"/>
          <w:szCs w:val="24"/>
          <w:lang w:eastAsia="pt-BR"/>
        </w:rPr>
        <w:t>Recuperação da Serra do Mar e Litoral Sustentável</w:t>
      </w:r>
    </w:p>
    <w:p w:rsidR="003E6588" w:rsidRDefault="003E6588">
      <w:pPr>
        <w:ind w:firstLine="1134"/>
        <w:jc w:val="both"/>
        <w:rPr>
          <w:lang w:eastAsia="en-US"/>
        </w:rPr>
      </w:pPr>
    </w:p>
    <w:p w:rsidR="003E6588" w:rsidRDefault="003E6588">
      <w:pPr>
        <w:pStyle w:val="PargrafodaLista"/>
        <w:ind w:left="0" w:firstLine="1134"/>
        <w:rPr>
          <w:rFonts w:ascii="Times New Roman" w:hAnsi="Times New Roman"/>
          <w:bCs/>
          <w:iCs/>
          <w:sz w:val="24"/>
          <w:szCs w:val="24"/>
        </w:rPr>
      </w:pPr>
      <w:r>
        <w:rPr>
          <w:rFonts w:ascii="Times New Roman" w:hAnsi="Times New Roman"/>
          <w:b/>
          <w:sz w:val="24"/>
          <w:szCs w:val="24"/>
          <w:lang w:eastAsia="pt-BR"/>
        </w:rPr>
        <w:t xml:space="preserve">Serra do Mar - </w:t>
      </w:r>
      <w:r>
        <w:rPr>
          <w:rFonts w:ascii="Times New Roman" w:hAnsi="Times New Roman"/>
          <w:bCs/>
          <w:iCs/>
          <w:sz w:val="24"/>
          <w:szCs w:val="24"/>
        </w:rPr>
        <w:t>O Programa visa à recuperação do Parque Estadual da Serra do Mar - PESM, maior área contínua da Mata Atlântica preservada no Brasil, que sofre ameaça de ocupação por assentamentos habitacionais precários. As intervenções habitacionais são articuladas às da Política Estadual de Meio Ambiente no programa, que configura um conjunto de ações e intervenções da SH e da SMA, envolvendo o Parque Estadual da Serra do Mar - PESM e outros remanescentes do bioma da Mata Atlântica. Os principais números são:</w:t>
      </w:r>
    </w:p>
    <w:p w:rsidR="003E6588" w:rsidRDefault="003E6588">
      <w:pPr>
        <w:shd w:val="clear" w:color="auto" w:fill="FFFFFF"/>
        <w:ind w:firstLine="1134"/>
        <w:jc w:val="both"/>
        <w:rPr>
          <w:bCs/>
          <w:iCs/>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Abrange 23 municípios, cujas áreas territoriais têm interseção com o PESM;</w:t>
      </w:r>
    </w:p>
    <w:p w:rsidR="003E6588" w:rsidRDefault="003E6588">
      <w:pPr>
        <w:pStyle w:val="PargrafodaLista"/>
        <w:shd w:val="clear" w:color="auto" w:fill="FFFFFF"/>
        <w:ind w:left="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lastRenderedPageBreak/>
        <w:t>- Atualmente estima-se beneficiar em torno de 8.932 famílias, sendo que 7.532 residentes nos Bairros Cota no Município de Cubatão (5.232 Remoções e Reassentamentos e 2.300 Obras de Urbanização) e 1.400 famílias residentes no interior do PESM dos demais municípios abrangidos pelo Programa, com reassentamento em unidades habitacionais.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shd w:val="clear" w:color="auto" w:fill="FFFFFF"/>
        <w:ind w:firstLine="1134"/>
        <w:jc w:val="both"/>
        <w:rPr>
          <w:b/>
          <w:bCs/>
          <w:iCs/>
        </w:rPr>
      </w:pPr>
      <w:r>
        <w:rPr>
          <w:b/>
          <w:bCs/>
          <w:iCs/>
        </w:rPr>
        <w:t>Executado</w:t>
      </w:r>
    </w:p>
    <w:p w:rsidR="003E6588" w:rsidRDefault="003E6588">
      <w:pPr>
        <w:shd w:val="clear" w:color="auto" w:fill="FFFFFF"/>
        <w:ind w:firstLine="1134"/>
        <w:jc w:val="both"/>
        <w:rPr>
          <w:b/>
          <w:bCs/>
          <w:iCs/>
          <w:u w:val="single"/>
        </w:rPr>
      </w:pPr>
    </w:p>
    <w:p w:rsidR="003E6588" w:rsidRDefault="003E6588">
      <w:pPr>
        <w:pStyle w:val="PargrafodaLista"/>
        <w:shd w:val="clear" w:color="auto" w:fill="FFFFFF"/>
        <w:ind w:left="0" w:firstLine="1134"/>
        <w:rPr>
          <w:rFonts w:ascii="Times New Roman" w:hAnsi="Times New Roman"/>
          <w:bCs/>
          <w:iCs/>
          <w:spacing w:val="-4"/>
          <w:sz w:val="24"/>
          <w:szCs w:val="24"/>
          <w:lang w:eastAsia="pt-BR"/>
        </w:rPr>
      </w:pPr>
      <w:r>
        <w:rPr>
          <w:rFonts w:ascii="Times New Roman" w:hAnsi="Times New Roman"/>
          <w:bCs/>
          <w:iCs/>
          <w:spacing w:val="-4"/>
          <w:sz w:val="24"/>
          <w:szCs w:val="24"/>
          <w:lang w:eastAsia="pt-BR"/>
        </w:rPr>
        <w:t>- Foram viabilizadas 4.081 moradias, sendo 398 em empreendimentos nos Municípios da Baixada Santista (Praia Grande, São Vicente e Peruíbe), 66 em São Paulo e Região Metropolitana, 25 Cartas de Crédito e outras 3.594 em Cubatão (Rubens Lara, Bolsão VII e Bolsão IX);</w:t>
      </w:r>
    </w:p>
    <w:p w:rsidR="003E6588" w:rsidRDefault="003E6588">
      <w:pPr>
        <w:pStyle w:val="PargrafodaLista"/>
        <w:shd w:val="clear" w:color="auto" w:fill="FFFFFF"/>
        <w:ind w:left="0" w:firstLine="1134"/>
        <w:rPr>
          <w:rFonts w:ascii="Times New Roman" w:hAnsi="Times New Roman"/>
          <w:bCs/>
          <w:iCs/>
          <w:spacing w:val="-4"/>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Aquisição de terreno denominado Cubatão K com potencial de edificação de 755 UHs;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Aquisição de terreno denominado Ubatuba G com potencial de edificação de 376 UHs;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Aquisição de terreno denominado São Sebastião F com potencial de edificação de 166 UHs;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Aquisição de terreno denominado Pedro de Toledo C com potencial de edificação de 116 UHs;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Atualmente, das 5.232 famílias que compõem o processo de remoção e reassentamento, 4.605 famílias (88%) foram reassentadas, das quais 589 com atendimento provisório, por meio do pagamento de auxílio moradia, até a conclusão dos empreendimentos previstos.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shd w:val="clear" w:color="auto" w:fill="FFFFFF"/>
        <w:ind w:firstLine="1134"/>
        <w:jc w:val="both"/>
        <w:rPr>
          <w:b/>
          <w:bCs/>
          <w:iCs/>
        </w:rPr>
      </w:pPr>
      <w:r>
        <w:rPr>
          <w:b/>
          <w:bCs/>
          <w:iCs/>
        </w:rPr>
        <w:t>Em execução</w:t>
      </w:r>
    </w:p>
    <w:p w:rsidR="003E6588" w:rsidRDefault="003E6588">
      <w:pPr>
        <w:shd w:val="clear" w:color="auto" w:fill="FFFFFF"/>
        <w:ind w:firstLine="1134"/>
        <w:jc w:val="both"/>
        <w:rPr>
          <w:b/>
          <w:bCs/>
          <w:iCs/>
          <w:u w:val="single"/>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Obras de Urbanização nos Bairros Pinhal do Miranda e Cota 200 do Município de Cubatão, que atenderão em torno de 2.037 famílias, das quais 1.023 foram beneficiadas (50,22%);</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Aquisição do terreno denominado Cubatão B com potencial de edificação de 220 unidades habitacionais;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Aquisição do terreno denominado São Vicente H com potencial de edificação de 360 unidades habitacionais;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Trabalho Técnico Social: Diagnóstico Socioeconômico, Pactuação de Projetos e apoio às remoções de moradores em risco e áreas do PESM;</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Sistema de Monitoramento Físico-Financeiro em fase de implantação;</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Serviços especializados para Monitoramento da Estratégia Social;</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lastRenderedPageBreak/>
        <w:t>- Serviços especializados de Mediação de Controvérsias;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Elaboração de Diagnóstico Físico, Urbanístico e Socioambiental, Estudos Preliminares, Projetos Básicos e Executivos;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Aquisição de 500 unidades habitacionais em São Vicente dos Condomínios Penedo e Primavera da Caixa Econômica Federal, prevendo repasse de recursos para recuperação e conclusão das obras;</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Contratação de edificação de 360 unidades habitacionais no Município de São Vicente (São Vicente H);</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Contratação da edificação de 166 unidades habitacionais no Município de São Sebastião (São Sebastião F);</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Contratação da edificação de 376 unidades habitacionais no Município de Ubatuba (Ubatuba G);</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Contratação da edificação de 116 unidades habitacionais no Município de Pedro de Toledo (Pedro de Toledo C).</w:t>
      </w:r>
    </w:p>
    <w:p w:rsidR="003E6588" w:rsidRDefault="003E6588">
      <w:pPr>
        <w:shd w:val="clear" w:color="auto" w:fill="FFFFFF"/>
        <w:ind w:firstLine="1134"/>
        <w:jc w:val="both"/>
        <w:rPr>
          <w:b/>
          <w:bCs/>
          <w:iCs/>
          <w:u w:val="single"/>
        </w:rPr>
      </w:pPr>
    </w:p>
    <w:p w:rsidR="003E6588" w:rsidRDefault="003E6588">
      <w:pPr>
        <w:shd w:val="clear" w:color="auto" w:fill="FFFFFF"/>
        <w:ind w:firstLine="1134"/>
        <w:jc w:val="both"/>
        <w:rPr>
          <w:b/>
          <w:bCs/>
          <w:iCs/>
        </w:rPr>
      </w:pPr>
      <w:r>
        <w:rPr>
          <w:b/>
          <w:bCs/>
          <w:iCs/>
        </w:rPr>
        <w:t>A executar</w:t>
      </w:r>
    </w:p>
    <w:p w:rsidR="003E6588" w:rsidRDefault="003E6588">
      <w:pPr>
        <w:shd w:val="clear" w:color="auto" w:fill="FFFFFF"/>
        <w:ind w:firstLine="1134"/>
        <w:jc w:val="both"/>
        <w:rPr>
          <w:b/>
          <w:bCs/>
          <w:iCs/>
          <w:u w:val="single"/>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Para cumprimento das metas do programa, há a contratação de 755 em área já adquirida, denominada Cubatão K, em fase de aprovação das diretrizes pela Prefeitura Municipal e elaboração de projeto;</w:t>
      </w:r>
    </w:p>
    <w:p w:rsidR="003E6588" w:rsidRDefault="003E6588">
      <w:pPr>
        <w:pStyle w:val="PargrafodaLista"/>
        <w:shd w:val="clear" w:color="auto" w:fill="FFFFFF"/>
        <w:ind w:left="0" w:firstLine="1134"/>
        <w:rPr>
          <w:rFonts w:ascii="Times New Roman" w:hAnsi="Times New Roman"/>
          <w:bCs/>
          <w:iCs/>
          <w:sz w:val="24"/>
          <w:szCs w:val="24"/>
          <w:lang w:eastAsia="pt-BR"/>
        </w:rPr>
      </w:pPr>
    </w:p>
    <w:p w:rsidR="003E6588" w:rsidRDefault="003E6588">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xml:space="preserve">- Apoio Operativo das Unidades de Gestão </w:t>
      </w:r>
      <w:r w:rsidR="002479D8">
        <w:rPr>
          <w:rFonts w:ascii="Times New Roman" w:hAnsi="Times New Roman"/>
          <w:bCs/>
          <w:iCs/>
          <w:sz w:val="24"/>
          <w:szCs w:val="24"/>
          <w:lang w:eastAsia="pt-BR"/>
        </w:rPr>
        <w:t xml:space="preserve">- </w:t>
      </w:r>
      <w:r>
        <w:rPr>
          <w:rFonts w:ascii="Times New Roman" w:hAnsi="Times New Roman"/>
          <w:bCs/>
          <w:iCs/>
          <w:sz w:val="24"/>
          <w:szCs w:val="24"/>
          <w:lang w:eastAsia="pt-BR"/>
        </w:rPr>
        <w:t>UGP e de Execução (UEP-Habitação): serviço de consultoria especializada exigida pelas normativas do BID; em fase de publicação de edital de licitação.</w:t>
      </w:r>
    </w:p>
    <w:p w:rsidR="003E6588" w:rsidRDefault="003E6588">
      <w:pPr>
        <w:ind w:firstLine="1134"/>
        <w:jc w:val="both"/>
        <w:rPr>
          <w:lang w:eastAsia="en-US"/>
        </w:rPr>
      </w:pPr>
    </w:p>
    <w:p w:rsidR="003E6588" w:rsidRPr="002479D8" w:rsidRDefault="003E6588">
      <w:pPr>
        <w:pStyle w:val="PargrafodaLista"/>
        <w:ind w:left="0" w:firstLine="1134"/>
        <w:rPr>
          <w:rFonts w:ascii="Times New Roman" w:hAnsi="Times New Roman"/>
          <w:sz w:val="24"/>
          <w:szCs w:val="24"/>
        </w:rPr>
      </w:pPr>
      <w:r w:rsidRPr="002479D8">
        <w:rPr>
          <w:rFonts w:ascii="Times New Roman" w:hAnsi="Times New Roman"/>
          <w:b/>
          <w:sz w:val="24"/>
          <w:szCs w:val="24"/>
          <w:lang w:eastAsia="pt-BR"/>
        </w:rPr>
        <w:t xml:space="preserve">Litoral Sustentável - </w:t>
      </w:r>
      <w:r w:rsidRPr="002479D8">
        <w:rPr>
          <w:rFonts w:ascii="Times New Roman" w:hAnsi="Times New Roman"/>
          <w:sz w:val="24"/>
          <w:szCs w:val="24"/>
        </w:rPr>
        <w:t>Trata-se de conjunto de ações e intervenções das Secretarias do Meio Ambiente</w:t>
      </w:r>
      <w:r w:rsidR="002479D8">
        <w:rPr>
          <w:rFonts w:ascii="Times New Roman" w:hAnsi="Times New Roman"/>
          <w:sz w:val="24"/>
          <w:szCs w:val="24"/>
        </w:rPr>
        <w:t xml:space="preserve"> </w:t>
      </w:r>
      <w:r w:rsidRPr="002479D8">
        <w:rPr>
          <w:rFonts w:ascii="Times New Roman" w:hAnsi="Times New Roman"/>
          <w:sz w:val="24"/>
          <w:szCs w:val="24"/>
        </w:rPr>
        <w:t>-</w:t>
      </w:r>
      <w:r w:rsidR="002479D8">
        <w:rPr>
          <w:rFonts w:ascii="Times New Roman" w:hAnsi="Times New Roman"/>
          <w:sz w:val="24"/>
          <w:szCs w:val="24"/>
        </w:rPr>
        <w:t xml:space="preserve"> </w:t>
      </w:r>
      <w:r w:rsidRPr="002479D8">
        <w:rPr>
          <w:rFonts w:ascii="Times New Roman" w:hAnsi="Times New Roman"/>
          <w:sz w:val="24"/>
          <w:szCs w:val="24"/>
        </w:rPr>
        <w:t>SMA e da Habitação</w:t>
      </w:r>
      <w:r w:rsidR="002479D8">
        <w:rPr>
          <w:rFonts w:ascii="Times New Roman" w:hAnsi="Times New Roman"/>
          <w:sz w:val="24"/>
          <w:szCs w:val="24"/>
        </w:rPr>
        <w:t xml:space="preserve"> </w:t>
      </w:r>
      <w:r w:rsidRPr="002479D8">
        <w:rPr>
          <w:rFonts w:ascii="Times New Roman" w:hAnsi="Times New Roman"/>
          <w:sz w:val="24"/>
          <w:szCs w:val="24"/>
        </w:rPr>
        <w:t>-</w:t>
      </w:r>
      <w:r w:rsidR="002479D8">
        <w:rPr>
          <w:rFonts w:ascii="Times New Roman" w:hAnsi="Times New Roman"/>
          <w:sz w:val="24"/>
          <w:szCs w:val="24"/>
        </w:rPr>
        <w:t xml:space="preserve"> </w:t>
      </w:r>
      <w:r w:rsidRPr="002479D8">
        <w:rPr>
          <w:rFonts w:ascii="Times New Roman" w:hAnsi="Times New Roman"/>
          <w:sz w:val="24"/>
          <w:szCs w:val="24"/>
        </w:rPr>
        <w:t>SH, a serem implementadas na região litorânea do Estado, notadamente na Baixada Santista e Litoral Norte, envolvendo o Parque Estadual da Serra do Mar, o Mosaico de Ilhas e Áreas Marinhas Protegidas, o Parque Estadual Restinga de Bertioga, as respectivas zonas de amortecimento e influência dessas unidades de conservação</w:t>
      </w:r>
      <w:r w:rsidR="00706BA5" w:rsidRPr="002479D8">
        <w:rPr>
          <w:rFonts w:ascii="Times New Roman" w:hAnsi="Times New Roman"/>
          <w:sz w:val="24"/>
          <w:szCs w:val="24"/>
        </w:rPr>
        <w:t>.</w:t>
      </w:r>
      <w:r w:rsidRPr="002479D8">
        <w:rPr>
          <w:rFonts w:ascii="Times New Roman" w:hAnsi="Times New Roman"/>
          <w:sz w:val="24"/>
          <w:szCs w:val="24"/>
        </w:rPr>
        <w:t xml:space="preserve"> </w:t>
      </w:r>
      <w:r w:rsidR="00706BA5" w:rsidRPr="002479D8">
        <w:rPr>
          <w:rFonts w:ascii="Times New Roman" w:hAnsi="Times New Roman"/>
          <w:sz w:val="24"/>
          <w:szCs w:val="24"/>
        </w:rPr>
        <w:t>D</w:t>
      </w:r>
      <w:r w:rsidRPr="002479D8">
        <w:rPr>
          <w:rFonts w:ascii="Times New Roman" w:hAnsi="Times New Roman"/>
          <w:sz w:val="24"/>
          <w:szCs w:val="24"/>
        </w:rPr>
        <w:t>esenvolv</w:t>
      </w:r>
      <w:r w:rsidR="00706BA5" w:rsidRPr="002479D8">
        <w:rPr>
          <w:rFonts w:ascii="Times New Roman" w:hAnsi="Times New Roman"/>
          <w:sz w:val="24"/>
          <w:szCs w:val="24"/>
        </w:rPr>
        <w:t>imento de</w:t>
      </w:r>
      <w:r w:rsidRPr="002479D8">
        <w:rPr>
          <w:rFonts w:ascii="Times New Roman" w:hAnsi="Times New Roman"/>
          <w:sz w:val="24"/>
          <w:szCs w:val="24"/>
        </w:rPr>
        <w:t xml:space="preserve"> estudos e projetos destinados a futuras intervenções socioambientais nos Mosaicos Jacupiranga e Paranapiacaba, importantes remanescentes do bioma Mata Atlântica no Vale do Ribeira e Alto Paranapanema, com objetivo de replicar as experiências e ações exitosas de recuperação socioambiental formuladas e desenvolvidas durante a execução do Programa “Recuperação Socioambiental da Serra do Mar e Sistema de Mosaicos da Mata Atlântica”.</w:t>
      </w:r>
    </w:p>
    <w:p w:rsidR="003E6588" w:rsidRPr="002479D8" w:rsidRDefault="003E6588">
      <w:pPr>
        <w:pStyle w:val="Default"/>
        <w:widowControl/>
        <w:ind w:firstLine="1134"/>
        <w:jc w:val="both"/>
        <w:rPr>
          <w:rFonts w:ascii="Times New Roman" w:hAnsi="Times New Roman"/>
          <w:strike/>
        </w:rPr>
      </w:pPr>
    </w:p>
    <w:p w:rsidR="003E6588" w:rsidRDefault="003E6588">
      <w:pPr>
        <w:pStyle w:val="Default"/>
        <w:widowControl/>
        <w:ind w:firstLine="1134"/>
        <w:jc w:val="both"/>
        <w:rPr>
          <w:rFonts w:ascii="Times New Roman" w:hAnsi="Times New Roman"/>
        </w:rPr>
      </w:pPr>
      <w:r>
        <w:rPr>
          <w:rFonts w:ascii="Times New Roman" w:hAnsi="Times New Roman"/>
        </w:rPr>
        <w:lastRenderedPageBreak/>
        <w:t>O Programa conta com recursos externos de financiamento firmado pelo Governo do Estado junto ao Banco do Brasil</w:t>
      </w:r>
      <w:r w:rsidR="00C77A60">
        <w:rPr>
          <w:rFonts w:ascii="Times New Roman" w:hAnsi="Times New Roman"/>
        </w:rPr>
        <w:t>,</w:t>
      </w:r>
      <w:r>
        <w:rPr>
          <w:rFonts w:ascii="Times New Roman" w:hAnsi="Times New Roman"/>
        </w:rPr>
        <w:t xml:space="preserve"> a serem repassados aos executores em cinco parcelas. Foi repassado o equivalente à primeira parcela (Contrato nº 20/00005-7), prevendo os seguintes investimentos:</w:t>
      </w:r>
    </w:p>
    <w:p w:rsidR="003E6588" w:rsidRDefault="003E6588">
      <w:pPr>
        <w:pStyle w:val="Default"/>
        <w:widowControl/>
        <w:ind w:firstLine="1134"/>
        <w:jc w:val="both"/>
        <w:rPr>
          <w:rFonts w:ascii="Times New Roman" w:hAnsi="Times New Roman"/>
        </w:rPr>
      </w:pPr>
    </w:p>
    <w:p w:rsidR="003E6588" w:rsidRDefault="003E6588">
      <w:pPr>
        <w:pStyle w:val="Default"/>
        <w:widowControl/>
        <w:ind w:firstLine="1134"/>
        <w:jc w:val="both"/>
        <w:rPr>
          <w:rFonts w:ascii="Times New Roman" w:hAnsi="Times New Roman"/>
          <w:bCs/>
          <w:iCs/>
        </w:rPr>
      </w:pPr>
      <w:r>
        <w:rPr>
          <w:rFonts w:ascii="Times New Roman" w:hAnsi="Times New Roman"/>
          <w:b/>
          <w:bCs/>
          <w:iCs/>
        </w:rPr>
        <w:t xml:space="preserve">Executado - </w:t>
      </w:r>
      <w:r>
        <w:rPr>
          <w:rFonts w:ascii="Times New Roman" w:hAnsi="Times New Roman"/>
          <w:bCs/>
          <w:iCs/>
        </w:rPr>
        <w:t>Aquisição de terreno denominado Guarujá I</w:t>
      </w:r>
      <w:r w:rsidR="00C77A60">
        <w:rPr>
          <w:rFonts w:ascii="Times New Roman" w:hAnsi="Times New Roman"/>
          <w:bCs/>
          <w:iCs/>
        </w:rPr>
        <w:t>,</w:t>
      </w:r>
      <w:r>
        <w:rPr>
          <w:rFonts w:ascii="Times New Roman" w:hAnsi="Times New Roman"/>
          <w:bCs/>
          <w:iCs/>
        </w:rPr>
        <w:t xml:space="preserve"> com po</w:t>
      </w:r>
      <w:r w:rsidR="001112C9">
        <w:rPr>
          <w:rFonts w:ascii="Times New Roman" w:hAnsi="Times New Roman"/>
          <w:bCs/>
          <w:iCs/>
        </w:rPr>
        <w:t>tencial de edificação de 520 UH.</w:t>
      </w:r>
    </w:p>
    <w:p w:rsidR="003E6588" w:rsidRDefault="003E6588">
      <w:pPr>
        <w:pStyle w:val="PargrafodaLista"/>
        <w:ind w:left="0" w:firstLine="1134"/>
        <w:rPr>
          <w:rFonts w:ascii="Times New Roman" w:hAnsi="Times New Roman"/>
          <w:snapToGrid w:val="0"/>
          <w:sz w:val="24"/>
          <w:szCs w:val="24"/>
          <w:lang w:eastAsia="pt-BR"/>
        </w:rPr>
      </w:pPr>
    </w:p>
    <w:p w:rsidR="003E6588" w:rsidRDefault="003E6588">
      <w:pPr>
        <w:pStyle w:val="Default"/>
        <w:widowControl/>
        <w:ind w:firstLine="1134"/>
        <w:jc w:val="both"/>
        <w:rPr>
          <w:rFonts w:ascii="Times New Roman" w:hAnsi="Times New Roman"/>
          <w:b/>
          <w:bCs/>
          <w:iCs/>
        </w:rPr>
      </w:pPr>
      <w:r>
        <w:rPr>
          <w:rFonts w:ascii="Times New Roman" w:hAnsi="Times New Roman"/>
          <w:b/>
          <w:bCs/>
          <w:iCs/>
        </w:rPr>
        <w:t>Em execução</w:t>
      </w:r>
    </w:p>
    <w:p w:rsidR="003E6588" w:rsidRDefault="003E6588">
      <w:pPr>
        <w:pStyle w:val="Default"/>
        <w:widowControl/>
        <w:ind w:firstLine="1134"/>
        <w:jc w:val="both"/>
        <w:rPr>
          <w:rFonts w:ascii="Times New Roman" w:hAnsi="Times New Roman"/>
          <w:b/>
          <w:bCs/>
          <w:iCs/>
          <w:u w:val="single"/>
        </w:rPr>
      </w:pPr>
    </w:p>
    <w:p w:rsidR="003E6588" w:rsidRDefault="00C77A60" w:rsidP="00C77A60">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xml:space="preserve">- </w:t>
      </w:r>
      <w:r w:rsidR="003E6588">
        <w:rPr>
          <w:rFonts w:ascii="Times New Roman" w:hAnsi="Times New Roman"/>
          <w:bCs/>
          <w:iCs/>
          <w:sz w:val="24"/>
          <w:szCs w:val="24"/>
          <w:lang w:eastAsia="pt-BR"/>
        </w:rPr>
        <w:t>Convênio com Prefeitura Municipal de Santos/COHAB Santista, para repasse de recursos do financiamento do Projeto</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para compor a contrapartida dos empreendimentos Tancredo Neves III (1.120 UH) e Caneleira IV (680 UH) de contrato firmado com o Fundo de Arrendamento Residencial - FAR, gerenciado pela CAIXA;</w:t>
      </w:r>
    </w:p>
    <w:p w:rsidR="003E6588" w:rsidRDefault="003E6588" w:rsidP="00C77A60">
      <w:pPr>
        <w:pStyle w:val="PargrafodaLista"/>
        <w:shd w:val="clear" w:color="auto" w:fill="FFFFFF"/>
        <w:ind w:left="0" w:firstLine="1134"/>
        <w:rPr>
          <w:rFonts w:ascii="Times New Roman" w:hAnsi="Times New Roman"/>
          <w:bCs/>
          <w:iCs/>
          <w:sz w:val="24"/>
          <w:szCs w:val="24"/>
          <w:lang w:eastAsia="pt-BR"/>
        </w:rPr>
      </w:pPr>
    </w:p>
    <w:p w:rsidR="003E6588" w:rsidRDefault="00C77A60" w:rsidP="00C77A60">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xml:space="preserve">- </w:t>
      </w:r>
      <w:r w:rsidR="003E6588">
        <w:rPr>
          <w:rFonts w:ascii="Times New Roman" w:hAnsi="Times New Roman"/>
          <w:bCs/>
          <w:iCs/>
          <w:sz w:val="24"/>
          <w:szCs w:val="24"/>
          <w:lang w:eastAsia="pt-BR"/>
        </w:rPr>
        <w:t>Convênio com Prefeitura Municipal de Santos</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para que esta adquira dois terrenos: Estradão I e II - 994 UH e a CDHU</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repasse recursos de contrapartida do Projeto. Em fase de projeto pela Prefeitura.</w:t>
      </w:r>
    </w:p>
    <w:p w:rsidR="003E6588" w:rsidRDefault="003E6588">
      <w:pPr>
        <w:pStyle w:val="Default"/>
        <w:widowControl/>
        <w:ind w:firstLine="1134"/>
        <w:jc w:val="both"/>
        <w:rPr>
          <w:rFonts w:ascii="Times New Roman" w:hAnsi="Times New Roman"/>
          <w:b/>
          <w:bCs/>
          <w:iCs/>
          <w:u w:val="single"/>
        </w:rPr>
      </w:pPr>
    </w:p>
    <w:p w:rsidR="003E6588" w:rsidRDefault="003E6588">
      <w:pPr>
        <w:pStyle w:val="Default"/>
        <w:widowControl/>
        <w:ind w:firstLine="1134"/>
        <w:jc w:val="both"/>
        <w:rPr>
          <w:rFonts w:ascii="Times New Roman" w:hAnsi="Times New Roman"/>
          <w:b/>
          <w:bCs/>
          <w:iCs/>
        </w:rPr>
      </w:pPr>
      <w:r>
        <w:rPr>
          <w:rFonts w:ascii="Times New Roman" w:hAnsi="Times New Roman"/>
          <w:b/>
          <w:bCs/>
          <w:iCs/>
        </w:rPr>
        <w:t>A executar</w:t>
      </w:r>
    </w:p>
    <w:p w:rsidR="003E6588" w:rsidRDefault="003E6588">
      <w:pPr>
        <w:pStyle w:val="Default"/>
        <w:widowControl/>
        <w:ind w:firstLine="1134"/>
        <w:jc w:val="both"/>
        <w:rPr>
          <w:rFonts w:ascii="Times New Roman" w:hAnsi="Times New Roman"/>
          <w:b/>
          <w:bCs/>
          <w:iCs/>
          <w:u w:val="single"/>
        </w:rPr>
      </w:pPr>
    </w:p>
    <w:p w:rsidR="003E6588" w:rsidRDefault="00C77A60" w:rsidP="00C77A60">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xml:space="preserve">- </w:t>
      </w:r>
      <w:r w:rsidR="003E6588">
        <w:rPr>
          <w:rFonts w:ascii="Times New Roman" w:hAnsi="Times New Roman"/>
          <w:bCs/>
          <w:iCs/>
          <w:sz w:val="24"/>
          <w:szCs w:val="24"/>
          <w:lang w:eastAsia="pt-BR"/>
        </w:rPr>
        <w:t>Aquisição do terreno no Guarujá (Guarujá J)</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em fase de análise da proposta do DIS</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com potencial de edificação de 1.800 UH;</w:t>
      </w:r>
    </w:p>
    <w:p w:rsidR="003E6588" w:rsidRDefault="003E6588" w:rsidP="00C77A60">
      <w:pPr>
        <w:pStyle w:val="PargrafodaLista"/>
        <w:shd w:val="clear" w:color="auto" w:fill="FFFFFF"/>
        <w:ind w:left="0" w:firstLine="1134"/>
        <w:rPr>
          <w:rFonts w:ascii="Times New Roman" w:hAnsi="Times New Roman"/>
          <w:bCs/>
          <w:iCs/>
          <w:sz w:val="24"/>
          <w:szCs w:val="24"/>
          <w:lang w:eastAsia="pt-BR"/>
        </w:rPr>
      </w:pPr>
    </w:p>
    <w:p w:rsidR="003E6588" w:rsidRDefault="00C77A60" w:rsidP="00C77A60">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xml:space="preserve">- </w:t>
      </w:r>
      <w:r w:rsidR="003E6588">
        <w:rPr>
          <w:rFonts w:ascii="Times New Roman" w:hAnsi="Times New Roman"/>
          <w:bCs/>
          <w:iCs/>
          <w:sz w:val="24"/>
          <w:szCs w:val="24"/>
          <w:lang w:eastAsia="pt-BR"/>
        </w:rPr>
        <w:t>Aquisição do terreno em Ubatuba (Ubatuba H) já com DIS - Decreto nº 60.300/2014</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em fase de projeto e com proposta de execução pela Casa Paulista (com potencial para edificação de 446 UH);</w:t>
      </w:r>
    </w:p>
    <w:p w:rsidR="003E6588" w:rsidRDefault="003E6588" w:rsidP="00C77A60">
      <w:pPr>
        <w:pStyle w:val="PargrafodaLista"/>
        <w:shd w:val="clear" w:color="auto" w:fill="FFFFFF"/>
        <w:ind w:left="0" w:firstLine="1134"/>
        <w:rPr>
          <w:rFonts w:ascii="Times New Roman" w:hAnsi="Times New Roman"/>
          <w:bCs/>
          <w:iCs/>
          <w:sz w:val="24"/>
          <w:szCs w:val="24"/>
          <w:lang w:eastAsia="pt-BR"/>
        </w:rPr>
      </w:pPr>
    </w:p>
    <w:p w:rsidR="003E6588" w:rsidRDefault="00C77A60" w:rsidP="00C77A60">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xml:space="preserve">- </w:t>
      </w:r>
      <w:r w:rsidR="003E6588">
        <w:rPr>
          <w:rFonts w:ascii="Times New Roman" w:hAnsi="Times New Roman"/>
          <w:bCs/>
          <w:iCs/>
          <w:sz w:val="24"/>
          <w:szCs w:val="24"/>
          <w:lang w:eastAsia="pt-BR"/>
        </w:rPr>
        <w:t>Aquisição de terrenos em São Sebastião de duas áreas em fase de elaboração de DIS pela CDHU (com potencial para edificação de 528 UH);</w:t>
      </w:r>
    </w:p>
    <w:p w:rsidR="003E6588" w:rsidRDefault="003E6588" w:rsidP="00C77A60">
      <w:pPr>
        <w:pStyle w:val="PargrafodaLista"/>
        <w:shd w:val="clear" w:color="auto" w:fill="FFFFFF"/>
        <w:ind w:left="0" w:firstLine="1134"/>
        <w:rPr>
          <w:rFonts w:ascii="Times New Roman" w:hAnsi="Times New Roman"/>
          <w:bCs/>
          <w:iCs/>
          <w:sz w:val="24"/>
          <w:szCs w:val="24"/>
          <w:lang w:eastAsia="pt-BR"/>
        </w:rPr>
      </w:pPr>
    </w:p>
    <w:p w:rsidR="003E6588" w:rsidRDefault="00C77A60" w:rsidP="00C77A60">
      <w:pPr>
        <w:pStyle w:val="PargrafodaLista"/>
        <w:shd w:val="clear" w:color="auto" w:fill="FFFFFF"/>
        <w:ind w:left="0" w:firstLine="1134"/>
        <w:rPr>
          <w:rFonts w:ascii="Times New Roman" w:hAnsi="Times New Roman"/>
          <w:bCs/>
          <w:iCs/>
          <w:sz w:val="24"/>
          <w:szCs w:val="24"/>
          <w:lang w:eastAsia="pt-BR"/>
        </w:rPr>
      </w:pPr>
      <w:r>
        <w:rPr>
          <w:rFonts w:ascii="Times New Roman" w:hAnsi="Times New Roman"/>
          <w:bCs/>
          <w:iCs/>
          <w:sz w:val="24"/>
          <w:szCs w:val="24"/>
          <w:lang w:eastAsia="pt-BR"/>
        </w:rPr>
        <w:t xml:space="preserve">- </w:t>
      </w:r>
      <w:r w:rsidR="003E6588">
        <w:rPr>
          <w:rFonts w:ascii="Times New Roman" w:hAnsi="Times New Roman"/>
          <w:bCs/>
          <w:iCs/>
          <w:sz w:val="24"/>
          <w:szCs w:val="24"/>
          <w:lang w:eastAsia="pt-BR"/>
        </w:rPr>
        <w:t>Aquisição de terreno em Caraguatatuba (Caraguatatuba F)</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de propriedade do DERSA</w:t>
      </w:r>
      <w:r>
        <w:rPr>
          <w:rFonts w:ascii="Times New Roman" w:hAnsi="Times New Roman"/>
          <w:bCs/>
          <w:iCs/>
          <w:sz w:val="24"/>
          <w:szCs w:val="24"/>
          <w:lang w:eastAsia="pt-BR"/>
        </w:rPr>
        <w:t>,</w:t>
      </w:r>
      <w:r w:rsidR="003E6588">
        <w:rPr>
          <w:rFonts w:ascii="Times New Roman" w:hAnsi="Times New Roman"/>
          <w:bCs/>
          <w:iCs/>
          <w:sz w:val="24"/>
          <w:szCs w:val="24"/>
          <w:lang w:eastAsia="pt-BR"/>
        </w:rPr>
        <w:t xml:space="preserve"> que se encontra em fase de avaliação de risco geotécnico (com potencial de edificação de 600 UH).</w:t>
      </w:r>
    </w:p>
    <w:p w:rsidR="003E6588" w:rsidRDefault="003E6588" w:rsidP="00C77A60">
      <w:pPr>
        <w:pStyle w:val="PargrafodaLista"/>
        <w:tabs>
          <w:tab w:val="left" w:pos="284"/>
        </w:tabs>
        <w:ind w:left="0" w:firstLine="1134"/>
        <w:rPr>
          <w:rFonts w:ascii="Times New Roman" w:eastAsia="Times New Roman" w:hAnsi="Times New Roman"/>
          <w:bCs/>
          <w:iCs/>
          <w:sz w:val="24"/>
          <w:szCs w:val="24"/>
          <w:lang w:eastAsia="pt-BR"/>
        </w:rPr>
      </w:pPr>
    </w:p>
    <w:p w:rsidR="003E6588" w:rsidRDefault="003E6588">
      <w:pPr>
        <w:pStyle w:val="PargrafodaLista"/>
        <w:tabs>
          <w:tab w:val="left" w:pos="284"/>
        </w:tabs>
        <w:ind w:left="0" w:firstLine="1134"/>
        <w:rPr>
          <w:rFonts w:ascii="Times New Roman" w:hAnsi="Times New Roman"/>
          <w:sz w:val="24"/>
          <w:szCs w:val="24"/>
          <w:lang w:eastAsia="pt-BR"/>
        </w:rPr>
      </w:pPr>
      <w:r>
        <w:rPr>
          <w:rFonts w:ascii="Times New Roman" w:hAnsi="Times New Roman"/>
          <w:b/>
          <w:sz w:val="24"/>
          <w:szCs w:val="24"/>
          <w:lang w:eastAsia="pt-BR"/>
        </w:rPr>
        <w:t xml:space="preserve">Critérios de Atendimento - </w:t>
      </w:r>
      <w:r>
        <w:rPr>
          <w:rFonts w:ascii="Times New Roman" w:hAnsi="Times New Roman"/>
          <w:sz w:val="24"/>
          <w:szCs w:val="24"/>
          <w:lang w:eastAsia="pt-BR"/>
        </w:rPr>
        <w:t>A CDHU promove a seleção dos beneficiários por sorteio público para atendimento em empreendimentos destinados à demanda aberta</w:t>
      </w:r>
      <w:r w:rsidR="00C77A60">
        <w:rPr>
          <w:rFonts w:ascii="Times New Roman" w:hAnsi="Times New Roman"/>
          <w:sz w:val="24"/>
          <w:szCs w:val="24"/>
          <w:lang w:eastAsia="pt-BR"/>
        </w:rPr>
        <w:t>,</w:t>
      </w:r>
      <w:r>
        <w:rPr>
          <w:rFonts w:ascii="Times New Roman" w:hAnsi="Times New Roman"/>
          <w:sz w:val="24"/>
          <w:szCs w:val="24"/>
          <w:lang w:eastAsia="pt-BR"/>
        </w:rPr>
        <w:t xml:space="preserve"> de acordo com a legislação vigente. </w:t>
      </w:r>
      <w:r w:rsidR="00C77A60">
        <w:rPr>
          <w:rFonts w:ascii="Times New Roman" w:hAnsi="Times New Roman"/>
          <w:sz w:val="24"/>
          <w:szCs w:val="24"/>
          <w:lang w:eastAsia="pt-BR"/>
        </w:rPr>
        <w:t>No</w:t>
      </w:r>
      <w:r>
        <w:rPr>
          <w:rFonts w:ascii="Times New Roman" w:hAnsi="Times New Roman"/>
          <w:sz w:val="24"/>
          <w:szCs w:val="24"/>
          <w:lang w:eastAsia="pt-BR"/>
        </w:rPr>
        <w:t>s contratos são reservadas cotas para atendimentos de demandas especiais, quais sejam: 5% das UHs para idosos, 7% das UHs para deficient</w:t>
      </w:r>
      <w:r w:rsidR="00C77A60">
        <w:rPr>
          <w:rFonts w:ascii="Times New Roman" w:hAnsi="Times New Roman"/>
          <w:sz w:val="24"/>
          <w:szCs w:val="24"/>
          <w:lang w:eastAsia="pt-BR"/>
        </w:rPr>
        <w:t>es e 4% das UHs para policiais.</w:t>
      </w:r>
    </w:p>
    <w:p w:rsidR="003E6588" w:rsidRPr="00C77A60" w:rsidRDefault="003E6588">
      <w:pPr>
        <w:pStyle w:val="PargrafodaLista"/>
        <w:ind w:left="0" w:firstLine="1134"/>
        <w:rPr>
          <w:rFonts w:ascii="Times New Roman" w:hAnsi="Times New Roman"/>
          <w:strike/>
          <w:sz w:val="24"/>
          <w:szCs w:val="24"/>
          <w:lang w:eastAsia="pt-BR"/>
        </w:rPr>
      </w:pPr>
    </w:p>
    <w:p w:rsidR="003E6588" w:rsidRDefault="003E6588">
      <w:pPr>
        <w:pStyle w:val="PargrafodaLista"/>
        <w:tabs>
          <w:tab w:val="left" w:pos="284"/>
          <w:tab w:val="left" w:pos="426"/>
        </w:tabs>
        <w:ind w:left="0" w:firstLine="1134"/>
        <w:rPr>
          <w:rFonts w:ascii="Times New Roman" w:hAnsi="Times New Roman"/>
          <w:b/>
          <w:sz w:val="24"/>
          <w:szCs w:val="24"/>
          <w:lang w:eastAsia="pt-BR"/>
        </w:rPr>
      </w:pPr>
      <w:r>
        <w:rPr>
          <w:rFonts w:ascii="Times New Roman" w:hAnsi="Times New Roman"/>
          <w:b/>
          <w:sz w:val="24"/>
          <w:szCs w:val="24"/>
          <w:lang w:eastAsia="pt-BR"/>
        </w:rPr>
        <w:t>Loteria da Habitação</w:t>
      </w:r>
    </w:p>
    <w:p w:rsidR="003E6588" w:rsidRDefault="003E6588">
      <w:pPr>
        <w:ind w:firstLine="1134"/>
        <w:jc w:val="both"/>
        <w:rPr>
          <w:b/>
          <w:snapToGrid w:val="0"/>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Fundo Rotativo da Loteria da Habitação - </w:t>
      </w:r>
      <w:r>
        <w:rPr>
          <w:rFonts w:ascii="Times New Roman" w:hAnsi="Times New Roman"/>
          <w:sz w:val="24"/>
          <w:szCs w:val="24"/>
        </w:rPr>
        <w:t xml:space="preserve">A Loteria da Habitação foi restabelecida com objetivo de gerar recursos para financiamento da construção de UHs e sua infraestrutura básica para população de baixa renda. </w:t>
      </w:r>
      <w:r w:rsidR="00C77A60">
        <w:rPr>
          <w:rFonts w:ascii="Times New Roman" w:hAnsi="Times New Roman"/>
          <w:sz w:val="24"/>
          <w:szCs w:val="24"/>
        </w:rPr>
        <w:t xml:space="preserve">Os </w:t>
      </w:r>
      <w:r>
        <w:rPr>
          <w:rFonts w:ascii="Times New Roman" w:hAnsi="Times New Roman"/>
          <w:sz w:val="24"/>
          <w:szCs w:val="24"/>
        </w:rPr>
        <w:t xml:space="preserve">recursos eram repartidos igualmente entre o Estado e Municípios, sendo </w:t>
      </w:r>
      <w:r>
        <w:rPr>
          <w:rFonts w:ascii="Times New Roman" w:hAnsi="Times New Roman"/>
          <w:sz w:val="24"/>
          <w:szCs w:val="24"/>
        </w:rPr>
        <w:lastRenderedPageBreak/>
        <w:t xml:space="preserve">50% para o Estado e 50% para as prefeituras. Para estas, o rateio era proporcional à venda de bilhetes nos respectivos municípios. </w:t>
      </w:r>
      <w:r w:rsidR="00C77A60">
        <w:rPr>
          <w:rFonts w:ascii="Times New Roman" w:hAnsi="Times New Roman"/>
          <w:sz w:val="24"/>
          <w:szCs w:val="24"/>
        </w:rPr>
        <w:t xml:space="preserve">Foi </w:t>
      </w:r>
      <w:r>
        <w:rPr>
          <w:rFonts w:ascii="Times New Roman" w:hAnsi="Times New Roman"/>
          <w:sz w:val="24"/>
          <w:szCs w:val="24"/>
        </w:rPr>
        <w:t>suprimida a destinação de 50% dos recursos aos municípios. A partir daí, o saldo das contas cresceu em função das aplicações financeiras. A liberação dos recursos às prefeituras depende da elaboração de projetos e aprovação pela SH.</w:t>
      </w:r>
    </w:p>
    <w:p w:rsidR="003E6588" w:rsidRDefault="003E6588">
      <w:pPr>
        <w:pStyle w:val="PargrafodaLista"/>
        <w:ind w:left="0"/>
        <w:rPr>
          <w:rFonts w:ascii="Times New Roman" w:eastAsia="Times New Roman" w:hAnsi="Times New Roman"/>
          <w:sz w:val="24"/>
          <w:szCs w:val="24"/>
          <w:lang w:eastAsia="pt-BR"/>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Fundo Estadual da Habitação - </w:t>
      </w:r>
      <w:r w:rsidR="00C77A60">
        <w:rPr>
          <w:rFonts w:ascii="Times New Roman" w:hAnsi="Times New Roman"/>
          <w:sz w:val="24"/>
          <w:szCs w:val="24"/>
        </w:rPr>
        <w:t xml:space="preserve">Os </w:t>
      </w:r>
      <w:r>
        <w:rPr>
          <w:rFonts w:ascii="Times New Roman" w:hAnsi="Times New Roman"/>
          <w:sz w:val="24"/>
          <w:szCs w:val="24"/>
        </w:rPr>
        <w:t xml:space="preserve">recursos financeiros do Fundo Estadual da Habitação, gerados pela Loteria da Habitação, são geridos e desenvolvidos pela SH, sendo integralmente aplicados em programas habitacionais de interesse social e dirigidos ao atendimento de famílias com renda compreendida entre 1 a 5 salários mínimos. </w:t>
      </w:r>
      <w:r w:rsidR="00C77A60">
        <w:rPr>
          <w:rFonts w:ascii="Times New Roman" w:hAnsi="Times New Roman"/>
          <w:sz w:val="24"/>
          <w:szCs w:val="24"/>
        </w:rPr>
        <w:t xml:space="preserve">Os </w:t>
      </w:r>
      <w:r>
        <w:rPr>
          <w:rFonts w:ascii="Times New Roman" w:hAnsi="Times New Roman"/>
          <w:sz w:val="24"/>
          <w:szCs w:val="24"/>
        </w:rPr>
        <w:t xml:space="preserve">recursos </w:t>
      </w:r>
      <w:r w:rsidR="00C77A60">
        <w:rPr>
          <w:rFonts w:ascii="Times New Roman" w:hAnsi="Times New Roman"/>
          <w:sz w:val="24"/>
          <w:szCs w:val="24"/>
        </w:rPr>
        <w:t xml:space="preserve">são </w:t>
      </w:r>
      <w:r>
        <w:rPr>
          <w:rFonts w:ascii="Times New Roman" w:hAnsi="Times New Roman"/>
          <w:sz w:val="24"/>
          <w:szCs w:val="24"/>
        </w:rPr>
        <w:t>destinados à edificação de UHs, infraestrutura urbana, bem como aquisição, construção, reforma ou ampliação de equipamentos sociais em conjuntos habitacionais. Foram formalizados 48 convênios com o Fundo Estadual da Habitação, contemplando 44 municípios, totalizando 64 núcleos habitacionais.</w:t>
      </w:r>
    </w:p>
    <w:p w:rsidR="003E6588" w:rsidRDefault="003E6588">
      <w:pPr>
        <w:ind w:firstLine="1134"/>
        <w:jc w:val="both"/>
      </w:pPr>
    </w:p>
    <w:p w:rsidR="003E6588" w:rsidRDefault="003E6588">
      <w:pPr>
        <w:ind w:firstLine="1134"/>
        <w:contextualSpacing/>
        <w:jc w:val="both"/>
      </w:pPr>
      <w:r>
        <w:rPr>
          <w:b/>
        </w:rPr>
        <w:t xml:space="preserve">Programa Estadual de Regularização de Núcleos Habitacionais de Interesse Social - Cidade Legal - </w:t>
      </w:r>
      <w:r>
        <w:t xml:space="preserve">O “Programa Estadual de Regularização de Núcleos Habitacionais - Cidade Legal”, fruto do </w:t>
      </w:r>
      <w:r w:rsidR="00C77A60">
        <w:t xml:space="preserve">decreto </w:t>
      </w:r>
      <w:r>
        <w:t>que criou o “Programa Estadual de Regularização de Núcleos Habitacionais de Interesse Social - Pró-Lar Regularização, manteve e acentuou seu objetivo de viabilizar auxílio institucional e técnico aos municípios, mediante orientação e atuação em parceria em ações de regularização de parcelamentos do solo e de núcleos habitacionais, públicos ou privados, para fins residenciais, localizados em área urbana ou de expansão urbana - assim defi</w:t>
      </w:r>
      <w:r w:rsidR="00C77A60">
        <w:t>nidas por legislação municipal.</w:t>
      </w:r>
    </w:p>
    <w:p w:rsidR="00C77A60" w:rsidRPr="00C77A60" w:rsidRDefault="00C77A60">
      <w:pPr>
        <w:ind w:firstLine="1134"/>
        <w:contextualSpacing/>
        <w:jc w:val="both"/>
        <w:rPr>
          <w:lang w:eastAsia="en-US"/>
        </w:rPr>
      </w:pPr>
    </w:p>
    <w:p w:rsidR="003E6588" w:rsidRDefault="003E6588">
      <w:pPr>
        <w:tabs>
          <w:tab w:val="left" w:pos="4145"/>
        </w:tabs>
        <w:ind w:firstLine="1134"/>
        <w:jc w:val="both"/>
      </w:pPr>
      <w:r>
        <w:t xml:space="preserve">Com 1.400 núcleos beneficiados de meta indicada no </w:t>
      </w:r>
      <w:hyperlink r:id="rId57" w:tgtFrame="_blank" w:history="1">
        <w:r w:rsidRPr="00C57083">
          <w:rPr>
            <w:rStyle w:val="Hyperlink"/>
            <w:color w:val="auto"/>
            <w:u w:val="none"/>
          </w:rPr>
          <w:t>Sistema de Monitoramento de Programas e Ações do PPA</w:t>
        </w:r>
      </w:hyperlink>
      <w:r>
        <w:t xml:space="preserve"> </w:t>
      </w:r>
      <w:r w:rsidR="00C57083">
        <w:t xml:space="preserve">- </w:t>
      </w:r>
      <w:r>
        <w:t>SIMPA/Programa 2507 - Regularização Fundiária de Interesse Habitacional/Ação 5702 - Apoio à Regularização Fundiária, 1.220 núcleos foram beneficiados, o que contabiliza 87,1% da meta, ressaltando-se a realização de 1.682 produtos. O trabalho de regularização fundiária compreende diversas etapas primordiais, dentre as quais: Busca Documental; Análise e Diagnóstico das desconformidades jurídicas, urbanísticas e ambientais; Ações de assessoria; Envio e Análise dos casos pelo Comitê de Regularização</w:t>
      </w:r>
      <w:r w:rsidR="00C77A60">
        <w:t>;</w:t>
      </w:r>
      <w:r>
        <w:t xml:space="preserve"> e Emissão de Declaração de Conformidade Urbanística e Ambiental - quando e se houver o equacionamento das irregularidades, para que, sequencialmente, os parcelamentos possam ser levados a registro.</w:t>
      </w:r>
    </w:p>
    <w:p w:rsidR="003E6588" w:rsidRDefault="003E6588">
      <w:pPr>
        <w:tabs>
          <w:tab w:val="left" w:pos="4145"/>
        </w:tabs>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lang w:eastAsia="pt-BR"/>
        </w:rPr>
        <w:t xml:space="preserve">Parcerias Público-Privadas </w:t>
      </w:r>
      <w:r w:rsidR="00C77A60">
        <w:rPr>
          <w:rFonts w:ascii="Times New Roman" w:hAnsi="Times New Roman"/>
          <w:b/>
          <w:sz w:val="24"/>
          <w:szCs w:val="24"/>
          <w:lang w:eastAsia="pt-BR"/>
        </w:rPr>
        <w:t xml:space="preserve">- </w:t>
      </w:r>
      <w:r>
        <w:rPr>
          <w:rFonts w:ascii="Times New Roman" w:hAnsi="Times New Roman"/>
          <w:b/>
          <w:sz w:val="24"/>
          <w:szCs w:val="24"/>
          <w:lang w:eastAsia="pt-BR"/>
        </w:rPr>
        <w:t xml:space="preserve">PPPs - </w:t>
      </w:r>
      <w:r>
        <w:rPr>
          <w:rFonts w:ascii="Times New Roman" w:hAnsi="Times New Roman"/>
          <w:sz w:val="24"/>
          <w:szCs w:val="24"/>
        </w:rPr>
        <w:t xml:space="preserve">Aprovada pelo Conselho Gestor das Parcerias Público-Privadas </w:t>
      </w:r>
      <w:r w:rsidR="00C57083">
        <w:rPr>
          <w:rFonts w:ascii="Times New Roman" w:hAnsi="Times New Roman"/>
          <w:sz w:val="24"/>
          <w:szCs w:val="24"/>
        </w:rPr>
        <w:t xml:space="preserve">- </w:t>
      </w:r>
      <w:r>
        <w:rPr>
          <w:rFonts w:ascii="Times New Roman" w:hAnsi="Times New Roman"/>
          <w:sz w:val="24"/>
          <w:szCs w:val="24"/>
        </w:rPr>
        <w:t>CGPPP do Governo do Estado, proposta da SH, por meio da Casa Paulista, avançou e concretizou etapas importantes e fundamentais para seu sucesso. O projeto para a Área Central do Município de São Paulo superou a etapa de Chamamento Público e realizou a publicação de seus editais, seguindo na discussão acerca da melhor proposta de edital de licitação, que foi publicada e finalizada.</w:t>
      </w:r>
    </w:p>
    <w:p w:rsidR="003E6588" w:rsidRDefault="003E6588">
      <w:pPr>
        <w:ind w:firstLine="1134"/>
        <w:jc w:val="both"/>
      </w:pPr>
    </w:p>
    <w:p w:rsidR="003E6588" w:rsidRDefault="003E6588">
      <w:pPr>
        <w:ind w:firstLine="1134"/>
        <w:jc w:val="both"/>
      </w:pPr>
      <w:r>
        <w:t xml:space="preserve">Após a definição pelo início da execução do programa pela </w:t>
      </w:r>
      <w:r w:rsidR="00C77A60">
        <w:t xml:space="preserve">Região Central </w:t>
      </w:r>
      <w:r>
        <w:t>do Município de São Paulo, realizou-se intensa discussão com a sociedade civil, por meio de painéis, audiências e interlocuções junto a órgãos de classe, associações, Poder Legislativo</w:t>
      </w:r>
      <w:r w:rsidR="00C77A60">
        <w:t>,</w:t>
      </w:r>
      <w:r>
        <w:t xml:space="preserve"> universidades, e outras instituições. Nesses debates</w:t>
      </w:r>
      <w:r w:rsidR="00C77A60">
        <w:t>,</w:t>
      </w:r>
      <w:r>
        <w:t xml:space="preserve"> foi possível amealhar contribuições ao aprimoramento da proposta.</w:t>
      </w:r>
    </w:p>
    <w:p w:rsidR="003E6588" w:rsidRDefault="003E6588">
      <w:pPr>
        <w:ind w:firstLine="1134"/>
        <w:jc w:val="both"/>
      </w:pPr>
      <w:r>
        <w:lastRenderedPageBreak/>
        <w:t>Após a inserção des</w:t>
      </w:r>
      <w:r w:rsidR="00C77A60">
        <w:t>s</w:t>
      </w:r>
      <w:r>
        <w:t xml:space="preserve">as melhorias na modelagem jurídica e econômico-financeira, com o aprofundamento dos estudos, foi lançado o </w:t>
      </w:r>
      <w:r w:rsidR="00C77A60">
        <w:t>edital</w:t>
      </w:r>
      <w:r>
        <w:t xml:space="preserve">, considerando-se quatro lotes para disputa individualizada, que contemplaram 14.124 unidades habitacionais. </w:t>
      </w:r>
      <w:r w:rsidR="00C77A60">
        <w:t>Logrou</w:t>
      </w:r>
      <w:r>
        <w:t xml:space="preserve">-se êxito na homologação e na adjudicação da proposta julgada vencedora para o Lote I do projeto, o que resultará na contratação de 3.683 unidades habitacionais, divididas entre Habitações de Interesse Social </w:t>
      </w:r>
      <w:r w:rsidR="00F70BC3">
        <w:t xml:space="preserve">- </w:t>
      </w:r>
      <w:r>
        <w:t xml:space="preserve">HIS e Habitações de Mercado Popular </w:t>
      </w:r>
      <w:r w:rsidR="00F70BC3">
        <w:t xml:space="preserve">- </w:t>
      </w:r>
      <w:r>
        <w:t>HMP, com intervenções futuras no Distrito da Barra Funda.</w:t>
      </w:r>
    </w:p>
    <w:p w:rsidR="00F70BC3" w:rsidRDefault="00F70BC3">
      <w:pPr>
        <w:ind w:firstLine="1134"/>
        <w:jc w:val="both"/>
      </w:pPr>
    </w:p>
    <w:p w:rsidR="003E6588" w:rsidRDefault="00F70BC3">
      <w:pPr>
        <w:ind w:firstLine="1134"/>
        <w:jc w:val="both"/>
      </w:pPr>
      <w:r>
        <w:t xml:space="preserve">Término </w:t>
      </w:r>
      <w:r w:rsidR="003E6588">
        <w:t>do processo licitatório.</w:t>
      </w:r>
    </w:p>
    <w:p w:rsidR="003E6588" w:rsidRDefault="003E6588">
      <w:pPr>
        <w:ind w:firstLine="1134"/>
        <w:jc w:val="both"/>
        <w:rPr>
          <w:b/>
        </w:rPr>
      </w:pPr>
    </w:p>
    <w:p w:rsidR="003E6588" w:rsidRDefault="003E6588">
      <w:pPr>
        <w:rPr>
          <w:b/>
          <w:bCs/>
        </w:rPr>
      </w:pPr>
      <w:r>
        <w:br w:type="page"/>
      </w:r>
      <w:r>
        <w:rPr>
          <w:b/>
          <w:bCs/>
        </w:rPr>
        <w:lastRenderedPageBreak/>
        <w:t>SECRETARIA DA JUSTIÇA E DA DEFESA DA CIDADANIA</w:t>
      </w:r>
    </w:p>
    <w:p w:rsidR="003E6588" w:rsidRDefault="003E6588"/>
    <w:p w:rsidR="003E6588" w:rsidRDefault="003E6588"/>
    <w:p w:rsidR="003E6588" w:rsidRDefault="003E6588">
      <w:pPr>
        <w:ind w:firstLine="1134"/>
        <w:jc w:val="both"/>
      </w:pPr>
      <w:r>
        <w:rPr>
          <w:b/>
        </w:rPr>
        <w:t xml:space="preserve">Coordenação Geral de Apoio aos Programas de Defesa da Cidadania </w:t>
      </w:r>
      <w:r w:rsidR="005D7B96">
        <w:rPr>
          <w:b/>
        </w:rPr>
        <w:t>-</w:t>
      </w:r>
      <w:r>
        <w:rPr>
          <w:b/>
        </w:rPr>
        <w:t xml:space="preserve"> CGAPDC - </w:t>
      </w:r>
      <w:r>
        <w:rPr>
          <w:lang w:val="pt-PT"/>
        </w:rPr>
        <w:t xml:space="preserve">A </w:t>
      </w:r>
      <w:r>
        <w:t xml:space="preserve">CGAPDC é responsável por assessorar a Secretaria da Justiça e da Defesa da Cidadania na área dos direitos fundamentais, como Criança e Adolescente, Diversidade Sexual, Índios, Mulheres, Negros, Nordestinos, tendo como base o Programa Estadual de Direitos Humanos </w:t>
      </w:r>
      <w:r w:rsidR="005D7B96">
        <w:t>- PEDH.</w:t>
      </w:r>
    </w:p>
    <w:p w:rsidR="003E6588" w:rsidRDefault="003E6588">
      <w:pPr>
        <w:ind w:firstLine="1134"/>
        <w:jc w:val="both"/>
      </w:pPr>
    </w:p>
    <w:p w:rsidR="003E6588" w:rsidRPr="005D7B96" w:rsidRDefault="003E6588">
      <w:pPr>
        <w:ind w:firstLine="1134"/>
        <w:jc w:val="both"/>
      </w:pPr>
      <w:r w:rsidRPr="005D7B96">
        <w:t>Foram desenvolvidas as seguintes atividades:</w:t>
      </w:r>
    </w:p>
    <w:p w:rsidR="003E6588" w:rsidRPr="005D7B96" w:rsidRDefault="003E6588">
      <w:pPr>
        <w:ind w:firstLine="1134"/>
        <w:jc w:val="both"/>
      </w:pPr>
    </w:p>
    <w:p w:rsidR="003E6588" w:rsidRPr="005D7B96" w:rsidRDefault="003E6588">
      <w:pPr>
        <w:ind w:firstLine="1134"/>
        <w:jc w:val="both"/>
        <w:rPr>
          <w:strike/>
        </w:rPr>
      </w:pPr>
      <w:r w:rsidRPr="005D7B96">
        <w:t>Encaminhamento, em parceria com a Secretaria de Gestão Pública, de minuta de decreto e de resolução e de proposta metodológica que servirão de base à revisão do Programa Estadual de Direitos Humanos</w:t>
      </w:r>
      <w:r w:rsidR="005D7B96" w:rsidRPr="005D7B96">
        <w:t>.</w:t>
      </w:r>
    </w:p>
    <w:p w:rsidR="003E6588" w:rsidRPr="005D7B96" w:rsidRDefault="003E6588">
      <w:pPr>
        <w:ind w:firstLine="1134"/>
        <w:jc w:val="both"/>
      </w:pPr>
    </w:p>
    <w:p w:rsidR="003E6588" w:rsidRPr="005D7B96" w:rsidRDefault="003E6588">
      <w:pPr>
        <w:ind w:firstLine="1134"/>
        <w:jc w:val="both"/>
      </w:pPr>
      <w:r w:rsidRPr="005D7B96">
        <w:t xml:space="preserve">Diálogos da Cidadania: Direitos Humanos em debate - </w:t>
      </w:r>
      <w:r w:rsidR="005D7B96" w:rsidRPr="005D7B96">
        <w:t xml:space="preserve">Série </w:t>
      </w:r>
      <w:r w:rsidRPr="005D7B96">
        <w:t>de discussões com especialistas</w:t>
      </w:r>
      <w:r w:rsidR="005D7B96" w:rsidRPr="005D7B96">
        <w:t>,</w:t>
      </w:r>
      <w:r w:rsidRPr="005D7B96">
        <w:t xml:space="preserve"> que aborda conceitos e apresenta casos concretos para debates e reflexões sobre os direitos humanos e a luta pela cidadania no Estado.</w:t>
      </w:r>
    </w:p>
    <w:p w:rsidR="003E6588" w:rsidRPr="000C4323" w:rsidRDefault="003E6588">
      <w:pPr>
        <w:ind w:firstLine="1134"/>
        <w:jc w:val="both"/>
      </w:pPr>
    </w:p>
    <w:p w:rsidR="003E6588" w:rsidRPr="005D7B96" w:rsidRDefault="003E6588">
      <w:pPr>
        <w:ind w:firstLine="1134"/>
        <w:jc w:val="both"/>
      </w:pPr>
      <w:r w:rsidRPr="005D7B96">
        <w:t xml:space="preserve">Os eventos aconteceram no SESC Itaquera para público jovem, com média de 70 pessoas por encontro. Foram realizados 6 encontros, com os seguintes temas: </w:t>
      </w:r>
      <w:r w:rsidR="005D7B96" w:rsidRPr="005D7B96">
        <w:t>“</w:t>
      </w:r>
      <w:r w:rsidRPr="005D7B96">
        <w:t>50 anos de Ditadura</w:t>
      </w:r>
      <w:r w:rsidR="005D7B96" w:rsidRPr="005D7B96">
        <w:t>”</w:t>
      </w:r>
      <w:r w:rsidRPr="005D7B96">
        <w:t xml:space="preserve">; </w:t>
      </w:r>
      <w:r w:rsidR="005D7B96" w:rsidRPr="005D7B96">
        <w:t>“</w:t>
      </w:r>
      <w:r w:rsidRPr="005D7B96">
        <w:t>Copa para quem?</w:t>
      </w:r>
      <w:r w:rsidR="005D7B96" w:rsidRPr="005D7B96">
        <w:t>”</w:t>
      </w:r>
      <w:r w:rsidRPr="005D7B96">
        <w:t xml:space="preserve">; </w:t>
      </w:r>
      <w:r w:rsidR="005D7B96" w:rsidRPr="005D7B96">
        <w:t>“</w:t>
      </w:r>
      <w:r w:rsidRPr="005D7B96">
        <w:t>Sexualidade</w:t>
      </w:r>
      <w:r w:rsidR="005D7B96" w:rsidRPr="005D7B96">
        <w:t>”</w:t>
      </w:r>
      <w:r w:rsidRPr="005D7B96">
        <w:t xml:space="preserve">; </w:t>
      </w:r>
      <w:r w:rsidR="005D7B96" w:rsidRPr="005D7B96">
        <w:t>“</w:t>
      </w:r>
      <w:r w:rsidRPr="005D7B96">
        <w:t xml:space="preserve">Gênero e </w:t>
      </w:r>
      <w:r w:rsidR="005D7B96" w:rsidRPr="005D7B96">
        <w:t>Sexualidade”</w:t>
      </w:r>
      <w:r w:rsidRPr="005D7B96">
        <w:t xml:space="preserve">; </w:t>
      </w:r>
      <w:r w:rsidR="005D7B96" w:rsidRPr="005D7B96">
        <w:t>“</w:t>
      </w:r>
      <w:r w:rsidRPr="005D7B96">
        <w:t>Empoderamento jovem</w:t>
      </w:r>
      <w:r w:rsidR="005D7B96" w:rsidRPr="005D7B96">
        <w:t>”</w:t>
      </w:r>
      <w:r w:rsidRPr="005D7B96">
        <w:t xml:space="preserve">; </w:t>
      </w:r>
      <w:r w:rsidR="005D7B96" w:rsidRPr="005D7B96">
        <w:t>“</w:t>
      </w:r>
      <w:r w:rsidRPr="005D7B96">
        <w:t>Consciência Negra</w:t>
      </w:r>
      <w:r w:rsidR="005D7B96" w:rsidRPr="005D7B96">
        <w:t>”</w:t>
      </w:r>
      <w:r w:rsidRPr="005D7B96">
        <w:t>.</w:t>
      </w:r>
    </w:p>
    <w:p w:rsidR="003E6588" w:rsidRPr="005D7B96" w:rsidRDefault="003E6588">
      <w:pPr>
        <w:ind w:firstLine="1134"/>
        <w:jc w:val="both"/>
      </w:pPr>
    </w:p>
    <w:p w:rsidR="003E6588" w:rsidRPr="005D7B96" w:rsidRDefault="003E6588">
      <w:pPr>
        <w:ind w:firstLine="1134"/>
        <w:jc w:val="both"/>
      </w:pPr>
      <w:r w:rsidRPr="005D7B96">
        <w:t>Apoio aos Conselhos: A CGAPDC presta apoio técnico aos Conselhos Estaduais de Cidadania ligados à SJDC.</w:t>
      </w:r>
    </w:p>
    <w:p w:rsidR="003E6588" w:rsidRPr="005D7B96" w:rsidRDefault="003E6588">
      <w:pPr>
        <w:ind w:firstLine="1134"/>
        <w:jc w:val="both"/>
      </w:pPr>
    </w:p>
    <w:p w:rsidR="003E6588" w:rsidRPr="005D7B96" w:rsidRDefault="005D7B96">
      <w:pPr>
        <w:ind w:firstLine="1134"/>
        <w:jc w:val="both"/>
      </w:pPr>
      <w:r w:rsidRPr="005D7B96">
        <w:t xml:space="preserve">Compõe </w:t>
      </w:r>
      <w:r w:rsidR="003E6588" w:rsidRPr="005D7B96">
        <w:t xml:space="preserve">a Comissão Organizadora Estadual para elaboração e execução da </w:t>
      </w:r>
      <w:r w:rsidRPr="005D7B96">
        <w:t>“</w:t>
      </w:r>
      <w:r w:rsidR="003E6588" w:rsidRPr="005D7B96">
        <w:t>X Conferência Estadual dos Direitos Humanos da Criança e do Adolescente</w:t>
      </w:r>
      <w:r w:rsidRPr="005D7B96">
        <w:t>”</w:t>
      </w:r>
      <w:r w:rsidR="003E6588" w:rsidRPr="005D7B96">
        <w:t xml:space="preserve"> e da </w:t>
      </w:r>
      <w:r w:rsidRPr="005D7B96">
        <w:t>“</w:t>
      </w:r>
      <w:r w:rsidR="003E6588" w:rsidRPr="005D7B96">
        <w:t>VI Conferência Estadual Lúdica dos Direitos Humanos da Criança e do Adolescente de São Paulo</w:t>
      </w:r>
      <w:r w:rsidRPr="005D7B96">
        <w:t>”</w:t>
      </w:r>
      <w:r w:rsidR="003E6588" w:rsidRPr="005D7B96">
        <w:t>.</w:t>
      </w:r>
    </w:p>
    <w:p w:rsidR="003E6588" w:rsidRPr="005D7B96" w:rsidRDefault="003E6588">
      <w:pPr>
        <w:ind w:firstLine="1134"/>
        <w:jc w:val="both"/>
      </w:pPr>
    </w:p>
    <w:p w:rsidR="003E6588" w:rsidRPr="005D7B96" w:rsidRDefault="003E6588">
      <w:pPr>
        <w:ind w:firstLine="1134"/>
        <w:jc w:val="both"/>
      </w:pPr>
      <w:r w:rsidRPr="005D7B96">
        <w:t xml:space="preserve">Em parceria com a Secretaria de Gestão Pública, realização de seminário de capacitação “Lei de Acesso à Informação”, sobre a Lei </w:t>
      </w:r>
      <w:r w:rsidR="005D7B96" w:rsidRPr="005D7B96">
        <w:t xml:space="preserve">federal </w:t>
      </w:r>
      <w:r w:rsidRPr="005D7B96">
        <w:t>nº 12.527/2011, para conselheiros e demais interessados.</w:t>
      </w:r>
    </w:p>
    <w:p w:rsidR="003E6588" w:rsidRPr="005D7B96" w:rsidRDefault="003E6588">
      <w:pPr>
        <w:ind w:firstLine="1134"/>
        <w:jc w:val="both"/>
      </w:pPr>
    </w:p>
    <w:p w:rsidR="003E6588" w:rsidRPr="005D7B96" w:rsidRDefault="003E6588">
      <w:pPr>
        <w:ind w:firstLine="1134"/>
        <w:jc w:val="both"/>
      </w:pPr>
      <w:r w:rsidRPr="005D7B96">
        <w:t>Cadastramento de 22 entidades no Cadastro de Entidades de Defesa dos Direitos Humanos do Estado de São Paulo - Cedhesp.</w:t>
      </w:r>
    </w:p>
    <w:p w:rsidR="003E6588" w:rsidRPr="005D7B96" w:rsidRDefault="003E6588">
      <w:pPr>
        <w:ind w:firstLine="1134"/>
        <w:jc w:val="both"/>
      </w:pPr>
    </w:p>
    <w:p w:rsidR="003E6588" w:rsidRPr="005D7B96" w:rsidRDefault="003E6588">
      <w:pPr>
        <w:ind w:firstLine="1134"/>
        <w:jc w:val="both"/>
      </w:pPr>
      <w:r w:rsidRPr="005D7B96">
        <w:t>Expedição de 100 Certificados de Entidade Promotora de Direitos Humanos.</w:t>
      </w:r>
    </w:p>
    <w:p w:rsidR="003E6588" w:rsidRPr="005D7B96" w:rsidRDefault="003E6588">
      <w:pPr>
        <w:ind w:firstLine="1134"/>
        <w:jc w:val="both"/>
      </w:pPr>
    </w:p>
    <w:p w:rsidR="003E6588" w:rsidRDefault="005D7B96">
      <w:pPr>
        <w:ind w:firstLine="1134"/>
        <w:jc w:val="both"/>
      </w:pPr>
      <w:r>
        <w:t xml:space="preserve">Aconteceu </w:t>
      </w:r>
      <w:r w:rsidR="003E6588">
        <w:t xml:space="preserve">o evento </w:t>
      </w:r>
      <w:r>
        <w:t>“</w:t>
      </w:r>
      <w:r w:rsidR="003E6588">
        <w:t>50 anos do Golpe Militar</w:t>
      </w:r>
      <w:r>
        <w:t>”,</w:t>
      </w:r>
      <w:r w:rsidR="003E6588">
        <w:t xml:space="preserve"> exposição em parceria com o Memorial da Resistência de São Paulo “Lugares da Memória - Resistência e Repressão em São Paulo”; debate sobre o filme “Travessia”, de João Batista de Andrade, com o diretor e o advogado e produtor teatral Idibal </w:t>
      </w:r>
      <w:r w:rsidR="003E6588">
        <w:lastRenderedPageBreak/>
        <w:t>Piveta; e projeção do documentário com relatos dos integrantes da Comissão Estadual de Ex-Presos Políticos.</w:t>
      </w:r>
    </w:p>
    <w:p w:rsidR="003E6588" w:rsidRDefault="003E6588">
      <w:pPr>
        <w:ind w:firstLine="1134"/>
        <w:jc w:val="both"/>
      </w:pPr>
    </w:p>
    <w:p w:rsidR="003E6588" w:rsidRDefault="005D7B96">
      <w:pPr>
        <w:ind w:firstLine="1134"/>
        <w:jc w:val="both"/>
      </w:pPr>
      <w:r>
        <w:t xml:space="preserve">Ocorreu </w:t>
      </w:r>
      <w:r w:rsidR="003E6588">
        <w:t>o lançamento do livro “Ex-presos políticos: memórias e conquistas”</w:t>
      </w:r>
      <w:r>
        <w:t>,</w:t>
      </w:r>
      <w:r w:rsidR="003E6588">
        <w:t xml:space="preserve"> sobre o histórico da Comissão Estadual de Ex-Presos Políticos.</w:t>
      </w:r>
    </w:p>
    <w:p w:rsidR="003E6588" w:rsidRPr="006B0C3E" w:rsidRDefault="003E6588">
      <w:pPr>
        <w:ind w:firstLine="1134"/>
        <w:jc w:val="both"/>
      </w:pPr>
    </w:p>
    <w:p w:rsidR="003E6588" w:rsidRPr="006B0C3E" w:rsidRDefault="003E6588">
      <w:pPr>
        <w:ind w:firstLine="1134"/>
        <w:jc w:val="both"/>
      </w:pPr>
      <w:r w:rsidRPr="006B0C3E">
        <w:t xml:space="preserve">Foram oferecidos os seguintes Cursos de Educação a Distância </w:t>
      </w:r>
      <w:r w:rsidR="006B0C3E" w:rsidRPr="006B0C3E">
        <w:t xml:space="preserve">- </w:t>
      </w:r>
      <w:r w:rsidRPr="006B0C3E">
        <w:t>EA</w:t>
      </w:r>
      <w:r w:rsidR="006B0C3E" w:rsidRPr="006B0C3E">
        <w:t>D</w:t>
      </w:r>
      <w:r w:rsidRPr="006B0C3E">
        <w:t>:</w:t>
      </w:r>
    </w:p>
    <w:p w:rsidR="003E6588" w:rsidRPr="006B0C3E" w:rsidRDefault="003E6588">
      <w:pPr>
        <w:ind w:firstLine="1134"/>
        <w:jc w:val="both"/>
      </w:pPr>
    </w:p>
    <w:p w:rsidR="003E6588" w:rsidRPr="006B0C3E" w:rsidRDefault="006B0C3E">
      <w:pPr>
        <w:ind w:firstLine="1134"/>
        <w:jc w:val="both"/>
      </w:pPr>
      <w:r w:rsidRPr="006B0C3E">
        <w:t>-</w:t>
      </w:r>
      <w:r w:rsidR="003E6588" w:rsidRPr="006B0C3E">
        <w:t xml:space="preserve"> </w:t>
      </w:r>
      <w:r w:rsidRPr="006B0C3E">
        <w:t>“</w:t>
      </w:r>
      <w:r w:rsidR="003E6588" w:rsidRPr="006B0C3E">
        <w:t>Conquista da Cidadania LGBT: a política da Diversidade Sexual no Estado</w:t>
      </w:r>
      <w:r w:rsidRPr="006B0C3E">
        <w:t>”</w:t>
      </w:r>
      <w:r w:rsidR="003E6588" w:rsidRPr="006B0C3E">
        <w:t>, voltado aos servidores públicos estaduais, com objetivo de sensibilizar para o eficaz enfrentamento a toda forma de discriminação e violência em razão da orientação sexual e identidade de gênero (4.000 vagas);</w:t>
      </w:r>
    </w:p>
    <w:p w:rsidR="003E6588" w:rsidRPr="006B0C3E" w:rsidRDefault="003E6588">
      <w:pPr>
        <w:ind w:firstLine="1134"/>
        <w:jc w:val="both"/>
      </w:pPr>
    </w:p>
    <w:p w:rsidR="003E6588" w:rsidRPr="006B0C3E" w:rsidRDefault="006B0C3E">
      <w:pPr>
        <w:ind w:firstLine="1134"/>
        <w:jc w:val="both"/>
      </w:pPr>
      <w:r w:rsidRPr="006B0C3E">
        <w:t>-</w:t>
      </w:r>
      <w:r w:rsidR="003E6588" w:rsidRPr="006B0C3E">
        <w:t xml:space="preserve"> </w:t>
      </w:r>
      <w:r w:rsidRPr="006B0C3E">
        <w:t>“</w:t>
      </w:r>
      <w:r w:rsidR="003E6588" w:rsidRPr="006B0C3E">
        <w:t xml:space="preserve">Políticas </w:t>
      </w:r>
      <w:r w:rsidRPr="006B0C3E">
        <w:t xml:space="preserve">Públicas </w:t>
      </w:r>
      <w:r w:rsidR="003E6588" w:rsidRPr="006B0C3E">
        <w:t>da Secretaria da Justiça e da Defesa da Cidadania</w:t>
      </w:r>
      <w:r w:rsidRPr="006B0C3E">
        <w:t>”</w:t>
      </w:r>
      <w:r w:rsidR="003E6588" w:rsidRPr="006B0C3E">
        <w:t>, voltado para os servidores estaduais, o curso tem por objetivo divulgar temas de direitos humanos e cidadania e os Programas da Secretaria da Justiça e da Defesa da Cidadania a eles correlatos (3.000 vagas);</w:t>
      </w:r>
    </w:p>
    <w:p w:rsidR="003E6588" w:rsidRPr="006B0C3E" w:rsidRDefault="003E6588">
      <w:pPr>
        <w:ind w:firstLine="1134"/>
        <w:jc w:val="both"/>
      </w:pPr>
    </w:p>
    <w:p w:rsidR="003E6588" w:rsidRPr="006B0C3E" w:rsidRDefault="006B0C3E">
      <w:pPr>
        <w:ind w:firstLine="1134"/>
        <w:jc w:val="both"/>
      </w:pPr>
      <w:r w:rsidRPr="006B0C3E">
        <w:t>-</w:t>
      </w:r>
      <w:r w:rsidR="003E6588" w:rsidRPr="006B0C3E">
        <w:t xml:space="preserve"> </w:t>
      </w:r>
      <w:r w:rsidRPr="006B0C3E">
        <w:t>“</w:t>
      </w:r>
      <w:r w:rsidR="003E6588" w:rsidRPr="006B0C3E">
        <w:t>Conquista da Cidadania LGBT: a política da Diversidade Sexual no Estado</w:t>
      </w:r>
      <w:r w:rsidRPr="006B0C3E">
        <w:t>”</w:t>
      </w:r>
      <w:r w:rsidR="003E6588" w:rsidRPr="006B0C3E">
        <w:t>, em parceria com a Secretaria da Saúde, direcionado aos trabalhadores do SUS (500 vagas).</w:t>
      </w:r>
    </w:p>
    <w:p w:rsidR="003E6588" w:rsidRPr="006B0C3E" w:rsidRDefault="003E6588">
      <w:pPr>
        <w:ind w:firstLine="1134"/>
        <w:jc w:val="both"/>
      </w:pPr>
    </w:p>
    <w:p w:rsidR="003E6588" w:rsidRPr="006B0C3E" w:rsidRDefault="003E6588">
      <w:pPr>
        <w:ind w:firstLine="1134"/>
        <w:jc w:val="both"/>
      </w:pPr>
      <w:r w:rsidRPr="006B0C3E">
        <w:t>5.896 entidades foram cadastradas como de “Utilidade Pública Estadual” e 1.965 Certidões Comprobatórias foram emitidas.</w:t>
      </w:r>
    </w:p>
    <w:p w:rsidR="003E6588" w:rsidRPr="006B0C3E" w:rsidRDefault="003E6588">
      <w:pPr>
        <w:ind w:firstLine="1134"/>
        <w:jc w:val="both"/>
      </w:pPr>
    </w:p>
    <w:p w:rsidR="003E6588" w:rsidRPr="006B0C3E" w:rsidRDefault="003E6588">
      <w:pPr>
        <w:ind w:firstLine="1134"/>
        <w:jc w:val="both"/>
      </w:pPr>
      <w:r w:rsidRPr="006B0C3E">
        <w:t>Nomeação dos 34 juízes de casamento titulares e 46 juízes de casamento suplentes e 31 atendimentos a requerentes de reaquisição de direitos políticos perdidos por motivo de convicção religiosa.</w:t>
      </w:r>
    </w:p>
    <w:p w:rsidR="003E6588" w:rsidRPr="006B0C3E" w:rsidRDefault="003E6588">
      <w:pPr>
        <w:ind w:firstLine="1134"/>
        <w:jc w:val="both"/>
      </w:pPr>
    </w:p>
    <w:p w:rsidR="003E6588" w:rsidRPr="006B0C3E" w:rsidRDefault="003E6588">
      <w:pPr>
        <w:ind w:firstLine="1134"/>
        <w:jc w:val="both"/>
        <w:rPr>
          <w:strike/>
        </w:rPr>
      </w:pPr>
      <w:r w:rsidRPr="006B0C3E">
        <w:rPr>
          <w:b/>
        </w:rPr>
        <w:t xml:space="preserve">Fundo Estadual de Defesa dos Interesses Difusos - FID </w:t>
      </w:r>
      <w:r w:rsidRPr="000C4323">
        <w:rPr>
          <w:b/>
        </w:rPr>
        <w:t xml:space="preserve">- </w:t>
      </w:r>
      <w:r w:rsidRPr="000C4323">
        <w:t>O</w:t>
      </w:r>
      <w:r>
        <w:t xml:space="preserve"> Fundo Estadual de Defesa dos Interesses Difusos - FID tem </w:t>
      </w:r>
      <w:r w:rsidRPr="006B0C3E">
        <w:t>como objetivo financiar projetos destinados ao ressarcimento, à coletividade, dos danos causados ao meio ambiente, ao consumidor, a bens e direitos de valor artístico, estético, histórico, turístico e paisagístico</w:t>
      </w:r>
      <w:r w:rsidR="006B0C3E" w:rsidRPr="006B0C3E">
        <w:t>.</w:t>
      </w:r>
    </w:p>
    <w:p w:rsidR="003E6588" w:rsidRPr="006B0C3E" w:rsidRDefault="003E6588">
      <w:pPr>
        <w:ind w:firstLine="1134"/>
        <w:jc w:val="both"/>
      </w:pPr>
    </w:p>
    <w:p w:rsidR="003E6588" w:rsidRPr="006B0C3E" w:rsidRDefault="003E6588">
      <w:pPr>
        <w:ind w:firstLine="1134"/>
        <w:jc w:val="both"/>
      </w:pPr>
      <w:r w:rsidRPr="006B0C3E">
        <w:t>Celebração de contrato com o Instituto de Pesquisas Tecnológicas - IPT para análise da viabilidade técnica dos projetos selecionados pelo Conselho Gestor do FID/2013, bem como acompanhamento técnico da execução dos convênios firmados.</w:t>
      </w:r>
    </w:p>
    <w:p w:rsidR="003E6588" w:rsidRPr="006B0C3E" w:rsidRDefault="003E6588">
      <w:pPr>
        <w:ind w:firstLine="1134"/>
        <w:jc w:val="both"/>
      </w:pPr>
    </w:p>
    <w:p w:rsidR="003E6588" w:rsidRPr="006B0C3E" w:rsidRDefault="003E6588">
      <w:pPr>
        <w:ind w:firstLine="1134"/>
        <w:jc w:val="both"/>
        <w:rPr>
          <w:bCs/>
        </w:rPr>
      </w:pPr>
      <w:r w:rsidRPr="006B0C3E">
        <w:t xml:space="preserve">Dos 239 projetos apresentados, o Conselho Gestor selecionou 125, dentre os quais foram firmados 32 convênios, resultando em </w:t>
      </w:r>
      <w:r w:rsidRPr="006B0C3E">
        <w:rPr>
          <w:bCs/>
        </w:rPr>
        <w:t>investimento na ordem de R$ 71.000 milhões.</w:t>
      </w:r>
    </w:p>
    <w:p w:rsidR="003E6588" w:rsidRPr="006B0C3E" w:rsidRDefault="003E6588">
      <w:pPr>
        <w:ind w:firstLine="1134"/>
        <w:jc w:val="both"/>
      </w:pPr>
    </w:p>
    <w:p w:rsidR="003E6588" w:rsidRPr="006B0C3E" w:rsidRDefault="003E6588">
      <w:pPr>
        <w:ind w:firstLine="1134"/>
        <w:jc w:val="both"/>
      </w:pPr>
      <w:r w:rsidRPr="006B0C3E">
        <w:rPr>
          <w:b/>
        </w:rPr>
        <w:t xml:space="preserve">Centro de Integração da Cidadania </w:t>
      </w:r>
      <w:r w:rsidR="006B0C3E" w:rsidRPr="006B0C3E">
        <w:rPr>
          <w:b/>
        </w:rPr>
        <w:t>-</w:t>
      </w:r>
      <w:r w:rsidRPr="006B0C3E">
        <w:rPr>
          <w:b/>
        </w:rPr>
        <w:t xml:space="preserve"> CIC - </w:t>
      </w:r>
      <w:r w:rsidRPr="006B0C3E">
        <w:t xml:space="preserve">O Programa CIC realizou 1.146.922 atendimentos, com destaque para as seguintes ações: “Estadualização e Regionalização”- expansão do Programa </w:t>
      </w:r>
      <w:r w:rsidR="006B0C3E" w:rsidRPr="006B0C3E">
        <w:t xml:space="preserve">por meio </w:t>
      </w:r>
      <w:r w:rsidRPr="006B0C3E">
        <w:t xml:space="preserve">de parcerias com os Municípios com alta vulnerabilidade social e realização de Jornadas da Cidadania em áreas não contempladas pelo Programa; “Integração e Operacionalização de Políticas Públicas da SJDC”; “Estabelecimento de parcerias com forte identificação na comunidade” - </w:t>
      </w:r>
      <w:r w:rsidRPr="006B0C3E">
        <w:lastRenderedPageBreak/>
        <w:t>articulação com a</w:t>
      </w:r>
      <w:r w:rsidR="006B0C3E" w:rsidRPr="006B0C3E">
        <w:t>s</w:t>
      </w:r>
      <w:r w:rsidRPr="006B0C3E">
        <w:t xml:space="preserve"> iniciativa</w:t>
      </w:r>
      <w:r w:rsidR="006B0C3E" w:rsidRPr="006B0C3E">
        <w:t>s</w:t>
      </w:r>
      <w:r w:rsidRPr="006B0C3E">
        <w:t xml:space="preserve"> pública e privada, entidades civis e organizações do terceiro setor para implantação de projetos e atividades voltadas ao exercício da cidadania; “Identificação visual e qualificação do espaço interno dos CIC’s para melhoria, conforto e expansão dos serviços”.</w:t>
      </w:r>
    </w:p>
    <w:p w:rsidR="003E6588" w:rsidRPr="006B0C3E" w:rsidRDefault="003E6588">
      <w:pPr>
        <w:ind w:firstLine="1134"/>
        <w:jc w:val="both"/>
      </w:pPr>
    </w:p>
    <w:p w:rsidR="003E6588" w:rsidRPr="006B0C3E" w:rsidRDefault="003E6588">
      <w:pPr>
        <w:ind w:firstLine="1134"/>
        <w:jc w:val="both"/>
      </w:pPr>
      <w:r w:rsidRPr="006B0C3E">
        <w:t>Implantação de novas Unidades do CIC</w:t>
      </w:r>
      <w:r w:rsidR="000C4323">
        <w:t xml:space="preserve"> -</w:t>
      </w:r>
      <w:r w:rsidRPr="006B0C3E">
        <w:t xml:space="preserve"> CIC Cajamar, CIC São Vicente, CIC Grajaú - a Unidade Grajaú, que faz parte do Programa Mananciais, que atua na qualidade da água dos mananciais da Grande São Paulo; CIC Imigrante - orientado para o público estrangeiro em situação de vulnerabilidade.</w:t>
      </w:r>
    </w:p>
    <w:p w:rsidR="003E6588" w:rsidRPr="006B0C3E" w:rsidRDefault="003E6588">
      <w:pPr>
        <w:ind w:firstLine="1134"/>
        <w:jc w:val="both"/>
      </w:pPr>
    </w:p>
    <w:p w:rsidR="003E6588" w:rsidRPr="006B0C3E" w:rsidRDefault="003E6588">
      <w:pPr>
        <w:ind w:firstLine="1134"/>
        <w:jc w:val="both"/>
      </w:pPr>
      <w:r w:rsidRPr="006B0C3E">
        <w:t>20 Jornadas da Cidadania, que se caracterizam pela itinerância de serviços do CIC, somadas às atividades de saúde, beleza, shows e recreação, atendendo diferentes regiões do Estado, com 90 mil atendimentos, destacando-se as Jornadas realizadas em parceria com a Dersa</w:t>
      </w:r>
      <w:r w:rsidR="006B0C3E" w:rsidRPr="006B0C3E">
        <w:t>,</w:t>
      </w:r>
      <w:r w:rsidRPr="006B0C3E">
        <w:t xml:space="preserve"> para atendimento às famílias sob impacto do Rodoanel</w:t>
      </w:r>
      <w:r w:rsidR="006B0C3E" w:rsidRPr="006B0C3E">
        <w:t>,</w:t>
      </w:r>
      <w:r w:rsidRPr="006B0C3E">
        <w:t xml:space="preserve"> e Jornadas na Penitenciária Feminina de Santana, na Penitenciária Feminina do Carandiru e na Penitenciária Masculina Parada Neto.</w:t>
      </w:r>
    </w:p>
    <w:p w:rsidR="003E6588" w:rsidRPr="006B0C3E" w:rsidRDefault="003E6588">
      <w:pPr>
        <w:ind w:firstLine="1134"/>
        <w:jc w:val="both"/>
      </w:pPr>
    </w:p>
    <w:p w:rsidR="003E6588" w:rsidRPr="006B0C3E" w:rsidRDefault="003E6588">
      <w:pPr>
        <w:ind w:firstLine="1134"/>
        <w:jc w:val="both"/>
        <w:rPr>
          <w:shd w:val="clear" w:color="auto" w:fill="FFFFFF"/>
        </w:rPr>
      </w:pPr>
      <w:r w:rsidRPr="006B0C3E">
        <w:t>A integração com outras políticas públicas da SJDC se consolidou com: implantação do CRAVI nos CIC Feitiço da Vila, CIC Guarulhos e CIC São Vicente; preparo de Hortas Comunitárias nos CICs</w:t>
      </w:r>
      <w:r w:rsidR="006B0C3E" w:rsidRPr="006B0C3E">
        <w:t>,</w:t>
      </w:r>
      <w:r w:rsidRPr="006B0C3E">
        <w:t xml:space="preserve"> em parceria com ITESP; realização de palestras sobre a violência doméstica em todas as unidades do CIC, em parceria da Coordenação da Mulher da SJDC com o Ministério Público, com participação de 900 pessoas; implantação do Programa Recomeço Família, que atende, em média, 300 familiares de dependentes químicos por mês, em todas as Unidades CIC, com apoio da COED; participação do CIC no </w:t>
      </w:r>
      <w:r w:rsidR="006B0C3E" w:rsidRPr="006B0C3E">
        <w:t>“</w:t>
      </w:r>
      <w:r w:rsidRPr="006B0C3E">
        <w:t xml:space="preserve">III Seminário da Rede Criad - </w:t>
      </w:r>
      <w:r w:rsidRPr="006B0C3E">
        <w:rPr>
          <w:shd w:val="clear" w:color="auto" w:fill="FFFFFF"/>
        </w:rPr>
        <w:t>Rede de Enfrentamento à Violência Contra a Criança e Adolescente e pela Cultura de Paz</w:t>
      </w:r>
      <w:r w:rsidR="006B0C3E" w:rsidRPr="006B0C3E">
        <w:rPr>
          <w:shd w:val="clear" w:color="auto" w:fill="FFFFFF"/>
        </w:rPr>
        <w:t>”</w:t>
      </w:r>
      <w:r w:rsidRPr="006B0C3E">
        <w:rPr>
          <w:shd w:val="clear" w:color="auto" w:fill="FFFFFF"/>
        </w:rPr>
        <w:t>, juntamente com o PPCAAM.</w:t>
      </w:r>
    </w:p>
    <w:p w:rsidR="003E6588" w:rsidRPr="006B0C3E" w:rsidRDefault="003E6588">
      <w:pPr>
        <w:ind w:firstLine="1134"/>
        <w:jc w:val="both"/>
        <w:rPr>
          <w:shd w:val="clear" w:color="auto" w:fill="FFFFFF"/>
        </w:rPr>
      </w:pPr>
    </w:p>
    <w:p w:rsidR="003E6588" w:rsidRPr="00867481" w:rsidRDefault="006B0C3E">
      <w:pPr>
        <w:ind w:firstLine="1134"/>
        <w:jc w:val="both"/>
      </w:pPr>
      <w:r>
        <w:rPr>
          <w:shd w:val="clear" w:color="auto" w:fill="FFFFFF"/>
        </w:rPr>
        <w:t xml:space="preserve">Parcerias </w:t>
      </w:r>
      <w:r w:rsidR="003E6588">
        <w:rPr>
          <w:shd w:val="clear" w:color="auto" w:fill="FFFFFF"/>
        </w:rPr>
        <w:t xml:space="preserve">com entidades civis, terceiro setor e iniciativas pública e privada traduziram-se em diversas ações que fomentaram a construção de: </w:t>
      </w:r>
      <w:r w:rsidR="003E6588">
        <w:t>redes de proteção às mulheres vítimas de violência</w:t>
      </w:r>
      <w:r>
        <w:t>;</w:t>
      </w:r>
      <w:r w:rsidR="003E6588">
        <w:t xml:space="preserve"> </w:t>
      </w:r>
      <w:r w:rsidRPr="006B0C3E">
        <w:t xml:space="preserve">foram </w:t>
      </w:r>
      <w:r w:rsidR="003E6588" w:rsidRPr="006B0C3E">
        <w:t xml:space="preserve">atendidas nas Unidades CIC, mensalmente, 145 mulheres vítimas </w:t>
      </w:r>
      <w:r w:rsidRPr="006B0C3E">
        <w:t xml:space="preserve">e </w:t>
      </w:r>
      <w:r w:rsidR="003E6588" w:rsidRPr="006B0C3E">
        <w:t>realizadas diversas palestras abordando temas como gravidez precoce, saúde da mulher, Lei Maria da Penha, Mercado de Trabalho; rede de prevenção às drogas, por meio de parceria com o Programa Recomeço e Recomeço Família, Narcóticos Anônimos, Amor Exigente, Comads e Cratod, para realização de palestras e atividades junto aos dependentes químicos e familiares de dependentes químicos; rede de prevenção à violência</w:t>
      </w:r>
      <w:r w:rsidRPr="006B0C3E">
        <w:t>,</w:t>
      </w:r>
      <w:r w:rsidR="003E6588" w:rsidRPr="006B0C3E">
        <w:t xml:space="preserve"> em parceria com Defensoria Pública </w:t>
      </w:r>
      <w:r w:rsidRPr="006B0C3E">
        <w:t>estadual</w:t>
      </w:r>
      <w:r w:rsidR="003E6588" w:rsidRPr="006B0C3E">
        <w:t xml:space="preserve">, Câmaras de Mediação, Cejusc, Instituto de Mediação e Arbitragem do Brasil. Os diretores das Unidades CIC participaram do curso de capacitação de mediadores promovido pelo Tribunal de Justiça. Além da construção destas Redes, o Programa CIC apresentou 3 projetos, classificados e finalistas do </w:t>
      </w:r>
      <w:r w:rsidRPr="006B0C3E">
        <w:t>“</w:t>
      </w:r>
      <w:r w:rsidR="003E6588" w:rsidRPr="006B0C3E">
        <w:t>Prêmio M</w:t>
      </w:r>
      <w:r w:rsidR="00096232">
        <w:t>a</w:t>
      </w:r>
      <w:r w:rsidR="003E6588" w:rsidRPr="006B0C3E">
        <w:t>rio Covas</w:t>
      </w:r>
      <w:r w:rsidRPr="006B0C3E">
        <w:t>”</w:t>
      </w:r>
      <w:r w:rsidR="003E6588" w:rsidRPr="006B0C3E">
        <w:t>, edição 2014; implantou as Escolas de moda e beleza</w:t>
      </w:r>
      <w:r w:rsidRPr="006B0C3E">
        <w:t>,</w:t>
      </w:r>
      <w:r w:rsidR="003E6588" w:rsidRPr="006B0C3E">
        <w:t xml:space="preserve"> em parceria com o Fundo Social de Solidariedade nas Unidades CIC Guarulhos, CIC Feitiço da Vila, CIC Ferraz e CIC Oeste, com 1.000 alunos; realizou em todas as Unidades palestras sobre a Lei de Acesso à Informação, em parceria com Especialistas de Políticas Públicas da Secretaria de Gestão Pública, com 700 participantes; celebrou 10 casamentos comunitários, oficializando a união de 500 casais; realizou o curso Agentes da Cidadania no CIC Feitiço da Vila, em parceria com o Ministério Público Democrático; acolheu a Virada Sustentável nos CIC Oeste e Norte; editou 3 edições do Projeto Educação para a Cidadania, que abordou temas relacionadas a Direitos Humanos, com 278 alunos da rede pública de ensino; organizou palestras, cur</w:t>
      </w:r>
      <w:r w:rsidR="003E6588">
        <w:t xml:space="preserve">sos, bate-papos e </w:t>
      </w:r>
      <w:r w:rsidR="003E6588">
        <w:lastRenderedPageBreak/>
        <w:t xml:space="preserve">reuniões </w:t>
      </w:r>
      <w:r w:rsidR="003E6588" w:rsidRPr="00867481">
        <w:t>comunitárias</w:t>
      </w:r>
      <w:r w:rsidRPr="00867481">
        <w:t>,</w:t>
      </w:r>
      <w:r w:rsidR="003E6588" w:rsidRPr="00867481">
        <w:t xml:space="preserve"> com participação do Sebrae, Defensoria Pública </w:t>
      </w:r>
      <w:r w:rsidRPr="00867481">
        <w:t>estadual</w:t>
      </w:r>
      <w:r w:rsidR="003E6588" w:rsidRPr="00867481">
        <w:t>, INSS, Procon, ONGS, envolvendo 6.700 participantes; distribuiu 300 mil preservativos; realizou 20 mil atendimentos orientados para os idosos, envolvendo atividades de ginástica, artesanato, palestras, vacinação, exames de saúde; arrecadou 1,6 mil peças de roupa para a Campanha do Agasalho do Fundo Social de Solidariedade do Estado; consolidou a instalação do Programa Acessinha em 5 unidades CIC com 11,5 mil atendimentos; implantou no CIC Campinas a unidade de atendimento do Centro de Referência da Pessoa com Deficiência, parceria com a Prefeitura de Campinas.</w:t>
      </w:r>
    </w:p>
    <w:p w:rsidR="003E6588" w:rsidRDefault="003E6588">
      <w:pPr>
        <w:ind w:firstLine="1134"/>
        <w:jc w:val="both"/>
      </w:pPr>
    </w:p>
    <w:p w:rsidR="003E6588" w:rsidRDefault="00867481">
      <w:pPr>
        <w:ind w:firstLine="1134"/>
        <w:jc w:val="both"/>
      </w:pPr>
      <w:r>
        <w:t xml:space="preserve">Com </w:t>
      </w:r>
      <w:r w:rsidR="003E6588">
        <w:t xml:space="preserve">relação à Identificação visual, foi consolidada a nova marca do Programa CIC, com novo logo e novas capas de material de divulgação. </w:t>
      </w:r>
      <w:r>
        <w:t xml:space="preserve">Foram </w:t>
      </w:r>
      <w:r w:rsidR="003E6588">
        <w:t>realizadas pinturas de fachadas das Unidades CIC Cajamar, CIC Sul, CIC Feitiço da Vila e CIC Itatiba. Com relação à melhoria de serviços, o Programa CIC, em parceria com Especialistas em Políticas Públicas da Secretaria de Gestão Pública, elaborou o Guia para Emissão de 2ª vias de Certidão como forma de padronização de procedimentos em todas as unidades, além da construção do Planejamento Estratégico do Progra</w:t>
      </w:r>
      <w:r>
        <w:t>ma CIC para 2015.</w:t>
      </w:r>
    </w:p>
    <w:p w:rsidR="003E6588" w:rsidRDefault="003E6588">
      <w:pPr>
        <w:ind w:firstLine="1134"/>
        <w:jc w:val="both"/>
      </w:pPr>
    </w:p>
    <w:p w:rsidR="003E6588" w:rsidRDefault="003E6588">
      <w:pPr>
        <w:ind w:firstLine="1134"/>
        <w:jc w:val="both"/>
        <w:rPr>
          <w:b/>
          <w:snapToGrid w:val="0"/>
        </w:rPr>
      </w:pPr>
      <w:r>
        <w:rPr>
          <w:b/>
          <w:snapToGrid w:val="0"/>
        </w:rPr>
        <w:t>Centro de Referência e Apoio à Vítima - CRAVI</w:t>
      </w:r>
    </w:p>
    <w:p w:rsidR="003E6588" w:rsidRDefault="003E6588">
      <w:pPr>
        <w:ind w:firstLine="1134"/>
        <w:jc w:val="both"/>
        <w:rPr>
          <w:b/>
          <w:snapToGrid w:val="0"/>
          <w:u w:val="single"/>
        </w:rPr>
      </w:pPr>
    </w:p>
    <w:p w:rsidR="003E6588" w:rsidRDefault="003E6588">
      <w:pPr>
        <w:ind w:firstLine="1134"/>
        <w:jc w:val="both"/>
      </w:pPr>
      <w:r>
        <w:rPr>
          <w:b/>
        </w:rPr>
        <w:t>Objetivo -</w:t>
      </w:r>
      <w:r>
        <w:t xml:space="preserve"> </w:t>
      </w:r>
      <w:r w:rsidR="00867481">
        <w:t>Identificar</w:t>
      </w:r>
      <w:r>
        <w:t>, compreender e atender as demandas por justiça das vitimas de crimes violentos, garantindo o exercício de seus direitos fundamentais e a promoção dos direitos humanos, por meio de intervenções jurídicas, sociais e psicológicas. O CRAVI contribui na superação dos danos causados pela violência e na sua prevenção, bem como</w:t>
      </w:r>
      <w:r w:rsidR="00867481">
        <w:t xml:space="preserve"> </w:t>
      </w:r>
      <w:r>
        <w:t>apoia e orienta aqueles que querem contribuir como testemunhas para a realização da justiça. É seu objetivo dar visibilidade às vítimas de violência, inclusive àquelas indiretamente afetadas, como são o</w:t>
      </w:r>
      <w:r w:rsidR="00867481">
        <w:t>s</w:t>
      </w:r>
      <w:r>
        <w:t xml:space="preserve"> caso</w:t>
      </w:r>
      <w:r w:rsidR="00867481">
        <w:t>s</w:t>
      </w:r>
      <w:r>
        <w:t xml:space="preserve"> dos familiares de vítimas de homicídio e seus herdeiros.</w:t>
      </w:r>
    </w:p>
    <w:p w:rsidR="00867481" w:rsidRDefault="00867481">
      <w:pPr>
        <w:ind w:firstLine="1134"/>
        <w:jc w:val="both"/>
      </w:pPr>
    </w:p>
    <w:p w:rsidR="003E6588" w:rsidRDefault="003E6588">
      <w:pPr>
        <w:ind w:firstLine="1134"/>
        <w:jc w:val="both"/>
      </w:pPr>
      <w:r>
        <w:rPr>
          <w:b/>
        </w:rPr>
        <w:t xml:space="preserve">Parcerias </w:t>
      </w:r>
      <w:r>
        <w:t xml:space="preserve">- </w:t>
      </w:r>
      <w:r w:rsidR="00867481">
        <w:t>Destacaram</w:t>
      </w:r>
      <w:r>
        <w:t>-se: Secretaria Especial de Direitos Humanos do Governo Federal</w:t>
      </w:r>
      <w:r w:rsidR="00867481">
        <w:t>; Secretaria da</w:t>
      </w:r>
      <w:r>
        <w:t xml:space="preserve"> Segurança Pública por meio do Departamento de Homicídios e Proteção à Pessoa</w:t>
      </w:r>
      <w:r w:rsidR="00867481">
        <w:t>;</w:t>
      </w:r>
      <w:r>
        <w:t xml:space="preserve"> Delegacias da Mulher</w:t>
      </w:r>
      <w:r w:rsidR="00867481">
        <w:t>;</w:t>
      </w:r>
      <w:r>
        <w:t xml:space="preserve"> Instituto Médico Legal </w:t>
      </w:r>
      <w:r w:rsidR="00867481">
        <w:t>-</w:t>
      </w:r>
      <w:r>
        <w:t xml:space="preserve"> IML</w:t>
      </w:r>
      <w:r w:rsidR="00867481">
        <w:t>;</w:t>
      </w:r>
      <w:r>
        <w:t xml:space="preserve"> Defensoria Pública do Estado de São Paulo</w:t>
      </w:r>
      <w:r w:rsidR="00867481">
        <w:t>;</w:t>
      </w:r>
      <w:r>
        <w:t xml:space="preserve"> Ministério Público do Estado de São Paulo</w:t>
      </w:r>
      <w:r w:rsidR="00867481">
        <w:t>;</w:t>
      </w:r>
      <w:r>
        <w:t xml:space="preserve"> Tribunal de Justiça do Estado de São Paulo</w:t>
      </w:r>
      <w:r w:rsidR="00867481">
        <w:t>;</w:t>
      </w:r>
      <w:r>
        <w:t xml:space="preserve"> Centro de Direitos Humanos e Educação Popular do Campo Limpo </w:t>
      </w:r>
      <w:r w:rsidR="00867481">
        <w:t>-</w:t>
      </w:r>
      <w:r>
        <w:t xml:space="preserve"> CDHEP</w:t>
      </w:r>
      <w:r w:rsidR="00867481">
        <w:t>;</w:t>
      </w:r>
      <w:r>
        <w:t xml:space="preserve"> Prefeitura do Município de Santos</w:t>
      </w:r>
      <w:r w:rsidR="00867481">
        <w:t>;</w:t>
      </w:r>
      <w:r>
        <w:t xml:space="preserve"> Prefeitura do Município de Itaquaquecetuba</w:t>
      </w:r>
      <w:r w:rsidR="00867481">
        <w:t>;</w:t>
      </w:r>
      <w:r>
        <w:t xml:space="preserve"> Centro de Integração da Cidadania </w:t>
      </w:r>
      <w:r w:rsidR="00867481">
        <w:t>-</w:t>
      </w:r>
      <w:r>
        <w:t xml:space="preserve"> CIC</w:t>
      </w:r>
      <w:r w:rsidR="00867481">
        <w:t>;</w:t>
      </w:r>
      <w:r>
        <w:t xml:space="preserve"> Associação de Apoio à Saúde Mental de Araçatuba</w:t>
      </w:r>
      <w:r w:rsidR="00867481">
        <w:t xml:space="preserve"> e</w:t>
      </w:r>
      <w:r>
        <w:t xml:space="preserve"> Universidade Metodista.</w:t>
      </w:r>
    </w:p>
    <w:p w:rsidR="003E6588" w:rsidRDefault="003E6588">
      <w:pPr>
        <w:ind w:firstLine="1134"/>
        <w:jc w:val="both"/>
      </w:pPr>
    </w:p>
    <w:p w:rsidR="003E6588" w:rsidRPr="00867481" w:rsidRDefault="003E6588">
      <w:pPr>
        <w:ind w:firstLine="1134"/>
        <w:jc w:val="both"/>
      </w:pPr>
      <w:r w:rsidRPr="00867481">
        <w:t>Atendimentos realizados</w:t>
      </w:r>
      <w:r w:rsidR="00867481">
        <w:t xml:space="preserve"> - 3.533</w:t>
      </w:r>
    </w:p>
    <w:p w:rsidR="003E6588" w:rsidRDefault="003E6588">
      <w:pPr>
        <w:ind w:firstLine="1134"/>
        <w:jc w:val="both"/>
      </w:pPr>
    </w:p>
    <w:p w:rsidR="003E6588" w:rsidRDefault="003E6588">
      <w:pPr>
        <w:ind w:firstLine="1134"/>
        <w:jc w:val="both"/>
      </w:pPr>
      <w:r>
        <w:rPr>
          <w:b/>
        </w:rPr>
        <w:t xml:space="preserve">Principais realizações - </w:t>
      </w:r>
      <w:r>
        <w:t xml:space="preserve">O CRAVI realiza mensalmente oficinas temáticas de aprimoramento da rede de apoio, abordando temas como violência doméstica, saúde mental, atendimento a vítimas de homicídio, violação de direitos, mediação de conflitos. Realização do </w:t>
      </w:r>
      <w:r w:rsidR="00867481">
        <w:t>“</w:t>
      </w:r>
      <w:r>
        <w:t xml:space="preserve">IV Encontro de Vítimas atendidas no Centro de Referência e Apoio à Vítima </w:t>
      </w:r>
      <w:r w:rsidR="00867481">
        <w:t>-</w:t>
      </w:r>
      <w:r>
        <w:t xml:space="preserve"> CRAVI</w:t>
      </w:r>
      <w:r w:rsidR="00867481">
        <w:t>”</w:t>
      </w:r>
      <w:r>
        <w:t xml:space="preserve"> e inauguração do “Memorial de Vítimas de Violência”, com o intuito de consolidar o reconhecimento de política de atendimento às vítimas de violência, acesso a di</w:t>
      </w:r>
      <w:r w:rsidR="00867481">
        <w:t>reitos e promoção de cidadania.</w:t>
      </w:r>
    </w:p>
    <w:p w:rsidR="003E6588" w:rsidRDefault="003E6588">
      <w:pPr>
        <w:ind w:firstLine="1134"/>
        <w:jc w:val="both"/>
      </w:pPr>
    </w:p>
    <w:p w:rsidR="003E6588" w:rsidRPr="003174FF" w:rsidRDefault="003174FF">
      <w:pPr>
        <w:ind w:firstLine="1134"/>
        <w:jc w:val="both"/>
      </w:pPr>
      <w:r w:rsidRPr="003174FF">
        <w:lastRenderedPageBreak/>
        <w:t xml:space="preserve">Cumprindo </w:t>
      </w:r>
      <w:r w:rsidR="003E6588" w:rsidRPr="003174FF">
        <w:t xml:space="preserve">missão de “ser referência”, a equipe CRAVI ministrou cursos, palestras, aulas e capacitações, em instituições públicas e privadas, relacionadas ao atendimento a vítimas e prevenção de violência. </w:t>
      </w:r>
      <w:r w:rsidRPr="003174FF">
        <w:t xml:space="preserve">Participação </w:t>
      </w:r>
      <w:r w:rsidR="003E6588" w:rsidRPr="003174FF">
        <w:t>em reuniões com diversas instituições e universidades, ressaltando a importância dos trabalhos de pesquisa norteadores para ações e projetos direcionados à comunidade, divulgando o serviço, estabelecendo redes, parcerias e projetos voltados à prevenção de violência, ações conjuntas, fortalecendo e apr</w:t>
      </w:r>
      <w:r w:rsidRPr="003174FF">
        <w:t>oximando a rede de atendimento.</w:t>
      </w:r>
    </w:p>
    <w:p w:rsidR="003E6588" w:rsidRDefault="003E6588">
      <w:pPr>
        <w:ind w:firstLine="1134"/>
        <w:jc w:val="both"/>
      </w:pPr>
    </w:p>
    <w:p w:rsidR="003E6588" w:rsidRPr="003174FF" w:rsidRDefault="003E6588">
      <w:pPr>
        <w:ind w:firstLine="1134"/>
        <w:jc w:val="both"/>
      </w:pPr>
      <w:r w:rsidRPr="003174FF">
        <w:t>Dentre as principais realizações, a ampliação do programa no Estado com o início das atividades das novas unidades do CRAVI, contando atualmente com 8 unidades em funcionamento no Estado, localizadas nas regiões do Grande ABC, Itaquaquecetuba, Araçatuba, Guarulhos (CIC Guarulhos) e Sul da Capital (CIC Feitiço da Vila), Campinas, Baixada Santista, e Capital (Fórum Criminal da Barra Funda).</w:t>
      </w:r>
    </w:p>
    <w:p w:rsidR="003E6588" w:rsidRPr="003174FF" w:rsidRDefault="003E6588">
      <w:pPr>
        <w:ind w:firstLine="1134"/>
        <w:jc w:val="both"/>
      </w:pPr>
    </w:p>
    <w:p w:rsidR="003E6588" w:rsidRDefault="003174FF">
      <w:pPr>
        <w:ind w:firstLine="1134"/>
        <w:jc w:val="both"/>
      </w:pPr>
      <w:r>
        <w:t xml:space="preserve">Cumpre </w:t>
      </w:r>
      <w:r w:rsidR="003E6588">
        <w:t xml:space="preserve">ressaltar participação do CRAVI nas oficinas ministradas </w:t>
      </w:r>
      <w:r>
        <w:t xml:space="preserve">por meio </w:t>
      </w:r>
      <w:r w:rsidR="003E6588">
        <w:t xml:space="preserve">da cooperação técnica celebrada entre a Secretaria da Justiça </w:t>
      </w:r>
      <w:r>
        <w:t xml:space="preserve">e da Defesa da Cidadania </w:t>
      </w:r>
      <w:r w:rsidR="003E6588">
        <w:t>e a Secretaria d</w:t>
      </w:r>
      <w:r>
        <w:t>a</w:t>
      </w:r>
      <w:r w:rsidR="003E6588">
        <w:t xml:space="preserve"> Segurança Pública, pe</w:t>
      </w:r>
      <w:r>
        <w:t>l</w:t>
      </w:r>
      <w:r w:rsidR="003E6588">
        <w:t>o Centro de Direitos Humanos da Academia de Polícia - ACADEPOL, nas regiões de Santos, Sorocaba, São José do Rio Preto, Ribeirão Preto, São José dos Campos, Piracicaba e Campinas.</w:t>
      </w:r>
    </w:p>
    <w:p w:rsidR="003E6588" w:rsidRDefault="003E6588">
      <w:pPr>
        <w:ind w:firstLine="1134"/>
        <w:jc w:val="both"/>
      </w:pPr>
    </w:p>
    <w:p w:rsidR="003E6588" w:rsidRPr="003174FF" w:rsidRDefault="003E6588">
      <w:pPr>
        <w:ind w:firstLine="1134"/>
        <w:jc w:val="both"/>
      </w:pPr>
      <w:r w:rsidRPr="003174FF">
        <w:rPr>
          <w:b/>
        </w:rPr>
        <w:t xml:space="preserve">Coordenação de Políticas para Diversidade Sexual </w:t>
      </w:r>
      <w:r w:rsidR="003174FF" w:rsidRPr="003174FF">
        <w:rPr>
          <w:b/>
        </w:rPr>
        <w:t>-</w:t>
      </w:r>
      <w:r w:rsidRPr="003174FF">
        <w:rPr>
          <w:b/>
        </w:rPr>
        <w:t xml:space="preserve"> CDS - </w:t>
      </w:r>
      <w:r w:rsidRPr="003174FF">
        <w:t>Compete à CPDS promover, elaborar, coordenar, desenvolver e acompanhar programas, projetos e atividades com vista à efetiva atuação em favor do respeito à dignidade da pessoa humana, independente da orientação sexual e da identidade de gênero de cada cidadão e cidadã.</w:t>
      </w:r>
    </w:p>
    <w:p w:rsidR="003E6588" w:rsidRPr="003174FF" w:rsidRDefault="003E6588">
      <w:pPr>
        <w:ind w:firstLine="1134"/>
        <w:jc w:val="both"/>
      </w:pPr>
    </w:p>
    <w:p w:rsidR="003E6588" w:rsidRPr="00A72ECC" w:rsidRDefault="00A72ECC">
      <w:pPr>
        <w:ind w:firstLine="1134"/>
        <w:jc w:val="both"/>
      </w:pPr>
      <w:r w:rsidRPr="00A72ECC">
        <w:t xml:space="preserve">Várias </w:t>
      </w:r>
      <w:r w:rsidR="003E6588" w:rsidRPr="00A72ECC">
        <w:t>participações, apoios, projetos e ações foram realizados na luta pelo direito à diversidade sexual e encampados pela atual gestão, pertencentes à Campanha São Paulo contra a Homofobia:</w:t>
      </w:r>
    </w:p>
    <w:p w:rsidR="00A72ECC" w:rsidRPr="00A72ECC" w:rsidRDefault="00A72ECC">
      <w:pPr>
        <w:ind w:firstLine="1134"/>
        <w:jc w:val="both"/>
      </w:pPr>
    </w:p>
    <w:p w:rsidR="003E6588" w:rsidRPr="00A72ECC" w:rsidRDefault="003E6588">
      <w:pPr>
        <w:ind w:firstLine="1134"/>
        <w:jc w:val="both"/>
        <w:rPr>
          <w:bCs/>
        </w:rPr>
      </w:pPr>
      <w:r w:rsidRPr="00A72ECC">
        <w:rPr>
          <w:b/>
          <w:bCs/>
        </w:rPr>
        <w:t xml:space="preserve">Participação e apoio institucional - </w:t>
      </w:r>
      <w:r w:rsidRPr="00A72ECC">
        <w:rPr>
          <w:bCs/>
        </w:rPr>
        <w:t xml:space="preserve">Nas </w:t>
      </w:r>
      <w:r w:rsidR="00A72ECC" w:rsidRPr="00A72ECC">
        <w:rPr>
          <w:bCs/>
        </w:rPr>
        <w:t>“</w:t>
      </w:r>
      <w:r w:rsidRPr="00A72ECC">
        <w:rPr>
          <w:bCs/>
        </w:rPr>
        <w:t>Paradas LGBT</w:t>
      </w:r>
      <w:r w:rsidR="00A72ECC" w:rsidRPr="00A72ECC">
        <w:rPr>
          <w:bCs/>
        </w:rPr>
        <w:t>”</w:t>
      </w:r>
      <w:r w:rsidRPr="00A72ECC">
        <w:rPr>
          <w:bCs/>
        </w:rPr>
        <w:t xml:space="preserve">: na </w:t>
      </w:r>
      <w:r w:rsidR="00A72ECC" w:rsidRPr="00A72ECC">
        <w:rPr>
          <w:bCs/>
        </w:rPr>
        <w:t>“</w:t>
      </w:r>
      <w:r w:rsidRPr="00A72ECC">
        <w:rPr>
          <w:bCs/>
        </w:rPr>
        <w:t>XVIII da Capital e do interior</w:t>
      </w:r>
      <w:r w:rsidR="00A72ECC" w:rsidRPr="00A72ECC">
        <w:rPr>
          <w:bCs/>
        </w:rPr>
        <w:t>”</w:t>
      </w:r>
      <w:r w:rsidRPr="00A72ECC">
        <w:rPr>
          <w:bCs/>
        </w:rPr>
        <w:t xml:space="preserve"> (Santo André, Limeira, São Carlos); </w:t>
      </w:r>
      <w:r w:rsidR="00A72ECC" w:rsidRPr="00A72ECC">
        <w:rPr>
          <w:bCs/>
        </w:rPr>
        <w:t>“</w:t>
      </w:r>
      <w:r w:rsidRPr="00A72ECC">
        <w:rPr>
          <w:bCs/>
        </w:rPr>
        <w:t>XIV Feira Cultural LGBT</w:t>
      </w:r>
      <w:r w:rsidR="00A72ECC" w:rsidRPr="00A72ECC">
        <w:rPr>
          <w:bCs/>
        </w:rPr>
        <w:t>”</w:t>
      </w:r>
      <w:r w:rsidRPr="00A72ECC">
        <w:rPr>
          <w:bCs/>
        </w:rPr>
        <w:t xml:space="preserve"> (São Paulo); </w:t>
      </w:r>
      <w:r w:rsidR="00A72ECC" w:rsidRPr="00A72ECC">
        <w:rPr>
          <w:bCs/>
        </w:rPr>
        <w:t>“</w:t>
      </w:r>
      <w:r w:rsidRPr="00A72ECC">
        <w:rPr>
          <w:bCs/>
        </w:rPr>
        <w:t>XII Caminhada de Lésbicas e Bissexuais</w:t>
      </w:r>
      <w:r w:rsidR="00A72ECC" w:rsidRPr="00A72ECC">
        <w:rPr>
          <w:bCs/>
        </w:rPr>
        <w:t>”</w:t>
      </w:r>
      <w:r w:rsidRPr="00A72ECC">
        <w:rPr>
          <w:bCs/>
        </w:rPr>
        <w:t xml:space="preserve">; </w:t>
      </w:r>
      <w:r w:rsidR="00A72ECC" w:rsidRPr="00A72ECC">
        <w:rPr>
          <w:bCs/>
        </w:rPr>
        <w:t>“</w:t>
      </w:r>
      <w:r w:rsidRPr="00A72ECC">
        <w:rPr>
          <w:bCs/>
        </w:rPr>
        <w:t>Dia de Luta contra a Homofobia no Estado de São Paulo</w:t>
      </w:r>
      <w:r w:rsidR="00A72ECC" w:rsidRPr="00A72ECC">
        <w:rPr>
          <w:bCs/>
        </w:rPr>
        <w:t>”</w:t>
      </w:r>
      <w:r w:rsidRPr="00A72ECC">
        <w:rPr>
          <w:bCs/>
        </w:rPr>
        <w:t xml:space="preserve"> (Lei nº 14.462/2011); apoio com materiais (</w:t>
      </w:r>
      <w:r w:rsidRPr="00A72ECC">
        <w:rPr>
          <w:bCs/>
          <w:i/>
        </w:rPr>
        <w:t>banners</w:t>
      </w:r>
      <w:r w:rsidRPr="00A72ECC">
        <w:rPr>
          <w:bCs/>
        </w:rPr>
        <w:t xml:space="preserve">, </w:t>
      </w:r>
      <w:r w:rsidRPr="00A72ECC">
        <w:rPr>
          <w:bCs/>
          <w:i/>
        </w:rPr>
        <w:t>folders</w:t>
      </w:r>
      <w:r w:rsidRPr="00A72ECC">
        <w:rPr>
          <w:bCs/>
        </w:rPr>
        <w:t xml:space="preserve">, </w:t>
      </w:r>
      <w:r w:rsidRPr="00A72ECC">
        <w:rPr>
          <w:bCs/>
          <w:i/>
        </w:rPr>
        <w:t>flyers</w:t>
      </w:r>
      <w:r w:rsidRPr="00A72ECC">
        <w:rPr>
          <w:bCs/>
        </w:rPr>
        <w:t>, cartazes) relativos à Lei nº 10.948/</w:t>
      </w:r>
      <w:r w:rsidR="00A72ECC" w:rsidRPr="00A72ECC">
        <w:rPr>
          <w:bCs/>
        </w:rPr>
        <w:t>20</w:t>
      </w:r>
      <w:r w:rsidRPr="00A72ECC">
        <w:rPr>
          <w:bCs/>
        </w:rPr>
        <w:t xml:space="preserve">01, para 30 municípios que realizaram atividades alusivas </w:t>
      </w:r>
      <w:r w:rsidR="00A72ECC" w:rsidRPr="00A72ECC">
        <w:rPr>
          <w:bCs/>
        </w:rPr>
        <w:t>à</w:t>
      </w:r>
      <w:r w:rsidRPr="00A72ECC">
        <w:rPr>
          <w:bCs/>
        </w:rPr>
        <w:t xml:space="preserve"> data.</w:t>
      </w:r>
    </w:p>
    <w:p w:rsidR="003E6588" w:rsidRPr="00A72ECC" w:rsidRDefault="003E6588">
      <w:pPr>
        <w:ind w:firstLine="1134"/>
        <w:jc w:val="both"/>
        <w:rPr>
          <w:bCs/>
        </w:rPr>
      </w:pPr>
    </w:p>
    <w:p w:rsidR="003E6588" w:rsidRDefault="003E6588">
      <w:pPr>
        <w:ind w:firstLine="1134"/>
        <w:jc w:val="both"/>
        <w:rPr>
          <w:bCs/>
        </w:rPr>
      </w:pPr>
      <w:r>
        <w:rPr>
          <w:b/>
          <w:bCs/>
        </w:rPr>
        <w:t>Projetos e Ações</w:t>
      </w:r>
      <w:r w:rsidR="00A72ECC">
        <w:rPr>
          <w:b/>
          <w:bCs/>
        </w:rPr>
        <w:t xml:space="preserve"> - </w:t>
      </w:r>
      <w:r>
        <w:rPr>
          <w:bCs/>
        </w:rPr>
        <w:t xml:space="preserve">Disponibilização de 4.000 vagas para o curso de ensino à distância “A Conquista da Cidadania </w:t>
      </w:r>
      <w:r w:rsidRPr="00783C9F">
        <w:rPr>
          <w:bCs/>
        </w:rPr>
        <w:t>LGBT”, que</w:t>
      </w:r>
      <w:r>
        <w:rPr>
          <w:bCs/>
        </w:rPr>
        <w:t xml:space="preserve"> tem como alvo os servidores públicos do Estado.</w:t>
      </w:r>
    </w:p>
    <w:p w:rsidR="003E6588" w:rsidRDefault="003E6588">
      <w:pPr>
        <w:ind w:firstLine="1134"/>
        <w:jc w:val="both"/>
        <w:rPr>
          <w:bCs/>
        </w:rPr>
      </w:pPr>
    </w:p>
    <w:p w:rsidR="003E6588" w:rsidRPr="00A72ECC" w:rsidRDefault="003E6588">
      <w:pPr>
        <w:ind w:firstLine="1134"/>
        <w:jc w:val="both"/>
        <w:rPr>
          <w:bCs/>
        </w:rPr>
      </w:pPr>
      <w:r w:rsidRPr="00A72ECC">
        <w:rPr>
          <w:bCs/>
        </w:rPr>
        <w:t>Implantação do Conselho Estadual dos Direitos da População LGBT.</w:t>
      </w:r>
    </w:p>
    <w:p w:rsidR="003E6588" w:rsidRDefault="003E6588">
      <w:pPr>
        <w:ind w:firstLine="1134"/>
        <w:jc w:val="both"/>
        <w:rPr>
          <w:bCs/>
        </w:rPr>
      </w:pPr>
    </w:p>
    <w:p w:rsidR="003E6588" w:rsidRDefault="003E6588">
      <w:pPr>
        <w:ind w:firstLine="1134"/>
        <w:jc w:val="both"/>
        <w:rPr>
          <w:bCs/>
        </w:rPr>
      </w:pPr>
      <w:r>
        <w:rPr>
          <w:bCs/>
        </w:rPr>
        <w:t xml:space="preserve">Ampliação das palestras de sensibilização sobre Diversidade Sexual pelo Termo de Cooperação </w:t>
      </w:r>
      <w:r w:rsidR="00A72ECC">
        <w:rPr>
          <w:bCs/>
        </w:rPr>
        <w:t xml:space="preserve">Técnica </w:t>
      </w:r>
      <w:r>
        <w:rPr>
          <w:bCs/>
        </w:rPr>
        <w:t>entre a Secretaria da Justiça e da Defesa da Cidadania e a Secretaria da Segurança Pública.</w:t>
      </w:r>
    </w:p>
    <w:p w:rsidR="003E6588" w:rsidRDefault="003E6588">
      <w:pPr>
        <w:ind w:firstLine="1134"/>
        <w:jc w:val="both"/>
        <w:rPr>
          <w:bCs/>
        </w:rPr>
      </w:pPr>
    </w:p>
    <w:p w:rsidR="003E6588" w:rsidRPr="00A72ECC" w:rsidRDefault="003E6588">
      <w:pPr>
        <w:ind w:firstLine="1134"/>
        <w:jc w:val="both"/>
        <w:rPr>
          <w:bCs/>
        </w:rPr>
      </w:pPr>
      <w:r w:rsidRPr="00A72ECC">
        <w:rPr>
          <w:bCs/>
        </w:rPr>
        <w:lastRenderedPageBreak/>
        <w:t>Ampliação da divulgação do Decreto nº 55.588/2010, que dispõe sobre o tratamento nominal (nome social) das pessoas transexuais e travestis nos órgãos públicos do Estado.</w:t>
      </w:r>
    </w:p>
    <w:p w:rsidR="003E6588" w:rsidRPr="00A72ECC" w:rsidRDefault="003E6588">
      <w:pPr>
        <w:ind w:firstLine="1134"/>
        <w:jc w:val="both"/>
        <w:rPr>
          <w:bCs/>
        </w:rPr>
      </w:pPr>
    </w:p>
    <w:p w:rsidR="003E6588" w:rsidRPr="00A72ECC" w:rsidRDefault="003E6588">
      <w:pPr>
        <w:ind w:firstLine="1134"/>
        <w:jc w:val="both"/>
        <w:rPr>
          <w:bCs/>
        </w:rPr>
      </w:pPr>
      <w:r w:rsidRPr="00A72ECC">
        <w:rPr>
          <w:bCs/>
        </w:rPr>
        <w:t xml:space="preserve">Confecção da Cartilha “Diversidade Sexual e a Cidadania LGBT”, em cumprimento às metas do </w:t>
      </w:r>
      <w:r w:rsidR="00A72ECC" w:rsidRPr="00A72ECC">
        <w:rPr>
          <w:bCs/>
        </w:rPr>
        <w:t>“</w:t>
      </w:r>
      <w:r w:rsidRPr="00A72ECC">
        <w:rPr>
          <w:bCs/>
        </w:rPr>
        <w:t>II Plano Estadual de Enfrentamento a Homofobia e Promoção da Cidadania LGBT</w:t>
      </w:r>
      <w:r w:rsidR="00A72ECC" w:rsidRPr="00A72ECC">
        <w:rPr>
          <w:bCs/>
        </w:rPr>
        <w:t>”</w:t>
      </w:r>
      <w:r w:rsidRPr="00A72ECC">
        <w:rPr>
          <w:bCs/>
        </w:rPr>
        <w:t>, dirigida prioritariamente a servidores públicos estaduais.</w:t>
      </w:r>
    </w:p>
    <w:p w:rsidR="003E6588" w:rsidRPr="00A72ECC" w:rsidRDefault="003E6588">
      <w:pPr>
        <w:ind w:firstLine="1134"/>
        <w:jc w:val="both"/>
        <w:rPr>
          <w:bCs/>
        </w:rPr>
      </w:pPr>
    </w:p>
    <w:p w:rsidR="003E6588" w:rsidRPr="00E32C49" w:rsidRDefault="003E6588">
      <w:pPr>
        <w:ind w:firstLine="1134"/>
        <w:jc w:val="both"/>
        <w:rPr>
          <w:bCs/>
        </w:rPr>
      </w:pPr>
      <w:r w:rsidRPr="00E32C49">
        <w:rPr>
          <w:b/>
          <w:bCs/>
        </w:rPr>
        <w:t>Capacitação de mediadores</w:t>
      </w:r>
      <w:r w:rsidR="00E32C49" w:rsidRPr="00E32C49">
        <w:rPr>
          <w:b/>
          <w:bCs/>
        </w:rPr>
        <w:t xml:space="preserve"> - </w:t>
      </w:r>
      <w:r w:rsidRPr="00E32C49">
        <w:rPr>
          <w:bCs/>
        </w:rPr>
        <w:t>Termo de Cooperação Técnica com a Secretaria d</w:t>
      </w:r>
      <w:r w:rsidR="00E32C49" w:rsidRPr="00E32C49">
        <w:rPr>
          <w:bCs/>
        </w:rPr>
        <w:t>a</w:t>
      </w:r>
      <w:r w:rsidRPr="00E32C49">
        <w:rPr>
          <w:bCs/>
        </w:rPr>
        <w:t xml:space="preserve"> Saúde</w:t>
      </w:r>
      <w:r w:rsidR="00E32C49" w:rsidRPr="00E32C49">
        <w:rPr>
          <w:bCs/>
        </w:rPr>
        <w:t>,</w:t>
      </w:r>
      <w:r w:rsidRPr="00E32C49">
        <w:rPr>
          <w:bCs/>
        </w:rPr>
        <w:t xml:space="preserve"> para cessão e parceria do curso de ensino a distância “A Conquista da Cidadania LGBT: A Política da Diversidade Sexual no Estado de São Paulo”, para servidores do SUS (1ª turma com 500).</w:t>
      </w:r>
    </w:p>
    <w:p w:rsidR="003E6588" w:rsidRPr="00E32C49" w:rsidRDefault="003E6588">
      <w:pPr>
        <w:ind w:firstLine="1134"/>
        <w:jc w:val="both"/>
        <w:rPr>
          <w:bCs/>
        </w:rPr>
      </w:pPr>
    </w:p>
    <w:p w:rsidR="003E6588" w:rsidRDefault="003E6588">
      <w:pPr>
        <w:ind w:firstLine="1134"/>
        <w:jc w:val="both"/>
        <w:rPr>
          <w:bCs/>
        </w:rPr>
      </w:pPr>
      <w:r w:rsidRPr="00E32C49">
        <w:rPr>
          <w:bCs/>
        </w:rPr>
        <w:t>Realização de</w:t>
      </w:r>
      <w:r>
        <w:rPr>
          <w:bCs/>
        </w:rPr>
        <w:t xml:space="preserve"> reuniões mensais do Comitê Intersecretarial de Defesa da Diversidade Sexual.</w:t>
      </w:r>
    </w:p>
    <w:p w:rsidR="003E6588" w:rsidRDefault="003E6588">
      <w:pPr>
        <w:ind w:firstLine="1134"/>
        <w:jc w:val="both"/>
        <w:rPr>
          <w:bCs/>
        </w:rPr>
      </w:pPr>
    </w:p>
    <w:p w:rsidR="003E6588" w:rsidRDefault="003E6588">
      <w:pPr>
        <w:ind w:firstLine="1134"/>
        <w:jc w:val="both"/>
        <w:rPr>
          <w:bCs/>
        </w:rPr>
      </w:pPr>
      <w:r>
        <w:rPr>
          <w:bCs/>
        </w:rPr>
        <w:t>Realização de Jornada Técnica entre as Escolas de Governo sobre Diversidade Sexual</w:t>
      </w:r>
      <w:r>
        <w:rPr>
          <w:bCs/>
          <w:color w:val="FF0000"/>
        </w:rPr>
        <w:t>,</w:t>
      </w:r>
      <w:r>
        <w:rPr>
          <w:bCs/>
        </w:rPr>
        <w:t xml:space="preserve"> em parceria com o Comitê Intersecretarial de Defesa da Diversidade Sexual.</w:t>
      </w:r>
    </w:p>
    <w:p w:rsidR="003E6588" w:rsidRDefault="003E6588">
      <w:pPr>
        <w:ind w:firstLine="1134"/>
        <w:jc w:val="both"/>
        <w:rPr>
          <w:bCs/>
        </w:rPr>
      </w:pPr>
    </w:p>
    <w:p w:rsidR="003E6588" w:rsidRDefault="003E6588">
      <w:pPr>
        <w:ind w:firstLine="1134"/>
        <w:jc w:val="both"/>
        <w:rPr>
          <w:b/>
        </w:rPr>
      </w:pPr>
      <w:r>
        <w:rPr>
          <w:b/>
        </w:rPr>
        <w:t>Atuação contra discriminação por Homofobia e HIV</w:t>
      </w:r>
    </w:p>
    <w:p w:rsidR="003E6588" w:rsidRDefault="003E6588">
      <w:pPr>
        <w:ind w:firstLine="1134"/>
        <w:jc w:val="both"/>
      </w:pPr>
    </w:p>
    <w:p w:rsidR="003E6588" w:rsidRDefault="003E6588">
      <w:pPr>
        <w:ind w:firstLine="1134"/>
        <w:jc w:val="both"/>
      </w:pPr>
      <w:r>
        <w:t>De 2011 a 2014, foram instaurados 187 processos e impostas 84 condenações, com base na Lei nº 10.948/2001 (Homofobia e Transfobia).</w:t>
      </w:r>
    </w:p>
    <w:p w:rsidR="003E6588" w:rsidRDefault="003E6588">
      <w:pPr>
        <w:ind w:firstLine="1134"/>
        <w:jc w:val="both"/>
      </w:pPr>
    </w:p>
    <w:p w:rsidR="003E6588" w:rsidRDefault="003E6588">
      <w:pPr>
        <w:ind w:firstLine="1134"/>
        <w:jc w:val="both"/>
      </w:pPr>
      <w:r>
        <w:t>De 2011 a 2014, foram instaurados 8 processos e imposta 1 condenação, com base na Lei nº 11.199/2002 (HIV/Aids).</w:t>
      </w:r>
    </w:p>
    <w:p w:rsidR="003E6588" w:rsidRDefault="003E6588">
      <w:pPr>
        <w:ind w:firstLine="1134"/>
        <w:jc w:val="both"/>
      </w:pPr>
    </w:p>
    <w:p w:rsidR="003E6588" w:rsidRPr="00E32C49" w:rsidRDefault="003E6588">
      <w:pPr>
        <w:ind w:firstLine="1134"/>
        <w:jc w:val="both"/>
      </w:pPr>
      <w:r w:rsidRPr="00E32C49">
        <w:rPr>
          <w:bCs/>
        </w:rPr>
        <w:t>A Coordenação de Políticas para Diversidade Sexual, além de ser um dos canais para recebimento de denúncias baseadas na Lei nº 10.948/2001 (Homofobia) e na Lei nº 11.199/2002 (HIV), faz acompanhamento processual na comissão onde os processos tramitam.</w:t>
      </w:r>
    </w:p>
    <w:p w:rsidR="003E6588" w:rsidRPr="00E32C49" w:rsidRDefault="003E6588">
      <w:pPr>
        <w:ind w:firstLine="1134"/>
        <w:jc w:val="both"/>
      </w:pPr>
    </w:p>
    <w:p w:rsidR="003E6588" w:rsidRDefault="003E6588">
      <w:pPr>
        <w:ind w:firstLine="1134"/>
        <w:jc w:val="both"/>
        <w:rPr>
          <w:b/>
        </w:rPr>
      </w:pPr>
      <w:r>
        <w:rPr>
          <w:b/>
        </w:rPr>
        <w:t>Coordenação de Políticas para as Populações Negra e Indígena - CPPNI</w:t>
      </w:r>
    </w:p>
    <w:p w:rsidR="003E6588" w:rsidRDefault="003E6588">
      <w:pPr>
        <w:ind w:firstLine="1134"/>
        <w:jc w:val="both"/>
        <w:rPr>
          <w:b/>
          <w:u w:val="single"/>
        </w:rPr>
      </w:pPr>
    </w:p>
    <w:p w:rsidR="003E6588" w:rsidRPr="00E32C49" w:rsidRDefault="003E6588">
      <w:pPr>
        <w:ind w:firstLine="1134"/>
        <w:jc w:val="both"/>
        <w:rPr>
          <w:kern w:val="24"/>
        </w:rPr>
      </w:pPr>
      <w:r w:rsidRPr="00E32C49">
        <w:rPr>
          <w:b/>
          <w:kern w:val="24"/>
        </w:rPr>
        <w:t xml:space="preserve">Missão </w:t>
      </w:r>
      <w:r w:rsidRPr="00E32C49">
        <w:rPr>
          <w:kern w:val="24"/>
        </w:rPr>
        <w:t>- Promover, elaborar, coordenar, desenvolver e acompanhar programas, projetos e atividades, com vista à superação de qualquer forma de discriminação e ao enfrentamento do racismo institucional, além de elaborar políticas públicas que valorizem o respeito às diferenças humanas.</w:t>
      </w:r>
    </w:p>
    <w:p w:rsidR="003E6588" w:rsidRPr="00E32C49" w:rsidRDefault="003E6588">
      <w:pPr>
        <w:ind w:firstLine="1134"/>
        <w:jc w:val="both"/>
        <w:rPr>
          <w:kern w:val="24"/>
        </w:rPr>
      </w:pPr>
    </w:p>
    <w:p w:rsidR="003E6588" w:rsidRPr="00E32C49" w:rsidRDefault="003E6588">
      <w:pPr>
        <w:ind w:firstLine="1134"/>
        <w:jc w:val="both"/>
        <w:rPr>
          <w:b/>
          <w:kern w:val="24"/>
        </w:rPr>
      </w:pPr>
      <w:r w:rsidRPr="00E32C49">
        <w:rPr>
          <w:b/>
          <w:kern w:val="24"/>
        </w:rPr>
        <w:t>Atividades desenvolvidas</w:t>
      </w:r>
    </w:p>
    <w:p w:rsidR="003E6588" w:rsidRDefault="003E6588">
      <w:pPr>
        <w:ind w:firstLine="1134"/>
        <w:jc w:val="both"/>
        <w:rPr>
          <w:kern w:val="24"/>
        </w:rPr>
      </w:pPr>
    </w:p>
    <w:p w:rsidR="003E6588" w:rsidRDefault="003E6588">
      <w:pPr>
        <w:ind w:firstLine="1134"/>
        <w:jc w:val="both"/>
        <w:rPr>
          <w:kern w:val="24"/>
        </w:rPr>
      </w:pPr>
      <w:r>
        <w:rPr>
          <w:kern w:val="24"/>
        </w:rPr>
        <w:t>Coordenação do Grupo Gestor de Quilombos - Decreto nº 41.774/1997; Comitê Intersetorial de Assuntos Indígenas - Decreto nº 57.380/2011; Fórum Inter-religioso - Resolução nº 230/2006; Grupo de Trabalho para Cotas no Serviço Público Estadual; Grupo de Trabalho para Ações Afirmativas e participa</w:t>
      </w:r>
      <w:r w:rsidR="00013231">
        <w:rPr>
          <w:kern w:val="24"/>
        </w:rPr>
        <w:t>ção</w:t>
      </w:r>
      <w:r>
        <w:rPr>
          <w:kern w:val="24"/>
        </w:rPr>
        <w:t xml:space="preserve"> do CPDCN - Conselho Estadual de Participação e Desenvolvimento da Comunidade Negra e do CEPISP - Conselho Estadual dos Povos Indígenas.</w:t>
      </w:r>
    </w:p>
    <w:p w:rsidR="003E6588" w:rsidRDefault="003E6588">
      <w:pPr>
        <w:ind w:firstLine="1134"/>
        <w:jc w:val="both"/>
        <w:rPr>
          <w:kern w:val="24"/>
        </w:rPr>
      </w:pPr>
    </w:p>
    <w:p w:rsidR="003E6588" w:rsidRPr="00013231" w:rsidRDefault="003E6588">
      <w:pPr>
        <w:ind w:firstLine="1134"/>
        <w:jc w:val="both"/>
        <w:rPr>
          <w:kern w:val="24"/>
        </w:rPr>
      </w:pPr>
      <w:r w:rsidRPr="00013231">
        <w:rPr>
          <w:kern w:val="24"/>
        </w:rPr>
        <w:lastRenderedPageBreak/>
        <w:t>Na atuação contra a discriminação racial, coordena o Programa São Paulo Contra o Racismo (Lei nº 14.187/2010).</w:t>
      </w:r>
    </w:p>
    <w:p w:rsidR="003E6588" w:rsidRPr="00013231" w:rsidRDefault="003E6588">
      <w:pPr>
        <w:ind w:firstLine="1134"/>
        <w:jc w:val="both"/>
        <w:rPr>
          <w:kern w:val="24"/>
        </w:rPr>
      </w:pPr>
    </w:p>
    <w:p w:rsidR="003E6588" w:rsidRPr="00013231" w:rsidRDefault="003E6588">
      <w:pPr>
        <w:ind w:firstLine="1134"/>
        <w:jc w:val="both"/>
        <w:rPr>
          <w:kern w:val="24"/>
        </w:rPr>
      </w:pPr>
      <w:r w:rsidRPr="00013231">
        <w:rPr>
          <w:kern w:val="24"/>
        </w:rPr>
        <w:t>Celebração de 26 convênios com municípios e instituições para acolhimento de denúncia, tendo capacitado gestores para esta finalidade;</w:t>
      </w:r>
    </w:p>
    <w:p w:rsidR="003E6588" w:rsidRPr="00013231" w:rsidRDefault="003E6588">
      <w:pPr>
        <w:ind w:firstLine="1134"/>
        <w:jc w:val="both"/>
        <w:rPr>
          <w:kern w:val="24"/>
        </w:rPr>
      </w:pPr>
    </w:p>
    <w:p w:rsidR="003E6588" w:rsidRPr="00013231" w:rsidRDefault="003E6588">
      <w:pPr>
        <w:ind w:firstLine="1134"/>
        <w:jc w:val="both"/>
        <w:rPr>
          <w:kern w:val="24"/>
        </w:rPr>
      </w:pPr>
      <w:r w:rsidRPr="00013231">
        <w:rPr>
          <w:kern w:val="24"/>
        </w:rPr>
        <w:t>Renovação dos Convênio e Termos de Cooperação Técnica entre a SJDC com ACADEPOL, PROCON, IMESC, DECRADI e Defensoria Pública.</w:t>
      </w:r>
    </w:p>
    <w:p w:rsidR="003E6588" w:rsidRPr="00013231" w:rsidRDefault="003E6588">
      <w:pPr>
        <w:ind w:firstLine="1134"/>
        <w:jc w:val="both"/>
        <w:rPr>
          <w:kern w:val="24"/>
        </w:rPr>
      </w:pPr>
    </w:p>
    <w:p w:rsidR="003E6588" w:rsidRPr="00013231" w:rsidRDefault="003E6588">
      <w:pPr>
        <w:ind w:firstLine="1134"/>
        <w:jc w:val="both"/>
        <w:rPr>
          <w:kern w:val="24"/>
        </w:rPr>
      </w:pPr>
      <w:r w:rsidRPr="00013231">
        <w:rPr>
          <w:kern w:val="24"/>
        </w:rPr>
        <w:t>Realização de 10 Seminários “Exercícios de Cidadania” para policiais civis, nas 10 Deinter’s nos Municípios de São Paulo, Santos, Sorocaba, Presidente Prudente, Campinas, São José do Rio Preto, Ribeirão Preto, Piracicaba, Bauru, São José dos Campos;</w:t>
      </w:r>
    </w:p>
    <w:p w:rsidR="003E6588" w:rsidRPr="00013231" w:rsidRDefault="003E6588">
      <w:pPr>
        <w:ind w:firstLine="1134"/>
        <w:jc w:val="both"/>
        <w:rPr>
          <w:kern w:val="24"/>
        </w:rPr>
      </w:pPr>
    </w:p>
    <w:p w:rsidR="003E6588" w:rsidRPr="00013231" w:rsidRDefault="003E6588">
      <w:pPr>
        <w:ind w:firstLine="1134"/>
        <w:jc w:val="both"/>
        <w:rPr>
          <w:kern w:val="24"/>
        </w:rPr>
      </w:pPr>
      <w:r w:rsidRPr="00013231">
        <w:rPr>
          <w:kern w:val="24"/>
        </w:rPr>
        <w:t>Treinamento e capacitação de 1.600 servidores de 186 municípios dos Procons Municipais;</w:t>
      </w:r>
    </w:p>
    <w:p w:rsidR="003E6588" w:rsidRPr="00013231" w:rsidRDefault="003E6588">
      <w:pPr>
        <w:ind w:firstLine="1134"/>
        <w:jc w:val="both"/>
        <w:rPr>
          <w:kern w:val="24"/>
        </w:rPr>
      </w:pPr>
    </w:p>
    <w:p w:rsidR="003E6588" w:rsidRPr="00013231" w:rsidRDefault="003E6588">
      <w:pPr>
        <w:ind w:firstLine="1134"/>
        <w:jc w:val="both"/>
        <w:rPr>
          <w:kern w:val="24"/>
        </w:rPr>
      </w:pPr>
      <w:r w:rsidRPr="00013231">
        <w:rPr>
          <w:kern w:val="24"/>
        </w:rPr>
        <w:t>Instauração, de 2010 a 2014, de 143 processos e imposição de 14 condenações, relativas à discriminação por racismo, com base na Lei nº 14.187/2010.</w:t>
      </w:r>
    </w:p>
    <w:p w:rsidR="003E6588" w:rsidRPr="00013231" w:rsidRDefault="003E6588">
      <w:pPr>
        <w:ind w:firstLine="1134"/>
        <w:jc w:val="both"/>
        <w:rPr>
          <w:kern w:val="24"/>
        </w:rPr>
      </w:pPr>
    </w:p>
    <w:p w:rsidR="003E6588" w:rsidRPr="00013231" w:rsidRDefault="003E6588">
      <w:pPr>
        <w:ind w:firstLine="1134"/>
        <w:jc w:val="both"/>
        <w:rPr>
          <w:kern w:val="24"/>
        </w:rPr>
      </w:pPr>
      <w:r>
        <w:rPr>
          <w:b/>
          <w:kern w:val="24"/>
        </w:rPr>
        <w:t>Mediação de Conflitos</w:t>
      </w:r>
      <w:r w:rsidR="00013231">
        <w:rPr>
          <w:b/>
          <w:kern w:val="24"/>
        </w:rPr>
        <w:t xml:space="preserve"> - </w:t>
      </w:r>
      <w:r w:rsidR="00013231" w:rsidRPr="00013231">
        <w:rPr>
          <w:kern w:val="24"/>
        </w:rPr>
        <w:t xml:space="preserve">A </w:t>
      </w:r>
      <w:r w:rsidRPr="00013231">
        <w:rPr>
          <w:kern w:val="24"/>
        </w:rPr>
        <w:t>CPPNI organizou e participou de 16 sessões de mediação, com resultados positivos, destacando-se a mediação ocorrida com o “</w:t>
      </w:r>
      <w:r w:rsidRPr="009E5061">
        <w:rPr>
          <w:i/>
          <w:kern w:val="24"/>
        </w:rPr>
        <w:t xml:space="preserve">Blog </w:t>
      </w:r>
      <w:r w:rsidRPr="00013231">
        <w:rPr>
          <w:kern w:val="24"/>
        </w:rPr>
        <w:t>de Jornalismo Wando”, do “</w:t>
      </w:r>
      <w:r w:rsidRPr="00013231">
        <w:rPr>
          <w:i/>
          <w:kern w:val="24"/>
        </w:rPr>
        <w:t>Yahoo</w:t>
      </w:r>
      <w:r w:rsidRPr="00013231">
        <w:rPr>
          <w:kern w:val="24"/>
        </w:rPr>
        <w:t xml:space="preserve"> Brasil Notícias”, que resultou em acordo de publicação de nota de esclarecimento no </w:t>
      </w:r>
      <w:r w:rsidRPr="00013231">
        <w:rPr>
          <w:i/>
          <w:kern w:val="24"/>
        </w:rPr>
        <w:t>blog</w:t>
      </w:r>
      <w:r w:rsidRPr="00013231">
        <w:rPr>
          <w:kern w:val="24"/>
        </w:rPr>
        <w:t xml:space="preserve"> e na produção de 3.000 </w:t>
      </w:r>
      <w:r w:rsidRPr="00013231">
        <w:rPr>
          <w:i/>
          <w:kern w:val="24"/>
        </w:rPr>
        <w:t>folders</w:t>
      </w:r>
      <w:r w:rsidRPr="00013231">
        <w:rPr>
          <w:kern w:val="24"/>
        </w:rPr>
        <w:t xml:space="preserve"> contra o “racismo/tolerância religiosa”.</w:t>
      </w:r>
    </w:p>
    <w:p w:rsidR="003E6588" w:rsidRPr="00013231" w:rsidRDefault="003E6588">
      <w:pPr>
        <w:ind w:firstLine="1134"/>
        <w:jc w:val="both"/>
        <w:rPr>
          <w:kern w:val="24"/>
        </w:rPr>
      </w:pPr>
    </w:p>
    <w:p w:rsidR="003E6588" w:rsidRPr="00013231" w:rsidRDefault="003E6588">
      <w:pPr>
        <w:ind w:firstLine="1134"/>
        <w:jc w:val="both"/>
        <w:rPr>
          <w:kern w:val="24"/>
        </w:rPr>
      </w:pPr>
      <w:r w:rsidRPr="00013231">
        <w:rPr>
          <w:kern w:val="24"/>
        </w:rPr>
        <w:t>Além de ser um dos canais para recebimento de denúncias baseadas na Lei nº 14.187/2010, a CPPNI faz o acompanhamento processual nas comissões onde os processos tramitam.</w:t>
      </w:r>
    </w:p>
    <w:p w:rsidR="003E6588" w:rsidRDefault="003E6588">
      <w:pPr>
        <w:ind w:firstLine="1134"/>
        <w:jc w:val="both"/>
        <w:rPr>
          <w:kern w:val="24"/>
        </w:rPr>
      </w:pPr>
    </w:p>
    <w:p w:rsidR="003E6588" w:rsidRDefault="003E6588">
      <w:pPr>
        <w:ind w:firstLine="1134"/>
        <w:jc w:val="both"/>
        <w:rPr>
          <w:b/>
          <w:kern w:val="24"/>
        </w:rPr>
      </w:pPr>
      <w:r>
        <w:rPr>
          <w:b/>
          <w:kern w:val="24"/>
        </w:rPr>
        <w:t>Ações e Apoio Institucional</w:t>
      </w:r>
    </w:p>
    <w:p w:rsidR="003E6588" w:rsidRDefault="003E6588">
      <w:pPr>
        <w:ind w:firstLine="1134"/>
        <w:jc w:val="both"/>
        <w:rPr>
          <w:kern w:val="24"/>
        </w:rPr>
      </w:pPr>
    </w:p>
    <w:p w:rsidR="003E6588" w:rsidRDefault="003E6588">
      <w:pPr>
        <w:ind w:firstLine="1134"/>
        <w:jc w:val="both"/>
        <w:rPr>
          <w:kern w:val="24"/>
        </w:rPr>
      </w:pPr>
      <w:r>
        <w:rPr>
          <w:kern w:val="24"/>
        </w:rPr>
        <w:t xml:space="preserve">- Organização do </w:t>
      </w:r>
      <w:r w:rsidR="00013231">
        <w:rPr>
          <w:kern w:val="24"/>
        </w:rPr>
        <w:t>“</w:t>
      </w:r>
      <w:r>
        <w:rPr>
          <w:kern w:val="24"/>
        </w:rPr>
        <w:t>Curso de Extensão Cultura e História Africana e Afro-brasileira: Promovendo a Cultura Negra via Educação</w:t>
      </w:r>
      <w:r w:rsidR="00013231">
        <w:rPr>
          <w:kern w:val="24"/>
        </w:rPr>
        <w:t>”</w:t>
      </w:r>
      <w:r>
        <w:rPr>
          <w:kern w:val="24"/>
        </w:rPr>
        <w:t xml:space="preserve"> (Matão, Araraquara, Barretos, Jaboticabal, Bebedouro, Guaíra e Uberlândia/MG); </w:t>
      </w:r>
      <w:r w:rsidR="00013231">
        <w:rPr>
          <w:kern w:val="24"/>
        </w:rPr>
        <w:t>“</w:t>
      </w:r>
      <w:r>
        <w:rPr>
          <w:kern w:val="24"/>
        </w:rPr>
        <w:t>Fórum Técnico de Articulações para Criação de Organismos Institucionais</w:t>
      </w:r>
      <w:r w:rsidR="00013231">
        <w:rPr>
          <w:kern w:val="24"/>
        </w:rPr>
        <w:t>” -</w:t>
      </w:r>
      <w:r>
        <w:rPr>
          <w:kern w:val="24"/>
        </w:rPr>
        <w:t xml:space="preserve"> Piracicaba, Santos, Marília, Barretos, Mauá, São Bernardo; Ribeirão Preto; Mogi das Cruzes “O Negro na Construção do Brasil</w:t>
      </w:r>
      <w:r w:rsidR="00013231">
        <w:rPr>
          <w:kern w:val="24"/>
        </w:rPr>
        <w:t>”</w:t>
      </w:r>
      <w:r>
        <w:rPr>
          <w:kern w:val="24"/>
        </w:rPr>
        <w:t xml:space="preserve">; - Ciclo de Palestras: </w:t>
      </w:r>
      <w:r w:rsidR="00013231">
        <w:rPr>
          <w:kern w:val="24"/>
        </w:rPr>
        <w:t>“</w:t>
      </w:r>
      <w:r>
        <w:rPr>
          <w:kern w:val="24"/>
        </w:rPr>
        <w:t>Cidadania - Núcleo de Formação Profissional Quilombo André Lopes</w:t>
      </w:r>
      <w:r w:rsidR="00013231">
        <w:rPr>
          <w:kern w:val="24"/>
        </w:rPr>
        <w:t>”,</w:t>
      </w:r>
      <w:r>
        <w:rPr>
          <w:kern w:val="24"/>
        </w:rPr>
        <w:t xml:space="preserve"> com participação do Núcleo de Trafico de Pessoas - NETFP/SJDC e COED (Coordenadoria Estadual de Drogas); </w:t>
      </w:r>
      <w:r w:rsidR="00013231">
        <w:rPr>
          <w:kern w:val="24"/>
        </w:rPr>
        <w:t>“</w:t>
      </w:r>
      <w:r>
        <w:rPr>
          <w:kern w:val="24"/>
        </w:rPr>
        <w:t>II Congresso da Zona Leste: Currículo, Território e Direitos Humanos</w:t>
      </w:r>
      <w:r w:rsidR="00013231">
        <w:rPr>
          <w:kern w:val="24"/>
        </w:rPr>
        <w:t>”,</w:t>
      </w:r>
      <w:r>
        <w:rPr>
          <w:kern w:val="24"/>
        </w:rPr>
        <w:t xml:space="preserve"> Diretoria de Ensino Leste 1 com participação do COED, CPDS E PPCAM; - Lançamento do Calendário Afro Brasileiro “Memorias da Negritude”; - Seminário “Tecendo politicas para a juventude afrodescendente” - Zona Leste; - Encontro Estadual “Ser e Viver Indígena”; - Formação Continuada “Cultura Indígena” para Conselheiros(as) de Direito e Técnicos de Serviço Social e Faculdades nos </w:t>
      </w:r>
      <w:r w:rsidR="00013231">
        <w:rPr>
          <w:kern w:val="24"/>
        </w:rPr>
        <w:t xml:space="preserve">Municípios </w:t>
      </w:r>
      <w:r>
        <w:rPr>
          <w:kern w:val="24"/>
        </w:rPr>
        <w:t xml:space="preserve">de Mauá, Osasco, Registro, São Bernardo do Campo e São Paulo; - Criação do Grupo Qualidade de Vida TI Jaraguá - com participação do PPCAM e COED; - Roda de Conversa - “Mulheres Indígenas Reconhecendo seus Diretos e Promovendo a Cidadania” Aldeia Ribeirão Silveira/Aldeia Boa Vista/Aldeia Jaraguá/Aldeia Krukutu/Aldeia Tenonde-Porã e Mulheres Indígenas </w:t>
      </w:r>
      <w:r>
        <w:rPr>
          <w:kern w:val="24"/>
        </w:rPr>
        <w:lastRenderedPageBreak/>
        <w:t>Contexto Urbano - Ação diagnóstica e preparatória para os Encontros Regionais - 1. Centro Oeste (Tupã e Bauru); 2. Vale do Ribeira (Miracatu e Registro); 3. São Paulo - Baixada Santista (São Paulo e Itanhaém).</w:t>
      </w:r>
    </w:p>
    <w:p w:rsidR="003E6588" w:rsidRDefault="003E6588">
      <w:pPr>
        <w:ind w:firstLine="1134"/>
        <w:jc w:val="both"/>
        <w:rPr>
          <w:kern w:val="24"/>
        </w:rPr>
      </w:pPr>
    </w:p>
    <w:p w:rsidR="003E6588" w:rsidRPr="00013231" w:rsidRDefault="003E6588">
      <w:pPr>
        <w:ind w:firstLine="1134"/>
        <w:jc w:val="both"/>
        <w:rPr>
          <w:kern w:val="24"/>
        </w:rPr>
      </w:pPr>
      <w:r w:rsidRPr="00013231">
        <w:rPr>
          <w:b/>
          <w:kern w:val="24"/>
        </w:rPr>
        <w:t xml:space="preserve">Ações Estruturais em andamento </w:t>
      </w:r>
      <w:r w:rsidRPr="00013231">
        <w:rPr>
          <w:kern w:val="24"/>
        </w:rPr>
        <w:t xml:space="preserve">- Ampliação do SP Contra o Racismo; </w:t>
      </w:r>
      <w:r w:rsidR="00013231" w:rsidRPr="00013231">
        <w:rPr>
          <w:kern w:val="24"/>
        </w:rPr>
        <w:t>r</w:t>
      </w:r>
      <w:r w:rsidRPr="00013231">
        <w:rPr>
          <w:kern w:val="24"/>
        </w:rPr>
        <w:t xml:space="preserve">ealização de 4 “Encontros Regionais de Mulheres Indígenas”; organização e compilação das propostas da </w:t>
      </w:r>
      <w:r w:rsidR="00013231" w:rsidRPr="00013231">
        <w:rPr>
          <w:kern w:val="24"/>
        </w:rPr>
        <w:t>“</w:t>
      </w:r>
      <w:r w:rsidRPr="00013231">
        <w:rPr>
          <w:kern w:val="24"/>
        </w:rPr>
        <w:t>Conferência Estadual de Promoção da Igualdade Racial</w:t>
      </w:r>
      <w:r w:rsidR="00013231" w:rsidRPr="00013231">
        <w:rPr>
          <w:kern w:val="24"/>
        </w:rPr>
        <w:t>”</w:t>
      </w:r>
      <w:r w:rsidRPr="00013231">
        <w:rPr>
          <w:kern w:val="24"/>
        </w:rPr>
        <w:t xml:space="preserve"> para elaboração do Plano Estadual de Promoção da Igualdade Racial; Programa de Aprendizagem de Língua Portuguesa, em parceria com a Escola da Família para atendimento de Haitianos, Africanos, Bolivianos e refugiados; Campanha “São Paulo contra o Racismo”</w:t>
      </w:r>
      <w:r w:rsidR="00013231" w:rsidRPr="00013231">
        <w:rPr>
          <w:kern w:val="24"/>
        </w:rPr>
        <w:t>,</w:t>
      </w:r>
      <w:r w:rsidRPr="00013231">
        <w:rPr>
          <w:kern w:val="24"/>
        </w:rPr>
        <w:t xml:space="preserve"> com a Federação Paulista de Futebol.</w:t>
      </w:r>
    </w:p>
    <w:p w:rsidR="003E6588" w:rsidRPr="00013231" w:rsidRDefault="003E6588">
      <w:pPr>
        <w:ind w:firstLine="1134"/>
        <w:jc w:val="both"/>
      </w:pPr>
    </w:p>
    <w:p w:rsidR="003E6588" w:rsidRPr="00013231" w:rsidRDefault="003E6588">
      <w:pPr>
        <w:ind w:firstLine="1134"/>
        <w:jc w:val="both"/>
      </w:pPr>
      <w:r w:rsidRPr="00013231">
        <w:rPr>
          <w:b/>
        </w:rPr>
        <w:t xml:space="preserve">Coordenação de Políticas sobre Drogas - COED - </w:t>
      </w:r>
      <w:r w:rsidRPr="00013231">
        <w:t xml:space="preserve">A COED é integrada pela Câmara Técnica de Políticas sobre Drogas, Comissão Multidisciplinar Intersecretarial, Comissão Estadual para Assuntos Referentes a Bens Aprendidos do Tráfico de Drogas </w:t>
      </w:r>
      <w:r w:rsidR="00013231" w:rsidRPr="00013231">
        <w:t xml:space="preserve">- </w:t>
      </w:r>
      <w:r w:rsidRPr="00013231">
        <w:t xml:space="preserve">COMBAT e Observatório Paulista de Informações sobre Drogas </w:t>
      </w:r>
      <w:r w:rsidR="00013231" w:rsidRPr="00013231">
        <w:t xml:space="preserve">- </w:t>
      </w:r>
      <w:r w:rsidRPr="00013231">
        <w:t xml:space="preserve">OPID. A COED integra e participa do Programa de Enfrentamento ao </w:t>
      </w:r>
      <w:r w:rsidRPr="00013231">
        <w:rPr>
          <w:i/>
        </w:rPr>
        <w:t xml:space="preserve">Crack </w:t>
      </w:r>
      <w:r w:rsidRPr="00013231">
        <w:t>no Estado - Programa Recomeço, regulado pelo Decreto nº 59.164/2013, alterado pelo Decreto nº 59.684/2013.</w:t>
      </w:r>
    </w:p>
    <w:p w:rsidR="003E6588" w:rsidRPr="00013231" w:rsidRDefault="003E6588">
      <w:pPr>
        <w:ind w:firstLine="1134"/>
        <w:jc w:val="both"/>
      </w:pPr>
    </w:p>
    <w:p w:rsidR="003E6588" w:rsidRPr="00013231" w:rsidRDefault="003E6588">
      <w:pPr>
        <w:ind w:firstLine="1134"/>
        <w:jc w:val="both"/>
      </w:pPr>
      <w:r w:rsidRPr="00013231">
        <w:rPr>
          <w:b/>
        </w:rPr>
        <w:t xml:space="preserve">Ações de Políticas Públicas sobre Álcool e Drogas - </w:t>
      </w:r>
      <w:r w:rsidRPr="00013231">
        <w:t>A COED realizou 2 Encontros Regionais de Políticas sobre drogas nas Regiões Administrativas de Campinas (Bragança Paulista) e Araçatuba (Andradina), bem como apoiou 2 encontros temáticos: “Encontro de Conselhos Municipais sobre drogas do Estado de São Paulo” (</w:t>
      </w:r>
      <w:r w:rsidR="00013231" w:rsidRPr="00013231">
        <w:t xml:space="preserve">Município </w:t>
      </w:r>
      <w:r w:rsidRPr="00013231">
        <w:t>sede Araraquara) e “Encontro de Comunidades Terapêuticas do Estado de São Paulo” (</w:t>
      </w:r>
      <w:r w:rsidR="00013231" w:rsidRPr="00013231">
        <w:t xml:space="preserve">Município </w:t>
      </w:r>
      <w:r w:rsidRPr="00013231">
        <w:t>sede São Paulo).</w:t>
      </w:r>
    </w:p>
    <w:p w:rsidR="003E6588" w:rsidRPr="00013231" w:rsidRDefault="003E6588">
      <w:pPr>
        <w:ind w:firstLine="1134"/>
        <w:jc w:val="both"/>
      </w:pPr>
    </w:p>
    <w:p w:rsidR="003E6588" w:rsidRPr="00013231" w:rsidRDefault="003E6588">
      <w:pPr>
        <w:ind w:firstLine="1134"/>
        <w:jc w:val="both"/>
      </w:pPr>
      <w:r w:rsidRPr="00013231">
        <w:t xml:space="preserve">Foram realizadas as seguintes capacitações: 6 encontros de capacitação para agentes multiplicadores sobre “intervenção breve” para usuários de risco de drogas psicotrópicas, alcançando 68 municípios em 11 regiões administrativas do Estado; 2 na Academia de Polícia Civil de Santos e São Jose dos Campos, 3 encontros em parceria com o ITESP nos </w:t>
      </w:r>
      <w:r w:rsidR="00013231" w:rsidRPr="00013231">
        <w:t xml:space="preserve">Municípios </w:t>
      </w:r>
      <w:r w:rsidRPr="00013231">
        <w:t>de Itapeva (Assentamento Pirituba), Teodoro Sampaio (Assentamento Agua Sumida) e Salto de Pirapora (Quilombo Cafundó).</w:t>
      </w:r>
    </w:p>
    <w:p w:rsidR="003E6588" w:rsidRPr="00013231" w:rsidRDefault="003E6588">
      <w:pPr>
        <w:ind w:firstLine="1134"/>
        <w:jc w:val="both"/>
      </w:pPr>
    </w:p>
    <w:p w:rsidR="003E6588" w:rsidRPr="00013231" w:rsidRDefault="003E6588">
      <w:pPr>
        <w:ind w:firstLine="1134"/>
        <w:jc w:val="both"/>
      </w:pPr>
      <w:r w:rsidRPr="00013231">
        <w:t>Realizou várias palestras, principalmente apoiando a Rede Paulista de Politicas sobre Drogas em 11 municípios.</w:t>
      </w:r>
    </w:p>
    <w:p w:rsidR="003E6588" w:rsidRPr="00013231" w:rsidRDefault="003E6588">
      <w:pPr>
        <w:ind w:firstLine="1134"/>
        <w:jc w:val="both"/>
      </w:pPr>
    </w:p>
    <w:p w:rsidR="003E6588" w:rsidRPr="00F832DC" w:rsidRDefault="003E6588">
      <w:pPr>
        <w:ind w:firstLine="1134"/>
        <w:jc w:val="both"/>
      </w:pPr>
      <w:r w:rsidRPr="00F832DC">
        <w:t xml:space="preserve">Apoiou a formação de Coalizões Comunitárias nos </w:t>
      </w:r>
      <w:r w:rsidR="00F832DC" w:rsidRPr="00F832DC">
        <w:t xml:space="preserve">Municípios </w:t>
      </w:r>
      <w:r w:rsidRPr="00F832DC">
        <w:t>de Santos, Bragança Paulista e Caçapava, com visita a 6 comunidades terapêuticas para constatar o funcionamento e a adequação, produzindo relatórios analíticos.</w:t>
      </w:r>
    </w:p>
    <w:p w:rsidR="003E6588" w:rsidRPr="00F832DC" w:rsidRDefault="003E6588">
      <w:pPr>
        <w:ind w:firstLine="1134"/>
        <w:jc w:val="both"/>
      </w:pPr>
    </w:p>
    <w:p w:rsidR="003E6588" w:rsidRPr="00F832DC" w:rsidRDefault="003E6588">
      <w:pPr>
        <w:ind w:firstLine="1134"/>
        <w:jc w:val="both"/>
      </w:pPr>
      <w:r w:rsidRPr="00F832DC">
        <w:t xml:space="preserve">Outras participações relevantes: </w:t>
      </w:r>
      <w:r w:rsidR="00F832DC" w:rsidRPr="00F832DC">
        <w:t>“</w:t>
      </w:r>
      <w:r w:rsidRPr="00F832DC">
        <w:t>1º Seminário Internacional de Amigos de AA</w:t>
      </w:r>
      <w:r w:rsidR="00F832DC" w:rsidRPr="00F832DC">
        <w:t>”</w:t>
      </w:r>
      <w:r w:rsidRPr="00F832DC">
        <w:t xml:space="preserve">, </w:t>
      </w:r>
      <w:r w:rsidR="00F832DC" w:rsidRPr="00F832DC">
        <w:t>“</w:t>
      </w:r>
      <w:r w:rsidRPr="00F832DC">
        <w:t xml:space="preserve">II Congresso Internacional </w:t>
      </w:r>
      <w:r w:rsidRPr="00F832DC">
        <w:rPr>
          <w:i/>
        </w:rPr>
        <w:t>Freemind</w:t>
      </w:r>
      <w:r w:rsidRPr="00F832DC">
        <w:t xml:space="preserve"> 2014</w:t>
      </w:r>
      <w:r w:rsidR="00F832DC" w:rsidRPr="00F832DC">
        <w:t>”</w:t>
      </w:r>
      <w:r w:rsidRPr="00F832DC">
        <w:t xml:space="preserve">, </w:t>
      </w:r>
      <w:r w:rsidR="00F832DC" w:rsidRPr="00F832DC">
        <w:t>“</w:t>
      </w:r>
      <w:r w:rsidRPr="00F832DC">
        <w:t>XVI Feira de Saúde</w:t>
      </w:r>
      <w:r w:rsidR="00F832DC" w:rsidRPr="00F832DC">
        <w:t>”</w:t>
      </w:r>
      <w:r w:rsidRPr="00F832DC">
        <w:t xml:space="preserve">, </w:t>
      </w:r>
      <w:r w:rsidR="00F832DC" w:rsidRPr="00F832DC">
        <w:t xml:space="preserve">lançamento </w:t>
      </w:r>
      <w:r w:rsidRPr="00F832DC">
        <w:t xml:space="preserve">do documentário </w:t>
      </w:r>
      <w:r w:rsidRPr="00F832DC">
        <w:rPr>
          <w:i/>
        </w:rPr>
        <w:t>The Anonimous People</w:t>
      </w:r>
      <w:r w:rsidRPr="00F832DC">
        <w:t xml:space="preserve"> e lançamento do movimento </w:t>
      </w:r>
      <w:r w:rsidR="00F832DC" w:rsidRPr="00F832DC">
        <w:t>“</w:t>
      </w:r>
      <w:r w:rsidRPr="00F832DC">
        <w:t>Faces e Vozes da Recuperação no Brasil</w:t>
      </w:r>
      <w:r w:rsidR="00F832DC" w:rsidRPr="00F832DC">
        <w:t>”</w:t>
      </w:r>
      <w:r w:rsidRPr="00F832DC">
        <w:t>.</w:t>
      </w:r>
    </w:p>
    <w:p w:rsidR="003E6588" w:rsidRPr="00F832DC" w:rsidRDefault="003E6588">
      <w:pPr>
        <w:ind w:firstLine="1134"/>
        <w:jc w:val="both"/>
      </w:pPr>
    </w:p>
    <w:p w:rsidR="003E6588" w:rsidRDefault="003E6588">
      <w:pPr>
        <w:ind w:firstLine="1134"/>
        <w:jc w:val="both"/>
      </w:pPr>
      <w:r>
        <w:rPr>
          <w:b/>
        </w:rPr>
        <w:lastRenderedPageBreak/>
        <w:t xml:space="preserve">Conselhos Municipais de Álcool e Drogas - </w:t>
      </w:r>
      <w:r>
        <w:t xml:space="preserve">A COED apoia e estimula a criação de Conselhos Municipais de Álcool e Drogas </w:t>
      </w:r>
      <w:r w:rsidR="00096232">
        <w:t>-</w:t>
      </w:r>
      <w:r w:rsidR="00F832DC">
        <w:t xml:space="preserve"> </w:t>
      </w:r>
      <w:r>
        <w:t>COMADs</w:t>
      </w:r>
      <w:r w:rsidR="00F832DC">
        <w:t>,</w:t>
      </w:r>
      <w:r>
        <w:t xml:space="preserve"> em conjunto com o Conselho Estadual de Políticas s/Drogas </w:t>
      </w:r>
      <w:r w:rsidR="00F832DC">
        <w:t xml:space="preserve">- </w:t>
      </w:r>
      <w:r>
        <w:t>CONED.</w:t>
      </w:r>
    </w:p>
    <w:p w:rsidR="003E6588" w:rsidRDefault="003E6588">
      <w:pPr>
        <w:ind w:firstLine="1134"/>
        <w:jc w:val="both"/>
      </w:pPr>
    </w:p>
    <w:p w:rsidR="003E6588" w:rsidRPr="00F832DC" w:rsidRDefault="003E6588">
      <w:pPr>
        <w:ind w:firstLine="1134"/>
        <w:jc w:val="both"/>
      </w:pPr>
      <w:r w:rsidRPr="00F832DC">
        <w:t>Criação de novos 16 COMADs, totalizando 152 em funcionamento no Estado.</w:t>
      </w:r>
    </w:p>
    <w:p w:rsidR="003E6588" w:rsidRDefault="003E6588">
      <w:pPr>
        <w:ind w:firstLine="1134"/>
        <w:jc w:val="both"/>
      </w:pPr>
    </w:p>
    <w:p w:rsidR="003E6588" w:rsidRPr="00F832DC" w:rsidRDefault="003E6588">
      <w:pPr>
        <w:ind w:firstLine="1134"/>
        <w:jc w:val="both"/>
      </w:pPr>
      <w:r w:rsidRPr="00F832DC">
        <w:rPr>
          <w:b/>
        </w:rPr>
        <w:t>Leilão de bens apreendidos do tráfico de drogas</w:t>
      </w:r>
      <w:r w:rsidR="00F832DC" w:rsidRPr="00F832DC">
        <w:rPr>
          <w:b/>
        </w:rPr>
        <w:t xml:space="preserve"> - </w:t>
      </w:r>
      <w:r w:rsidR="00F832DC" w:rsidRPr="00F832DC">
        <w:t xml:space="preserve">Leilão </w:t>
      </w:r>
      <w:r w:rsidRPr="00F832DC">
        <w:t>de 80 lotes de bens (automóveis, motocicletas, caminhões, ônibus, reboques, joias, relógios, computadores, máquinas) em procedimento público realizado no Município de Ibaté, no qual foram arrecadados R$ 324.849,67 (já descontadas as despesas operacionais), recolhido</w:t>
      </w:r>
      <w:r w:rsidR="00F832DC" w:rsidRPr="00F832DC">
        <w:t>s ao Fundo Nacional Antidrogas -</w:t>
      </w:r>
      <w:r w:rsidRPr="00F832DC">
        <w:t xml:space="preserve"> FUNAD.</w:t>
      </w:r>
    </w:p>
    <w:p w:rsidR="003E6588" w:rsidRPr="00F832DC" w:rsidRDefault="003E6588">
      <w:pPr>
        <w:ind w:firstLine="1134"/>
        <w:jc w:val="both"/>
      </w:pPr>
    </w:p>
    <w:p w:rsidR="003E6588" w:rsidRPr="00F832DC" w:rsidRDefault="00F832DC">
      <w:pPr>
        <w:ind w:firstLine="1134"/>
        <w:jc w:val="both"/>
      </w:pPr>
      <w:r w:rsidRPr="00F832DC">
        <w:t xml:space="preserve">Leilão </w:t>
      </w:r>
      <w:r w:rsidR="003E6588" w:rsidRPr="00F832DC">
        <w:t>de 170 lotes de bens (automóveis, motocicletas, caminhões, irrecuperáveis, reboque e semi-reboque) em procedimento público realizado em Diadema, no qual foram arrecadados R$ 515.375,00, dos quais, depois de abatidas as despesas operacionais, 80% poderão custear projetos na área da redução da oferta e da demanda de drogas.</w:t>
      </w:r>
    </w:p>
    <w:p w:rsidR="003E6588" w:rsidRPr="00F832DC" w:rsidRDefault="003E6588">
      <w:pPr>
        <w:ind w:firstLine="1134"/>
        <w:jc w:val="both"/>
      </w:pPr>
    </w:p>
    <w:p w:rsidR="003E6588" w:rsidRDefault="003E6588">
      <w:pPr>
        <w:ind w:firstLine="1134"/>
        <w:jc w:val="both"/>
      </w:pPr>
      <w:r>
        <w:rPr>
          <w:b/>
        </w:rPr>
        <w:t xml:space="preserve">Plantão jurídico no CRATOD - </w:t>
      </w:r>
      <w:r>
        <w:t>A equipe da COED no CRATOD fez encaminhamentos que resultaram em 5.406 atendimentos do serviço jurídico lá instalado, sendo 1.881 da OAB, 1.561 da Defensoria Pública, 862 do Ministério Público e 1.102 do Tribunal de Justiça.</w:t>
      </w:r>
    </w:p>
    <w:p w:rsidR="003E6588" w:rsidRDefault="003E6588">
      <w:pPr>
        <w:ind w:firstLine="1134"/>
        <w:jc w:val="both"/>
      </w:pPr>
    </w:p>
    <w:p w:rsidR="003E6588" w:rsidRPr="00F832DC" w:rsidRDefault="003E6588">
      <w:pPr>
        <w:ind w:firstLine="1134"/>
        <w:jc w:val="both"/>
      </w:pPr>
      <w:r w:rsidRPr="00F832DC">
        <w:t>O CRATOD acolheu 8.558 pessoas para cuidar do abuso/dependência de substâncias psicoativas, das quais 4.652 foram internadas em leitos e clínicas especializadas, bem como acolhidas em comunidades terapêuticas para tratar de dependência química.</w:t>
      </w:r>
    </w:p>
    <w:p w:rsidR="003E6588" w:rsidRPr="00F832DC" w:rsidRDefault="003E6588">
      <w:pPr>
        <w:ind w:firstLine="1134"/>
        <w:jc w:val="both"/>
      </w:pPr>
    </w:p>
    <w:p w:rsidR="003E6588" w:rsidRPr="00F832DC" w:rsidRDefault="003E6588">
      <w:pPr>
        <w:ind w:firstLine="1134"/>
        <w:jc w:val="both"/>
      </w:pPr>
      <w:r w:rsidRPr="00F832DC">
        <w:t>Realização de 3.963 internações voluntárias, 686 internações involuntárias e 3 internações compulsórias.</w:t>
      </w:r>
    </w:p>
    <w:p w:rsidR="003E6588" w:rsidRPr="00F832DC" w:rsidRDefault="003E6588">
      <w:pPr>
        <w:ind w:firstLine="1134"/>
        <w:jc w:val="both"/>
      </w:pPr>
    </w:p>
    <w:p w:rsidR="003E6588" w:rsidRPr="00F832DC" w:rsidRDefault="003E6588">
      <w:pPr>
        <w:ind w:firstLine="1134"/>
        <w:jc w:val="both"/>
      </w:pPr>
      <w:r w:rsidRPr="00F832DC">
        <w:rPr>
          <w:b/>
        </w:rPr>
        <w:t xml:space="preserve">Programa Recomeço - </w:t>
      </w:r>
      <w:r w:rsidRPr="00F832DC">
        <w:t>A COED compõe o Grupo Gestor do Programa Recomeço, o qual realizou 15 reuniões ordinárias. A COED recebeu 29 requerimentos para credenciar no Programa Recomeço, oriundos de comunidades terapêuticas, moradias assistidas, casa de passagem e repúblicas instaladas em diversos municípios do Estado. Foram credenciadas 24 entidades, indeferido o credenciamento de 6 e continua</w:t>
      </w:r>
      <w:r w:rsidR="00F832DC" w:rsidRPr="00F832DC">
        <w:t>m</w:t>
      </w:r>
      <w:r w:rsidRPr="00F832DC">
        <w:t xml:space="preserve"> sob análise 28  requerimentos.</w:t>
      </w:r>
    </w:p>
    <w:p w:rsidR="003E6588" w:rsidRPr="00F832DC" w:rsidRDefault="003E6588">
      <w:pPr>
        <w:ind w:firstLine="1134"/>
        <w:jc w:val="both"/>
      </w:pPr>
    </w:p>
    <w:p w:rsidR="003E6588" w:rsidRPr="00F832DC" w:rsidRDefault="003E6588">
      <w:pPr>
        <w:ind w:firstLine="1134"/>
        <w:jc w:val="both"/>
      </w:pPr>
      <w:r w:rsidRPr="00F832DC">
        <w:t xml:space="preserve">A SJDC renovou o convênio com 41 comunidades terapêuticas, que oferecem 983 vagas para dependentes químicos em recuperação, com previsão </w:t>
      </w:r>
      <w:r w:rsidR="00F832DC" w:rsidRPr="00F832DC">
        <w:t>do empenho de R$ 16.572.819,48.</w:t>
      </w:r>
    </w:p>
    <w:p w:rsidR="003E6588" w:rsidRPr="00F832DC" w:rsidRDefault="003E6588">
      <w:pPr>
        <w:ind w:firstLine="1134"/>
        <w:jc w:val="both"/>
      </w:pPr>
    </w:p>
    <w:p w:rsidR="003E6588" w:rsidRPr="00F832DC" w:rsidRDefault="003E6588">
      <w:pPr>
        <w:ind w:firstLine="1134"/>
        <w:jc w:val="both"/>
      </w:pPr>
      <w:r w:rsidRPr="00F832DC">
        <w:t xml:space="preserve">A SJDC participa do Selo Parceiros do Recomeço, criado pelo Decreto nº 60.455/2014, que poderá ser conferido a organizações públicas, privadas e da sociedade civil que desenvolvam programas, projetos e ações de promoção da prevenção, tratamento, reinserção social ou laboral, acesso à justiça e cidadania e de redução de situações de vulnerabilidade social e de saúde, aos usuários de substâncias psicoativas, especialmente o </w:t>
      </w:r>
      <w:r w:rsidRPr="00F832DC">
        <w:rPr>
          <w:i/>
        </w:rPr>
        <w:t>crack</w:t>
      </w:r>
      <w:r w:rsidRPr="00F832DC">
        <w:t>, e seus familiares, em seus ambientes e áreas de atuação.</w:t>
      </w:r>
    </w:p>
    <w:p w:rsidR="003E6588" w:rsidRPr="00F832DC" w:rsidRDefault="003E6588">
      <w:pPr>
        <w:tabs>
          <w:tab w:val="left" w:pos="4215"/>
        </w:tabs>
        <w:ind w:firstLine="1134"/>
        <w:jc w:val="both"/>
      </w:pPr>
    </w:p>
    <w:p w:rsidR="003E6588" w:rsidRPr="00F832DC" w:rsidRDefault="003E6588">
      <w:pPr>
        <w:ind w:firstLine="1134"/>
        <w:jc w:val="both"/>
      </w:pPr>
      <w:r w:rsidRPr="00F832DC">
        <w:lastRenderedPageBreak/>
        <w:t>Por meio de articulações entre a SJDC e a Secretaria do Emprego e Relações do Trabalho, o Programa Especial de Auxílio ao Desemprego - Frente de Trabalho, disponibilizou pela primeira vez vagas e qualificação profissional para dependentes químicos. O contrato tem duração de nove meses e oferece ajuda de custo mensal de R$ 395,00 (incluindo auxílio transporte e alimentação). Inicialmente foram disponibilizadas 40 vagas pela Frente de Trabalho, para auxiliar de serviços gerais e administrativos no prédio da Secretaria da Justiça e de serviços de jardinagem e apoio no CRATOD.</w:t>
      </w:r>
    </w:p>
    <w:p w:rsidR="003E6588" w:rsidRPr="00F832DC" w:rsidRDefault="003E6588">
      <w:pPr>
        <w:ind w:firstLine="1134"/>
        <w:jc w:val="both"/>
      </w:pPr>
    </w:p>
    <w:p w:rsidR="003E6588" w:rsidRPr="00F832DC" w:rsidRDefault="003E6588">
      <w:pPr>
        <w:ind w:firstLine="1134"/>
        <w:jc w:val="both"/>
      </w:pPr>
      <w:r w:rsidRPr="00F832DC">
        <w:t>Para auxiliar familiares de dependentes químicos, foi implantado o serviço Recomeço Família nos Centros de Integração da Cidadania - CIC, programa da SJ</w:t>
      </w:r>
      <w:r w:rsidR="00783C9F">
        <w:t>DC</w:t>
      </w:r>
      <w:r w:rsidRPr="00F832DC">
        <w:t xml:space="preserve"> em parceria com a Secretaria da Saúde, que mantém 12 unidades localizadas em regiões carentes da cidade de São Paulo, região metropolitana e interior, e no CRATOD. O Recomeço Família nos CICs oferece atendimento de psicólogos, conselheiros e apoio do grupo de mútua ajuda Amor Exigente às famílias de dependentes. Conforme dados da SS, foram realizados 431 grupos/palestras, 3.449 atendimentos individuais e 17.250 pessoas sensibilizadas.</w:t>
      </w:r>
    </w:p>
    <w:p w:rsidR="003E6588" w:rsidRPr="00F832DC" w:rsidRDefault="003E6588">
      <w:pPr>
        <w:ind w:firstLine="1134"/>
        <w:jc w:val="both"/>
      </w:pPr>
    </w:p>
    <w:p w:rsidR="003E6588" w:rsidRDefault="003E6588">
      <w:pPr>
        <w:ind w:firstLine="1134"/>
        <w:jc w:val="both"/>
        <w:rPr>
          <w:b/>
        </w:rPr>
      </w:pPr>
      <w:r>
        <w:rPr>
          <w:b/>
        </w:rPr>
        <w:t>Núcleo de Enfrentamento ao Tráfico de Pessoas - NETP</w:t>
      </w:r>
    </w:p>
    <w:p w:rsidR="003E6588" w:rsidRDefault="003E6588">
      <w:pPr>
        <w:ind w:firstLine="1134"/>
        <w:jc w:val="both"/>
        <w:rPr>
          <w:b/>
          <w:u w:val="single"/>
        </w:rPr>
      </w:pPr>
    </w:p>
    <w:p w:rsidR="003E6588" w:rsidRDefault="003E6588">
      <w:pPr>
        <w:ind w:firstLine="1134"/>
        <w:jc w:val="both"/>
        <w:rPr>
          <w:b/>
        </w:rPr>
      </w:pPr>
      <w:r>
        <w:rPr>
          <w:b/>
        </w:rPr>
        <w:t>Reuniões dos colegiados coordenados pelo NETP</w:t>
      </w:r>
    </w:p>
    <w:p w:rsidR="003E6588" w:rsidRDefault="003E6588">
      <w:pPr>
        <w:ind w:firstLine="1134"/>
        <w:jc w:val="both"/>
      </w:pPr>
    </w:p>
    <w:p w:rsidR="003E6588" w:rsidRPr="00F832DC" w:rsidRDefault="003E6588">
      <w:pPr>
        <w:ind w:firstLine="1134"/>
        <w:jc w:val="both"/>
      </w:pPr>
      <w:r w:rsidRPr="00F832DC">
        <w:t xml:space="preserve">Realizou seis reuniões ordinárias do Comitê Estadual de Enfrentamento ao Tráfico de Pessoas, com participação de representantes do </w:t>
      </w:r>
      <w:r w:rsidR="00F832DC" w:rsidRPr="00F832DC">
        <w:t xml:space="preserve">Poder Público </w:t>
      </w:r>
      <w:r w:rsidRPr="00F832DC">
        <w:t>e da sociedade civil.</w:t>
      </w:r>
    </w:p>
    <w:p w:rsidR="003E6588" w:rsidRPr="00F832DC" w:rsidRDefault="003E6588">
      <w:pPr>
        <w:ind w:firstLine="1134"/>
        <w:jc w:val="both"/>
      </w:pPr>
    </w:p>
    <w:p w:rsidR="003E6588" w:rsidRPr="00F832DC" w:rsidRDefault="003E6588">
      <w:pPr>
        <w:ind w:firstLine="1134"/>
        <w:jc w:val="both"/>
      </w:pPr>
      <w:r w:rsidRPr="00F832DC">
        <w:t xml:space="preserve">Realizou seis reuniões ordinárias da Comissão Estadual para a Erradicação do Trabalho Escravo, com participação de representantes do </w:t>
      </w:r>
      <w:r w:rsidR="00F832DC" w:rsidRPr="00F832DC">
        <w:t xml:space="preserve">Poder Público </w:t>
      </w:r>
      <w:r w:rsidRPr="00F832DC">
        <w:t>e da sociedade civil.</w:t>
      </w:r>
    </w:p>
    <w:p w:rsidR="003E6588" w:rsidRPr="00F832DC" w:rsidRDefault="003E6588">
      <w:pPr>
        <w:ind w:firstLine="1134"/>
        <w:jc w:val="both"/>
      </w:pPr>
    </w:p>
    <w:p w:rsidR="003E6588" w:rsidRPr="00F832DC" w:rsidRDefault="003E6588">
      <w:pPr>
        <w:ind w:firstLine="1134"/>
        <w:jc w:val="both"/>
      </w:pPr>
      <w:r w:rsidRPr="00F832DC">
        <w:t xml:space="preserve">Realizou seis reuniões ordinárias do Comitê para Refugiados, com participação de representantes do </w:t>
      </w:r>
      <w:r w:rsidR="00F832DC" w:rsidRPr="00F832DC">
        <w:t xml:space="preserve">Poder Público </w:t>
      </w:r>
      <w:r w:rsidRPr="00F832DC">
        <w:t>e da sociedade civil.</w:t>
      </w:r>
    </w:p>
    <w:p w:rsidR="003E6588" w:rsidRPr="00F832DC" w:rsidRDefault="003E6588">
      <w:pPr>
        <w:ind w:firstLine="1134"/>
        <w:jc w:val="both"/>
      </w:pPr>
    </w:p>
    <w:p w:rsidR="003E6588" w:rsidRPr="00F832DC" w:rsidRDefault="003E6588">
      <w:pPr>
        <w:ind w:firstLine="1134"/>
        <w:jc w:val="both"/>
      </w:pPr>
      <w:r w:rsidRPr="00F832DC">
        <w:t xml:space="preserve">Realizou quatro rodadas de reuniões em cada região administrativa onde estão situados os 15 Comitês Regionais de Enfretamento ao Tráfico de Pessoas, com participação de representantes do </w:t>
      </w:r>
      <w:r w:rsidR="00F832DC" w:rsidRPr="00F832DC">
        <w:t xml:space="preserve">Poder Público </w:t>
      </w:r>
      <w:r w:rsidRPr="00F832DC">
        <w:t>e da sociedade civil.</w:t>
      </w:r>
    </w:p>
    <w:p w:rsidR="003E6588" w:rsidRPr="00F832DC" w:rsidRDefault="003E6588">
      <w:pPr>
        <w:ind w:firstLine="1134"/>
        <w:jc w:val="both"/>
      </w:pPr>
    </w:p>
    <w:p w:rsidR="003E6588" w:rsidRPr="00F832DC" w:rsidRDefault="003E6588">
      <w:pPr>
        <w:ind w:firstLine="1134"/>
        <w:jc w:val="both"/>
      </w:pPr>
      <w:r w:rsidRPr="00F832DC">
        <w:rPr>
          <w:b/>
        </w:rPr>
        <w:t xml:space="preserve">Casos acompanhados pelo NETP - </w:t>
      </w:r>
      <w:r w:rsidRPr="00F832DC">
        <w:t xml:space="preserve">Acompanhou 290 casos que envolveram 1.103 vítimas do tráfico de pessoas e trabalho escravo. </w:t>
      </w:r>
    </w:p>
    <w:p w:rsidR="003E6588" w:rsidRPr="00F832DC" w:rsidRDefault="003E6588">
      <w:pPr>
        <w:ind w:firstLine="1134"/>
        <w:jc w:val="both"/>
      </w:pPr>
    </w:p>
    <w:p w:rsidR="003E6588" w:rsidRPr="00F832DC" w:rsidRDefault="003E6588">
      <w:pPr>
        <w:ind w:firstLine="1134"/>
        <w:jc w:val="both"/>
      </w:pPr>
      <w:r w:rsidRPr="00F832DC">
        <w:rPr>
          <w:b/>
        </w:rPr>
        <w:t xml:space="preserve">Equipamentos públicos instaurados em parceria com o NETP - </w:t>
      </w:r>
      <w:r w:rsidRPr="00F832DC">
        <w:t>Em parceria com a Secretaria de Desenvolvimento Social, elaborou o projeto da 1ª Casa de Passagem para Refugiados e Vítimas do Tráfico de Pessoas</w:t>
      </w:r>
      <w:r w:rsidR="00F832DC" w:rsidRPr="00F832DC">
        <w:t>, inaugurada</w:t>
      </w:r>
      <w:r w:rsidRPr="00F832DC">
        <w:t>.</w:t>
      </w:r>
    </w:p>
    <w:p w:rsidR="003E6588" w:rsidRPr="00F832DC" w:rsidRDefault="003E6588">
      <w:pPr>
        <w:ind w:firstLine="1134"/>
        <w:jc w:val="both"/>
      </w:pPr>
    </w:p>
    <w:p w:rsidR="003E6588" w:rsidRPr="00F832DC" w:rsidRDefault="003E6588">
      <w:pPr>
        <w:ind w:firstLine="1134"/>
        <w:jc w:val="both"/>
      </w:pPr>
      <w:r w:rsidRPr="00F832DC">
        <w:t xml:space="preserve">Elaborou o projeto e buscou parcerias com o setor privado para a construção do 1º Centro de Integração da Cidadania </w:t>
      </w:r>
      <w:r w:rsidR="00F832DC">
        <w:t>-</w:t>
      </w:r>
      <w:r w:rsidRPr="00F832DC">
        <w:t xml:space="preserve"> CIC</w:t>
      </w:r>
      <w:r w:rsidR="00F832DC" w:rsidRPr="00F832DC">
        <w:t>,</w:t>
      </w:r>
      <w:r w:rsidRPr="00F832DC">
        <w:t xml:space="preserve"> voltado para o atendimento de Imigrantes</w:t>
      </w:r>
      <w:r w:rsidR="00F832DC" w:rsidRPr="00F832DC">
        <w:t>, inaugurado</w:t>
      </w:r>
      <w:r w:rsidRPr="00F832DC">
        <w:t>.</w:t>
      </w:r>
    </w:p>
    <w:p w:rsidR="003E6588" w:rsidRPr="00F832DC" w:rsidRDefault="003E6588">
      <w:pPr>
        <w:ind w:firstLine="1134"/>
        <w:jc w:val="both"/>
      </w:pPr>
    </w:p>
    <w:p w:rsidR="003E6588" w:rsidRPr="00F832DC" w:rsidRDefault="003E6588">
      <w:pPr>
        <w:ind w:firstLine="1134"/>
        <w:jc w:val="both"/>
      </w:pPr>
      <w:r w:rsidRPr="00F832DC">
        <w:rPr>
          <w:b/>
        </w:rPr>
        <w:lastRenderedPageBreak/>
        <w:t xml:space="preserve">Pesquisa desenvolvida - </w:t>
      </w:r>
      <w:r w:rsidRPr="00F832DC">
        <w:t xml:space="preserve">Coordenou a pesquisa “Tráfico de Pessoas e Trabalho Escravo no Estado de São Paulo: análise dos procedimentos judiciais e extrajudiciais do MPT e MPF. São Paulo, ISBN: 978.85.68471.029”, desenvolvida em parceria com a Secretaria de Gestão Pública. </w:t>
      </w:r>
    </w:p>
    <w:p w:rsidR="003E6588" w:rsidRPr="00F832DC" w:rsidRDefault="003E6588">
      <w:pPr>
        <w:ind w:firstLine="1134"/>
        <w:jc w:val="both"/>
      </w:pPr>
    </w:p>
    <w:p w:rsidR="003E6588" w:rsidRDefault="003E6588">
      <w:pPr>
        <w:ind w:firstLine="1134"/>
        <w:jc w:val="both"/>
        <w:rPr>
          <w:b/>
        </w:rPr>
      </w:pPr>
      <w:r>
        <w:rPr>
          <w:b/>
        </w:rPr>
        <w:t>Planos Estaduais elaborados</w:t>
      </w:r>
    </w:p>
    <w:p w:rsidR="003E6588" w:rsidRDefault="003E6588">
      <w:pPr>
        <w:ind w:firstLine="1134"/>
        <w:jc w:val="both"/>
      </w:pPr>
    </w:p>
    <w:p w:rsidR="003E6588" w:rsidRDefault="003E6588">
      <w:pPr>
        <w:ind w:firstLine="1134"/>
        <w:jc w:val="both"/>
      </w:pPr>
      <w:r>
        <w:t>Coordenou a elaboração do Plano Estadual para a Erradicação do Trabalho Escravo</w:t>
      </w:r>
      <w:r w:rsidR="00F832DC">
        <w:t>,</w:t>
      </w:r>
      <w:r>
        <w:t xml:space="preserve"> juntamente com a Comissão Estadual para a Erradicação do Trabalho Escravo - COETRAE;</w:t>
      </w:r>
    </w:p>
    <w:p w:rsidR="003E6588" w:rsidRDefault="003E6588">
      <w:pPr>
        <w:ind w:firstLine="1134"/>
        <w:jc w:val="both"/>
      </w:pPr>
    </w:p>
    <w:p w:rsidR="003E6588" w:rsidRDefault="003E6588">
      <w:pPr>
        <w:ind w:firstLine="1134"/>
        <w:jc w:val="both"/>
      </w:pPr>
      <w:r>
        <w:t>Coordenou a elaboração do Plano Estadual de Enfrentamento ao Tráfico de Pessoas</w:t>
      </w:r>
      <w:r w:rsidR="00F832DC">
        <w:t>,</w:t>
      </w:r>
      <w:r>
        <w:t xml:space="preserve"> juntamente com o Comitê Estadual para o Enfrentamento ao Tráfico de Pessoas.</w:t>
      </w:r>
    </w:p>
    <w:p w:rsidR="003E6588" w:rsidRDefault="003E6588">
      <w:pPr>
        <w:ind w:firstLine="1134"/>
        <w:jc w:val="both"/>
      </w:pPr>
    </w:p>
    <w:p w:rsidR="00F832DC" w:rsidRDefault="003E6588">
      <w:pPr>
        <w:ind w:firstLine="1134"/>
        <w:jc w:val="both"/>
        <w:rPr>
          <w:b/>
        </w:rPr>
      </w:pPr>
      <w:r>
        <w:rPr>
          <w:b/>
        </w:rPr>
        <w:t>Palestras/Capacitações</w:t>
      </w:r>
    </w:p>
    <w:p w:rsidR="00F832DC" w:rsidRDefault="00F832DC">
      <w:pPr>
        <w:ind w:firstLine="1134"/>
        <w:jc w:val="both"/>
        <w:rPr>
          <w:b/>
        </w:rPr>
      </w:pPr>
    </w:p>
    <w:p w:rsidR="003E6588" w:rsidRPr="00F832DC" w:rsidRDefault="003E6588">
      <w:pPr>
        <w:ind w:firstLine="1134"/>
        <w:jc w:val="both"/>
      </w:pPr>
      <w:r w:rsidRPr="00F832DC">
        <w:t>Capacitação - Agentes da ACADEPOL</w:t>
      </w:r>
    </w:p>
    <w:p w:rsidR="003E6588" w:rsidRPr="00F832DC" w:rsidRDefault="003E6588">
      <w:pPr>
        <w:ind w:firstLine="1134"/>
        <w:jc w:val="both"/>
      </w:pPr>
    </w:p>
    <w:p w:rsidR="003E6588" w:rsidRPr="00F832DC" w:rsidRDefault="003E6588">
      <w:pPr>
        <w:ind w:firstLine="1134"/>
        <w:jc w:val="both"/>
      </w:pPr>
      <w:r w:rsidRPr="00F832DC">
        <w:t>Palestras - Seminário Direitos Humanos e Empresas - Desafios e Oportunidades- FVG; Seminário Tráfico de Pessoas em pauta- Faculdades Integradas de Guarulhos - FIG-UNIMESP; Palestr</w:t>
      </w:r>
      <w:r w:rsidR="00F832DC" w:rsidRPr="00F832DC">
        <w:t>a</w:t>
      </w:r>
      <w:r w:rsidRPr="00F832DC">
        <w:t xml:space="preserve"> no Seminário Latinoamericano - Mulher Imigrante - Centro de Apoio e Pastoral do Migrante- CAMI</w:t>
      </w:r>
    </w:p>
    <w:p w:rsidR="003E6588" w:rsidRPr="00F832DC" w:rsidRDefault="003E6588">
      <w:pPr>
        <w:ind w:firstLine="1134"/>
        <w:jc w:val="both"/>
      </w:pPr>
    </w:p>
    <w:p w:rsidR="003E6588" w:rsidRPr="00F832DC" w:rsidRDefault="003E6588">
      <w:pPr>
        <w:ind w:firstLine="1134"/>
        <w:jc w:val="both"/>
      </w:pPr>
      <w:r w:rsidRPr="00F832DC">
        <w:t>Participação - Debate: Tráfico de Pessoas e Trabalho Escravo - Ministério Público do Trabalho; II Mostra de Ação Comunitária “Responsabilidade Social com o Ser Humano: Qual o valor da pessoa?”- Centro Universitário Salesiano de São Paulo; Debate: O Papel do Estado no Processo de Imigração"- Câmara de Vereadores do Estado de São Paulo.</w:t>
      </w:r>
    </w:p>
    <w:p w:rsidR="003E6588" w:rsidRPr="00F832DC" w:rsidRDefault="003E6588">
      <w:pPr>
        <w:ind w:firstLine="1134"/>
        <w:jc w:val="both"/>
      </w:pPr>
    </w:p>
    <w:p w:rsidR="003E6588" w:rsidRDefault="003E6588">
      <w:pPr>
        <w:ind w:firstLine="1134"/>
        <w:jc w:val="both"/>
      </w:pPr>
      <w:r>
        <w:rPr>
          <w:b/>
        </w:rPr>
        <w:t xml:space="preserve">Seminários realizados </w:t>
      </w:r>
      <w:r w:rsidRPr="00F832DC">
        <w:rPr>
          <w:b/>
        </w:rPr>
        <w:t>pelo NETP</w:t>
      </w:r>
      <w:r w:rsidR="00F832DC" w:rsidRPr="00F832DC">
        <w:rPr>
          <w:b/>
        </w:rPr>
        <w:t xml:space="preserve"> - </w:t>
      </w:r>
      <w:r w:rsidRPr="00F832DC">
        <w:t>Realizou o Seminário Cooperação Internacional Contra Crimes Transnacionais;</w:t>
      </w:r>
      <w:r w:rsidR="00F832DC" w:rsidRPr="00F832DC">
        <w:t xml:space="preserve"> r</w:t>
      </w:r>
      <w:r w:rsidRPr="00F832DC">
        <w:t xml:space="preserve">ealizou a “Roda de Conversa” sobre garantias de direitos dos migrantes no </w:t>
      </w:r>
      <w:r w:rsidR="00F832DC" w:rsidRPr="00F832DC">
        <w:t xml:space="preserve">Aeroporto Internacional </w:t>
      </w:r>
      <w:r w:rsidRPr="00F832DC">
        <w:t>de Guarulhos.</w:t>
      </w:r>
    </w:p>
    <w:p w:rsidR="003E6588" w:rsidRDefault="003E6588">
      <w:pPr>
        <w:ind w:firstLine="1134"/>
        <w:jc w:val="both"/>
      </w:pPr>
    </w:p>
    <w:p w:rsidR="003E6588" w:rsidRDefault="003E6588">
      <w:pPr>
        <w:ind w:firstLine="1134"/>
        <w:jc w:val="both"/>
      </w:pPr>
      <w:r w:rsidRPr="00F832DC">
        <w:rPr>
          <w:b/>
        </w:rPr>
        <w:t xml:space="preserve">Atividades Nacionais de Grande Relevância - </w:t>
      </w:r>
      <w:r w:rsidRPr="00F832DC">
        <w:t>Prestou apoio técnico à Campanha da Fraternidade de 2014: “É para a liberdade que Cristo nos Libertou. Fraternidade e Tráfico de Pessoas”; Representou o Estado e a Rede Nacional de Núcleos de Enfrentamento ao Tráfico de Pessoas em 4 Reuniões do Comitê Nacional de Enfrentamento ao Tráfico de Pessoas; apoiou a 1ª Conferência Nacional de Migrações e Refúgio</w:t>
      </w:r>
      <w:r w:rsidR="00F832DC" w:rsidRPr="00F832DC">
        <w:t>,</w:t>
      </w:r>
      <w:r w:rsidRPr="00F832DC">
        <w:t xml:space="preserve"> ocorrida em São Paulo; contribuiu com a CPI do Tráfico de Pessoas da Câmara</w:t>
      </w:r>
      <w:r w:rsidR="00F832DC" w:rsidRPr="00F832DC">
        <w:t>,</w:t>
      </w:r>
      <w:r w:rsidRPr="00F832DC">
        <w:t xml:space="preserve"> em Brasília; representou o Estado e a Rede Nacional de Núcleos de Enfrentamento ao Tráfico de Pessoas no </w:t>
      </w:r>
      <w:r w:rsidR="00F832DC" w:rsidRPr="00F832DC">
        <w:t>“</w:t>
      </w:r>
      <w:r w:rsidRPr="00F832DC">
        <w:t>Encontro de Autoridades Nacionais sobre Enfrentamento ao Tráfico de Pessoas OEA</w:t>
      </w:r>
      <w:r w:rsidR="00F832DC" w:rsidRPr="00F832DC">
        <w:t>”</w:t>
      </w:r>
      <w:r w:rsidRPr="00F832DC">
        <w:t>; representou o Estado no encontro</w:t>
      </w:r>
      <w:r>
        <w:t xml:space="preserve"> </w:t>
      </w:r>
      <w:r w:rsidR="00F832DC">
        <w:t>“</w:t>
      </w:r>
      <w:r>
        <w:t>Cartagena + 30</w:t>
      </w:r>
      <w:r w:rsidR="00F832DC">
        <w:t>”</w:t>
      </w:r>
      <w:r>
        <w:t xml:space="preserve"> sobre Refugiados.</w:t>
      </w:r>
    </w:p>
    <w:p w:rsidR="003E6588" w:rsidRDefault="003E6588">
      <w:pPr>
        <w:ind w:firstLine="1134"/>
        <w:jc w:val="both"/>
      </w:pPr>
    </w:p>
    <w:p w:rsidR="003E6588" w:rsidRDefault="003E6588">
      <w:pPr>
        <w:ind w:firstLine="1134"/>
        <w:jc w:val="both"/>
        <w:rPr>
          <w:b/>
        </w:rPr>
      </w:pPr>
      <w:r>
        <w:rPr>
          <w:b/>
        </w:rPr>
        <w:t>Programa de Proteção a Vítimas e Testemunhas - PROVITA</w:t>
      </w:r>
    </w:p>
    <w:p w:rsidR="003E6588" w:rsidRDefault="003E6588">
      <w:pPr>
        <w:ind w:firstLine="1134"/>
        <w:jc w:val="both"/>
      </w:pPr>
    </w:p>
    <w:p w:rsidR="003E6588" w:rsidRPr="00F832DC" w:rsidRDefault="003E6588">
      <w:pPr>
        <w:ind w:firstLine="1134"/>
        <w:jc w:val="both"/>
        <w:rPr>
          <w:b/>
        </w:rPr>
      </w:pPr>
      <w:r w:rsidRPr="00F832DC">
        <w:rPr>
          <w:b/>
        </w:rPr>
        <w:t>Atendimentos</w:t>
      </w:r>
    </w:p>
    <w:p w:rsidR="003E6588" w:rsidRDefault="003E6588">
      <w:pPr>
        <w:ind w:firstLine="1134"/>
        <w:jc w:val="both"/>
      </w:pPr>
    </w:p>
    <w:p w:rsidR="003E6588" w:rsidRPr="00F832DC" w:rsidRDefault="003E6588">
      <w:pPr>
        <w:ind w:firstLine="1134"/>
        <w:jc w:val="both"/>
      </w:pPr>
      <w:r w:rsidRPr="00F832DC">
        <w:lastRenderedPageBreak/>
        <w:t>Pessoas atendidas - 156</w:t>
      </w:r>
    </w:p>
    <w:p w:rsidR="00F832DC" w:rsidRPr="00F832DC" w:rsidRDefault="00F832DC">
      <w:pPr>
        <w:ind w:firstLine="1134"/>
        <w:jc w:val="both"/>
      </w:pPr>
    </w:p>
    <w:p w:rsidR="003E6588" w:rsidRPr="00F832DC" w:rsidRDefault="003E6588">
      <w:pPr>
        <w:ind w:firstLine="1134"/>
        <w:jc w:val="both"/>
      </w:pPr>
      <w:r w:rsidRPr="00F832DC">
        <w:t>Casos Atendidos - 61</w:t>
      </w:r>
    </w:p>
    <w:p w:rsidR="00F832DC" w:rsidRPr="00F832DC" w:rsidRDefault="00F832DC">
      <w:pPr>
        <w:ind w:firstLine="1134"/>
        <w:jc w:val="both"/>
      </w:pPr>
    </w:p>
    <w:p w:rsidR="003E6588" w:rsidRPr="00F832DC" w:rsidRDefault="003E6588">
      <w:pPr>
        <w:ind w:firstLine="1134"/>
        <w:jc w:val="both"/>
      </w:pPr>
      <w:r w:rsidRPr="00F832DC">
        <w:t>Valor empenhado - R$ 4.663.043,34</w:t>
      </w:r>
    </w:p>
    <w:p w:rsidR="003E6588" w:rsidRPr="00F832DC" w:rsidRDefault="003E6588">
      <w:pPr>
        <w:ind w:firstLine="1134"/>
        <w:jc w:val="both"/>
        <w:rPr>
          <w:bCs/>
        </w:rPr>
      </w:pPr>
    </w:p>
    <w:p w:rsidR="003E6588" w:rsidRPr="00F832DC" w:rsidRDefault="003E6588">
      <w:pPr>
        <w:ind w:firstLine="1134"/>
        <w:jc w:val="both"/>
        <w:rPr>
          <w:b/>
        </w:rPr>
      </w:pPr>
      <w:r w:rsidRPr="00F832DC">
        <w:rPr>
          <w:b/>
        </w:rPr>
        <w:t>Projetos e ações</w:t>
      </w:r>
    </w:p>
    <w:p w:rsidR="003E6588" w:rsidRPr="00F832DC" w:rsidRDefault="003E6588">
      <w:pPr>
        <w:ind w:firstLine="1134"/>
        <w:jc w:val="both"/>
      </w:pPr>
    </w:p>
    <w:p w:rsidR="003E6588" w:rsidRDefault="003E6588">
      <w:pPr>
        <w:ind w:firstLine="1134"/>
        <w:jc w:val="both"/>
        <w:rPr>
          <w:b/>
        </w:rPr>
      </w:pPr>
      <w:r>
        <w:rPr>
          <w:b/>
        </w:rPr>
        <w:t>Quanto à proteção</w:t>
      </w:r>
    </w:p>
    <w:p w:rsidR="003E6588" w:rsidRDefault="003E6588">
      <w:pPr>
        <w:ind w:firstLine="1134"/>
        <w:jc w:val="both"/>
      </w:pPr>
    </w:p>
    <w:p w:rsidR="003E6588" w:rsidRDefault="003E6588">
      <w:pPr>
        <w:ind w:firstLine="1134"/>
        <w:jc w:val="both"/>
      </w:pPr>
      <w:r>
        <w:t>Projeto Protocolo de Segurança - Reavaliação para melhoria contínua dos protocolos de segurança institucionalizados, de forma a aprimorar a proteção aos usuários do programa e seus familiares;</w:t>
      </w:r>
    </w:p>
    <w:p w:rsidR="003E6588" w:rsidRDefault="003E6588">
      <w:pPr>
        <w:ind w:firstLine="1134"/>
        <w:jc w:val="both"/>
      </w:pPr>
    </w:p>
    <w:p w:rsidR="003E6588" w:rsidRDefault="003E6588">
      <w:pPr>
        <w:ind w:firstLine="1134"/>
        <w:jc w:val="both"/>
      </w:pPr>
      <w:r>
        <w:t>Projeto Indicadores - Qualificação da coleta e leitura de indicadores do programa, em especial para compreensão da etiologia das ameaças e da reinserção social sustentável e da efetiva colheita de provas, buscando constante aprimoramento das ações do Programa;</w:t>
      </w:r>
    </w:p>
    <w:p w:rsidR="003E6588" w:rsidRDefault="003E6588">
      <w:pPr>
        <w:ind w:firstLine="1134"/>
        <w:jc w:val="both"/>
      </w:pPr>
    </w:p>
    <w:p w:rsidR="003E6588" w:rsidRDefault="003E6588">
      <w:pPr>
        <w:ind w:firstLine="1134"/>
        <w:jc w:val="both"/>
      </w:pPr>
      <w:r>
        <w:t>Projeto “Casinha” - Implantação de equipamento para acolhimento provisório e urgente de vítimas e testemunhas em situações de proteção emergencial;</w:t>
      </w:r>
    </w:p>
    <w:p w:rsidR="003E6588" w:rsidRDefault="003E6588">
      <w:pPr>
        <w:ind w:firstLine="1134"/>
        <w:jc w:val="both"/>
      </w:pPr>
    </w:p>
    <w:p w:rsidR="003E6588" w:rsidRDefault="003E6588">
      <w:pPr>
        <w:ind w:firstLine="1134"/>
        <w:jc w:val="both"/>
      </w:pPr>
      <w:r>
        <w:t>Projeto para Alteração de Nomes de Protegidos e Familiares - Construção de protocolo de atuação institucionalizado para troca de nome de testemunhas, vítimas, e familiares, de forma a propiciar reinserção social mais segura;</w:t>
      </w:r>
    </w:p>
    <w:p w:rsidR="003E6588" w:rsidRDefault="003E6588">
      <w:pPr>
        <w:ind w:firstLine="1134"/>
        <w:jc w:val="both"/>
      </w:pPr>
    </w:p>
    <w:p w:rsidR="003E6588" w:rsidRPr="001432CB" w:rsidRDefault="003E6588">
      <w:pPr>
        <w:ind w:firstLine="1134"/>
        <w:jc w:val="both"/>
      </w:pPr>
      <w:r w:rsidRPr="001432CB">
        <w:t>Projeto de divulgação do programa para proporcionar a ampliação geográfica de sua área de influência; criação de calendário de visitas programadas para apresentação do Provita, do CRAVI e do PPCAAM, unindo esforços com ações em curso</w:t>
      </w:r>
      <w:r w:rsidR="001432CB" w:rsidRPr="001432CB">
        <w:t>,</w:t>
      </w:r>
      <w:r w:rsidRPr="001432CB">
        <w:t xml:space="preserve"> tanto da SJDC (CPPNI, CIC, CRAVI, PPCAAM e Tráfico de Pessoas) como de outras instituições, tais como Ministério Público (Escola Superior do Ministério Público e Centro de Apoio Operacional), Tribunal de Justiça e Bem Me Quer (capacitação dos profissionais em atuação);</w:t>
      </w:r>
    </w:p>
    <w:p w:rsidR="003E6588" w:rsidRPr="001432CB" w:rsidRDefault="003E6588">
      <w:pPr>
        <w:ind w:firstLine="1134"/>
        <w:jc w:val="both"/>
      </w:pPr>
    </w:p>
    <w:p w:rsidR="003E6588" w:rsidRPr="001432CB" w:rsidRDefault="003E6588">
      <w:pPr>
        <w:ind w:firstLine="1134"/>
        <w:jc w:val="both"/>
      </w:pPr>
      <w:r w:rsidRPr="001432CB">
        <w:t>Contribuição premiada - Construção de protocolo de atuação para recepção de réus colaboradores, mediante busca de dissidentes de organizações criminosas, para combate ao crime mais efetivo;</w:t>
      </w:r>
    </w:p>
    <w:p w:rsidR="003E6588" w:rsidRDefault="003E6588">
      <w:pPr>
        <w:ind w:firstLine="1134"/>
        <w:jc w:val="both"/>
      </w:pPr>
    </w:p>
    <w:p w:rsidR="003E6588" w:rsidRDefault="003E6588">
      <w:pPr>
        <w:ind w:firstLine="1134"/>
        <w:jc w:val="both"/>
      </w:pPr>
      <w:r>
        <w:t>Projeto RG´s para a equipe: confecção de documentos com codinomes para integrantes da equipe técnica, permitindo atuação de forma reservada e mais segura;</w:t>
      </w:r>
    </w:p>
    <w:p w:rsidR="003E6588" w:rsidRDefault="003E6588">
      <w:pPr>
        <w:ind w:firstLine="1134"/>
        <w:jc w:val="both"/>
      </w:pPr>
    </w:p>
    <w:p w:rsidR="003E6588" w:rsidRDefault="003E6588">
      <w:pPr>
        <w:ind w:firstLine="1134"/>
        <w:jc w:val="both"/>
      </w:pPr>
      <w:r>
        <w:t>Manual para utilização segura de redes sociais - Confecção de manual de atuação</w:t>
      </w:r>
      <w:r w:rsidR="001432CB">
        <w:t>,</w:t>
      </w:r>
      <w:r>
        <w:t xml:space="preserve"> no sentido de tornar mais segura a utilização de artefatos de comunicação e da rede mundial de computadores.</w:t>
      </w:r>
    </w:p>
    <w:p w:rsidR="003E6588" w:rsidRDefault="003E6588">
      <w:pPr>
        <w:ind w:firstLine="1134"/>
        <w:jc w:val="both"/>
      </w:pPr>
    </w:p>
    <w:p w:rsidR="003E6588" w:rsidRDefault="003E6588">
      <w:pPr>
        <w:ind w:firstLine="1134"/>
        <w:jc w:val="both"/>
      </w:pPr>
      <w:r>
        <w:rPr>
          <w:b/>
        </w:rPr>
        <w:lastRenderedPageBreak/>
        <w:t xml:space="preserve">Quanto à </w:t>
      </w:r>
      <w:r w:rsidR="001432CB">
        <w:rPr>
          <w:b/>
        </w:rPr>
        <w:t xml:space="preserve">reinserção </w:t>
      </w:r>
      <w:r>
        <w:rPr>
          <w:b/>
        </w:rPr>
        <w:t>social segura e sustentável</w:t>
      </w:r>
    </w:p>
    <w:p w:rsidR="003E6588" w:rsidRDefault="003E6588">
      <w:pPr>
        <w:ind w:firstLine="1134"/>
        <w:jc w:val="both"/>
      </w:pPr>
    </w:p>
    <w:p w:rsidR="003E6588" w:rsidRDefault="003E6588">
      <w:pPr>
        <w:ind w:firstLine="1134"/>
        <w:jc w:val="both"/>
      </w:pPr>
      <w:r>
        <w:t>Educação - Elaborar protocolo de atuação para adequada inserção dos protegidos na rede de ensino, em especial educação universitária;</w:t>
      </w:r>
    </w:p>
    <w:p w:rsidR="003E6588" w:rsidRDefault="003E6588">
      <w:pPr>
        <w:ind w:firstLine="1134"/>
        <w:jc w:val="both"/>
      </w:pPr>
    </w:p>
    <w:p w:rsidR="003E6588" w:rsidRDefault="003E6588">
      <w:pPr>
        <w:ind w:firstLine="1134"/>
        <w:jc w:val="both"/>
      </w:pPr>
      <w:r>
        <w:t>Moradia - Construção de programa de acesso a moradia para protegidos, mediante parceria com CDHU;</w:t>
      </w:r>
    </w:p>
    <w:p w:rsidR="003E6588" w:rsidRDefault="003E6588">
      <w:pPr>
        <w:ind w:firstLine="1134"/>
        <w:jc w:val="both"/>
      </w:pPr>
    </w:p>
    <w:p w:rsidR="003E6588" w:rsidRDefault="003E6588">
      <w:pPr>
        <w:ind w:firstLine="1134"/>
        <w:jc w:val="both"/>
      </w:pPr>
      <w:r>
        <w:t>Reinserção laboral - Construção de programa de acesso a capacitação profissional, trabalho formal e apoio a atividades de empreendedorismo;</w:t>
      </w:r>
    </w:p>
    <w:p w:rsidR="001432CB" w:rsidRDefault="001432CB">
      <w:pPr>
        <w:ind w:firstLine="1134"/>
        <w:jc w:val="both"/>
      </w:pPr>
    </w:p>
    <w:p w:rsidR="003E6588" w:rsidRDefault="003E6588">
      <w:pPr>
        <w:ind w:firstLine="1134"/>
        <w:jc w:val="both"/>
      </w:pPr>
      <w:r>
        <w:t>Saúde</w:t>
      </w:r>
      <w:r w:rsidR="001432CB">
        <w:t xml:space="preserve"> -</w:t>
      </w:r>
      <w:r>
        <w:t xml:space="preserve"> </w:t>
      </w:r>
      <w:r w:rsidR="001432CB">
        <w:t xml:space="preserve">Melhorias </w:t>
      </w:r>
      <w:r>
        <w:t>no acesso sigiloso a equipamentos médicos e de rede de referência na área da saúde mental;</w:t>
      </w:r>
    </w:p>
    <w:p w:rsidR="003E6588" w:rsidRDefault="003E6588">
      <w:pPr>
        <w:ind w:firstLine="1134"/>
        <w:jc w:val="both"/>
      </w:pPr>
    </w:p>
    <w:p w:rsidR="003E6588" w:rsidRDefault="003E6588">
      <w:pPr>
        <w:ind w:firstLine="1134"/>
        <w:jc w:val="both"/>
      </w:pPr>
      <w:r>
        <w:t>Assistência social</w:t>
      </w:r>
      <w:r w:rsidR="001432CB">
        <w:t xml:space="preserve"> -</w:t>
      </w:r>
      <w:r>
        <w:t xml:space="preserve"> </w:t>
      </w:r>
      <w:r w:rsidR="001432CB">
        <w:t xml:space="preserve">Construção </w:t>
      </w:r>
      <w:r>
        <w:t xml:space="preserve">de programa de acesso a políticas de assistência social a protegidos, mediante parceria com a Secretaria </w:t>
      </w:r>
      <w:r w:rsidR="001432CB">
        <w:t>de Desenvolvimento Social;</w:t>
      </w:r>
    </w:p>
    <w:p w:rsidR="003E6588" w:rsidRDefault="003E6588">
      <w:pPr>
        <w:ind w:firstLine="1134"/>
        <w:jc w:val="both"/>
      </w:pPr>
    </w:p>
    <w:p w:rsidR="003E6588" w:rsidRDefault="003E6588">
      <w:pPr>
        <w:ind w:firstLine="1134"/>
        <w:jc w:val="both"/>
      </w:pPr>
      <w:r>
        <w:t>Cultura e esporte</w:t>
      </w:r>
      <w:r w:rsidR="001432CB">
        <w:t xml:space="preserve"> -</w:t>
      </w:r>
      <w:r>
        <w:t xml:space="preserve"> </w:t>
      </w:r>
      <w:r w:rsidR="001432CB">
        <w:t>C</w:t>
      </w:r>
      <w:r>
        <w:t>onstrução de programa de acesso a políticas da área da cultura e esporte para protegidos</w:t>
      </w:r>
      <w:r w:rsidR="001432CB">
        <w:t>,</w:t>
      </w:r>
      <w:r>
        <w:t xml:space="preserve"> mediante parceria com a Secretaria da Cultura;</w:t>
      </w:r>
    </w:p>
    <w:p w:rsidR="003E6588" w:rsidRDefault="003E6588">
      <w:pPr>
        <w:ind w:firstLine="1134"/>
        <w:jc w:val="both"/>
      </w:pPr>
    </w:p>
    <w:p w:rsidR="003E6588" w:rsidRDefault="003E6588">
      <w:pPr>
        <w:ind w:firstLine="1134"/>
        <w:jc w:val="both"/>
        <w:rPr>
          <w:shd w:val="clear" w:color="auto" w:fill="FFFFFF"/>
        </w:rPr>
      </w:pPr>
      <w:r>
        <w:rPr>
          <w:shd w:val="clear" w:color="auto" w:fill="FFFFFF"/>
        </w:rPr>
        <w:t>Projeto Capital Intelectual - Fomento à produção científica junto aos atores do programa e à academia.</w:t>
      </w:r>
    </w:p>
    <w:p w:rsidR="003E6588" w:rsidRDefault="003E6588">
      <w:pPr>
        <w:ind w:firstLine="1134"/>
        <w:jc w:val="both"/>
      </w:pPr>
    </w:p>
    <w:p w:rsidR="003E6588" w:rsidRDefault="003E6588">
      <w:pPr>
        <w:ind w:firstLine="1134"/>
        <w:jc w:val="both"/>
      </w:pPr>
      <w:r>
        <w:t>Principais resultados - Proteção - Nenhuma pessoa sob proteção foi vítima de qualquer atentado por parte de seus algozes; reinserção social - a totalidade dos protegidos encontra vida segura em local distinto da ameaça, devidamente acolhidos, com a ajuda do programa, pelas redes institucionais e comunitárias de proteção; produção de provas em investigações de natureza criminal: o PROVITA vem se consolidando como meio seguro de proteção a réus beneficiados com a colaboração premiada, em especial àqueles oriundos do sistema prisional.</w:t>
      </w:r>
    </w:p>
    <w:p w:rsidR="003E6588" w:rsidRDefault="003E6588">
      <w:pPr>
        <w:ind w:firstLine="1134"/>
        <w:jc w:val="both"/>
      </w:pPr>
    </w:p>
    <w:p w:rsidR="003E6588" w:rsidRDefault="003E6588">
      <w:pPr>
        <w:ind w:firstLine="1134"/>
        <w:jc w:val="both"/>
        <w:rPr>
          <w:b/>
        </w:rPr>
      </w:pPr>
      <w:r>
        <w:rPr>
          <w:b/>
        </w:rPr>
        <w:t>Programa de Proteção a Crianças e Adolescentes Ameaçados de Morte do Estado de São Paulo - PPCAAM</w:t>
      </w:r>
    </w:p>
    <w:p w:rsidR="003E6588" w:rsidRDefault="003E6588">
      <w:pPr>
        <w:ind w:firstLine="1134"/>
        <w:jc w:val="both"/>
        <w:rPr>
          <w:b/>
          <w:u w:val="single"/>
        </w:rPr>
      </w:pPr>
    </w:p>
    <w:p w:rsidR="003E6588" w:rsidRDefault="003E6588">
      <w:pPr>
        <w:autoSpaceDE w:val="0"/>
        <w:autoSpaceDN w:val="0"/>
        <w:adjustRightInd w:val="0"/>
        <w:ind w:firstLine="1134"/>
        <w:jc w:val="both"/>
        <w:rPr>
          <w:b/>
          <w:bCs/>
        </w:rPr>
      </w:pPr>
      <w:r>
        <w:rPr>
          <w:b/>
          <w:bCs/>
        </w:rPr>
        <w:t>Atend</w:t>
      </w:r>
      <w:r w:rsidR="001432CB">
        <w:rPr>
          <w:b/>
          <w:bCs/>
        </w:rPr>
        <w:t>imentos Convênio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Solicitações - Foram encaminhadas 188 solicitações.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Inclusões - 29 casos inseridos e 65 casos em análise.</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Valor empenhado - R$2.550.000,00.</w:t>
      </w:r>
    </w:p>
    <w:p w:rsidR="003E6588" w:rsidRDefault="003E6588">
      <w:pPr>
        <w:autoSpaceDE w:val="0"/>
        <w:autoSpaceDN w:val="0"/>
        <w:adjustRightInd w:val="0"/>
        <w:ind w:firstLine="1134"/>
        <w:jc w:val="both"/>
        <w:rPr>
          <w:b/>
          <w:bCs/>
        </w:rPr>
      </w:pPr>
    </w:p>
    <w:p w:rsidR="00D24AD8" w:rsidRDefault="00D24AD8">
      <w:pPr>
        <w:autoSpaceDE w:val="0"/>
        <w:autoSpaceDN w:val="0"/>
        <w:adjustRightInd w:val="0"/>
        <w:ind w:firstLine="1134"/>
        <w:jc w:val="both"/>
        <w:rPr>
          <w:b/>
          <w:bCs/>
        </w:rPr>
      </w:pPr>
    </w:p>
    <w:p w:rsidR="00D24AD8" w:rsidRDefault="00D24AD8">
      <w:pPr>
        <w:autoSpaceDE w:val="0"/>
        <w:autoSpaceDN w:val="0"/>
        <w:adjustRightInd w:val="0"/>
        <w:ind w:firstLine="1134"/>
        <w:jc w:val="both"/>
        <w:rPr>
          <w:b/>
          <w:bCs/>
        </w:rPr>
      </w:pPr>
    </w:p>
    <w:p w:rsidR="003E6588" w:rsidRDefault="003E6588">
      <w:pPr>
        <w:autoSpaceDE w:val="0"/>
        <w:autoSpaceDN w:val="0"/>
        <w:adjustRightInd w:val="0"/>
        <w:ind w:firstLine="1134"/>
        <w:jc w:val="both"/>
        <w:rPr>
          <w:b/>
          <w:bCs/>
        </w:rPr>
      </w:pPr>
      <w:r>
        <w:rPr>
          <w:b/>
          <w:bCs/>
        </w:rPr>
        <w:lastRenderedPageBreak/>
        <w:t>Projetos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Análise de risco e de letalidade: melhoria do método de avaliação de risco, permitindo atuação voltada às situações de efetiva iminência e letalidade;</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Criação de protocolo de segurança</w:t>
      </w:r>
      <w:r w:rsidR="001432CB">
        <w:t>,</w:t>
      </w:r>
      <w:r>
        <w:t xml:space="preserve"> com o fito de melhorar a proteção dos usuários do programa e dos executores do convênio;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Melhoria do fluxo de atendimento, mediante diálogo com os diferentes atores do programa</w:t>
      </w:r>
      <w:r w:rsidR="001432CB">
        <w:t>,</w:t>
      </w:r>
      <w:r>
        <w:t xml:space="preserve"> incluindo o acesso a autos e a dependências de Fóruns alicerçada em normativa e a construção de fluxo de atendimento destinado a atender à demanda de jovens do meio fechado, facilitando avaliações e promovendo transição desse meio fechado para o meio aberto de forma segura e efetiva;</w:t>
      </w:r>
    </w:p>
    <w:p w:rsidR="001432CB" w:rsidRDefault="001432CB">
      <w:pPr>
        <w:autoSpaceDE w:val="0"/>
        <w:autoSpaceDN w:val="0"/>
        <w:adjustRightInd w:val="0"/>
        <w:ind w:firstLine="1134"/>
        <w:jc w:val="both"/>
      </w:pPr>
    </w:p>
    <w:p w:rsidR="003E6588" w:rsidRDefault="003E6588">
      <w:pPr>
        <w:autoSpaceDE w:val="0"/>
        <w:autoSpaceDN w:val="0"/>
        <w:adjustRightInd w:val="0"/>
        <w:ind w:firstLine="1134"/>
        <w:jc w:val="both"/>
      </w:pPr>
      <w:r>
        <w:t>Cidades Parceiras - Construção de rede de cidades parceiras, selecionadas especialmente em razão do critério de letalidade efetiva e potencial, realizando visitas para aproximação com diferentes atores da rede de proteção;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Etiologia - Estabelecimento de protocolo com a Secretaria d</w:t>
      </w:r>
      <w:r w:rsidR="00BF3D9B">
        <w:t>a</w:t>
      </w:r>
      <w:r>
        <w:t xml:space="preserve"> Segurança Pública</w:t>
      </w:r>
      <w:r w:rsidR="00BF3D9B">
        <w:t>,</w:t>
      </w:r>
      <w:r>
        <w:t xml:space="preserve"> para atuar diretamente nas causas da ameaça letal, estabelecendo protocolo de atuação para promover a prevenção de tais causas;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Educação - Elaborar protocolo de atuação para inserção sigilosa dos protegidos na rede de ensino;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Moradia - Construção de programa de acesso a moradia para protegidos, mediante parceria com CDHU;</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Reinserção laboral - Construção de programa de acesso a capacitação profissional, trabalho formal e apoio a atividades de empreendedorismo</w:t>
      </w:r>
      <w:r w:rsidR="00BF3D9B">
        <w:t>,</w:t>
      </w:r>
      <w:r>
        <w:t xml:space="preserve"> mediante parceria com SERT;</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Saúde - Construção de programa de acesso a sigiloso a equipamentos médicos e de rede de referência na área da saúde mental;</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Assistência social - Construção de programa de acesso a políticas de assistência social a protegidos, mediante parceria com a Secretaria de Desenvolvimento Social e Projeto Convivência Familiar: apoio a iniciativa da executora</w:t>
      </w:r>
      <w:r w:rsidR="00BF3D9B">
        <w:t>,</w:t>
      </w:r>
      <w:r>
        <w:t xml:space="preserve"> no sentido de fomentar a proteção dos núcleos familiares;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Cultura/Esporte - Construção de programa de acesso a políticas da área da cultura para protegidos</w:t>
      </w:r>
      <w:r w:rsidR="00BF3D9B">
        <w:t>,</w:t>
      </w:r>
      <w:r>
        <w:t xml:space="preserve"> mediante parceria com a Secretaria d</w:t>
      </w:r>
      <w:r w:rsidR="00BF3D9B">
        <w:t>a</w:t>
      </w:r>
      <w:r>
        <w:t xml:space="preserve"> Cultura</w:t>
      </w:r>
      <w:r w:rsidR="00BF3D9B">
        <w:t>,</w:t>
      </w:r>
      <w:r>
        <w:t xml:space="preserve"> e construção de programa de acesso a políticas da área do desporto para protegidos</w:t>
      </w:r>
      <w:r w:rsidR="00BF3D9B">
        <w:t>,</w:t>
      </w:r>
      <w:r>
        <w:t xml:space="preserve"> mediante parceria com a Secretaria de Esporte</w:t>
      </w:r>
      <w:r w:rsidR="00BF3D9B">
        <w:t>, Lazer e Juventude</w:t>
      </w:r>
      <w:r>
        <w:t>;</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lastRenderedPageBreak/>
        <w:t>Projeto Capital Intelectual - Fomento à produção científica junto aos atores do programa e à academia.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Projeto de divulgação do programa para ampliação geográfica de sua área de influência: criação de calendário de visitas programadas, para apresentação do PPCAAM, CRAVI e PROVITA, unindo esforços com ações em curso tanto da Secretaria da Justiça</w:t>
      </w:r>
      <w:r w:rsidR="00AA59F9">
        <w:t xml:space="preserve"> e da Defesa da Cidadania</w:t>
      </w:r>
      <w:r>
        <w:t xml:space="preserve"> (CPPNI, CIC, CRAVI, PPCAAM e Tráfico de Pessoas) como de outras instituições</w:t>
      </w:r>
      <w:r w:rsidR="00AA59F9">
        <w:t>,</w:t>
      </w:r>
      <w:r>
        <w:t xml:space="preserve"> Ministério Público (Escola Superior do Ministério Público e Centro de Apoio Operacional), Tribunal de Justiça e Bem Me Quer.</w:t>
      </w:r>
    </w:p>
    <w:p w:rsidR="003E6588" w:rsidRDefault="003E6588">
      <w:pPr>
        <w:ind w:firstLine="1134"/>
        <w:jc w:val="both"/>
        <w:rPr>
          <w:b/>
          <w:bCs/>
        </w:rPr>
      </w:pPr>
    </w:p>
    <w:p w:rsidR="003E6588" w:rsidRDefault="003E6588">
      <w:pPr>
        <w:ind w:firstLine="1134"/>
        <w:jc w:val="both"/>
      </w:pPr>
      <w:r>
        <w:rPr>
          <w:b/>
          <w:bCs/>
        </w:rPr>
        <w:t>Resultados -</w:t>
      </w:r>
      <w:r>
        <w:t xml:space="preserve"> O PPCAAM vem se consolidando no cenário nacional como instrumento único de combate à violência letal contra crianças e adolescentes e, excepcionalmente, jovens adultos até 21 anos, se egressos do sistema socioeducativo. Desde sua criação</w:t>
      </w:r>
      <w:r w:rsidR="00AA59F9">
        <w:t>,</w:t>
      </w:r>
      <w:r>
        <w:t xml:space="preserve"> passaram pela proteção dezenas de crianças/adolescentes e seus familiares, sem que vida alguma fosse ceifada. Trata-se de política essencial para consolidação de rede de proteção a crianças e adolescentes ameaçados de morte, auxiliando o Estado na luta contra a letalidade infantil (o Estado conta com os menores índices de letalidade da Federação - Fonte</w:t>
      </w:r>
      <w:r w:rsidRPr="00096232">
        <w:t xml:space="preserve">: </w:t>
      </w:r>
      <w:hyperlink r:id="rId58" w:history="1">
        <w:r w:rsidRPr="00096232">
          <w:t>http://www.unicef.org/brazil/pt/br_indiceha10.pdf</w:t>
        </w:r>
      </w:hyperlink>
      <w:r>
        <w:t>).</w:t>
      </w:r>
    </w:p>
    <w:p w:rsidR="003E6588" w:rsidRDefault="003E6588">
      <w:pPr>
        <w:ind w:firstLine="1134"/>
        <w:jc w:val="both"/>
        <w:rPr>
          <w:bCs/>
        </w:rPr>
      </w:pPr>
    </w:p>
    <w:p w:rsidR="003E6588" w:rsidRDefault="003E6588">
      <w:pPr>
        <w:ind w:firstLine="1134"/>
        <w:jc w:val="both"/>
      </w:pPr>
      <w:r>
        <w:rPr>
          <w:b/>
          <w:bCs/>
        </w:rPr>
        <w:t xml:space="preserve">Coordenação de Políticas para a Mulher do Estado de São Paulo - </w:t>
      </w:r>
      <w:r>
        <w:t>A Coordenação de Políticas para a Mulher do Estado de São Paulo foi criada por meio do Decreto nº 58.428/2012</w:t>
      </w:r>
      <w:r w:rsidR="00E1072E">
        <w:t>,</w:t>
      </w:r>
      <w:r>
        <w:t xml:space="preserve"> visando à igualdade entre mulheres por meio da elaboração de políticas públicas e da educação em direitos humanos relacionadas ao tema.</w:t>
      </w:r>
    </w:p>
    <w:p w:rsidR="003E6588" w:rsidRDefault="003E6588">
      <w:pPr>
        <w:ind w:firstLine="1134"/>
        <w:jc w:val="both"/>
      </w:pPr>
    </w:p>
    <w:p w:rsidR="003E6588" w:rsidRDefault="003E6588">
      <w:pPr>
        <w:ind w:firstLine="1134"/>
        <w:jc w:val="both"/>
        <w:rPr>
          <w:color w:val="000000"/>
        </w:rPr>
      </w:pPr>
      <w:r>
        <w:rPr>
          <w:color w:val="000000"/>
        </w:rPr>
        <w:t xml:space="preserve">A Coordenação de Políticas para a Mulher do Estado de São Paulo atua em frentes na busca pela concretização dos direitos das mulheres. Um olhar especial é dedicado a grupos de mulheres com acentuada vulnerabilidade, notadamente no que toca ao enfrentamento da violência contra a mulher, combate ao tráfico de mulheres, trabalho escravo e exploração sexual, preconceito relativo à orientação sexual, enfrentamento à drogadição, dignificação da mulher de toda e qualquer etnia. Para tanto, articula seus esforços com as demais Coordenadorias de Direitos Humanos da Secretaria da Justiça e da Defesa da Cidadania, fazendo com que haja fortalecimento estatal e eficaz prestação de serviços às mulheres e </w:t>
      </w:r>
      <w:r w:rsidR="00E1072E">
        <w:rPr>
          <w:color w:val="000000"/>
        </w:rPr>
        <w:t>à</w:t>
      </w:r>
      <w:r>
        <w:rPr>
          <w:color w:val="000000"/>
        </w:rPr>
        <w:t xml:space="preserve"> coletividade.</w:t>
      </w:r>
    </w:p>
    <w:p w:rsidR="003E6588" w:rsidRDefault="003E6588">
      <w:pPr>
        <w:ind w:firstLine="1134"/>
        <w:jc w:val="both"/>
        <w:rPr>
          <w:color w:val="000000"/>
        </w:rPr>
      </w:pPr>
    </w:p>
    <w:p w:rsidR="003E6588" w:rsidRPr="00E1072E" w:rsidRDefault="003E6588">
      <w:pPr>
        <w:ind w:firstLine="1134"/>
        <w:jc w:val="both"/>
      </w:pPr>
      <w:r w:rsidRPr="00E1072E">
        <w:rPr>
          <w:b/>
        </w:rPr>
        <w:t xml:space="preserve">Programa de Fóruns do Estado de São Paulo - </w:t>
      </w:r>
      <w:r w:rsidRPr="00E1072E">
        <w:t>O Grupo de Planejamento e Fiscalização de Obras e Serviços acompanha a construção e reforma dos fóruns estaduais.</w:t>
      </w:r>
    </w:p>
    <w:p w:rsidR="003E6588" w:rsidRPr="00E1072E" w:rsidRDefault="003E6588">
      <w:pPr>
        <w:ind w:firstLine="1134"/>
        <w:jc w:val="both"/>
      </w:pPr>
    </w:p>
    <w:p w:rsidR="003E6588" w:rsidRPr="00E1072E" w:rsidRDefault="003E6588">
      <w:pPr>
        <w:ind w:firstLine="1134"/>
        <w:jc w:val="both"/>
      </w:pPr>
      <w:r w:rsidRPr="00E1072E">
        <w:t>O orçamento foi de R$ 49.000.000,00, com entrega das seguintes obras:</w:t>
      </w:r>
    </w:p>
    <w:p w:rsidR="003E6588" w:rsidRPr="00E1072E" w:rsidRDefault="003E6588">
      <w:pPr>
        <w:ind w:firstLine="1134"/>
        <w:jc w:val="both"/>
      </w:pPr>
    </w:p>
    <w:p w:rsidR="003E6588" w:rsidRDefault="003E6588">
      <w:pPr>
        <w:ind w:firstLine="1134"/>
        <w:jc w:val="both"/>
      </w:pPr>
      <w:r>
        <w:t>Construção do Fórum de Avaré - Investimento de R$ 13.495.539,87.</w:t>
      </w:r>
    </w:p>
    <w:p w:rsidR="003E6588" w:rsidRDefault="003E6588">
      <w:pPr>
        <w:ind w:firstLine="1134"/>
        <w:jc w:val="both"/>
      </w:pPr>
    </w:p>
    <w:p w:rsidR="003E6588" w:rsidRDefault="003E6588">
      <w:pPr>
        <w:ind w:firstLine="1134"/>
        <w:jc w:val="both"/>
      </w:pPr>
      <w:r>
        <w:t>Construção do Fórum de Teodoro Sampaio - Investimento de R$ 5.277.311,07.</w:t>
      </w:r>
    </w:p>
    <w:p w:rsidR="003E6588" w:rsidRDefault="003E6588">
      <w:pPr>
        <w:ind w:firstLine="1134"/>
        <w:jc w:val="both"/>
      </w:pPr>
    </w:p>
    <w:p w:rsidR="003E6588" w:rsidRDefault="003E6588">
      <w:pPr>
        <w:ind w:firstLine="1134"/>
        <w:jc w:val="both"/>
      </w:pPr>
      <w:r>
        <w:t>Construção do Fórum de São João da Boa Vista (edificação e área externa) - Investimento de R$ 13.228.010,12.</w:t>
      </w:r>
    </w:p>
    <w:p w:rsidR="00E1072E" w:rsidRDefault="00E1072E">
      <w:pPr>
        <w:ind w:firstLine="1134"/>
        <w:jc w:val="both"/>
      </w:pPr>
    </w:p>
    <w:p w:rsidR="003E6588" w:rsidRDefault="003E6588">
      <w:pPr>
        <w:ind w:firstLine="1134"/>
        <w:jc w:val="both"/>
      </w:pPr>
      <w:r>
        <w:lastRenderedPageBreak/>
        <w:t>Construção do Fórum de Bastos - Investimento de R$ 4.846.458,51</w:t>
      </w:r>
      <w:r w:rsidR="00E1072E">
        <w:t>.</w:t>
      </w:r>
    </w:p>
    <w:p w:rsidR="003E6588" w:rsidRDefault="003E6588">
      <w:pPr>
        <w:ind w:firstLine="1134"/>
        <w:jc w:val="both"/>
      </w:pPr>
    </w:p>
    <w:p w:rsidR="003E6588" w:rsidRDefault="003E6588">
      <w:pPr>
        <w:ind w:firstLine="1134"/>
        <w:jc w:val="both"/>
      </w:pPr>
      <w:r>
        <w:t>Construção do Fórum de José Bonifácio (edificação e área externa) - Investimento de R$ 8.024.044,30</w:t>
      </w:r>
      <w:r w:rsidR="00E1072E">
        <w:t>.</w:t>
      </w:r>
    </w:p>
    <w:p w:rsidR="003E6588" w:rsidRDefault="003E6588">
      <w:pPr>
        <w:ind w:firstLine="1134"/>
        <w:jc w:val="both"/>
      </w:pPr>
    </w:p>
    <w:p w:rsidR="003E6588" w:rsidRDefault="003E6588">
      <w:pPr>
        <w:ind w:firstLine="1134"/>
        <w:jc w:val="both"/>
      </w:pPr>
      <w:r>
        <w:t>Construção do Fórum de Pacaembu (em recebimento) - Investimento de R$ 7.045.877,13</w:t>
      </w:r>
      <w:r w:rsidR="00E1072E">
        <w:t>.</w:t>
      </w:r>
    </w:p>
    <w:p w:rsidR="003E6588" w:rsidRDefault="003E6588">
      <w:pPr>
        <w:ind w:firstLine="1134"/>
        <w:jc w:val="both"/>
      </w:pPr>
    </w:p>
    <w:p w:rsidR="003E6588" w:rsidRDefault="003E6588">
      <w:pPr>
        <w:ind w:firstLine="1134"/>
        <w:jc w:val="both"/>
      </w:pPr>
      <w:r>
        <w:t>Ampliação e Reforma do Fórum de Bragança Paulista - Investimento de R$ 3.466.421,78</w:t>
      </w:r>
      <w:r w:rsidR="00E1072E">
        <w:t>.</w:t>
      </w:r>
    </w:p>
    <w:p w:rsidR="003E6588" w:rsidRDefault="003E6588">
      <w:pPr>
        <w:ind w:firstLine="1134"/>
        <w:jc w:val="both"/>
      </w:pPr>
    </w:p>
    <w:p w:rsidR="003E6588" w:rsidRDefault="003E6588">
      <w:pPr>
        <w:ind w:firstLine="1134"/>
        <w:jc w:val="both"/>
      </w:pPr>
      <w:r>
        <w:t>Ampliação e Reforma do Fórum de São Carlos - Investimento total de R$ 7.986.407,45</w:t>
      </w:r>
      <w:r w:rsidR="00E1072E">
        <w:t>.</w:t>
      </w:r>
    </w:p>
    <w:p w:rsidR="003E6588" w:rsidRDefault="003E6588">
      <w:pPr>
        <w:ind w:firstLine="1134"/>
        <w:jc w:val="both"/>
      </w:pPr>
    </w:p>
    <w:p w:rsidR="003E6588" w:rsidRDefault="003E6588">
      <w:pPr>
        <w:ind w:firstLine="1134"/>
        <w:jc w:val="both"/>
      </w:pPr>
      <w:r>
        <w:t>Obras de acessibilidade para pessoas com necessidades especiais em 24 edifícios forenses - Investimento de R$ 9.796.564,05.</w:t>
      </w:r>
    </w:p>
    <w:p w:rsidR="003E6588" w:rsidRDefault="003E6588">
      <w:pPr>
        <w:ind w:firstLine="1134"/>
        <w:jc w:val="both"/>
      </w:pPr>
    </w:p>
    <w:p w:rsidR="003E6588" w:rsidRDefault="003E6588">
      <w:pPr>
        <w:ind w:firstLine="1134"/>
        <w:jc w:val="both"/>
      </w:pPr>
      <w:r>
        <w:t>Total de investimento - R$ 73.166.634,28.</w:t>
      </w:r>
    </w:p>
    <w:p w:rsidR="003E6588" w:rsidRDefault="003E6588">
      <w:pPr>
        <w:ind w:firstLine="1134"/>
        <w:jc w:val="both"/>
      </w:pPr>
    </w:p>
    <w:p w:rsidR="003E6588" w:rsidRDefault="003E6588">
      <w:pPr>
        <w:ind w:firstLine="1134"/>
        <w:jc w:val="both"/>
      </w:pPr>
      <w:r>
        <w:t xml:space="preserve">Estão em </w:t>
      </w:r>
      <w:r w:rsidRPr="00E1072E">
        <w:t>andamento as seguintes obras</w:t>
      </w:r>
      <w:r>
        <w:t>:</w:t>
      </w:r>
    </w:p>
    <w:p w:rsidR="003E6588" w:rsidRDefault="003E6588">
      <w:pPr>
        <w:ind w:firstLine="1134"/>
        <w:jc w:val="both"/>
      </w:pPr>
    </w:p>
    <w:p w:rsidR="003E6588" w:rsidRDefault="003E6588">
      <w:pPr>
        <w:ind w:firstLine="1134"/>
        <w:jc w:val="both"/>
      </w:pPr>
      <w:r>
        <w:t>Construção (16) - Ilha Solteira, Brás Cubas (Mogi das Cruzes), Matão, Hortolândia, Mirandópolis, Caraguatatuba, Francisco Morato, São Joaquim da Barra, Potirendaba, Mongaguá, Rio Claro, Peruíbe, São José do Rio Preto, Limeira, Conchas e Boituva.</w:t>
      </w:r>
    </w:p>
    <w:p w:rsidR="003E6588" w:rsidRDefault="003E6588">
      <w:pPr>
        <w:ind w:firstLine="1134"/>
        <w:jc w:val="both"/>
      </w:pPr>
    </w:p>
    <w:p w:rsidR="003E6588" w:rsidRDefault="003E6588">
      <w:pPr>
        <w:ind w:firstLine="1134"/>
        <w:jc w:val="both"/>
      </w:pPr>
      <w:r>
        <w:t xml:space="preserve">Ampliação e Reforma </w:t>
      </w:r>
      <w:r w:rsidRPr="00D96802">
        <w:t>(4) -</w:t>
      </w:r>
      <w:r>
        <w:t xml:space="preserve"> Jaú, Osasco, Sumaré e Tupã.</w:t>
      </w:r>
    </w:p>
    <w:p w:rsidR="003E6588" w:rsidRDefault="003E6588">
      <w:pPr>
        <w:ind w:firstLine="1134"/>
        <w:jc w:val="both"/>
      </w:pPr>
    </w:p>
    <w:p w:rsidR="003E6588" w:rsidRDefault="003E6588">
      <w:pPr>
        <w:ind w:firstLine="1134"/>
        <w:jc w:val="both"/>
      </w:pPr>
      <w:r>
        <w:t>Obras de acessibilidade em 6 prédios forenses.</w:t>
      </w:r>
    </w:p>
    <w:p w:rsidR="003E6588" w:rsidRDefault="003E6588">
      <w:pPr>
        <w:ind w:firstLine="1134"/>
        <w:jc w:val="both"/>
      </w:pPr>
    </w:p>
    <w:p w:rsidR="003E6588" w:rsidRDefault="003E6588">
      <w:pPr>
        <w:ind w:firstLine="1134"/>
        <w:jc w:val="both"/>
      </w:pPr>
      <w:r>
        <w:t>Total de investimento das obras em andamento - R$ 206.852.172,52.</w:t>
      </w:r>
    </w:p>
    <w:p w:rsidR="003E6588" w:rsidRDefault="003E6588">
      <w:pPr>
        <w:ind w:firstLine="1134"/>
        <w:jc w:val="both"/>
      </w:pPr>
    </w:p>
    <w:p w:rsidR="00E1072E" w:rsidRDefault="00E1072E">
      <w:pPr>
        <w:ind w:firstLine="1134"/>
        <w:jc w:val="both"/>
      </w:pPr>
    </w:p>
    <w:p w:rsidR="003E6588" w:rsidRDefault="00E1072E" w:rsidP="00E1072E">
      <w:pPr>
        <w:rPr>
          <w:b/>
        </w:rPr>
      </w:pPr>
      <w:r>
        <w:rPr>
          <w:b/>
        </w:rPr>
        <w:t xml:space="preserve">FUNDAÇÃO </w:t>
      </w:r>
      <w:r w:rsidR="003E6588">
        <w:rPr>
          <w:b/>
        </w:rPr>
        <w:t>CASA</w:t>
      </w:r>
      <w:r>
        <w:rPr>
          <w:b/>
        </w:rPr>
        <w:t xml:space="preserve"> - CENTRO DE ATENDIMENTO SOCIOEDUCATIVO AO ADOLESCENTE</w:t>
      </w:r>
    </w:p>
    <w:p w:rsidR="003E6588" w:rsidRPr="00096232" w:rsidRDefault="003E6588">
      <w:pPr>
        <w:ind w:firstLine="1134"/>
        <w:jc w:val="both"/>
      </w:pPr>
    </w:p>
    <w:p w:rsidR="00E1072E" w:rsidRPr="00096232" w:rsidRDefault="00E1072E">
      <w:pPr>
        <w:ind w:firstLine="1134"/>
        <w:jc w:val="both"/>
      </w:pPr>
    </w:p>
    <w:p w:rsidR="003E6588" w:rsidRDefault="003E6588">
      <w:pPr>
        <w:ind w:firstLine="1134"/>
        <w:jc w:val="both"/>
      </w:pPr>
      <w:r>
        <w:rPr>
          <w:b/>
        </w:rPr>
        <w:t xml:space="preserve">Ações realizadas - </w:t>
      </w:r>
      <w:r w:rsidR="00E1072E">
        <w:t xml:space="preserve">Foram </w:t>
      </w:r>
      <w:r>
        <w:t xml:space="preserve">concluídas as obras de cinco centros socioeducativos: Santos (1), Ribeirão Preto (1), Bauru (1), Vila Maria - Capital - (1) e Guarujá (1), este último aguardando inauguração, ao custo total de 24.168.199,83. </w:t>
      </w:r>
      <w:r w:rsidR="00E1072E">
        <w:t xml:space="preserve">Foram </w:t>
      </w:r>
      <w:r>
        <w:t>disponibilizadas 296 vagas. Estão em andamento as obras de mais 4 centros: Diadema (1), Itapecerica da Serra (1), Presidente Bernardes (1) e Piracicaba (1), ao custo de 30.870.469,28. Com mais estes 4 centros, serão criadas mais 304 vagas. Para melhorar a segurança e habitualidade do CASA Guarujá, foi iniciada a construção da portaria, cozinha e lavanderia do centro, ao custo de 1.622.369,15. De 2005 a 2014, foram entregues 71 novos e pequenos centros, sendo o maior programa de investimento de um Estado brasileiro no sentido de garantir atendimento humanizado a</w:t>
      </w:r>
      <w:r w:rsidR="00096232">
        <w:t>os jovens em conflito com a lei.</w:t>
      </w:r>
    </w:p>
    <w:p w:rsidR="003E6588" w:rsidRDefault="003E6588">
      <w:pPr>
        <w:ind w:firstLine="1134"/>
        <w:jc w:val="both"/>
      </w:pPr>
    </w:p>
    <w:p w:rsidR="003E6588" w:rsidRDefault="003E6588">
      <w:pPr>
        <w:ind w:firstLine="1134"/>
        <w:jc w:val="both"/>
      </w:pPr>
      <w:r>
        <w:lastRenderedPageBreak/>
        <w:t>Foi aprovado o reajuste salarial de 6,26 % para os servidores da Instituição. O aux</w:t>
      </w:r>
      <w:r w:rsidR="00E1072E">
        <w:t>Í</w:t>
      </w:r>
      <w:r>
        <w:t>lio berçário/creche aumentou para R$ 291,21. O valor do vale refeição para R$ 400,00 e do vale alimentação R$ 126,00. Pagamento do Programa de Bônus por Resultados. A gratificação beneficiou 9.779 servidores após os cumprimentos das metas estabelecid</w:t>
      </w:r>
      <w:r w:rsidR="00096232">
        <w:t>as pelo programa de bonificação.</w:t>
      </w:r>
    </w:p>
    <w:p w:rsidR="003E6588" w:rsidRDefault="003E6588">
      <w:pPr>
        <w:ind w:left="720" w:firstLine="1134"/>
        <w:jc w:val="both"/>
      </w:pPr>
    </w:p>
    <w:p w:rsidR="003E6588" w:rsidRDefault="003E6588">
      <w:pPr>
        <w:ind w:firstLine="1134"/>
        <w:jc w:val="both"/>
      </w:pPr>
      <w:r>
        <w:t>Foi publicado o Decreto nº 60.609/2014, fixando o quadro com ampliação de vagas dos cargos permanentes para a Fundação CASA, conforme segue: 14.424 cargos permanentes, 119 cargos em extinção na vacância,</w:t>
      </w:r>
      <w:r w:rsidR="00096232">
        <w:t xml:space="preserve"> 341 cargos de livre provimento.</w:t>
      </w:r>
    </w:p>
    <w:p w:rsidR="003E6588" w:rsidRDefault="003E6588">
      <w:pPr>
        <w:ind w:firstLine="1134"/>
        <w:jc w:val="both"/>
      </w:pPr>
    </w:p>
    <w:p w:rsidR="003E6588" w:rsidRDefault="003E6588">
      <w:pPr>
        <w:ind w:firstLine="1134"/>
        <w:jc w:val="both"/>
      </w:pPr>
      <w:r>
        <w:t>Abertura de novo Concurso Público sendo ofertadas 1</w:t>
      </w:r>
      <w:r w:rsidR="00D96802">
        <w:t>.</w:t>
      </w:r>
      <w:r>
        <w:t>141 vagas: 386 para Agente de Apoio Socioeducat</w:t>
      </w:r>
      <w:r w:rsidR="00096232">
        <w:t>ivo e 755 para os demais cargos.</w:t>
      </w:r>
    </w:p>
    <w:p w:rsidR="003E6588" w:rsidRDefault="003E6588">
      <w:pPr>
        <w:ind w:firstLine="1134"/>
        <w:jc w:val="both"/>
      </w:pPr>
    </w:p>
    <w:p w:rsidR="003E6588" w:rsidRDefault="003E6588">
      <w:pPr>
        <w:ind w:firstLine="1134"/>
        <w:jc w:val="both"/>
      </w:pPr>
      <w:r>
        <w:t xml:space="preserve">Implantação do novo plano de saúde para 33.500 beneficiários da Fundação, entre servidores, dependentes e agregados, </w:t>
      </w:r>
      <w:r w:rsidR="00E1072E">
        <w:t xml:space="preserve">por meio </w:t>
      </w:r>
      <w:r>
        <w:t xml:space="preserve">de contrato firmado com a operadora AMIL Assistência Médica Internacional S/A. A AMIL realizou 652.601 </w:t>
      </w:r>
      <w:r w:rsidR="00096232">
        <w:t>procedimentos aos beneficiários.</w:t>
      </w:r>
    </w:p>
    <w:p w:rsidR="003E6588" w:rsidRDefault="003E6588">
      <w:pPr>
        <w:ind w:firstLine="1134"/>
        <w:jc w:val="both"/>
      </w:pPr>
    </w:p>
    <w:p w:rsidR="003E6588" w:rsidRDefault="003E6588">
      <w:pPr>
        <w:ind w:firstLine="1134"/>
        <w:jc w:val="both"/>
      </w:pPr>
      <w:r>
        <w:t>Ampliação do processo de formação inicial e continuada dos servidores pela Escola para Formação e Capacitação Profissional - EFCP da Fundação CASA. Foram atendidos 3.740 dos 13.000 servidores da Fundação, totalizando 41.880 capac</w:t>
      </w:r>
      <w:r w:rsidR="00096232">
        <w:t>itações profissionais em 8 anos.</w:t>
      </w:r>
    </w:p>
    <w:p w:rsidR="003E6588" w:rsidRDefault="003E6588">
      <w:pPr>
        <w:ind w:left="720" w:firstLine="1134"/>
        <w:jc w:val="both"/>
      </w:pPr>
    </w:p>
    <w:p w:rsidR="003E6588" w:rsidRDefault="003E6588">
      <w:pPr>
        <w:ind w:firstLine="1134"/>
        <w:jc w:val="both"/>
      </w:pPr>
      <w:r>
        <w:t>Foram realizados encontros para apresentação dos Planos Políticos Pedagógicos dos centros socioeducativos das 11 Divisões Regionais da CASA. As reuniões definem, anualmente, as metas da instituição</w:t>
      </w:r>
      <w:r w:rsidR="00096232">
        <w:t>.</w:t>
      </w:r>
    </w:p>
    <w:p w:rsidR="003E6588" w:rsidRDefault="003E6588">
      <w:pPr>
        <w:ind w:left="720" w:firstLine="1134"/>
        <w:jc w:val="both"/>
      </w:pPr>
    </w:p>
    <w:p w:rsidR="003E6588" w:rsidRPr="00E1072E" w:rsidRDefault="003E6588">
      <w:pPr>
        <w:ind w:firstLine="1134"/>
        <w:jc w:val="both"/>
      </w:pPr>
      <w:r w:rsidRPr="00E1072E">
        <w:t xml:space="preserve">Foram iniciadas reformas em diversos centros de atendimento das 11 divisões regionais. </w:t>
      </w:r>
      <w:r w:rsidR="00E1072E" w:rsidRPr="00E1072E">
        <w:t xml:space="preserve">Foram </w:t>
      </w:r>
      <w:r w:rsidRPr="00E1072E">
        <w:t>gastos R$ 693.167,48, além de serviços de manutenção em vários setores da Fundação CA</w:t>
      </w:r>
      <w:r w:rsidR="00096232">
        <w:t>SA, com gastos de R$ 120.802,67.</w:t>
      </w:r>
    </w:p>
    <w:p w:rsidR="003E6588" w:rsidRPr="00E1072E" w:rsidRDefault="003E6588">
      <w:pPr>
        <w:ind w:left="720" w:firstLine="1134"/>
        <w:jc w:val="both"/>
      </w:pPr>
    </w:p>
    <w:p w:rsidR="003E6588" w:rsidRPr="00F57B8C" w:rsidRDefault="003E6588">
      <w:pPr>
        <w:ind w:firstLine="1134"/>
        <w:jc w:val="both"/>
      </w:pPr>
      <w:r w:rsidRPr="00F57B8C">
        <w:t xml:space="preserve">A Superintendência de Segurança, entre audiências em Fóruns, entrega de adolescentes em liberdade na Capital, Litoral, Interior, Grande São Paulo e em outros </w:t>
      </w:r>
      <w:r w:rsidR="00F57B8C" w:rsidRPr="00F57B8C">
        <w:t>Estados</w:t>
      </w:r>
      <w:r w:rsidRPr="00F57B8C">
        <w:t xml:space="preserve">, fez a movimentação de 25.555 adolescentes. </w:t>
      </w:r>
      <w:r w:rsidR="00F57B8C" w:rsidRPr="00F57B8C">
        <w:t xml:space="preserve">Realizou </w:t>
      </w:r>
      <w:r w:rsidRPr="00F57B8C">
        <w:t>4 encontros de coordenadores de equipes nas 11 Divisões Regionais e colaborou em 89 capacitações de Agentes de Apoio Socio</w:t>
      </w:r>
      <w:r w:rsidR="00096232">
        <w:t>educativos Ingressantes na EFCP.</w:t>
      </w:r>
    </w:p>
    <w:p w:rsidR="003E6588" w:rsidRPr="00F57B8C" w:rsidRDefault="003E6588">
      <w:pPr>
        <w:ind w:left="720" w:firstLine="1134"/>
        <w:jc w:val="both"/>
      </w:pPr>
    </w:p>
    <w:p w:rsidR="003E6588" w:rsidRDefault="003E6588">
      <w:pPr>
        <w:ind w:firstLine="1134"/>
        <w:jc w:val="both"/>
      </w:pPr>
      <w:r>
        <w:t>A Superintendência de Saúde promoveu capacitação de enfermagem da área da Saúde do Trabalhador sobre o Comunicado de Acidente de Trabalho. Foi firmada parceria com a Vigilância Sanitária na Capital</w:t>
      </w:r>
      <w:r w:rsidR="00F57B8C">
        <w:t>,</w:t>
      </w:r>
      <w:r>
        <w:t xml:space="preserve"> para desenvolver processo educativo sobre tuberculose e organização de capacitação sobre drogadição com a Universidade Federal de São Paulo. Também realizou capacitação em ambiente virtual para psicólogo</w:t>
      </w:r>
      <w:r w:rsidR="00096232">
        <w:t>s e assistentes sociais da CASA.</w:t>
      </w:r>
    </w:p>
    <w:p w:rsidR="003E6588" w:rsidRDefault="003E6588">
      <w:pPr>
        <w:ind w:firstLine="1134"/>
        <w:jc w:val="both"/>
      </w:pPr>
    </w:p>
    <w:p w:rsidR="003E6588" w:rsidRPr="00F57B8C" w:rsidRDefault="003E6588">
      <w:pPr>
        <w:ind w:firstLine="1134"/>
        <w:jc w:val="both"/>
      </w:pPr>
      <w:r w:rsidRPr="00F57B8C">
        <w:t>A Superintendência Pedagógica realizou a formação continuada dos Pedagogos e Coordenadores Pedagógicos na modalidade semipresencial</w:t>
      </w:r>
      <w:r w:rsidR="00F57B8C" w:rsidRPr="00F57B8C">
        <w:t>,</w:t>
      </w:r>
      <w:r w:rsidRPr="00F57B8C">
        <w:t xml:space="preserve"> em parceria com a EFCP. Foi firmada parceria com o Instituto Lemann para implantação do “Projeto </w:t>
      </w:r>
      <w:r w:rsidRPr="00F57B8C">
        <w:rPr>
          <w:i/>
        </w:rPr>
        <w:t>Khan Academy</w:t>
      </w:r>
      <w:r w:rsidRPr="00F57B8C">
        <w:t>”</w:t>
      </w:r>
      <w:r w:rsidR="00F57B8C" w:rsidRPr="00F57B8C">
        <w:t>,</w:t>
      </w:r>
      <w:r w:rsidRPr="00F57B8C">
        <w:t xml:space="preserve"> para ensino de matemática por meio da </w:t>
      </w:r>
      <w:r w:rsidRPr="00F57B8C">
        <w:rPr>
          <w:i/>
        </w:rPr>
        <w:t>internet</w:t>
      </w:r>
      <w:r w:rsidRPr="00F57B8C">
        <w:t xml:space="preserve">, </w:t>
      </w:r>
      <w:r w:rsidR="00096232">
        <w:t>em seis centros socioeducativos.</w:t>
      </w:r>
    </w:p>
    <w:p w:rsidR="00F57B8C" w:rsidRPr="00F57B8C" w:rsidRDefault="00F57B8C">
      <w:pPr>
        <w:ind w:firstLine="1134"/>
        <w:jc w:val="both"/>
      </w:pPr>
    </w:p>
    <w:p w:rsidR="003E6588" w:rsidRDefault="003E6588">
      <w:pPr>
        <w:ind w:firstLine="1134"/>
        <w:jc w:val="both"/>
      </w:pPr>
      <w:r>
        <w:t xml:space="preserve">Na área de Educação Física e Esporte, foram realizados torneios desportivos: </w:t>
      </w:r>
      <w:r w:rsidR="009F53F1">
        <w:t>“</w:t>
      </w:r>
      <w:r>
        <w:t>IX Copa Casa de Futebol</w:t>
      </w:r>
      <w:r w:rsidR="009F53F1">
        <w:t>”</w:t>
      </w:r>
      <w:r>
        <w:t xml:space="preserve">, </w:t>
      </w:r>
      <w:r w:rsidR="009F53F1">
        <w:t>“</w:t>
      </w:r>
      <w:r>
        <w:t>III Torneio de Futsal Feminino</w:t>
      </w:r>
      <w:r w:rsidR="009F53F1">
        <w:t>”</w:t>
      </w:r>
      <w:r>
        <w:t xml:space="preserve">, </w:t>
      </w:r>
      <w:r w:rsidR="009F53F1">
        <w:t>“</w:t>
      </w:r>
      <w:r>
        <w:t>Dia do Desafio</w:t>
      </w:r>
      <w:r w:rsidR="009F53F1">
        <w:t>”</w:t>
      </w:r>
      <w:r>
        <w:t xml:space="preserve">, </w:t>
      </w:r>
      <w:r w:rsidR="009F53F1">
        <w:t>“</w:t>
      </w:r>
      <w:r>
        <w:t>VII Torneio Estadual de Futsal</w:t>
      </w:r>
      <w:r w:rsidR="009F53F1">
        <w:t>”</w:t>
      </w:r>
      <w:r>
        <w:t xml:space="preserve">, </w:t>
      </w:r>
      <w:r w:rsidR="009F53F1">
        <w:t>“</w:t>
      </w:r>
      <w:r>
        <w:t>Agita Galera</w:t>
      </w:r>
      <w:r w:rsidR="009F53F1">
        <w:t>”</w:t>
      </w:r>
      <w:r>
        <w:t xml:space="preserve">, </w:t>
      </w:r>
      <w:r w:rsidR="009F53F1">
        <w:t>“</w:t>
      </w:r>
      <w:r>
        <w:t>Capacitação - Acer Brasil Futebol para Impacto Social</w:t>
      </w:r>
      <w:r w:rsidR="009F53F1">
        <w:t>”</w:t>
      </w:r>
      <w:r>
        <w:t xml:space="preserve">. </w:t>
      </w:r>
      <w:r w:rsidR="009F53F1">
        <w:t xml:space="preserve">Foram </w:t>
      </w:r>
      <w:r w:rsidR="00096232">
        <w:t>456.979 mil atendimentos.</w:t>
      </w:r>
    </w:p>
    <w:p w:rsidR="003E6588" w:rsidRDefault="003E6588">
      <w:pPr>
        <w:ind w:firstLine="1134"/>
        <w:jc w:val="both"/>
      </w:pPr>
    </w:p>
    <w:p w:rsidR="003E6588" w:rsidRDefault="003E6588">
      <w:pPr>
        <w:ind w:firstLine="1134"/>
        <w:jc w:val="both"/>
      </w:pPr>
      <w:r>
        <w:t xml:space="preserve">Na área de Arte e Cultura, foram feitos 122.813 mil atendimentos aos adolescentes. Ações que envolveram oficinas, </w:t>
      </w:r>
      <w:r>
        <w:rPr>
          <w:i/>
        </w:rPr>
        <w:t>workshop</w:t>
      </w:r>
      <w:r>
        <w:t>, eventos, atividades ordinárias, festival de música, mostra</w:t>
      </w:r>
      <w:r w:rsidR="00096232">
        <w:t xml:space="preserve"> de teatro e visitação a museus.</w:t>
      </w:r>
    </w:p>
    <w:p w:rsidR="003E6588" w:rsidRDefault="003E6588">
      <w:pPr>
        <w:ind w:firstLine="1134"/>
        <w:jc w:val="both"/>
      </w:pPr>
    </w:p>
    <w:p w:rsidR="003E6588" w:rsidRDefault="003E6588">
      <w:pPr>
        <w:ind w:firstLine="1134"/>
        <w:jc w:val="both"/>
      </w:pPr>
      <w:r>
        <w:t>Na área de Educação Profissional, foram ofertados 88 cursos de iniciação profissional básica. Os cursos oferecidos aos adolescentes estão distribuídos em 10 Áreas de Formação ou Arcos Ocupacionais</w:t>
      </w:r>
      <w:r w:rsidR="009F53F1">
        <w:t>,</w:t>
      </w:r>
      <w:r>
        <w:t xml:space="preserve"> em conformidade com a Classificação Brasileira de Ocupações - CBO e regulamentados pela Organização Internacional do Trabalho/OIT. 376 adolescentes fizeram o Vestibulinho da Etec, além de 86 em FATECs</w:t>
      </w:r>
      <w:r w:rsidR="00096232">
        <w:t>. Foram 57.000 mil atendimentos.</w:t>
      </w:r>
    </w:p>
    <w:p w:rsidR="003E6588" w:rsidRDefault="003E6588">
      <w:pPr>
        <w:ind w:firstLine="1134"/>
        <w:jc w:val="both"/>
      </w:pPr>
    </w:p>
    <w:p w:rsidR="003E6588" w:rsidRDefault="003E6588">
      <w:pPr>
        <w:ind w:firstLine="1134"/>
        <w:jc w:val="both"/>
      </w:pPr>
      <w:r>
        <w:t xml:space="preserve">Na área Escolar, por meio de parceria com a Secretaria da Educação, todos os adolescentes foram inseridos na escola. Em decorrência, 1.080 jovens fizeram o Exame Nacional do Ensino Médio PPL. 2.857 jovens foram inscritos no ENCCEJA. 542 jovens passaram para 2ª fase da </w:t>
      </w:r>
      <w:r w:rsidR="009F53F1">
        <w:t>“</w:t>
      </w:r>
      <w:r>
        <w:t>10ª Olimpíada Brasileira de Matemática de Escolas Públicas</w:t>
      </w:r>
      <w:r w:rsidR="009F53F1">
        <w:t>”</w:t>
      </w:r>
      <w:r>
        <w:t>. Na área escolar, foram feitos 87.446 atendimentos.</w:t>
      </w:r>
    </w:p>
    <w:p w:rsidR="003E6588" w:rsidRDefault="003E6588">
      <w:pPr>
        <w:ind w:left="360"/>
        <w:jc w:val="both"/>
      </w:pPr>
    </w:p>
    <w:p w:rsidR="009F53F1" w:rsidRDefault="009F53F1">
      <w:pPr>
        <w:ind w:left="360"/>
        <w:jc w:val="both"/>
      </w:pPr>
    </w:p>
    <w:p w:rsidR="003E6588" w:rsidRDefault="009F53F1" w:rsidP="009F53F1">
      <w:pPr>
        <w:ind w:firstLine="142"/>
        <w:rPr>
          <w:b/>
        </w:rPr>
      </w:pPr>
      <w:r>
        <w:rPr>
          <w:b/>
        </w:rPr>
        <w:t>INSTITUTO DE PESOS E MEDIDAS DO ESTADO DE SÃO PAULO - IPEM</w:t>
      </w:r>
    </w:p>
    <w:p w:rsidR="003E6588" w:rsidRPr="00096232" w:rsidRDefault="003E6588">
      <w:pPr>
        <w:ind w:firstLine="1134"/>
        <w:jc w:val="both"/>
        <w:rPr>
          <w:u w:val="single"/>
        </w:rPr>
      </w:pPr>
    </w:p>
    <w:p w:rsidR="009F53F1" w:rsidRPr="00096232" w:rsidRDefault="009F53F1">
      <w:pPr>
        <w:ind w:firstLine="1134"/>
        <w:jc w:val="both"/>
        <w:rPr>
          <w:u w:val="single"/>
        </w:rPr>
      </w:pPr>
    </w:p>
    <w:p w:rsidR="003E6588" w:rsidRDefault="003E6588">
      <w:pPr>
        <w:ind w:firstLine="1134"/>
        <w:jc w:val="both"/>
      </w:pPr>
      <w:r>
        <w:rPr>
          <w:b/>
        </w:rPr>
        <w:t xml:space="preserve">Atividades Institucionais Desenvolvidas - </w:t>
      </w:r>
      <w:r>
        <w:t>O IPEM desenvolveu atividades na área de proteção e defesa do consumidor, especificamente no campo da metrologia e qualidade de bens e serviços, aferindo e verificando instrumentos de medição (taxímetros, bombas de combustíveis, medidores de pressão arterial) e fiscalizando produtos pré-medidos, que são aqueles pesados e medidos sem a presença do consumidor (todos os itens da cesta básica).</w:t>
      </w:r>
    </w:p>
    <w:p w:rsidR="003E6588" w:rsidRDefault="003E6588">
      <w:pPr>
        <w:ind w:firstLine="1134"/>
        <w:jc w:val="both"/>
      </w:pPr>
    </w:p>
    <w:tbl>
      <w:tblPr>
        <w:tblW w:w="7195" w:type="dxa"/>
        <w:jc w:val="center"/>
        <w:tblInd w:w="909" w:type="dxa"/>
        <w:tblCellMar>
          <w:left w:w="70" w:type="dxa"/>
          <w:right w:w="70" w:type="dxa"/>
        </w:tblCellMar>
        <w:tblLook w:val="04A0"/>
      </w:tblPr>
      <w:tblGrid>
        <w:gridCol w:w="4807"/>
        <w:gridCol w:w="2388"/>
      </w:tblGrid>
      <w:tr w:rsidR="003E6588" w:rsidTr="009F53F1">
        <w:trPr>
          <w:trHeight w:val="300"/>
          <w:jc w:val="center"/>
        </w:trPr>
        <w:tc>
          <w:tcPr>
            <w:tcW w:w="7195" w:type="dxa"/>
            <w:gridSpan w:val="2"/>
            <w:tcBorders>
              <w:top w:val="nil"/>
              <w:left w:val="nil"/>
              <w:bottom w:val="single" w:sz="12" w:space="0" w:color="000000"/>
              <w:right w:val="nil"/>
            </w:tcBorders>
            <w:shd w:val="clear" w:color="auto" w:fill="auto"/>
            <w:noWrap/>
            <w:vAlign w:val="center"/>
            <w:hideMark/>
          </w:tcPr>
          <w:p w:rsidR="003E6588" w:rsidRDefault="003E6588">
            <w:pPr>
              <w:rPr>
                <w:b/>
                <w:sz w:val="20"/>
                <w:szCs w:val="20"/>
              </w:rPr>
            </w:pPr>
            <w:r>
              <w:rPr>
                <w:b/>
                <w:sz w:val="20"/>
                <w:szCs w:val="20"/>
              </w:rPr>
              <w:t>IPEM</w:t>
            </w:r>
          </w:p>
          <w:p w:rsidR="003E6588" w:rsidRDefault="003E6588">
            <w:pPr>
              <w:rPr>
                <w:b/>
                <w:sz w:val="20"/>
                <w:szCs w:val="20"/>
              </w:rPr>
            </w:pPr>
            <w:r>
              <w:rPr>
                <w:b/>
                <w:sz w:val="20"/>
                <w:szCs w:val="20"/>
              </w:rPr>
              <w:t>AFERIÇÕES, PRODUTOS E SERVIÇOS FISCALIZADOS</w:t>
            </w:r>
          </w:p>
        </w:tc>
      </w:tr>
      <w:tr w:rsidR="003E6588" w:rsidTr="007E3691">
        <w:trPr>
          <w:trHeight w:val="74"/>
          <w:jc w:val="center"/>
        </w:trPr>
        <w:tc>
          <w:tcPr>
            <w:tcW w:w="4807" w:type="dxa"/>
            <w:tcBorders>
              <w:top w:val="single" w:sz="12" w:space="0" w:color="000000"/>
              <w:left w:val="nil"/>
              <w:bottom w:val="nil"/>
              <w:right w:val="nil"/>
            </w:tcBorders>
            <w:shd w:val="clear" w:color="auto" w:fill="auto"/>
            <w:noWrap/>
            <w:vAlign w:val="center"/>
            <w:hideMark/>
          </w:tcPr>
          <w:p w:rsidR="003E6588" w:rsidRDefault="003E6588">
            <w:pPr>
              <w:jc w:val="both"/>
              <w:rPr>
                <w:sz w:val="20"/>
                <w:szCs w:val="20"/>
              </w:rPr>
            </w:pPr>
          </w:p>
        </w:tc>
        <w:tc>
          <w:tcPr>
            <w:tcW w:w="2388" w:type="dxa"/>
            <w:tcBorders>
              <w:top w:val="single" w:sz="12" w:space="0" w:color="000000"/>
              <w:left w:val="nil"/>
              <w:bottom w:val="nil"/>
              <w:right w:val="nil"/>
            </w:tcBorders>
            <w:shd w:val="clear" w:color="auto" w:fill="auto"/>
            <w:noWrap/>
            <w:vAlign w:val="center"/>
            <w:hideMark/>
          </w:tcPr>
          <w:p w:rsidR="003E6588" w:rsidRDefault="003E6588">
            <w:pPr>
              <w:jc w:val="both"/>
              <w:rPr>
                <w:sz w:val="20"/>
                <w:szCs w:val="20"/>
              </w:rPr>
            </w:pPr>
          </w:p>
        </w:tc>
      </w:tr>
      <w:tr w:rsidR="003E6588" w:rsidTr="009F53F1">
        <w:trPr>
          <w:trHeight w:val="228"/>
          <w:jc w:val="center"/>
        </w:trPr>
        <w:tc>
          <w:tcPr>
            <w:tcW w:w="4807" w:type="dxa"/>
            <w:tcBorders>
              <w:top w:val="nil"/>
              <w:left w:val="nil"/>
              <w:bottom w:val="nil"/>
              <w:right w:val="nil"/>
            </w:tcBorders>
            <w:shd w:val="clear" w:color="auto" w:fill="auto"/>
            <w:noWrap/>
            <w:vAlign w:val="center"/>
            <w:hideMark/>
          </w:tcPr>
          <w:p w:rsidR="003E6588" w:rsidRDefault="003E6588">
            <w:pPr>
              <w:jc w:val="both"/>
              <w:rPr>
                <w:bCs/>
                <w:sz w:val="20"/>
                <w:szCs w:val="20"/>
              </w:rPr>
            </w:pPr>
            <w:r>
              <w:rPr>
                <w:bCs/>
                <w:sz w:val="20"/>
                <w:szCs w:val="20"/>
              </w:rPr>
              <w:t>Instrumentos de Medição em geral</w:t>
            </w:r>
          </w:p>
        </w:tc>
        <w:tc>
          <w:tcPr>
            <w:tcW w:w="2388" w:type="dxa"/>
            <w:tcBorders>
              <w:top w:val="nil"/>
              <w:left w:val="nil"/>
              <w:bottom w:val="nil"/>
              <w:right w:val="nil"/>
            </w:tcBorders>
            <w:shd w:val="clear" w:color="auto" w:fill="auto"/>
            <w:noWrap/>
            <w:vAlign w:val="center"/>
            <w:hideMark/>
          </w:tcPr>
          <w:p w:rsidR="003E6588" w:rsidRDefault="003E6588">
            <w:pPr>
              <w:rPr>
                <w:bCs/>
                <w:sz w:val="20"/>
                <w:szCs w:val="20"/>
              </w:rPr>
            </w:pPr>
            <w:r>
              <w:rPr>
                <w:bCs/>
                <w:sz w:val="20"/>
                <w:szCs w:val="20"/>
              </w:rPr>
              <w:t>764.419</w:t>
            </w:r>
          </w:p>
        </w:tc>
      </w:tr>
      <w:tr w:rsidR="003E6588" w:rsidTr="007E3691">
        <w:trPr>
          <w:trHeight w:val="182"/>
          <w:jc w:val="center"/>
        </w:trPr>
        <w:tc>
          <w:tcPr>
            <w:tcW w:w="4807" w:type="dxa"/>
            <w:tcBorders>
              <w:top w:val="nil"/>
              <w:left w:val="nil"/>
              <w:bottom w:val="nil"/>
              <w:right w:val="nil"/>
            </w:tcBorders>
            <w:shd w:val="clear" w:color="auto" w:fill="auto"/>
            <w:noWrap/>
            <w:vAlign w:val="center"/>
            <w:hideMark/>
          </w:tcPr>
          <w:p w:rsidR="003E6588" w:rsidRDefault="003E6588">
            <w:pPr>
              <w:jc w:val="both"/>
              <w:rPr>
                <w:bCs/>
                <w:sz w:val="20"/>
                <w:szCs w:val="20"/>
              </w:rPr>
            </w:pPr>
            <w:r>
              <w:rPr>
                <w:bCs/>
                <w:sz w:val="20"/>
                <w:szCs w:val="20"/>
              </w:rPr>
              <w:t>Bombas de combustíveis líquidos</w:t>
            </w:r>
          </w:p>
        </w:tc>
        <w:tc>
          <w:tcPr>
            <w:tcW w:w="2388" w:type="dxa"/>
            <w:tcBorders>
              <w:top w:val="nil"/>
              <w:left w:val="nil"/>
              <w:bottom w:val="nil"/>
              <w:right w:val="nil"/>
            </w:tcBorders>
            <w:shd w:val="clear" w:color="auto" w:fill="auto"/>
            <w:noWrap/>
            <w:vAlign w:val="center"/>
            <w:hideMark/>
          </w:tcPr>
          <w:p w:rsidR="003E6588" w:rsidRDefault="003E6588">
            <w:pPr>
              <w:rPr>
                <w:bCs/>
                <w:sz w:val="20"/>
                <w:szCs w:val="20"/>
              </w:rPr>
            </w:pPr>
            <w:r>
              <w:rPr>
                <w:bCs/>
                <w:sz w:val="20"/>
                <w:szCs w:val="20"/>
              </w:rPr>
              <w:t>113.002</w:t>
            </w:r>
          </w:p>
        </w:tc>
      </w:tr>
      <w:tr w:rsidR="003E6588" w:rsidTr="007E3691">
        <w:trPr>
          <w:trHeight w:val="99"/>
          <w:jc w:val="center"/>
        </w:trPr>
        <w:tc>
          <w:tcPr>
            <w:tcW w:w="4807" w:type="dxa"/>
            <w:tcBorders>
              <w:top w:val="nil"/>
              <w:left w:val="nil"/>
              <w:bottom w:val="nil"/>
              <w:right w:val="nil"/>
            </w:tcBorders>
            <w:shd w:val="clear" w:color="auto" w:fill="auto"/>
            <w:noWrap/>
            <w:vAlign w:val="center"/>
            <w:hideMark/>
          </w:tcPr>
          <w:p w:rsidR="003E6588" w:rsidRDefault="003E6588">
            <w:pPr>
              <w:jc w:val="both"/>
              <w:rPr>
                <w:bCs/>
                <w:sz w:val="20"/>
                <w:szCs w:val="20"/>
              </w:rPr>
            </w:pPr>
            <w:r>
              <w:rPr>
                <w:bCs/>
                <w:sz w:val="20"/>
                <w:szCs w:val="20"/>
              </w:rPr>
              <w:t>Postos de combustíveis</w:t>
            </w:r>
          </w:p>
        </w:tc>
        <w:tc>
          <w:tcPr>
            <w:tcW w:w="2388" w:type="dxa"/>
            <w:tcBorders>
              <w:top w:val="nil"/>
              <w:left w:val="nil"/>
              <w:bottom w:val="nil"/>
              <w:right w:val="nil"/>
            </w:tcBorders>
            <w:shd w:val="clear" w:color="auto" w:fill="auto"/>
            <w:noWrap/>
            <w:vAlign w:val="center"/>
            <w:hideMark/>
          </w:tcPr>
          <w:p w:rsidR="003E6588" w:rsidRDefault="003E6588">
            <w:pPr>
              <w:rPr>
                <w:bCs/>
                <w:sz w:val="20"/>
                <w:szCs w:val="20"/>
              </w:rPr>
            </w:pPr>
            <w:r>
              <w:rPr>
                <w:bCs/>
                <w:sz w:val="20"/>
                <w:szCs w:val="20"/>
              </w:rPr>
              <w:t>10.677</w:t>
            </w:r>
          </w:p>
        </w:tc>
      </w:tr>
      <w:tr w:rsidR="003E6588" w:rsidTr="007E3691">
        <w:trPr>
          <w:trHeight w:val="146"/>
          <w:jc w:val="center"/>
        </w:trPr>
        <w:tc>
          <w:tcPr>
            <w:tcW w:w="4807" w:type="dxa"/>
            <w:tcBorders>
              <w:top w:val="nil"/>
              <w:left w:val="nil"/>
              <w:right w:val="nil"/>
            </w:tcBorders>
            <w:shd w:val="clear" w:color="auto" w:fill="auto"/>
            <w:noWrap/>
            <w:vAlign w:val="center"/>
          </w:tcPr>
          <w:p w:rsidR="003E6588" w:rsidRDefault="003E6588">
            <w:pPr>
              <w:jc w:val="both"/>
              <w:rPr>
                <w:bCs/>
                <w:sz w:val="20"/>
                <w:szCs w:val="20"/>
              </w:rPr>
            </w:pPr>
            <w:r>
              <w:rPr>
                <w:bCs/>
                <w:sz w:val="20"/>
                <w:szCs w:val="20"/>
              </w:rPr>
              <w:t>Produtos Pré-Médidos</w:t>
            </w:r>
          </w:p>
        </w:tc>
        <w:tc>
          <w:tcPr>
            <w:tcW w:w="2388" w:type="dxa"/>
            <w:tcBorders>
              <w:top w:val="nil"/>
              <w:left w:val="nil"/>
              <w:right w:val="nil"/>
            </w:tcBorders>
            <w:shd w:val="clear" w:color="auto" w:fill="auto"/>
            <w:noWrap/>
            <w:vAlign w:val="center"/>
          </w:tcPr>
          <w:p w:rsidR="003E6588" w:rsidRDefault="003E6588">
            <w:pPr>
              <w:rPr>
                <w:bCs/>
                <w:sz w:val="20"/>
                <w:szCs w:val="20"/>
              </w:rPr>
            </w:pPr>
            <w:r>
              <w:rPr>
                <w:bCs/>
                <w:sz w:val="20"/>
                <w:szCs w:val="20"/>
              </w:rPr>
              <w:t>156.804</w:t>
            </w:r>
          </w:p>
        </w:tc>
      </w:tr>
      <w:tr w:rsidR="003E6588" w:rsidTr="00096232">
        <w:trPr>
          <w:trHeight w:val="68"/>
          <w:jc w:val="center"/>
        </w:trPr>
        <w:tc>
          <w:tcPr>
            <w:tcW w:w="4807" w:type="dxa"/>
            <w:tcBorders>
              <w:top w:val="nil"/>
              <w:left w:val="nil"/>
              <w:bottom w:val="single" w:sz="8" w:space="0" w:color="auto"/>
              <w:right w:val="nil"/>
            </w:tcBorders>
            <w:shd w:val="clear" w:color="auto" w:fill="auto"/>
            <w:noWrap/>
            <w:vAlign w:val="center"/>
            <w:hideMark/>
          </w:tcPr>
          <w:p w:rsidR="003E6588" w:rsidRDefault="003E6588">
            <w:pPr>
              <w:jc w:val="both"/>
              <w:rPr>
                <w:sz w:val="20"/>
                <w:szCs w:val="20"/>
              </w:rPr>
            </w:pPr>
            <w:r>
              <w:rPr>
                <w:sz w:val="20"/>
                <w:szCs w:val="20"/>
              </w:rPr>
              <w:t>Produtos com Certificação Compulsória</w:t>
            </w:r>
          </w:p>
        </w:tc>
        <w:tc>
          <w:tcPr>
            <w:tcW w:w="2388" w:type="dxa"/>
            <w:tcBorders>
              <w:top w:val="nil"/>
              <w:left w:val="nil"/>
              <w:bottom w:val="single" w:sz="8" w:space="0" w:color="auto"/>
              <w:right w:val="nil"/>
            </w:tcBorders>
            <w:shd w:val="clear" w:color="auto" w:fill="auto"/>
            <w:noWrap/>
            <w:vAlign w:val="center"/>
            <w:hideMark/>
          </w:tcPr>
          <w:p w:rsidR="003E6588" w:rsidRDefault="003E6588">
            <w:pPr>
              <w:rPr>
                <w:sz w:val="20"/>
                <w:szCs w:val="20"/>
              </w:rPr>
            </w:pPr>
            <w:r>
              <w:rPr>
                <w:sz w:val="20"/>
                <w:szCs w:val="20"/>
              </w:rPr>
              <w:t>2.717.955</w:t>
            </w:r>
          </w:p>
        </w:tc>
      </w:tr>
    </w:tbl>
    <w:p w:rsidR="003E6588" w:rsidRDefault="003E6588">
      <w:pPr>
        <w:jc w:val="both"/>
      </w:pPr>
    </w:p>
    <w:p w:rsidR="003E6588" w:rsidRDefault="003E6588">
      <w:pPr>
        <w:ind w:firstLine="1134"/>
        <w:jc w:val="both"/>
      </w:pPr>
      <w:r>
        <w:t>O IPEM-SP se empenhou na reestruturação financeira e orçamentária da Autarquia</w:t>
      </w:r>
      <w:r w:rsidR="009F53F1">
        <w:t xml:space="preserve">, </w:t>
      </w:r>
      <w:r>
        <w:t xml:space="preserve">para cumprir o plano de trabalho firmado com o INMETRO para os próximos cinco anos, objetivando ampliação da capacidade e excelência na prestação dos serviços, valorização do capital humano e ética </w:t>
      </w:r>
      <w:r w:rsidR="009F53F1">
        <w:t>nas ações.</w:t>
      </w:r>
    </w:p>
    <w:p w:rsidR="003E6588" w:rsidRPr="009F53F1" w:rsidRDefault="003E6588">
      <w:pPr>
        <w:ind w:firstLine="1134"/>
        <w:jc w:val="both"/>
      </w:pPr>
      <w:r w:rsidRPr="009F53F1">
        <w:rPr>
          <w:b/>
        </w:rPr>
        <w:lastRenderedPageBreak/>
        <w:t xml:space="preserve">Área de Recursos Humanos - </w:t>
      </w:r>
      <w:r w:rsidRPr="009F53F1">
        <w:t>A avaliação de desempenho de servidores, levada a efeito em processo de progressão, foi fundamental para a imprescindível evolução do corpo funcional da Autarquia</w:t>
      </w:r>
      <w:r w:rsidR="009F53F1" w:rsidRPr="009F53F1">
        <w:t>,</w:t>
      </w:r>
      <w:r w:rsidRPr="009F53F1">
        <w:t xml:space="preserve"> que, incentivado pelo reconhecimento do trabalho desenvolvido, procurou o aperfeiçoamento do grau de formação, aumentando o nível acadêmico e grau de profissionalismo existente.</w:t>
      </w:r>
    </w:p>
    <w:p w:rsidR="003E6588" w:rsidRPr="009F53F1" w:rsidRDefault="003E6588">
      <w:pPr>
        <w:ind w:firstLine="1134"/>
        <w:jc w:val="both"/>
      </w:pPr>
    </w:p>
    <w:p w:rsidR="003E6588" w:rsidRDefault="00AD3B0F">
      <w:r>
        <w:rPr>
          <w:noProof/>
        </w:rPr>
        <w:drawing>
          <wp:inline distT="0" distB="0" distL="0" distR="0">
            <wp:extent cx="4076700" cy="1685925"/>
            <wp:effectExtent l="0" t="0" r="0" b="0"/>
            <wp:docPr id="18" name="Objeto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3E6588" w:rsidRDefault="003E6588">
      <w:pPr>
        <w:ind w:left="708" w:firstLine="708"/>
        <w:jc w:val="both"/>
        <w:rPr>
          <w:sz w:val="16"/>
          <w:szCs w:val="16"/>
        </w:rPr>
      </w:pPr>
      <w:r>
        <w:rPr>
          <w:sz w:val="16"/>
          <w:szCs w:val="16"/>
        </w:rPr>
        <w:t xml:space="preserve">            Fonte: Departamento de Recursos Humanos</w:t>
      </w:r>
    </w:p>
    <w:p w:rsidR="009F53F1" w:rsidRDefault="009F53F1">
      <w:pPr>
        <w:ind w:firstLine="1134"/>
        <w:jc w:val="both"/>
        <w:rPr>
          <w:b/>
        </w:rPr>
      </w:pPr>
    </w:p>
    <w:p w:rsidR="003E6588" w:rsidRDefault="003E6588">
      <w:pPr>
        <w:ind w:firstLine="1134"/>
        <w:jc w:val="both"/>
      </w:pPr>
      <w:r>
        <w:rPr>
          <w:b/>
        </w:rPr>
        <w:t xml:space="preserve">Infraestrutura - </w:t>
      </w:r>
      <w:r>
        <w:t>Renovado o parque de informática, mobiliário e instalações prediais, reestruturou-se as 18 Delegacias de Ação Regional da Autarquia, unidades da Capital e do Interior diretamente responsáveis pela arrecadação, o que possibilitou obtenção de receita para outros investimentos, a saber, modernização dos laboratórios, aquisição de novos equipamentos e perspectiva de construção do primeiro Posto de Verificação de Taxímetros por rolete do Brasil na Capital do Estado, em parceria com o INMETRO.</w:t>
      </w:r>
    </w:p>
    <w:p w:rsidR="003E6588" w:rsidRDefault="003E6588">
      <w:pPr>
        <w:ind w:firstLine="1134"/>
        <w:jc w:val="both"/>
      </w:pPr>
    </w:p>
    <w:p w:rsidR="003E6588" w:rsidRDefault="003E6588">
      <w:pPr>
        <w:ind w:firstLine="1134"/>
        <w:jc w:val="both"/>
        <w:rPr>
          <w:b/>
        </w:rPr>
      </w:pPr>
      <w:r>
        <w:rPr>
          <w:b/>
        </w:rPr>
        <w:t>Sede das Delegacias de Ação Regional do IPEM</w:t>
      </w:r>
    </w:p>
    <w:p w:rsidR="003E6588" w:rsidRDefault="003E6588">
      <w:pPr>
        <w:ind w:firstLine="1134"/>
        <w:jc w:val="both"/>
      </w:pPr>
    </w:p>
    <w:p w:rsidR="003E6588" w:rsidRDefault="00AD3B0F">
      <w:r>
        <w:rPr>
          <w:noProof/>
        </w:rPr>
        <w:drawing>
          <wp:inline distT="0" distB="0" distL="0" distR="0">
            <wp:extent cx="3819525" cy="2552700"/>
            <wp:effectExtent l="19050" t="0" r="9525" b="0"/>
            <wp:docPr id="19" name="Imagem 8" descr="E:\Administrativos\Formulários Proc Adm\Chefia de Gabinete\Relatórios e Docs Diversos\Atividades 2014\Mapa Regionais Dezembro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 descr="E:\Administrativos\Formulários Proc Adm\Chefia de Gabinete\Relatórios e Docs Diversos\Atividades 2014\Mapa Regionais Dezembro 2014.jpg"/>
                    <pic:cNvPicPr>
                      <a:picLocks noChangeAspect="1" noChangeArrowheads="1"/>
                    </pic:cNvPicPr>
                  </pic:nvPicPr>
                  <pic:blipFill>
                    <a:blip r:embed="rId60" cstate="print"/>
                    <a:srcRect/>
                    <a:stretch>
                      <a:fillRect/>
                    </a:stretch>
                  </pic:blipFill>
                  <pic:spPr bwMode="auto">
                    <a:xfrm>
                      <a:off x="0" y="0"/>
                      <a:ext cx="3819525" cy="2552700"/>
                    </a:xfrm>
                    <a:prstGeom prst="rect">
                      <a:avLst/>
                    </a:prstGeom>
                    <a:noFill/>
                    <a:ln w="9525">
                      <a:noFill/>
                      <a:miter lim="800000"/>
                      <a:headEnd/>
                      <a:tailEnd/>
                    </a:ln>
                  </pic:spPr>
                </pic:pic>
              </a:graphicData>
            </a:graphic>
          </wp:inline>
        </w:drawing>
      </w:r>
    </w:p>
    <w:p w:rsidR="003E6588" w:rsidRDefault="003E6588">
      <w:pPr>
        <w:ind w:left="708" w:firstLine="708"/>
        <w:jc w:val="both"/>
        <w:rPr>
          <w:sz w:val="16"/>
          <w:szCs w:val="16"/>
        </w:rPr>
      </w:pPr>
      <w:r>
        <w:rPr>
          <w:sz w:val="16"/>
          <w:szCs w:val="16"/>
        </w:rPr>
        <w:t xml:space="preserve">                   Fonte: Assessoria de Comunicação</w:t>
      </w:r>
    </w:p>
    <w:p w:rsidR="003E6588" w:rsidRDefault="003E6588">
      <w:pPr>
        <w:jc w:val="both"/>
      </w:pPr>
    </w:p>
    <w:p w:rsidR="003E6588" w:rsidRDefault="003E6588">
      <w:pPr>
        <w:ind w:firstLine="1134"/>
        <w:jc w:val="both"/>
      </w:pPr>
      <w:r>
        <w:rPr>
          <w:b/>
        </w:rPr>
        <w:lastRenderedPageBreak/>
        <w:t xml:space="preserve">Receita - </w:t>
      </w:r>
      <w:r>
        <w:t>Total planejado de R$ 198.142.637,43; Total realizado de R$ 193.822.654,50.</w:t>
      </w:r>
    </w:p>
    <w:p w:rsidR="009F53F1" w:rsidRDefault="009F53F1">
      <w:pPr>
        <w:ind w:firstLine="1134"/>
        <w:jc w:val="both"/>
      </w:pPr>
    </w:p>
    <w:p w:rsidR="003E6588" w:rsidRDefault="00AD3B0F">
      <w:r>
        <w:rPr>
          <w:noProof/>
        </w:rPr>
        <w:drawing>
          <wp:inline distT="0" distB="0" distL="0" distR="0">
            <wp:extent cx="5534025" cy="3810000"/>
            <wp:effectExtent l="19050" t="0" r="9525" b="0"/>
            <wp:docPr id="20" name="Imagem 6" descr="arrecadacaodez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descr="arrecadacaodez2014"/>
                    <pic:cNvPicPr>
                      <a:picLocks noChangeAspect="1" noChangeArrowheads="1"/>
                    </pic:cNvPicPr>
                  </pic:nvPicPr>
                  <pic:blipFill>
                    <a:blip r:embed="rId61" cstate="print"/>
                    <a:srcRect/>
                    <a:stretch>
                      <a:fillRect/>
                    </a:stretch>
                  </pic:blipFill>
                  <pic:spPr bwMode="auto">
                    <a:xfrm>
                      <a:off x="0" y="0"/>
                      <a:ext cx="5534025" cy="3810000"/>
                    </a:xfrm>
                    <a:prstGeom prst="rect">
                      <a:avLst/>
                    </a:prstGeom>
                    <a:noFill/>
                    <a:ln w="9525">
                      <a:noFill/>
                      <a:miter lim="800000"/>
                      <a:headEnd/>
                      <a:tailEnd/>
                    </a:ln>
                  </pic:spPr>
                </pic:pic>
              </a:graphicData>
            </a:graphic>
          </wp:inline>
        </w:drawing>
      </w:r>
    </w:p>
    <w:p w:rsidR="003E6588" w:rsidRDefault="003E6588">
      <w:pPr>
        <w:ind w:left="708"/>
        <w:jc w:val="both"/>
        <w:rPr>
          <w:sz w:val="16"/>
          <w:szCs w:val="16"/>
        </w:rPr>
      </w:pPr>
      <w:r>
        <w:rPr>
          <w:sz w:val="16"/>
          <w:szCs w:val="16"/>
        </w:rPr>
        <w:t xml:space="preserve">        Fonte: </w:t>
      </w:r>
      <w:r w:rsidRPr="00410EE0">
        <w:rPr>
          <w:i/>
          <w:sz w:val="16"/>
          <w:szCs w:val="16"/>
        </w:rPr>
        <w:t>Intranet</w:t>
      </w:r>
      <w:r>
        <w:rPr>
          <w:sz w:val="16"/>
          <w:szCs w:val="16"/>
        </w:rPr>
        <w:t xml:space="preserve"> do IPEM</w:t>
      </w:r>
    </w:p>
    <w:p w:rsidR="009F53F1" w:rsidRPr="007E3691" w:rsidRDefault="009F53F1">
      <w:pPr>
        <w:ind w:firstLine="1134"/>
        <w:jc w:val="both"/>
      </w:pPr>
    </w:p>
    <w:p w:rsidR="007E3691" w:rsidRPr="007E3691" w:rsidRDefault="007E3691">
      <w:pPr>
        <w:ind w:firstLine="1134"/>
        <w:jc w:val="both"/>
      </w:pPr>
    </w:p>
    <w:p w:rsidR="003E6588" w:rsidRDefault="003E6588">
      <w:pPr>
        <w:ind w:firstLine="1134"/>
        <w:jc w:val="both"/>
      </w:pPr>
      <w:r>
        <w:rPr>
          <w:b/>
        </w:rPr>
        <w:t>Atuação da Ouvidoria</w:t>
      </w:r>
      <w:r w:rsidR="009F53F1">
        <w:rPr>
          <w:b/>
        </w:rPr>
        <w:t xml:space="preserve"> -</w:t>
      </w:r>
      <w:r>
        <w:rPr>
          <w:b/>
        </w:rPr>
        <w:t xml:space="preserve"> Atendimento de Clientes</w:t>
      </w:r>
      <w:r w:rsidR="009F53F1">
        <w:rPr>
          <w:b/>
        </w:rPr>
        <w:t xml:space="preserve"> -</w:t>
      </w:r>
      <w:r>
        <w:rPr>
          <w:b/>
        </w:rPr>
        <w:t xml:space="preserve"> Público Interno e Externo - </w:t>
      </w:r>
      <w:r>
        <w:t>Total de Atendimentos</w:t>
      </w:r>
      <w:r w:rsidR="009F53F1">
        <w:t xml:space="preserve"> -</w:t>
      </w:r>
      <w:r>
        <w:t xml:space="preserve"> Demanda Mensal e Anual</w:t>
      </w:r>
    </w:p>
    <w:p w:rsidR="003E6588" w:rsidRDefault="003E6588">
      <w:pPr>
        <w:jc w:val="both"/>
      </w:pPr>
    </w:p>
    <w:tbl>
      <w:tblPr>
        <w:tblW w:w="10060" w:type="dxa"/>
        <w:jc w:val="center"/>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83"/>
        <w:gridCol w:w="617"/>
        <w:gridCol w:w="559"/>
        <w:gridCol w:w="637"/>
        <w:gridCol w:w="603"/>
        <w:gridCol w:w="704"/>
        <w:gridCol w:w="579"/>
        <w:gridCol w:w="516"/>
        <w:gridCol w:w="595"/>
        <w:gridCol w:w="516"/>
        <w:gridCol w:w="582"/>
        <w:gridCol w:w="595"/>
        <w:gridCol w:w="571"/>
        <w:gridCol w:w="903"/>
      </w:tblGrid>
      <w:tr w:rsidR="003E6588">
        <w:trPr>
          <w:trHeight w:val="391"/>
          <w:jc w:val="center"/>
        </w:trPr>
        <w:tc>
          <w:tcPr>
            <w:tcW w:w="2083" w:type="dxa"/>
            <w:tcBorders>
              <w:tl2br w:val="single" w:sz="4" w:space="0" w:color="auto"/>
              <w:tr2bl w:val="nil"/>
            </w:tcBorders>
          </w:tcPr>
          <w:p w:rsidR="003E6588" w:rsidRDefault="003E6588">
            <w:pPr>
              <w:jc w:val="both"/>
              <w:rPr>
                <w:b/>
                <w:sz w:val="20"/>
                <w:szCs w:val="20"/>
              </w:rPr>
            </w:pPr>
            <w:r>
              <w:rPr>
                <w:b/>
                <w:sz w:val="20"/>
                <w:szCs w:val="20"/>
              </w:rPr>
              <w:t xml:space="preserve">                       Mês</w:t>
            </w:r>
          </w:p>
          <w:p w:rsidR="003E6588" w:rsidRDefault="003E6588">
            <w:pPr>
              <w:jc w:val="both"/>
              <w:rPr>
                <w:b/>
                <w:sz w:val="20"/>
                <w:szCs w:val="20"/>
              </w:rPr>
            </w:pPr>
            <w:r>
              <w:rPr>
                <w:b/>
                <w:sz w:val="20"/>
                <w:szCs w:val="20"/>
              </w:rPr>
              <w:t>Demanda</w:t>
            </w:r>
          </w:p>
        </w:tc>
        <w:tc>
          <w:tcPr>
            <w:tcW w:w="617" w:type="dxa"/>
          </w:tcPr>
          <w:p w:rsidR="003E6588" w:rsidRDefault="003E6588">
            <w:pPr>
              <w:jc w:val="both"/>
              <w:rPr>
                <w:b/>
                <w:sz w:val="20"/>
                <w:szCs w:val="20"/>
              </w:rPr>
            </w:pPr>
          </w:p>
          <w:p w:rsidR="003E6588" w:rsidRDefault="003E6588">
            <w:pPr>
              <w:jc w:val="both"/>
              <w:rPr>
                <w:b/>
                <w:sz w:val="20"/>
                <w:szCs w:val="20"/>
              </w:rPr>
            </w:pPr>
            <w:r>
              <w:rPr>
                <w:b/>
                <w:sz w:val="20"/>
                <w:szCs w:val="20"/>
              </w:rPr>
              <w:t>Jan</w:t>
            </w:r>
          </w:p>
        </w:tc>
        <w:tc>
          <w:tcPr>
            <w:tcW w:w="559" w:type="dxa"/>
          </w:tcPr>
          <w:p w:rsidR="003E6588" w:rsidRDefault="003E6588">
            <w:pPr>
              <w:jc w:val="both"/>
              <w:rPr>
                <w:b/>
                <w:sz w:val="20"/>
                <w:szCs w:val="20"/>
              </w:rPr>
            </w:pPr>
          </w:p>
          <w:p w:rsidR="003E6588" w:rsidRDefault="003E6588">
            <w:pPr>
              <w:jc w:val="both"/>
              <w:rPr>
                <w:b/>
                <w:sz w:val="20"/>
                <w:szCs w:val="20"/>
              </w:rPr>
            </w:pPr>
            <w:r>
              <w:rPr>
                <w:b/>
                <w:sz w:val="20"/>
                <w:szCs w:val="20"/>
              </w:rPr>
              <w:t>Fev</w:t>
            </w:r>
          </w:p>
        </w:tc>
        <w:tc>
          <w:tcPr>
            <w:tcW w:w="637" w:type="dxa"/>
          </w:tcPr>
          <w:p w:rsidR="003E6588" w:rsidRDefault="003E6588">
            <w:pPr>
              <w:jc w:val="both"/>
              <w:rPr>
                <w:b/>
                <w:sz w:val="20"/>
                <w:szCs w:val="20"/>
              </w:rPr>
            </w:pPr>
          </w:p>
          <w:p w:rsidR="003E6588" w:rsidRDefault="003E6588">
            <w:pPr>
              <w:jc w:val="both"/>
              <w:rPr>
                <w:b/>
                <w:sz w:val="20"/>
                <w:szCs w:val="20"/>
              </w:rPr>
            </w:pPr>
            <w:r>
              <w:rPr>
                <w:b/>
                <w:sz w:val="20"/>
                <w:szCs w:val="20"/>
              </w:rPr>
              <w:t>Mar</w:t>
            </w:r>
          </w:p>
        </w:tc>
        <w:tc>
          <w:tcPr>
            <w:tcW w:w="603" w:type="dxa"/>
          </w:tcPr>
          <w:p w:rsidR="003E6588" w:rsidRDefault="003E6588">
            <w:pPr>
              <w:jc w:val="both"/>
              <w:rPr>
                <w:b/>
                <w:sz w:val="20"/>
                <w:szCs w:val="20"/>
              </w:rPr>
            </w:pPr>
          </w:p>
          <w:p w:rsidR="003E6588" w:rsidRDefault="003E6588">
            <w:pPr>
              <w:jc w:val="both"/>
              <w:rPr>
                <w:b/>
                <w:sz w:val="20"/>
                <w:szCs w:val="20"/>
              </w:rPr>
            </w:pPr>
            <w:r>
              <w:rPr>
                <w:b/>
                <w:sz w:val="20"/>
                <w:szCs w:val="20"/>
              </w:rPr>
              <w:t>Abr</w:t>
            </w:r>
          </w:p>
        </w:tc>
        <w:tc>
          <w:tcPr>
            <w:tcW w:w="704" w:type="dxa"/>
          </w:tcPr>
          <w:p w:rsidR="003E6588" w:rsidRDefault="003E6588">
            <w:pPr>
              <w:jc w:val="both"/>
              <w:rPr>
                <w:b/>
                <w:sz w:val="20"/>
                <w:szCs w:val="20"/>
              </w:rPr>
            </w:pPr>
          </w:p>
          <w:p w:rsidR="003E6588" w:rsidRDefault="003E6588">
            <w:pPr>
              <w:jc w:val="both"/>
              <w:rPr>
                <w:b/>
                <w:sz w:val="20"/>
                <w:szCs w:val="20"/>
              </w:rPr>
            </w:pPr>
            <w:r>
              <w:rPr>
                <w:b/>
                <w:sz w:val="20"/>
                <w:szCs w:val="20"/>
              </w:rPr>
              <w:t>Maio</w:t>
            </w:r>
          </w:p>
        </w:tc>
        <w:tc>
          <w:tcPr>
            <w:tcW w:w="579" w:type="dxa"/>
          </w:tcPr>
          <w:p w:rsidR="003E6588" w:rsidRDefault="003E6588">
            <w:pPr>
              <w:jc w:val="both"/>
              <w:rPr>
                <w:b/>
                <w:sz w:val="20"/>
                <w:szCs w:val="20"/>
              </w:rPr>
            </w:pPr>
          </w:p>
          <w:p w:rsidR="003E6588" w:rsidRDefault="003E6588">
            <w:pPr>
              <w:jc w:val="both"/>
              <w:rPr>
                <w:b/>
                <w:sz w:val="20"/>
                <w:szCs w:val="20"/>
              </w:rPr>
            </w:pPr>
            <w:r>
              <w:rPr>
                <w:b/>
                <w:sz w:val="20"/>
                <w:szCs w:val="20"/>
              </w:rPr>
              <w:t>Jun</w:t>
            </w:r>
          </w:p>
        </w:tc>
        <w:tc>
          <w:tcPr>
            <w:tcW w:w="516" w:type="dxa"/>
          </w:tcPr>
          <w:p w:rsidR="003E6588" w:rsidRDefault="003E6588">
            <w:pPr>
              <w:jc w:val="both"/>
              <w:rPr>
                <w:b/>
                <w:sz w:val="20"/>
                <w:szCs w:val="20"/>
              </w:rPr>
            </w:pPr>
          </w:p>
          <w:p w:rsidR="003E6588" w:rsidRDefault="003E6588">
            <w:pPr>
              <w:jc w:val="both"/>
              <w:rPr>
                <w:b/>
                <w:sz w:val="20"/>
                <w:szCs w:val="20"/>
              </w:rPr>
            </w:pPr>
            <w:r>
              <w:rPr>
                <w:b/>
                <w:sz w:val="20"/>
                <w:szCs w:val="20"/>
              </w:rPr>
              <w:t xml:space="preserve">Jul </w:t>
            </w:r>
          </w:p>
        </w:tc>
        <w:tc>
          <w:tcPr>
            <w:tcW w:w="595" w:type="dxa"/>
          </w:tcPr>
          <w:p w:rsidR="003E6588" w:rsidRDefault="003E6588">
            <w:pPr>
              <w:jc w:val="both"/>
              <w:rPr>
                <w:b/>
                <w:sz w:val="20"/>
                <w:szCs w:val="20"/>
              </w:rPr>
            </w:pPr>
          </w:p>
          <w:p w:rsidR="003E6588" w:rsidRDefault="003E6588">
            <w:pPr>
              <w:jc w:val="both"/>
              <w:rPr>
                <w:b/>
                <w:sz w:val="20"/>
                <w:szCs w:val="20"/>
              </w:rPr>
            </w:pPr>
            <w:r>
              <w:rPr>
                <w:b/>
                <w:sz w:val="20"/>
                <w:szCs w:val="20"/>
              </w:rPr>
              <w:t xml:space="preserve">Ago </w:t>
            </w:r>
          </w:p>
        </w:tc>
        <w:tc>
          <w:tcPr>
            <w:tcW w:w="516" w:type="dxa"/>
          </w:tcPr>
          <w:p w:rsidR="003E6588" w:rsidRDefault="003E6588">
            <w:pPr>
              <w:jc w:val="both"/>
              <w:rPr>
                <w:b/>
                <w:sz w:val="20"/>
                <w:szCs w:val="20"/>
              </w:rPr>
            </w:pPr>
          </w:p>
          <w:p w:rsidR="003E6588" w:rsidRDefault="003E6588">
            <w:pPr>
              <w:jc w:val="both"/>
              <w:rPr>
                <w:b/>
                <w:sz w:val="20"/>
                <w:szCs w:val="20"/>
              </w:rPr>
            </w:pPr>
            <w:r>
              <w:rPr>
                <w:b/>
                <w:sz w:val="20"/>
                <w:szCs w:val="20"/>
              </w:rPr>
              <w:t>Set</w:t>
            </w:r>
          </w:p>
        </w:tc>
        <w:tc>
          <w:tcPr>
            <w:tcW w:w="582" w:type="dxa"/>
          </w:tcPr>
          <w:p w:rsidR="003E6588" w:rsidRDefault="003E6588">
            <w:pPr>
              <w:jc w:val="both"/>
              <w:rPr>
                <w:b/>
                <w:sz w:val="20"/>
                <w:szCs w:val="20"/>
              </w:rPr>
            </w:pPr>
          </w:p>
          <w:p w:rsidR="003E6588" w:rsidRDefault="003E6588">
            <w:pPr>
              <w:jc w:val="both"/>
              <w:rPr>
                <w:b/>
                <w:sz w:val="20"/>
                <w:szCs w:val="20"/>
              </w:rPr>
            </w:pPr>
            <w:r>
              <w:rPr>
                <w:b/>
                <w:sz w:val="20"/>
                <w:szCs w:val="20"/>
              </w:rPr>
              <w:t>Out</w:t>
            </w:r>
          </w:p>
        </w:tc>
        <w:tc>
          <w:tcPr>
            <w:tcW w:w="595" w:type="dxa"/>
          </w:tcPr>
          <w:p w:rsidR="003E6588" w:rsidRDefault="003E6588">
            <w:pPr>
              <w:jc w:val="both"/>
              <w:rPr>
                <w:b/>
                <w:sz w:val="20"/>
                <w:szCs w:val="20"/>
              </w:rPr>
            </w:pPr>
          </w:p>
          <w:p w:rsidR="003E6588" w:rsidRDefault="003E6588">
            <w:pPr>
              <w:jc w:val="both"/>
              <w:rPr>
                <w:b/>
                <w:sz w:val="20"/>
                <w:szCs w:val="20"/>
              </w:rPr>
            </w:pPr>
            <w:r>
              <w:rPr>
                <w:b/>
                <w:sz w:val="20"/>
                <w:szCs w:val="20"/>
              </w:rPr>
              <w:t>Nov</w:t>
            </w:r>
          </w:p>
        </w:tc>
        <w:tc>
          <w:tcPr>
            <w:tcW w:w="571" w:type="dxa"/>
          </w:tcPr>
          <w:p w:rsidR="003E6588" w:rsidRDefault="003E6588">
            <w:pPr>
              <w:jc w:val="both"/>
              <w:rPr>
                <w:b/>
                <w:sz w:val="20"/>
                <w:szCs w:val="20"/>
              </w:rPr>
            </w:pPr>
          </w:p>
          <w:p w:rsidR="003E6588" w:rsidRDefault="003E6588">
            <w:pPr>
              <w:jc w:val="both"/>
              <w:rPr>
                <w:b/>
                <w:sz w:val="20"/>
                <w:szCs w:val="20"/>
              </w:rPr>
            </w:pPr>
            <w:r>
              <w:rPr>
                <w:b/>
                <w:sz w:val="20"/>
                <w:szCs w:val="20"/>
              </w:rPr>
              <w:t>Dez</w:t>
            </w:r>
          </w:p>
        </w:tc>
        <w:tc>
          <w:tcPr>
            <w:tcW w:w="903" w:type="dxa"/>
          </w:tcPr>
          <w:p w:rsidR="003E6588" w:rsidRDefault="003E6588">
            <w:pPr>
              <w:jc w:val="both"/>
              <w:rPr>
                <w:b/>
                <w:sz w:val="20"/>
                <w:szCs w:val="20"/>
              </w:rPr>
            </w:pPr>
          </w:p>
          <w:p w:rsidR="003E6588" w:rsidRDefault="003E6588">
            <w:pPr>
              <w:jc w:val="both"/>
              <w:rPr>
                <w:b/>
                <w:sz w:val="20"/>
                <w:szCs w:val="20"/>
              </w:rPr>
            </w:pPr>
            <w:r>
              <w:rPr>
                <w:b/>
                <w:sz w:val="20"/>
                <w:szCs w:val="20"/>
              </w:rPr>
              <w:t>Total</w:t>
            </w:r>
          </w:p>
        </w:tc>
      </w:tr>
      <w:tr w:rsidR="003E6588">
        <w:trPr>
          <w:jc w:val="center"/>
        </w:trPr>
        <w:tc>
          <w:tcPr>
            <w:tcW w:w="2083" w:type="dxa"/>
          </w:tcPr>
          <w:p w:rsidR="003E6588" w:rsidRDefault="003E6588">
            <w:pPr>
              <w:jc w:val="both"/>
              <w:rPr>
                <w:sz w:val="20"/>
                <w:szCs w:val="20"/>
              </w:rPr>
            </w:pPr>
            <w:r>
              <w:rPr>
                <w:sz w:val="20"/>
                <w:szCs w:val="20"/>
              </w:rPr>
              <w:t>Metrológica</w:t>
            </w:r>
          </w:p>
        </w:tc>
        <w:tc>
          <w:tcPr>
            <w:tcW w:w="617" w:type="dxa"/>
          </w:tcPr>
          <w:p w:rsidR="003E6588" w:rsidRDefault="003E6588">
            <w:pPr>
              <w:rPr>
                <w:sz w:val="20"/>
                <w:szCs w:val="20"/>
              </w:rPr>
            </w:pPr>
            <w:r>
              <w:rPr>
                <w:sz w:val="20"/>
                <w:szCs w:val="20"/>
              </w:rPr>
              <w:t>72</w:t>
            </w:r>
          </w:p>
        </w:tc>
        <w:tc>
          <w:tcPr>
            <w:tcW w:w="559" w:type="dxa"/>
          </w:tcPr>
          <w:p w:rsidR="003E6588" w:rsidRDefault="003E6588">
            <w:pPr>
              <w:rPr>
                <w:sz w:val="20"/>
                <w:szCs w:val="20"/>
              </w:rPr>
            </w:pPr>
            <w:r>
              <w:rPr>
                <w:sz w:val="20"/>
                <w:szCs w:val="20"/>
              </w:rPr>
              <w:t>63</w:t>
            </w:r>
          </w:p>
        </w:tc>
        <w:tc>
          <w:tcPr>
            <w:tcW w:w="637" w:type="dxa"/>
          </w:tcPr>
          <w:p w:rsidR="003E6588" w:rsidRDefault="003E6588">
            <w:pPr>
              <w:rPr>
                <w:sz w:val="20"/>
                <w:szCs w:val="20"/>
              </w:rPr>
            </w:pPr>
            <w:r>
              <w:rPr>
                <w:sz w:val="20"/>
                <w:szCs w:val="20"/>
              </w:rPr>
              <w:t>104</w:t>
            </w:r>
          </w:p>
        </w:tc>
        <w:tc>
          <w:tcPr>
            <w:tcW w:w="603" w:type="dxa"/>
          </w:tcPr>
          <w:p w:rsidR="003E6588" w:rsidRDefault="003E6588">
            <w:pPr>
              <w:rPr>
                <w:sz w:val="20"/>
                <w:szCs w:val="20"/>
              </w:rPr>
            </w:pPr>
            <w:r>
              <w:rPr>
                <w:sz w:val="20"/>
                <w:szCs w:val="20"/>
              </w:rPr>
              <w:t>111</w:t>
            </w:r>
          </w:p>
        </w:tc>
        <w:tc>
          <w:tcPr>
            <w:tcW w:w="704" w:type="dxa"/>
          </w:tcPr>
          <w:p w:rsidR="003E6588" w:rsidRDefault="003E6588">
            <w:pPr>
              <w:rPr>
                <w:sz w:val="20"/>
                <w:szCs w:val="20"/>
              </w:rPr>
            </w:pPr>
            <w:r>
              <w:rPr>
                <w:sz w:val="20"/>
                <w:szCs w:val="20"/>
              </w:rPr>
              <w:t>113</w:t>
            </w:r>
          </w:p>
        </w:tc>
        <w:tc>
          <w:tcPr>
            <w:tcW w:w="579" w:type="dxa"/>
          </w:tcPr>
          <w:p w:rsidR="003E6588" w:rsidRDefault="003E6588">
            <w:pPr>
              <w:rPr>
                <w:sz w:val="20"/>
                <w:szCs w:val="20"/>
              </w:rPr>
            </w:pPr>
            <w:r>
              <w:rPr>
                <w:sz w:val="20"/>
                <w:szCs w:val="20"/>
              </w:rPr>
              <w:t>151</w:t>
            </w:r>
          </w:p>
        </w:tc>
        <w:tc>
          <w:tcPr>
            <w:tcW w:w="516" w:type="dxa"/>
          </w:tcPr>
          <w:p w:rsidR="003E6588" w:rsidRDefault="003E6588">
            <w:pPr>
              <w:rPr>
                <w:sz w:val="20"/>
                <w:szCs w:val="20"/>
              </w:rPr>
            </w:pPr>
            <w:r>
              <w:rPr>
                <w:sz w:val="20"/>
                <w:szCs w:val="20"/>
              </w:rPr>
              <w:t>85</w:t>
            </w:r>
          </w:p>
        </w:tc>
        <w:tc>
          <w:tcPr>
            <w:tcW w:w="595" w:type="dxa"/>
          </w:tcPr>
          <w:p w:rsidR="003E6588" w:rsidRDefault="003E6588">
            <w:pPr>
              <w:rPr>
                <w:sz w:val="20"/>
                <w:szCs w:val="20"/>
              </w:rPr>
            </w:pPr>
            <w:r>
              <w:rPr>
                <w:sz w:val="20"/>
                <w:szCs w:val="20"/>
              </w:rPr>
              <w:t>134</w:t>
            </w:r>
          </w:p>
        </w:tc>
        <w:tc>
          <w:tcPr>
            <w:tcW w:w="516" w:type="dxa"/>
          </w:tcPr>
          <w:p w:rsidR="003E6588" w:rsidRDefault="003E6588">
            <w:pPr>
              <w:rPr>
                <w:sz w:val="20"/>
                <w:szCs w:val="20"/>
              </w:rPr>
            </w:pPr>
            <w:r>
              <w:rPr>
                <w:sz w:val="20"/>
                <w:szCs w:val="20"/>
              </w:rPr>
              <w:t>110</w:t>
            </w:r>
          </w:p>
        </w:tc>
        <w:tc>
          <w:tcPr>
            <w:tcW w:w="582" w:type="dxa"/>
          </w:tcPr>
          <w:p w:rsidR="003E6588" w:rsidRDefault="003E6588">
            <w:pPr>
              <w:rPr>
                <w:sz w:val="20"/>
                <w:szCs w:val="20"/>
              </w:rPr>
            </w:pPr>
            <w:r>
              <w:rPr>
                <w:sz w:val="20"/>
                <w:szCs w:val="20"/>
              </w:rPr>
              <w:t>113</w:t>
            </w:r>
          </w:p>
        </w:tc>
        <w:tc>
          <w:tcPr>
            <w:tcW w:w="595" w:type="dxa"/>
          </w:tcPr>
          <w:p w:rsidR="003E6588" w:rsidRDefault="003E6588">
            <w:pPr>
              <w:rPr>
                <w:sz w:val="20"/>
                <w:szCs w:val="20"/>
              </w:rPr>
            </w:pPr>
            <w:r>
              <w:rPr>
                <w:sz w:val="20"/>
                <w:szCs w:val="20"/>
              </w:rPr>
              <w:t>74</w:t>
            </w:r>
          </w:p>
        </w:tc>
        <w:tc>
          <w:tcPr>
            <w:tcW w:w="571" w:type="dxa"/>
          </w:tcPr>
          <w:p w:rsidR="003E6588" w:rsidRDefault="003E6588">
            <w:pPr>
              <w:rPr>
                <w:sz w:val="20"/>
                <w:szCs w:val="20"/>
              </w:rPr>
            </w:pPr>
            <w:r>
              <w:rPr>
                <w:sz w:val="20"/>
                <w:szCs w:val="20"/>
              </w:rPr>
              <w:t>82</w:t>
            </w:r>
          </w:p>
        </w:tc>
        <w:tc>
          <w:tcPr>
            <w:tcW w:w="903" w:type="dxa"/>
          </w:tcPr>
          <w:p w:rsidR="003E6588" w:rsidRDefault="003E6588">
            <w:pPr>
              <w:rPr>
                <w:sz w:val="20"/>
                <w:szCs w:val="20"/>
              </w:rPr>
            </w:pPr>
            <w:r>
              <w:rPr>
                <w:sz w:val="20"/>
                <w:szCs w:val="20"/>
              </w:rPr>
              <w:t>1.212</w:t>
            </w:r>
          </w:p>
        </w:tc>
      </w:tr>
      <w:tr w:rsidR="003E6588">
        <w:trPr>
          <w:jc w:val="center"/>
        </w:trPr>
        <w:tc>
          <w:tcPr>
            <w:tcW w:w="2083" w:type="dxa"/>
          </w:tcPr>
          <w:p w:rsidR="003E6588" w:rsidRDefault="003E6588">
            <w:pPr>
              <w:jc w:val="both"/>
              <w:rPr>
                <w:sz w:val="20"/>
                <w:szCs w:val="20"/>
              </w:rPr>
            </w:pPr>
            <w:r>
              <w:rPr>
                <w:sz w:val="20"/>
                <w:szCs w:val="20"/>
              </w:rPr>
              <w:t>Institucional</w:t>
            </w:r>
          </w:p>
        </w:tc>
        <w:tc>
          <w:tcPr>
            <w:tcW w:w="617" w:type="dxa"/>
          </w:tcPr>
          <w:p w:rsidR="003E6588" w:rsidRDefault="003E6588">
            <w:pPr>
              <w:rPr>
                <w:sz w:val="20"/>
                <w:szCs w:val="20"/>
              </w:rPr>
            </w:pPr>
            <w:r>
              <w:rPr>
                <w:sz w:val="20"/>
                <w:szCs w:val="20"/>
              </w:rPr>
              <w:t>5</w:t>
            </w:r>
          </w:p>
        </w:tc>
        <w:tc>
          <w:tcPr>
            <w:tcW w:w="559" w:type="dxa"/>
          </w:tcPr>
          <w:p w:rsidR="003E6588" w:rsidRDefault="003E6588">
            <w:pPr>
              <w:rPr>
                <w:sz w:val="20"/>
                <w:szCs w:val="20"/>
              </w:rPr>
            </w:pPr>
            <w:r>
              <w:rPr>
                <w:sz w:val="20"/>
                <w:szCs w:val="20"/>
              </w:rPr>
              <w:t>10</w:t>
            </w:r>
          </w:p>
        </w:tc>
        <w:tc>
          <w:tcPr>
            <w:tcW w:w="637" w:type="dxa"/>
          </w:tcPr>
          <w:p w:rsidR="003E6588" w:rsidRDefault="003E6588">
            <w:pPr>
              <w:rPr>
                <w:sz w:val="20"/>
                <w:szCs w:val="20"/>
              </w:rPr>
            </w:pPr>
            <w:r>
              <w:rPr>
                <w:sz w:val="20"/>
                <w:szCs w:val="20"/>
              </w:rPr>
              <w:t>19</w:t>
            </w:r>
          </w:p>
        </w:tc>
        <w:tc>
          <w:tcPr>
            <w:tcW w:w="603" w:type="dxa"/>
          </w:tcPr>
          <w:p w:rsidR="003E6588" w:rsidRDefault="003E6588">
            <w:pPr>
              <w:rPr>
                <w:sz w:val="20"/>
                <w:szCs w:val="20"/>
              </w:rPr>
            </w:pPr>
            <w:r>
              <w:rPr>
                <w:sz w:val="20"/>
                <w:szCs w:val="20"/>
              </w:rPr>
              <w:t>10</w:t>
            </w:r>
          </w:p>
        </w:tc>
        <w:tc>
          <w:tcPr>
            <w:tcW w:w="704" w:type="dxa"/>
          </w:tcPr>
          <w:p w:rsidR="003E6588" w:rsidRDefault="003E6588">
            <w:pPr>
              <w:rPr>
                <w:sz w:val="20"/>
                <w:szCs w:val="20"/>
              </w:rPr>
            </w:pPr>
            <w:r>
              <w:rPr>
                <w:sz w:val="20"/>
                <w:szCs w:val="20"/>
              </w:rPr>
              <w:t>6</w:t>
            </w:r>
          </w:p>
        </w:tc>
        <w:tc>
          <w:tcPr>
            <w:tcW w:w="579" w:type="dxa"/>
          </w:tcPr>
          <w:p w:rsidR="003E6588" w:rsidRDefault="003E6588">
            <w:pPr>
              <w:rPr>
                <w:sz w:val="20"/>
                <w:szCs w:val="20"/>
              </w:rPr>
            </w:pPr>
            <w:r>
              <w:rPr>
                <w:sz w:val="20"/>
                <w:szCs w:val="20"/>
              </w:rPr>
              <w:t>18</w:t>
            </w:r>
          </w:p>
        </w:tc>
        <w:tc>
          <w:tcPr>
            <w:tcW w:w="516" w:type="dxa"/>
          </w:tcPr>
          <w:p w:rsidR="003E6588" w:rsidRDefault="003E6588">
            <w:pPr>
              <w:rPr>
                <w:sz w:val="20"/>
                <w:szCs w:val="20"/>
              </w:rPr>
            </w:pPr>
            <w:r>
              <w:rPr>
                <w:sz w:val="20"/>
                <w:szCs w:val="20"/>
              </w:rPr>
              <w:t>13</w:t>
            </w:r>
          </w:p>
        </w:tc>
        <w:tc>
          <w:tcPr>
            <w:tcW w:w="595" w:type="dxa"/>
          </w:tcPr>
          <w:p w:rsidR="003E6588" w:rsidRDefault="003E6588">
            <w:pPr>
              <w:rPr>
                <w:sz w:val="20"/>
                <w:szCs w:val="20"/>
              </w:rPr>
            </w:pPr>
            <w:r>
              <w:rPr>
                <w:sz w:val="20"/>
                <w:szCs w:val="20"/>
              </w:rPr>
              <w:t>30</w:t>
            </w:r>
          </w:p>
        </w:tc>
        <w:tc>
          <w:tcPr>
            <w:tcW w:w="516" w:type="dxa"/>
          </w:tcPr>
          <w:p w:rsidR="003E6588" w:rsidRDefault="003E6588">
            <w:pPr>
              <w:rPr>
                <w:sz w:val="20"/>
                <w:szCs w:val="20"/>
              </w:rPr>
            </w:pPr>
            <w:r>
              <w:rPr>
                <w:sz w:val="20"/>
                <w:szCs w:val="20"/>
              </w:rPr>
              <w:t>15</w:t>
            </w:r>
          </w:p>
        </w:tc>
        <w:tc>
          <w:tcPr>
            <w:tcW w:w="582" w:type="dxa"/>
          </w:tcPr>
          <w:p w:rsidR="003E6588" w:rsidRDefault="003E6588">
            <w:pPr>
              <w:rPr>
                <w:sz w:val="20"/>
                <w:szCs w:val="20"/>
              </w:rPr>
            </w:pPr>
            <w:r>
              <w:rPr>
                <w:sz w:val="20"/>
                <w:szCs w:val="20"/>
              </w:rPr>
              <w:t>13</w:t>
            </w:r>
          </w:p>
        </w:tc>
        <w:tc>
          <w:tcPr>
            <w:tcW w:w="595" w:type="dxa"/>
          </w:tcPr>
          <w:p w:rsidR="003E6588" w:rsidRDefault="003E6588">
            <w:pPr>
              <w:rPr>
                <w:sz w:val="20"/>
                <w:szCs w:val="20"/>
              </w:rPr>
            </w:pPr>
            <w:r>
              <w:rPr>
                <w:sz w:val="20"/>
                <w:szCs w:val="20"/>
              </w:rPr>
              <w:t>12</w:t>
            </w:r>
          </w:p>
        </w:tc>
        <w:tc>
          <w:tcPr>
            <w:tcW w:w="571" w:type="dxa"/>
          </w:tcPr>
          <w:p w:rsidR="003E6588" w:rsidRDefault="003E6588">
            <w:pPr>
              <w:rPr>
                <w:sz w:val="20"/>
                <w:szCs w:val="20"/>
              </w:rPr>
            </w:pPr>
            <w:r>
              <w:rPr>
                <w:sz w:val="20"/>
                <w:szCs w:val="20"/>
              </w:rPr>
              <w:t>17</w:t>
            </w:r>
          </w:p>
        </w:tc>
        <w:tc>
          <w:tcPr>
            <w:tcW w:w="903" w:type="dxa"/>
          </w:tcPr>
          <w:p w:rsidR="003E6588" w:rsidRDefault="003E6588">
            <w:pPr>
              <w:rPr>
                <w:sz w:val="20"/>
                <w:szCs w:val="20"/>
              </w:rPr>
            </w:pPr>
            <w:r>
              <w:rPr>
                <w:sz w:val="20"/>
                <w:szCs w:val="20"/>
              </w:rPr>
              <w:t>168</w:t>
            </w:r>
          </w:p>
        </w:tc>
      </w:tr>
      <w:tr w:rsidR="003E6588">
        <w:trPr>
          <w:jc w:val="center"/>
        </w:trPr>
        <w:tc>
          <w:tcPr>
            <w:tcW w:w="2083" w:type="dxa"/>
          </w:tcPr>
          <w:p w:rsidR="003E6588" w:rsidRDefault="003E6588">
            <w:pPr>
              <w:jc w:val="both"/>
              <w:rPr>
                <w:sz w:val="20"/>
                <w:szCs w:val="20"/>
              </w:rPr>
            </w:pPr>
            <w:r>
              <w:rPr>
                <w:sz w:val="20"/>
                <w:szCs w:val="20"/>
              </w:rPr>
              <w:t>Informações Diversas</w:t>
            </w:r>
          </w:p>
        </w:tc>
        <w:tc>
          <w:tcPr>
            <w:tcW w:w="617" w:type="dxa"/>
          </w:tcPr>
          <w:p w:rsidR="003E6588" w:rsidRDefault="003E6588">
            <w:pPr>
              <w:rPr>
                <w:sz w:val="20"/>
                <w:szCs w:val="20"/>
              </w:rPr>
            </w:pPr>
            <w:r>
              <w:rPr>
                <w:sz w:val="20"/>
                <w:szCs w:val="20"/>
              </w:rPr>
              <w:t>70</w:t>
            </w:r>
          </w:p>
        </w:tc>
        <w:tc>
          <w:tcPr>
            <w:tcW w:w="559" w:type="dxa"/>
          </w:tcPr>
          <w:p w:rsidR="003E6588" w:rsidRDefault="003E6588">
            <w:pPr>
              <w:rPr>
                <w:sz w:val="20"/>
                <w:szCs w:val="20"/>
              </w:rPr>
            </w:pPr>
            <w:r>
              <w:rPr>
                <w:sz w:val="20"/>
                <w:szCs w:val="20"/>
              </w:rPr>
              <w:t>186</w:t>
            </w:r>
          </w:p>
        </w:tc>
        <w:tc>
          <w:tcPr>
            <w:tcW w:w="637" w:type="dxa"/>
          </w:tcPr>
          <w:p w:rsidR="003E6588" w:rsidRDefault="003E6588">
            <w:pPr>
              <w:rPr>
                <w:sz w:val="20"/>
                <w:szCs w:val="20"/>
              </w:rPr>
            </w:pPr>
            <w:r>
              <w:rPr>
                <w:sz w:val="20"/>
                <w:szCs w:val="20"/>
              </w:rPr>
              <w:t>42</w:t>
            </w:r>
          </w:p>
        </w:tc>
        <w:tc>
          <w:tcPr>
            <w:tcW w:w="603" w:type="dxa"/>
          </w:tcPr>
          <w:p w:rsidR="003E6588" w:rsidRDefault="003E6588">
            <w:pPr>
              <w:rPr>
                <w:sz w:val="20"/>
                <w:szCs w:val="20"/>
              </w:rPr>
            </w:pPr>
            <w:r>
              <w:rPr>
                <w:sz w:val="20"/>
                <w:szCs w:val="20"/>
              </w:rPr>
              <w:t>360</w:t>
            </w:r>
          </w:p>
        </w:tc>
        <w:tc>
          <w:tcPr>
            <w:tcW w:w="704" w:type="dxa"/>
          </w:tcPr>
          <w:p w:rsidR="003E6588" w:rsidRDefault="003E6588">
            <w:pPr>
              <w:rPr>
                <w:sz w:val="20"/>
                <w:szCs w:val="20"/>
              </w:rPr>
            </w:pPr>
            <w:r>
              <w:rPr>
                <w:sz w:val="20"/>
                <w:szCs w:val="20"/>
              </w:rPr>
              <w:t>447</w:t>
            </w:r>
          </w:p>
        </w:tc>
        <w:tc>
          <w:tcPr>
            <w:tcW w:w="579" w:type="dxa"/>
          </w:tcPr>
          <w:p w:rsidR="003E6588" w:rsidRDefault="003E6588">
            <w:pPr>
              <w:rPr>
                <w:sz w:val="20"/>
                <w:szCs w:val="20"/>
              </w:rPr>
            </w:pPr>
            <w:r>
              <w:rPr>
                <w:sz w:val="20"/>
                <w:szCs w:val="20"/>
              </w:rPr>
              <w:t>403</w:t>
            </w:r>
          </w:p>
        </w:tc>
        <w:tc>
          <w:tcPr>
            <w:tcW w:w="516" w:type="dxa"/>
          </w:tcPr>
          <w:p w:rsidR="003E6588" w:rsidRDefault="003E6588">
            <w:pPr>
              <w:rPr>
                <w:sz w:val="20"/>
                <w:szCs w:val="20"/>
              </w:rPr>
            </w:pPr>
            <w:r>
              <w:rPr>
                <w:sz w:val="20"/>
                <w:szCs w:val="20"/>
              </w:rPr>
              <w:t>443</w:t>
            </w:r>
          </w:p>
        </w:tc>
        <w:tc>
          <w:tcPr>
            <w:tcW w:w="595" w:type="dxa"/>
          </w:tcPr>
          <w:p w:rsidR="003E6588" w:rsidRDefault="003E6588">
            <w:pPr>
              <w:rPr>
                <w:sz w:val="20"/>
                <w:szCs w:val="20"/>
              </w:rPr>
            </w:pPr>
            <w:r>
              <w:rPr>
                <w:sz w:val="20"/>
                <w:szCs w:val="20"/>
              </w:rPr>
              <w:t>381</w:t>
            </w:r>
          </w:p>
        </w:tc>
        <w:tc>
          <w:tcPr>
            <w:tcW w:w="516" w:type="dxa"/>
          </w:tcPr>
          <w:p w:rsidR="003E6588" w:rsidRDefault="003E6588">
            <w:pPr>
              <w:rPr>
                <w:sz w:val="20"/>
                <w:szCs w:val="20"/>
              </w:rPr>
            </w:pPr>
            <w:r>
              <w:rPr>
                <w:sz w:val="20"/>
                <w:szCs w:val="20"/>
              </w:rPr>
              <w:t>569</w:t>
            </w:r>
          </w:p>
        </w:tc>
        <w:tc>
          <w:tcPr>
            <w:tcW w:w="582" w:type="dxa"/>
          </w:tcPr>
          <w:p w:rsidR="003E6588" w:rsidRDefault="003E6588">
            <w:pPr>
              <w:rPr>
                <w:sz w:val="20"/>
                <w:szCs w:val="20"/>
              </w:rPr>
            </w:pPr>
            <w:r>
              <w:rPr>
                <w:sz w:val="20"/>
                <w:szCs w:val="20"/>
              </w:rPr>
              <w:t>581</w:t>
            </w:r>
          </w:p>
        </w:tc>
        <w:tc>
          <w:tcPr>
            <w:tcW w:w="595" w:type="dxa"/>
          </w:tcPr>
          <w:p w:rsidR="003E6588" w:rsidRDefault="003E6588">
            <w:pPr>
              <w:rPr>
                <w:sz w:val="20"/>
                <w:szCs w:val="20"/>
              </w:rPr>
            </w:pPr>
            <w:r>
              <w:rPr>
                <w:sz w:val="20"/>
                <w:szCs w:val="20"/>
              </w:rPr>
              <w:t>546</w:t>
            </w:r>
          </w:p>
        </w:tc>
        <w:tc>
          <w:tcPr>
            <w:tcW w:w="571" w:type="dxa"/>
          </w:tcPr>
          <w:p w:rsidR="003E6588" w:rsidRDefault="003E6588">
            <w:pPr>
              <w:rPr>
                <w:sz w:val="20"/>
                <w:szCs w:val="20"/>
              </w:rPr>
            </w:pPr>
            <w:r>
              <w:rPr>
                <w:sz w:val="20"/>
                <w:szCs w:val="20"/>
              </w:rPr>
              <w:t>375</w:t>
            </w:r>
          </w:p>
        </w:tc>
        <w:tc>
          <w:tcPr>
            <w:tcW w:w="903" w:type="dxa"/>
          </w:tcPr>
          <w:p w:rsidR="003E6588" w:rsidRDefault="003E6588">
            <w:pPr>
              <w:rPr>
                <w:sz w:val="20"/>
                <w:szCs w:val="20"/>
              </w:rPr>
            </w:pPr>
            <w:r>
              <w:rPr>
                <w:sz w:val="20"/>
                <w:szCs w:val="20"/>
              </w:rPr>
              <w:t>4.703</w:t>
            </w:r>
          </w:p>
        </w:tc>
      </w:tr>
      <w:tr w:rsidR="003E6588">
        <w:trPr>
          <w:jc w:val="center"/>
        </w:trPr>
        <w:tc>
          <w:tcPr>
            <w:tcW w:w="2083" w:type="dxa"/>
          </w:tcPr>
          <w:p w:rsidR="003E6588" w:rsidRDefault="003E6588">
            <w:pPr>
              <w:jc w:val="both"/>
              <w:rPr>
                <w:b/>
                <w:sz w:val="20"/>
                <w:szCs w:val="20"/>
              </w:rPr>
            </w:pPr>
            <w:r>
              <w:rPr>
                <w:b/>
                <w:sz w:val="20"/>
                <w:szCs w:val="20"/>
              </w:rPr>
              <w:t>Total</w:t>
            </w:r>
          </w:p>
        </w:tc>
        <w:tc>
          <w:tcPr>
            <w:tcW w:w="617" w:type="dxa"/>
          </w:tcPr>
          <w:p w:rsidR="003E6588" w:rsidRDefault="003E6588">
            <w:pPr>
              <w:rPr>
                <w:b/>
                <w:sz w:val="20"/>
                <w:szCs w:val="20"/>
              </w:rPr>
            </w:pPr>
            <w:r>
              <w:rPr>
                <w:b/>
                <w:sz w:val="20"/>
                <w:szCs w:val="20"/>
              </w:rPr>
              <w:t>147</w:t>
            </w:r>
          </w:p>
        </w:tc>
        <w:tc>
          <w:tcPr>
            <w:tcW w:w="559" w:type="dxa"/>
          </w:tcPr>
          <w:p w:rsidR="003E6588" w:rsidRDefault="003E6588">
            <w:pPr>
              <w:rPr>
                <w:b/>
                <w:sz w:val="20"/>
                <w:szCs w:val="20"/>
              </w:rPr>
            </w:pPr>
            <w:r>
              <w:rPr>
                <w:b/>
                <w:sz w:val="20"/>
                <w:szCs w:val="20"/>
              </w:rPr>
              <w:t>259</w:t>
            </w:r>
          </w:p>
        </w:tc>
        <w:tc>
          <w:tcPr>
            <w:tcW w:w="637" w:type="dxa"/>
          </w:tcPr>
          <w:p w:rsidR="003E6588" w:rsidRDefault="003E6588">
            <w:pPr>
              <w:rPr>
                <w:b/>
                <w:sz w:val="20"/>
                <w:szCs w:val="20"/>
              </w:rPr>
            </w:pPr>
            <w:r>
              <w:rPr>
                <w:b/>
                <w:sz w:val="20"/>
                <w:szCs w:val="20"/>
              </w:rPr>
              <w:t>465</w:t>
            </w:r>
          </w:p>
        </w:tc>
        <w:tc>
          <w:tcPr>
            <w:tcW w:w="603" w:type="dxa"/>
          </w:tcPr>
          <w:p w:rsidR="003E6588" w:rsidRDefault="003E6588">
            <w:pPr>
              <w:rPr>
                <w:b/>
                <w:sz w:val="20"/>
                <w:szCs w:val="20"/>
              </w:rPr>
            </w:pPr>
            <w:r>
              <w:rPr>
                <w:b/>
                <w:sz w:val="20"/>
                <w:szCs w:val="20"/>
              </w:rPr>
              <w:t>481</w:t>
            </w:r>
          </w:p>
        </w:tc>
        <w:tc>
          <w:tcPr>
            <w:tcW w:w="704" w:type="dxa"/>
          </w:tcPr>
          <w:p w:rsidR="003E6588" w:rsidRDefault="003E6588">
            <w:pPr>
              <w:rPr>
                <w:b/>
                <w:sz w:val="20"/>
                <w:szCs w:val="20"/>
              </w:rPr>
            </w:pPr>
            <w:r>
              <w:rPr>
                <w:b/>
                <w:sz w:val="20"/>
                <w:szCs w:val="20"/>
              </w:rPr>
              <w:t>566</w:t>
            </w:r>
          </w:p>
        </w:tc>
        <w:tc>
          <w:tcPr>
            <w:tcW w:w="579" w:type="dxa"/>
          </w:tcPr>
          <w:p w:rsidR="003E6588" w:rsidRDefault="003E6588">
            <w:pPr>
              <w:rPr>
                <w:b/>
                <w:sz w:val="20"/>
                <w:szCs w:val="20"/>
              </w:rPr>
            </w:pPr>
            <w:r>
              <w:rPr>
                <w:b/>
                <w:sz w:val="20"/>
                <w:szCs w:val="20"/>
              </w:rPr>
              <w:t>572</w:t>
            </w:r>
          </w:p>
        </w:tc>
        <w:tc>
          <w:tcPr>
            <w:tcW w:w="516" w:type="dxa"/>
          </w:tcPr>
          <w:p w:rsidR="003E6588" w:rsidRDefault="003E6588">
            <w:pPr>
              <w:rPr>
                <w:b/>
                <w:sz w:val="20"/>
                <w:szCs w:val="20"/>
              </w:rPr>
            </w:pPr>
            <w:r>
              <w:rPr>
                <w:b/>
                <w:sz w:val="20"/>
                <w:szCs w:val="20"/>
              </w:rPr>
              <w:t>541</w:t>
            </w:r>
          </w:p>
        </w:tc>
        <w:tc>
          <w:tcPr>
            <w:tcW w:w="595" w:type="dxa"/>
          </w:tcPr>
          <w:p w:rsidR="003E6588" w:rsidRDefault="003E6588">
            <w:pPr>
              <w:rPr>
                <w:b/>
                <w:sz w:val="20"/>
                <w:szCs w:val="20"/>
              </w:rPr>
            </w:pPr>
            <w:r>
              <w:rPr>
                <w:b/>
                <w:sz w:val="20"/>
                <w:szCs w:val="20"/>
              </w:rPr>
              <w:t>545</w:t>
            </w:r>
          </w:p>
        </w:tc>
        <w:tc>
          <w:tcPr>
            <w:tcW w:w="516" w:type="dxa"/>
          </w:tcPr>
          <w:p w:rsidR="003E6588" w:rsidRDefault="003E6588">
            <w:pPr>
              <w:rPr>
                <w:b/>
                <w:sz w:val="20"/>
                <w:szCs w:val="20"/>
              </w:rPr>
            </w:pPr>
            <w:r>
              <w:rPr>
                <w:b/>
                <w:sz w:val="20"/>
                <w:szCs w:val="20"/>
              </w:rPr>
              <w:t>694</w:t>
            </w:r>
          </w:p>
        </w:tc>
        <w:tc>
          <w:tcPr>
            <w:tcW w:w="582" w:type="dxa"/>
          </w:tcPr>
          <w:p w:rsidR="003E6588" w:rsidRDefault="003E6588">
            <w:pPr>
              <w:rPr>
                <w:b/>
                <w:sz w:val="20"/>
                <w:szCs w:val="20"/>
              </w:rPr>
            </w:pPr>
            <w:r>
              <w:rPr>
                <w:b/>
                <w:sz w:val="20"/>
                <w:szCs w:val="20"/>
              </w:rPr>
              <w:t>707</w:t>
            </w:r>
          </w:p>
        </w:tc>
        <w:tc>
          <w:tcPr>
            <w:tcW w:w="595" w:type="dxa"/>
          </w:tcPr>
          <w:p w:rsidR="003E6588" w:rsidRDefault="003E6588">
            <w:pPr>
              <w:rPr>
                <w:b/>
                <w:sz w:val="20"/>
                <w:szCs w:val="20"/>
              </w:rPr>
            </w:pPr>
            <w:r>
              <w:rPr>
                <w:b/>
                <w:sz w:val="20"/>
                <w:szCs w:val="20"/>
              </w:rPr>
              <w:t>632</w:t>
            </w:r>
          </w:p>
        </w:tc>
        <w:tc>
          <w:tcPr>
            <w:tcW w:w="571" w:type="dxa"/>
          </w:tcPr>
          <w:p w:rsidR="003E6588" w:rsidRDefault="003E6588">
            <w:pPr>
              <w:rPr>
                <w:b/>
                <w:sz w:val="20"/>
                <w:szCs w:val="20"/>
              </w:rPr>
            </w:pPr>
            <w:r>
              <w:rPr>
                <w:b/>
                <w:sz w:val="20"/>
                <w:szCs w:val="20"/>
              </w:rPr>
              <w:t>474</w:t>
            </w:r>
          </w:p>
        </w:tc>
        <w:tc>
          <w:tcPr>
            <w:tcW w:w="903" w:type="dxa"/>
          </w:tcPr>
          <w:p w:rsidR="003E6588" w:rsidRDefault="003E6588">
            <w:pPr>
              <w:rPr>
                <w:b/>
                <w:sz w:val="20"/>
                <w:szCs w:val="20"/>
              </w:rPr>
            </w:pPr>
            <w:r>
              <w:rPr>
                <w:b/>
                <w:sz w:val="20"/>
                <w:szCs w:val="20"/>
              </w:rPr>
              <w:t>6.083</w:t>
            </w:r>
          </w:p>
        </w:tc>
      </w:tr>
    </w:tbl>
    <w:p w:rsidR="003E6588" w:rsidRDefault="003E6588">
      <w:pPr>
        <w:jc w:val="both"/>
        <w:rPr>
          <w:sz w:val="16"/>
          <w:szCs w:val="16"/>
        </w:rPr>
      </w:pPr>
      <w:r>
        <w:rPr>
          <w:sz w:val="16"/>
          <w:szCs w:val="16"/>
        </w:rPr>
        <w:t>Fonte - Ouvidoria</w:t>
      </w:r>
    </w:p>
    <w:p w:rsidR="003E6588" w:rsidRDefault="003E6588">
      <w:pPr>
        <w:jc w:val="both"/>
      </w:pPr>
    </w:p>
    <w:p w:rsidR="003E6588" w:rsidRDefault="003E6588">
      <w:pPr>
        <w:ind w:firstLine="1134"/>
        <w:jc w:val="both"/>
      </w:pPr>
      <w:r w:rsidRPr="009F53F1">
        <w:rPr>
          <w:b/>
        </w:rPr>
        <w:t>Assessoria de Eventos</w:t>
      </w:r>
      <w:r>
        <w:t xml:space="preserve"> - </w:t>
      </w:r>
      <w:r>
        <w:rPr>
          <w:color w:val="000000"/>
          <w:spacing w:val="6"/>
        </w:rPr>
        <w:t>Atendimentos e ações do IPEM</w:t>
      </w:r>
      <w:r w:rsidR="009506AA">
        <w:rPr>
          <w:color w:val="000000"/>
          <w:spacing w:val="6"/>
        </w:rPr>
        <w:t xml:space="preserve">, </w:t>
      </w:r>
      <w:r>
        <w:rPr>
          <w:color w:val="000000"/>
          <w:spacing w:val="6"/>
        </w:rPr>
        <w:t xml:space="preserve">buscando a </w:t>
      </w:r>
      <w:r>
        <w:t>divulgação de boas práticas de consumo à população, com presença no Poupatempo. Total de 132.992 atendimentos e ações.</w:t>
      </w:r>
    </w:p>
    <w:p w:rsidR="003E6588" w:rsidRDefault="003E6588">
      <w:pPr>
        <w:jc w:val="both"/>
      </w:pPr>
    </w:p>
    <w:p w:rsidR="003E6588" w:rsidRDefault="00AD3B0F">
      <w:pPr>
        <w:rPr>
          <w:sz w:val="16"/>
          <w:szCs w:val="16"/>
        </w:rPr>
      </w:pPr>
      <w:r>
        <w:rPr>
          <w:rFonts w:eastAsia="MS Mincho"/>
          <w:noProof/>
        </w:rPr>
        <w:lastRenderedPageBreak/>
        <w:drawing>
          <wp:inline distT="0" distB="0" distL="0" distR="0">
            <wp:extent cx="2838450" cy="2971800"/>
            <wp:effectExtent l="19050" t="0" r="0" b="0"/>
            <wp:docPr id="21" name="Imagem 7" descr="Gráfic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Gráfico 2014"/>
                    <pic:cNvPicPr>
                      <a:picLocks noChangeAspect="1" noChangeArrowheads="1"/>
                    </pic:cNvPicPr>
                  </pic:nvPicPr>
                  <pic:blipFill>
                    <a:blip r:embed="rId62" cstate="print"/>
                    <a:srcRect l="5945" t="3278" r="5006" b="4172"/>
                    <a:stretch>
                      <a:fillRect/>
                    </a:stretch>
                  </pic:blipFill>
                  <pic:spPr bwMode="auto">
                    <a:xfrm>
                      <a:off x="0" y="0"/>
                      <a:ext cx="2838450" cy="2971800"/>
                    </a:xfrm>
                    <a:prstGeom prst="rect">
                      <a:avLst/>
                    </a:prstGeom>
                    <a:noFill/>
                    <a:ln w="9525">
                      <a:noFill/>
                      <a:miter lim="800000"/>
                      <a:headEnd/>
                      <a:tailEnd/>
                    </a:ln>
                  </pic:spPr>
                </pic:pic>
              </a:graphicData>
            </a:graphic>
          </wp:inline>
        </w:drawing>
      </w:r>
    </w:p>
    <w:p w:rsidR="003E6588" w:rsidRDefault="003E6588">
      <w:pPr>
        <w:ind w:left="2124" w:firstLine="708"/>
        <w:jc w:val="both"/>
        <w:rPr>
          <w:rFonts w:eastAsia="Calibri"/>
          <w:sz w:val="16"/>
          <w:szCs w:val="16"/>
        </w:rPr>
      </w:pPr>
      <w:r>
        <w:rPr>
          <w:sz w:val="16"/>
          <w:szCs w:val="16"/>
        </w:rPr>
        <w:t>Fonte: Assessoria de Eventos</w:t>
      </w:r>
    </w:p>
    <w:p w:rsidR="003E6588" w:rsidRDefault="003E6588">
      <w:pPr>
        <w:tabs>
          <w:tab w:val="left" w:pos="6831"/>
        </w:tabs>
        <w:jc w:val="both"/>
        <w:rPr>
          <w:rFonts w:eastAsia="Calibri"/>
          <w:lang w:eastAsia="en-US"/>
        </w:rPr>
      </w:pPr>
    </w:p>
    <w:p w:rsidR="009506AA" w:rsidRDefault="009506AA">
      <w:pPr>
        <w:tabs>
          <w:tab w:val="left" w:pos="6831"/>
        </w:tabs>
        <w:jc w:val="both"/>
        <w:rPr>
          <w:rFonts w:eastAsia="Calibri"/>
          <w:lang w:eastAsia="en-US"/>
        </w:rPr>
      </w:pPr>
    </w:p>
    <w:p w:rsidR="003E6588" w:rsidRDefault="009506AA" w:rsidP="009506AA">
      <w:pPr>
        <w:rPr>
          <w:b/>
        </w:rPr>
      </w:pPr>
      <w:r>
        <w:rPr>
          <w:b/>
        </w:rPr>
        <w:t>FUNDAÇÃO DE PROTEÇÃO E DEFESA DO CONSUMIDOR - FUNDAÇÃO PROCON</w:t>
      </w:r>
    </w:p>
    <w:p w:rsidR="003E6588" w:rsidRPr="00096232" w:rsidRDefault="003E6588">
      <w:pPr>
        <w:ind w:firstLine="1134"/>
        <w:jc w:val="both"/>
      </w:pPr>
    </w:p>
    <w:p w:rsidR="009506AA" w:rsidRPr="00096232" w:rsidRDefault="009506AA">
      <w:pPr>
        <w:ind w:firstLine="1134"/>
        <w:jc w:val="both"/>
      </w:pPr>
    </w:p>
    <w:p w:rsidR="003E6588" w:rsidRPr="009506AA" w:rsidRDefault="003E6588">
      <w:pPr>
        <w:ind w:firstLine="1134"/>
        <w:jc w:val="both"/>
      </w:pPr>
      <w:r w:rsidRPr="009506AA">
        <w:rPr>
          <w:b/>
          <w:bCs/>
        </w:rPr>
        <w:t>Missão -</w:t>
      </w:r>
      <w:r w:rsidRPr="009506AA">
        <w:rPr>
          <w:bCs/>
        </w:rPr>
        <w:t xml:space="preserve"> </w:t>
      </w:r>
      <w:r w:rsidRPr="009506AA">
        <w:t>Traçar e inserir na sociedade Políticas de Proteção e Defesa do Consumidor</w:t>
      </w:r>
      <w:r w:rsidR="009506AA" w:rsidRPr="009506AA">
        <w:t>,</w:t>
      </w:r>
      <w:r w:rsidRPr="009506AA">
        <w:t xml:space="preserve"> que proporcionem melhor qualidade de vida ao cidadão, tornando-o consciente de seus direitos e deveres, com equilíbrio nas relações de consumo, fazendo com que a legislação consumerista seja respeitada, promovendo cidadania, consumo sustentável e respons</w:t>
      </w:r>
      <w:r w:rsidR="009506AA" w:rsidRPr="009506AA">
        <w:t>abilidade</w:t>
      </w:r>
      <w:r w:rsidRPr="009506AA">
        <w:t xml:space="preserve"> social.</w:t>
      </w:r>
    </w:p>
    <w:p w:rsidR="003E6588" w:rsidRPr="009506AA" w:rsidRDefault="003E6588">
      <w:pPr>
        <w:ind w:firstLine="1134"/>
        <w:jc w:val="both"/>
      </w:pPr>
    </w:p>
    <w:p w:rsidR="003E6588" w:rsidRDefault="003E6588">
      <w:pPr>
        <w:ind w:firstLine="1134"/>
        <w:jc w:val="both"/>
        <w:rPr>
          <w:b/>
        </w:rPr>
      </w:pPr>
      <w:r>
        <w:rPr>
          <w:b/>
        </w:rPr>
        <w:t>Ações e atividades</w:t>
      </w:r>
    </w:p>
    <w:p w:rsidR="003E6588" w:rsidRDefault="003E6588">
      <w:pPr>
        <w:ind w:firstLine="1134"/>
        <w:jc w:val="both"/>
        <w:rPr>
          <w:b/>
        </w:rPr>
      </w:pPr>
    </w:p>
    <w:p w:rsidR="003E6588" w:rsidRPr="009506AA" w:rsidRDefault="003E6588">
      <w:pPr>
        <w:ind w:firstLine="1134"/>
        <w:jc w:val="both"/>
      </w:pPr>
      <w:r>
        <w:rPr>
          <w:b/>
        </w:rPr>
        <w:t>Atendimentos à população</w:t>
      </w:r>
      <w:r w:rsidR="009506AA">
        <w:rPr>
          <w:b/>
        </w:rPr>
        <w:t xml:space="preserve"> - </w:t>
      </w:r>
      <w:r w:rsidRPr="009506AA">
        <w:t>Foram realizados 526.427 atendimentos à população.</w:t>
      </w:r>
    </w:p>
    <w:p w:rsidR="003E6588" w:rsidRDefault="003E6588">
      <w:pPr>
        <w:ind w:firstLine="1134"/>
        <w:jc w:val="both"/>
      </w:pPr>
    </w:p>
    <w:p w:rsidR="003E6588" w:rsidRDefault="003E6588">
      <w:pPr>
        <w:ind w:firstLine="1134"/>
        <w:jc w:val="both"/>
      </w:pPr>
      <w:r>
        <w:t xml:space="preserve">Indicadores - PPA </w:t>
      </w:r>
      <w:r w:rsidR="00D96802">
        <w:t xml:space="preserve">- </w:t>
      </w:r>
      <w:r>
        <w:t>Plano Plurianual</w:t>
      </w:r>
    </w:p>
    <w:p w:rsidR="003E6588" w:rsidRDefault="003E6588">
      <w:pPr>
        <w:ind w:firstLine="1134"/>
        <w:jc w:val="both"/>
      </w:pPr>
    </w:p>
    <w:tbl>
      <w:tblPr>
        <w:tblW w:w="0" w:type="auto"/>
        <w:jc w:val="center"/>
        <w:tblInd w:w="-21" w:type="dxa"/>
        <w:tblLayout w:type="fixed"/>
        <w:tblLook w:val="0000"/>
      </w:tblPr>
      <w:tblGrid>
        <w:gridCol w:w="5568"/>
        <w:gridCol w:w="2127"/>
      </w:tblGrid>
      <w:tr w:rsidR="003E6588" w:rsidTr="007E3691">
        <w:trPr>
          <w:jc w:val="center"/>
        </w:trPr>
        <w:tc>
          <w:tcPr>
            <w:tcW w:w="5568" w:type="dxa"/>
            <w:shd w:val="clear" w:color="auto" w:fill="auto"/>
            <w:vAlign w:val="center"/>
          </w:tcPr>
          <w:p w:rsidR="003E6588" w:rsidRDefault="003E6588" w:rsidP="009506AA">
            <w:pPr>
              <w:rPr>
                <w:b/>
                <w:sz w:val="20"/>
                <w:szCs w:val="20"/>
              </w:rPr>
            </w:pPr>
            <w:r>
              <w:rPr>
                <w:b/>
                <w:sz w:val="20"/>
                <w:szCs w:val="20"/>
              </w:rPr>
              <w:t>Indicador</w:t>
            </w:r>
          </w:p>
        </w:tc>
        <w:tc>
          <w:tcPr>
            <w:tcW w:w="2127" w:type="dxa"/>
            <w:shd w:val="clear" w:color="auto" w:fill="auto"/>
            <w:vAlign w:val="center"/>
          </w:tcPr>
          <w:p w:rsidR="003E6588" w:rsidRDefault="003E6588" w:rsidP="009506AA">
            <w:pPr>
              <w:rPr>
                <w:b/>
                <w:sz w:val="20"/>
                <w:szCs w:val="20"/>
              </w:rPr>
            </w:pPr>
            <w:r>
              <w:rPr>
                <w:b/>
                <w:sz w:val="20"/>
                <w:szCs w:val="20"/>
              </w:rPr>
              <w:t>Média</w:t>
            </w:r>
          </w:p>
        </w:tc>
      </w:tr>
      <w:tr w:rsidR="003E6588" w:rsidTr="00096232">
        <w:trPr>
          <w:jc w:val="center"/>
        </w:trPr>
        <w:tc>
          <w:tcPr>
            <w:tcW w:w="5568" w:type="dxa"/>
            <w:tcBorders>
              <w:bottom w:val="single" w:sz="8" w:space="0" w:color="808080"/>
            </w:tcBorders>
            <w:shd w:val="clear" w:color="auto" w:fill="auto"/>
          </w:tcPr>
          <w:p w:rsidR="003E6588" w:rsidRDefault="003E6588" w:rsidP="009506AA">
            <w:pPr>
              <w:jc w:val="both"/>
              <w:rPr>
                <w:sz w:val="20"/>
                <w:szCs w:val="20"/>
              </w:rPr>
            </w:pPr>
            <w:r>
              <w:rPr>
                <w:sz w:val="20"/>
                <w:szCs w:val="20"/>
              </w:rPr>
              <w:t>Índice de Solução dos Problemas de Consumo - %</w:t>
            </w:r>
          </w:p>
        </w:tc>
        <w:tc>
          <w:tcPr>
            <w:tcW w:w="2127" w:type="dxa"/>
            <w:tcBorders>
              <w:bottom w:val="single" w:sz="8" w:space="0" w:color="808080"/>
            </w:tcBorders>
            <w:shd w:val="clear" w:color="auto" w:fill="auto"/>
          </w:tcPr>
          <w:p w:rsidR="003E6588" w:rsidRDefault="003E6588">
            <w:pPr>
              <w:rPr>
                <w:sz w:val="20"/>
                <w:szCs w:val="20"/>
              </w:rPr>
            </w:pPr>
            <w:r>
              <w:rPr>
                <w:sz w:val="20"/>
                <w:szCs w:val="20"/>
              </w:rPr>
              <w:t>90,7%</w:t>
            </w:r>
          </w:p>
        </w:tc>
      </w:tr>
      <w:tr w:rsidR="003E6588" w:rsidTr="00096232">
        <w:trPr>
          <w:jc w:val="center"/>
        </w:trPr>
        <w:tc>
          <w:tcPr>
            <w:tcW w:w="5568" w:type="dxa"/>
            <w:tcBorders>
              <w:top w:val="single" w:sz="8" w:space="0" w:color="808080"/>
              <w:bottom w:val="single" w:sz="8" w:space="0" w:color="808080"/>
            </w:tcBorders>
            <w:shd w:val="clear" w:color="auto" w:fill="auto"/>
          </w:tcPr>
          <w:p w:rsidR="003E6588" w:rsidRDefault="003E6588">
            <w:pPr>
              <w:jc w:val="both"/>
              <w:rPr>
                <w:sz w:val="20"/>
                <w:szCs w:val="20"/>
              </w:rPr>
            </w:pPr>
            <w:r>
              <w:rPr>
                <w:sz w:val="20"/>
                <w:szCs w:val="20"/>
              </w:rPr>
              <w:t>Tempo Médio de Tramitação dos Problemas de Consumo - (dias)</w:t>
            </w:r>
          </w:p>
        </w:tc>
        <w:tc>
          <w:tcPr>
            <w:tcW w:w="2127" w:type="dxa"/>
            <w:tcBorders>
              <w:top w:val="single" w:sz="8" w:space="0" w:color="808080"/>
              <w:bottom w:val="single" w:sz="8" w:space="0" w:color="808080"/>
            </w:tcBorders>
            <w:shd w:val="clear" w:color="auto" w:fill="auto"/>
          </w:tcPr>
          <w:p w:rsidR="003E6588" w:rsidRDefault="003E6588">
            <w:pPr>
              <w:rPr>
                <w:sz w:val="20"/>
                <w:szCs w:val="20"/>
              </w:rPr>
            </w:pPr>
            <w:r>
              <w:rPr>
                <w:sz w:val="20"/>
                <w:szCs w:val="20"/>
              </w:rPr>
              <w:t>11,7</w:t>
            </w:r>
          </w:p>
        </w:tc>
      </w:tr>
      <w:tr w:rsidR="003E6588" w:rsidTr="00096232">
        <w:trPr>
          <w:jc w:val="center"/>
        </w:trPr>
        <w:tc>
          <w:tcPr>
            <w:tcW w:w="5568" w:type="dxa"/>
            <w:tcBorders>
              <w:top w:val="single" w:sz="8" w:space="0" w:color="808080"/>
              <w:bottom w:val="single" w:sz="8" w:space="0" w:color="808080"/>
            </w:tcBorders>
            <w:shd w:val="clear" w:color="auto" w:fill="auto"/>
          </w:tcPr>
          <w:p w:rsidR="003E6588" w:rsidRDefault="003E6588" w:rsidP="009506AA">
            <w:pPr>
              <w:jc w:val="both"/>
              <w:rPr>
                <w:sz w:val="20"/>
                <w:szCs w:val="20"/>
              </w:rPr>
            </w:pPr>
            <w:r>
              <w:rPr>
                <w:sz w:val="20"/>
                <w:szCs w:val="20"/>
              </w:rPr>
              <w:t>Tempo Médio de Tramitação das Reclamações (dias)</w:t>
            </w:r>
          </w:p>
        </w:tc>
        <w:tc>
          <w:tcPr>
            <w:tcW w:w="2127" w:type="dxa"/>
            <w:tcBorders>
              <w:top w:val="single" w:sz="8" w:space="0" w:color="808080"/>
              <w:bottom w:val="single" w:sz="8" w:space="0" w:color="808080"/>
            </w:tcBorders>
            <w:shd w:val="clear" w:color="auto" w:fill="auto"/>
          </w:tcPr>
          <w:p w:rsidR="003E6588" w:rsidRDefault="003E6588">
            <w:pPr>
              <w:rPr>
                <w:sz w:val="20"/>
                <w:szCs w:val="20"/>
              </w:rPr>
            </w:pPr>
            <w:r>
              <w:rPr>
                <w:sz w:val="20"/>
                <w:szCs w:val="20"/>
              </w:rPr>
              <w:t>72,1</w:t>
            </w:r>
          </w:p>
        </w:tc>
      </w:tr>
      <w:tr w:rsidR="003E6588" w:rsidTr="00096232">
        <w:trPr>
          <w:jc w:val="center"/>
        </w:trPr>
        <w:tc>
          <w:tcPr>
            <w:tcW w:w="5568" w:type="dxa"/>
            <w:tcBorders>
              <w:top w:val="single" w:sz="8" w:space="0" w:color="808080"/>
              <w:bottom w:val="single" w:sz="8" w:space="0" w:color="808080"/>
            </w:tcBorders>
            <w:shd w:val="clear" w:color="auto" w:fill="auto"/>
          </w:tcPr>
          <w:p w:rsidR="003E6588" w:rsidRDefault="003E6588" w:rsidP="009506AA">
            <w:pPr>
              <w:jc w:val="both"/>
              <w:rPr>
                <w:sz w:val="20"/>
                <w:szCs w:val="20"/>
              </w:rPr>
            </w:pPr>
            <w:r>
              <w:rPr>
                <w:sz w:val="20"/>
                <w:szCs w:val="20"/>
              </w:rPr>
              <w:t xml:space="preserve">Tempo Médio de Atendimento Pessoal (hh:mm:ss) </w:t>
            </w:r>
          </w:p>
        </w:tc>
        <w:tc>
          <w:tcPr>
            <w:tcW w:w="2127" w:type="dxa"/>
            <w:tcBorders>
              <w:top w:val="single" w:sz="8" w:space="0" w:color="808080"/>
              <w:bottom w:val="single" w:sz="8" w:space="0" w:color="808080"/>
            </w:tcBorders>
            <w:shd w:val="clear" w:color="auto" w:fill="auto"/>
          </w:tcPr>
          <w:p w:rsidR="003E6588" w:rsidRDefault="003E6588">
            <w:pPr>
              <w:rPr>
                <w:sz w:val="20"/>
                <w:szCs w:val="20"/>
              </w:rPr>
            </w:pPr>
            <w:r>
              <w:rPr>
                <w:sz w:val="20"/>
                <w:szCs w:val="20"/>
              </w:rPr>
              <w:t>00:17:51</w:t>
            </w:r>
          </w:p>
        </w:tc>
      </w:tr>
      <w:tr w:rsidR="003E6588" w:rsidTr="00096232">
        <w:trPr>
          <w:jc w:val="center"/>
        </w:trPr>
        <w:tc>
          <w:tcPr>
            <w:tcW w:w="5568" w:type="dxa"/>
            <w:tcBorders>
              <w:top w:val="single" w:sz="8" w:space="0" w:color="808080"/>
              <w:bottom w:val="single" w:sz="8" w:space="0" w:color="808080"/>
            </w:tcBorders>
            <w:shd w:val="clear" w:color="auto" w:fill="auto"/>
          </w:tcPr>
          <w:p w:rsidR="003E6588" w:rsidRDefault="003E6588" w:rsidP="009506AA">
            <w:pPr>
              <w:jc w:val="both"/>
              <w:rPr>
                <w:sz w:val="20"/>
                <w:szCs w:val="20"/>
              </w:rPr>
            </w:pPr>
            <w:r>
              <w:rPr>
                <w:sz w:val="20"/>
                <w:szCs w:val="20"/>
              </w:rPr>
              <w:t>Tempo Médio de Espera (hh:mm:ss).</w:t>
            </w:r>
          </w:p>
        </w:tc>
        <w:tc>
          <w:tcPr>
            <w:tcW w:w="2127" w:type="dxa"/>
            <w:tcBorders>
              <w:top w:val="single" w:sz="8" w:space="0" w:color="808080"/>
              <w:bottom w:val="single" w:sz="8" w:space="0" w:color="808080"/>
            </w:tcBorders>
            <w:shd w:val="clear" w:color="auto" w:fill="auto"/>
          </w:tcPr>
          <w:p w:rsidR="003E6588" w:rsidRDefault="003E6588">
            <w:pPr>
              <w:rPr>
                <w:sz w:val="20"/>
                <w:szCs w:val="20"/>
              </w:rPr>
            </w:pPr>
            <w:r>
              <w:rPr>
                <w:sz w:val="20"/>
                <w:szCs w:val="20"/>
              </w:rPr>
              <w:t>00:11:05</w:t>
            </w:r>
          </w:p>
        </w:tc>
      </w:tr>
    </w:tbl>
    <w:p w:rsidR="003E6588" w:rsidRDefault="003E6588">
      <w:pPr>
        <w:jc w:val="both"/>
      </w:pPr>
    </w:p>
    <w:p w:rsidR="003E6588" w:rsidRPr="009506AA" w:rsidRDefault="003E6588">
      <w:pPr>
        <w:ind w:firstLine="1134"/>
        <w:jc w:val="both"/>
        <w:rPr>
          <w:strike/>
        </w:rPr>
      </w:pPr>
      <w:r w:rsidRPr="009506AA">
        <w:rPr>
          <w:bCs/>
          <w:i/>
        </w:rPr>
        <w:t>Ranking on line</w:t>
      </w:r>
      <w:r w:rsidRPr="009506AA">
        <w:rPr>
          <w:bCs/>
        </w:rPr>
        <w:t xml:space="preserve"> - </w:t>
      </w:r>
      <w:r w:rsidRPr="009506AA">
        <w:t xml:space="preserve">Monitoramento do </w:t>
      </w:r>
      <w:r w:rsidRPr="009506AA">
        <w:rPr>
          <w:i/>
        </w:rPr>
        <w:t>ranking on line</w:t>
      </w:r>
      <w:r w:rsidRPr="009506AA">
        <w:t xml:space="preserve"> com ampliação de 30 para 50 empresas/grupos mais demandados pelos consumidores e seus índices de solução, disponibilizado pela Fundação, em seu </w:t>
      </w:r>
      <w:r w:rsidRPr="009506AA">
        <w:rPr>
          <w:i/>
        </w:rPr>
        <w:t>site</w:t>
      </w:r>
      <w:r w:rsidRPr="009506AA">
        <w:t>, em tempo real</w:t>
      </w:r>
      <w:r w:rsidR="009506AA" w:rsidRPr="009506AA">
        <w:t>.</w:t>
      </w:r>
    </w:p>
    <w:p w:rsidR="003E6588" w:rsidRPr="009506AA" w:rsidRDefault="003E6588">
      <w:pPr>
        <w:ind w:firstLine="1134"/>
        <w:jc w:val="both"/>
      </w:pPr>
      <w:r w:rsidRPr="009506AA">
        <w:rPr>
          <w:bCs/>
        </w:rPr>
        <w:lastRenderedPageBreak/>
        <w:t xml:space="preserve">Lista “Evite esses </w:t>
      </w:r>
      <w:r w:rsidRPr="009506AA">
        <w:rPr>
          <w:bCs/>
          <w:i/>
        </w:rPr>
        <w:t>Sites</w:t>
      </w:r>
      <w:r w:rsidRPr="009506AA">
        <w:rPr>
          <w:bCs/>
        </w:rPr>
        <w:t xml:space="preserve">” - </w:t>
      </w:r>
      <w:r w:rsidRPr="009506AA">
        <w:t>A lista</w:t>
      </w:r>
      <w:r w:rsidR="009506AA" w:rsidRPr="009506AA">
        <w:t xml:space="preserve"> </w:t>
      </w:r>
      <w:r w:rsidRPr="009506AA">
        <w:t xml:space="preserve">ganhou destaque na mídia especializada, chegando a 449 </w:t>
      </w:r>
      <w:r w:rsidRPr="009506AA">
        <w:rPr>
          <w:i/>
        </w:rPr>
        <w:t>sites</w:t>
      </w:r>
      <w:r w:rsidRPr="009506AA">
        <w:t xml:space="preserve"> nela inseridos e um milhão de acessos. Maior efetividade no encaminhamento de ofícios aos fornecedores solidários (meios de pagamento, sites de busca, instituições financeiras)</w:t>
      </w:r>
      <w:r w:rsidR="009506AA" w:rsidRPr="009506AA">
        <w:t>,</w:t>
      </w:r>
      <w:r w:rsidRPr="009506AA">
        <w:t xml:space="preserve"> que adotaram medidas de reparação, orientação e descredenciamento dos sites denunciados. A lista ganhou novas repercussões no mercado com o surgimento de diversos aplicativos</w:t>
      </w:r>
    </w:p>
    <w:p w:rsidR="003E6588" w:rsidRPr="009506AA" w:rsidRDefault="003E6588">
      <w:pPr>
        <w:ind w:firstLine="1134"/>
        <w:jc w:val="both"/>
        <w:rPr>
          <w:bCs/>
        </w:rPr>
      </w:pPr>
    </w:p>
    <w:p w:rsidR="003E6588" w:rsidRDefault="003E6588">
      <w:pPr>
        <w:ind w:firstLine="1134"/>
        <w:jc w:val="both"/>
      </w:pPr>
      <w:r>
        <w:rPr>
          <w:bCs/>
        </w:rPr>
        <w:t xml:space="preserve">Plano de Metas de redução de demandas - </w:t>
      </w:r>
      <w:r w:rsidR="009506AA">
        <w:t xml:space="preserve">Outra </w:t>
      </w:r>
      <w:r>
        <w:t xml:space="preserve">medida adotada pela Diretoria de Atendimento e Orientação ao Consumidor </w:t>
      </w:r>
      <w:r w:rsidR="009506AA">
        <w:t>é</w:t>
      </w:r>
      <w:r>
        <w:t xml:space="preserve"> a divulgação da 3ª reedição do Plano de Metas</w:t>
      </w:r>
      <w:r>
        <w:rPr>
          <w:color w:val="FF0000"/>
        </w:rPr>
        <w:t>.</w:t>
      </w:r>
      <w:r>
        <w:t xml:space="preserve"> </w:t>
      </w:r>
      <w:r w:rsidR="009506AA">
        <w:t xml:space="preserve">Foi </w:t>
      </w:r>
      <w:r>
        <w:t>mantido o monitoramento</w:t>
      </w:r>
      <w:r>
        <w:rPr>
          <w:color w:val="FF0000"/>
        </w:rPr>
        <w:t>,</w:t>
      </w:r>
      <w:r>
        <w:t xml:space="preserve"> com realização de 90 reuniões com fornecedores reclamados, com o fim de corrigirem causas geradoras de conflito e de ajustarem procedimentos no trato de r</w:t>
      </w:r>
      <w:r w:rsidR="009506AA">
        <w:t>eclamações.</w:t>
      </w:r>
    </w:p>
    <w:p w:rsidR="003E6588" w:rsidRDefault="003E6588">
      <w:pPr>
        <w:ind w:firstLine="1134"/>
        <w:jc w:val="both"/>
      </w:pPr>
    </w:p>
    <w:p w:rsidR="003E6588" w:rsidRDefault="003E6588">
      <w:pPr>
        <w:ind w:firstLine="1134"/>
        <w:jc w:val="both"/>
      </w:pPr>
      <w:r>
        <w:rPr>
          <w:bCs/>
        </w:rPr>
        <w:t>Atendimento Redes Sociais</w:t>
      </w:r>
      <w:r>
        <w:t xml:space="preserve"> - A Diretoria de Atendimento passou a orientar consumidores nas mídias sociais do Procon (</w:t>
      </w:r>
      <w:r>
        <w:rPr>
          <w:i/>
        </w:rPr>
        <w:t xml:space="preserve">Facebook </w:t>
      </w:r>
      <w:r>
        <w:t xml:space="preserve">e </w:t>
      </w:r>
      <w:r>
        <w:rPr>
          <w:i/>
        </w:rPr>
        <w:t>Twitter</w:t>
      </w:r>
      <w:r>
        <w:t>), ampliando o trabalho do atendimento eletrônico e facilitando o acesso da população aos canais de reclamação, que são indicados após avaliação da demanda.</w:t>
      </w:r>
    </w:p>
    <w:p w:rsidR="003E6588" w:rsidRDefault="003E6588">
      <w:pPr>
        <w:ind w:firstLine="1134"/>
        <w:jc w:val="both"/>
      </w:pPr>
    </w:p>
    <w:p w:rsidR="003E6588" w:rsidRDefault="003E6588">
      <w:pPr>
        <w:ind w:firstLine="1134"/>
        <w:jc w:val="both"/>
      </w:pPr>
      <w:r>
        <w:t xml:space="preserve">O atendimento especial </w:t>
      </w:r>
      <w:r>
        <w:rPr>
          <w:i/>
          <w:iCs/>
        </w:rPr>
        <w:t>Black Friday na Mira do Procon</w:t>
      </w:r>
      <w:r>
        <w:t xml:space="preserve">, responsável pelo aumento de interações, que refletiu em outros canais, exemplifica a capacidade oferecida pelas mídias sociais para alcançar a população, bem como para agilizar as tratativas e o monitoramento das demandas. </w:t>
      </w:r>
      <w:r w:rsidR="009506AA">
        <w:t xml:space="preserve">Foram </w:t>
      </w:r>
      <w:r>
        <w:t>registra</w:t>
      </w:r>
      <w:r w:rsidR="009506AA">
        <w:t>d</w:t>
      </w:r>
      <w:r>
        <w:t xml:space="preserve">os </w:t>
      </w:r>
      <w:r>
        <w:rPr>
          <w:bCs/>
        </w:rPr>
        <w:t>1</w:t>
      </w:r>
      <w:r w:rsidR="009506AA">
        <w:rPr>
          <w:bCs/>
        </w:rPr>
        <w:t>.</w:t>
      </w:r>
      <w:r>
        <w:rPr>
          <w:bCs/>
        </w:rPr>
        <w:t>430 atendimentos</w:t>
      </w:r>
      <w:r>
        <w:t>.</w:t>
      </w:r>
    </w:p>
    <w:p w:rsidR="003E6588" w:rsidRDefault="003E6588">
      <w:pPr>
        <w:ind w:firstLine="1134"/>
        <w:jc w:val="both"/>
      </w:pPr>
    </w:p>
    <w:p w:rsidR="003E6588" w:rsidRDefault="003E6588">
      <w:pPr>
        <w:ind w:firstLine="1134"/>
        <w:jc w:val="both"/>
      </w:pPr>
      <w:r>
        <w:rPr>
          <w:i/>
        </w:rPr>
        <w:t>Black Friday</w:t>
      </w:r>
      <w:r>
        <w:rPr>
          <w:rFonts w:eastAsia="Calibri"/>
          <w:iCs/>
          <w:lang w:eastAsia="en-US"/>
        </w:rPr>
        <w:t xml:space="preserve"> </w:t>
      </w:r>
      <w:r w:rsidR="009506AA">
        <w:rPr>
          <w:rFonts w:eastAsia="Calibri"/>
          <w:iCs/>
          <w:lang w:eastAsia="en-US"/>
        </w:rPr>
        <w:t>- P</w:t>
      </w:r>
      <w:r>
        <w:rPr>
          <w:rFonts w:eastAsia="Calibri"/>
          <w:iCs/>
          <w:lang w:eastAsia="en-US"/>
        </w:rPr>
        <w:t>rocon montou esquema especial de atendimento para a data</w:t>
      </w:r>
      <w:r>
        <w:t xml:space="preserve">. </w:t>
      </w:r>
      <w:r>
        <w:rPr>
          <w:rFonts w:eastAsia="Calibri"/>
          <w:lang w:eastAsia="en-US"/>
        </w:rPr>
        <w:t xml:space="preserve">O plantão da </w:t>
      </w:r>
      <w:r>
        <w:rPr>
          <w:rFonts w:eastAsia="Calibri"/>
          <w:i/>
          <w:lang w:eastAsia="en-US"/>
        </w:rPr>
        <w:t>Black Friday</w:t>
      </w:r>
      <w:r>
        <w:rPr>
          <w:rFonts w:eastAsia="Calibri"/>
          <w:lang w:eastAsia="en-US"/>
        </w:rPr>
        <w:t xml:space="preserve"> bateu recordes de ligações e registros nas redes sociais e no site do órgão. </w:t>
      </w:r>
      <w:r w:rsidR="009506AA">
        <w:rPr>
          <w:rFonts w:eastAsia="Calibri"/>
          <w:lang w:eastAsia="en-US"/>
        </w:rPr>
        <w:t xml:space="preserve">Foram </w:t>
      </w:r>
      <w:r>
        <w:rPr>
          <w:rFonts w:eastAsia="Calibri"/>
          <w:lang w:eastAsia="en-US"/>
        </w:rPr>
        <w:t>registrados 1.356 atendimentos.</w:t>
      </w:r>
    </w:p>
    <w:p w:rsidR="003E6588" w:rsidRDefault="003E6588">
      <w:pPr>
        <w:ind w:firstLine="1134"/>
        <w:jc w:val="both"/>
        <w:rPr>
          <w:rFonts w:eastAsia="Calibri"/>
          <w:lang w:eastAsia="en-US"/>
        </w:rPr>
      </w:pPr>
    </w:p>
    <w:p w:rsidR="003E6588" w:rsidRPr="009506AA" w:rsidRDefault="003E6588">
      <w:pPr>
        <w:ind w:firstLine="1134"/>
        <w:jc w:val="both"/>
        <w:rPr>
          <w:rFonts w:eastAsia="Calibri"/>
          <w:strike/>
          <w:lang w:eastAsia="en-US"/>
        </w:rPr>
      </w:pPr>
      <w:r w:rsidRPr="009506AA">
        <w:rPr>
          <w:rFonts w:eastAsia="Calibri"/>
          <w:lang w:eastAsia="en-US"/>
        </w:rPr>
        <w:t>Os principais problemas relatados foram produto ou serviço anunciado indisponível, sites intermitentes (falha na página) e mudança de preço na finalização da compra. Estes registros somam 76% das demandas</w:t>
      </w:r>
      <w:r w:rsidR="009506AA" w:rsidRPr="009506AA">
        <w:rPr>
          <w:rFonts w:eastAsia="Calibri"/>
          <w:lang w:eastAsia="en-US"/>
        </w:rPr>
        <w:t>.</w:t>
      </w:r>
    </w:p>
    <w:p w:rsidR="003E6588" w:rsidRDefault="003E6588">
      <w:pPr>
        <w:ind w:firstLine="1134"/>
        <w:jc w:val="both"/>
      </w:pPr>
    </w:p>
    <w:p w:rsidR="003E6588" w:rsidRDefault="003E6588">
      <w:pPr>
        <w:ind w:firstLine="1134"/>
        <w:jc w:val="both"/>
        <w:rPr>
          <w:rFonts w:eastAsia="Calibri"/>
          <w:lang w:eastAsia="en-US"/>
        </w:rPr>
      </w:pPr>
      <w:r>
        <w:rPr>
          <w:rFonts w:eastAsia="Calibri"/>
          <w:lang w:eastAsia="en-US"/>
        </w:rPr>
        <w:t>O plantão estruturado pelo Procon-SP mostrou que os consumidores estão cada vez mais atentos e informados. Por outro lado, mostrou o descaso e falta de respeito de algumas empresas</w:t>
      </w:r>
      <w:r w:rsidR="009506AA">
        <w:rPr>
          <w:rFonts w:eastAsia="Calibri"/>
          <w:lang w:eastAsia="en-US"/>
        </w:rPr>
        <w:t>,</w:t>
      </w:r>
      <w:r>
        <w:rPr>
          <w:rFonts w:eastAsia="Calibri"/>
          <w:lang w:eastAsia="en-US"/>
        </w:rPr>
        <w:t xml:space="preserve"> que maquiaram preços, não cumpriram a oferta e não atenderam seus clientes.</w:t>
      </w:r>
    </w:p>
    <w:p w:rsidR="003E6588" w:rsidRDefault="003E6588">
      <w:pPr>
        <w:ind w:firstLine="1134"/>
        <w:jc w:val="both"/>
        <w:rPr>
          <w:rFonts w:eastAsia="Calibri"/>
          <w:lang w:eastAsia="en-US"/>
        </w:rPr>
      </w:pPr>
    </w:p>
    <w:p w:rsidR="003E6588" w:rsidRDefault="003E6588">
      <w:pPr>
        <w:ind w:firstLine="1134"/>
        <w:jc w:val="both"/>
        <w:rPr>
          <w:rFonts w:eastAsia="Calibri"/>
          <w:lang w:eastAsia="en-US"/>
        </w:rPr>
      </w:pPr>
      <w:r>
        <w:rPr>
          <w:rFonts w:eastAsia="Calibri"/>
          <w:lang w:eastAsia="en-US"/>
        </w:rPr>
        <w:t>A operação continua pela etapa de avaliação de entrega de produtos.</w:t>
      </w:r>
    </w:p>
    <w:p w:rsidR="003E6588" w:rsidRDefault="003E6588">
      <w:pPr>
        <w:ind w:firstLine="1134"/>
        <w:jc w:val="both"/>
      </w:pPr>
    </w:p>
    <w:p w:rsidR="003E6588" w:rsidRDefault="003E6588">
      <w:pPr>
        <w:ind w:firstLine="1134"/>
        <w:jc w:val="both"/>
      </w:pPr>
      <w:r>
        <w:rPr>
          <w:bCs/>
        </w:rPr>
        <w:t xml:space="preserve">Atendimentos </w:t>
      </w:r>
      <w:r>
        <w:rPr>
          <w:bCs/>
          <w:i/>
        </w:rPr>
        <w:t>WEB</w:t>
      </w:r>
      <w:r>
        <w:t xml:space="preserve"> - O número de Atendimentos </w:t>
      </w:r>
      <w:r>
        <w:rPr>
          <w:i/>
        </w:rPr>
        <w:t>Web</w:t>
      </w:r>
      <w:r>
        <w:t xml:space="preserve"> tem crescido ano a ano. O avanço pode ser atribuído à inserção de novos temas para recepção via </w:t>
      </w:r>
      <w:r>
        <w:rPr>
          <w:i/>
        </w:rPr>
        <w:t>internet</w:t>
      </w:r>
      <w:r>
        <w:t xml:space="preserve"> (por </w:t>
      </w:r>
      <w:r>
        <w:rPr>
          <w:i/>
          <w:iCs/>
        </w:rPr>
        <w:t>e-mail</w:t>
      </w:r>
      <w:r>
        <w:t>).</w:t>
      </w:r>
    </w:p>
    <w:p w:rsidR="003E6588" w:rsidRDefault="003E6588">
      <w:pPr>
        <w:ind w:firstLine="1134"/>
        <w:jc w:val="both"/>
      </w:pPr>
    </w:p>
    <w:p w:rsidR="003E6588" w:rsidRDefault="002E3DB9">
      <w:pPr>
        <w:ind w:firstLine="1134"/>
        <w:jc w:val="both"/>
      </w:pPr>
      <w:r>
        <w:t xml:space="preserve">Passou-se </w:t>
      </w:r>
      <w:r w:rsidR="003E6588">
        <w:t>a recepcionar por este canal reclamações referentes a telecomunicações e saúde</w:t>
      </w:r>
      <w:r>
        <w:t>,</w:t>
      </w:r>
      <w:r w:rsidR="003E6588">
        <w:t xml:space="preserve"> e ampliamos o rol de problemas do tema produtos, antes restrito só </w:t>
      </w:r>
      <w:r>
        <w:t>à</w:t>
      </w:r>
      <w:r w:rsidR="003E6588">
        <w:t xml:space="preserve"> não entrega.</w:t>
      </w:r>
    </w:p>
    <w:p w:rsidR="003E6588" w:rsidRDefault="003E6588">
      <w:pPr>
        <w:ind w:firstLine="1134"/>
        <w:jc w:val="both"/>
      </w:pPr>
    </w:p>
    <w:p w:rsidR="003E6588" w:rsidRPr="002E3DB9" w:rsidRDefault="003E6588">
      <w:pPr>
        <w:ind w:firstLine="1134"/>
        <w:jc w:val="both"/>
        <w:rPr>
          <w:strike/>
        </w:rPr>
      </w:pPr>
      <w:r>
        <w:t xml:space="preserve">Está em desenvolvimento sistema para recepção de reclamações e </w:t>
      </w:r>
      <w:r w:rsidRPr="002E3DB9">
        <w:t xml:space="preserve">consultas, via </w:t>
      </w:r>
      <w:r w:rsidRPr="002E3DB9">
        <w:rPr>
          <w:i/>
        </w:rPr>
        <w:t>internet</w:t>
      </w:r>
      <w:r w:rsidRPr="002E3DB9">
        <w:t xml:space="preserve">. Durante 30 dias </w:t>
      </w:r>
      <w:r w:rsidR="002E3DB9" w:rsidRPr="002E3DB9">
        <w:t xml:space="preserve">foi realizado </w:t>
      </w:r>
      <w:r w:rsidRPr="002E3DB9">
        <w:t xml:space="preserve">piloto, disponibilizando a </w:t>
      </w:r>
      <w:r w:rsidR="002E3DB9" w:rsidRPr="002E3DB9">
        <w:t>ferramenta para uso do público.</w:t>
      </w:r>
    </w:p>
    <w:p w:rsidR="003E6588" w:rsidRDefault="003E6588">
      <w:pPr>
        <w:ind w:firstLine="1134"/>
        <w:jc w:val="both"/>
      </w:pPr>
      <w:r>
        <w:rPr>
          <w:bCs/>
        </w:rPr>
        <w:lastRenderedPageBreak/>
        <w:t xml:space="preserve">Agendamento por </w:t>
      </w:r>
      <w:r w:rsidRPr="002E3DB9">
        <w:rPr>
          <w:bCs/>
        </w:rPr>
        <w:t xml:space="preserve">Telefone de Atendimento Presencial </w:t>
      </w:r>
      <w:r w:rsidR="002E3DB9" w:rsidRPr="002E3DB9">
        <w:rPr>
          <w:bCs/>
        </w:rPr>
        <w:t>-</w:t>
      </w:r>
      <w:r w:rsidRPr="002E3DB9">
        <w:t xml:space="preserve"> </w:t>
      </w:r>
      <w:r w:rsidR="002E3DB9" w:rsidRPr="002E3DB9">
        <w:t xml:space="preserve">Foi </w:t>
      </w:r>
      <w:r w:rsidRPr="002E3DB9">
        <w:t>inicia</w:t>
      </w:r>
      <w:r w:rsidR="002E3DB9" w:rsidRPr="002E3DB9">
        <w:t>d</w:t>
      </w:r>
      <w:r w:rsidRPr="002E3DB9">
        <w:t xml:space="preserve">o </w:t>
      </w:r>
      <w:r w:rsidR="002E3DB9" w:rsidRPr="002E3DB9">
        <w:t>p</w:t>
      </w:r>
      <w:r w:rsidRPr="002E3DB9">
        <w:t>iloto de agendamento do atendiment</w:t>
      </w:r>
      <w:r w:rsidR="002E3DB9" w:rsidRPr="002E3DB9">
        <w:t>o presencial, via telefone 151.</w:t>
      </w:r>
      <w:r w:rsidR="002E3DB9">
        <w:t xml:space="preserve"> Foram </w:t>
      </w:r>
      <w:r>
        <w:t xml:space="preserve">realizados </w:t>
      </w:r>
      <w:r>
        <w:rPr>
          <w:bCs/>
        </w:rPr>
        <w:t>826 agendamentos</w:t>
      </w:r>
      <w:r>
        <w:t>.</w:t>
      </w:r>
    </w:p>
    <w:p w:rsidR="003E6588" w:rsidRDefault="003E6588">
      <w:pPr>
        <w:jc w:val="both"/>
        <w:rPr>
          <w:bCs/>
        </w:rPr>
      </w:pPr>
    </w:p>
    <w:p w:rsidR="003E6588" w:rsidRDefault="003E6588">
      <w:pPr>
        <w:ind w:firstLine="1134"/>
        <w:jc w:val="both"/>
      </w:pPr>
      <w:r>
        <w:rPr>
          <w:bCs/>
        </w:rPr>
        <w:t>Retirada do Retorno dos Postos de Atendimento Presencial - Diminuição dos Dispensados</w:t>
      </w:r>
      <w:r>
        <w:t xml:space="preserve"> - Ao longo dos anos vários consumidores que se dirigiam aos postos de atendimento pessoal, instalados nos Poupatempo Sé, Itaquera e Santo Amaro, embora aptos a serem atendidos em uma das posições de atendimento, eram dispensados, com orientação de retornarem em outra data, ou utilizarem um canal à distância, uma vez esgotadas as senhas diárias para atendimento disponíveis. </w:t>
      </w:r>
      <w:r w:rsidR="002E3DB9">
        <w:t xml:space="preserve">Foram </w:t>
      </w:r>
      <w:r>
        <w:t>centralizadas as atividades de retaguarda (“retorno”) dos Postos para a Barra Funda e otimizou-se a capacidade de atendimento, ampliando a absorção diária das demandas, uma vez que os Postos de Atendimento ficaram direcionados para o registro de Consultas e emissão de CIPs.</w:t>
      </w:r>
    </w:p>
    <w:p w:rsidR="003E6588" w:rsidRDefault="003E6588">
      <w:pPr>
        <w:ind w:firstLine="1134"/>
        <w:jc w:val="both"/>
      </w:pPr>
    </w:p>
    <w:p w:rsidR="003E6588" w:rsidRDefault="003E6588">
      <w:pPr>
        <w:ind w:firstLine="1134"/>
        <w:jc w:val="both"/>
      </w:pPr>
      <w:r>
        <w:rPr>
          <w:bCs/>
        </w:rPr>
        <w:t xml:space="preserve">CIP Eletrônica - </w:t>
      </w:r>
      <w:r>
        <w:t>Incremento da ferramenta CIP Eletrônica, que proporciona celeridade, diminuição de custos, gerenciamento por parte do fornecedor de suas demandas.</w:t>
      </w:r>
    </w:p>
    <w:p w:rsidR="003E6588" w:rsidRDefault="003E6588">
      <w:pPr>
        <w:ind w:firstLine="1134"/>
        <w:jc w:val="both"/>
        <w:rPr>
          <w:bCs/>
        </w:rPr>
      </w:pPr>
    </w:p>
    <w:p w:rsidR="003E6588" w:rsidRDefault="003E6588">
      <w:pPr>
        <w:ind w:firstLine="1134"/>
        <w:jc w:val="both"/>
      </w:pPr>
      <w:r>
        <w:rPr>
          <w:bCs/>
        </w:rPr>
        <w:t xml:space="preserve">Elaboração e divulgação de </w:t>
      </w:r>
      <w:r w:rsidRPr="002E3DB9">
        <w:rPr>
          <w:bCs/>
          <w:i/>
        </w:rPr>
        <w:t>rankings</w:t>
      </w:r>
      <w:r>
        <w:rPr>
          <w:bCs/>
        </w:rPr>
        <w:t xml:space="preserve"> setoriais - </w:t>
      </w:r>
      <w:r>
        <w:t xml:space="preserve">Foram elaborados </w:t>
      </w:r>
      <w:r w:rsidRPr="002E3DB9">
        <w:rPr>
          <w:i/>
        </w:rPr>
        <w:t>rankings</w:t>
      </w:r>
      <w:r>
        <w:t xml:space="preserve"> setoriais para divulgação na imprensa, entre eles: companhias aéreas, meios de pagamento, instituições de ensino superior, operadoras de telefonia móvel, fabricantes de celular, produtos mais reclamados, construtoras e planos de saúde.</w:t>
      </w:r>
    </w:p>
    <w:p w:rsidR="003E6588" w:rsidRDefault="003E6588">
      <w:pPr>
        <w:ind w:firstLine="1134"/>
        <w:jc w:val="both"/>
      </w:pPr>
    </w:p>
    <w:p w:rsidR="003E6588" w:rsidRDefault="003E6588">
      <w:pPr>
        <w:ind w:firstLine="1134"/>
        <w:jc w:val="both"/>
      </w:pPr>
      <w:r>
        <w:t xml:space="preserve">Atendimento Especial na Copa do Mundo - Com a criação de um </w:t>
      </w:r>
      <w:r w:rsidRPr="002E3DB9">
        <w:rPr>
          <w:i/>
        </w:rPr>
        <w:t>hot site</w:t>
      </w:r>
      <w:r>
        <w:t xml:space="preserve"> na </w:t>
      </w:r>
      <w:r w:rsidRPr="002E3DB9">
        <w:rPr>
          <w:i/>
        </w:rPr>
        <w:t>home</w:t>
      </w:r>
      <w:r w:rsidR="00096232">
        <w:rPr>
          <w:i/>
        </w:rPr>
        <w:t>p</w:t>
      </w:r>
      <w:r w:rsidRPr="002E3DB9">
        <w:rPr>
          <w:i/>
        </w:rPr>
        <w:t>age</w:t>
      </w:r>
      <w:r>
        <w:t xml:space="preserve"> do Procon, disponibilizou-se o acesso facilitado a canal de atendimento eletrônico e célere de reclamações referentes </w:t>
      </w:r>
      <w:r w:rsidR="002E3DB9">
        <w:t xml:space="preserve">a </w:t>
      </w:r>
      <w:r>
        <w:t>compra de ingressos, serviços bancários, de transportes, hospedagem, bares, restaurantes, envolvendo o evento mundial para o consumidor turista e torcedor.</w:t>
      </w:r>
    </w:p>
    <w:p w:rsidR="003E6588" w:rsidRDefault="003E6588">
      <w:pPr>
        <w:ind w:firstLine="1134"/>
        <w:jc w:val="both"/>
      </w:pPr>
    </w:p>
    <w:p w:rsidR="003E6588" w:rsidRDefault="003E6588">
      <w:pPr>
        <w:ind w:firstLine="1134"/>
        <w:jc w:val="both"/>
      </w:pPr>
      <w:r>
        <w:rPr>
          <w:bCs/>
        </w:rPr>
        <w:t>Plataforma CONSUMIDOR.GOV</w:t>
      </w:r>
      <w:r>
        <w:t xml:space="preserve"> - </w:t>
      </w:r>
      <w:r w:rsidR="002E3DB9">
        <w:t xml:space="preserve">Foi </w:t>
      </w:r>
      <w:r>
        <w:t>disponibilizada pela Secretaria Nacional do Consumidor</w:t>
      </w:r>
      <w:r w:rsidR="00D96802">
        <w:t xml:space="preserve"> </w:t>
      </w:r>
      <w:r>
        <w:t xml:space="preserve">- SENACON para a Fundação Procon a gestão da plataforma </w:t>
      </w:r>
      <w:r>
        <w:rPr>
          <w:i/>
          <w:iCs/>
        </w:rPr>
        <w:t xml:space="preserve">consumidor.gov, </w:t>
      </w:r>
      <w:r>
        <w:t xml:space="preserve">abrangendo consumidores domiciliados </w:t>
      </w:r>
      <w:r w:rsidR="002E3DB9" w:rsidRPr="002E3DB9">
        <w:t>n</w:t>
      </w:r>
      <w:r w:rsidRPr="002E3DB9">
        <w:t xml:space="preserve">o Estado. O sistema permite interação direta, por </w:t>
      </w:r>
      <w:r w:rsidRPr="002E3DB9">
        <w:rPr>
          <w:i/>
        </w:rPr>
        <w:t>internet</w:t>
      </w:r>
      <w:r w:rsidRPr="002E3DB9">
        <w:t>,</w:t>
      </w:r>
      <w:r w:rsidRPr="002E3DB9">
        <w:rPr>
          <w:i/>
          <w:iCs/>
        </w:rPr>
        <w:t xml:space="preserve"> </w:t>
      </w:r>
      <w:r w:rsidRPr="002E3DB9">
        <w:t xml:space="preserve">entre os consumidores e grandes fornecedores que aderem às condições de uso. </w:t>
      </w:r>
      <w:r w:rsidRPr="002E3DB9">
        <w:rPr>
          <w:bCs/>
        </w:rPr>
        <w:t>10.500</w:t>
      </w:r>
      <w:r w:rsidRPr="002E3DB9">
        <w:t xml:space="preserve"> </w:t>
      </w:r>
      <w:r w:rsidRPr="002E3DB9">
        <w:rPr>
          <w:bCs/>
        </w:rPr>
        <w:t xml:space="preserve">consumidores </w:t>
      </w:r>
      <w:r w:rsidRPr="002E3DB9">
        <w:t>paulistas registra</w:t>
      </w:r>
      <w:r w:rsidR="002E3DB9" w:rsidRPr="002E3DB9">
        <w:t>ram</w:t>
      </w:r>
      <w:r w:rsidRPr="002E3DB9">
        <w:t xml:space="preserve"> suas demandas por este canal.</w:t>
      </w:r>
      <w:r>
        <w:t xml:space="preserve"> A Fundação Procon analisa pedidos de recusa e cancelamento das reclamações, por parte das empresas, considerando as regras de uso da plataforma.</w:t>
      </w:r>
      <w:r w:rsidR="002E3DB9">
        <w:t xml:space="preserve"> </w:t>
      </w:r>
      <w:r>
        <w:rPr>
          <w:bCs/>
        </w:rPr>
        <w:t xml:space="preserve">Foram feitas 537 análises e interações </w:t>
      </w:r>
      <w:r>
        <w:t>referentes a este tipo de ocorrência.</w:t>
      </w:r>
    </w:p>
    <w:p w:rsidR="003E6588" w:rsidRDefault="003E6588">
      <w:pPr>
        <w:ind w:firstLine="1276"/>
        <w:jc w:val="both"/>
      </w:pPr>
    </w:p>
    <w:p w:rsidR="003E6588" w:rsidRDefault="003E6588">
      <w:pPr>
        <w:ind w:firstLine="1134"/>
        <w:jc w:val="both"/>
      </w:pPr>
      <w:r>
        <w:t xml:space="preserve">Maior transparência e acesso às informações - Publicação dos relatórios da Ouvidoria na página do órgão na </w:t>
      </w:r>
      <w:r>
        <w:rPr>
          <w:i/>
        </w:rPr>
        <w:t>internet</w:t>
      </w:r>
      <w:r>
        <w:t>.</w:t>
      </w:r>
    </w:p>
    <w:p w:rsidR="003E6588" w:rsidRDefault="003E6588">
      <w:pPr>
        <w:ind w:firstLine="1276"/>
        <w:jc w:val="both"/>
      </w:pPr>
    </w:p>
    <w:p w:rsidR="003E6588" w:rsidRPr="002E3DB9" w:rsidRDefault="003E6588">
      <w:pPr>
        <w:ind w:firstLine="1134"/>
        <w:jc w:val="both"/>
        <w:rPr>
          <w:bCs/>
          <w:strike/>
        </w:rPr>
      </w:pPr>
      <w:r>
        <w:rPr>
          <w:bCs/>
        </w:rPr>
        <w:t xml:space="preserve">Problema mais criticado </w:t>
      </w:r>
      <w:r w:rsidRPr="002E3DB9">
        <w:rPr>
          <w:bCs/>
        </w:rPr>
        <w:t>- Encerramento das senhas no</w:t>
      </w:r>
      <w:r w:rsidR="002E3DB9" w:rsidRPr="002E3DB9">
        <w:rPr>
          <w:bCs/>
        </w:rPr>
        <w:t>s Postos de atendimento pessoal.</w:t>
      </w:r>
    </w:p>
    <w:p w:rsidR="003E6588" w:rsidRDefault="003E6588">
      <w:pPr>
        <w:jc w:val="both"/>
      </w:pPr>
    </w:p>
    <w:p w:rsidR="003E6588" w:rsidRDefault="003E6588">
      <w:pPr>
        <w:ind w:firstLine="1134"/>
        <w:jc w:val="both"/>
      </w:pPr>
      <w:r>
        <w:t xml:space="preserve">Educação para o Consumo - Publicações - Foram lançadas </w:t>
      </w:r>
      <w:r w:rsidRPr="002E3DB9">
        <w:t xml:space="preserve">sete </w:t>
      </w:r>
      <w:r w:rsidRPr="002E3DB9">
        <w:rPr>
          <w:bCs/>
        </w:rPr>
        <w:t>novas publicações</w:t>
      </w:r>
      <w:r w:rsidRPr="002E3DB9">
        <w:t xml:space="preserve">: “4 Cartilhas: “Série Imóveis” - Condomínio, Loteamento, Aluguel e Material de Construção, 1 Boletim Consumidor Consciente nº 19, Livreto: Direitos do Consumidor Turista - São Paulo e a Cartilha do Lojista, efetuada em parceria com a Associação de Lojista de </w:t>
      </w:r>
      <w:r w:rsidRPr="002E3DB9">
        <w:rPr>
          <w:i/>
        </w:rPr>
        <w:t>Shopping</w:t>
      </w:r>
      <w:r w:rsidRPr="002E3DB9">
        <w:t xml:space="preserve"> - Alshop. Foram realizadas revisões de 26 materiais educativos divulgados no </w:t>
      </w:r>
      <w:r w:rsidRPr="002E3DB9">
        <w:rPr>
          <w:i/>
        </w:rPr>
        <w:t xml:space="preserve">site </w:t>
      </w:r>
      <w:r w:rsidRPr="002E3DB9">
        <w:t>da Fundação Procon, em função de</w:t>
      </w:r>
      <w:r>
        <w:t xml:space="preserve"> atualização </w:t>
      </w:r>
      <w:r>
        <w:lastRenderedPageBreak/>
        <w:t>de conteúdo. Destaque foi a elaboração do livreto do Direito do Consumidor Turista - São Paulo, editado em três línguas (português, inglês e espanhol), com encarte especial da Copa do Mundo 2014.</w:t>
      </w:r>
    </w:p>
    <w:p w:rsidR="002E3DB9" w:rsidRDefault="002E3DB9">
      <w:pPr>
        <w:ind w:firstLine="1134"/>
        <w:jc w:val="both"/>
      </w:pPr>
    </w:p>
    <w:p w:rsidR="003E6588" w:rsidRDefault="003E6588">
      <w:pPr>
        <w:ind w:firstLine="1134"/>
        <w:jc w:val="both"/>
      </w:pPr>
      <w:r>
        <w:rPr>
          <w:b/>
        </w:rPr>
        <w:t xml:space="preserve">Pesquisas </w:t>
      </w:r>
      <w:r>
        <w:t xml:space="preserve">- Foram </w:t>
      </w:r>
      <w:r w:rsidRPr="002E3DB9">
        <w:t xml:space="preserve">realizadas </w:t>
      </w:r>
      <w:r w:rsidRPr="002E3DB9">
        <w:rPr>
          <w:bCs/>
        </w:rPr>
        <w:t>367 pesquisas,</w:t>
      </w:r>
      <w:r w:rsidRPr="002E3DB9">
        <w:t xml:space="preserve"> sendo:</w:t>
      </w:r>
      <w:r>
        <w:t xml:space="preserve"> 12 bancárias - taxas de juros e tarifas; 285 comparativas de preço de produtos da Cesta Básica (diárias, semanais, mensais e anual) e 70 outras comparativas de preços de Material Escolar, Páscoa, Medicamentos, produtos para o Dia das Mães, produtos para</w:t>
      </w:r>
      <w:r>
        <w:rPr>
          <w:bCs/>
        </w:rPr>
        <w:t xml:space="preserve"> </w:t>
      </w:r>
      <w:r>
        <w:t>o Dia dos Pais, B</w:t>
      </w:r>
      <w:r w:rsidR="002E3DB9">
        <w:t>rinquedos e Eletrodomésticos).</w:t>
      </w:r>
    </w:p>
    <w:p w:rsidR="003E6588" w:rsidRDefault="003E6588">
      <w:pPr>
        <w:ind w:firstLine="1134"/>
        <w:jc w:val="both"/>
      </w:pPr>
    </w:p>
    <w:p w:rsidR="003E6588" w:rsidRPr="008C5767" w:rsidRDefault="003E6588">
      <w:pPr>
        <w:ind w:firstLine="1134"/>
        <w:jc w:val="both"/>
        <w:rPr>
          <w:strike/>
        </w:rPr>
      </w:pPr>
      <w:r>
        <w:rPr>
          <w:b/>
        </w:rPr>
        <w:t>Atividades Educativas</w:t>
      </w:r>
      <w:r>
        <w:t xml:space="preserve"> - Foram realizadas, </w:t>
      </w:r>
      <w:r>
        <w:rPr>
          <w:bCs/>
        </w:rPr>
        <w:t>735 atividades educativas</w:t>
      </w:r>
      <w:r w:rsidR="002E3DB9">
        <w:rPr>
          <w:bCs/>
        </w:rPr>
        <w:t>,</w:t>
      </w:r>
      <w:r>
        <w:t xml:space="preserve"> que atingiram público de 70.928 pessoas, sendo 244 palestras dirigidas ao público em geral, 47 palestras para estudantes, 35 capacitações, 75 apresentações da biblioteca animada com teatro de fantoches, 323 outras atividades (ação de orientação com distribuição de material educativo, oficinas de publicidades do Observatório, apresentação institucional e do </w:t>
      </w:r>
      <w:r>
        <w:rPr>
          <w:i/>
        </w:rPr>
        <w:t>site</w:t>
      </w:r>
      <w:r>
        <w:t xml:space="preserve"> na S</w:t>
      </w:r>
      <w:r w:rsidRPr="008C5767">
        <w:t>J</w:t>
      </w:r>
      <w:r w:rsidR="00D96802">
        <w:t>DC</w:t>
      </w:r>
      <w:r w:rsidRPr="008C5767">
        <w:t>) e 11 Cursos para Fornecedores. Destaque são as capacitações do Projeto Saber Consumir, que atingiram 378 multiplicadores de 240 escolas estaduais e municipais de 10 municípios paulistas</w:t>
      </w:r>
      <w:r w:rsidR="008C5767" w:rsidRPr="008C5767">
        <w:t>.</w:t>
      </w:r>
    </w:p>
    <w:p w:rsidR="003E6588" w:rsidRPr="008C5767" w:rsidRDefault="003E6588">
      <w:pPr>
        <w:ind w:firstLine="1134"/>
        <w:jc w:val="both"/>
        <w:rPr>
          <w:strike/>
        </w:rPr>
      </w:pPr>
    </w:p>
    <w:p w:rsidR="003E6588" w:rsidRDefault="003E6588">
      <w:pPr>
        <w:ind w:firstLine="1134"/>
        <w:jc w:val="both"/>
      </w:pPr>
      <w:r>
        <w:rPr>
          <w:b/>
        </w:rPr>
        <w:t>Apoio ao Superendividado</w:t>
      </w:r>
      <w:r>
        <w:t xml:space="preserve"> - Tratamento do Superendividamento - No Programa de Apoio ao Superendividado, foram efetuados 1.586 atendimentos, incluindo entrevistas, palestras e audiências.</w:t>
      </w:r>
    </w:p>
    <w:p w:rsidR="003E6588" w:rsidRDefault="003E6588">
      <w:pPr>
        <w:ind w:firstLine="1134"/>
        <w:jc w:val="both"/>
      </w:pPr>
    </w:p>
    <w:p w:rsidR="003E6588" w:rsidRPr="008C5767" w:rsidRDefault="008C5767">
      <w:pPr>
        <w:ind w:firstLine="1134"/>
        <w:jc w:val="both"/>
      </w:pPr>
      <w:r>
        <w:t xml:space="preserve">Foram </w:t>
      </w:r>
      <w:r w:rsidR="003E6588" w:rsidRPr="008C5767">
        <w:t>encaminhados pelo Cejusc 629 consumidores, dos quais 560 foram entrevistados e considerados superendividados. Foram realizadas palestras para consumidores e 227 audiências coletivas. Para a realização do Programa, foi firmado convênio com o Tribunal de Justiça do Estado, visando à realização de trabalho em parceria, com atribuições para cada um dos participantes.</w:t>
      </w:r>
    </w:p>
    <w:p w:rsidR="003E6588" w:rsidRPr="008C5767" w:rsidRDefault="003E6588">
      <w:pPr>
        <w:ind w:firstLine="1134"/>
        <w:jc w:val="both"/>
      </w:pPr>
    </w:p>
    <w:p w:rsidR="003E6588" w:rsidRPr="008C5767" w:rsidRDefault="003E6588">
      <w:pPr>
        <w:ind w:firstLine="1134"/>
        <w:jc w:val="both"/>
      </w:pPr>
      <w:r w:rsidRPr="008C5767">
        <w:t xml:space="preserve">Realizado o “Fórum de Discussão: o Enfrentamento do Fenômeno do Superendividamento no Brasil”, com abordagem dos seguintes temas: contextualização do fenômeno do superendividamento e as práticas do mercado que favorecem o seu crescimento; tendências jurisprudenciais e doutrinárias; programas de tratamento do superendividamento </w:t>
      </w:r>
      <w:r w:rsidR="008C5767" w:rsidRPr="008C5767">
        <w:t>-</w:t>
      </w:r>
      <w:r w:rsidRPr="008C5767">
        <w:t xml:space="preserve"> troca de experiências: dificuldades, desafios e proposições; perspectivas para o futuro </w:t>
      </w:r>
      <w:r w:rsidR="008C5767" w:rsidRPr="008C5767">
        <w:t>-</w:t>
      </w:r>
      <w:r w:rsidRPr="008C5767">
        <w:t xml:space="preserve"> legislação e propostas de melhoria para o mercado financeiro na concessão do crédito responsável.</w:t>
      </w:r>
    </w:p>
    <w:p w:rsidR="003E6588" w:rsidRDefault="003E6588">
      <w:pPr>
        <w:ind w:firstLine="1134"/>
        <w:jc w:val="both"/>
      </w:pPr>
    </w:p>
    <w:p w:rsidR="003E6588" w:rsidRPr="008C5767" w:rsidRDefault="003E6588">
      <w:pPr>
        <w:ind w:firstLine="1134"/>
        <w:jc w:val="both"/>
      </w:pPr>
      <w:r w:rsidRPr="008C5767">
        <w:t>Municipalização da Defesa do Consumidor - Com a edição do Decreto nº 58.963/2013,</w:t>
      </w:r>
      <w:r w:rsidRPr="008C5767">
        <w:rPr>
          <w:bCs/>
        </w:rPr>
        <w:t xml:space="preserve"> que estabeleceu o Novo Programa de Municipalização de Defesa do Consumidor do Estado de São Paulo, </w:t>
      </w:r>
      <w:r w:rsidRPr="008C5767">
        <w:t>com o objetivo de fortalecer a Política Estadual de Defesa do Consumidor e potencializar as atividades de fomento do órgão, foram celebrados/renovados, 51 convênios com municípios</w:t>
      </w:r>
      <w:r w:rsidR="008C5767" w:rsidRPr="008C5767">
        <w:t>,</w:t>
      </w:r>
      <w:r w:rsidRPr="008C5767">
        <w:t xml:space="preserve"> com a finalidade de lhes fornecer equipamentos e mobiliários para </w:t>
      </w:r>
      <w:r w:rsidR="008C5767" w:rsidRPr="008C5767">
        <w:t>melhoria de sua estrutura.</w:t>
      </w:r>
    </w:p>
    <w:p w:rsidR="003E6588" w:rsidRPr="008C5767" w:rsidRDefault="003E6588">
      <w:pPr>
        <w:ind w:firstLine="1134"/>
        <w:jc w:val="both"/>
      </w:pPr>
    </w:p>
    <w:p w:rsidR="003E6588" w:rsidRPr="008C5767" w:rsidRDefault="008C5767">
      <w:pPr>
        <w:ind w:firstLine="1134"/>
        <w:jc w:val="both"/>
      </w:pPr>
      <w:r w:rsidRPr="008C5767">
        <w:t xml:space="preserve">Foram </w:t>
      </w:r>
      <w:r w:rsidR="003E6588" w:rsidRPr="008C5767">
        <w:t>realizados 10 programas de capacitação, envolvendo 135 Procons Municipais, visando à formação de multiplicadores para desenvolver palestras sobre temas de defesa do consumidor, com foco no tema em “Planos de Saúde”.</w:t>
      </w:r>
    </w:p>
    <w:p w:rsidR="003E6588" w:rsidRPr="008C5767" w:rsidRDefault="003E6588">
      <w:pPr>
        <w:ind w:firstLine="1134"/>
        <w:jc w:val="both"/>
      </w:pPr>
    </w:p>
    <w:p w:rsidR="003E6588" w:rsidRPr="008C5767" w:rsidRDefault="003E6588">
      <w:pPr>
        <w:ind w:firstLine="1134"/>
        <w:jc w:val="both"/>
      </w:pPr>
      <w:r w:rsidRPr="008C5767">
        <w:rPr>
          <w:b/>
        </w:rPr>
        <w:lastRenderedPageBreak/>
        <w:t>Implantação do SINDEC</w:t>
      </w:r>
      <w:r w:rsidRPr="008C5767">
        <w:t xml:space="preserve"> - Sistema Nacional de Informações de Defesa do Consumidor - SINDEC em 27 Municípios, possibilitando melhoria na qualidade do atendimento ao consumidor, realizado pelos Municípios conveniados.</w:t>
      </w:r>
    </w:p>
    <w:p w:rsidR="003E6588" w:rsidRPr="008C5767" w:rsidRDefault="003E6588">
      <w:pPr>
        <w:ind w:firstLine="1134"/>
        <w:jc w:val="both"/>
      </w:pPr>
    </w:p>
    <w:p w:rsidR="003E6588" w:rsidRDefault="003E6588">
      <w:pPr>
        <w:ind w:firstLine="1134"/>
        <w:jc w:val="both"/>
      </w:pPr>
      <w:r>
        <w:t xml:space="preserve">Foram executadas 22 ações itinerantes na </w:t>
      </w:r>
      <w:r w:rsidRPr="008C5767">
        <w:t>Capital e no interior,</w:t>
      </w:r>
      <w:r>
        <w:t xml:space="preserve"> entre atividades de orientação e atendimento, atingindo público de 6.000 cidadãos.</w:t>
      </w:r>
    </w:p>
    <w:p w:rsidR="003E6588" w:rsidRDefault="003E6588">
      <w:pPr>
        <w:ind w:firstLine="1134"/>
        <w:jc w:val="both"/>
      </w:pPr>
    </w:p>
    <w:p w:rsidR="003E6588" w:rsidRPr="00594ED5" w:rsidRDefault="003E6588">
      <w:pPr>
        <w:ind w:firstLine="1134"/>
        <w:jc w:val="both"/>
        <w:rPr>
          <w:bCs/>
        </w:rPr>
      </w:pPr>
      <w:r w:rsidRPr="00594ED5">
        <w:t xml:space="preserve">Os atuais 265 Procons Municipais conveniados, juntamente com a Fundação Procon, atendem 88% da população do Estado. </w:t>
      </w:r>
      <w:r w:rsidRPr="00594ED5">
        <w:rPr>
          <w:bCs/>
        </w:rPr>
        <w:t>Total de atendimentos realizados pelos Procons Conveniados: 1.264.113.</w:t>
      </w:r>
    </w:p>
    <w:p w:rsidR="003E6588" w:rsidRPr="00594ED5" w:rsidRDefault="003E6588">
      <w:pPr>
        <w:ind w:firstLine="1134"/>
        <w:jc w:val="both"/>
        <w:rPr>
          <w:bCs/>
        </w:rPr>
      </w:pPr>
    </w:p>
    <w:p w:rsidR="003E6588" w:rsidRPr="00594ED5" w:rsidRDefault="003E6588">
      <w:pPr>
        <w:ind w:firstLine="1134"/>
        <w:jc w:val="both"/>
      </w:pPr>
      <w:r w:rsidRPr="00594ED5">
        <w:t xml:space="preserve">Prosseguimento da regionalização do Procon, com a inauguração dos Núcleos Regionais em Ribeirão Preto e São José do Rio Preto, que se somam aos demais seis Núcleos (Bauru, Santos, Campinas, São José dos Campos, Sorocaba e Presidente Prudente), beneficiando 21.442.925 de habitantes em 606 municípios do </w:t>
      </w:r>
      <w:r w:rsidR="00594ED5" w:rsidRPr="00594ED5">
        <w:t>Estado</w:t>
      </w:r>
      <w:r w:rsidRPr="00594ED5">
        <w:t>.</w:t>
      </w:r>
    </w:p>
    <w:p w:rsidR="003E6588" w:rsidRPr="00594ED5" w:rsidRDefault="003E6588">
      <w:pPr>
        <w:ind w:firstLine="1134"/>
        <w:jc w:val="both"/>
      </w:pPr>
    </w:p>
    <w:p w:rsidR="003E6588" w:rsidRPr="00594ED5" w:rsidRDefault="003E6588">
      <w:pPr>
        <w:ind w:firstLine="1134"/>
        <w:jc w:val="both"/>
      </w:pPr>
      <w:r w:rsidRPr="00594ED5">
        <w:rPr>
          <w:b/>
        </w:rPr>
        <w:t xml:space="preserve">Projeto Orientando o </w:t>
      </w:r>
      <w:r w:rsidR="00594ED5" w:rsidRPr="00594ED5">
        <w:rPr>
          <w:b/>
        </w:rPr>
        <w:t>Fornecedor</w:t>
      </w:r>
      <w:r w:rsidR="00594ED5" w:rsidRPr="00594ED5">
        <w:t xml:space="preserve"> </w:t>
      </w:r>
      <w:r w:rsidRPr="00594ED5">
        <w:t>- Orientação aos fornecedores, com entrega de cartilha educativa, a fim de buscar cumprimento da legislação consumerista e respeito aos direitos do consumidor. Fase de Orientação: 261 municípios visitados, com 10.278 estabelecimentos orientados e 96,70% de estabelecimentos com problemas; Fase de Fiscalização: 10.278 estabelecimentos fiscalizados e 37,49% autuados.</w:t>
      </w:r>
    </w:p>
    <w:p w:rsidR="003E6588" w:rsidRPr="00594ED5" w:rsidRDefault="003E6588">
      <w:pPr>
        <w:ind w:firstLine="1134"/>
        <w:jc w:val="both"/>
      </w:pPr>
    </w:p>
    <w:p w:rsidR="003E6588" w:rsidRDefault="003E6588">
      <w:pPr>
        <w:ind w:firstLine="1134"/>
        <w:jc w:val="both"/>
      </w:pPr>
      <w:r>
        <w:rPr>
          <w:b/>
        </w:rPr>
        <w:t>Fiscalização do mercado de consumo no Interior</w:t>
      </w:r>
      <w:r>
        <w:t xml:space="preserve"> - Foram fiscalizados 217 muni</w:t>
      </w:r>
      <w:r w:rsidR="00D96802">
        <w:t>cípios pelos Núcleos Regionais.</w:t>
      </w:r>
    </w:p>
    <w:p w:rsidR="003E6588" w:rsidRDefault="003E6588">
      <w:pPr>
        <w:ind w:firstLine="1134"/>
        <w:jc w:val="both"/>
      </w:pPr>
    </w:p>
    <w:p w:rsidR="003E6588" w:rsidRPr="00594ED5" w:rsidRDefault="003E6588">
      <w:pPr>
        <w:ind w:firstLine="1134"/>
        <w:jc w:val="both"/>
      </w:pPr>
      <w:r>
        <w:rPr>
          <w:b/>
        </w:rPr>
        <w:t>Relações Institucionais</w:t>
      </w:r>
      <w:r>
        <w:t xml:space="preserve"> - As regionais prestaram suporte técnico aos Procons municipais conveniados, principalmente nas atividades fiscalizatórias, e na utilização dos programa</w:t>
      </w:r>
      <w:r w:rsidR="00594ED5">
        <w:t xml:space="preserve">s de atendimento Sindec e </w:t>
      </w:r>
      <w:r w:rsidR="00594ED5" w:rsidRPr="00594ED5">
        <w:t>Siga.</w:t>
      </w:r>
    </w:p>
    <w:p w:rsidR="003E6588" w:rsidRPr="00594ED5" w:rsidRDefault="003E6588">
      <w:pPr>
        <w:ind w:firstLine="1134"/>
        <w:jc w:val="both"/>
      </w:pPr>
    </w:p>
    <w:p w:rsidR="003E6588" w:rsidRPr="00594ED5" w:rsidRDefault="003E6588">
      <w:pPr>
        <w:ind w:firstLine="1134"/>
        <w:jc w:val="both"/>
      </w:pPr>
      <w:r w:rsidRPr="00594ED5">
        <w:rPr>
          <w:b/>
        </w:rPr>
        <w:t>Fiscalização do Mercado de Consumo</w:t>
      </w:r>
      <w:r w:rsidRPr="00594ED5">
        <w:t xml:space="preserve"> - Foram realizados 24.903 atos fiscalizatórios pelas equipes da Capital, Núcleos Regionais e Procons Conveniados, tendo sido lavrados 5.877 autos de infração (26,60% índice de autuação), compreendendo as campanhas vinculadas às Leis nº 13.541/2009 (Lei Antifumo) e nº 13.14.592/2011 (Lei Antialcool para menores), desenvolvidas em parceria com o Centro de Vigilância Sanitária, que registrou 10.559 atos fiscalizatórios, 132 autos lavrados, com 1,25% de índice de autuação, e as demais operações anuais e diligências especiais.</w:t>
      </w:r>
    </w:p>
    <w:p w:rsidR="003E6588" w:rsidRPr="00594ED5" w:rsidRDefault="003E6588">
      <w:pPr>
        <w:ind w:firstLine="1134"/>
        <w:jc w:val="both"/>
      </w:pPr>
    </w:p>
    <w:p w:rsidR="003E6588" w:rsidRPr="00594ED5" w:rsidRDefault="003E6588">
      <w:pPr>
        <w:ind w:firstLine="1134"/>
        <w:jc w:val="both"/>
      </w:pPr>
      <w:r w:rsidRPr="00594ED5">
        <w:t>Muito embora o eixo principal das atividades desenvolvidas pela fiscalização tenha culminado na lavratura de autos de infração com imposição de multa, houve aplicação de outras sanções não pecuniárias, como apreensão de produtos</w:t>
      </w:r>
      <w:r w:rsidR="00594ED5" w:rsidRPr="00594ED5">
        <w:t xml:space="preserve"> e</w:t>
      </w:r>
      <w:r w:rsidRPr="00594ED5">
        <w:t xml:space="preserve"> interdições, com o intuito de buscar efetividade das sanções administrativas aplicadas pelo órgão.</w:t>
      </w:r>
    </w:p>
    <w:p w:rsidR="003E6588" w:rsidRPr="00594ED5" w:rsidRDefault="003E6588">
      <w:pPr>
        <w:ind w:firstLine="1134"/>
        <w:jc w:val="both"/>
      </w:pPr>
    </w:p>
    <w:p w:rsidR="003E6588" w:rsidRPr="00A5773D" w:rsidRDefault="00594ED5">
      <w:pPr>
        <w:ind w:firstLine="1134"/>
        <w:jc w:val="both"/>
      </w:pPr>
      <w:r w:rsidRPr="00A5773D">
        <w:t xml:space="preserve">As </w:t>
      </w:r>
      <w:r w:rsidR="003E6588" w:rsidRPr="00A5773D">
        <w:rPr>
          <w:bCs/>
        </w:rPr>
        <w:t xml:space="preserve">interdições e apreensões feitas com base na Lei nº 12.675/2007, que </w:t>
      </w:r>
      <w:r w:rsidR="003E6588" w:rsidRPr="00A5773D">
        <w:t xml:space="preserve">dispõe sobre a proteção e defesa dos consumidores de combustíveis e possibilita a interdição dos postos varejistas com </w:t>
      </w:r>
      <w:r w:rsidR="003E6588" w:rsidRPr="00A5773D">
        <w:lastRenderedPageBreak/>
        <w:t>aplicação da pena de perdimento do produto apreendido, result</w:t>
      </w:r>
      <w:r w:rsidR="00A5773D" w:rsidRPr="00A5773D">
        <w:t>aram</w:t>
      </w:r>
      <w:r w:rsidR="003E6588" w:rsidRPr="00A5773D">
        <w:t xml:space="preserve"> na redução do índice de não conformidade dos combustíveis. Foram fiscalizados 141 postos, sendo 12 fornecedores autuados e 8 postos lacrados/interditados.</w:t>
      </w:r>
    </w:p>
    <w:p w:rsidR="003E6588" w:rsidRPr="00A5773D" w:rsidRDefault="003E6588">
      <w:pPr>
        <w:ind w:firstLine="1134"/>
        <w:jc w:val="both"/>
      </w:pPr>
    </w:p>
    <w:p w:rsidR="003E6588" w:rsidRPr="00A5773D" w:rsidRDefault="003E6588">
      <w:pPr>
        <w:ind w:firstLine="1134"/>
        <w:jc w:val="both"/>
        <w:rPr>
          <w:strike/>
        </w:rPr>
      </w:pPr>
      <w:r w:rsidRPr="00A5773D">
        <w:t xml:space="preserve">Foram lavrados 1.136 autos de infração, no </w:t>
      </w:r>
      <w:r w:rsidR="00A5773D" w:rsidRPr="00A5773D">
        <w:t>Interior</w:t>
      </w:r>
      <w:r w:rsidRPr="00A5773D">
        <w:t>, em parceria com 58 Procons municipais.</w:t>
      </w:r>
    </w:p>
    <w:p w:rsidR="003E6588" w:rsidRPr="00A5773D" w:rsidRDefault="003E6588">
      <w:pPr>
        <w:ind w:firstLine="1134"/>
        <w:jc w:val="both"/>
        <w:rPr>
          <w:strike/>
        </w:rPr>
      </w:pPr>
    </w:p>
    <w:p w:rsidR="003E6588" w:rsidRPr="00A5773D" w:rsidRDefault="003E6588">
      <w:pPr>
        <w:ind w:firstLine="1134"/>
        <w:jc w:val="both"/>
      </w:pPr>
      <w:r w:rsidRPr="00A5773D">
        <w:t>As rotinas de fiscalização, movimentadas em atendimento às reclamações formalizadas por consumidores, resultaram 703 fiscalizações, incluindo a “Operação Bancos”, baseada em reclamações individuais, levando à fiscalização de 108 agências.</w:t>
      </w:r>
    </w:p>
    <w:p w:rsidR="003E6588" w:rsidRPr="00A5773D" w:rsidRDefault="003E6588">
      <w:pPr>
        <w:ind w:firstLine="1134"/>
        <w:jc w:val="both"/>
        <w:rPr>
          <w:bCs/>
        </w:rPr>
      </w:pPr>
    </w:p>
    <w:p w:rsidR="003E6588" w:rsidRDefault="003E6588">
      <w:pPr>
        <w:ind w:firstLine="1134"/>
        <w:jc w:val="both"/>
      </w:pPr>
      <w:r>
        <w:t xml:space="preserve">Foram mantidas as operações anualmente </w:t>
      </w:r>
      <w:r w:rsidRPr="00096232">
        <w:t>realizadas, com</w:t>
      </w:r>
      <w:r>
        <w:t xml:space="preserve"> foco no comércio varejista (Verão, Páscoa, Dia das Mães, Festa Junina, Dia das Crianças e Natal). </w:t>
      </w:r>
      <w:r w:rsidR="00A5773D">
        <w:t xml:space="preserve">Foram </w:t>
      </w:r>
      <w:r>
        <w:t>realizadas as operações Volta às Aulas, Transportes (Carnaval e Copa do Mundo) e Dia dos Pais.</w:t>
      </w:r>
    </w:p>
    <w:p w:rsidR="003E6588" w:rsidRDefault="003E6588">
      <w:pPr>
        <w:ind w:firstLine="1134"/>
        <w:jc w:val="both"/>
      </w:pPr>
    </w:p>
    <w:p w:rsidR="003E6588" w:rsidRPr="00A5773D" w:rsidRDefault="003E6588">
      <w:pPr>
        <w:ind w:firstLine="1134"/>
        <w:jc w:val="both"/>
      </w:pPr>
      <w:r w:rsidRPr="00A5773D">
        <w:t xml:space="preserve">Foram realizadas fiscalizações rotineiras em supermercados, </w:t>
      </w:r>
      <w:r w:rsidRPr="00A5773D">
        <w:rPr>
          <w:i/>
        </w:rPr>
        <w:t>shopping centers</w:t>
      </w:r>
      <w:r w:rsidRPr="00A5773D">
        <w:t xml:space="preserve">, padarias, açougues e comércio em </w:t>
      </w:r>
      <w:r w:rsidR="00A5773D" w:rsidRPr="00A5773D">
        <w:t xml:space="preserve">Municípios </w:t>
      </w:r>
      <w:r w:rsidRPr="00A5773D">
        <w:t xml:space="preserve">da </w:t>
      </w:r>
      <w:r w:rsidR="00A5773D" w:rsidRPr="00A5773D">
        <w:t xml:space="preserve">Grande </w:t>
      </w:r>
      <w:r w:rsidRPr="00A5773D">
        <w:t xml:space="preserve">São Paulo, bem como eventos especiais, como a corrida de Fórmula 1 (9 visitas) e lojas em datas festivas, tais como Páscoa (29 visitas e 18 autuações), Festas Juninas (15 análises de produtos junto ao </w:t>
      </w:r>
      <w:r w:rsidR="00A5773D" w:rsidRPr="00A5773D">
        <w:t>IPEM</w:t>
      </w:r>
      <w:r w:rsidRPr="00A5773D">
        <w:t>), Dia das Mães (181 visitas e 62 autuações), Dia dos Pais (384 visitas e 154 autuações) e Dia das Crianças (111 visitas e 30 autuações).</w:t>
      </w:r>
    </w:p>
    <w:p w:rsidR="003E6588" w:rsidRPr="00A5773D" w:rsidRDefault="003E6588">
      <w:pPr>
        <w:ind w:firstLine="1134"/>
        <w:jc w:val="both"/>
        <w:rPr>
          <w:bCs/>
        </w:rPr>
      </w:pPr>
    </w:p>
    <w:p w:rsidR="003E6588" w:rsidRPr="00A5773D" w:rsidRDefault="003E6588">
      <w:pPr>
        <w:ind w:firstLine="1134"/>
        <w:jc w:val="both"/>
      </w:pPr>
      <w:r w:rsidRPr="00A5773D">
        <w:rPr>
          <w:b/>
          <w:bCs/>
        </w:rPr>
        <w:t>Diligências Especiais</w:t>
      </w:r>
      <w:r w:rsidRPr="00A5773D">
        <w:rPr>
          <w:bCs/>
        </w:rPr>
        <w:t xml:space="preserve"> - </w:t>
      </w:r>
      <w:r w:rsidRPr="00A5773D">
        <w:t>Por solicitação do Ministério Público e dos Procons Municipais, f</w:t>
      </w:r>
      <w:r w:rsidRPr="00A5773D">
        <w:rPr>
          <w:bCs/>
        </w:rPr>
        <w:t xml:space="preserve">oram realizadas 7 diligências especiais, das quais </w:t>
      </w:r>
      <w:r w:rsidRPr="00A5773D">
        <w:t>3 em shoppings/galerias populares da Capital.</w:t>
      </w:r>
    </w:p>
    <w:p w:rsidR="003E6588" w:rsidRPr="00A5773D" w:rsidRDefault="003E6588">
      <w:pPr>
        <w:ind w:firstLine="1134"/>
        <w:jc w:val="both"/>
      </w:pPr>
    </w:p>
    <w:p w:rsidR="003E6588" w:rsidRPr="00A5773D" w:rsidRDefault="003E6588">
      <w:pPr>
        <w:ind w:firstLine="1134"/>
        <w:jc w:val="both"/>
      </w:pPr>
      <w:r>
        <w:rPr>
          <w:b/>
        </w:rPr>
        <w:t xml:space="preserve">Copa do Mundo </w:t>
      </w:r>
      <w:r w:rsidRPr="00A5773D">
        <w:rPr>
          <w:b/>
        </w:rPr>
        <w:t>- Fiscalização</w:t>
      </w:r>
      <w:r w:rsidRPr="00A5773D">
        <w:t xml:space="preserve"> - Foram efetuadas ações preventivas, tais como: palestras junto às associações de vários setores e órgãos públicos (ABIH, ABEAR, ABRASEL, ANAC, INFRAERO, SOCICAM, GRU AIRPORT) e as seguintes fiscalizações: comércio em geral (produtos temáticos), bares e restaurantes nos arredores do Vale do Anhangabaú, estacionamentos nos arredores da Estação da Luz, aeroportos e terminais rodoviários da Capital, que resultaram em 666 visitas com 142 autuações. Equipes da fiscalização realizaram plantões diários junto aos aeroportos e terminais rodoviários da Capital, que consistiu no monitoramento de partidas de v</w:t>
      </w:r>
      <w:r w:rsidR="00A5773D" w:rsidRPr="00A5773D">
        <w:t>ô</w:t>
      </w:r>
      <w:r w:rsidRPr="00A5773D">
        <w:t>os das companhias aéreas e empresas de transporte rodoviário, assim como fiscalização de lojas. A atuação deste órgão foi objeto de divulgação na mídia</w:t>
      </w:r>
      <w:r w:rsidR="00A5773D" w:rsidRPr="00A5773D">
        <w:t>,</w:t>
      </w:r>
      <w:r w:rsidRPr="00A5773D">
        <w:t xml:space="preserve"> quando houve fiscalização junto aos pontos de entrega de ingressos da Copa do Mundo.</w:t>
      </w:r>
    </w:p>
    <w:p w:rsidR="00A5773D" w:rsidRDefault="00A5773D">
      <w:pPr>
        <w:ind w:firstLine="1134"/>
        <w:jc w:val="both"/>
      </w:pPr>
    </w:p>
    <w:p w:rsidR="003E6588" w:rsidRPr="0091634A" w:rsidRDefault="003E6588">
      <w:pPr>
        <w:ind w:firstLine="1134"/>
        <w:jc w:val="both"/>
      </w:pPr>
      <w:r w:rsidRPr="0091634A">
        <w:rPr>
          <w:b/>
        </w:rPr>
        <w:t>Transporte aéreo e terrestre de passageiros</w:t>
      </w:r>
      <w:r w:rsidRPr="0091634A">
        <w:t xml:space="preserve"> </w:t>
      </w:r>
      <w:r w:rsidR="0091634A" w:rsidRPr="0091634A">
        <w:t>–</w:t>
      </w:r>
      <w:r w:rsidRPr="0091634A">
        <w:t xml:space="preserve"> </w:t>
      </w:r>
      <w:r w:rsidR="0091634A" w:rsidRPr="0091634A">
        <w:t>Durante o período carnavalesco, f</w:t>
      </w:r>
      <w:r w:rsidRPr="0091634A">
        <w:t>oram realizados plantões nos Terminais Rodoviários da Barra Funda e Tietê e nos Aeroportos de Guarulhos e Congonhas, resultando em 47 fiscalizações, com 12 autuações.</w:t>
      </w:r>
      <w:r w:rsidR="0091634A">
        <w:t xml:space="preserve"> </w:t>
      </w:r>
      <w:r w:rsidRPr="0091634A">
        <w:t>Esses locais foram fiscalizados durante a realização da Copa do Mundo.</w:t>
      </w:r>
    </w:p>
    <w:p w:rsidR="003E6588" w:rsidRDefault="003E6588">
      <w:pPr>
        <w:ind w:firstLine="1134"/>
        <w:jc w:val="both"/>
      </w:pPr>
    </w:p>
    <w:p w:rsidR="003E6588" w:rsidRPr="0091634A" w:rsidRDefault="003E6588">
      <w:pPr>
        <w:ind w:firstLine="1134"/>
        <w:jc w:val="both"/>
      </w:pPr>
      <w:r w:rsidRPr="0091634A">
        <w:rPr>
          <w:b/>
        </w:rPr>
        <w:t>Saldão</w:t>
      </w:r>
      <w:r w:rsidRPr="0091634A">
        <w:t xml:space="preserve"> </w:t>
      </w:r>
      <w:r w:rsidR="0091634A" w:rsidRPr="0091634A">
        <w:t>-</w:t>
      </w:r>
      <w:r w:rsidRPr="0091634A">
        <w:t xml:space="preserve"> A Fundação Procon tem acompanhado as liquidações realizadas pós</w:t>
      </w:r>
      <w:r w:rsidR="0091634A" w:rsidRPr="0091634A">
        <w:t>-</w:t>
      </w:r>
      <w:r w:rsidRPr="0091634A">
        <w:t>Natal e Ano Novo. Foram registradas 4 visitas, sem autuações.</w:t>
      </w:r>
    </w:p>
    <w:p w:rsidR="003E6588" w:rsidRPr="0091634A" w:rsidRDefault="003E6588">
      <w:pPr>
        <w:ind w:firstLine="1134"/>
        <w:jc w:val="both"/>
      </w:pPr>
    </w:p>
    <w:p w:rsidR="003E6588" w:rsidRPr="0091634A" w:rsidRDefault="003E6588">
      <w:pPr>
        <w:ind w:firstLine="1134"/>
        <w:jc w:val="both"/>
      </w:pPr>
      <w:r w:rsidRPr="0091634A">
        <w:lastRenderedPageBreak/>
        <w:t xml:space="preserve">Monitoramento de </w:t>
      </w:r>
      <w:r w:rsidRPr="0091634A">
        <w:rPr>
          <w:i/>
        </w:rPr>
        <w:t>Recall</w:t>
      </w:r>
      <w:r w:rsidRPr="0091634A">
        <w:t xml:space="preserve"> - Com</w:t>
      </w:r>
      <w:r w:rsidRPr="0091634A">
        <w:rPr>
          <w:rFonts w:eastAsia="Verdana"/>
        </w:rPr>
        <w:t xml:space="preserve"> </w:t>
      </w:r>
      <w:r w:rsidRPr="0091634A">
        <w:t>a</w:t>
      </w:r>
      <w:r w:rsidRPr="0091634A">
        <w:rPr>
          <w:rFonts w:eastAsia="Verdana"/>
        </w:rPr>
        <w:t xml:space="preserve"> </w:t>
      </w:r>
      <w:r w:rsidRPr="0091634A">
        <w:t>finalidade</w:t>
      </w:r>
      <w:r w:rsidRPr="0091634A">
        <w:rPr>
          <w:rFonts w:eastAsia="Verdana"/>
        </w:rPr>
        <w:t xml:space="preserve"> </w:t>
      </w:r>
      <w:r w:rsidRPr="0091634A">
        <w:t>de</w:t>
      </w:r>
      <w:r w:rsidRPr="0091634A">
        <w:rPr>
          <w:rFonts w:eastAsia="Verdana"/>
        </w:rPr>
        <w:t xml:space="preserve"> </w:t>
      </w:r>
      <w:r w:rsidRPr="0091634A">
        <w:t>proteger</w:t>
      </w:r>
      <w:r w:rsidRPr="0091634A">
        <w:rPr>
          <w:rFonts w:eastAsia="Verdana"/>
        </w:rPr>
        <w:t xml:space="preserve"> </w:t>
      </w:r>
      <w:r w:rsidRPr="0091634A">
        <w:t>os</w:t>
      </w:r>
      <w:r w:rsidRPr="0091634A">
        <w:rPr>
          <w:rFonts w:eastAsia="Verdana"/>
        </w:rPr>
        <w:t xml:space="preserve"> </w:t>
      </w:r>
      <w:r w:rsidRPr="0091634A">
        <w:t>consumidores</w:t>
      </w:r>
      <w:r w:rsidRPr="0091634A">
        <w:rPr>
          <w:rFonts w:eastAsia="Verdana"/>
        </w:rPr>
        <w:t xml:space="preserve"> </w:t>
      </w:r>
      <w:r w:rsidRPr="0091634A">
        <w:t>e</w:t>
      </w:r>
      <w:r w:rsidRPr="0091634A">
        <w:rPr>
          <w:rFonts w:eastAsia="Verdana"/>
        </w:rPr>
        <w:t xml:space="preserve"> </w:t>
      </w:r>
      <w:r w:rsidRPr="0091634A">
        <w:t>terceiros</w:t>
      </w:r>
      <w:r w:rsidRPr="0091634A">
        <w:rPr>
          <w:rFonts w:eastAsia="Verdana"/>
        </w:rPr>
        <w:t xml:space="preserve"> </w:t>
      </w:r>
      <w:r w:rsidRPr="0091634A">
        <w:t>contra</w:t>
      </w:r>
      <w:r w:rsidRPr="0091634A">
        <w:rPr>
          <w:rFonts w:eastAsia="Verdana"/>
        </w:rPr>
        <w:t xml:space="preserve"> </w:t>
      </w:r>
      <w:r w:rsidRPr="0091634A">
        <w:t>riscos</w:t>
      </w:r>
      <w:r w:rsidRPr="0091634A">
        <w:rPr>
          <w:rFonts w:eastAsia="Verdana"/>
        </w:rPr>
        <w:t xml:space="preserve"> </w:t>
      </w:r>
      <w:r w:rsidRPr="0091634A">
        <w:t>de</w:t>
      </w:r>
      <w:r w:rsidRPr="0091634A">
        <w:rPr>
          <w:rFonts w:eastAsia="Verdana"/>
        </w:rPr>
        <w:t xml:space="preserve"> </w:t>
      </w:r>
      <w:r w:rsidRPr="0091634A">
        <w:t>lesão</w:t>
      </w:r>
      <w:r w:rsidRPr="0091634A">
        <w:rPr>
          <w:rFonts w:eastAsia="Verdana"/>
        </w:rPr>
        <w:t xml:space="preserve"> </w:t>
      </w:r>
      <w:r w:rsidRPr="0091634A">
        <w:t>e</w:t>
      </w:r>
      <w:r w:rsidRPr="0091634A">
        <w:rPr>
          <w:rFonts w:eastAsia="Verdana"/>
        </w:rPr>
        <w:t xml:space="preserve"> </w:t>
      </w:r>
      <w:r w:rsidRPr="0091634A">
        <w:t>mortes</w:t>
      </w:r>
      <w:r w:rsidRPr="0091634A">
        <w:rPr>
          <w:rFonts w:eastAsia="Verdana"/>
        </w:rPr>
        <w:t xml:space="preserve"> </w:t>
      </w:r>
      <w:r w:rsidRPr="0091634A">
        <w:t>associados</w:t>
      </w:r>
      <w:r w:rsidRPr="0091634A">
        <w:rPr>
          <w:rFonts w:eastAsia="Verdana"/>
        </w:rPr>
        <w:t xml:space="preserve"> </w:t>
      </w:r>
      <w:r w:rsidRPr="0091634A">
        <w:t>a</w:t>
      </w:r>
      <w:r w:rsidRPr="0091634A">
        <w:rPr>
          <w:rFonts w:eastAsia="Verdana"/>
        </w:rPr>
        <w:t xml:space="preserve"> </w:t>
      </w:r>
      <w:r w:rsidRPr="0091634A">
        <w:t>produtos</w:t>
      </w:r>
      <w:r w:rsidRPr="0091634A">
        <w:rPr>
          <w:rFonts w:eastAsia="Verdana"/>
        </w:rPr>
        <w:t xml:space="preserve"> </w:t>
      </w:r>
      <w:r w:rsidRPr="0091634A">
        <w:t>e</w:t>
      </w:r>
      <w:r w:rsidRPr="0091634A">
        <w:rPr>
          <w:rFonts w:eastAsia="Verdana"/>
        </w:rPr>
        <w:t xml:space="preserve"> </w:t>
      </w:r>
      <w:r w:rsidRPr="0091634A">
        <w:t>serviços,</w:t>
      </w:r>
      <w:r w:rsidRPr="0091634A">
        <w:rPr>
          <w:rFonts w:eastAsia="Verdana"/>
        </w:rPr>
        <w:t xml:space="preserve"> </w:t>
      </w:r>
      <w:r w:rsidRPr="0091634A">
        <w:t>a</w:t>
      </w:r>
      <w:r w:rsidRPr="0091634A">
        <w:rPr>
          <w:rFonts w:eastAsia="Verdana"/>
        </w:rPr>
        <w:t xml:space="preserve"> </w:t>
      </w:r>
      <w:r w:rsidRPr="0091634A">
        <w:t>Diretoria</w:t>
      </w:r>
      <w:r w:rsidRPr="0091634A">
        <w:rPr>
          <w:rFonts w:eastAsia="Verdana"/>
        </w:rPr>
        <w:t xml:space="preserve"> </w:t>
      </w:r>
      <w:r w:rsidRPr="0091634A">
        <w:t>de</w:t>
      </w:r>
      <w:r w:rsidRPr="0091634A">
        <w:rPr>
          <w:rFonts w:eastAsia="Verdana"/>
        </w:rPr>
        <w:t xml:space="preserve"> </w:t>
      </w:r>
      <w:r w:rsidRPr="0091634A">
        <w:t>Fiscalização</w:t>
      </w:r>
      <w:r w:rsidRPr="0091634A">
        <w:rPr>
          <w:rFonts w:eastAsia="Verdana"/>
        </w:rPr>
        <w:t xml:space="preserve"> </w:t>
      </w:r>
      <w:r w:rsidRPr="0091634A">
        <w:t>realiza</w:t>
      </w:r>
      <w:r w:rsidRPr="0091634A">
        <w:rPr>
          <w:rFonts w:eastAsia="Verdana"/>
        </w:rPr>
        <w:t xml:space="preserve"> </w:t>
      </w:r>
      <w:r w:rsidRPr="0091634A">
        <w:t>o</w:t>
      </w:r>
      <w:r w:rsidRPr="0091634A">
        <w:rPr>
          <w:rFonts w:eastAsia="Verdana"/>
        </w:rPr>
        <w:t xml:space="preserve"> </w:t>
      </w:r>
      <w:r w:rsidRPr="0091634A">
        <w:t>monitoramento</w:t>
      </w:r>
      <w:r w:rsidRPr="0091634A">
        <w:rPr>
          <w:rFonts w:eastAsia="Verdana"/>
        </w:rPr>
        <w:t xml:space="preserve"> </w:t>
      </w:r>
      <w:r w:rsidRPr="0091634A">
        <w:t>das</w:t>
      </w:r>
      <w:r w:rsidRPr="0091634A">
        <w:rPr>
          <w:rFonts w:eastAsia="Verdana"/>
        </w:rPr>
        <w:t xml:space="preserve"> </w:t>
      </w:r>
      <w:r w:rsidRPr="0091634A">
        <w:t>campanhas</w:t>
      </w:r>
      <w:r w:rsidRPr="0091634A">
        <w:rPr>
          <w:rFonts w:eastAsia="Verdana"/>
        </w:rPr>
        <w:t xml:space="preserve"> </w:t>
      </w:r>
      <w:r w:rsidRPr="0091634A">
        <w:t>de</w:t>
      </w:r>
      <w:r w:rsidRPr="0091634A">
        <w:rPr>
          <w:rFonts w:eastAsia="Verdana"/>
        </w:rPr>
        <w:t xml:space="preserve"> </w:t>
      </w:r>
      <w:r w:rsidRPr="0091634A">
        <w:rPr>
          <w:i/>
        </w:rPr>
        <w:t>recall</w:t>
      </w:r>
      <w:r w:rsidRPr="0091634A">
        <w:t>,</w:t>
      </w:r>
      <w:r w:rsidRPr="0091634A">
        <w:rPr>
          <w:rFonts w:eastAsia="Verdana"/>
        </w:rPr>
        <w:t xml:space="preserve"> </w:t>
      </w:r>
      <w:r w:rsidRPr="0091634A">
        <w:t>que</w:t>
      </w:r>
      <w:r w:rsidRPr="0091634A">
        <w:rPr>
          <w:rFonts w:eastAsia="Verdana"/>
        </w:rPr>
        <w:t xml:space="preserve"> </w:t>
      </w:r>
      <w:r w:rsidRPr="0091634A">
        <w:t>objetiva</w:t>
      </w:r>
      <w:r w:rsidRPr="0091634A">
        <w:rPr>
          <w:rFonts w:eastAsia="Verdana"/>
        </w:rPr>
        <w:t xml:space="preserve"> </w:t>
      </w:r>
      <w:r w:rsidRPr="0091634A">
        <w:t>acompanhar,</w:t>
      </w:r>
      <w:r w:rsidRPr="0091634A">
        <w:rPr>
          <w:rFonts w:eastAsia="Verdana"/>
        </w:rPr>
        <w:t xml:space="preserve"> </w:t>
      </w:r>
      <w:r w:rsidRPr="0091634A">
        <w:t>por</w:t>
      </w:r>
      <w:r w:rsidRPr="0091634A">
        <w:rPr>
          <w:rFonts w:eastAsia="Verdana"/>
        </w:rPr>
        <w:t xml:space="preserve"> </w:t>
      </w:r>
      <w:r w:rsidRPr="0091634A">
        <w:t>meio</w:t>
      </w:r>
      <w:r w:rsidRPr="0091634A">
        <w:rPr>
          <w:rFonts w:eastAsia="Verdana"/>
        </w:rPr>
        <w:t xml:space="preserve"> </w:t>
      </w:r>
      <w:r w:rsidRPr="0091634A">
        <w:t>de</w:t>
      </w:r>
      <w:r w:rsidRPr="0091634A">
        <w:rPr>
          <w:rFonts w:eastAsia="Verdana"/>
        </w:rPr>
        <w:t xml:space="preserve"> </w:t>
      </w:r>
      <w:r w:rsidRPr="0091634A">
        <w:t>pesquisas,</w:t>
      </w:r>
      <w:r w:rsidRPr="0091634A">
        <w:rPr>
          <w:rFonts w:eastAsia="Verdana"/>
        </w:rPr>
        <w:t xml:space="preserve"> </w:t>
      </w:r>
      <w:r w:rsidRPr="0091634A">
        <w:t>não</w:t>
      </w:r>
      <w:r w:rsidRPr="0091634A">
        <w:rPr>
          <w:rFonts w:eastAsia="Verdana"/>
        </w:rPr>
        <w:t xml:space="preserve"> </w:t>
      </w:r>
      <w:r w:rsidRPr="0091634A">
        <w:t>apenas</w:t>
      </w:r>
      <w:r w:rsidRPr="0091634A">
        <w:rPr>
          <w:rFonts w:eastAsia="Verdana"/>
        </w:rPr>
        <w:t xml:space="preserve"> </w:t>
      </w:r>
      <w:r w:rsidRPr="0091634A">
        <w:t>o</w:t>
      </w:r>
      <w:r w:rsidRPr="0091634A">
        <w:rPr>
          <w:rFonts w:eastAsia="Verdana"/>
        </w:rPr>
        <w:t xml:space="preserve"> </w:t>
      </w:r>
      <w:r w:rsidRPr="0091634A">
        <w:rPr>
          <w:i/>
        </w:rPr>
        <w:t>recall</w:t>
      </w:r>
      <w:r w:rsidRPr="0091634A">
        <w:rPr>
          <w:rFonts w:eastAsia="Verdana"/>
        </w:rPr>
        <w:t xml:space="preserve"> </w:t>
      </w:r>
      <w:r w:rsidRPr="0091634A">
        <w:t>iniciado</w:t>
      </w:r>
      <w:r w:rsidRPr="0091634A">
        <w:rPr>
          <w:rFonts w:eastAsia="Verdana"/>
        </w:rPr>
        <w:t xml:space="preserve"> </w:t>
      </w:r>
      <w:r w:rsidRPr="0091634A">
        <w:t>pelo</w:t>
      </w:r>
      <w:r w:rsidRPr="0091634A">
        <w:rPr>
          <w:rFonts w:eastAsia="Verdana"/>
        </w:rPr>
        <w:t xml:space="preserve"> </w:t>
      </w:r>
      <w:r w:rsidRPr="0091634A">
        <w:t>fornecedor,</w:t>
      </w:r>
      <w:r w:rsidRPr="0091634A">
        <w:rPr>
          <w:rFonts w:eastAsia="Verdana"/>
        </w:rPr>
        <w:t xml:space="preserve"> </w:t>
      </w:r>
      <w:r w:rsidRPr="0091634A">
        <w:t>mas</w:t>
      </w:r>
      <w:r w:rsidRPr="0091634A">
        <w:rPr>
          <w:rFonts w:eastAsia="Verdana"/>
        </w:rPr>
        <w:t xml:space="preserve"> </w:t>
      </w:r>
      <w:r w:rsidRPr="0091634A">
        <w:t>principalmente</w:t>
      </w:r>
      <w:r w:rsidRPr="0091634A">
        <w:rPr>
          <w:rFonts w:eastAsia="Verdana"/>
        </w:rPr>
        <w:t xml:space="preserve"> </w:t>
      </w:r>
      <w:r w:rsidRPr="0091634A">
        <w:t>o</w:t>
      </w:r>
      <w:r w:rsidRPr="0091634A">
        <w:rPr>
          <w:rFonts w:eastAsia="Verdana"/>
        </w:rPr>
        <w:t xml:space="preserve"> </w:t>
      </w:r>
      <w:r w:rsidRPr="0091634A">
        <w:t>recolhimento</w:t>
      </w:r>
      <w:r w:rsidRPr="0091634A">
        <w:rPr>
          <w:rFonts w:eastAsia="Verdana"/>
        </w:rPr>
        <w:t xml:space="preserve"> </w:t>
      </w:r>
      <w:r w:rsidRPr="0091634A">
        <w:t>de</w:t>
      </w:r>
      <w:r w:rsidRPr="0091634A">
        <w:rPr>
          <w:rFonts w:eastAsia="Verdana"/>
        </w:rPr>
        <w:t xml:space="preserve"> </w:t>
      </w:r>
      <w:r w:rsidRPr="0091634A">
        <w:t>produtos</w:t>
      </w:r>
      <w:r w:rsidRPr="0091634A">
        <w:rPr>
          <w:rFonts w:eastAsia="Verdana"/>
        </w:rPr>
        <w:t xml:space="preserve"> </w:t>
      </w:r>
      <w:r w:rsidRPr="0091634A">
        <w:t>que</w:t>
      </w:r>
      <w:r w:rsidRPr="0091634A">
        <w:rPr>
          <w:rFonts w:eastAsia="Verdana"/>
        </w:rPr>
        <w:t xml:space="preserve"> </w:t>
      </w:r>
      <w:r w:rsidRPr="0091634A">
        <w:t>não</w:t>
      </w:r>
      <w:r w:rsidRPr="0091634A">
        <w:rPr>
          <w:rFonts w:eastAsia="Verdana"/>
        </w:rPr>
        <w:t xml:space="preserve"> </w:t>
      </w:r>
      <w:r w:rsidRPr="0091634A">
        <w:t>são</w:t>
      </w:r>
      <w:r w:rsidRPr="0091634A">
        <w:rPr>
          <w:rFonts w:eastAsia="Verdana"/>
        </w:rPr>
        <w:t xml:space="preserve"> </w:t>
      </w:r>
      <w:r w:rsidR="0091634A" w:rsidRPr="0091634A">
        <w:t>divulgados.</w:t>
      </w:r>
    </w:p>
    <w:p w:rsidR="003E6588" w:rsidRPr="0091634A" w:rsidRDefault="003E6588">
      <w:pPr>
        <w:ind w:firstLine="1134"/>
        <w:jc w:val="both"/>
      </w:pPr>
    </w:p>
    <w:p w:rsidR="003E6588" w:rsidRPr="0091634A" w:rsidRDefault="003E6588">
      <w:pPr>
        <w:ind w:firstLine="1134"/>
        <w:jc w:val="both"/>
      </w:pPr>
      <w:r w:rsidRPr="0091634A">
        <w:t>O</w:t>
      </w:r>
      <w:r w:rsidRPr="0091634A">
        <w:rPr>
          <w:rFonts w:eastAsia="Verdana"/>
        </w:rPr>
        <w:t xml:space="preserve"> </w:t>
      </w:r>
      <w:r w:rsidRPr="0091634A">
        <w:t>monitoramento serve</w:t>
      </w:r>
      <w:r w:rsidRPr="0091634A">
        <w:rPr>
          <w:rFonts w:eastAsia="Verdana"/>
        </w:rPr>
        <w:t xml:space="preserve"> </w:t>
      </w:r>
      <w:r w:rsidRPr="0091634A">
        <w:t>para</w:t>
      </w:r>
      <w:r w:rsidRPr="0091634A">
        <w:rPr>
          <w:rFonts w:eastAsia="Verdana"/>
        </w:rPr>
        <w:t xml:space="preserve"> </w:t>
      </w:r>
      <w:r w:rsidRPr="0091634A">
        <w:t>alimentação</w:t>
      </w:r>
      <w:r w:rsidRPr="0091634A">
        <w:rPr>
          <w:rFonts w:eastAsia="Verdana"/>
        </w:rPr>
        <w:t xml:space="preserve"> </w:t>
      </w:r>
      <w:r w:rsidRPr="0091634A">
        <w:t>do</w:t>
      </w:r>
      <w:r w:rsidRPr="0091634A">
        <w:rPr>
          <w:rFonts w:eastAsia="Verdana"/>
        </w:rPr>
        <w:t xml:space="preserve"> </w:t>
      </w:r>
      <w:r w:rsidRPr="0091634A">
        <w:t>banco</w:t>
      </w:r>
      <w:r w:rsidRPr="0091634A">
        <w:rPr>
          <w:rFonts w:eastAsia="Verdana"/>
        </w:rPr>
        <w:t xml:space="preserve"> </w:t>
      </w:r>
      <w:r w:rsidRPr="0091634A">
        <w:t>de</w:t>
      </w:r>
      <w:r w:rsidRPr="0091634A">
        <w:rPr>
          <w:rFonts w:eastAsia="Verdana"/>
        </w:rPr>
        <w:t xml:space="preserve"> </w:t>
      </w:r>
      <w:r w:rsidRPr="0091634A">
        <w:t>dados</w:t>
      </w:r>
      <w:r w:rsidRPr="0091634A">
        <w:rPr>
          <w:rFonts w:eastAsia="Verdana"/>
        </w:rPr>
        <w:t xml:space="preserve"> </w:t>
      </w:r>
      <w:r w:rsidRPr="0091634A">
        <w:t>de</w:t>
      </w:r>
      <w:r w:rsidRPr="0091634A">
        <w:rPr>
          <w:rFonts w:eastAsia="Verdana"/>
        </w:rPr>
        <w:t xml:space="preserve"> </w:t>
      </w:r>
      <w:r w:rsidRPr="0091634A">
        <w:rPr>
          <w:i/>
        </w:rPr>
        <w:t>recall</w:t>
      </w:r>
      <w:r w:rsidR="0091634A" w:rsidRPr="0091634A">
        <w:rPr>
          <w:i/>
        </w:rPr>
        <w:t>,</w:t>
      </w:r>
      <w:r w:rsidRPr="0091634A">
        <w:rPr>
          <w:rFonts w:eastAsia="Verdana"/>
        </w:rPr>
        <w:t xml:space="preserve"> </w:t>
      </w:r>
      <w:r w:rsidRPr="0091634A">
        <w:t>disponível</w:t>
      </w:r>
      <w:r w:rsidRPr="0091634A">
        <w:rPr>
          <w:rFonts w:eastAsia="Verdana"/>
        </w:rPr>
        <w:t xml:space="preserve"> </w:t>
      </w:r>
      <w:r w:rsidRPr="0091634A">
        <w:t>na</w:t>
      </w:r>
      <w:r w:rsidRPr="0091634A">
        <w:rPr>
          <w:rFonts w:eastAsia="Verdana"/>
        </w:rPr>
        <w:t xml:space="preserve"> </w:t>
      </w:r>
      <w:r w:rsidRPr="0091634A">
        <w:t>página</w:t>
      </w:r>
      <w:r w:rsidRPr="0091634A">
        <w:rPr>
          <w:rFonts w:eastAsia="Verdana"/>
        </w:rPr>
        <w:t xml:space="preserve"> </w:t>
      </w:r>
      <w:r w:rsidRPr="0091634A">
        <w:t>do</w:t>
      </w:r>
      <w:r w:rsidRPr="0091634A">
        <w:rPr>
          <w:rFonts w:eastAsia="Verdana"/>
        </w:rPr>
        <w:t xml:space="preserve"> </w:t>
      </w:r>
      <w:r w:rsidRPr="0091634A">
        <w:t>Procon</w:t>
      </w:r>
      <w:r w:rsidRPr="0091634A">
        <w:rPr>
          <w:rFonts w:eastAsia="Verdana"/>
        </w:rPr>
        <w:t xml:space="preserve"> </w:t>
      </w:r>
      <w:r w:rsidRPr="0091634A">
        <w:t>na</w:t>
      </w:r>
      <w:r w:rsidRPr="0091634A">
        <w:rPr>
          <w:rFonts w:eastAsia="Verdana"/>
        </w:rPr>
        <w:t xml:space="preserve"> </w:t>
      </w:r>
      <w:r w:rsidRPr="0091634A">
        <w:rPr>
          <w:i/>
        </w:rPr>
        <w:t>internet</w:t>
      </w:r>
      <w:r w:rsidRPr="0091634A">
        <w:t>, o</w:t>
      </w:r>
      <w:r w:rsidRPr="0091634A">
        <w:rPr>
          <w:rFonts w:eastAsia="Verdana"/>
        </w:rPr>
        <w:t xml:space="preserve"> </w:t>
      </w:r>
      <w:r w:rsidRPr="0091634A">
        <w:t>que</w:t>
      </w:r>
      <w:r w:rsidRPr="0091634A">
        <w:rPr>
          <w:rFonts w:eastAsia="Verdana"/>
        </w:rPr>
        <w:t xml:space="preserve"> </w:t>
      </w:r>
      <w:r w:rsidRPr="0091634A">
        <w:t>permite</w:t>
      </w:r>
      <w:r w:rsidRPr="0091634A">
        <w:rPr>
          <w:rFonts w:eastAsia="Verdana"/>
        </w:rPr>
        <w:t xml:space="preserve"> </w:t>
      </w:r>
      <w:r w:rsidRPr="0091634A">
        <w:t>a</w:t>
      </w:r>
      <w:r w:rsidRPr="0091634A">
        <w:rPr>
          <w:rFonts w:eastAsia="Verdana"/>
        </w:rPr>
        <w:t xml:space="preserve"> </w:t>
      </w:r>
      <w:r w:rsidRPr="0091634A">
        <w:t>qualquer</w:t>
      </w:r>
      <w:r w:rsidRPr="0091634A">
        <w:rPr>
          <w:rFonts w:eastAsia="Verdana"/>
        </w:rPr>
        <w:t xml:space="preserve"> </w:t>
      </w:r>
      <w:r w:rsidRPr="0091634A">
        <w:t>interessado</w:t>
      </w:r>
      <w:r w:rsidRPr="0091634A">
        <w:rPr>
          <w:rFonts w:eastAsia="Verdana"/>
        </w:rPr>
        <w:t xml:space="preserve"> </w:t>
      </w:r>
      <w:r w:rsidRPr="0091634A">
        <w:t>a</w:t>
      </w:r>
      <w:r w:rsidRPr="0091634A">
        <w:rPr>
          <w:rFonts w:eastAsia="Verdana"/>
        </w:rPr>
        <w:t xml:space="preserve"> </w:t>
      </w:r>
      <w:r w:rsidRPr="0091634A">
        <w:t>visualização</w:t>
      </w:r>
      <w:r w:rsidRPr="0091634A">
        <w:rPr>
          <w:rFonts w:eastAsia="Verdana"/>
        </w:rPr>
        <w:t xml:space="preserve"> </w:t>
      </w:r>
      <w:r w:rsidRPr="0091634A">
        <w:t>de</w:t>
      </w:r>
      <w:r w:rsidRPr="0091634A">
        <w:rPr>
          <w:rFonts w:eastAsia="Verdana"/>
        </w:rPr>
        <w:t xml:space="preserve"> </w:t>
      </w:r>
      <w:r w:rsidRPr="0091634A">
        <w:t>todas</w:t>
      </w:r>
      <w:r w:rsidRPr="0091634A">
        <w:rPr>
          <w:rFonts w:eastAsia="Verdana"/>
        </w:rPr>
        <w:t xml:space="preserve"> </w:t>
      </w:r>
      <w:r w:rsidRPr="0091634A">
        <w:t>as</w:t>
      </w:r>
      <w:r w:rsidRPr="0091634A">
        <w:rPr>
          <w:rFonts w:eastAsia="Verdana"/>
        </w:rPr>
        <w:t xml:space="preserve"> </w:t>
      </w:r>
      <w:r w:rsidRPr="0091634A">
        <w:t>campanhas</w:t>
      </w:r>
      <w:r w:rsidRPr="0091634A">
        <w:rPr>
          <w:rFonts w:eastAsia="Verdana"/>
        </w:rPr>
        <w:t xml:space="preserve"> </w:t>
      </w:r>
      <w:r w:rsidRPr="0091634A">
        <w:t>de</w:t>
      </w:r>
      <w:r w:rsidRPr="0091634A">
        <w:rPr>
          <w:rFonts w:eastAsia="Verdana"/>
        </w:rPr>
        <w:t xml:space="preserve"> </w:t>
      </w:r>
      <w:r w:rsidRPr="0091634A">
        <w:rPr>
          <w:i/>
        </w:rPr>
        <w:t>recall</w:t>
      </w:r>
      <w:r w:rsidRPr="0091634A">
        <w:rPr>
          <w:rFonts w:eastAsia="Verdana"/>
        </w:rPr>
        <w:t xml:space="preserve"> </w:t>
      </w:r>
      <w:r w:rsidRPr="0091634A">
        <w:t>realizadas</w:t>
      </w:r>
      <w:r w:rsidRPr="0091634A">
        <w:rPr>
          <w:rFonts w:eastAsia="Verdana"/>
        </w:rPr>
        <w:t xml:space="preserve"> </w:t>
      </w:r>
      <w:r w:rsidRPr="0091634A">
        <w:t>desde</w:t>
      </w:r>
      <w:r w:rsidRPr="0091634A">
        <w:rPr>
          <w:rFonts w:eastAsia="Verdana"/>
        </w:rPr>
        <w:t xml:space="preserve"> </w:t>
      </w:r>
      <w:r w:rsidRPr="0091634A">
        <w:t>2002,</w:t>
      </w:r>
      <w:r w:rsidRPr="0091634A">
        <w:rPr>
          <w:rFonts w:eastAsia="Verdana"/>
        </w:rPr>
        <w:t xml:space="preserve"> </w:t>
      </w:r>
      <w:r w:rsidRPr="0091634A">
        <w:t>assim</w:t>
      </w:r>
      <w:r w:rsidRPr="0091634A">
        <w:rPr>
          <w:rFonts w:eastAsia="Verdana"/>
        </w:rPr>
        <w:t xml:space="preserve"> </w:t>
      </w:r>
      <w:r w:rsidRPr="0091634A">
        <w:t>como</w:t>
      </w:r>
      <w:r w:rsidRPr="0091634A">
        <w:rPr>
          <w:rFonts w:eastAsia="Verdana"/>
        </w:rPr>
        <w:t xml:space="preserve"> </w:t>
      </w:r>
      <w:r w:rsidRPr="0091634A">
        <w:t>a</w:t>
      </w:r>
      <w:r w:rsidRPr="0091634A">
        <w:rPr>
          <w:rFonts w:eastAsia="Verdana"/>
        </w:rPr>
        <w:t xml:space="preserve"> </w:t>
      </w:r>
      <w:r w:rsidRPr="0091634A">
        <w:t>geração</w:t>
      </w:r>
      <w:r w:rsidRPr="0091634A">
        <w:rPr>
          <w:rFonts w:eastAsia="Verdana"/>
        </w:rPr>
        <w:t xml:space="preserve"> </w:t>
      </w:r>
      <w:r w:rsidRPr="0091634A">
        <w:t>de</w:t>
      </w:r>
      <w:r w:rsidRPr="0091634A">
        <w:rPr>
          <w:rFonts w:eastAsia="Verdana"/>
        </w:rPr>
        <w:t xml:space="preserve"> </w:t>
      </w:r>
      <w:r w:rsidRPr="0091634A">
        <w:t>relatórios</w:t>
      </w:r>
      <w:r w:rsidRPr="0091634A">
        <w:rPr>
          <w:rFonts w:eastAsia="Verdana"/>
        </w:rPr>
        <w:t xml:space="preserve"> </w:t>
      </w:r>
      <w:r w:rsidRPr="0091634A">
        <w:t>a</w:t>
      </w:r>
      <w:r w:rsidRPr="0091634A">
        <w:rPr>
          <w:rFonts w:eastAsia="Verdana"/>
        </w:rPr>
        <w:t xml:space="preserve"> </w:t>
      </w:r>
      <w:r w:rsidRPr="0091634A">
        <w:t>partir</w:t>
      </w:r>
      <w:r w:rsidRPr="0091634A">
        <w:rPr>
          <w:rFonts w:eastAsia="Verdana"/>
        </w:rPr>
        <w:t xml:space="preserve"> </w:t>
      </w:r>
      <w:r w:rsidRPr="0091634A">
        <w:t>dos</w:t>
      </w:r>
      <w:r w:rsidRPr="0091634A">
        <w:rPr>
          <w:rFonts w:eastAsia="Verdana"/>
        </w:rPr>
        <w:t xml:space="preserve"> </w:t>
      </w:r>
      <w:r w:rsidRPr="0091634A">
        <w:t>dados</w:t>
      </w:r>
      <w:r w:rsidRPr="0091634A">
        <w:rPr>
          <w:rFonts w:eastAsia="Verdana"/>
        </w:rPr>
        <w:t xml:space="preserve"> </w:t>
      </w:r>
      <w:r w:rsidRPr="0091634A">
        <w:t>cadastrados,</w:t>
      </w:r>
      <w:r w:rsidRPr="0091634A">
        <w:rPr>
          <w:rFonts w:eastAsia="Verdana"/>
        </w:rPr>
        <w:t xml:space="preserve"> </w:t>
      </w:r>
      <w:r w:rsidRPr="0091634A">
        <w:t>orientando</w:t>
      </w:r>
      <w:r w:rsidRPr="0091634A">
        <w:rPr>
          <w:rFonts w:eastAsia="Verdana"/>
        </w:rPr>
        <w:t xml:space="preserve"> </w:t>
      </w:r>
      <w:r w:rsidRPr="0091634A">
        <w:t>o</w:t>
      </w:r>
      <w:r w:rsidRPr="0091634A">
        <w:rPr>
          <w:rFonts w:eastAsia="Verdana"/>
        </w:rPr>
        <w:t xml:space="preserve"> </w:t>
      </w:r>
      <w:r w:rsidRPr="0091634A">
        <w:t>trabalho</w:t>
      </w:r>
      <w:r w:rsidRPr="0091634A">
        <w:rPr>
          <w:rFonts w:eastAsia="Verdana"/>
        </w:rPr>
        <w:t xml:space="preserve"> </w:t>
      </w:r>
      <w:r w:rsidRPr="0091634A">
        <w:t>da</w:t>
      </w:r>
      <w:r w:rsidRPr="0091634A">
        <w:rPr>
          <w:rFonts w:eastAsia="Verdana"/>
        </w:rPr>
        <w:t xml:space="preserve"> </w:t>
      </w:r>
      <w:r w:rsidRPr="0091634A">
        <w:t>Diretoria</w:t>
      </w:r>
      <w:r w:rsidRPr="0091634A">
        <w:rPr>
          <w:rFonts w:eastAsia="Verdana"/>
        </w:rPr>
        <w:t xml:space="preserve"> </w:t>
      </w:r>
      <w:r w:rsidRPr="0091634A">
        <w:t>de</w:t>
      </w:r>
      <w:r w:rsidRPr="0091634A">
        <w:rPr>
          <w:rFonts w:eastAsia="Verdana"/>
        </w:rPr>
        <w:t xml:space="preserve"> </w:t>
      </w:r>
      <w:r w:rsidRPr="0091634A">
        <w:t>Fiscalização</w:t>
      </w:r>
      <w:r w:rsidRPr="0091634A">
        <w:rPr>
          <w:rFonts w:eastAsia="Verdana"/>
        </w:rPr>
        <w:t xml:space="preserve"> </w:t>
      </w:r>
      <w:r w:rsidRPr="0091634A">
        <w:t>na</w:t>
      </w:r>
      <w:r w:rsidRPr="0091634A">
        <w:rPr>
          <w:rFonts w:eastAsia="Verdana"/>
        </w:rPr>
        <w:t xml:space="preserve"> </w:t>
      </w:r>
      <w:r w:rsidRPr="0091634A">
        <w:t>adoção</w:t>
      </w:r>
      <w:r w:rsidRPr="0091634A">
        <w:rPr>
          <w:rFonts w:eastAsia="Verdana"/>
        </w:rPr>
        <w:t xml:space="preserve"> </w:t>
      </w:r>
      <w:r w:rsidRPr="0091634A">
        <w:t>de</w:t>
      </w:r>
      <w:r w:rsidRPr="0091634A">
        <w:rPr>
          <w:rFonts w:eastAsia="Verdana"/>
        </w:rPr>
        <w:t xml:space="preserve"> </w:t>
      </w:r>
      <w:r w:rsidRPr="0091634A">
        <w:t>medidas</w:t>
      </w:r>
      <w:r w:rsidRPr="0091634A">
        <w:rPr>
          <w:rFonts w:eastAsia="Verdana"/>
        </w:rPr>
        <w:t xml:space="preserve"> </w:t>
      </w:r>
      <w:r w:rsidRPr="0091634A">
        <w:t>administrativas</w:t>
      </w:r>
      <w:r w:rsidRPr="0091634A">
        <w:rPr>
          <w:rFonts w:eastAsia="Verdana"/>
        </w:rPr>
        <w:t xml:space="preserve"> </w:t>
      </w:r>
      <w:r w:rsidRPr="0091634A">
        <w:t>e</w:t>
      </w:r>
      <w:r w:rsidRPr="0091634A">
        <w:rPr>
          <w:rFonts w:eastAsia="Verdana"/>
        </w:rPr>
        <w:t xml:space="preserve"> </w:t>
      </w:r>
      <w:r w:rsidRPr="0091634A">
        <w:t>políticas</w:t>
      </w:r>
      <w:r w:rsidRPr="0091634A">
        <w:rPr>
          <w:rFonts w:eastAsia="Verdana"/>
        </w:rPr>
        <w:t xml:space="preserve"> </w:t>
      </w:r>
      <w:r w:rsidRPr="0091634A">
        <w:t>públicas</w:t>
      </w:r>
      <w:r w:rsidRPr="0091634A">
        <w:rPr>
          <w:rFonts w:eastAsia="Verdana"/>
        </w:rPr>
        <w:t xml:space="preserve"> </w:t>
      </w:r>
      <w:r w:rsidRPr="0091634A">
        <w:t>sobre</w:t>
      </w:r>
      <w:r w:rsidRPr="0091634A">
        <w:rPr>
          <w:rFonts w:eastAsia="Verdana"/>
        </w:rPr>
        <w:t xml:space="preserve"> </w:t>
      </w:r>
      <w:r w:rsidRPr="0091634A">
        <w:t>o</w:t>
      </w:r>
      <w:r w:rsidRPr="0091634A">
        <w:rPr>
          <w:rFonts w:eastAsia="Verdana"/>
        </w:rPr>
        <w:t xml:space="preserve"> </w:t>
      </w:r>
      <w:r w:rsidRPr="0091634A">
        <w:t>tema.</w:t>
      </w:r>
      <w:r w:rsidRPr="0091634A">
        <w:rPr>
          <w:rFonts w:eastAsia="Verdana"/>
        </w:rPr>
        <w:t xml:space="preserve"> </w:t>
      </w:r>
      <w:r w:rsidR="0091634A" w:rsidRPr="0091634A">
        <w:t xml:space="preserve">Foram </w:t>
      </w:r>
      <w:r w:rsidRPr="0091634A">
        <w:t xml:space="preserve">abertas 183 averiguações preliminares que, depois de notificações e análise, resultaram em 123 campanhas de </w:t>
      </w:r>
      <w:r w:rsidRPr="0091634A">
        <w:rPr>
          <w:i/>
        </w:rPr>
        <w:t>recall</w:t>
      </w:r>
      <w:r w:rsidRPr="0091634A">
        <w:t>, todas incluídas no banco de dados mantido pela Fundação Procon.</w:t>
      </w:r>
    </w:p>
    <w:p w:rsidR="003E6588" w:rsidRPr="0091634A" w:rsidRDefault="003E6588">
      <w:pPr>
        <w:ind w:firstLine="1134"/>
        <w:jc w:val="both"/>
      </w:pPr>
    </w:p>
    <w:p w:rsidR="003E6588" w:rsidRPr="0091634A" w:rsidRDefault="003E6588">
      <w:pPr>
        <w:ind w:firstLine="1134"/>
        <w:jc w:val="both"/>
      </w:pPr>
      <w:r w:rsidRPr="0091634A">
        <w:rPr>
          <w:b/>
        </w:rPr>
        <w:t>Análise de proposições legislativas</w:t>
      </w:r>
      <w:r w:rsidRPr="0091634A">
        <w:t xml:space="preserve"> - Foram analisadas 58 proposições legislativas. </w:t>
      </w:r>
      <w:r w:rsidR="0091634A" w:rsidRPr="0091634A">
        <w:t xml:space="preserve">A </w:t>
      </w:r>
      <w:r w:rsidRPr="0091634A">
        <w:t>Fundação Procon participou de 26 processos regulatórios das Agencias Federais e Estaduais (Consultas e Audiências Públicas) e efetuou 186 a</w:t>
      </w:r>
      <w:r w:rsidRPr="0091634A">
        <w:rPr>
          <w:bCs/>
        </w:rPr>
        <w:t>nálises técnicas de expedientes sobre relações de consumo.</w:t>
      </w:r>
      <w:r w:rsidR="0091634A">
        <w:rPr>
          <w:bCs/>
        </w:rPr>
        <w:t xml:space="preserve"> </w:t>
      </w:r>
      <w:r w:rsidRPr="0091634A">
        <w:rPr>
          <w:bCs/>
        </w:rPr>
        <w:t xml:space="preserve">Promoveu, via </w:t>
      </w:r>
      <w:r w:rsidRPr="0091634A">
        <w:rPr>
          <w:bCs/>
          <w:i/>
        </w:rPr>
        <w:t>site</w:t>
      </w:r>
      <w:r w:rsidRPr="0091634A">
        <w:rPr>
          <w:bCs/>
        </w:rPr>
        <w:t xml:space="preserve">, o acesso à orientação para fornecedores, resultando em </w:t>
      </w:r>
      <w:r w:rsidRPr="0091634A">
        <w:t>421.293</w:t>
      </w:r>
      <w:r w:rsidRPr="0091634A">
        <w:rPr>
          <w:bCs/>
        </w:rPr>
        <w:t xml:space="preserve"> acessos.</w:t>
      </w:r>
    </w:p>
    <w:p w:rsidR="003E6588" w:rsidRDefault="003E6588">
      <w:pPr>
        <w:ind w:firstLine="1134"/>
        <w:jc w:val="both"/>
      </w:pPr>
    </w:p>
    <w:p w:rsidR="003E6588" w:rsidRPr="0091634A" w:rsidRDefault="003E6588">
      <w:pPr>
        <w:ind w:firstLine="1134"/>
        <w:jc w:val="both"/>
      </w:pPr>
      <w:r w:rsidRPr="0091634A">
        <w:rPr>
          <w:b/>
        </w:rPr>
        <w:t>Controle e Processos</w:t>
      </w:r>
      <w:r w:rsidRPr="0091634A">
        <w:t xml:space="preserve"> - Compreende desde as funções cartorárias até emissão, cobrança e controle dos pagamentos das multas e inscrições dos débitos na dívida ativa do Estado, bem como a realização de pesquisas no banco de dados da Fundação, com a finalidade de subsidiar a prestação de informações solicitadas por órgãos públicos (Poder Judiciário, Ministério Público, Delegacias de Polícia) e entidades particulares.</w:t>
      </w:r>
    </w:p>
    <w:p w:rsidR="003E6588" w:rsidRPr="0091634A" w:rsidRDefault="003E6588">
      <w:pPr>
        <w:ind w:firstLine="1134"/>
        <w:jc w:val="both"/>
      </w:pPr>
    </w:p>
    <w:p w:rsidR="003E6588" w:rsidRPr="0091634A" w:rsidRDefault="003E6588">
      <w:pPr>
        <w:ind w:firstLine="1134"/>
        <w:jc w:val="both"/>
      </w:pPr>
      <w:r w:rsidRPr="0091634A">
        <w:t>Produziu os seguintes dados - Emissão de 2.075 Certidões; efetuadas 289 pesquisas no banco de dados para entes da Administração; 12.989 atendimentos pessoais, 26.084 atendimentos telefônicos; 26.697 processos administrativos oriundos da Diretoria de Atendimento (reclamações) publicados e arquivados; 3.426</w:t>
      </w:r>
      <w:r w:rsidR="0091634A" w:rsidRPr="0091634A">
        <w:t xml:space="preserve"> </w:t>
      </w:r>
      <w:r w:rsidRPr="0091634A">
        <w:t>autuações e cadastro de processos sancionatórios; 3.206 processos sancionatórios inscritos na Dívida Ativa do Estado; 6.514 títulos de multa e emolumentos (boletos bancários) emitidos; 10.556 processos publicados; 7.082 intimações postais; e 9.281 protocolos.</w:t>
      </w:r>
    </w:p>
    <w:p w:rsidR="003E6588" w:rsidRPr="0091634A" w:rsidRDefault="003E6588">
      <w:pPr>
        <w:ind w:firstLine="1134"/>
        <w:jc w:val="both"/>
      </w:pPr>
    </w:p>
    <w:p w:rsidR="003E6588" w:rsidRPr="0091634A" w:rsidRDefault="003E6588">
      <w:pPr>
        <w:ind w:firstLine="1134"/>
        <w:jc w:val="both"/>
      </w:pPr>
      <w:r w:rsidRPr="0091634A">
        <w:rPr>
          <w:b/>
        </w:rPr>
        <w:t>Comunicação Social</w:t>
      </w:r>
      <w:r w:rsidRPr="0091634A">
        <w:t xml:space="preserve"> - Foram realizados 1.345 </w:t>
      </w:r>
      <w:r w:rsidRPr="0091634A">
        <w:rPr>
          <w:i/>
          <w:iCs/>
        </w:rPr>
        <w:t>releases</w:t>
      </w:r>
      <w:r w:rsidRPr="0091634A">
        <w:t xml:space="preserve"> com sugestões de pauta e divulgação para a imprensa, com diversos temas, os quais geraram procura dos veículos para repercutir as notícias. Porta-vozes do Procon concederam 8.376 entrevistas para emissoras de rádio (20,23%), TV (25,56%), jornais (33,63%), revistas (6,28%), </w:t>
      </w:r>
      <w:r w:rsidRPr="0091634A">
        <w:rPr>
          <w:i/>
        </w:rPr>
        <w:t xml:space="preserve">sites </w:t>
      </w:r>
      <w:r w:rsidR="0091634A" w:rsidRPr="0091634A">
        <w:t>e agências (14,30%).</w:t>
      </w:r>
    </w:p>
    <w:p w:rsidR="003E6588" w:rsidRPr="0091634A" w:rsidRDefault="003E6588">
      <w:pPr>
        <w:ind w:firstLine="1134"/>
        <w:jc w:val="both"/>
      </w:pPr>
    </w:p>
    <w:p w:rsidR="003E6588" w:rsidRDefault="003E6588">
      <w:pPr>
        <w:ind w:firstLine="1134"/>
        <w:jc w:val="both"/>
      </w:pPr>
      <w:r w:rsidRPr="0091634A">
        <w:rPr>
          <w:b/>
        </w:rPr>
        <w:t>Planejamento</w:t>
      </w:r>
      <w:r>
        <w:rPr>
          <w:b/>
        </w:rPr>
        <w:t xml:space="preserve"> e Gestão Estratégica</w:t>
      </w:r>
      <w:r>
        <w:t xml:space="preserve"> - Implantado Edital para apresentação de Projetos remunerados e novo regramento sobre atividades remuneradas.</w:t>
      </w:r>
    </w:p>
    <w:p w:rsidR="003E6588" w:rsidRDefault="003E6588">
      <w:pPr>
        <w:ind w:firstLine="1134"/>
        <w:jc w:val="both"/>
      </w:pPr>
    </w:p>
    <w:p w:rsidR="003E6588" w:rsidRDefault="003E6588">
      <w:pPr>
        <w:ind w:firstLine="1134"/>
        <w:jc w:val="both"/>
      </w:pPr>
      <w:r>
        <w:rPr>
          <w:b/>
        </w:rPr>
        <w:t>Administração</w:t>
      </w:r>
      <w:r>
        <w:t xml:space="preserve"> - Instalação dos Núcleos Regionais de São José do Rio Preto e Ribeirão Preto</w:t>
      </w:r>
      <w:r w:rsidR="0091634A">
        <w:t>.</w:t>
      </w:r>
    </w:p>
    <w:p w:rsidR="003E6588" w:rsidRDefault="003E6588">
      <w:pPr>
        <w:tabs>
          <w:tab w:val="left" w:pos="4455"/>
        </w:tabs>
        <w:ind w:firstLine="1134"/>
        <w:jc w:val="both"/>
      </w:pPr>
    </w:p>
    <w:p w:rsidR="003E6588" w:rsidRPr="0091634A" w:rsidRDefault="003E6588">
      <w:pPr>
        <w:ind w:firstLine="1134"/>
        <w:jc w:val="both"/>
      </w:pPr>
      <w:r>
        <w:rPr>
          <w:b/>
        </w:rPr>
        <w:lastRenderedPageBreak/>
        <w:t>Recursos Humanos</w:t>
      </w:r>
      <w:r>
        <w:t xml:space="preserve"> </w:t>
      </w:r>
      <w:r w:rsidRPr="0091634A">
        <w:t>- Contratação e capacitação de 203 novos funcionários, aplicação do instituto da progressão e promoção, ambos ainda em curso.</w:t>
      </w:r>
    </w:p>
    <w:p w:rsidR="003E6588" w:rsidRPr="0091634A" w:rsidRDefault="003E6588">
      <w:pPr>
        <w:ind w:firstLine="1134"/>
        <w:jc w:val="both"/>
      </w:pPr>
    </w:p>
    <w:p w:rsidR="003E6588" w:rsidRPr="0091634A" w:rsidRDefault="003E6588">
      <w:pPr>
        <w:ind w:firstLine="1134"/>
        <w:jc w:val="both"/>
      </w:pPr>
      <w:r>
        <w:rPr>
          <w:b/>
        </w:rPr>
        <w:t xml:space="preserve">Financeiro </w:t>
      </w:r>
      <w:r>
        <w:t xml:space="preserve">- </w:t>
      </w:r>
      <w:r w:rsidRPr="0091634A">
        <w:t>Empenhamento de 75,38% da dotação orçamentária concedida, sendo 93,66%.</w:t>
      </w:r>
    </w:p>
    <w:p w:rsidR="003E6588" w:rsidRDefault="003E6588">
      <w:pPr>
        <w:ind w:firstLine="1134"/>
        <w:jc w:val="both"/>
      </w:pPr>
    </w:p>
    <w:p w:rsidR="003E6588" w:rsidRDefault="003E6588">
      <w:pPr>
        <w:ind w:firstLine="1134"/>
        <w:jc w:val="both"/>
      </w:pPr>
      <w:r>
        <w:rPr>
          <w:b/>
        </w:rPr>
        <w:t>Programa de Melhoria dos Gastos Públicos</w:t>
      </w:r>
      <w:r>
        <w:t xml:space="preserve"> - Providências correlatas ao cumprimento do Decreto nº 59.327/2013 - Programa de Melhoria dos Gastos Públicos: adesão à ata de registro de preço para contratação de passagens aéreas; contratação de empresa para utilização de cartão combustível (taxa contratada: 0,96%).</w:t>
      </w:r>
    </w:p>
    <w:p w:rsidR="003E6588" w:rsidRDefault="003E6588">
      <w:pPr>
        <w:ind w:firstLine="1134"/>
        <w:jc w:val="both"/>
      </w:pPr>
    </w:p>
    <w:p w:rsidR="003E6588" w:rsidRDefault="003E6588">
      <w:pPr>
        <w:ind w:firstLine="1134"/>
        <w:jc w:val="both"/>
      </w:pPr>
      <w:r>
        <w:rPr>
          <w:b/>
        </w:rPr>
        <w:t xml:space="preserve">Tecnologia da Informação </w:t>
      </w:r>
      <w:r w:rsidRPr="00E45E1E">
        <w:rPr>
          <w:b/>
        </w:rPr>
        <w:t>e Comunicação</w:t>
      </w:r>
      <w:r w:rsidRPr="00E45E1E">
        <w:t xml:space="preserve"> - Visando dar suporte às atividades e competências do órgão, foram desenvolvidas atividades como manutenções em diversos sistemas do órgão (</w:t>
      </w:r>
      <w:r w:rsidRPr="00E45E1E">
        <w:rPr>
          <w:i/>
        </w:rPr>
        <w:t>Site</w:t>
      </w:r>
      <w:r w:rsidRPr="00E45E1E">
        <w:t xml:space="preserve">, Gedoc, </w:t>
      </w:r>
      <w:r w:rsidRPr="00E45E1E">
        <w:rPr>
          <w:i/>
        </w:rPr>
        <w:t>Intranet</w:t>
      </w:r>
      <w:r w:rsidRPr="00E45E1E">
        <w:t xml:space="preserve">, </w:t>
      </w:r>
      <w:r w:rsidRPr="00E45E1E">
        <w:rPr>
          <w:i/>
        </w:rPr>
        <w:t>Falcon</w:t>
      </w:r>
      <w:r w:rsidRPr="00E45E1E">
        <w:t xml:space="preserve">); atendimento ao Erro Bloqueio (Bloqueio de </w:t>
      </w:r>
      <w:r w:rsidRPr="00E45E1E">
        <w:rPr>
          <w:i/>
        </w:rPr>
        <w:t>Telemarketing</w:t>
      </w:r>
      <w:r w:rsidRPr="00E45E1E">
        <w:t>); suporte aos Procons Municipais nos sistemas SIGA e SINDEC; participação na municipalização do SINDEC; Sistema de atendimento ao consumidor via web em fase final de desenvolvimento; levantamento de requisitos em toda a Fundação para definição de escopo de projeto de sistema integrado que substitua os diversos sistemas legados existentes; compra de computador MAC para edição de imagens; readequação dos processos internos do depa</w:t>
      </w:r>
      <w:r>
        <w:t>rtamento para melhorar o atendimento aos funcionários, o que inclui o incentivo ao uso da ferramenta OcoMon para documentar chamados; configuração do OcoMon pela CA-DAF.</w:t>
      </w:r>
    </w:p>
    <w:p w:rsidR="003E6588" w:rsidRDefault="003E6588">
      <w:pPr>
        <w:ind w:firstLine="1134"/>
        <w:jc w:val="both"/>
      </w:pPr>
    </w:p>
    <w:p w:rsidR="00E45E1E" w:rsidRDefault="00E45E1E">
      <w:pPr>
        <w:ind w:firstLine="1134"/>
        <w:jc w:val="both"/>
      </w:pPr>
    </w:p>
    <w:p w:rsidR="003E6588" w:rsidRDefault="00E45E1E" w:rsidP="00E45E1E">
      <w:pPr>
        <w:rPr>
          <w:b/>
          <w:bCs/>
          <w:i/>
          <w:iCs/>
        </w:rPr>
      </w:pPr>
      <w:r>
        <w:rPr>
          <w:b/>
        </w:rPr>
        <w:t>FUNDAÇÃO INSTITUTO DE TERRAS DE SÃO PAULO - ITESP</w:t>
      </w:r>
    </w:p>
    <w:p w:rsidR="003E6588" w:rsidRDefault="003E6588">
      <w:pPr>
        <w:ind w:firstLine="1134"/>
        <w:jc w:val="both"/>
        <w:rPr>
          <w:i/>
        </w:rPr>
      </w:pPr>
    </w:p>
    <w:p w:rsidR="00E45E1E" w:rsidRDefault="00E45E1E">
      <w:pPr>
        <w:ind w:firstLine="1134"/>
        <w:jc w:val="both"/>
        <w:rPr>
          <w:i/>
        </w:rPr>
      </w:pPr>
    </w:p>
    <w:p w:rsidR="003E6588" w:rsidRDefault="003E6588">
      <w:pPr>
        <w:ind w:firstLine="1134"/>
        <w:jc w:val="both"/>
      </w:pPr>
      <w:r>
        <w:rPr>
          <w:b/>
        </w:rPr>
        <w:t xml:space="preserve">Programa Minha Terra de Regularização Fundiária Urbana e Rural </w:t>
      </w:r>
      <w:r>
        <w:t xml:space="preserve">- </w:t>
      </w:r>
      <w:r w:rsidR="00E45E1E">
        <w:t xml:space="preserve">Foram </w:t>
      </w:r>
      <w:r>
        <w:t>entregues 2</w:t>
      </w:r>
      <w:r>
        <w:rPr>
          <w:bCs/>
        </w:rPr>
        <w:t>.600</w:t>
      </w:r>
      <w:r>
        <w:t xml:space="preserve"> títulos de propriedade e/ou domínio. O programa é executado pela Fundação ITESP em parceria com Prefeituras e Procuradoria Geral do Estado. </w:t>
      </w:r>
      <w:r w:rsidR="00F1663A">
        <w:t xml:space="preserve">Houve </w:t>
      </w:r>
      <w:r>
        <w:t xml:space="preserve">parceria com </w:t>
      </w:r>
      <w:r>
        <w:rPr>
          <w:bCs/>
        </w:rPr>
        <w:t>62</w:t>
      </w:r>
      <w:r>
        <w:t xml:space="preserve"> prefeituras para a real</w:t>
      </w:r>
      <w:r w:rsidR="00D96802">
        <w:t>ização de trabalhos fundiários.</w:t>
      </w:r>
    </w:p>
    <w:p w:rsidR="003E6588" w:rsidRDefault="003E6588">
      <w:pPr>
        <w:ind w:firstLine="1134"/>
        <w:jc w:val="both"/>
        <w:rPr>
          <w:bCs/>
          <w:i/>
        </w:rPr>
      </w:pPr>
    </w:p>
    <w:p w:rsidR="003E6588" w:rsidRDefault="003E6588">
      <w:pPr>
        <w:ind w:firstLine="1134"/>
        <w:jc w:val="both"/>
        <w:rPr>
          <w:bCs/>
          <w:i/>
        </w:rPr>
      </w:pPr>
      <w:r>
        <w:rPr>
          <w:b/>
          <w:bCs/>
        </w:rPr>
        <w:t>Prestação de serviços técnicos especializados para a Fundação Florestal</w:t>
      </w:r>
      <w:r w:rsidR="00F1663A">
        <w:rPr>
          <w:b/>
          <w:bCs/>
        </w:rPr>
        <w:t>,</w:t>
      </w:r>
      <w:r>
        <w:rPr>
          <w:b/>
          <w:bCs/>
        </w:rPr>
        <w:t xml:space="preserve"> visando à regularização de Unidades de Conservação </w:t>
      </w:r>
      <w:r>
        <w:rPr>
          <w:bCs/>
        </w:rPr>
        <w:t>- Foram finalizados os trabalhos de georreferenciamento e diagnóstico fundiário para fins de consolidação do domínio público nos Parques Estaduais Morro do Diabo e Carlos Botelho, somando 73.000,00 hectares levantados e com sua documentação e de seus confrontantes minuciosamente estudada</w:t>
      </w:r>
      <w:r>
        <w:t xml:space="preserve">. </w:t>
      </w:r>
      <w:r w:rsidR="00F1663A">
        <w:t xml:space="preserve">Foi </w:t>
      </w:r>
      <w:r>
        <w:t>finalizado contrato relativo ao Parque Estadual de Itapetinga, para fins de cadastro, diagnóstico fundiário, georreferenciamento e avaliação de imóveis particulares em seu interior. No âmbito deste contrato</w:t>
      </w:r>
      <w:r w:rsidR="00F1663A">
        <w:t>,</w:t>
      </w:r>
      <w:r>
        <w:t xml:space="preserve"> 400 imóveis foram cadastrados e tiveram seus documentos estudados, 180 foram georreferenciados e 40 foram avaliad</w:t>
      </w:r>
      <w:r w:rsidR="00F1663A">
        <w:t>os para fins de desapropriação.</w:t>
      </w:r>
    </w:p>
    <w:p w:rsidR="00F1663A" w:rsidRDefault="00F1663A">
      <w:pPr>
        <w:ind w:firstLine="1134"/>
        <w:jc w:val="both"/>
        <w:rPr>
          <w:b/>
          <w:bCs/>
        </w:rPr>
      </w:pPr>
    </w:p>
    <w:p w:rsidR="003E6588" w:rsidRDefault="003E6588">
      <w:pPr>
        <w:ind w:firstLine="1134"/>
        <w:jc w:val="both"/>
      </w:pPr>
      <w:r>
        <w:rPr>
          <w:b/>
          <w:bCs/>
        </w:rPr>
        <w:t xml:space="preserve">Implementação da Regularização Fundiária na 10ª Região Administrativa do Estado de São Paulo (Pontal do Paranapanema), por meio da Lei nº 11.600/2003, alterada pela Lei nº 14.750/2012 - </w:t>
      </w:r>
      <w:r>
        <w:rPr>
          <w:bCs/>
        </w:rPr>
        <w:t>F</w:t>
      </w:r>
      <w:r>
        <w:t xml:space="preserve">oram assinados dois primeiros acordos resultantes da aplicação da Lei nº 14.750/2012, </w:t>
      </w:r>
      <w:r>
        <w:lastRenderedPageBreak/>
        <w:t xml:space="preserve">que </w:t>
      </w:r>
      <w:r w:rsidRPr="00F1663A">
        <w:t xml:space="preserve">regulariza áreas de até 450 hectares na 10ª Região Administrativa do Estado, que inclui o Pontal do Paranapanema. Os Termos de Consolidação de Domínio - TCDs conferem aos ocupantes o domínio sobre os imóveis. Além de garantir segurança jurídica, eles não podem mais ser reivindicados pelo Estado. Os representantes das áreas de 346 hectares em Presidente Epitácio e uma associação de produtores rurais responsável por área de 49 hectares em Presidente Prudente assinaram os TCDs, homologados pela PGE e pela SJDC. A regularização dos imóveis foi feita mediante pagamento sobre 10% do valor da terra nua. O Instituto de Economia Agrícola </w:t>
      </w:r>
      <w:r w:rsidR="00F1663A">
        <w:t xml:space="preserve">- </w:t>
      </w:r>
      <w:r w:rsidRPr="00F1663A">
        <w:t>IEA) da Secretaria de Agricultura e Abastecimento calculou o preço médio do hectare conforme a tabela oficial referente à 10ª Região Administrativa. O recurso de R$ 243 mil obtido com a regularização dos imóveis será empregado no Fundo de</w:t>
      </w:r>
      <w:r w:rsidR="00F1663A">
        <w:t xml:space="preserve"> </w:t>
      </w:r>
      <w:r w:rsidRPr="00F1663A">
        <w:t>Desenvolvimento Econômico e Social do Pontal do</w:t>
      </w:r>
      <w:r w:rsidR="00F1663A">
        <w:t xml:space="preserve"> </w:t>
      </w:r>
      <w:r w:rsidRPr="00F1663A">
        <w:t>Paranapanema, criado pela Lei nº 7.523/1991, cuja área de atuação abrange os</w:t>
      </w:r>
      <w:r w:rsidR="00F1663A">
        <w:t xml:space="preserve"> </w:t>
      </w:r>
      <w:r w:rsidRPr="00F1663A">
        <w:t>municípios da 10ª Região</w:t>
      </w:r>
      <w:r>
        <w:t xml:space="preserve"> Administrativa.</w:t>
      </w:r>
    </w:p>
    <w:p w:rsidR="003E6588" w:rsidRDefault="003E6588">
      <w:pPr>
        <w:ind w:firstLine="1134"/>
        <w:jc w:val="both"/>
        <w:rPr>
          <w:bCs/>
          <w:i/>
        </w:rPr>
      </w:pPr>
    </w:p>
    <w:p w:rsidR="003E6588" w:rsidRDefault="003E6588">
      <w:pPr>
        <w:ind w:firstLine="1134"/>
        <w:jc w:val="both"/>
        <w:rPr>
          <w:bCs/>
        </w:rPr>
      </w:pPr>
      <w:r>
        <w:rPr>
          <w:b/>
          <w:bCs/>
        </w:rPr>
        <w:t xml:space="preserve">Assistência Técnica e Extensão Rural </w:t>
      </w:r>
      <w:r w:rsidR="00F1663A">
        <w:rPr>
          <w:b/>
          <w:bCs/>
        </w:rPr>
        <w:t>-</w:t>
      </w:r>
      <w:r>
        <w:rPr>
          <w:b/>
          <w:bCs/>
        </w:rPr>
        <w:t xml:space="preserve"> ATER </w:t>
      </w:r>
      <w:r>
        <w:rPr>
          <w:bCs/>
        </w:rPr>
        <w:t>- Prestação de assistência técnica e extensão rural a 10.683 famílias de trabalhadores rurais instaladas em 180 assentamentos (sendo 136 de domínio estadual e 44 de domínio federal).</w:t>
      </w:r>
    </w:p>
    <w:p w:rsidR="003E6588" w:rsidRDefault="003E6588">
      <w:pPr>
        <w:ind w:firstLine="1134"/>
        <w:jc w:val="both"/>
        <w:rPr>
          <w:bCs/>
          <w:i/>
        </w:rPr>
      </w:pPr>
    </w:p>
    <w:p w:rsidR="003E6588" w:rsidRDefault="003E6588">
      <w:pPr>
        <w:ind w:firstLine="1134"/>
        <w:jc w:val="both"/>
      </w:pPr>
      <w:r>
        <w:rPr>
          <w:b/>
          <w:bCs/>
        </w:rPr>
        <w:t xml:space="preserve">Ampliação do Programa Paulista da Agricultura Familiar - PPAIS - </w:t>
      </w:r>
      <w:r w:rsidR="00590266">
        <w:t xml:space="preserve">Decreto </w:t>
      </w:r>
      <w:r>
        <w:t>que autoriza aumento no teto de venda do Programa Paulista da Agricultura de Interesse Social - PPAIS. O agricultor que fornece gêneros alimentícios para as instituições públicas do Estado vai poder acessar R$ 22 mil reais por ano</w:t>
      </w:r>
      <w:r w:rsidR="00590266">
        <w:t>;</w:t>
      </w:r>
      <w:r>
        <w:t xml:space="preserve"> anteriormente, o valor era de R$ 12 mil. O incremento de 83,33% está em vigor. </w:t>
      </w:r>
      <w:r w:rsidR="00590266">
        <w:t xml:space="preserve">Foram </w:t>
      </w:r>
      <w:r>
        <w:t>assinados 1,5 mil contratos. A movimentação dos recursos orçamentários estaduais ultrapassou R$ 3 milhões.</w:t>
      </w:r>
    </w:p>
    <w:p w:rsidR="003E6588" w:rsidRDefault="003E6588">
      <w:pPr>
        <w:ind w:firstLine="1134"/>
        <w:jc w:val="both"/>
        <w:rPr>
          <w:bCs/>
          <w:i/>
        </w:rPr>
      </w:pPr>
    </w:p>
    <w:p w:rsidR="003E6588" w:rsidRDefault="003E6588">
      <w:pPr>
        <w:ind w:firstLine="1134"/>
        <w:jc w:val="both"/>
        <w:rPr>
          <w:lang w:eastAsia="en-US"/>
        </w:rPr>
      </w:pPr>
      <w:r>
        <w:rPr>
          <w:b/>
          <w:bCs/>
        </w:rPr>
        <w:t>Serviços de Motomecanização</w:t>
      </w:r>
      <w:r w:rsidR="00590266">
        <w:rPr>
          <w:b/>
          <w:bCs/>
        </w:rPr>
        <w:t xml:space="preserve"> -</w:t>
      </w:r>
      <w:r>
        <w:rPr>
          <w:b/>
          <w:bCs/>
        </w:rPr>
        <w:t xml:space="preserve"> R$ 8.864.705,26 </w:t>
      </w:r>
      <w:r>
        <w:rPr>
          <w:lang w:eastAsia="en-US"/>
        </w:rPr>
        <w:t xml:space="preserve">- Os serviços de motomecanização englobam diversos tipos de operações, tais como abertura e conservação de estradas, preparo e conservação do solo, construção e conservação de pontes e de barragens, por meio da utilização de máquinas e equipamentos específicos. Conservação de 270 km de estradas rurais em 13 </w:t>
      </w:r>
      <w:r w:rsidR="00D96802">
        <w:rPr>
          <w:lang w:eastAsia="en-US"/>
        </w:rPr>
        <w:t xml:space="preserve">Municípios </w:t>
      </w:r>
      <w:r>
        <w:rPr>
          <w:lang w:eastAsia="en-US"/>
        </w:rPr>
        <w:t xml:space="preserve">da </w:t>
      </w:r>
      <w:r w:rsidR="00590266">
        <w:rPr>
          <w:lang w:eastAsia="en-US"/>
        </w:rPr>
        <w:t xml:space="preserve">Região </w:t>
      </w:r>
      <w:r>
        <w:rPr>
          <w:lang w:eastAsia="en-US"/>
        </w:rPr>
        <w:t>Oeste do Estado (</w:t>
      </w:r>
      <w:r>
        <w:t>Rosana, Marabá Paulista, Mirante do Paranapanema, Sandovalina, Teodoro Sampaio, Presidente Bernardes, Caiuá, Piquerobi, Presidente Venceslau, Tupi Paulista, Euclides da Cunha, Presidente Epitácio e Ribeirão dos Índios)</w:t>
      </w:r>
      <w:r>
        <w:rPr>
          <w:lang w:eastAsia="en-US"/>
        </w:rPr>
        <w:t xml:space="preserve"> - valor total R$ 7.000.000,00 - Recursos da </w:t>
      </w:r>
      <w:r>
        <w:t>Secretaria de Agricultura e Abastecimento</w:t>
      </w:r>
      <w:r>
        <w:rPr>
          <w:lang w:eastAsia="en-US"/>
        </w:rPr>
        <w:t>.</w:t>
      </w:r>
    </w:p>
    <w:p w:rsidR="003E6588" w:rsidRDefault="003E6588">
      <w:pPr>
        <w:ind w:firstLine="1134"/>
        <w:jc w:val="both"/>
        <w:rPr>
          <w:bCs/>
          <w:i/>
        </w:rPr>
      </w:pPr>
    </w:p>
    <w:p w:rsidR="003E6588" w:rsidRDefault="003E6588">
      <w:pPr>
        <w:ind w:firstLine="1134"/>
        <w:jc w:val="both"/>
        <w:rPr>
          <w:lang w:eastAsia="en-US"/>
        </w:rPr>
      </w:pPr>
      <w:r>
        <w:rPr>
          <w:b/>
          <w:bCs/>
        </w:rPr>
        <w:t xml:space="preserve">Abastecimento de Água e Saneamento - </w:t>
      </w:r>
      <w:r w:rsidRPr="00D96802">
        <w:rPr>
          <w:bCs/>
        </w:rPr>
        <w:t>R$</w:t>
      </w:r>
      <w:r w:rsidR="00590266" w:rsidRPr="00D96802">
        <w:rPr>
          <w:bCs/>
        </w:rPr>
        <w:t xml:space="preserve"> </w:t>
      </w:r>
      <w:r w:rsidRPr="00D96802">
        <w:rPr>
          <w:bCs/>
        </w:rPr>
        <w:t>6.032.223,63</w:t>
      </w:r>
      <w:r>
        <w:rPr>
          <w:b/>
          <w:bCs/>
        </w:rPr>
        <w:t xml:space="preserve"> </w:t>
      </w:r>
      <w:r>
        <w:rPr>
          <w:lang w:eastAsia="en-US"/>
        </w:rPr>
        <w:t>- Perfuração de 31 poços tubulares profundos e implantação d</w:t>
      </w:r>
      <w:r w:rsidR="00590266">
        <w:rPr>
          <w:lang w:eastAsia="en-US"/>
        </w:rPr>
        <w:t>o</w:t>
      </w:r>
      <w:r>
        <w:rPr>
          <w:lang w:eastAsia="en-US"/>
        </w:rPr>
        <w:t>s respectivos reservatórios, com os requisitos para outorga, em assentamentos estaduais - valor total R$ 5.183.684,00 - Convênio com a Secretaria de Saneamento e Recursos Hídricos - Programa Água é Vida. Perfuração de poço tubular profundo e implantação d</w:t>
      </w:r>
      <w:r w:rsidR="00590266">
        <w:rPr>
          <w:lang w:eastAsia="en-US"/>
        </w:rPr>
        <w:t>o</w:t>
      </w:r>
      <w:r>
        <w:rPr>
          <w:lang w:eastAsia="en-US"/>
        </w:rPr>
        <w:t xml:space="preserve"> respectivo reservatório, com os requisitos para outorga, no Assentamento Porto Feliz - Recursos da Fundação Itesp. Instalação de rede de distribuição de água no Assentamento Mário Covas. Adequação da área de proteção sanitária de dois poços tubulares profundos, no Assentamento Guarani (Pradópolis).</w:t>
      </w:r>
    </w:p>
    <w:p w:rsidR="003E6588" w:rsidRDefault="003E6588">
      <w:pPr>
        <w:ind w:firstLine="1134"/>
        <w:jc w:val="both"/>
        <w:rPr>
          <w:bCs/>
          <w:i/>
        </w:rPr>
      </w:pPr>
    </w:p>
    <w:p w:rsidR="003E6588" w:rsidRPr="00590266" w:rsidRDefault="003E6588">
      <w:pPr>
        <w:ind w:firstLine="1134"/>
        <w:jc w:val="both"/>
      </w:pPr>
      <w:r w:rsidRPr="00590266">
        <w:rPr>
          <w:b/>
          <w:bCs/>
        </w:rPr>
        <w:lastRenderedPageBreak/>
        <w:t xml:space="preserve">Programas de Produção e Renda/Sistemas Produtivos </w:t>
      </w:r>
      <w:r w:rsidRPr="00590266">
        <w:rPr>
          <w:bCs/>
        </w:rPr>
        <w:t>- Com os Programas de Apoio Inicial à Produção Familiar, Diversificação da Produção e Adequação Tecnológica à Agricultura Familiar, foram atendidas 3.914 famílias de agricultores</w:t>
      </w:r>
      <w:r w:rsidR="00590266" w:rsidRPr="00590266">
        <w:rPr>
          <w:bCs/>
        </w:rPr>
        <w:t>,</w:t>
      </w:r>
      <w:r w:rsidRPr="00590266">
        <w:rPr>
          <w:bCs/>
        </w:rPr>
        <w:t xml:space="preserve"> familiares de assentamentos e quilombos.</w:t>
      </w:r>
    </w:p>
    <w:p w:rsidR="003E6588" w:rsidRPr="00590266" w:rsidRDefault="003E6588">
      <w:pPr>
        <w:ind w:firstLine="1134"/>
        <w:jc w:val="both"/>
        <w:rPr>
          <w:bCs/>
          <w:i/>
        </w:rPr>
      </w:pPr>
    </w:p>
    <w:p w:rsidR="003E6588" w:rsidRPr="00590266" w:rsidRDefault="003E6588">
      <w:pPr>
        <w:ind w:firstLine="1134"/>
        <w:jc w:val="both"/>
        <w:rPr>
          <w:bCs/>
        </w:rPr>
      </w:pPr>
      <w:r w:rsidRPr="00590266">
        <w:rPr>
          <w:b/>
          <w:bCs/>
        </w:rPr>
        <w:t xml:space="preserve">Reconhecimento das Comunidades Quilombolas </w:t>
      </w:r>
      <w:r w:rsidRPr="00590266">
        <w:rPr>
          <w:bCs/>
        </w:rPr>
        <w:t xml:space="preserve">- Aprovação de 4 Relatórios Técnicos Científicos </w:t>
      </w:r>
      <w:r w:rsidR="00590266" w:rsidRPr="00590266">
        <w:rPr>
          <w:bCs/>
        </w:rPr>
        <w:t xml:space="preserve">- </w:t>
      </w:r>
      <w:r w:rsidRPr="00590266">
        <w:rPr>
          <w:bCs/>
        </w:rPr>
        <w:t xml:space="preserve">RTC para reconhecer como remanescente de quilombos as comunidades de Aldeia, no </w:t>
      </w:r>
      <w:r w:rsidR="00590266" w:rsidRPr="00590266">
        <w:rPr>
          <w:bCs/>
        </w:rPr>
        <w:t xml:space="preserve">Município </w:t>
      </w:r>
      <w:r w:rsidRPr="00590266">
        <w:rPr>
          <w:bCs/>
        </w:rPr>
        <w:t xml:space="preserve">de Iguape, Engenho, no Município de Eldorado, Abobral Margem Esquerda, no </w:t>
      </w:r>
      <w:r w:rsidR="00590266" w:rsidRPr="00590266">
        <w:rPr>
          <w:bCs/>
        </w:rPr>
        <w:t xml:space="preserve">Município </w:t>
      </w:r>
      <w:r w:rsidRPr="00590266">
        <w:rPr>
          <w:bCs/>
        </w:rPr>
        <w:t xml:space="preserve">de Eldorado, Bombas, no </w:t>
      </w:r>
      <w:r w:rsidR="00590266" w:rsidRPr="00590266">
        <w:rPr>
          <w:bCs/>
        </w:rPr>
        <w:t xml:space="preserve">Município </w:t>
      </w:r>
      <w:r w:rsidRPr="00590266">
        <w:rPr>
          <w:bCs/>
        </w:rPr>
        <w:t>de Iporanga, beneficiando 86 famílias.</w:t>
      </w:r>
    </w:p>
    <w:p w:rsidR="003E6588" w:rsidRPr="00590266" w:rsidRDefault="003E6588">
      <w:pPr>
        <w:ind w:firstLine="1134"/>
        <w:jc w:val="both"/>
        <w:rPr>
          <w:bCs/>
        </w:rPr>
      </w:pPr>
    </w:p>
    <w:p w:rsidR="003E6588" w:rsidRDefault="003E6588">
      <w:pPr>
        <w:ind w:firstLine="1134"/>
        <w:jc w:val="both"/>
      </w:pPr>
      <w:r w:rsidRPr="00590266">
        <w:rPr>
          <w:b/>
          <w:bCs/>
        </w:rPr>
        <w:t>Programa Caminhos Quilombolas</w:t>
      </w:r>
      <w:r w:rsidRPr="00590266">
        <w:rPr>
          <w:bCs/>
        </w:rPr>
        <w:t xml:space="preserve"> - </w:t>
      </w:r>
      <w:r w:rsidR="00D96802" w:rsidRPr="00590266">
        <w:rPr>
          <w:bCs/>
        </w:rPr>
        <w:t>Investimento</w:t>
      </w:r>
      <w:r w:rsidR="00D96802" w:rsidRPr="00590266">
        <w:rPr>
          <w:bCs/>
          <w:lang w:eastAsia="en-US"/>
        </w:rPr>
        <w:t xml:space="preserve"> </w:t>
      </w:r>
      <w:r w:rsidRPr="00590266">
        <w:rPr>
          <w:bCs/>
          <w:lang w:eastAsia="en-US"/>
        </w:rPr>
        <w:t>de R$ 7.423.730,00</w:t>
      </w:r>
      <w:r w:rsidR="00590266" w:rsidRPr="00590266">
        <w:rPr>
          <w:bCs/>
        </w:rPr>
        <w:t xml:space="preserve"> para manutenção de estradas.</w:t>
      </w:r>
      <w:r w:rsidR="00590266">
        <w:rPr>
          <w:bCs/>
        </w:rPr>
        <w:t xml:space="preserve"> </w:t>
      </w:r>
      <w:r>
        <w:t>Finalização dos trabalhos firmados nos contratos com a CODASP para abertura, recuperação e conservação de 121,18 km de estradas quilombolas no Vale do Ribeira São sete contratos em sete municípios, abrangendo 22 comunidades quilombolas.</w:t>
      </w:r>
    </w:p>
    <w:p w:rsidR="003E6588" w:rsidRDefault="003E6588">
      <w:pPr>
        <w:ind w:firstLine="1134"/>
        <w:jc w:val="both"/>
        <w:rPr>
          <w:rFonts w:eastAsia="Calibri"/>
          <w:i/>
          <w:lang w:eastAsia="en-US"/>
        </w:rPr>
      </w:pPr>
    </w:p>
    <w:p w:rsidR="003E6588" w:rsidRPr="00590266" w:rsidRDefault="003E6588">
      <w:pPr>
        <w:ind w:firstLine="1134"/>
        <w:jc w:val="both"/>
      </w:pPr>
      <w:r>
        <w:rPr>
          <w:rFonts w:eastAsia="Calibri"/>
          <w:b/>
          <w:lang w:eastAsia="en-US"/>
        </w:rPr>
        <w:t xml:space="preserve">Núcleo de </w:t>
      </w:r>
      <w:r w:rsidRPr="00590266">
        <w:rPr>
          <w:rFonts w:eastAsia="Calibri"/>
          <w:b/>
          <w:lang w:eastAsia="en-US"/>
        </w:rPr>
        <w:t xml:space="preserve">Formação Profissional em uma Comunidade Quilombola </w:t>
      </w:r>
      <w:r w:rsidRPr="00590266">
        <w:rPr>
          <w:rFonts w:eastAsia="Calibri"/>
          <w:lang w:eastAsia="en-US"/>
        </w:rPr>
        <w:t xml:space="preserve">- Formatura da </w:t>
      </w:r>
      <w:r w:rsidRPr="00590266">
        <w:t xml:space="preserve">primeira turma do </w:t>
      </w:r>
      <w:r w:rsidR="00590266" w:rsidRPr="00590266">
        <w:t>“</w:t>
      </w:r>
      <w:r w:rsidRPr="00590266">
        <w:t>Curso Técnico em Agroecologia do Núcleo de Formação Profissional Quilombo André Lopes</w:t>
      </w:r>
      <w:r w:rsidR="00590266" w:rsidRPr="00590266">
        <w:t>” do Centro Paula Souza</w:t>
      </w:r>
      <w:r w:rsidRPr="00590266">
        <w:t>. A escola é o resultado de parceria entre Fundação ITESP, Prefeitura de Eldorado e do Centro Paula Souza, tendo recebido R$ 5,2 milhôes de investimentos.</w:t>
      </w:r>
      <w:r w:rsidRPr="00590266">
        <w:rPr>
          <w:rFonts w:eastAsia="Calibri"/>
          <w:lang w:eastAsia="en-US"/>
        </w:rPr>
        <w:t xml:space="preserve"> </w:t>
      </w:r>
      <w:r w:rsidR="00590266" w:rsidRPr="00590266">
        <w:t xml:space="preserve">Este </w:t>
      </w:r>
      <w:r w:rsidRPr="00590266">
        <w:t>é o primeiro centro de formação profissional dentro de um quilombo no Estado.</w:t>
      </w:r>
    </w:p>
    <w:p w:rsidR="003E6588" w:rsidRDefault="003E6588">
      <w:pPr>
        <w:ind w:firstLine="1134"/>
        <w:jc w:val="both"/>
      </w:pPr>
    </w:p>
    <w:p w:rsidR="00590266" w:rsidRPr="00590266" w:rsidRDefault="00590266">
      <w:pPr>
        <w:ind w:firstLine="1134"/>
        <w:jc w:val="both"/>
      </w:pPr>
    </w:p>
    <w:p w:rsidR="003E6588" w:rsidRDefault="00590266" w:rsidP="00590266">
      <w:pPr>
        <w:rPr>
          <w:b/>
        </w:rPr>
      </w:pPr>
      <w:r>
        <w:rPr>
          <w:b/>
        </w:rPr>
        <w:t xml:space="preserve">INSTITUTO DE MEDICINA SOCIAL E CRIMINOLOGIA DE SÃO PAULO </w:t>
      </w:r>
      <w:r w:rsidR="00D96802">
        <w:rPr>
          <w:b/>
        </w:rPr>
        <w:t>-</w:t>
      </w:r>
      <w:r>
        <w:rPr>
          <w:b/>
        </w:rPr>
        <w:t xml:space="preserve"> IMESC</w:t>
      </w:r>
    </w:p>
    <w:p w:rsidR="003E6588" w:rsidRDefault="003E6588">
      <w:pPr>
        <w:ind w:firstLine="1134"/>
        <w:jc w:val="both"/>
        <w:rPr>
          <w:b/>
          <w:u w:val="single"/>
        </w:rPr>
      </w:pPr>
    </w:p>
    <w:p w:rsidR="00590266" w:rsidRDefault="00590266">
      <w:pPr>
        <w:ind w:firstLine="1134"/>
        <w:jc w:val="both"/>
        <w:rPr>
          <w:b/>
          <w:u w:val="single"/>
        </w:rPr>
      </w:pPr>
    </w:p>
    <w:p w:rsidR="003E6588" w:rsidRPr="00F72A33" w:rsidRDefault="003E6588">
      <w:pPr>
        <w:ind w:firstLine="1134"/>
        <w:jc w:val="both"/>
      </w:pPr>
      <w:r w:rsidRPr="00F72A33">
        <w:rPr>
          <w:b/>
        </w:rPr>
        <w:t xml:space="preserve">Descentralização das perícias de medicina legal - “projeto medalha” - </w:t>
      </w:r>
      <w:r w:rsidRPr="00F72A33">
        <w:t>Continuidade ao projeto de descentralização das perícias de medicina legal, com objetivo de minimizar os custos com deslocamento dos periciandos (que serão atendidos em locais mais próximos de seus domicílios), eliminando um dos problemas identificados para o não comparecimento às perícias agendadas, o que acarreta prejuízos aos envolvidos, tais como necessidade de reagendamento do exame pericial e nova intimação das partes, atrasando, consequentemente, as decisões judiciais.</w:t>
      </w:r>
    </w:p>
    <w:p w:rsidR="003E6588" w:rsidRPr="00F72A33" w:rsidRDefault="003E6588">
      <w:pPr>
        <w:ind w:firstLine="1134"/>
        <w:jc w:val="both"/>
        <w:rPr>
          <w:bCs/>
        </w:rPr>
      </w:pPr>
    </w:p>
    <w:p w:rsidR="003E6588" w:rsidRDefault="003E6588">
      <w:pPr>
        <w:ind w:firstLine="1134"/>
        <w:jc w:val="both"/>
        <w:rPr>
          <w:bCs/>
        </w:rPr>
      </w:pPr>
      <w:r>
        <w:rPr>
          <w:b/>
        </w:rPr>
        <w:t xml:space="preserve">Efetividade de Resultados - </w:t>
      </w:r>
      <w:r>
        <w:rPr>
          <w:bCs/>
        </w:rPr>
        <w:t xml:space="preserve">A implantação da descentralização </w:t>
      </w:r>
      <w:r w:rsidRPr="00D96802">
        <w:rPr>
          <w:bCs/>
        </w:rPr>
        <w:t>das</w:t>
      </w:r>
      <w:r>
        <w:rPr>
          <w:bCs/>
        </w:rPr>
        <w:t xml:space="preserve"> perícias de medicina legal em 7 das 9 regiões administrativas judiciárias (excetuando-se a 1ª região administrativa - São Paulo - com atendimento na sede do IMESC</w:t>
      </w:r>
      <w:r w:rsidRPr="00D96802">
        <w:rPr>
          <w:bCs/>
        </w:rPr>
        <w:t xml:space="preserve">), </w:t>
      </w:r>
      <w:r>
        <w:rPr>
          <w:bCs/>
        </w:rPr>
        <w:t xml:space="preserve">abrangendo 64,5% da demanda proveniente do </w:t>
      </w:r>
      <w:r w:rsidR="00F72A33">
        <w:rPr>
          <w:bCs/>
        </w:rPr>
        <w:t>In</w:t>
      </w:r>
      <w:r>
        <w:rPr>
          <w:bCs/>
        </w:rPr>
        <w:t>terior</w:t>
      </w:r>
      <w:r>
        <w:rPr>
          <w:bCs/>
          <w:color w:val="FF0000"/>
        </w:rPr>
        <w:t>,</w:t>
      </w:r>
      <w:r>
        <w:rPr>
          <w:bCs/>
        </w:rPr>
        <w:t xml:space="preserve"> propiciou a facilitação do acesso do beneficiário da Justiça Gratuita e residente no Interior às perícias médicas e , consequentemente, agilizou a prestação jurisdicional.</w:t>
      </w:r>
    </w:p>
    <w:p w:rsidR="003E6588" w:rsidRDefault="003E6588">
      <w:pPr>
        <w:ind w:firstLine="1134"/>
        <w:jc w:val="both"/>
        <w:rPr>
          <w:bCs/>
        </w:rPr>
      </w:pPr>
    </w:p>
    <w:p w:rsidR="003E6588" w:rsidRPr="00F72A33" w:rsidRDefault="003E6588">
      <w:pPr>
        <w:ind w:firstLine="1134"/>
        <w:jc w:val="both"/>
      </w:pPr>
      <w:r w:rsidRPr="00F72A33">
        <w:rPr>
          <w:b/>
        </w:rPr>
        <w:t>Prêmio M</w:t>
      </w:r>
      <w:r w:rsidR="009D5F96">
        <w:rPr>
          <w:b/>
        </w:rPr>
        <w:t>a</w:t>
      </w:r>
      <w:r w:rsidRPr="00F72A33">
        <w:rPr>
          <w:b/>
        </w:rPr>
        <w:t>rio Covas</w:t>
      </w:r>
      <w:r w:rsidRPr="00F72A33">
        <w:t xml:space="preserve"> - O Projeto de Descentralização das Perícias de Medicina Legal foi finalista do Prêmio Mário Covas 2014</w:t>
      </w:r>
      <w:r w:rsidR="00F72A33" w:rsidRPr="00F72A33">
        <w:t>,</w:t>
      </w:r>
      <w:r w:rsidRPr="00F72A33">
        <w:t xml:space="preserve"> na </w:t>
      </w:r>
      <w:r w:rsidR="00F72A33" w:rsidRPr="00F72A33">
        <w:t xml:space="preserve">Categoria </w:t>
      </w:r>
      <w:r w:rsidRPr="00F72A33">
        <w:t>“Inovação em Gestão Estadual”.</w:t>
      </w:r>
    </w:p>
    <w:p w:rsidR="003E6588" w:rsidRPr="00F72A33" w:rsidRDefault="003E6588">
      <w:pPr>
        <w:ind w:firstLine="1134"/>
        <w:jc w:val="both"/>
      </w:pPr>
    </w:p>
    <w:p w:rsidR="003E6588" w:rsidRDefault="003E6588">
      <w:pPr>
        <w:ind w:firstLine="1134"/>
        <w:jc w:val="both"/>
      </w:pPr>
      <w:r>
        <w:t>Dados de produção</w:t>
      </w:r>
    </w:p>
    <w:p w:rsidR="003E6588" w:rsidRDefault="003E6588">
      <w:pPr>
        <w:ind w:firstLine="1134"/>
        <w:jc w:val="both"/>
      </w:pPr>
    </w:p>
    <w:p w:rsidR="003E6588" w:rsidRDefault="003E6588">
      <w:pPr>
        <w:ind w:firstLine="1134"/>
        <w:jc w:val="both"/>
      </w:pPr>
      <w:r>
        <w:t>- Laudos de Medicina Legal expedidos - 21.249;</w:t>
      </w:r>
    </w:p>
    <w:p w:rsidR="003E6588" w:rsidRDefault="003E6588">
      <w:pPr>
        <w:ind w:firstLine="1134"/>
        <w:jc w:val="both"/>
      </w:pPr>
      <w:r>
        <w:lastRenderedPageBreak/>
        <w:t>- Laudos de investigação de vínculo genético expedidos - 10.249;</w:t>
      </w:r>
    </w:p>
    <w:p w:rsidR="003E6588" w:rsidRDefault="003E6588">
      <w:pPr>
        <w:ind w:firstLine="1134"/>
        <w:jc w:val="both"/>
      </w:pPr>
    </w:p>
    <w:p w:rsidR="003E6588" w:rsidRDefault="003E6588">
      <w:pPr>
        <w:ind w:firstLine="1134"/>
        <w:jc w:val="both"/>
      </w:pPr>
      <w:r>
        <w:t>- Ofícios recebidos pelo Protocolo - 73.026;</w:t>
      </w:r>
    </w:p>
    <w:p w:rsidR="003E6588" w:rsidRDefault="003E6588">
      <w:pPr>
        <w:ind w:firstLine="1134"/>
        <w:jc w:val="both"/>
      </w:pPr>
    </w:p>
    <w:p w:rsidR="003E6588" w:rsidRPr="00F72A33" w:rsidRDefault="003E6588">
      <w:pPr>
        <w:ind w:firstLine="1134"/>
        <w:jc w:val="both"/>
      </w:pPr>
      <w:r>
        <w:t xml:space="preserve">- </w:t>
      </w:r>
      <w:r w:rsidRPr="00F72A33">
        <w:t>Perícias Domiciliares - 1.305 somente na Capital.</w:t>
      </w:r>
    </w:p>
    <w:p w:rsidR="003E6588" w:rsidRDefault="003E6588">
      <w:pPr>
        <w:ind w:firstLine="1134"/>
        <w:jc w:val="both"/>
      </w:pPr>
    </w:p>
    <w:p w:rsidR="003E6588" w:rsidRDefault="003E6588">
      <w:pPr>
        <w:ind w:firstLine="1134"/>
        <w:jc w:val="both"/>
        <w:rPr>
          <w:b/>
        </w:rPr>
      </w:pPr>
      <w:r>
        <w:rPr>
          <w:b/>
        </w:rPr>
        <w:t>Principais atividades realizadas</w:t>
      </w:r>
    </w:p>
    <w:p w:rsidR="003E6588" w:rsidRDefault="003E6588">
      <w:pPr>
        <w:ind w:firstLine="1134"/>
        <w:jc w:val="both"/>
      </w:pPr>
    </w:p>
    <w:p w:rsidR="003E6588" w:rsidRDefault="003E6588">
      <w:pPr>
        <w:ind w:firstLine="1134"/>
        <w:jc w:val="both"/>
      </w:pPr>
      <w:r>
        <w:rPr>
          <w:b/>
        </w:rPr>
        <w:t>Mutirões -</w:t>
      </w:r>
      <w:r>
        <w:t xml:space="preserve"> </w:t>
      </w:r>
      <w:r w:rsidRPr="009C4005">
        <w:t>Reali</w:t>
      </w:r>
      <w:r>
        <w:t>zação de dois mutirões em São José do Rio Preto</w:t>
      </w:r>
      <w:r w:rsidR="009C4005">
        <w:t>,</w:t>
      </w:r>
      <w:r>
        <w:t xml:space="preserve"> para atendimento de 300 famílias (900 pessoas) e um mutirão de conciliação em Itanhaém/CEJUSC para atendimento de 29 famílias (90 pessoas);</w:t>
      </w:r>
    </w:p>
    <w:p w:rsidR="003E6588" w:rsidRDefault="003E6588">
      <w:pPr>
        <w:ind w:firstLine="1134"/>
        <w:jc w:val="both"/>
      </w:pPr>
    </w:p>
    <w:p w:rsidR="003E6588" w:rsidRPr="009C4005" w:rsidRDefault="003E6588">
      <w:pPr>
        <w:ind w:firstLine="1134"/>
        <w:jc w:val="both"/>
      </w:pPr>
      <w:r w:rsidRPr="009C4005">
        <w:rPr>
          <w:b/>
        </w:rPr>
        <w:t xml:space="preserve">Repactuação do Convênio com São Paulo Transporte S/A </w:t>
      </w:r>
      <w:r w:rsidR="009C4005" w:rsidRPr="009C4005">
        <w:rPr>
          <w:b/>
        </w:rPr>
        <w:t>-</w:t>
      </w:r>
      <w:r w:rsidRPr="009C4005">
        <w:rPr>
          <w:b/>
        </w:rPr>
        <w:t xml:space="preserve"> SPTRANS</w:t>
      </w:r>
      <w:r w:rsidRPr="009C4005">
        <w:t xml:space="preserve"> - Convênio celebrado para realização de perícias médicas nos solicitantes do “Bilhete Especial” - Pessoa com Deficiência para constatação de comprometimentos/limitações que caracterizem deficiência.</w:t>
      </w:r>
    </w:p>
    <w:p w:rsidR="003E6588" w:rsidRPr="009C4005" w:rsidRDefault="003E6588">
      <w:pPr>
        <w:ind w:firstLine="1134"/>
        <w:jc w:val="both"/>
      </w:pPr>
    </w:p>
    <w:p w:rsidR="003E6588" w:rsidRPr="009C4005" w:rsidRDefault="003E6588">
      <w:pPr>
        <w:ind w:firstLine="1134"/>
        <w:jc w:val="both"/>
      </w:pPr>
      <w:r w:rsidRPr="009C4005">
        <w:t xml:space="preserve">Repactuação do Convênio celebrado com a Defensoria Pública do Estado de São Paulo, com objetivo de aumentar o número de perícias realizadas, reduzindo o prazo para a remessa de laudos, a fim de prestar melhor atendimento ao Poder Judiciário, bem como a todos os cidadãos envolvidos. Para atendimento integral da demanda, o convênio prevê a realização de 1.150 perícias de investigação de vínculo genético por meio de identificação de polimorfismos de DNA “inter vivos”, a realização de 10 perícias de investigação de vínculo genético </w:t>
      </w:r>
      <w:r w:rsidRPr="009C4005">
        <w:rPr>
          <w:i/>
        </w:rPr>
        <w:t>post mortem</w:t>
      </w:r>
      <w:r w:rsidRPr="009C4005">
        <w:t xml:space="preserve"> e 1.400 perícias médico-legais e psiquiátricas;</w:t>
      </w:r>
    </w:p>
    <w:p w:rsidR="003E6588" w:rsidRPr="009C4005" w:rsidRDefault="003E6588">
      <w:pPr>
        <w:ind w:firstLine="1134"/>
        <w:jc w:val="both"/>
      </w:pPr>
    </w:p>
    <w:p w:rsidR="003E6588" w:rsidRPr="00A82D5F" w:rsidRDefault="003E6588">
      <w:pPr>
        <w:ind w:firstLine="1134"/>
        <w:jc w:val="both"/>
      </w:pPr>
      <w:r w:rsidRPr="00A82D5F">
        <w:rPr>
          <w:b/>
        </w:rPr>
        <w:t>Aprimoramento da Parceria com o CEJUSC</w:t>
      </w:r>
      <w:r w:rsidRPr="00A82D5F">
        <w:t xml:space="preserve"> - Centro Judiciário de Solução de Conflitos e Cidadania do Foro Central</w:t>
      </w:r>
      <w:r w:rsidR="00A82D5F" w:rsidRPr="00A82D5F">
        <w:t>.</w:t>
      </w:r>
      <w:r w:rsidRPr="00A82D5F">
        <w:t xml:space="preserve"> </w:t>
      </w:r>
      <w:r w:rsidR="00A82D5F" w:rsidRPr="00A82D5F">
        <w:t xml:space="preserve">Parceria </w:t>
      </w:r>
      <w:r w:rsidRPr="00A82D5F">
        <w:t>propiciou ao IMESC a participação em mutirões de investigação de paternidade - “Projeto Paternidade Responsável”, organizado pela Corregedoria da Justiça de São Paulo;</w:t>
      </w:r>
    </w:p>
    <w:p w:rsidR="003E6588" w:rsidRPr="00A82D5F" w:rsidRDefault="003E6588">
      <w:pPr>
        <w:ind w:firstLine="1134"/>
        <w:jc w:val="both"/>
      </w:pPr>
    </w:p>
    <w:p w:rsidR="003E6588" w:rsidRDefault="003E6588">
      <w:pPr>
        <w:ind w:firstLine="1134"/>
        <w:jc w:val="both"/>
      </w:pPr>
      <w:r w:rsidRPr="00A82D5F">
        <w:t>Construção de 8 salas para realização das perícias de medicina</w:t>
      </w:r>
      <w:r>
        <w:t xml:space="preserve"> legal.</w:t>
      </w:r>
    </w:p>
    <w:p w:rsidR="003E6588" w:rsidRDefault="003E6588">
      <w:pPr>
        <w:ind w:firstLine="1134"/>
        <w:jc w:val="both"/>
      </w:pPr>
    </w:p>
    <w:p w:rsidR="003E6588" w:rsidRPr="00A82D5F" w:rsidRDefault="003E6588">
      <w:pPr>
        <w:ind w:firstLine="1134"/>
        <w:jc w:val="both"/>
      </w:pPr>
      <w:r w:rsidRPr="00A82D5F">
        <w:t xml:space="preserve">Implantação do laboratório de investigação de vínculo genético </w:t>
      </w:r>
      <w:r w:rsidR="00A82D5F" w:rsidRPr="00A82D5F">
        <w:t xml:space="preserve">por meio </w:t>
      </w:r>
      <w:r w:rsidRPr="00A82D5F">
        <w:t xml:space="preserve">de restos mortais (ossos e dentes), permitindo a </w:t>
      </w:r>
      <w:r w:rsidRPr="00A82D5F">
        <w:rPr>
          <w:shd w:val="clear" w:color="auto" w:fill="FFFFFF"/>
        </w:rPr>
        <w:t xml:space="preserve">realização de </w:t>
      </w:r>
      <w:r w:rsidRPr="00A82D5F">
        <w:t>perícias de investigação</w:t>
      </w:r>
      <w:r w:rsidR="00A82D5F" w:rsidRPr="00A82D5F">
        <w:t>,</w:t>
      </w:r>
      <w:r w:rsidRPr="00A82D5F">
        <w:t xml:space="preserve"> na impossibilidade de confecção de laudos conclusivos</w:t>
      </w:r>
      <w:r w:rsidR="00A82D5F" w:rsidRPr="00A82D5F">
        <w:t>,</w:t>
      </w:r>
      <w:r w:rsidRPr="00A82D5F">
        <w:t xml:space="preserve"> utilizando-se a técnica indireta de apuração do vínculo de parentesco (pela genotipagem de parentes vivos do investigado falecidos).</w:t>
      </w:r>
    </w:p>
    <w:p w:rsidR="003E6588" w:rsidRPr="00A82D5F" w:rsidRDefault="003E6588">
      <w:pPr>
        <w:ind w:firstLine="1134"/>
        <w:jc w:val="both"/>
      </w:pPr>
    </w:p>
    <w:p w:rsidR="003E6588" w:rsidRDefault="003E6588">
      <w:pPr>
        <w:ind w:firstLine="1134"/>
        <w:jc w:val="both"/>
      </w:pPr>
      <w:r w:rsidRPr="00A82D5F">
        <w:t>Criação</w:t>
      </w:r>
      <w:r>
        <w:t xml:space="preserve"> de parceria com a UNOESTE para fins de pesquisa e estágio no IMESC na área de perícias médicas e medicina legal.</w:t>
      </w:r>
    </w:p>
    <w:p w:rsidR="003E6588" w:rsidRDefault="003E6588">
      <w:pPr>
        <w:ind w:firstLine="1134"/>
        <w:jc w:val="both"/>
      </w:pPr>
    </w:p>
    <w:p w:rsidR="003E6588" w:rsidRPr="00A82D5F" w:rsidRDefault="003E6588">
      <w:pPr>
        <w:ind w:firstLine="1134"/>
        <w:jc w:val="both"/>
      </w:pPr>
      <w:r w:rsidRPr="00A82D5F">
        <w:t xml:space="preserve">Ampliação e modernização do parque tecnológico e aquisição de </w:t>
      </w:r>
      <w:r w:rsidRPr="00A82D5F">
        <w:rPr>
          <w:i/>
        </w:rPr>
        <w:t>storage</w:t>
      </w:r>
      <w:r w:rsidR="00A82D5F" w:rsidRPr="00A82D5F">
        <w:t>,</w:t>
      </w:r>
      <w:r w:rsidRPr="00A82D5F">
        <w:t xml:space="preserve"> com capacidade de 4tb, bem como tratamento e organização dos arquivos do IMESC.</w:t>
      </w:r>
    </w:p>
    <w:p w:rsidR="003E6588" w:rsidRPr="00A82D5F" w:rsidRDefault="003E6588">
      <w:pPr>
        <w:ind w:firstLine="1134"/>
        <w:jc w:val="both"/>
      </w:pPr>
    </w:p>
    <w:p w:rsidR="003E6588" w:rsidRDefault="003E6588">
      <w:pPr>
        <w:ind w:firstLine="1134"/>
        <w:jc w:val="both"/>
      </w:pPr>
      <w:r>
        <w:lastRenderedPageBreak/>
        <w:t xml:space="preserve">Cumprimento das metas estabelecidas na elaboração do Plano Plurianual </w:t>
      </w:r>
      <w:r w:rsidR="00A82D5F">
        <w:t xml:space="preserve">- </w:t>
      </w:r>
      <w:r>
        <w:t>PPA 2012-2015</w:t>
      </w:r>
      <w:r w:rsidR="00A82D5F">
        <w:t>,</w:t>
      </w:r>
      <w:r>
        <w:t xml:space="preserve"> no que tange à implantação das unidades de descentralização das perícias de medicina legal nas regiões administrativas judiciárias</w:t>
      </w:r>
      <w:r w:rsidR="00A82D5F">
        <w:t>.</w:t>
      </w:r>
    </w:p>
    <w:p w:rsidR="003E6588" w:rsidRDefault="003E6588">
      <w:pPr>
        <w:ind w:firstLine="1134"/>
        <w:jc w:val="both"/>
      </w:pPr>
    </w:p>
    <w:p w:rsidR="003E6588" w:rsidRDefault="003E6588">
      <w:pPr>
        <w:rPr>
          <w:b/>
        </w:rPr>
      </w:pPr>
      <w:r>
        <w:br w:type="page"/>
      </w:r>
      <w:r>
        <w:rPr>
          <w:b/>
        </w:rPr>
        <w:lastRenderedPageBreak/>
        <w:t>SECRETARIA DE LOGÍSTICA E TRANSPORTES</w:t>
      </w:r>
    </w:p>
    <w:p w:rsidR="003E6588" w:rsidRDefault="003E6588"/>
    <w:p w:rsidR="003E6588" w:rsidRDefault="003E6588"/>
    <w:p w:rsidR="003E6588" w:rsidRDefault="003E6588" w:rsidP="00D26148">
      <w:pPr>
        <w:pStyle w:val="Rodap"/>
        <w:tabs>
          <w:tab w:val="clear" w:pos="4419"/>
          <w:tab w:val="clear" w:pos="8838"/>
        </w:tabs>
        <w:ind w:firstLine="1134"/>
        <w:jc w:val="both"/>
        <w:rPr>
          <w:b/>
          <w:bCs/>
        </w:rPr>
      </w:pPr>
      <w:bookmarkStart w:id="15" w:name="_Toc141787286"/>
      <w:r>
        <w:rPr>
          <w:b/>
          <w:bCs/>
        </w:rPr>
        <w:t>Transporte Rodoviário</w:t>
      </w:r>
    </w:p>
    <w:p w:rsidR="003E6588" w:rsidRDefault="003E6588">
      <w:pPr>
        <w:pStyle w:val="Rodap"/>
        <w:tabs>
          <w:tab w:val="clear" w:pos="4419"/>
          <w:tab w:val="clear" w:pos="8838"/>
        </w:tabs>
        <w:rPr>
          <w:b/>
          <w:bCs/>
        </w:rPr>
      </w:pPr>
    </w:p>
    <w:p w:rsidR="003E6588" w:rsidRDefault="003E6588">
      <w:pPr>
        <w:pStyle w:val="Rodap"/>
        <w:tabs>
          <w:tab w:val="clear" w:pos="4419"/>
          <w:tab w:val="clear" w:pos="8838"/>
        </w:tabs>
        <w:rPr>
          <w:b/>
          <w:bCs/>
        </w:rPr>
      </w:pPr>
    </w:p>
    <w:bookmarkEnd w:id="15"/>
    <w:p w:rsidR="003E6588" w:rsidRDefault="003E6588">
      <w:pPr>
        <w:rPr>
          <w:b/>
          <w:bCs/>
        </w:rPr>
      </w:pPr>
      <w:r>
        <w:rPr>
          <w:b/>
          <w:bCs/>
        </w:rPr>
        <w:t>AGÊNCIA REGULADORA DE SERVIÇOS PÚBLICOS DELEGADOS DE TRANSPORTE DO ESTADO DE SÃO PAULO - ARTESP</w:t>
      </w:r>
    </w:p>
    <w:p w:rsidR="003E6588" w:rsidRDefault="003E6588">
      <w:pPr>
        <w:rPr>
          <w:b/>
          <w:bCs/>
        </w:rPr>
      </w:pPr>
    </w:p>
    <w:p w:rsidR="003E6588" w:rsidRDefault="003E6588">
      <w:pPr>
        <w:rPr>
          <w:b/>
          <w:bCs/>
        </w:rPr>
      </w:pPr>
    </w:p>
    <w:p w:rsidR="003E6588" w:rsidRDefault="003E6588">
      <w:pPr>
        <w:ind w:firstLine="1134"/>
        <w:jc w:val="both"/>
      </w:pPr>
      <w:r>
        <w:t>A ARTESP regula e fiscaliza o Programa de Concessões Rodoviárias, o Transporte Coletivo Intermunicipal de Passageiros no Estado e todos os serviços de transporte público que venham a ser delegados no futuro. Por meio de atuação técnica e independente, a Agência busca garantir rodovias mais modernas e seguras para os motoristas, bem como mais conforto e eficiência para aqueles que se utilizam do transporte de passageiros.</w:t>
      </w:r>
    </w:p>
    <w:p w:rsidR="003E6588" w:rsidRDefault="003E6588">
      <w:pPr>
        <w:jc w:val="both"/>
        <w:rPr>
          <w:b/>
          <w:bCs/>
        </w:rPr>
      </w:pPr>
    </w:p>
    <w:p w:rsidR="003E6588" w:rsidRDefault="003E6588">
      <w:pPr>
        <w:ind w:firstLine="1134"/>
        <w:jc w:val="both"/>
        <w:rPr>
          <w:bCs/>
        </w:rPr>
      </w:pPr>
      <w:r>
        <w:rPr>
          <w:b/>
          <w:bCs/>
        </w:rPr>
        <w:t xml:space="preserve">Concessões Rodoviárias - </w:t>
      </w:r>
      <w:r>
        <w:rPr>
          <w:bCs/>
        </w:rPr>
        <w:t>O Programa de Concessões Rodoviárias do Estado adota política de concessões que desonera o Estado e permite investimentos na operação e manutenção das rodovias; na realização de obras, melhorias e ampliações na malha viária; na ampliação da segurança nas rodovias com significativa redução do</w:t>
      </w:r>
      <w:r w:rsidR="00470FDC">
        <w:rPr>
          <w:bCs/>
        </w:rPr>
        <w:t xml:space="preserve"> índice de mortes em acidentes.</w:t>
      </w:r>
    </w:p>
    <w:p w:rsidR="003E6588" w:rsidRDefault="003E6588">
      <w:pPr>
        <w:ind w:firstLine="1134"/>
        <w:jc w:val="both"/>
        <w:rPr>
          <w:bCs/>
        </w:rPr>
      </w:pPr>
    </w:p>
    <w:p w:rsidR="003E6588" w:rsidRDefault="003E6588">
      <w:pPr>
        <w:ind w:firstLine="1134"/>
        <w:jc w:val="both"/>
        <w:rPr>
          <w:bCs/>
        </w:rPr>
      </w:pPr>
      <w:r>
        <w:rPr>
          <w:bCs/>
        </w:rPr>
        <w:t xml:space="preserve">6,4 mil quilômetros de rodovias estão sob concessão, divididos em 19 lotes administrados por empresas/concessionárias e regulados e fiscalizados pela ARTESP. Como resultado da concessão e da fiscalização, as rodovias paulistas estão entre as melhores do </w:t>
      </w:r>
      <w:r w:rsidR="00957E14">
        <w:rPr>
          <w:bCs/>
        </w:rPr>
        <w:t>País</w:t>
      </w:r>
      <w:r>
        <w:rPr>
          <w:bCs/>
        </w:rPr>
        <w:t xml:space="preserve">, segundo pesquisas anuais realizadas pela Confederação Nacional de Transportes </w:t>
      </w:r>
      <w:r w:rsidR="00470FDC">
        <w:rPr>
          <w:bCs/>
        </w:rPr>
        <w:t xml:space="preserve">- </w:t>
      </w:r>
      <w:r>
        <w:rPr>
          <w:bCs/>
        </w:rPr>
        <w:t>CNT</w:t>
      </w:r>
      <w:r w:rsidR="00470FDC">
        <w:rPr>
          <w:bCs/>
        </w:rPr>
        <w:t>.</w:t>
      </w:r>
    </w:p>
    <w:p w:rsidR="003E6588" w:rsidRDefault="003E6588">
      <w:pPr>
        <w:ind w:firstLine="1134"/>
        <w:jc w:val="both"/>
        <w:rPr>
          <w:bCs/>
        </w:rPr>
      </w:pPr>
    </w:p>
    <w:p w:rsidR="003E6588" w:rsidRDefault="003E6588">
      <w:pPr>
        <w:ind w:firstLine="1134"/>
        <w:jc w:val="both"/>
        <w:rPr>
          <w:bCs/>
        </w:rPr>
      </w:pPr>
      <w:r>
        <w:rPr>
          <w:bCs/>
        </w:rPr>
        <w:t>Foram aplicados R$ 5 bilhões no Programa de Concessões, entre despesas operacionais e investimentos em obras, conservação e melhorias nas estradas paulistas.</w:t>
      </w:r>
    </w:p>
    <w:p w:rsidR="003E6588" w:rsidRDefault="003E6588">
      <w:pPr>
        <w:ind w:firstLine="1134"/>
        <w:jc w:val="both"/>
      </w:pPr>
    </w:p>
    <w:p w:rsidR="003E6588" w:rsidRDefault="003E6588">
      <w:pPr>
        <w:ind w:firstLine="1134"/>
        <w:jc w:val="both"/>
      </w:pPr>
      <w:r>
        <w:rPr>
          <w:b/>
          <w:bCs/>
        </w:rPr>
        <w:t xml:space="preserve">Fiscalização e Gerenciamento de Obras - </w:t>
      </w:r>
      <w:r>
        <w:t>A ARTESP realizou 5.079 vistorias para garantir o cumprimento das condições técnicas e financeiras previstas nos contratos de concessão.</w:t>
      </w:r>
    </w:p>
    <w:p w:rsidR="003E6588" w:rsidRDefault="003E6588">
      <w:pPr>
        <w:autoSpaceDE w:val="0"/>
        <w:autoSpaceDN w:val="0"/>
        <w:adjustRightInd w:val="0"/>
        <w:ind w:firstLine="1134"/>
        <w:jc w:val="both"/>
      </w:pPr>
    </w:p>
    <w:p w:rsidR="003E6588" w:rsidRDefault="003E6588">
      <w:pPr>
        <w:ind w:firstLine="1134"/>
        <w:jc w:val="both"/>
        <w:rPr>
          <w:bCs/>
        </w:rPr>
      </w:pPr>
      <w:r>
        <w:rPr>
          <w:b/>
          <w:bCs/>
        </w:rPr>
        <w:t xml:space="preserve">Fiscalização e Gerenciamento Operacional (19 lotes concedidos) - </w:t>
      </w:r>
      <w:r>
        <w:rPr>
          <w:bCs/>
        </w:rPr>
        <w:t>Foram registrados 1.404.955 atendimentos aos usuários, sendo 58.102 atendimentos por ambulâncias; 665.142 atendimentos por guinchos e socorros mecânicos e 681.711 inspeções.</w:t>
      </w:r>
    </w:p>
    <w:p w:rsidR="003E6588" w:rsidRDefault="003E6588">
      <w:pPr>
        <w:autoSpaceDE w:val="0"/>
        <w:autoSpaceDN w:val="0"/>
        <w:adjustRightInd w:val="0"/>
        <w:ind w:firstLine="1134"/>
        <w:jc w:val="both"/>
      </w:pPr>
    </w:p>
    <w:p w:rsidR="003E6588" w:rsidRDefault="003E6588">
      <w:pPr>
        <w:tabs>
          <w:tab w:val="center" w:pos="4870"/>
        </w:tabs>
        <w:ind w:firstLine="1134"/>
        <w:jc w:val="both"/>
      </w:pPr>
      <w:r>
        <w:rPr>
          <w:b/>
          <w:bCs/>
        </w:rPr>
        <w:t xml:space="preserve">Obras concluídas - </w:t>
      </w:r>
      <w:r>
        <w:t>As concessionárias que atuam sob a fiscalização da ARTESP concluíram 527 obras, em conformidade com cronogramas e atribuições de seus respectivos contratos. Nessas obras foram investidos R$</w:t>
      </w:r>
      <w:r w:rsidR="00470FDC">
        <w:t xml:space="preserve"> </w:t>
      </w:r>
      <w:r>
        <w:t>993 milhões.</w:t>
      </w:r>
    </w:p>
    <w:p w:rsidR="003E6588" w:rsidRDefault="003E6588">
      <w:pPr>
        <w:ind w:firstLine="1134"/>
        <w:jc w:val="both"/>
        <w:rPr>
          <w:strike/>
        </w:rPr>
      </w:pPr>
    </w:p>
    <w:p w:rsidR="003E6588" w:rsidRDefault="003E6588">
      <w:pPr>
        <w:ind w:firstLine="1134"/>
        <w:jc w:val="both"/>
      </w:pPr>
      <w:r>
        <w:t xml:space="preserve">Foram duplicados 118,03 quilômetros de rodovias, implantadas 15,60 quilômetros de faixas adicionais, 38,70 quilômetros de marginais e 38,42 quilômetros de novas pistas. Foram recapeados </w:t>
      </w:r>
      <w:r>
        <w:lastRenderedPageBreak/>
        <w:t>661,55 quilômetros de rodovias, implantadas 4 passarelas e 36 novos dispositivos, além da reforma e ampliação de outros 18 dispositivos.</w:t>
      </w:r>
    </w:p>
    <w:p w:rsidR="003E6588" w:rsidRDefault="003E6588">
      <w:pPr>
        <w:ind w:firstLine="1134"/>
        <w:jc w:val="both"/>
        <w:rPr>
          <w:bCs/>
        </w:rPr>
      </w:pPr>
    </w:p>
    <w:p w:rsidR="003E6588" w:rsidRDefault="003E6588">
      <w:pPr>
        <w:ind w:firstLine="1134"/>
        <w:jc w:val="both"/>
      </w:pPr>
      <w:r>
        <w:rPr>
          <w:b/>
          <w:bCs/>
        </w:rPr>
        <w:t xml:space="preserve">Obras em andamento - </w:t>
      </w:r>
      <w:r>
        <w:t>Estão em andamento 363 obras, com investimento previsto de R$ 5,95 bilhões.</w:t>
      </w:r>
    </w:p>
    <w:p w:rsidR="003E6588" w:rsidRDefault="003E6588">
      <w:pPr>
        <w:ind w:firstLine="1134"/>
        <w:jc w:val="both"/>
      </w:pPr>
    </w:p>
    <w:p w:rsidR="003E6588" w:rsidRDefault="003E6588">
      <w:pPr>
        <w:ind w:firstLine="1134"/>
        <w:jc w:val="both"/>
      </w:pPr>
      <w:r>
        <w:rPr>
          <w:b/>
          <w:bCs/>
        </w:rPr>
        <w:t xml:space="preserve">Segurança Rodoviária - </w:t>
      </w:r>
      <w:r>
        <w:t xml:space="preserve">A ARTESP estabeleceu meta de até 2020 de redução de 50% de mortes e 20% de feridos nas rodovias. A redução será feita em relação aos números de 2010. Os objetivos são baseados nas metas da Organização das Nações Unidas </w:t>
      </w:r>
      <w:r w:rsidR="00470FDC">
        <w:t xml:space="preserve">- </w:t>
      </w:r>
      <w:r>
        <w:t xml:space="preserve">ONU, criadas para a Década de Ação para o Trânsito Seguro (2011-2020). Apesar da ONU ter estabelecido apenas a redução de mortes, a ARTESP foi além e definiu também a diminuição do número de feridos. </w:t>
      </w:r>
    </w:p>
    <w:p w:rsidR="003E6588" w:rsidRDefault="003E6588">
      <w:pPr>
        <w:ind w:firstLine="1134"/>
        <w:jc w:val="both"/>
      </w:pPr>
    </w:p>
    <w:p w:rsidR="003E6588" w:rsidRDefault="003E6588">
      <w:pPr>
        <w:ind w:firstLine="1134"/>
        <w:jc w:val="both"/>
      </w:pPr>
      <w:r>
        <w:t xml:space="preserve">A Agência desenvolve anualmente junto às concessionárias e à Polícia Militar Rodoviária, o Programa de Redução de Acidentes </w:t>
      </w:r>
      <w:r w:rsidR="00470FDC">
        <w:t xml:space="preserve">- </w:t>
      </w:r>
      <w:r>
        <w:t>PRA. Com a meta da ONU, o PRA foi remodelado para atingir novos objetivos. Para alcançar os resultados, cada concessionária precisa traçar um diagnóstico do que ocorre nas rodovias sob sua responsabilidade e, em seguida, apresentar um plano de ações bienal a ser aprovado pela ARTESP. As ações são acompanhadas mensalmente pela Agência, por meio de relatórios de fiscalizações.</w:t>
      </w:r>
    </w:p>
    <w:p w:rsidR="003E6588" w:rsidRDefault="003E6588">
      <w:pPr>
        <w:ind w:firstLine="1134"/>
        <w:jc w:val="both"/>
      </w:pPr>
    </w:p>
    <w:p w:rsidR="003E6588" w:rsidRDefault="003E6588">
      <w:pPr>
        <w:ind w:firstLine="1134"/>
        <w:jc w:val="both"/>
        <w:rPr>
          <w:bCs/>
        </w:rPr>
      </w:pPr>
      <w:r>
        <w:rPr>
          <w:b/>
        </w:rPr>
        <w:t xml:space="preserve">Repasse de ISS-QN para os municípios - </w:t>
      </w:r>
      <w:r>
        <w:rPr>
          <w:bCs/>
        </w:rPr>
        <w:t>O Programa de Concessões repassa aos municípios o Imposto Sobre Serviços de Qualquer Natureza - ISS-QN, que incide sobre as tarifas de pedágio. Foram repassados R$ 390 milhões para os municípios. A verba incrementa a receita de 260 prefeituras e é repassada proporcionalmente à</w:t>
      </w:r>
      <w:r w:rsidR="00470FDC">
        <w:rPr>
          <w:bCs/>
        </w:rPr>
        <w:t xml:space="preserve"> extensão da rodovia pedagiada.</w:t>
      </w:r>
    </w:p>
    <w:p w:rsidR="003E6588" w:rsidRDefault="003E6588">
      <w:pPr>
        <w:ind w:firstLine="1134"/>
        <w:jc w:val="both"/>
        <w:rPr>
          <w:bCs/>
        </w:rPr>
      </w:pPr>
    </w:p>
    <w:p w:rsidR="003E6588" w:rsidRDefault="003E6588">
      <w:pPr>
        <w:ind w:firstLine="1134"/>
        <w:jc w:val="both"/>
        <w:rPr>
          <w:bCs/>
        </w:rPr>
      </w:pPr>
      <w:r>
        <w:rPr>
          <w:b/>
          <w:bCs/>
        </w:rPr>
        <w:t xml:space="preserve">Sistema de Transporte Coletivo Intermunicipal de Passageiros - </w:t>
      </w:r>
      <w:r>
        <w:rPr>
          <w:bCs/>
        </w:rPr>
        <w:t>A ARTESP regula e fiscaliza o Sistema de Transporte Intermunicipal de passageiros no Estado, exceto nas Regiões Metropolitanas de São Paulo, Campinas, Baixada Santista, Vale do Paraíba e Litoral Norte.</w:t>
      </w:r>
    </w:p>
    <w:p w:rsidR="003E6588" w:rsidRDefault="003E6588">
      <w:pPr>
        <w:ind w:firstLine="1134"/>
        <w:jc w:val="both"/>
        <w:rPr>
          <w:bCs/>
        </w:rPr>
      </w:pPr>
    </w:p>
    <w:p w:rsidR="003E6588" w:rsidRDefault="003E6588">
      <w:pPr>
        <w:ind w:firstLine="1134"/>
        <w:jc w:val="both"/>
        <w:rPr>
          <w:bCs/>
        </w:rPr>
      </w:pPr>
      <w:r>
        <w:rPr>
          <w:bCs/>
        </w:rPr>
        <w:t xml:space="preserve">De acordo com levantamento, 418 mil pessoas viajam diariamente pelas linhas do Sistema de Transporte Regular gerenciado e fiscalizado pela ARTESP. Cabe à Agência garantir a qualidade, o conforto e principalmente a segurança dos passageiros transportados. </w:t>
      </w:r>
    </w:p>
    <w:p w:rsidR="003E6588" w:rsidRDefault="003E6588">
      <w:pPr>
        <w:ind w:firstLine="1134"/>
        <w:jc w:val="both"/>
        <w:rPr>
          <w:bCs/>
        </w:rPr>
      </w:pPr>
    </w:p>
    <w:p w:rsidR="003E6588" w:rsidRDefault="003E6588">
      <w:pPr>
        <w:autoSpaceDE w:val="0"/>
        <w:autoSpaceDN w:val="0"/>
        <w:adjustRightInd w:val="0"/>
        <w:ind w:firstLine="1134"/>
        <w:jc w:val="both"/>
        <w:rPr>
          <w:bCs/>
        </w:rPr>
      </w:pPr>
      <w:r>
        <w:rPr>
          <w:bCs/>
        </w:rPr>
        <w:t>Atualmente o Sistema conta com:</w:t>
      </w:r>
    </w:p>
    <w:p w:rsidR="003E6588" w:rsidRDefault="003E6588" w:rsidP="00300468">
      <w:pPr>
        <w:autoSpaceDE w:val="0"/>
        <w:autoSpaceDN w:val="0"/>
        <w:adjustRightInd w:val="0"/>
        <w:jc w:val="both"/>
        <w:rPr>
          <w:bCs/>
        </w:rPr>
      </w:pPr>
    </w:p>
    <w:tbl>
      <w:tblPr>
        <w:tblW w:w="861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2157"/>
        <w:gridCol w:w="1843"/>
        <w:gridCol w:w="1418"/>
        <w:gridCol w:w="1134"/>
        <w:gridCol w:w="1275"/>
        <w:gridCol w:w="789"/>
      </w:tblGrid>
      <w:tr w:rsidR="003E6588" w:rsidTr="00470FDC">
        <w:trPr>
          <w:trHeight w:val="179"/>
          <w:jc w:val="center"/>
        </w:trPr>
        <w:tc>
          <w:tcPr>
            <w:tcW w:w="2157" w:type="dxa"/>
            <w:shd w:val="clear" w:color="auto" w:fill="auto"/>
            <w:vAlign w:val="bottom"/>
          </w:tcPr>
          <w:p w:rsidR="003E6588" w:rsidRDefault="003E6588">
            <w:pPr>
              <w:autoSpaceDE w:val="0"/>
              <w:autoSpaceDN w:val="0"/>
              <w:adjustRightInd w:val="0"/>
              <w:rPr>
                <w:b/>
                <w:bCs/>
                <w:sz w:val="20"/>
                <w:szCs w:val="20"/>
              </w:rPr>
            </w:pPr>
          </w:p>
        </w:tc>
        <w:tc>
          <w:tcPr>
            <w:tcW w:w="1843" w:type="dxa"/>
            <w:shd w:val="clear" w:color="auto" w:fill="auto"/>
            <w:vAlign w:val="bottom"/>
          </w:tcPr>
          <w:p w:rsidR="003E6588" w:rsidRDefault="003E6588">
            <w:pPr>
              <w:autoSpaceDE w:val="0"/>
              <w:autoSpaceDN w:val="0"/>
              <w:adjustRightInd w:val="0"/>
              <w:rPr>
                <w:b/>
                <w:bCs/>
                <w:sz w:val="20"/>
                <w:szCs w:val="20"/>
              </w:rPr>
            </w:pPr>
            <w:r>
              <w:rPr>
                <w:b/>
                <w:bCs/>
                <w:sz w:val="20"/>
                <w:szCs w:val="20"/>
              </w:rPr>
              <w:t>Rodoviário</w:t>
            </w:r>
          </w:p>
        </w:tc>
        <w:tc>
          <w:tcPr>
            <w:tcW w:w="1418" w:type="dxa"/>
            <w:shd w:val="clear" w:color="auto" w:fill="auto"/>
            <w:vAlign w:val="bottom"/>
          </w:tcPr>
          <w:p w:rsidR="003E6588" w:rsidRDefault="003E6588">
            <w:pPr>
              <w:autoSpaceDE w:val="0"/>
              <w:autoSpaceDN w:val="0"/>
              <w:adjustRightInd w:val="0"/>
              <w:rPr>
                <w:b/>
                <w:bCs/>
                <w:sz w:val="20"/>
                <w:szCs w:val="20"/>
              </w:rPr>
            </w:pPr>
            <w:r>
              <w:rPr>
                <w:b/>
                <w:bCs/>
                <w:sz w:val="20"/>
                <w:szCs w:val="20"/>
              </w:rPr>
              <w:t>Suburbano</w:t>
            </w:r>
          </w:p>
        </w:tc>
        <w:tc>
          <w:tcPr>
            <w:tcW w:w="1134" w:type="dxa"/>
            <w:shd w:val="clear" w:color="auto" w:fill="auto"/>
            <w:vAlign w:val="bottom"/>
          </w:tcPr>
          <w:p w:rsidR="003E6588" w:rsidRDefault="003E6588">
            <w:pPr>
              <w:autoSpaceDE w:val="0"/>
              <w:autoSpaceDN w:val="0"/>
              <w:adjustRightInd w:val="0"/>
              <w:rPr>
                <w:b/>
                <w:bCs/>
                <w:sz w:val="20"/>
                <w:szCs w:val="20"/>
              </w:rPr>
            </w:pPr>
            <w:r>
              <w:rPr>
                <w:b/>
                <w:bCs/>
                <w:sz w:val="20"/>
                <w:szCs w:val="20"/>
              </w:rPr>
              <w:t>Estudantes</w:t>
            </w:r>
          </w:p>
        </w:tc>
        <w:tc>
          <w:tcPr>
            <w:tcW w:w="1275" w:type="dxa"/>
            <w:shd w:val="clear" w:color="auto" w:fill="auto"/>
            <w:vAlign w:val="bottom"/>
          </w:tcPr>
          <w:p w:rsidR="003E6588" w:rsidRDefault="003E6588">
            <w:pPr>
              <w:autoSpaceDE w:val="0"/>
              <w:autoSpaceDN w:val="0"/>
              <w:adjustRightInd w:val="0"/>
              <w:rPr>
                <w:b/>
                <w:bCs/>
                <w:sz w:val="20"/>
                <w:szCs w:val="20"/>
              </w:rPr>
            </w:pPr>
            <w:r>
              <w:rPr>
                <w:b/>
                <w:bCs/>
                <w:sz w:val="20"/>
                <w:szCs w:val="20"/>
              </w:rPr>
              <w:t>Fretamento</w:t>
            </w:r>
          </w:p>
        </w:tc>
        <w:tc>
          <w:tcPr>
            <w:tcW w:w="789" w:type="dxa"/>
            <w:shd w:val="clear" w:color="auto" w:fill="auto"/>
            <w:vAlign w:val="bottom"/>
          </w:tcPr>
          <w:p w:rsidR="003E6588" w:rsidRDefault="003E6588">
            <w:pPr>
              <w:autoSpaceDE w:val="0"/>
              <w:autoSpaceDN w:val="0"/>
              <w:adjustRightInd w:val="0"/>
              <w:rPr>
                <w:b/>
                <w:bCs/>
                <w:sz w:val="20"/>
                <w:szCs w:val="20"/>
              </w:rPr>
            </w:pPr>
            <w:r>
              <w:rPr>
                <w:b/>
                <w:bCs/>
                <w:sz w:val="20"/>
                <w:szCs w:val="20"/>
              </w:rPr>
              <w:t>Total</w:t>
            </w:r>
          </w:p>
        </w:tc>
      </w:tr>
      <w:tr w:rsidR="003E6588" w:rsidTr="00470FDC">
        <w:trPr>
          <w:trHeight w:val="179"/>
          <w:jc w:val="center"/>
        </w:trPr>
        <w:tc>
          <w:tcPr>
            <w:tcW w:w="2157" w:type="dxa"/>
            <w:shd w:val="clear" w:color="auto" w:fill="auto"/>
            <w:vAlign w:val="bottom"/>
          </w:tcPr>
          <w:p w:rsidR="003E6588" w:rsidRDefault="003E6588">
            <w:pPr>
              <w:autoSpaceDE w:val="0"/>
              <w:autoSpaceDN w:val="0"/>
              <w:adjustRightInd w:val="0"/>
              <w:rPr>
                <w:bCs/>
                <w:sz w:val="20"/>
                <w:szCs w:val="20"/>
              </w:rPr>
            </w:pPr>
            <w:r>
              <w:rPr>
                <w:bCs/>
                <w:sz w:val="20"/>
                <w:szCs w:val="20"/>
              </w:rPr>
              <w:t>Empresas</w:t>
            </w:r>
          </w:p>
        </w:tc>
        <w:tc>
          <w:tcPr>
            <w:tcW w:w="3261" w:type="dxa"/>
            <w:gridSpan w:val="2"/>
            <w:shd w:val="clear" w:color="auto" w:fill="auto"/>
            <w:vAlign w:val="bottom"/>
          </w:tcPr>
          <w:p w:rsidR="003E6588" w:rsidRDefault="00597EF7">
            <w:pPr>
              <w:autoSpaceDE w:val="0"/>
              <w:autoSpaceDN w:val="0"/>
              <w:adjustRightInd w:val="0"/>
              <w:rPr>
                <w:bCs/>
                <w:sz w:val="20"/>
                <w:szCs w:val="20"/>
              </w:rPr>
            </w:pPr>
            <w:r>
              <w:rPr>
                <w:bCs/>
                <w:sz w:val="20"/>
                <w:szCs w:val="20"/>
              </w:rPr>
              <w:t xml:space="preserve">         </w:t>
            </w:r>
            <w:r w:rsidR="003E6588">
              <w:rPr>
                <w:bCs/>
                <w:sz w:val="20"/>
                <w:szCs w:val="20"/>
              </w:rPr>
              <w:t>107</w:t>
            </w:r>
          </w:p>
        </w:tc>
        <w:tc>
          <w:tcPr>
            <w:tcW w:w="1134" w:type="dxa"/>
            <w:shd w:val="clear" w:color="auto" w:fill="auto"/>
            <w:vAlign w:val="bottom"/>
          </w:tcPr>
          <w:p w:rsidR="003E6588" w:rsidRDefault="003E6588">
            <w:pPr>
              <w:autoSpaceDE w:val="0"/>
              <w:autoSpaceDN w:val="0"/>
              <w:adjustRightInd w:val="0"/>
              <w:rPr>
                <w:bCs/>
                <w:sz w:val="20"/>
                <w:szCs w:val="20"/>
              </w:rPr>
            </w:pPr>
            <w:r>
              <w:rPr>
                <w:bCs/>
                <w:sz w:val="20"/>
                <w:szCs w:val="20"/>
              </w:rPr>
              <w:t>106</w:t>
            </w:r>
          </w:p>
        </w:tc>
        <w:tc>
          <w:tcPr>
            <w:tcW w:w="1275" w:type="dxa"/>
            <w:shd w:val="clear" w:color="auto" w:fill="auto"/>
            <w:vAlign w:val="bottom"/>
          </w:tcPr>
          <w:p w:rsidR="003E6588" w:rsidRDefault="003E6588">
            <w:pPr>
              <w:autoSpaceDE w:val="0"/>
              <w:autoSpaceDN w:val="0"/>
              <w:adjustRightInd w:val="0"/>
              <w:rPr>
                <w:bCs/>
                <w:sz w:val="20"/>
                <w:szCs w:val="20"/>
              </w:rPr>
            </w:pPr>
            <w:r>
              <w:rPr>
                <w:bCs/>
                <w:sz w:val="20"/>
                <w:szCs w:val="20"/>
              </w:rPr>
              <w:t>543</w:t>
            </w:r>
          </w:p>
        </w:tc>
        <w:tc>
          <w:tcPr>
            <w:tcW w:w="789" w:type="dxa"/>
            <w:shd w:val="clear" w:color="auto" w:fill="auto"/>
            <w:vAlign w:val="bottom"/>
          </w:tcPr>
          <w:p w:rsidR="003E6588" w:rsidRDefault="003E6588">
            <w:pPr>
              <w:autoSpaceDE w:val="0"/>
              <w:autoSpaceDN w:val="0"/>
              <w:adjustRightInd w:val="0"/>
              <w:rPr>
                <w:bCs/>
                <w:sz w:val="20"/>
                <w:szCs w:val="20"/>
              </w:rPr>
            </w:pPr>
            <w:r>
              <w:rPr>
                <w:bCs/>
                <w:sz w:val="20"/>
                <w:szCs w:val="20"/>
              </w:rPr>
              <w:t>649</w:t>
            </w:r>
          </w:p>
        </w:tc>
      </w:tr>
      <w:tr w:rsidR="003E6588" w:rsidTr="00470FDC">
        <w:trPr>
          <w:trHeight w:val="179"/>
          <w:jc w:val="center"/>
        </w:trPr>
        <w:tc>
          <w:tcPr>
            <w:tcW w:w="2157" w:type="dxa"/>
            <w:shd w:val="clear" w:color="auto" w:fill="auto"/>
            <w:vAlign w:val="bottom"/>
          </w:tcPr>
          <w:p w:rsidR="003E6588" w:rsidRDefault="003E6588">
            <w:pPr>
              <w:autoSpaceDE w:val="0"/>
              <w:autoSpaceDN w:val="0"/>
              <w:adjustRightInd w:val="0"/>
              <w:rPr>
                <w:bCs/>
                <w:sz w:val="20"/>
                <w:szCs w:val="20"/>
              </w:rPr>
            </w:pPr>
            <w:r>
              <w:rPr>
                <w:bCs/>
                <w:sz w:val="20"/>
                <w:szCs w:val="20"/>
              </w:rPr>
              <w:t>Linhas</w:t>
            </w:r>
          </w:p>
        </w:tc>
        <w:tc>
          <w:tcPr>
            <w:tcW w:w="1843" w:type="dxa"/>
            <w:shd w:val="clear" w:color="auto" w:fill="auto"/>
            <w:vAlign w:val="bottom"/>
          </w:tcPr>
          <w:p w:rsidR="003E6588" w:rsidRDefault="003E6588">
            <w:pPr>
              <w:autoSpaceDE w:val="0"/>
              <w:autoSpaceDN w:val="0"/>
              <w:adjustRightInd w:val="0"/>
              <w:rPr>
                <w:bCs/>
                <w:sz w:val="20"/>
                <w:szCs w:val="20"/>
              </w:rPr>
            </w:pPr>
            <w:r>
              <w:rPr>
                <w:bCs/>
                <w:sz w:val="20"/>
                <w:szCs w:val="20"/>
              </w:rPr>
              <w:t>631</w:t>
            </w:r>
          </w:p>
        </w:tc>
        <w:tc>
          <w:tcPr>
            <w:tcW w:w="1418" w:type="dxa"/>
            <w:shd w:val="clear" w:color="auto" w:fill="auto"/>
            <w:vAlign w:val="bottom"/>
          </w:tcPr>
          <w:p w:rsidR="003E6588" w:rsidRDefault="003E6588">
            <w:pPr>
              <w:autoSpaceDE w:val="0"/>
              <w:autoSpaceDN w:val="0"/>
              <w:adjustRightInd w:val="0"/>
              <w:rPr>
                <w:bCs/>
                <w:sz w:val="20"/>
                <w:szCs w:val="20"/>
              </w:rPr>
            </w:pPr>
            <w:r>
              <w:rPr>
                <w:bCs/>
                <w:sz w:val="20"/>
                <w:szCs w:val="20"/>
              </w:rPr>
              <w:t>431</w:t>
            </w:r>
          </w:p>
        </w:tc>
        <w:tc>
          <w:tcPr>
            <w:tcW w:w="1134" w:type="dxa"/>
            <w:shd w:val="clear" w:color="auto" w:fill="auto"/>
            <w:vAlign w:val="bottom"/>
          </w:tcPr>
          <w:p w:rsidR="003E6588" w:rsidRDefault="003E6588">
            <w:pPr>
              <w:autoSpaceDE w:val="0"/>
              <w:autoSpaceDN w:val="0"/>
              <w:adjustRightInd w:val="0"/>
              <w:rPr>
                <w:bCs/>
                <w:sz w:val="20"/>
                <w:szCs w:val="20"/>
              </w:rPr>
            </w:pPr>
            <w:r>
              <w:rPr>
                <w:bCs/>
                <w:sz w:val="20"/>
                <w:szCs w:val="20"/>
              </w:rPr>
              <w:t>-</w:t>
            </w:r>
          </w:p>
        </w:tc>
        <w:tc>
          <w:tcPr>
            <w:tcW w:w="1275" w:type="dxa"/>
            <w:shd w:val="clear" w:color="auto" w:fill="auto"/>
            <w:vAlign w:val="bottom"/>
          </w:tcPr>
          <w:p w:rsidR="003E6588" w:rsidRDefault="003E6588">
            <w:pPr>
              <w:autoSpaceDE w:val="0"/>
              <w:autoSpaceDN w:val="0"/>
              <w:adjustRightInd w:val="0"/>
              <w:rPr>
                <w:bCs/>
                <w:sz w:val="20"/>
                <w:szCs w:val="20"/>
              </w:rPr>
            </w:pPr>
            <w:r>
              <w:rPr>
                <w:bCs/>
                <w:sz w:val="20"/>
                <w:szCs w:val="20"/>
              </w:rPr>
              <w:t>-</w:t>
            </w:r>
          </w:p>
        </w:tc>
        <w:tc>
          <w:tcPr>
            <w:tcW w:w="789" w:type="dxa"/>
            <w:shd w:val="clear" w:color="auto" w:fill="auto"/>
            <w:vAlign w:val="bottom"/>
          </w:tcPr>
          <w:p w:rsidR="003E6588" w:rsidRDefault="003E6588">
            <w:pPr>
              <w:autoSpaceDE w:val="0"/>
              <w:autoSpaceDN w:val="0"/>
              <w:adjustRightInd w:val="0"/>
              <w:rPr>
                <w:bCs/>
                <w:sz w:val="20"/>
                <w:szCs w:val="20"/>
              </w:rPr>
            </w:pPr>
            <w:r>
              <w:rPr>
                <w:bCs/>
                <w:sz w:val="20"/>
                <w:szCs w:val="20"/>
              </w:rPr>
              <w:t>1.062</w:t>
            </w:r>
          </w:p>
        </w:tc>
      </w:tr>
      <w:tr w:rsidR="003E6588" w:rsidTr="00470FDC">
        <w:trPr>
          <w:trHeight w:val="179"/>
          <w:jc w:val="center"/>
        </w:trPr>
        <w:tc>
          <w:tcPr>
            <w:tcW w:w="2157" w:type="dxa"/>
            <w:shd w:val="clear" w:color="auto" w:fill="auto"/>
            <w:vAlign w:val="bottom"/>
          </w:tcPr>
          <w:p w:rsidR="003E6588" w:rsidRDefault="003E6588">
            <w:pPr>
              <w:autoSpaceDE w:val="0"/>
              <w:autoSpaceDN w:val="0"/>
              <w:adjustRightInd w:val="0"/>
              <w:rPr>
                <w:bCs/>
                <w:sz w:val="20"/>
                <w:szCs w:val="20"/>
              </w:rPr>
            </w:pPr>
            <w:r>
              <w:rPr>
                <w:bCs/>
                <w:sz w:val="20"/>
                <w:szCs w:val="20"/>
              </w:rPr>
              <w:t>Veículos</w:t>
            </w:r>
          </w:p>
        </w:tc>
        <w:tc>
          <w:tcPr>
            <w:tcW w:w="1843" w:type="dxa"/>
            <w:shd w:val="clear" w:color="auto" w:fill="auto"/>
            <w:vAlign w:val="bottom"/>
          </w:tcPr>
          <w:p w:rsidR="003E6588" w:rsidRDefault="003E6588">
            <w:pPr>
              <w:autoSpaceDE w:val="0"/>
              <w:autoSpaceDN w:val="0"/>
              <w:adjustRightInd w:val="0"/>
              <w:rPr>
                <w:bCs/>
                <w:sz w:val="20"/>
                <w:szCs w:val="20"/>
              </w:rPr>
            </w:pPr>
            <w:r>
              <w:rPr>
                <w:bCs/>
                <w:sz w:val="20"/>
                <w:szCs w:val="20"/>
              </w:rPr>
              <w:t>2.358</w:t>
            </w:r>
          </w:p>
        </w:tc>
        <w:tc>
          <w:tcPr>
            <w:tcW w:w="1418" w:type="dxa"/>
            <w:shd w:val="clear" w:color="auto" w:fill="auto"/>
            <w:vAlign w:val="bottom"/>
          </w:tcPr>
          <w:p w:rsidR="003E6588" w:rsidRDefault="003E6588">
            <w:pPr>
              <w:autoSpaceDE w:val="0"/>
              <w:autoSpaceDN w:val="0"/>
              <w:adjustRightInd w:val="0"/>
              <w:rPr>
                <w:bCs/>
                <w:sz w:val="20"/>
                <w:szCs w:val="20"/>
              </w:rPr>
            </w:pPr>
            <w:r>
              <w:rPr>
                <w:bCs/>
                <w:sz w:val="20"/>
                <w:szCs w:val="20"/>
              </w:rPr>
              <w:t>1.361</w:t>
            </w:r>
          </w:p>
        </w:tc>
        <w:tc>
          <w:tcPr>
            <w:tcW w:w="1134" w:type="dxa"/>
            <w:shd w:val="clear" w:color="auto" w:fill="auto"/>
            <w:vAlign w:val="bottom"/>
          </w:tcPr>
          <w:p w:rsidR="003E6588" w:rsidRDefault="003E6588">
            <w:pPr>
              <w:autoSpaceDE w:val="0"/>
              <w:autoSpaceDN w:val="0"/>
              <w:adjustRightInd w:val="0"/>
              <w:rPr>
                <w:bCs/>
                <w:sz w:val="20"/>
                <w:szCs w:val="20"/>
              </w:rPr>
            </w:pPr>
            <w:r>
              <w:rPr>
                <w:bCs/>
                <w:sz w:val="20"/>
                <w:szCs w:val="20"/>
              </w:rPr>
              <w:t>145</w:t>
            </w:r>
          </w:p>
        </w:tc>
        <w:tc>
          <w:tcPr>
            <w:tcW w:w="1275" w:type="dxa"/>
            <w:shd w:val="clear" w:color="auto" w:fill="auto"/>
            <w:vAlign w:val="bottom"/>
          </w:tcPr>
          <w:p w:rsidR="003E6588" w:rsidRDefault="003E6588">
            <w:pPr>
              <w:autoSpaceDE w:val="0"/>
              <w:autoSpaceDN w:val="0"/>
              <w:adjustRightInd w:val="0"/>
              <w:rPr>
                <w:bCs/>
                <w:sz w:val="20"/>
                <w:szCs w:val="20"/>
              </w:rPr>
            </w:pPr>
            <w:r>
              <w:rPr>
                <w:bCs/>
                <w:sz w:val="20"/>
                <w:szCs w:val="20"/>
              </w:rPr>
              <w:t>13.638</w:t>
            </w:r>
          </w:p>
        </w:tc>
        <w:tc>
          <w:tcPr>
            <w:tcW w:w="789" w:type="dxa"/>
            <w:shd w:val="clear" w:color="auto" w:fill="auto"/>
            <w:vAlign w:val="bottom"/>
          </w:tcPr>
          <w:p w:rsidR="003E6588" w:rsidRDefault="003E6588">
            <w:pPr>
              <w:autoSpaceDE w:val="0"/>
              <w:autoSpaceDN w:val="0"/>
              <w:adjustRightInd w:val="0"/>
              <w:rPr>
                <w:bCs/>
                <w:sz w:val="20"/>
                <w:szCs w:val="20"/>
              </w:rPr>
            </w:pPr>
            <w:r>
              <w:rPr>
                <w:bCs/>
                <w:sz w:val="20"/>
                <w:szCs w:val="20"/>
              </w:rPr>
              <w:t>17.502</w:t>
            </w:r>
          </w:p>
        </w:tc>
      </w:tr>
      <w:tr w:rsidR="003E6588" w:rsidTr="00470FDC">
        <w:trPr>
          <w:trHeight w:val="179"/>
          <w:jc w:val="center"/>
        </w:trPr>
        <w:tc>
          <w:tcPr>
            <w:tcW w:w="2157" w:type="dxa"/>
            <w:shd w:val="clear" w:color="auto" w:fill="auto"/>
            <w:vAlign w:val="bottom"/>
          </w:tcPr>
          <w:p w:rsidR="003E6588" w:rsidRDefault="003E6588">
            <w:pPr>
              <w:autoSpaceDE w:val="0"/>
              <w:autoSpaceDN w:val="0"/>
              <w:adjustRightInd w:val="0"/>
              <w:rPr>
                <w:bCs/>
                <w:sz w:val="20"/>
                <w:szCs w:val="20"/>
              </w:rPr>
            </w:pPr>
            <w:r>
              <w:rPr>
                <w:bCs/>
                <w:sz w:val="20"/>
                <w:szCs w:val="20"/>
              </w:rPr>
              <w:t>Idade média da frota</w:t>
            </w:r>
          </w:p>
        </w:tc>
        <w:tc>
          <w:tcPr>
            <w:tcW w:w="1843" w:type="dxa"/>
            <w:shd w:val="clear" w:color="auto" w:fill="auto"/>
            <w:vAlign w:val="bottom"/>
          </w:tcPr>
          <w:p w:rsidR="003E6588" w:rsidRDefault="003E6588">
            <w:pPr>
              <w:autoSpaceDE w:val="0"/>
              <w:autoSpaceDN w:val="0"/>
              <w:adjustRightInd w:val="0"/>
              <w:rPr>
                <w:bCs/>
                <w:sz w:val="20"/>
                <w:szCs w:val="20"/>
              </w:rPr>
            </w:pPr>
            <w:r>
              <w:rPr>
                <w:bCs/>
                <w:sz w:val="20"/>
                <w:szCs w:val="20"/>
              </w:rPr>
              <w:t>4,7</w:t>
            </w:r>
          </w:p>
        </w:tc>
        <w:tc>
          <w:tcPr>
            <w:tcW w:w="1418" w:type="dxa"/>
            <w:shd w:val="clear" w:color="auto" w:fill="auto"/>
            <w:vAlign w:val="bottom"/>
          </w:tcPr>
          <w:p w:rsidR="003E6588" w:rsidRDefault="003E6588">
            <w:pPr>
              <w:autoSpaceDE w:val="0"/>
              <w:autoSpaceDN w:val="0"/>
              <w:adjustRightInd w:val="0"/>
              <w:rPr>
                <w:bCs/>
                <w:sz w:val="20"/>
                <w:szCs w:val="20"/>
              </w:rPr>
            </w:pPr>
            <w:r>
              <w:rPr>
                <w:bCs/>
                <w:sz w:val="20"/>
                <w:szCs w:val="20"/>
              </w:rPr>
              <w:t>5,7</w:t>
            </w:r>
          </w:p>
        </w:tc>
        <w:tc>
          <w:tcPr>
            <w:tcW w:w="1134" w:type="dxa"/>
            <w:shd w:val="clear" w:color="auto" w:fill="auto"/>
            <w:vAlign w:val="bottom"/>
          </w:tcPr>
          <w:p w:rsidR="003E6588" w:rsidRDefault="003E6588">
            <w:pPr>
              <w:autoSpaceDE w:val="0"/>
              <w:autoSpaceDN w:val="0"/>
              <w:adjustRightInd w:val="0"/>
              <w:rPr>
                <w:bCs/>
                <w:sz w:val="20"/>
                <w:szCs w:val="20"/>
              </w:rPr>
            </w:pPr>
            <w:r>
              <w:rPr>
                <w:bCs/>
                <w:sz w:val="20"/>
                <w:szCs w:val="20"/>
              </w:rPr>
              <w:t>-</w:t>
            </w:r>
          </w:p>
        </w:tc>
        <w:tc>
          <w:tcPr>
            <w:tcW w:w="1275" w:type="dxa"/>
            <w:shd w:val="clear" w:color="auto" w:fill="auto"/>
            <w:vAlign w:val="bottom"/>
          </w:tcPr>
          <w:p w:rsidR="003E6588" w:rsidRDefault="003E6588">
            <w:pPr>
              <w:autoSpaceDE w:val="0"/>
              <w:autoSpaceDN w:val="0"/>
              <w:adjustRightInd w:val="0"/>
              <w:rPr>
                <w:bCs/>
                <w:sz w:val="20"/>
                <w:szCs w:val="20"/>
              </w:rPr>
            </w:pPr>
            <w:r>
              <w:rPr>
                <w:bCs/>
                <w:sz w:val="20"/>
                <w:szCs w:val="20"/>
              </w:rPr>
              <w:t>6,2</w:t>
            </w:r>
          </w:p>
        </w:tc>
        <w:tc>
          <w:tcPr>
            <w:tcW w:w="789" w:type="dxa"/>
            <w:shd w:val="clear" w:color="auto" w:fill="auto"/>
            <w:vAlign w:val="bottom"/>
          </w:tcPr>
          <w:p w:rsidR="003E6588" w:rsidRDefault="003E6588">
            <w:pPr>
              <w:autoSpaceDE w:val="0"/>
              <w:autoSpaceDN w:val="0"/>
              <w:adjustRightInd w:val="0"/>
              <w:rPr>
                <w:bCs/>
                <w:sz w:val="20"/>
                <w:szCs w:val="20"/>
              </w:rPr>
            </w:pPr>
            <w:r>
              <w:rPr>
                <w:bCs/>
                <w:sz w:val="20"/>
                <w:szCs w:val="20"/>
              </w:rPr>
              <w:t>6</w:t>
            </w:r>
          </w:p>
        </w:tc>
      </w:tr>
    </w:tbl>
    <w:p w:rsidR="003E6588" w:rsidRDefault="003E6588" w:rsidP="003023A3">
      <w:pPr>
        <w:autoSpaceDE w:val="0"/>
        <w:autoSpaceDN w:val="0"/>
        <w:adjustRightInd w:val="0"/>
        <w:ind w:left="708"/>
        <w:jc w:val="both"/>
        <w:rPr>
          <w:bCs/>
          <w:sz w:val="16"/>
          <w:szCs w:val="16"/>
        </w:rPr>
      </w:pPr>
      <w:r>
        <w:rPr>
          <w:bCs/>
          <w:sz w:val="16"/>
          <w:szCs w:val="16"/>
        </w:rPr>
        <w:t>Levantamento banco de dados: dez/2014</w:t>
      </w:r>
    </w:p>
    <w:p w:rsidR="003E6588" w:rsidRPr="00300468" w:rsidRDefault="003E6588" w:rsidP="00300468">
      <w:pPr>
        <w:autoSpaceDE w:val="0"/>
        <w:autoSpaceDN w:val="0"/>
        <w:adjustRightInd w:val="0"/>
        <w:jc w:val="both"/>
        <w:rPr>
          <w:bCs/>
        </w:rPr>
      </w:pPr>
    </w:p>
    <w:p w:rsidR="003E6588" w:rsidRDefault="003E6588">
      <w:pPr>
        <w:autoSpaceDE w:val="0"/>
        <w:autoSpaceDN w:val="0"/>
        <w:adjustRightInd w:val="0"/>
        <w:ind w:firstLine="1134"/>
        <w:jc w:val="both"/>
        <w:rPr>
          <w:bCs/>
        </w:rPr>
      </w:pPr>
      <w:r>
        <w:rPr>
          <w:b/>
          <w:bCs/>
        </w:rPr>
        <w:t xml:space="preserve">Fiscalização - </w:t>
      </w:r>
      <w:r>
        <w:rPr>
          <w:bCs/>
        </w:rPr>
        <w:t xml:space="preserve">Foram vistoriadas 567 empresas cadastradas nos serviços regular e fretamento, além de 1.450 veículos e 3 garagens e instalações. Foram emitidas 4.476 notificações. A </w:t>
      </w:r>
      <w:r>
        <w:rPr>
          <w:bCs/>
        </w:rPr>
        <w:lastRenderedPageBreak/>
        <w:t>área de fiscalização emitiu 2.062 autos de infração para ocorrências irregulares e descumprimento dos regulamentos do transporte coletivo intermunicipal de passageiros e 772 autos de infração para imposição de penalidade. Foram fiscalizadas 582 empresas e 63.250 veículos em terminais rodoviários, 23.796 veículos em rodovias e 883 apreensões.</w:t>
      </w:r>
    </w:p>
    <w:p w:rsidR="003E6588" w:rsidRDefault="003E6588">
      <w:pPr>
        <w:autoSpaceDE w:val="0"/>
        <w:autoSpaceDN w:val="0"/>
        <w:adjustRightInd w:val="0"/>
        <w:ind w:firstLine="1134"/>
        <w:jc w:val="both"/>
        <w:rPr>
          <w:color w:val="595959"/>
        </w:rPr>
      </w:pPr>
    </w:p>
    <w:p w:rsidR="003E6588" w:rsidRDefault="003E6588">
      <w:pPr>
        <w:tabs>
          <w:tab w:val="left" w:pos="0"/>
        </w:tabs>
        <w:ind w:firstLine="1134"/>
        <w:jc w:val="both"/>
        <w:rPr>
          <w:b/>
        </w:rPr>
      </w:pPr>
      <w:r>
        <w:rPr>
          <w:b/>
        </w:rPr>
        <w:t>Projetos Especiais e Prioritários</w:t>
      </w:r>
    </w:p>
    <w:p w:rsidR="003E6588" w:rsidRDefault="003E6588">
      <w:pPr>
        <w:tabs>
          <w:tab w:val="left" w:pos="0"/>
        </w:tabs>
        <w:ind w:firstLine="1134"/>
        <w:jc w:val="both"/>
        <w:rPr>
          <w:b/>
        </w:rPr>
      </w:pPr>
    </w:p>
    <w:p w:rsidR="003E6588" w:rsidRDefault="003E6588">
      <w:pPr>
        <w:autoSpaceDE w:val="0"/>
        <w:autoSpaceDN w:val="0"/>
        <w:adjustRightInd w:val="0"/>
        <w:ind w:firstLine="1134"/>
        <w:jc w:val="both"/>
        <w:rPr>
          <w:color w:val="000000"/>
        </w:rPr>
      </w:pPr>
      <w:r>
        <w:rPr>
          <w:b/>
          <w:color w:val="000000"/>
        </w:rPr>
        <w:t xml:space="preserve">Alternativas para o pagamento eletrônico de pedágios - Justiça Tarifária - </w:t>
      </w:r>
      <w:r>
        <w:rPr>
          <w:color w:val="000000"/>
        </w:rPr>
        <w:t xml:space="preserve">Como parte de política pública adotada pela Secretaria de Logística e Transportes, a ARTESP abriu o mercado de pagamento eletrônico de pedágios para a entrada de novas </w:t>
      </w:r>
      <w:r>
        <w:t>operadoras</w:t>
      </w:r>
      <w:r>
        <w:rPr>
          <w:color w:val="000000"/>
        </w:rPr>
        <w:t xml:space="preserve"> do serviço. A medida incentivou a concorrência das empresas para baixar os custos de transporte, ampliou os serviços agregados (estacionamento, combustível entre outros) e as formas de pagamento (pós e pré pago). Possibilitou aumento da base de usuários do pagamento eletrônico, o que tornará o serviço cada vez mais moderno e eficiente.</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color w:val="000000"/>
        </w:rPr>
        <w:t xml:space="preserve">Sistema Ponto a Ponto - </w:t>
      </w:r>
      <w:r>
        <w:rPr>
          <w:color w:val="000000"/>
        </w:rPr>
        <w:t xml:space="preserve">O sistema Ponto a Ponto nova forma de cobrança de pedágio nas rodovias paulistas, feita de forma eletrônica e com base no trecho percorrido pelo usuário. O projeto prevê a instalação de pórticos fixos em pontos estrategicamente definidos nas rodovias. Nestes portais, há antenas e leitores que funcionam na mesma frequência que o </w:t>
      </w:r>
      <w:r w:rsidRPr="00300468">
        <w:rPr>
          <w:i/>
          <w:color w:val="000000"/>
        </w:rPr>
        <w:t>tag</w:t>
      </w:r>
      <w:r>
        <w:rPr>
          <w:color w:val="000000"/>
        </w:rPr>
        <w:t xml:space="preserve"> (chip eletrônico) que é fixado nos veículos pelas Operadoras de Serviço de Arrecadação autorizadas a operar no Estado. Ao passar por um pórtico, as antenas e leitores reconhecem o dispositivo instalado no veículo, fazem sua leitura e o valor é automaticamente debitado dos créditos que possui.</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O Ponto a Ponto funciona nas rodovias Engenheiro Constâncio Cintra (SP-360), Santos Dumont (SP-75), Governador Adhemar Pereira de Barros (SP-340) e na Rodovia Prof. Zeferino Vaz (SP 332). Para usufruir dos benefícios do pagamento por trecho percorrido é necessário possuir um tag (chip eletrônico), com tecnologia em frequência 915MHz de uma das Operadoras de Sistema de Arrecadação (Sem Parar, Auto Expresso, ConectCar ou Move Mais).</w:t>
      </w:r>
    </w:p>
    <w:p w:rsidR="003E6588" w:rsidRDefault="003E6588">
      <w:pPr>
        <w:autoSpaceDE w:val="0"/>
        <w:autoSpaceDN w:val="0"/>
        <w:adjustRightInd w:val="0"/>
        <w:ind w:firstLine="1134"/>
        <w:jc w:val="both"/>
        <w:rPr>
          <w:color w:val="000000"/>
        </w:rPr>
      </w:pPr>
    </w:p>
    <w:tbl>
      <w:tblPr>
        <w:tblW w:w="7428" w:type="dxa"/>
        <w:jc w:val="center"/>
        <w:tblInd w:w="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2283"/>
        <w:gridCol w:w="1701"/>
        <w:gridCol w:w="2004"/>
        <w:gridCol w:w="1440"/>
      </w:tblGrid>
      <w:tr w:rsidR="003E6588" w:rsidTr="003023A3">
        <w:trPr>
          <w:trHeight w:val="300"/>
          <w:jc w:val="center"/>
        </w:trPr>
        <w:tc>
          <w:tcPr>
            <w:tcW w:w="2283" w:type="dxa"/>
            <w:shd w:val="clear" w:color="auto" w:fill="auto"/>
            <w:vAlign w:val="center"/>
          </w:tcPr>
          <w:p w:rsidR="003E6588" w:rsidRDefault="003E6588">
            <w:pPr>
              <w:autoSpaceDE w:val="0"/>
              <w:autoSpaceDN w:val="0"/>
              <w:adjustRightInd w:val="0"/>
              <w:rPr>
                <w:b/>
                <w:bCs/>
                <w:sz w:val="20"/>
                <w:szCs w:val="20"/>
              </w:rPr>
            </w:pPr>
            <w:r>
              <w:rPr>
                <w:b/>
                <w:bCs/>
                <w:sz w:val="20"/>
                <w:szCs w:val="20"/>
              </w:rPr>
              <w:t>Ponto a Ponto</w:t>
            </w:r>
          </w:p>
        </w:tc>
        <w:tc>
          <w:tcPr>
            <w:tcW w:w="1701" w:type="dxa"/>
            <w:shd w:val="clear" w:color="auto" w:fill="auto"/>
            <w:vAlign w:val="center"/>
          </w:tcPr>
          <w:p w:rsidR="003E6588" w:rsidRDefault="003E6588">
            <w:pPr>
              <w:autoSpaceDE w:val="0"/>
              <w:autoSpaceDN w:val="0"/>
              <w:adjustRightInd w:val="0"/>
              <w:rPr>
                <w:b/>
                <w:bCs/>
                <w:sz w:val="20"/>
                <w:szCs w:val="20"/>
              </w:rPr>
            </w:pPr>
            <w:r>
              <w:rPr>
                <w:b/>
                <w:bCs/>
                <w:sz w:val="20"/>
                <w:szCs w:val="20"/>
              </w:rPr>
              <w:t>Veículos</w:t>
            </w:r>
          </w:p>
          <w:p w:rsidR="003E6588" w:rsidRDefault="003E6588">
            <w:pPr>
              <w:autoSpaceDE w:val="0"/>
              <w:autoSpaceDN w:val="0"/>
              <w:adjustRightInd w:val="0"/>
              <w:rPr>
                <w:b/>
                <w:bCs/>
                <w:sz w:val="20"/>
                <w:szCs w:val="20"/>
              </w:rPr>
            </w:pPr>
            <w:r>
              <w:rPr>
                <w:b/>
                <w:bCs/>
                <w:sz w:val="20"/>
                <w:szCs w:val="20"/>
              </w:rPr>
              <w:t>Cadastrados</w:t>
            </w:r>
          </w:p>
        </w:tc>
        <w:tc>
          <w:tcPr>
            <w:tcW w:w="2004" w:type="dxa"/>
            <w:shd w:val="clear" w:color="auto" w:fill="auto"/>
            <w:vAlign w:val="center"/>
          </w:tcPr>
          <w:p w:rsidR="003E6588" w:rsidRDefault="003E6588">
            <w:pPr>
              <w:autoSpaceDE w:val="0"/>
              <w:autoSpaceDN w:val="0"/>
              <w:adjustRightInd w:val="0"/>
              <w:rPr>
                <w:b/>
                <w:bCs/>
                <w:sz w:val="20"/>
                <w:szCs w:val="20"/>
              </w:rPr>
            </w:pPr>
            <w:r>
              <w:rPr>
                <w:b/>
                <w:bCs/>
                <w:sz w:val="20"/>
                <w:szCs w:val="20"/>
              </w:rPr>
              <w:t>Redução no valor da tarifa</w:t>
            </w:r>
          </w:p>
        </w:tc>
        <w:tc>
          <w:tcPr>
            <w:tcW w:w="1440" w:type="dxa"/>
            <w:shd w:val="clear" w:color="auto" w:fill="auto"/>
            <w:vAlign w:val="center"/>
          </w:tcPr>
          <w:p w:rsidR="003E6588" w:rsidRDefault="003E6588">
            <w:pPr>
              <w:autoSpaceDE w:val="0"/>
              <w:autoSpaceDN w:val="0"/>
              <w:adjustRightInd w:val="0"/>
              <w:rPr>
                <w:b/>
                <w:bCs/>
                <w:sz w:val="20"/>
                <w:szCs w:val="20"/>
              </w:rPr>
            </w:pPr>
            <w:r>
              <w:rPr>
                <w:b/>
                <w:bCs/>
                <w:sz w:val="20"/>
                <w:szCs w:val="20"/>
              </w:rPr>
              <w:t>Economia Média Mensal</w:t>
            </w:r>
          </w:p>
        </w:tc>
      </w:tr>
      <w:tr w:rsidR="003E6588" w:rsidTr="003023A3">
        <w:trPr>
          <w:trHeight w:val="300"/>
          <w:jc w:val="center"/>
        </w:trPr>
        <w:tc>
          <w:tcPr>
            <w:tcW w:w="2283" w:type="dxa"/>
            <w:vAlign w:val="center"/>
          </w:tcPr>
          <w:p w:rsidR="003E6588" w:rsidRDefault="003E6588">
            <w:pPr>
              <w:autoSpaceDE w:val="0"/>
              <w:autoSpaceDN w:val="0"/>
              <w:adjustRightInd w:val="0"/>
              <w:rPr>
                <w:bCs/>
                <w:sz w:val="20"/>
                <w:szCs w:val="20"/>
              </w:rPr>
            </w:pPr>
            <w:r>
              <w:rPr>
                <w:bCs/>
                <w:sz w:val="20"/>
                <w:szCs w:val="20"/>
              </w:rPr>
              <w:t>SP 332 - Paulínia</w:t>
            </w:r>
          </w:p>
        </w:tc>
        <w:tc>
          <w:tcPr>
            <w:tcW w:w="1701" w:type="dxa"/>
            <w:vAlign w:val="center"/>
          </w:tcPr>
          <w:p w:rsidR="003E6588" w:rsidRDefault="003E6588">
            <w:pPr>
              <w:autoSpaceDE w:val="0"/>
              <w:autoSpaceDN w:val="0"/>
              <w:adjustRightInd w:val="0"/>
              <w:rPr>
                <w:bCs/>
                <w:sz w:val="20"/>
                <w:szCs w:val="20"/>
              </w:rPr>
            </w:pPr>
            <w:r>
              <w:rPr>
                <w:bCs/>
                <w:sz w:val="20"/>
                <w:szCs w:val="20"/>
              </w:rPr>
              <w:t>1.320</w:t>
            </w:r>
          </w:p>
        </w:tc>
        <w:tc>
          <w:tcPr>
            <w:tcW w:w="2004" w:type="dxa"/>
            <w:vAlign w:val="center"/>
          </w:tcPr>
          <w:p w:rsidR="003E6588" w:rsidRDefault="003E6588">
            <w:pPr>
              <w:autoSpaceDE w:val="0"/>
              <w:autoSpaceDN w:val="0"/>
              <w:adjustRightInd w:val="0"/>
              <w:rPr>
                <w:bCs/>
                <w:sz w:val="20"/>
                <w:szCs w:val="20"/>
              </w:rPr>
            </w:pPr>
            <w:r>
              <w:rPr>
                <w:bCs/>
                <w:sz w:val="20"/>
                <w:szCs w:val="20"/>
              </w:rPr>
              <w:t>de 46% a 66%</w:t>
            </w:r>
          </w:p>
        </w:tc>
        <w:tc>
          <w:tcPr>
            <w:tcW w:w="1440" w:type="dxa"/>
            <w:vAlign w:val="center"/>
          </w:tcPr>
          <w:p w:rsidR="003E6588" w:rsidRDefault="003E6588">
            <w:pPr>
              <w:autoSpaceDE w:val="0"/>
              <w:autoSpaceDN w:val="0"/>
              <w:adjustRightInd w:val="0"/>
              <w:rPr>
                <w:bCs/>
                <w:sz w:val="20"/>
                <w:szCs w:val="20"/>
              </w:rPr>
            </w:pPr>
            <w:r>
              <w:rPr>
                <w:bCs/>
                <w:sz w:val="20"/>
                <w:szCs w:val="20"/>
              </w:rPr>
              <w:t>R$ 132,00</w:t>
            </w:r>
          </w:p>
        </w:tc>
      </w:tr>
    </w:tbl>
    <w:p w:rsidR="003E6588" w:rsidRDefault="003E6588">
      <w:pPr>
        <w:autoSpaceDE w:val="0"/>
        <w:autoSpaceDN w:val="0"/>
        <w:adjustRightInd w:val="0"/>
        <w:ind w:firstLine="1134"/>
        <w:jc w:val="both"/>
        <w:rPr>
          <w:b/>
          <w:color w:val="000000"/>
        </w:rPr>
      </w:pPr>
    </w:p>
    <w:p w:rsidR="003E6588" w:rsidRDefault="003E6588">
      <w:pPr>
        <w:autoSpaceDE w:val="0"/>
        <w:autoSpaceDN w:val="0"/>
        <w:adjustRightInd w:val="0"/>
        <w:ind w:firstLine="1134"/>
        <w:jc w:val="both"/>
      </w:pPr>
      <w:r>
        <w:rPr>
          <w:b/>
          <w:color w:val="000000"/>
        </w:rPr>
        <w:t xml:space="preserve">Parceria Público-Privada </w:t>
      </w:r>
      <w:r w:rsidR="003023A3">
        <w:rPr>
          <w:b/>
          <w:color w:val="000000"/>
        </w:rPr>
        <w:t xml:space="preserve">- </w:t>
      </w:r>
      <w:r>
        <w:rPr>
          <w:b/>
          <w:color w:val="000000"/>
        </w:rPr>
        <w:t xml:space="preserve">PPP </w:t>
      </w:r>
      <w:r w:rsidR="003023A3">
        <w:rPr>
          <w:b/>
          <w:color w:val="000000"/>
        </w:rPr>
        <w:t>-</w:t>
      </w:r>
      <w:r>
        <w:rPr>
          <w:b/>
          <w:color w:val="000000"/>
        </w:rPr>
        <w:t xml:space="preserve"> Projeto Tamoios - </w:t>
      </w:r>
      <w:r>
        <w:rPr>
          <w:color w:val="000000"/>
        </w:rPr>
        <w:t xml:space="preserve">A ARTESP elaborou Projeto de Parceria Público-Privada, na modalidade de concessão patrocinada, para operação e manutenção da Rodovia dos Tamoios (SP 099), nos trechos de planalto e serra (entre os quilômetros 11+500 e 83+400), nos contornos de Caraguatatuba e São Sebastião, bem como para execução de obras civis para ampliação principal no trecho compreendido entre os quilômetros 60+480 e 82+000. </w:t>
      </w:r>
      <w:r>
        <w:t>O projeto vai beneficiar motoristas que se dirigem ao Litoral Norte, com redução no tempo de suas viagens.</w:t>
      </w:r>
    </w:p>
    <w:p w:rsidR="003E6588" w:rsidRDefault="003E6588">
      <w:pPr>
        <w:autoSpaceDE w:val="0"/>
        <w:autoSpaceDN w:val="0"/>
        <w:adjustRightInd w:val="0"/>
        <w:ind w:firstLine="709"/>
      </w:pPr>
    </w:p>
    <w:p w:rsidR="003E6588" w:rsidRDefault="003E6588">
      <w:pPr>
        <w:autoSpaceDE w:val="0"/>
        <w:autoSpaceDN w:val="0"/>
        <w:adjustRightInd w:val="0"/>
        <w:ind w:firstLine="1134"/>
        <w:jc w:val="both"/>
        <w:rPr>
          <w:strike/>
        </w:rPr>
      </w:pPr>
      <w:r>
        <w:rPr>
          <w:color w:val="000000"/>
        </w:rPr>
        <w:t>A Agência realizou Sessão Publica para a entrega dos envelopes das propostas pelas licitantes e após processo licitatório, homologou</w:t>
      </w:r>
      <w:r>
        <w:rPr>
          <w:color w:val="FF0000"/>
        </w:rPr>
        <w:t xml:space="preserve"> </w:t>
      </w:r>
      <w:r>
        <w:rPr>
          <w:color w:val="000000"/>
        </w:rPr>
        <w:t xml:space="preserve">o Consórcio Litoral Norte como vencedor da Licitação. Para vencer a licitação, o Consórcio pediu contraprestação anual do Estado de R$ 0,01. O </w:t>
      </w:r>
      <w:r>
        <w:rPr>
          <w:color w:val="000000"/>
        </w:rPr>
        <w:lastRenderedPageBreak/>
        <w:t>critério de julgamento da proposta de licitação observou o menor valor de contraprestação anual, considerando o teto de R$ 156.864.903,03. Esse valor oferecido pelo vencedor equivale a redução de 39,63% do investimento total que o Governo deveria fazer, levando em conta o aporte durante as obras e as contraprestações. Representa que os cofres públicos terão economia de R$ 3,92 bilhões ao longo da concessão.</w:t>
      </w:r>
    </w:p>
    <w:p w:rsidR="003E6588" w:rsidRDefault="003E6588">
      <w:pPr>
        <w:autoSpaceDE w:val="0"/>
        <w:autoSpaceDN w:val="0"/>
        <w:adjustRightInd w:val="0"/>
        <w:ind w:firstLine="709"/>
        <w:rPr>
          <w:color w:val="000000"/>
        </w:rPr>
      </w:pPr>
    </w:p>
    <w:p w:rsidR="003E6588" w:rsidRDefault="003E6588" w:rsidP="007B485B">
      <w:pPr>
        <w:autoSpaceDE w:val="0"/>
        <w:autoSpaceDN w:val="0"/>
        <w:adjustRightInd w:val="0"/>
        <w:ind w:firstLine="1134"/>
        <w:jc w:val="both"/>
        <w:rPr>
          <w:color w:val="000000"/>
        </w:rPr>
      </w:pPr>
      <w:r>
        <w:rPr>
          <w:b/>
          <w:color w:val="000000"/>
        </w:rPr>
        <w:t xml:space="preserve">Implantação de Centro de Controle de Informações, MTIS e SISF - </w:t>
      </w:r>
      <w:r>
        <w:rPr>
          <w:color w:val="000000"/>
        </w:rPr>
        <w:t xml:space="preserve">A ARTESP investiu R$ 28 milhões na criação e instalação do Centro de Controle de Informações - CCI, que permite à Agência fiscalizar, de forma </w:t>
      </w:r>
      <w:r>
        <w:rPr>
          <w:i/>
          <w:color w:val="000000"/>
        </w:rPr>
        <w:t>on line</w:t>
      </w:r>
      <w:r>
        <w:rPr>
          <w:color w:val="000000"/>
        </w:rPr>
        <w:t xml:space="preserve"> e em tempo real, as operações realizadas pelas concessionárias de rodovias sob concessão. Estão conectadas ao CCI 597 câmeras das concessionárias.</w:t>
      </w:r>
    </w:p>
    <w:p w:rsidR="003E6588" w:rsidRDefault="003E6588">
      <w:pPr>
        <w:autoSpaceDE w:val="0"/>
        <w:autoSpaceDN w:val="0"/>
        <w:adjustRightInd w:val="0"/>
        <w:ind w:firstLine="709"/>
        <w:rPr>
          <w:color w:val="000000"/>
        </w:rPr>
      </w:pPr>
    </w:p>
    <w:p w:rsidR="003E6588" w:rsidRDefault="003E6588">
      <w:pPr>
        <w:autoSpaceDE w:val="0"/>
        <w:autoSpaceDN w:val="0"/>
        <w:adjustRightInd w:val="0"/>
        <w:ind w:firstLine="1134"/>
        <w:jc w:val="both"/>
        <w:rPr>
          <w:color w:val="000000"/>
        </w:rPr>
      </w:pPr>
      <w:r>
        <w:rPr>
          <w:color w:val="000000"/>
        </w:rPr>
        <w:t xml:space="preserve">O CCI torna possível verificar, com maior precisão, se as concessionárias estão cumprindo as exigências contratuais. Isso significa saber se o tempo mínimo para atendimento de ocorrências é respeitado, se o funcionamento de </w:t>
      </w:r>
      <w:r>
        <w:rPr>
          <w:i/>
          <w:color w:val="000000"/>
        </w:rPr>
        <w:t>call boxes</w:t>
      </w:r>
      <w:r>
        <w:rPr>
          <w:color w:val="000000"/>
        </w:rPr>
        <w:t xml:space="preserve"> e de painéis de mensagens variáveis estão dentro do previsto. O Centro possibilitará a aplicação de punições às concessionárias de maneira mais ágil e efetiva, em alguns casos substituindo a presença física da fiscalização para a constatação de irregularidades.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color w:val="000000"/>
        </w:rPr>
        <w:t xml:space="preserve">Gratuidade no Transporte Intermunicipal de Passageiros - </w:t>
      </w:r>
      <w:r>
        <w:rPr>
          <w:color w:val="000000"/>
        </w:rPr>
        <w:t>Foi instituída a gratuidade para idosos com mais de 60 anos de idade no transporte coletivo rodoviário. A concessão é limitada a 2 pessoas por viagem, conforme Lei n° 15.179/2013. Foi regulamentada a lei e 1.009.218 passagens já foram concedidas.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color w:val="000000"/>
        </w:rPr>
        <w:t xml:space="preserve">Redução de congestionamentos no </w:t>
      </w:r>
      <w:r>
        <w:rPr>
          <w:b/>
        </w:rPr>
        <w:t xml:space="preserve">Sistema Anchieta-Imigrantes - </w:t>
      </w:r>
      <w:r>
        <w:t xml:space="preserve">Com objetivo de minimizar o impacto no trânsito nas rodovias de acesso ao litoral por conta do transporte da safra de grãos para o Porto de Santos, a ARTESP implantou Plano de Contingenciamento que reduziu em 54% os congestionamentos no Sistema Anchieta-Imigrantes </w:t>
      </w:r>
      <w:r w:rsidR="003023A3">
        <w:t xml:space="preserve">- </w:t>
      </w:r>
      <w:r>
        <w:t xml:space="preserve">SAI. Além de maior comodidade para o usuário das rodovias, a redução dos congestionamentos teve impacto no preço dos fretes, de acordo com informação do Instituto Mato-grossense de Economia Agropecuária </w:t>
      </w:r>
      <w:r w:rsidR="003023A3">
        <w:t xml:space="preserve">- </w:t>
      </w:r>
      <w:r>
        <w:t>Imea</w:t>
      </w:r>
      <w:r>
        <w:rPr>
          <w:color w:val="000000"/>
        </w:rPr>
        <w:t>.</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color w:val="000000"/>
        </w:rPr>
        <w:t xml:space="preserve">Seguro Facultativo - </w:t>
      </w:r>
      <w:r>
        <w:rPr>
          <w:color w:val="000000"/>
        </w:rPr>
        <w:t>A ARTESP publicou Portaria que determina que o funcionário do guichê de vendas de empresas de transporte rodoviário intermunicipal deve questionar o passageiro sobre a aquisição do seguro facultativo.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Pela Portaria é obrigatório que seja afixado no local de venda aviso informando que o seguro é facultativo, isto é, o usuário tem direito de escolher se quer ou não contratá-lo.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Além disso, a Portaria proíbe qualquer forma de coação ou constrangimento do usuário que optar por não adquirir o seguro.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color w:val="000000"/>
        </w:rPr>
        <w:t xml:space="preserve">Convênio SSP - </w:t>
      </w:r>
      <w:r>
        <w:rPr>
          <w:color w:val="000000"/>
        </w:rPr>
        <w:t xml:space="preserve">A ARTESP firmou parceria com a Secretaria da Segurança Pública para interligar o Centro de Controle de Informações da Agência ao Detecta, sistema inteligente de monitoramento de crimes do Estado. O Detecta é ferramenta tecnológica que ajuda no patrulhamento, </w:t>
      </w:r>
      <w:r>
        <w:rPr>
          <w:color w:val="000000"/>
        </w:rPr>
        <w:lastRenderedPageBreak/>
        <w:t>investigação, planejamento de combate a crimes e na identificação dos padrões de delitos em cada localidade. Ligado ao sistema de monitoramento das rodovias da ARTESP, permitirá que uma ação policial seja acompanhada à distância, em tempo real, por meio das imagens das câmeras das concessionárias reunidas no CCI.</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rPr>
        <w:t xml:space="preserve">Prêmio Concessionária do Ano - </w:t>
      </w:r>
      <w:r>
        <w:t>Para estimular melhorias constantes nos serviços prestados pelas concessionárias das rodovias concedidas, a ARTESP criou o Prêmio "A concessionária do ano", com a finalidade de premiar aquelas que obtiverem o melhor desempenho nas categorias: Relacionamento com a Sociedade, Segurança Rodoviária, Qualidade dos Serviços, Melhorias nas Rodovias. O prêmio principal será entregue para a concessionária que obtiver a maior pontuação no somatório das categorias setoriais. As 19 concessionárias</w:t>
      </w:r>
      <w:r>
        <w:rPr>
          <w:color w:val="000000"/>
        </w:rPr>
        <w:t xml:space="preserve"> participarão do prêmio que acompanha 20 indicadores, dentre eles: os números de mortos e feridos em acidentes, tempo de atendimento médico e mecânico, qualidade do asfalto, execução de campanhas de segurança.</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pPr>
      <w:r>
        <w:rPr>
          <w:b/>
          <w:color w:val="000000"/>
        </w:rPr>
        <w:t xml:space="preserve">Aplicativo “Eu-Vi” - </w:t>
      </w:r>
      <w:r>
        <w:t>Com intuito de manter a qualidade das rodovias paulistas, a ARTESP lança o aplicativo “eu-vi”, permitindo aos usuários das rodovias comunicar problemas ou sugerir melhorias.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xml:space="preserve">É possível enviar fotos ou vídeos de problemas na conservação do pavimento, da sinalização, da iluminação, de pontos de ônibus, presença de </w:t>
      </w:r>
      <w:r w:rsidR="003023A3">
        <w:rPr>
          <w:color w:val="000000"/>
        </w:rPr>
        <w:t>animais na pista, entre outros.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Após o envio da manifestação pelo usuário, a concessionária deve verificar e solucionar o problema, respeitando os prazos estabelecidos em contrato e fiscalizados pela ARTESP. Esta será mais uma forma da ARTESP fiscalizar, em tempo real, as condições das rodovias paulistas. O aplicativo está disponível para os sistemas IOS E Android.</w:t>
      </w:r>
    </w:p>
    <w:p w:rsidR="003E6588" w:rsidRDefault="003E6588">
      <w:pPr>
        <w:ind w:firstLine="1134"/>
        <w:jc w:val="both"/>
        <w:rPr>
          <w:bCs/>
        </w:rPr>
      </w:pPr>
    </w:p>
    <w:p w:rsidR="003E6588" w:rsidRDefault="003E6588">
      <w:pPr>
        <w:ind w:firstLine="1134"/>
        <w:jc w:val="both"/>
        <w:rPr>
          <w:color w:val="000000"/>
        </w:rPr>
      </w:pPr>
      <w:r>
        <w:rPr>
          <w:b/>
          <w:bCs/>
        </w:rPr>
        <w:t xml:space="preserve">Relacionamento com a imprensa - </w:t>
      </w:r>
      <w:r>
        <w:rPr>
          <w:color w:val="000000"/>
        </w:rPr>
        <w:t>Foram veiculadas 4.610 matérias em jornais, sites, rádios e programas de televisão sobre as ações da ARTESP, o Programa de Concessões Rodoviárias e o transporte intermunicipal de passageiros. Estas notícias tiveram como origem o trabalho desenvolvido pela Assessoria de Imprensa da Agência.</w:t>
      </w:r>
    </w:p>
    <w:p w:rsidR="003E6588" w:rsidRDefault="003E6588">
      <w:pPr>
        <w:ind w:firstLine="1134"/>
        <w:jc w:val="both"/>
        <w:rPr>
          <w:color w:val="000000"/>
        </w:rPr>
      </w:pPr>
    </w:p>
    <w:p w:rsidR="003E6588" w:rsidRDefault="003E6588">
      <w:pPr>
        <w:autoSpaceDE w:val="0"/>
        <w:autoSpaceDN w:val="0"/>
        <w:adjustRightInd w:val="0"/>
        <w:ind w:firstLine="1134"/>
        <w:jc w:val="both"/>
        <w:rPr>
          <w:color w:val="000000"/>
        </w:rPr>
      </w:pPr>
      <w:r>
        <w:rPr>
          <w:color w:val="000000"/>
        </w:rPr>
        <w:t>Foram produzidos e distribuídos 107 releases, escritas 52 cartas como respostas a matérias, 55 notas e concedidas 91 entrevistas.</w:t>
      </w:r>
    </w:p>
    <w:p w:rsidR="003E6588" w:rsidRDefault="003E6588">
      <w:pPr>
        <w:autoSpaceDE w:val="0"/>
        <w:autoSpaceDN w:val="0"/>
        <w:adjustRightInd w:val="0"/>
        <w:ind w:firstLine="1134"/>
        <w:jc w:val="both"/>
        <w:rPr>
          <w:b/>
          <w:bCs/>
          <w:color w:val="000000"/>
          <w:highlight w:val="yellow"/>
        </w:rPr>
      </w:pPr>
    </w:p>
    <w:p w:rsidR="003E6588" w:rsidRDefault="003E6588">
      <w:pPr>
        <w:autoSpaceDE w:val="0"/>
        <w:autoSpaceDN w:val="0"/>
        <w:adjustRightInd w:val="0"/>
        <w:ind w:firstLine="1134"/>
        <w:jc w:val="both"/>
      </w:pPr>
      <w:r>
        <w:rPr>
          <w:b/>
          <w:bCs/>
          <w:color w:val="000000"/>
        </w:rPr>
        <w:t xml:space="preserve">Relacionamento com </w:t>
      </w:r>
      <w:r>
        <w:rPr>
          <w:b/>
          <w:bCs/>
        </w:rPr>
        <w:t xml:space="preserve">os usuários de rodovias e transporte intermunicipal de passageiros - Ouvidoria - </w:t>
      </w:r>
      <w:r>
        <w:t>A ARTESP, por meio de sua Ouvidoria, mantém canal de relacionamento gratuito e direto com a sociedade. A Ouvidoria acolhe, trata e responde manifestações (pedidos de informação, reclamações, denúncias, sugestões e elogios) recebidas pela Agência por meio de diferentes canais.</w:t>
      </w:r>
    </w:p>
    <w:p w:rsidR="003E6588" w:rsidRDefault="003E6588">
      <w:pPr>
        <w:autoSpaceDE w:val="0"/>
        <w:autoSpaceDN w:val="0"/>
        <w:adjustRightInd w:val="0"/>
        <w:ind w:firstLine="1134"/>
        <w:jc w:val="both"/>
        <w:rPr>
          <w:color w:val="000000"/>
        </w:rPr>
      </w:pPr>
    </w:p>
    <w:p w:rsidR="003E6588" w:rsidRDefault="003E6588">
      <w:pPr>
        <w:ind w:firstLine="1134"/>
        <w:jc w:val="both"/>
        <w:rPr>
          <w:color w:val="000000"/>
        </w:rPr>
      </w:pPr>
      <w:r>
        <w:rPr>
          <w:color w:val="000000"/>
        </w:rPr>
        <w:t>7.298 manifestações foram enviadas à ARTESP e tratadas pela Ouvidoria.</w:t>
      </w:r>
    </w:p>
    <w:p w:rsidR="003E6588" w:rsidRDefault="003E6588">
      <w:pPr>
        <w:ind w:firstLine="1134"/>
        <w:jc w:val="both"/>
        <w:rPr>
          <w:color w:val="000000"/>
        </w:rPr>
      </w:pPr>
    </w:p>
    <w:p w:rsidR="003E6588" w:rsidRDefault="003E6588">
      <w:pPr>
        <w:ind w:firstLine="1134"/>
        <w:jc w:val="both"/>
        <w:rPr>
          <w:color w:val="000000"/>
        </w:rPr>
      </w:pPr>
      <w:r>
        <w:rPr>
          <w:color w:val="000000"/>
        </w:rPr>
        <w:lastRenderedPageBreak/>
        <w:t>Destas, 322 foram solicitações de informações recebidas no SIC, 114 demandas da Casa Civil e 6.862 manifestações registradas por cidadãos via telefone (Central de Atendimento Telefônico - 0800 e PABX), atendimento presencial e correspondências e formulários impressos e eletrônicos.</w:t>
      </w:r>
    </w:p>
    <w:p w:rsidR="003E6588" w:rsidRPr="00300468" w:rsidRDefault="003E6588">
      <w:pPr>
        <w:pStyle w:val="Rodap"/>
        <w:tabs>
          <w:tab w:val="clear" w:pos="4419"/>
          <w:tab w:val="clear" w:pos="8838"/>
        </w:tabs>
        <w:rPr>
          <w:bCs/>
        </w:rPr>
      </w:pPr>
    </w:p>
    <w:p w:rsidR="003E6588" w:rsidRPr="00300468" w:rsidRDefault="003E6588">
      <w:pPr>
        <w:pStyle w:val="Rodap"/>
        <w:tabs>
          <w:tab w:val="clear" w:pos="4419"/>
          <w:tab w:val="clear" w:pos="8838"/>
        </w:tabs>
        <w:rPr>
          <w:bCs/>
        </w:rPr>
      </w:pPr>
    </w:p>
    <w:p w:rsidR="003E6588" w:rsidRDefault="003E6588">
      <w:pPr>
        <w:rPr>
          <w:b/>
          <w:bCs/>
        </w:rPr>
      </w:pPr>
      <w:r>
        <w:rPr>
          <w:b/>
          <w:bCs/>
        </w:rPr>
        <w:t>DEPARTAMENTO DE ESTRADAS DE RODAGEM - DER</w:t>
      </w:r>
    </w:p>
    <w:p w:rsidR="003E6588" w:rsidRPr="00300468" w:rsidRDefault="003E6588">
      <w:pPr>
        <w:rPr>
          <w:bCs/>
        </w:rPr>
      </w:pPr>
    </w:p>
    <w:p w:rsidR="003E6588" w:rsidRPr="00300468" w:rsidRDefault="003E6588">
      <w:pPr>
        <w:rPr>
          <w:bCs/>
        </w:rPr>
      </w:pPr>
    </w:p>
    <w:p w:rsidR="003E6588" w:rsidRDefault="003E6588" w:rsidP="003023A3">
      <w:pPr>
        <w:ind w:firstLine="1134"/>
        <w:jc w:val="both"/>
        <w:rPr>
          <w:b/>
        </w:rPr>
      </w:pPr>
      <w:r>
        <w:rPr>
          <w:b/>
        </w:rPr>
        <w:t>Malha Rodoviária</w:t>
      </w:r>
    </w:p>
    <w:p w:rsidR="003E6588" w:rsidRDefault="003E6588"/>
    <w:p w:rsidR="003E6588" w:rsidRDefault="00AD3B0F">
      <w:r>
        <w:rPr>
          <w:noProof/>
        </w:rPr>
        <w:drawing>
          <wp:inline distT="0" distB="0" distL="0" distR="0">
            <wp:extent cx="6181725" cy="2905125"/>
            <wp:effectExtent l="19050" t="0" r="9525" b="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cstate="print"/>
                    <a:srcRect/>
                    <a:stretch>
                      <a:fillRect/>
                    </a:stretch>
                  </pic:blipFill>
                  <pic:spPr bwMode="auto">
                    <a:xfrm>
                      <a:off x="0" y="0"/>
                      <a:ext cx="6181725" cy="2905125"/>
                    </a:xfrm>
                    <a:prstGeom prst="rect">
                      <a:avLst/>
                    </a:prstGeom>
                    <a:noFill/>
                    <a:ln w="9525">
                      <a:noFill/>
                      <a:miter lim="800000"/>
                      <a:headEnd/>
                      <a:tailEnd/>
                    </a:ln>
                  </pic:spPr>
                </pic:pic>
              </a:graphicData>
            </a:graphic>
          </wp:inline>
        </w:drawing>
      </w:r>
    </w:p>
    <w:p w:rsidR="003E6588" w:rsidRDefault="003E6588" w:rsidP="003023A3">
      <w:pPr>
        <w:jc w:val="both"/>
        <w:rPr>
          <w:sz w:val="16"/>
          <w:szCs w:val="16"/>
        </w:rPr>
      </w:pPr>
      <w:r>
        <w:rPr>
          <w:sz w:val="16"/>
          <w:szCs w:val="16"/>
        </w:rPr>
        <w:t xml:space="preserve">    Data Base: outubro/2014</w:t>
      </w:r>
    </w:p>
    <w:p w:rsidR="003E6588" w:rsidRDefault="003E6588" w:rsidP="00300468">
      <w:pPr>
        <w:jc w:val="both"/>
      </w:pPr>
    </w:p>
    <w:p w:rsidR="003E6588" w:rsidRDefault="003E6588">
      <w:pPr>
        <w:ind w:firstLine="1134"/>
        <w:jc w:val="both"/>
      </w:pPr>
      <w:r>
        <w:rPr>
          <w:b/>
        </w:rPr>
        <w:t xml:space="preserve">Investimentos em Obras Rodoviárias - </w:t>
      </w:r>
      <w:r>
        <w:t>O Departamento de Estradas de Rodagem - DER investiu: R$ 2.370,84 milhões em pavimentação/duplicação/recuperação de rodovias estaduais, totalizando 1.731,07 km; R$ 94,01 milhões na Rede Vicinal, totalizando 66,07 km; R$ 1,72 milhões com Patrulha Rodoviária, totalizando 16,54 km e R$ 3,93 milhões em Terminais Rodoviários em 26 unidades.</w:t>
      </w:r>
    </w:p>
    <w:p w:rsidR="003E6588" w:rsidRDefault="003E6588">
      <w:pPr>
        <w:ind w:firstLine="1134"/>
        <w:jc w:val="both"/>
        <w:rPr>
          <w:b/>
        </w:rPr>
      </w:pPr>
    </w:p>
    <w:p w:rsidR="003E6588" w:rsidRDefault="003E6588">
      <w:pPr>
        <w:ind w:firstLine="1134"/>
        <w:jc w:val="both"/>
      </w:pPr>
      <w:r>
        <w:rPr>
          <w:b/>
        </w:rPr>
        <w:t xml:space="preserve">Implantações/duplicações, contornos, pavimentação e recuperação de rodovias estaduais - </w:t>
      </w:r>
      <w:r>
        <w:t>De acordo com as novas diretrizes de Governo, foi priorizada a recuperação da malha rodoviária estadual e a ampliação de sua capacidade, de forma a proporcionar o deslocamento com segurança, conforto e fluidez, de pessoas e bens aos núcleos urbanos e o escoamento da produção do Estado e de outros Estados, que dependem da malha rodoviária paulista. Foram realizadas cerca de 66 licitações para elaboração de projeto executivo e execução de obras em rodov</w:t>
      </w:r>
      <w:r w:rsidR="003023A3">
        <w:t>ias estaduais.</w:t>
      </w:r>
    </w:p>
    <w:p w:rsidR="00300468" w:rsidRDefault="00300468">
      <w:pPr>
        <w:ind w:firstLine="1134"/>
        <w:jc w:val="both"/>
        <w:rPr>
          <w:b/>
        </w:rPr>
      </w:pPr>
    </w:p>
    <w:p w:rsidR="00865721" w:rsidRDefault="00865721">
      <w:pPr>
        <w:ind w:firstLine="1134"/>
        <w:jc w:val="both"/>
        <w:rPr>
          <w:b/>
        </w:rPr>
      </w:pPr>
    </w:p>
    <w:p w:rsidR="003E6588" w:rsidRDefault="003E6588">
      <w:pPr>
        <w:ind w:firstLine="1134"/>
        <w:jc w:val="both"/>
        <w:rPr>
          <w:b/>
        </w:rPr>
      </w:pPr>
      <w:r>
        <w:rPr>
          <w:b/>
        </w:rPr>
        <w:t>Rede Vicinal</w:t>
      </w:r>
    </w:p>
    <w:p w:rsidR="003E6588" w:rsidRDefault="003E6588">
      <w:pPr>
        <w:ind w:firstLine="1134"/>
        <w:jc w:val="both"/>
        <w:rPr>
          <w:b/>
        </w:rPr>
      </w:pPr>
    </w:p>
    <w:p w:rsidR="003E6588" w:rsidRDefault="003E6588">
      <w:pPr>
        <w:ind w:firstLine="1134"/>
        <w:jc w:val="both"/>
        <w:rPr>
          <w:b/>
        </w:rPr>
      </w:pPr>
      <w:r>
        <w:rPr>
          <w:b/>
        </w:rPr>
        <w:t xml:space="preserve">Programa de Recuperação/Pavimentação de Vicinais - </w:t>
      </w:r>
      <w:r>
        <w:t>O Programa busca atender grande demanda por transporte existente no Interior do Estado, de forma a garantir condições adequadas para a interligação com a malha rodoviária estadual e federal. Busca beneficiar a vida de milhões de pessoas que circundam ou circulam pelo Estado, melhorando a acessibilidade dos núcleos urbanos aos serviços de saúde, educação e lazer, aumentando a segurança no transporte de pessoas e cargas e reduzindo os acidentes e tempo de viagem.</w:t>
      </w:r>
    </w:p>
    <w:p w:rsidR="003E6588" w:rsidRDefault="003E6588">
      <w:pPr>
        <w:ind w:firstLine="1134"/>
        <w:jc w:val="both"/>
      </w:pPr>
    </w:p>
    <w:p w:rsidR="003E6588" w:rsidRDefault="003E6588">
      <w:pPr>
        <w:ind w:firstLine="1134"/>
        <w:jc w:val="both"/>
        <w:rPr>
          <w:strike/>
        </w:rPr>
      </w:pPr>
      <w:r>
        <w:t>Foram concluídos 66,07 km de obras.</w:t>
      </w:r>
    </w:p>
    <w:p w:rsidR="003E6588" w:rsidRDefault="003E6588">
      <w:pPr>
        <w:ind w:firstLine="1134"/>
        <w:jc w:val="both"/>
        <w:rPr>
          <w:b/>
        </w:rPr>
      </w:pPr>
    </w:p>
    <w:p w:rsidR="003E6588" w:rsidRDefault="003E6588">
      <w:pPr>
        <w:ind w:firstLine="1134"/>
        <w:jc w:val="both"/>
      </w:pPr>
      <w:r>
        <w:rPr>
          <w:b/>
        </w:rPr>
        <w:t xml:space="preserve">Patrulha Rodoviária - </w:t>
      </w:r>
      <w:r>
        <w:t>Execução de obras de pavimentação, recuperação, regularização e tapa buraco em rodovias estaduais e estradas municipais, com utilização de pessoal e equipamentos do DER.</w:t>
      </w:r>
    </w:p>
    <w:p w:rsidR="003E6588" w:rsidRDefault="003E6588">
      <w:pPr>
        <w:ind w:firstLine="1134"/>
        <w:jc w:val="both"/>
      </w:pPr>
    </w:p>
    <w:p w:rsidR="003E6588" w:rsidRDefault="003E6588">
      <w:pPr>
        <w:ind w:firstLine="1134"/>
        <w:jc w:val="both"/>
      </w:pPr>
      <w:r>
        <w:t>O DER executou 17,42 km de obras em estradas vicinais.</w:t>
      </w:r>
    </w:p>
    <w:p w:rsidR="003E6588" w:rsidRDefault="003E6588">
      <w:pPr>
        <w:ind w:firstLine="1134"/>
        <w:jc w:val="both"/>
      </w:pPr>
    </w:p>
    <w:p w:rsidR="003E6588" w:rsidRDefault="003E6588">
      <w:pPr>
        <w:ind w:firstLine="1134"/>
        <w:jc w:val="both"/>
      </w:pPr>
      <w:r>
        <w:rPr>
          <w:b/>
        </w:rPr>
        <w:t xml:space="preserve">Parcerias com os Municípios - </w:t>
      </w:r>
      <w:r>
        <w:t>Em andamento 264 convênios, totalizando 189 municípios e 10 milhões de pessoas beneficiadas por meio de programas como Pró-Vicinais, Parcerias, Pavimentação e Recuperação de Vicinais, Reforma/Construção de Terminal Rodoviários.</w:t>
      </w:r>
    </w:p>
    <w:p w:rsidR="003E6588" w:rsidRDefault="003E6588">
      <w:pPr>
        <w:ind w:firstLine="1134"/>
        <w:jc w:val="both"/>
      </w:pPr>
    </w:p>
    <w:p w:rsidR="003E6588" w:rsidRDefault="003E6588">
      <w:pPr>
        <w:ind w:firstLine="1134"/>
        <w:jc w:val="both"/>
      </w:pPr>
      <w:r>
        <w:rPr>
          <w:b/>
        </w:rPr>
        <w:t xml:space="preserve">Conservação Rodoviária - </w:t>
      </w:r>
      <w:r>
        <w:t>Além de construir e operar as rodovias sob sua jurisdição, o DER vem progressivamente ampliando recursos e melhorando em tecnologia e qualidade os serviços prestados na conservação rodoviária, de forma a assegurar a fluidez do tráfego, a manutenção do patrimônio público e a segurança de seus usuários.</w:t>
      </w:r>
    </w:p>
    <w:p w:rsidR="003E6588" w:rsidRDefault="003E6588">
      <w:pPr>
        <w:ind w:firstLine="1134"/>
        <w:jc w:val="both"/>
      </w:pPr>
    </w:p>
    <w:p w:rsidR="003E6588" w:rsidRDefault="003E6588">
      <w:pPr>
        <w:ind w:firstLine="1134"/>
        <w:jc w:val="both"/>
      </w:pPr>
      <w:r>
        <w:t>Foram investidos R$ 55,62 milhões em serviços de conservação da sinalização vertical e horizontal e R$ 199 milhões em serviços de conservação rodoviária de rotina, perfazendo R$ 254,62 milhões.</w:t>
      </w:r>
    </w:p>
    <w:p w:rsidR="003E6588" w:rsidRDefault="003E6588">
      <w:pPr>
        <w:ind w:firstLine="1134"/>
        <w:jc w:val="both"/>
      </w:pPr>
    </w:p>
    <w:p w:rsidR="003E6588" w:rsidRDefault="003E6588">
      <w:pPr>
        <w:ind w:firstLine="1134"/>
        <w:jc w:val="both"/>
      </w:pPr>
      <w:r>
        <w:rPr>
          <w:b/>
        </w:rPr>
        <w:t xml:space="preserve">Terminais Rodoviários - </w:t>
      </w:r>
      <w:r>
        <w:t>Foram concluídas as reformas/construção de 26 terminais, nos Municípios de Bastos, Bertioga, Buritizal, Coroados, Fernandópolis, Iaras, Lagoinha, Lourdes, Macaubal, Mirandópolis, Monções, Nova Luzitânia, Ocauçu, Paulistânia, Pedrinhas Paulista, Pompéia, Presidente Prudente, Ribeirão do Sul, Ribeirão Grande, Santa Rita d'Oeste, Santo Antônio de Posse, Suzanápolis, Taquarivaí, Tejupá, Valparaíso, Vista Alegre do Alto.</w:t>
      </w:r>
    </w:p>
    <w:p w:rsidR="003E6588" w:rsidRDefault="003E6588">
      <w:pPr>
        <w:ind w:firstLine="1134"/>
        <w:jc w:val="both"/>
      </w:pPr>
    </w:p>
    <w:p w:rsidR="003E6588" w:rsidRDefault="003E6588">
      <w:pPr>
        <w:ind w:firstLine="1134"/>
        <w:jc w:val="both"/>
        <w:rPr>
          <w:b/>
        </w:rPr>
      </w:pPr>
      <w:r>
        <w:rPr>
          <w:b/>
        </w:rPr>
        <w:t>Fiscalização</w:t>
      </w:r>
    </w:p>
    <w:p w:rsidR="003E6588" w:rsidRDefault="003E6588">
      <w:pPr>
        <w:ind w:firstLine="1134"/>
        <w:jc w:val="both"/>
        <w:rPr>
          <w:b/>
        </w:rPr>
      </w:pPr>
    </w:p>
    <w:p w:rsidR="003E6588" w:rsidRDefault="003E6588">
      <w:pPr>
        <w:ind w:firstLine="1134"/>
        <w:jc w:val="both"/>
      </w:pPr>
      <w:r>
        <w:rPr>
          <w:b/>
        </w:rPr>
        <w:t xml:space="preserve">Radares - </w:t>
      </w:r>
      <w:r>
        <w:t>O Programa Estadual de Segurança Rodoviária, que tem como meta a redução de acidentes, principalmente os que resultam em vítimas fatais, conta com 399 equipamentos fiscalizadores de velocidade, sendo 151 radares fixos, 42 fixos OCR, 7 fixo de faixa exclusiva de veículos pesados, 72 radares estáticos, 27 lombadas eletrônicas e 100 equipamentos operados pela PMRv.</w:t>
      </w:r>
    </w:p>
    <w:p w:rsidR="00300468" w:rsidRDefault="00300468">
      <w:pPr>
        <w:ind w:firstLine="1134"/>
        <w:jc w:val="both"/>
      </w:pPr>
    </w:p>
    <w:p w:rsidR="003E6588" w:rsidRDefault="003E6588">
      <w:pPr>
        <w:ind w:firstLine="1134"/>
        <w:jc w:val="both"/>
      </w:pPr>
      <w:r>
        <w:rPr>
          <w:b/>
        </w:rPr>
        <w:lastRenderedPageBreak/>
        <w:t xml:space="preserve">Operação Rodoviária - </w:t>
      </w:r>
      <w:r>
        <w:t xml:space="preserve">As atividades da Operação Rodoviária, cobrindo 15.600 km de rodovias, são desenvolvidas pelas 57 UBAs </w:t>
      </w:r>
      <w:r w:rsidR="003023A3">
        <w:t>-</w:t>
      </w:r>
      <w:r>
        <w:t xml:space="preserve"> Unidades Básicas de Atendimento, que prestam serviços gratuitos aos usuários das rodovias. São serviços de socorro mecânico, remoção de veículos em pane e acidentados ou de obstáculos nas pistas, resgate e atendimento de primeiros socorros às vítimas de acidentes, além do apoio com informações e orientações. Abrangendo 562 municípios paulistas, a prestação de serviços feitos pelas UBAs atinge 25,2 mil usuários por mês.</w:t>
      </w:r>
    </w:p>
    <w:p w:rsidR="003E6588" w:rsidRDefault="003E6588">
      <w:pPr>
        <w:ind w:firstLine="1134"/>
        <w:jc w:val="both"/>
      </w:pPr>
    </w:p>
    <w:p w:rsidR="003E6588" w:rsidRDefault="003E6588">
      <w:pPr>
        <w:ind w:firstLine="1134"/>
        <w:jc w:val="both"/>
      </w:pPr>
      <w:r>
        <w:t>A COI - Central de Operações e Informações opera o serviço de atendimento telefônico 0800, um canal de comunicação gratuito que visa dar maior comodidade e agilidade no atendimento dos usuários nas rodovias operadas pelo DER. Operando 24 horas por dia, a COI atende solicitações de socorro mecânico, presta informações sobre condições de tráfego, localização de pedágios, balanças e pontos de referência, condições climáticas, itinerários, tarifas de pedágio e monitora, em tempo real, as condições de tráfego das principais rodovias estaduais por meio de câmeras, analisadores de tráfego e medidores de temperatura. Foram atendidas 746.856 ligações através do telefone 0800 055 5510, com uma média de 2,2 mil ligações por dia.</w:t>
      </w:r>
    </w:p>
    <w:p w:rsidR="003E6588" w:rsidRDefault="003E6588">
      <w:pPr>
        <w:ind w:firstLine="1134"/>
        <w:jc w:val="both"/>
      </w:pPr>
    </w:p>
    <w:p w:rsidR="003E6588" w:rsidRDefault="003E6588">
      <w:pPr>
        <w:ind w:firstLine="1134"/>
        <w:jc w:val="both"/>
      </w:pPr>
      <w:r>
        <w:rPr>
          <w:b/>
        </w:rPr>
        <w:t xml:space="preserve">Pátios de Recolhimento - </w:t>
      </w:r>
      <w:r>
        <w:t>Com a finalidade de oferecer à Polícia Militar Rodoviária a infraestrutura necessária para a fiscalização da regularidade dos veículos, seus condutores e respectiva documentação, o DER credenciou empresas para prestação dos serviços de administração e manutenção de pátios de recolhimento de veículos.</w:t>
      </w:r>
    </w:p>
    <w:p w:rsidR="003E6588" w:rsidRDefault="003E6588">
      <w:pPr>
        <w:ind w:firstLine="1134"/>
        <w:jc w:val="both"/>
      </w:pPr>
    </w:p>
    <w:p w:rsidR="003E6588" w:rsidRDefault="003E6588">
      <w:pPr>
        <w:ind w:firstLine="1134"/>
        <w:jc w:val="both"/>
      </w:pPr>
      <w:r>
        <w:t>Há 23 pátios de recolhimento de veículos e 10 pátios auxiliares, distribuídos no Estado.</w:t>
      </w:r>
    </w:p>
    <w:p w:rsidR="003E6588" w:rsidRDefault="003E6588">
      <w:pPr>
        <w:ind w:firstLine="1134"/>
        <w:jc w:val="both"/>
      </w:pPr>
    </w:p>
    <w:p w:rsidR="003E6588" w:rsidRDefault="003E6588">
      <w:pPr>
        <w:ind w:firstLine="1134"/>
        <w:jc w:val="both"/>
        <w:rPr>
          <w:strike/>
        </w:rPr>
      </w:pPr>
      <w:r>
        <w:rPr>
          <w:b/>
        </w:rPr>
        <w:t xml:space="preserve">Campanhas Educativas - </w:t>
      </w:r>
      <w:r>
        <w:t xml:space="preserve">O Departamento de Comunicação e </w:t>
      </w:r>
      <w:r w:rsidRPr="003023A3">
        <w:rPr>
          <w:i/>
        </w:rPr>
        <w:t>Marketing</w:t>
      </w:r>
      <w:r>
        <w:t xml:space="preserve"> do DER realiza campanhas educativas, com objetivo de reduzir o número de vítimas de acidentes nas rodovias do Estado. A divulgação é feita por meio de textos informativos </w:t>
      </w:r>
      <w:r>
        <w:rPr>
          <w:i/>
        </w:rPr>
        <w:t>releases</w:t>
      </w:r>
      <w:r>
        <w:t xml:space="preserve"> que são distribuídos para a imprensa e disponibilizados nos </w:t>
      </w:r>
      <w:r>
        <w:rPr>
          <w:i/>
        </w:rPr>
        <w:t>sites</w:t>
      </w:r>
      <w:r>
        <w:t xml:space="preserve"> do DER.</w:t>
      </w:r>
    </w:p>
    <w:p w:rsidR="003E6588" w:rsidRDefault="003E6588">
      <w:pPr>
        <w:ind w:firstLine="1134"/>
        <w:jc w:val="both"/>
        <w:rPr>
          <w:strike/>
        </w:rPr>
      </w:pPr>
    </w:p>
    <w:p w:rsidR="003E6588" w:rsidRDefault="003E6588">
      <w:pPr>
        <w:ind w:firstLine="1134"/>
        <w:jc w:val="both"/>
      </w:pPr>
      <w:r>
        <w:t>Foram realizadas 4 campanhas, totalizando 565.000 materiais gráficos (folhetos e postais) distribuídos, 48 faixas educativas instaladas nas rodovias do DER e ofertados 5.005 brindes (sacolas de câmbio, mapas, adesivos 0800).</w:t>
      </w:r>
    </w:p>
    <w:p w:rsidR="003E6588" w:rsidRDefault="003E6588" w:rsidP="00300468">
      <w:pPr>
        <w:ind w:firstLine="1134"/>
        <w:jc w:val="both"/>
      </w:pPr>
    </w:p>
    <w:p w:rsidR="003E6588" w:rsidRDefault="003E6588">
      <w:pPr>
        <w:ind w:firstLine="1134"/>
        <w:jc w:val="both"/>
      </w:pPr>
      <w:r>
        <w:rPr>
          <w:b/>
        </w:rPr>
        <w:t xml:space="preserve">Segurança, Estatística e Análise de Acidentes e Vítimas - </w:t>
      </w:r>
      <w:r>
        <w:t>O DER desenvolve banco de dados estatísticos de acidentes nas rodovias estaduais, sob a jurisdição do DER.</w:t>
      </w:r>
    </w:p>
    <w:p w:rsidR="003E6588" w:rsidRDefault="003E6588">
      <w:pPr>
        <w:ind w:firstLine="1134"/>
        <w:jc w:val="both"/>
      </w:pPr>
    </w:p>
    <w:p w:rsidR="003E6588" w:rsidRDefault="003E6588">
      <w:pPr>
        <w:ind w:firstLine="1134"/>
        <w:jc w:val="both"/>
      </w:pPr>
      <w:r>
        <w:t>Um dos estudos mais importantes que o DER desenvolve é o dos Pontos Críticos de Acidentes, de fundamental importância na redução de acidentes. Foram propostas soluções dos 500 Principais Pontos Críticos de Acidentes nos 15.600 km de rodovias.</w:t>
      </w:r>
    </w:p>
    <w:p w:rsidR="003E6588" w:rsidRDefault="003E6588">
      <w:pPr>
        <w:ind w:firstLine="1134"/>
        <w:jc w:val="both"/>
      </w:pPr>
    </w:p>
    <w:p w:rsidR="00300468" w:rsidRDefault="00300468">
      <w:pPr>
        <w:ind w:firstLine="1134"/>
        <w:jc w:val="both"/>
        <w:rPr>
          <w:b/>
        </w:rPr>
      </w:pPr>
    </w:p>
    <w:p w:rsidR="00300468" w:rsidRDefault="00300468">
      <w:pPr>
        <w:ind w:firstLine="1134"/>
        <w:jc w:val="both"/>
        <w:rPr>
          <w:b/>
        </w:rPr>
      </w:pPr>
    </w:p>
    <w:p w:rsidR="003E6588" w:rsidRDefault="003E6588">
      <w:pPr>
        <w:ind w:firstLine="1134"/>
        <w:jc w:val="both"/>
      </w:pPr>
      <w:r>
        <w:rPr>
          <w:b/>
        </w:rPr>
        <w:t xml:space="preserve">Fiscalização de Peso - </w:t>
      </w:r>
      <w:r>
        <w:t>Conforme determina a Lei nº 9.503/</w:t>
      </w:r>
      <w:r w:rsidR="003023A3">
        <w:t>19</w:t>
      </w:r>
      <w:r>
        <w:t xml:space="preserve">97, é de competência dos órgãos e entidades executivos rodoviários, no âmbito de sua circunscrição, fiscalizar, autuar, aplicar as </w:t>
      </w:r>
      <w:r>
        <w:lastRenderedPageBreak/>
        <w:t>penalidades e medidas administrativas cabíveis, relativas a infração por excesso de peso, dimensões e lotação dos veículos, bem como notificar e arrecadar as multas que aplicar (art. 21 do Código de Trânsito Brasileiro).</w:t>
      </w:r>
    </w:p>
    <w:p w:rsidR="003E6588" w:rsidRDefault="003E6588">
      <w:pPr>
        <w:ind w:firstLine="1134"/>
        <w:jc w:val="both"/>
      </w:pPr>
    </w:p>
    <w:p w:rsidR="003E6588" w:rsidRDefault="003E6588">
      <w:pPr>
        <w:ind w:firstLine="1134"/>
        <w:jc w:val="both"/>
        <w:rPr>
          <w:strike/>
        </w:rPr>
      </w:pPr>
      <w:r>
        <w:t>O excesso de peso no transporte de cargas é responsável pelo maior desgaste do veículo, dos pneus, maior consumo de combustível, provoca a redução da capacidade de frenagem e danos à suspensão, compromete a dirigibilidade do veículo, interferindo no tráfego da via, podendo provocar graves acidentes, causando grandes prejuízos à conservação, ao pavimento e as obras de arte.</w:t>
      </w:r>
    </w:p>
    <w:p w:rsidR="003E6588" w:rsidRDefault="003E6588">
      <w:pPr>
        <w:ind w:firstLine="1134"/>
        <w:jc w:val="both"/>
      </w:pPr>
    </w:p>
    <w:p w:rsidR="003E6588" w:rsidRDefault="003E6588">
      <w:pPr>
        <w:ind w:firstLine="1134"/>
        <w:jc w:val="both"/>
      </w:pPr>
      <w:r>
        <w:t>O DER ampliou sua atuação nas rodovias que administra diretamente, com a implementação de novos pontos de fiscalização de peso. Concluiu 10 bases para fiscalização volante, contando com 35 equipamentos para operar em bases, ampliando a fiscalização.</w:t>
      </w:r>
    </w:p>
    <w:p w:rsidR="003E6588" w:rsidRDefault="003E6588"/>
    <w:tbl>
      <w:tblPr>
        <w:tblW w:w="6980" w:type="dxa"/>
        <w:jc w:val="center"/>
        <w:tblInd w:w="1600" w:type="dxa"/>
        <w:tblCellMar>
          <w:left w:w="70" w:type="dxa"/>
          <w:right w:w="70" w:type="dxa"/>
        </w:tblCellMar>
        <w:tblLook w:val="04A0"/>
      </w:tblPr>
      <w:tblGrid>
        <w:gridCol w:w="2694"/>
        <w:gridCol w:w="1275"/>
        <w:gridCol w:w="1615"/>
        <w:gridCol w:w="1396"/>
      </w:tblGrid>
      <w:tr w:rsidR="003E6588" w:rsidTr="00300468">
        <w:trPr>
          <w:trHeight w:val="265"/>
          <w:jc w:val="center"/>
        </w:trPr>
        <w:tc>
          <w:tcPr>
            <w:tcW w:w="2694" w:type="dxa"/>
            <w:tcBorders>
              <w:top w:val="nil"/>
              <w:left w:val="nil"/>
              <w:bottom w:val="single" w:sz="8" w:space="0" w:color="auto"/>
              <w:right w:val="single" w:sz="8" w:space="0" w:color="auto"/>
            </w:tcBorders>
            <w:shd w:val="clear" w:color="auto" w:fill="auto"/>
            <w:noWrap/>
            <w:vAlign w:val="center"/>
            <w:hideMark/>
          </w:tcPr>
          <w:p w:rsidR="003E6588" w:rsidRDefault="003E6588">
            <w:pPr>
              <w:rPr>
                <w:sz w:val="20"/>
                <w:szCs w:val="20"/>
              </w:rPr>
            </w:pPr>
          </w:p>
        </w:tc>
        <w:tc>
          <w:tcPr>
            <w:tcW w:w="12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DER</w:t>
            </w:r>
          </w:p>
        </w:tc>
        <w:tc>
          <w:tcPr>
            <w:tcW w:w="161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Concessionária</w:t>
            </w:r>
          </w:p>
        </w:tc>
        <w:tc>
          <w:tcPr>
            <w:tcW w:w="139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Total Geral</w:t>
            </w:r>
          </w:p>
        </w:tc>
      </w:tr>
      <w:tr w:rsidR="003E6588" w:rsidTr="00300468">
        <w:trPr>
          <w:trHeight w:val="265"/>
          <w:jc w:val="center"/>
        </w:trPr>
        <w:tc>
          <w:tcPr>
            <w:tcW w:w="269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Veículos Fiscalizados</w:t>
            </w:r>
          </w:p>
        </w:tc>
        <w:tc>
          <w:tcPr>
            <w:tcW w:w="12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sz w:val="20"/>
                <w:szCs w:val="20"/>
              </w:rPr>
            </w:pPr>
            <w:r>
              <w:rPr>
                <w:sz w:val="20"/>
                <w:szCs w:val="20"/>
              </w:rPr>
              <w:t>3.615.208</w:t>
            </w:r>
          </w:p>
        </w:tc>
        <w:tc>
          <w:tcPr>
            <w:tcW w:w="161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sz w:val="20"/>
                <w:szCs w:val="20"/>
              </w:rPr>
            </w:pPr>
            <w:r>
              <w:rPr>
                <w:sz w:val="20"/>
                <w:szCs w:val="20"/>
              </w:rPr>
              <w:t>7.798.082</w:t>
            </w:r>
          </w:p>
        </w:tc>
        <w:tc>
          <w:tcPr>
            <w:tcW w:w="139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sz w:val="20"/>
                <w:szCs w:val="20"/>
              </w:rPr>
            </w:pPr>
            <w:r>
              <w:rPr>
                <w:sz w:val="20"/>
                <w:szCs w:val="20"/>
              </w:rPr>
              <w:t>11.410.290</w:t>
            </w:r>
          </w:p>
        </w:tc>
      </w:tr>
      <w:tr w:rsidR="003E6588" w:rsidTr="00300468">
        <w:trPr>
          <w:trHeight w:val="265"/>
          <w:jc w:val="center"/>
        </w:trPr>
        <w:tc>
          <w:tcPr>
            <w:tcW w:w="269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Autuados</w:t>
            </w:r>
          </w:p>
        </w:tc>
        <w:tc>
          <w:tcPr>
            <w:tcW w:w="12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sz w:val="20"/>
                <w:szCs w:val="20"/>
              </w:rPr>
            </w:pPr>
            <w:r>
              <w:rPr>
                <w:sz w:val="20"/>
                <w:szCs w:val="20"/>
              </w:rPr>
              <w:t>171.833</w:t>
            </w:r>
          </w:p>
        </w:tc>
        <w:tc>
          <w:tcPr>
            <w:tcW w:w="161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sz w:val="20"/>
                <w:szCs w:val="20"/>
              </w:rPr>
            </w:pPr>
            <w:r>
              <w:rPr>
                <w:sz w:val="20"/>
                <w:szCs w:val="20"/>
              </w:rPr>
              <w:t>193.728</w:t>
            </w:r>
          </w:p>
        </w:tc>
        <w:tc>
          <w:tcPr>
            <w:tcW w:w="139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3E6588" w:rsidRDefault="003E6588">
            <w:pPr>
              <w:rPr>
                <w:sz w:val="20"/>
                <w:szCs w:val="20"/>
              </w:rPr>
            </w:pPr>
            <w:r>
              <w:rPr>
                <w:sz w:val="20"/>
                <w:szCs w:val="20"/>
              </w:rPr>
              <w:t>365.561</w:t>
            </w:r>
          </w:p>
        </w:tc>
      </w:tr>
    </w:tbl>
    <w:p w:rsidR="003E6588" w:rsidRDefault="003E6588">
      <w:pPr>
        <w:rPr>
          <w:b/>
        </w:rPr>
      </w:pPr>
    </w:p>
    <w:p w:rsidR="003E6588" w:rsidRDefault="003E6588">
      <w:pPr>
        <w:ind w:firstLine="1134"/>
        <w:jc w:val="both"/>
      </w:pPr>
      <w:r>
        <w:rPr>
          <w:b/>
        </w:rPr>
        <w:t xml:space="preserve">Monitoramento Rodoviário - </w:t>
      </w:r>
      <w:r>
        <w:t xml:space="preserve">Com a instalação de novos contadores, radares e câmeras em pontos de maior demanda de tráfego, o DER tem viabilizado melhores condições de tráfego aos usuários das rodovias. São disponibilizados ao público, por meio do acesso ao </w:t>
      </w:r>
      <w:r>
        <w:rPr>
          <w:i/>
        </w:rPr>
        <w:t>site</w:t>
      </w:r>
      <w:r>
        <w:t xml:space="preserve"> www.der.sp.gov.br, recursos para que os usuários recebam informações atualizadas sobre as condições das rodovias e possa programar e planejar melhor a viagem. Dentre estes recursos estão Câmeras </w:t>
      </w:r>
      <w:r>
        <w:rPr>
          <w:i/>
        </w:rPr>
        <w:t>on line</w:t>
      </w:r>
      <w:r>
        <w:t>, Webrotas (sistema que determina qual a melhor alternativa de rota para um parâmetro informado), Condições das Rodovias (que informa condições de tráfego, restrições e interdições) e Localização de Radares.</w:t>
      </w:r>
    </w:p>
    <w:p w:rsidR="003E6588" w:rsidRDefault="003E6588" w:rsidP="00300468">
      <w:pPr>
        <w:ind w:firstLine="1134"/>
        <w:jc w:val="both"/>
      </w:pPr>
    </w:p>
    <w:p w:rsidR="003E6588" w:rsidRDefault="003E6588">
      <w:pPr>
        <w:ind w:firstLine="1134"/>
        <w:jc w:val="both"/>
      </w:pPr>
      <w:r>
        <w:t xml:space="preserve">Foram realizados, mais de 2,1 milhões de acessos aos itens relacionados, dos quais 1,9 milhões ao sistema de Câmeras </w:t>
      </w:r>
      <w:r>
        <w:rPr>
          <w:i/>
        </w:rPr>
        <w:t>on line</w:t>
      </w:r>
      <w:r>
        <w:t>.</w:t>
      </w:r>
    </w:p>
    <w:p w:rsidR="003E6588" w:rsidRDefault="003E6588" w:rsidP="00300468">
      <w:pPr>
        <w:ind w:firstLine="1080"/>
        <w:jc w:val="both"/>
        <w:rPr>
          <w:b/>
        </w:rPr>
      </w:pPr>
    </w:p>
    <w:p w:rsidR="003E6588" w:rsidRDefault="003E6588">
      <w:pPr>
        <w:ind w:firstLine="1134"/>
        <w:jc w:val="both"/>
      </w:pPr>
      <w:r>
        <w:rPr>
          <w:b/>
        </w:rPr>
        <w:t xml:space="preserve">Atendimento Público Centralizado - APC - </w:t>
      </w:r>
      <w:r>
        <w:t>Foram atendidos 76.839 usuários.</w:t>
      </w:r>
    </w:p>
    <w:p w:rsidR="003E6588" w:rsidRDefault="003E6588" w:rsidP="00300468">
      <w:pPr>
        <w:ind w:firstLine="1134"/>
        <w:jc w:val="both"/>
        <w:rPr>
          <w:b/>
        </w:rPr>
      </w:pPr>
    </w:p>
    <w:p w:rsidR="003E6588" w:rsidRDefault="003E6588">
      <w:pPr>
        <w:ind w:firstLine="1134"/>
        <w:jc w:val="both"/>
      </w:pPr>
      <w:r>
        <w:rPr>
          <w:b/>
          <w:i/>
        </w:rPr>
        <w:t>Site</w:t>
      </w:r>
      <w:r>
        <w:rPr>
          <w:b/>
        </w:rPr>
        <w:t xml:space="preserve"> do DER - </w:t>
      </w:r>
      <w:hyperlink r:id="rId64" w:history="1">
        <w:r w:rsidRPr="003023A3">
          <w:rPr>
            <w:rStyle w:val="Hyperlink"/>
            <w:b/>
            <w:color w:val="auto"/>
            <w:u w:val="none"/>
          </w:rPr>
          <w:t>www.der.sp.gov.br</w:t>
        </w:r>
      </w:hyperlink>
      <w:r>
        <w:rPr>
          <w:b/>
        </w:rPr>
        <w:t xml:space="preserve"> - </w:t>
      </w:r>
      <w:r>
        <w:t xml:space="preserve">O </w:t>
      </w:r>
      <w:r>
        <w:rPr>
          <w:i/>
        </w:rPr>
        <w:t xml:space="preserve">site </w:t>
      </w:r>
      <w:r>
        <w:t>disponibiliza serviços de retenção e repasse do ISSQN, faixa de domínio, leilões de veículos apreendidos, multas, pagamentos a fornecedores, solicitação de Autorização Especial de Trânsito, Mapas Rodoviários e a roteirização (WebRotas).</w:t>
      </w:r>
    </w:p>
    <w:p w:rsidR="003E6588" w:rsidRDefault="003E6588" w:rsidP="00300468">
      <w:pPr>
        <w:ind w:firstLine="1134"/>
        <w:jc w:val="both"/>
      </w:pPr>
    </w:p>
    <w:p w:rsidR="003E6588" w:rsidRDefault="003E6588">
      <w:pPr>
        <w:ind w:firstLine="1134"/>
        <w:jc w:val="both"/>
      </w:pPr>
      <w:r>
        <w:t>Disponibiliza informações institucionais de utilidade pública, com destaque para o histórico do Departamento, programas de obras em andamento, pedágios, restrições de tráfego, disponibilização de manuais técnicos e normas.</w:t>
      </w:r>
    </w:p>
    <w:p w:rsidR="003E6588" w:rsidRDefault="003E6588">
      <w:pPr>
        <w:ind w:firstLine="1134"/>
        <w:jc w:val="both"/>
      </w:pPr>
    </w:p>
    <w:p w:rsidR="003E6588" w:rsidRDefault="003E6588">
      <w:pPr>
        <w:ind w:firstLine="1134"/>
        <w:jc w:val="both"/>
      </w:pPr>
      <w:r>
        <w:t xml:space="preserve">Foram contabilizados 5 milhões de acessos ao </w:t>
      </w:r>
      <w:r>
        <w:rPr>
          <w:i/>
        </w:rPr>
        <w:t>site</w:t>
      </w:r>
      <w:r>
        <w:t>.</w:t>
      </w:r>
    </w:p>
    <w:p w:rsidR="003E6588" w:rsidRDefault="003E6588">
      <w:pPr>
        <w:ind w:firstLine="1134"/>
        <w:jc w:val="both"/>
      </w:pPr>
    </w:p>
    <w:p w:rsidR="00865721" w:rsidRDefault="00865721">
      <w:pPr>
        <w:ind w:firstLine="1134"/>
        <w:jc w:val="both"/>
      </w:pPr>
    </w:p>
    <w:p w:rsidR="003E6588" w:rsidRDefault="003E6588" w:rsidP="003023A3">
      <w:pPr>
        <w:rPr>
          <w:rFonts w:eastAsia="Arial Unicode MS"/>
          <w:b/>
        </w:rPr>
      </w:pPr>
      <w:r>
        <w:rPr>
          <w:rFonts w:eastAsia="Arial Unicode MS"/>
          <w:b/>
        </w:rPr>
        <w:t>DERSA - DESENVOLVIMENTO RODOVIÁRIO S/A</w:t>
      </w:r>
    </w:p>
    <w:p w:rsidR="003E6588" w:rsidRDefault="003E6588" w:rsidP="00300468">
      <w:pPr>
        <w:ind w:firstLine="142"/>
        <w:jc w:val="both"/>
        <w:rPr>
          <w:rFonts w:eastAsia="Arial Unicode MS"/>
          <w:b/>
        </w:rPr>
      </w:pPr>
    </w:p>
    <w:p w:rsidR="003E6588" w:rsidRDefault="003E6588" w:rsidP="00300468">
      <w:pPr>
        <w:ind w:firstLine="142"/>
        <w:jc w:val="both"/>
        <w:rPr>
          <w:rFonts w:eastAsia="Arial Unicode MS"/>
          <w:b/>
        </w:rPr>
      </w:pPr>
    </w:p>
    <w:p w:rsidR="003E6588" w:rsidRDefault="003E6588" w:rsidP="003023A3">
      <w:pPr>
        <w:ind w:firstLine="1134"/>
        <w:jc w:val="both"/>
        <w:rPr>
          <w:b/>
        </w:rPr>
      </w:pPr>
      <w:r>
        <w:rPr>
          <w:b/>
        </w:rPr>
        <w:t>SP-021 Rodoanel Mário Covas - Trecho Norte</w:t>
      </w:r>
    </w:p>
    <w:p w:rsidR="003E6588" w:rsidRDefault="003E6588" w:rsidP="00300468">
      <w:pPr>
        <w:jc w:val="both"/>
        <w:rPr>
          <w:b/>
        </w:rPr>
      </w:pPr>
    </w:p>
    <w:p w:rsidR="003E6588" w:rsidRDefault="003E6588">
      <w:pPr>
        <w:ind w:firstLine="1134"/>
        <w:jc w:val="both"/>
      </w:pPr>
      <w:r>
        <w:rPr>
          <w:b/>
        </w:rPr>
        <w:t>Em andamento</w:t>
      </w:r>
      <w:r>
        <w:t xml:space="preserve"> -</w:t>
      </w:r>
      <w:r>
        <w:rPr>
          <w:b/>
        </w:rPr>
        <w:t xml:space="preserve"> </w:t>
      </w:r>
      <w:r>
        <w:t xml:space="preserve">Consultoria nas áreas de geologia e geotecnia; apoio tecnológico na análise de desenhos e documentos do detalhamento executivo do projeto de engenharia e nas soluções para o atendimento às exigências da CETESB, para a obtenção da Licença de Instalação </w:t>
      </w:r>
      <w:r w:rsidR="003023A3">
        <w:t xml:space="preserve">- </w:t>
      </w:r>
      <w:r>
        <w:t xml:space="preserve">LI; </w:t>
      </w:r>
      <w:r>
        <w:rPr>
          <w:rFonts w:eastAsia="Arial Unicode MS"/>
        </w:rPr>
        <w:t xml:space="preserve">Consultoria especializada para Apoio à coordenação das Ações Ambientais; </w:t>
      </w:r>
      <w:r>
        <w:t xml:space="preserve">Consultoria para o desenvolvimento do detalhamento executivo do projeto de engenharia e apoio e </w:t>
      </w:r>
      <w:r w:rsidR="00566F68">
        <w:t>acompanhamento técnico das obr</w:t>
      </w:r>
      <w:r w:rsidR="003023A3">
        <w:t xml:space="preserve">as </w:t>
      </w:r>
      <w:r w:rsidR="00566F68">
        <w:t>(</w:t>
      </w:r>
      <w:r>
        <w:t>ATO</w:t>
      </w:r>
      <w:r w:rsidR="00566F68">
        <w:t>)</w:t>
      </w:r>
      <w:r>
        <w:t xml:space="preserve">, Lotes 1 ao 6; Consultoria especializada para: Apoio à coordenação das Ações Sociais - Lotes 1 e 2; Apoio à coordenação das Ações Ambientais; Apoio à coordenação da Execução do Empreendimento (engenharia); Apoio à UCP - Unidade de Coordenação do Projeto, no Gerenciamento Geral; Serviços de engenharia consultiva para cadastramento e apoio técnico nos procedimentos de desapropriação dos imóveis englobados pela faixa de domínio; Serviços técnicos especializados de engenharia de Avaliações e Perícias para elaboração de laudos individuais de avaliação dos imóveis que serão desapropriados; Aquisição de áreas para construção de conjunto habitacionais; Serviços técnicos especializados para execução do programa de resgate e afugentamento prévio da fauna silvestre e programas de monitoramento da fauna; Execução do programa de supervisão e monitoramento ambiental - subprograma de qualidade de água; Assessoria especializada para orientação e auxílio na execução dos programas de gerenciamento de plantios compensatórios, de conservação, monitoramento e resgate da flora e monitoramento florestal em áreas adjacentes e nas áreas de influência direta e indireta; Assessoria para orientação e auxílio na execução dos programas de gerenciamento de plantios compensatórios, de conservação, monitoramento e resgate da flora e monitoramento florestal em áreas adjacentes e nas áreas de influência direta e indireta; Serviços técnicos especializados para continuidade dos procedimentos relativos ao gerenciamento de áreas contaminadas localizadas ao longo da faixa de domínio; Projeto de monitoramento da tendência demográfica na área de influência direta e indireta; Projeto de monitoramento da dinâmica de uso e ocupação do solo, na área de influência direta e indireta; Serviços de publicidade legal dos atos de interesse da DERSA, pelo sistema </w:t>
      </w:r>
      <w:r>
        <w:rPr>
          <w:i/>
        </w:rPr>
        <w:t>on line</w:t>
      </w:r>
      <w:r>
        <w:t>, nos respectivos cadernos do Diário Oficial do Estado; Obras e serviços de construção do trecho Norte do Rodoanel, compreendendo os Lotes 1 ao 6; Aquisição de 4 válvulas, sendo 2 de 600 mm e 2 de 900 mm, para o remanejamento de rede adutora da SABESP - Lote 1; Serviços técnicos especializados de engenharia para apoio à fiscalização, supervisão e acompanhamento das obras, compreendendo os Lotes 1 ao 6; Serviços técnicos especializados de supervisão, monitoramento e acompanhamento ambiental das obras, compreendendo os Lotes 1 ao 6; Serviços de avaliação das atuais condições estruturais de unidades habitacionais, virtualmente sujeitas a influências das obras de construção; Alteamento das torres das linhas de transmissão elétrica de 345 kv de Furnas no lote 4. Investimento: R$ 1.580,6 milhões.</w:t>
      </w:r>
    </w:p>
    <w:p w:rsidR="003E6588" w:rsidRDefault="003E6588">
      <w:pPr>
        <w:ind w:firstLine="1134"/>
        <w:jc w:val="both"/>
        <w:rPr>
          <w:b/>
        </w:rPr>
      </w:pPr>
    </w:p>
    <w:p w:rsidR="003E6588" w:rsidRDefault="003E6588">
      <w:pPr>
        <w:ind w:firstLine="1134"/>
        <w:jc w:val="both"/>
      </w:pPr>
      <w:r>
        <w:t>Trecho Sul</w:t>
      </w:r>
      <w:r>
        <w:rPr>
          <w:i/>
        </w:rPr>
        <w:t xml:space="preserve"> - </w:t>
      </w:r>
      <w:r>
        <w:t>Obras (responsabilidades que não foram transferidas à Concessionária SPMar).</w:t>
      </w:r>
    </w:p>
    <w:p w:rsidR="003E6588" w:rsidRDefault="003E6588">
      <w:pPr>
        <w:ind w:firstLine="1134"/>
        <w:jc w:val="both"/>
      </w:pPr>
    </w:p>
    <w:p w:rsidR="003E6588" w:rsidRDefault="003E6588">
      <w:pPr>
        <w:ind w:firstLine="1134"/>
        <w:jc w:val="both"/>
      </w:pPr>
      <w:r>
        <w:rPr>
          <w:b/>
        </w:rPr>
        <w:t xml:space="preserve">Concluído </w:t>
      </w:r>
      <w:r>
        <w:t>-</w:t>
      </w:r>
      <w:r>
        <w:rPr>
          <w:b/>
        </w:rPr>
        <w:t xml:space="preserve"> </w:t>
      </w:r>
      <w:r>
        <w:t xml:space="preserve">Serviços técnicos especializados de supervisão ambiental dos programas ambientais da operação e das obras complementares; Implantação de viveiros e de projeto executivo de plantio e manutenção nas áreas selecionadas e indicadas pela DERSA, fornecimento e plantio de mudas </w:t>
      </w:r>
      <w:r>
        <w:lastRenderedPageBreak/>
        <w:t>de essenciais florestais nativas do bioma da mata atlântica e implantação de cercas - Lote I, Lote II e Lote III; Reforma de edificações existentes nas dependências dos Parques Itaim, Jaceguava, Varginha, Riacho Grande e Lineares 1 a 5 e construção de sede administrativa no Parque Bororé - Fase II; Demolição de edificações remanescentes situadas nas dependências dos Parques Bororé, Varginha, Itaim, Jaceguava, Lineares 1 a 5 e Riacho Grande, compreendendo Lote 1; Coleta de dados para pesquisa socioeconômica, relativo à contagem de edificações em 150 setores censitários localizados no entorno do Trecho Sul do Rodoanel; Execução do programa de monitoramento de fauna no trecho Sul e na Av. Jacu Pêssego Sul; Construção de faixa adicional no canteiro central da BR-116 Rodovia Régis Bittencourt, no prolongamento do "ramo 700" do Rodoanel, para acesso à pista sul sentido Curitiba.</w:t>
      </w:r>
    </w:p>
    <w:p w:rsidR="003E6588" w:rsidRDefault="003E6588">
      <w:pPr>
        <w:ind w:firstLine="1134"/>
        <w:jc w:val="both"/>
        <w:rPr>
          <w:b/>
        </w:rPr>
      </w:pPr>
    </w:p>
    <w:p w:rsidR="003E6588" w:rsidRDefault="003E6588">
      <w:pPr>
        <w:ind w:firstLine="1134"/>
        <w:jc w:val="both"/>
      </w:pPr>
      <w:r>
        <w:rPr>
          <w:b/>
        </w:rPr>
        <w:t>Em andamento</w:t>
      </w:r>
      <w:r>
        <w:t xml:space="preserve"> - Reassentamento: aquisição de terrenos passíveis de regularização para construção de Unidades Habitacionais </w:t>
      </w:r>
      <w:r w:rsidR="003023A3">
        <w:t xml:space="preserve">- </w:t>
      </w:r>
      <w:r>
        <w:t xml:space="preserve">UH que serão entregues às famílias; reassentamento de 247 famílias que estão em aluguel aguardando o recebimento da UH; Desapropriação: acordos e/ou ações judiciais e regularização fundiária; Demolição de edificações remanescentes situadas nas dependências dos Parques Bororé, Varginha, Itaim, Jaceguava, Lineares 1 a 5 e Riacho Grande, compreendendo Lote 2; Vigilância patrimonial motorizada (veículo e moto) em áreas desapropriadas dos parques e unidades de conservação do Trecho Sul e do prolongamento da Av. Jacu Pêssego Sul; Implantação de sinalização náutica das pontes sobre os reservatórios Billings e Guarapiranga; </w:t>
      </w:r>
      <w:r>
        <w:rPr>
          <w:rFonts w:eastAsia="Arial Unicode MS"/>
        </w:rPr>
        <w:t>Implantação do cercamento dos parques e unidades de conservação - Fase III</w:t>
      </w:r>
      <w:r>
        <w:t>. Investimento: R$ 39,4 milhões.</w:t>
      </w:r>
    </w:p>
    <w:p w:rsidR="003E6588" w:rsidRDefault="003E6588">
      <w:pPr>
        <w:ind w:firstLine="1134"/>
        <w:jc w:val="both"/>
        <w:rPr>
          <w:b/>
        </w:rPr>
      </w:pPr>
    </w:p>
    <w:p w:rsidR="003E6588" w:rsidRDefault="003E6588">
      <w:pPr>
        <w:ind w:firstLine="1134"/>
        <w:jc w:val="both"/>
        <w:rPr>
          <w:b/>
        </w:rPr>
      </w:pPr>
      <w:r>
        <w:rPr>
          <w:b/>
        </w:rPr>
        <w:t>Trecho Oeste</w:t>
      </w:r>
    </w:p>
    <w:p w:rsidR="003E6588" w:rsidRDefault="003E6588">
      <w:pPr>
        <w:ind w:firstLine="1134"/>
        <w:jc w:val="both"/>
        <w:rPr>
          <w:b/>
        </w:rPr>
      </w:pPr>
    </w:p>
    <w:p w:rsidR="003E6588" w:rsidRDefault="003E6588">
      <w:pPr>
        <w:ind w:firstLine="1134"/>
        <w:jc w:val="both"/>
      </w:pPr>
      <w:r>
        <w:rPr>
          <w:b/>
          <w:bCs/>
        </w:rPr>
        <w:t>Em andamento</w:t>
      </w:r>
      <w:r>
        <w:rPr>
          <w:bCs/>
        </w:rPr>
        <w:t xml:space="preserve"> -</w:t>
      </w:r>
      <w:r>
        <w:rPr>
          <w:b/>
          <w:bCs/>
        </w:rPr>
        <w:t xml:space="preserve"> </w:t>
      </w:r>
      <w:r>
        <w:t>Processos judiciais em ações de desapropriações e de indenizações; Verificação das condições estruturais por meio de inspeções técnicas individuais em unidades residenciais do conjunto habitacional: Rodoanel Carapicuíba; Regularização fundiária e urbanística e lavratura dos imóveis de reassentamento dos três empreendimentos: Osasco, Carapicuíba e Padroeira; 4) Serviços técnicos especializados para elaboração do plano museológico e museógrafo do Museu de Arqueologia em Carapicuíba. Investimento: R$ 0,493 milhão.</w:t>
      </w:r>
    </w:p>
    <w:p w:rsidR="003E6588" w:rsidRDefault="003E6588">
      <w:pPr>
        <w:ind w:firstLine="1134"/>
        <w:jc w:val="both"/>
      </w:pPr>
    </w:p>
    <w:p w:rsidR="003E6588" w:rsidRDefault="003E6588">
      <w:pPr>
        <w:ind w:firstLine="1134"/>
        <w:jc w:val="both"/>
        <w:rPr>
          <w:b/>
        </w:rPr>
      </w:pPr>
      <w:r>
        <w:rPr>
          <w:b/>
        </w:rPr>
        <w:t>Nova Tamoios Planalto</w:t>
      </w:r>
    </w:p>
    <w:p w:rsidR="003E6588" w:rsidRDefault="003E6588">
      <w:pPr>
        <w:ind w:firstLine="1134"/>
        <w:jc w:val="both"/>
        <w:rPr>
          <w:b/>
        </w:rPr>
      </w:pPr>
    </w:p>
    <w:p w:rsidR="003E6588" w:rsidRDefault="003E6588">
      <w:pPr>
        <w:ind w:firstLine="1134"/>
        <w:jc w:val="both"/>
      </w:pPr>
      <w:r>
        <w:rPr>
          <w:b/>
        </w:rPr>
        <w:t>Concluído</w:t>
      </w:r>
      <w:r>
        <w:t xml:space="preserve"> - Projeto de detalhamento executivo, serviços técnicos especializados de apoio e </w:t>
      </w:r>
      <w:r w:rsidR="00566F68">
        <w:t>acompanhamento técnico às obras (</w:t>
      </w:r>
      <w:r>
        <w:t>ATO</w:t>
      </w:r>
      <w:r w:rsidR="00566F68">
        <w:t>)</w:t>
      </w:r>
      <w:r>
        <w:t>, compreendendo o Lote 1 e o Lote 2; Serviços técnicos especializados para os estudos e licenciamento ambiental da Rodovia dos Tamoios e Contornos de Caraguatatuba e São Sebastião - Sistema Logístico Norte; Serviços técnicos de engenharia para apoio à fiscalização, supervisão e acompanhamento das obras, compreendendo Lote 1 e Lote 2; Serviços técnicos de consultoria especializada para apoio à supervisão ambiental das obras, compreendendo Lote 1 e Lote 2; Serviços de engenharia consultiva para cadastramento, avaliação e apoio técnico operacional nos procedimentos de desapropriação das propriedades; Reassentamento; Interferências com as redes: ELEKTRO, EDP, CEDRAP, VIVO, demais; Obras e serviços de Duplicação da Rodovia dos Tamoios, compreendendo Lote 1 e Lote 2.</w:t>
      </w:r>
    </w:p>
    <w:p w:rsidR="003E6588" w:rsidRDefault="003E6588">
      <w:pPr>
        <w:ind w:firstLine="1134"/>
        <w:jc w:val="both"/>
      </w:pPr>
    </w:p>
    <w:p w:rsidR="003E6588" w:rsidRDefault="003E6588">
      <w:pPr>
        <w:ind w:firstLine="1134"/>
        <w:jc w:val="both"/>
      </w:pPr>
      <w:r>
        <w:rPr>
          <w:b/>
        </w:rPr>
        <w:lastRenderedPageBreak/>
        <w:t>Em andamento</w:t>
      </w:r>
      <w:r>
        <w:t xml:space="preserve"> - Consultoria especializada de engenharia para apoio na coordenação da execução das obras; Consultoria especializada para apoio à coordenação das Ações Ambientais; Desapropriação: acordos e/ou ações judiciais e regularização fundiária; Obras e serviços de restauração de taludes de corte com feições erosivas, no trecho planalto, do km 11,5 ao km 60,48 da pista existente; Prestação de serviços para a elaboração, execução e manutenção dos projetos de restauração florestal do empreendimento Nova Tamoios Planalto - Lotes 1 e 2; Obras e serviços complementares de implantação de acessos nas propriedades lindeiras às obras; Implantação de passagem superior de fauna como medida de compensação ambiental; Implantação de 12 passarelas para pedestres, inclusive suas respectivas baias de paradas de ônibus nas pistas sul e norte, compreendendo 6 lotes. Investimento (com exceção do apoio à operação rodoviária): R$ 197,8 milhões.</w:t>
      </w:r>
    </w:p>
    <w:p w:rsidR="003E6588" w:rsidRDefault="003E6588">
      <w:pPr>
        <w:ind w:firstLine="1134"/>
        <w:jc w:val="both"/>
      </w:pPr>
    </w:p>
    <w:p w:rsidR="003E6588" w:rsidRDefault="003E6588">
      <w:pPr>
        <w:ind w:firstLine="1134"/>
        <w:jc w:val="both"/>
        <w:rPr>
          <w:b/>
        </w:rPr>
      </w:pPr>
      <w:r>
        <w:rPr>
          <w:b/>
        </w:rPr>
        <w:t>Nova Tamoios - Contornos Norte e Sul</w:t>
      </w:r>
    </w:p>
    <w:p w:rsidR="003E6588" w:rsidRDefault="003E6588">
      <w:pPr>
        <w:ind w:firstLine="1134"/>
        <w:jc w:val="both"/>
        <w:rPr>
          <w:b/>
        </w:rPr>
      </w:pPr>
    </w:p>
    <w:p w:rsidR="003E6588" w:rsidRDefault="003E6588">
      <w:pPr>
        <w:ind w:firstLine="1134"/>
        <w:jc w:val="both"/>
        <w:rPr>
          <w:b/>
        </w:rPr>
      </w:pPr>
      <w:r>
        <w:rPr>
          <w:b/>
        </w:rPr>
        <w:t>Concluído -</w:t>
      </w:r>
      <w:r>
        <w:t xml:space="preserve"> Realização de campanhas de medição e modelagem de ruído em pontos identificados como receptores potencialmente críticos localizados ao longo do traçado.</w:t>
      </w:r>
    </w:p>
    <w:p w:rsidR="003E6588" w:rsidRDefault="003E6588">
      <w:pPr>
        <w:ind w:firstLine="1134"/>
        <w:jc w:val="both"/>
        <w:rPr>
          <w:b/>
        </w:rPr>
      </w:pPr>
    </w:p>
    <w:p w:rsidR="003E6588" w:rsidRDefault="003E6588">
      <w:pPr>
        <w:ind w:firstLine="1134"/>
        <w:jc w:val="both"/>
      </w:pPr>
      <w:r>
        <w:rPr>
          <w:b/>
        </w:rPr>
        <w:t>Em andamento -</w:t>
      </w:r>
      <w:r>
        <w:t xml:space="preserve">  Serviços técnicos de consolidação do Projeto Básico com atendimento às eventuais condicionantes ambientais, Detalhamento Executivo do projeto consolidado, assessoria de apoio e </w:t>
      </w:r>
      <w:r w:rsidR="00566F68">
        <w:t>acompanhamento técnico às obras (</w:t>
      </w:r>
      <w:r>
        <w:t>ATO</w:t>
      </w:r>
      <w:r w:rsidR="00566F68">
        <w:t>)</w:t>
      </w:r>
      <w:r>
        <w:t xml:space="preserve"> para os projetos de implantação; Execução do subprograma de monitoramento da qualidade das águas superficiais durante as obras de construção; Serviços de monitoramento da fauna durante a construção; Serviços técnicos de consultoria especializada para supervisão ambiental das obras de implantação do empreendimento - Lotes 1, 2, 3 e 4; Consultoria especializada de engenharia para apoio à DERSA no Gerenciamento Geral na prestação de serviços técnicos para implantação do empreendimento; Consultoria especializada para apoio à coordenação das Ações Ambientais na implantação do empreendimento; Serviços técnicos especializados de Gerenciamento Social, remoções e reassentamento das famílias atingidas pelas obras; Serviço de engenharia consultiva para cadastramento, avaliação e apoio técnico operacional nos procedimentos de desapropriação dos imóveis englobados pela faixa de domínio necessária para a implantação do empreendimento; Obras e serviços de implantação dos Contornos Norte e Sul - Lotes 1, 2, 3 e 4; Serviços técnicos de engenharia para apoio à fiscalização, supervisão e acompanhamento das obras de implantação dos Contornos Norte e Sul - Lotes 1, 2, 3 e 4. Investimento: R$ 471,3 milhões.</w:t>
      </w:r>
    </w:p>
    <w:p w:rsidR="003E6588" w:rsidRDefault="003E6588">
      <w:pPr>
        <w:ind w:firstLine="1134"/>
        <w:jc w:val="both"/>
      </w:pPr>
    </w:p>
    <w:p w:rsidR="003E6588" w:rsidRDefault="003E6588">
      <w:pPr>
        <w:ind w:firstLine="1134"/>
        <w:jc w:val="both"/>
        <w:rPr>
          <w:b/>
        </w:rPr>
      </w:pPr>
      <w:r>
        <w:rPr>
          <w:b/>
        </w:rPr>
        <w:t>Ligação das Rodovias Presidente Dutra e Governador Carvalho Pinto</w:t>
      </w:r>
    </w:p>
    <w:p w:rsidR="003E6588" w:rsidRDefault="003E6588">
      <w:pPr>
        <w:ind w:firstLine="1134"/>
        <w:jc w:val="both"/>
        <w:rPr>
          <w:b/>
        </w:rPr>
      </w:pPr>
    </w:p>
    <w:p w:rsidR="003E6588" w:rsidRDefault="003E6588">
      <w:pPr>
        <w:ind w:firstLine="1134"/>
        <w:jc w:val="both"/>
      </w:pPr>
      <w:r>
        <w:rPr>
          <w:b/>
        </w:rPr>
        <w:t xml:space="preserve">Concluído - </w:t>
      </w:r>
      <w:r>
        <w:t>Etapa II - implantação e melhoria do sistema viário na interligação do trecho entre o entroncamento com a antiga Estrada de Paraibuna e Aeroporto de São José dos Campos. Investimento: 10,7 milhões.</w:t>
      </w:r>
    </w:p>
    <w:p w:rsidR="003E6588" w:rsidRDefault="003E6588">
      <w:pPr>
        <w:ind w:firstLine="1134"/>
        <w:jc w:val="both"/>
      </w:pPr>
    </w:p>
    <w:p w:rsidR="00566F68" w:rsidRDefault="00566F68">
      <w:pPr>
        <w:ind w:firstLine="1134"/>
        <w:jc w:val="both"/>
      </w:pPr>
    </w:p>
    <w:p w:rsidR="00566F68" w:rsidRDefault="00566F68">
      <w:pPr>
        <w:ind w:firstLine="1134"/>
        <w:jc w:val="both"/>
      </w:pPr>
    </w:p>
    <w:p w:rsidR="003E6588" w:rsidRDefault="003E6588">
      <w:pPr>
        <w:ind w:firstLine="1134"/>
        <w:jc w:val="both"/>
        <w:rPr>
          <w:b/>
        </w:rPr>
      </w:pPr>
      <w:r>
        <w:rPr>
          <w:b/>
        </w:rPr>
        <w:t>SUBMERSO - Túnel Santos - Guarujá</w:t>
      </w:r>
    </w:p>
    <w:p w:rsidR="003E6588" w:rsidRPr="00300468" w:rsidRDefault="003E6588">
      <w:pPr>
        <w:ind w:firstLine="1134"/>
        <w:jc w:val="both"/>
      </w:pPr>
    </w:p>
    <w:p w:rsidR="003E6588" w:rsidRDefault="003E6588">
      <w:pPr>
        <w:ind w:firstLine="1134"/>
        <w:jc w:val="both"/>
      </w:pPr>
      <w:r>
        <w:rPr>
          <w:b/>
        </w:rPr>
        <w:lastRenderedPageBreak/>
        <w:t>Em andamento -</w:t>
      </w:r>
      <w:r>
        <w:t xml:space="preserve"> Serviços técnicos especializados de apoio à elaboração do Estudo de Impacto Ambiental e do Relatório de Impacto ao Meio Ambiente </w:t>
      </w:r>
      <w:r w:rsidR="00566F68">
        <w:t xml:space="preserve">- </w:t>
      </w:r>
      <w:r>
        <w:t>EIA-RIMA e ao licenciamento ambiental, de consolidação e otimização da alternativa selecionada, de projeto de engenharia, de preparação dos elementos para licitação das obras e do detalhamento executivo; Serviços técnicos especializados de elaboração do EIA-RIMA, e obtenção da LP e da LI; Consultoria multidisciplinar para atuação em conjunto com a equipe da DERSA, na coordenação, concepção, análise e acompanhamento dos trabalhos relativos ao detalhamento do túnel imerso. Investimento: R$ 46,1 milhões.</w:t>
      </w:r>
    </w:p>
    <w:p w:rsidR="003E6588" w:rsidRPr="00300468" w:rsidRDefault="003E6588">
      <w:pPr>
        <w:ind w:firstLine="1134"/>
        <w:jc w:val="both"/>
      </w:pPr>
    </w:p>
    <w:p w:rsidR="003E6588" w:rsidRDefault="003E6588">
      <w:pPr>
        <w:ind w:firstLine="1134"/>
        <w:jc w:val="both"/>
        <w:rPr>
          <w:b/>
        </w:rPr>
      </w:pPr>
      <w:r>
        <w:rPr>
          <w:b/>
        </w:rPr>
        <w:t>Nova Marginal do Tietê</w:t>
      </w:r>
    </w:p>
    <w:p w:rsidR="003E6588" w:rsidRPr="00300468" w:rsidRDefault="003E6588">
      <w:pPr>
        <w:ind w:firstLine="1134"/>
        <w:jc w:val="both"/>
      </w:pPr>
    </w:p>
    <w:p w:rsidR="003E6588" w:rsidRDefault="003E6588">
      <w:pPr>
        <w:ind w:firstLine="1134"/>
        <w:jc w:val="both"/>
      </w:pPr>
      <w:r>
        <w:rPr>
          <w:b/>
        </w:rPr>
        <w:t>Concluído -</w:t>
      </w:r>
      <w:r>
        <w:t xml:space="preserve">  Serviços de remanejamento da estação elevatória de esgotos localizada à Rua da Coroa; Implantação entre o viaduto CPTM e a ponte Imigrante Nordestino, de barreiras de concreto, retirada de defensas metálicas e implantação de sinalização vertical e horizontal - Fase III; Implantação de projeto executivo de plantio e manutenção; fornecimento e plantio de mudas de essências florestais nativas do bioma da mata atlântica, como medidas compensatórias das obras de adequação viária da Marginal Tietê e Jacu-Pêssego, compreendendo: Lote 1 - áreas sob jurisdição das subprefeituras da Lapa, Freguesia do Ó, Casa Verde/Cachoeirinha/Limão e Pirituba e Parque Ecológico do Tietê; Lote 2 - áreas sob jurisdição das subprefeituras da Sé, Santana/Tucuruvi, Vila Maria/Vila Guilherme/Mooca e Parques Guabirobeira e Jardim da Conquista.</w:t>
      </w:r>
    </w:p>
    <w:p w:rsidR="003E6588" w:rsidRDefault="003E6588">
      <w:pPr>
        <w:ind w:firstLine="1134"/>
        <w:jc w:val="both"/>
      </w:pPr>
    </w:p>
    <w:p w:rsidR="003E6588" w:rsidRDefault="003E6588">
      <w:pPr>
        <w:ind w:firstLine="1134"/>
        <w:jc w:val="both"/>
      </w:pPr>
      <w:r>
        <w:rPr>
          <w:b/>
        </w:rPr>
        <w:t>Em andamento -</w:t>
      </w:r>
      <w:r>
        <w:t xml:space="preserve"> Desapropriação: acordos e/ou ações judiciais e regularização fundiária; 2) Implantação de adutora Sabesp Ø 300 mm entre a Rua Iapó e a Ponte do Limão. Investimento: R$ 0,5 milhão.</w:t>
      </w:r>
    </w:p>
    <w:p w:rsidR="003E6588" w:rsidRPr="00300468" w:rsidRDefault="003E6588">
      <w:pPr>
        <w:ind w:firstLine="1134"/>
        <w:jc w:val="both"/>
      </w:pPr>
    </w:p>
    <w:p w:rsidR="003E6588" w:rsidRDefault="003E6588">
      <w:pPr>
        <w:ind w:firstLine="1134"/>
        <w:jc w:val="both"/>
        <w:rPr>
          <w:b/>
        </w:rPr>
      </w:pPr>
      <w:r>
        <w:rPr>
          <w:b/>
        </w:rPr>
        <w:t>Complexo Viário Jacu Pêssego</w:t>
      </w:r>
    </w:p>
    <w:p w:rsidR="003E6588" w:rsidRPr="00300468" w:rsidRDefault="003E6588">
      <w:pPr>
        <w:ind w:firstLine="1134"/>
        <w:jc w:val="both"/>
      </w:pPr>
    </w:p>
    <w:p w:rsidR="003E6588" w:rsidRDefault="003E6588">
      <w:pPr>
        <w:ind w:firstLine="1134"/>
        <w:jc w:val="both"/>
      </w:pPr>
      <w:r>
        <w:rPr>
          <w:b/>
        </w:rPr>
        <w:t>Concluído -</w:t>
      </w:r>
      <w:r>
        <w:t xml:space="preserve"> Remanejamento da adutora Rio Claro; Reparos em edificações afetadas pelas obras - Fase II; Complementação do muro para proteção acústica da escola EEPG Jardim Iguatemi, como medida compensatória da implantação do empreendimento; Implementação de projeto executivo de plantio e manutenção, nas áreas selecionadas e indicadas pela DERSA; fornecimento e plantio de mudas de essências florestais nativas do bioma da mata atlântica¹, compreendendo o Lote 1 - Parques Guabirobeira e Jardim da Conquista.</w:t>
      </w:r>
    </w:p>
    <w:p w:rsidR="003E6588" w:rsidRDefault="003E6588">
      <w:pPr>
        <w:ind w:firstLine="1134"/>
        <w:jc w:val="both"/>
      </w:pPr>
    </w:p>
    <w:p w:rsidR="003E6588" w:rsidRDefault="003E6588">
      <w:pPr>
        <w:ind w:firstLine="1134"/>
        <w:jc w:val="both"/>
      </w:pPr>
      <w:r>
        <w:rPr>
          <w:b/>
        </w:rPr>
        <w:t xml:space="preserve">Em andamento - </w:t>
      </w:r>
      <w:r>
        <w:t>Reassentamento: Aquisição de terrenos passíveis de regularização para construção de Unidades Habitacionais - UH que serão entregues às famílias; Reassentamento de 639 famílias que estão em aluguel aguardando o recebimento da UH; Desapropriação: acordos e/ou ações judiciais e regularização fundiária; Remanejamento da adutora de 400 e 200 mm situadas na Marginal COHAB; 4) Interferências: White Martins e SAMA. Investimento: R$ 19,1 milhões.</w:t>
      </w:r>
    </w:p>
    <w:p w:rsidR="003E6588" w:rsidRDefault="003E6588">
      <w:pPr>
        <w:ind w:firstLine="1134"/>
        <w:jc w:val="both"/>
      </w:pPr>
    </w:p>
    <w:p w:rsidR="00566F68" w:rsidRDefault="00566F68">
      <w:pPr>
        <w:ind w:firstLine="1134"/>
        <w:jc w:val="both"/>
      </w:pPr>
    </w:p>
    <w:p w:rsidR="003E6588" w:rsidRDefault="003E6588">
      <w:pPr>
        <w:ind w:firstLine="1134"/>
        <w:jc w:val="both"/>
        <w:rPr>
          <w:b/>
        </w:rPr>
      </w:pPr>
      <w:r>
        <w:rPr>
          <w:b/>
        </w:rPr>
        <w:t>Complexo Viário Polo Itaquera</w:t>
      </w:r>
    </w:p>
    <w:p w:rsidR="003E6588" w:rsidRPr="00300468" w:rsidRDefault="003E6588">
      <w:pPr>
        <w:ind w:firstLine="1134"/>
        <w:jc w:val="both"/>
      </w:pPr>
    </w:p>
    <w:p w:rsidR="003E6588" w:rsidRDefault="003E6588">
      <w:pPr>
        <w:ind w:firstLine="1134"/>
        <w:jc w:val="both"/>
      </w:pPr>
      <w:r>
        <w:rPr>
          <w:b/>
        </w:rPr>
        <w:lastRenderedPageBreak/>
        <w:t>Concluído -</w:t>
      </w:r>
      <w:r>
        <w:t xml:space="preserve"> Obras e serviços de implantação do Programa de Desenvolvimento Viário da Zona Leste da região metropolitana de São Paulo; Implantação de Alças de ligação no cruzamento da Av. Jacu Pêssego com a Av. José Pinheiros Borges (Nova Radial); Implantação de travessia de pedestres ligando a Rua Boipeva com imediações do Conjunto Anchieta (Cohab), incluindo edificação para posto policial e elaboração do projeto executivo; Projeto de detalhamento executivo, serviços técnicos especializados de apoio e acompanhamento técnico às obras (ATO); Consultoria especializada de engenharia para o apoio no Gerenciamento da obra; Consultoria especializada para apoio à coordenação das Ações Ambientais; Serviço técnico de engenharia para apoio à fiscalização, supervisão e acompanhamento da obra; Serviços de engenharia consultiva para Cadastramento, Avaliação e apoio técnico operacional nos procedimentos de desapropriação; Serviços técnicos de consultoria especializada para Supervisão Ambiental das obras.</w:t>
      </w:r>
    </w:p>
    <w:p w:rsidR="003E6588" w:rsidRPr="00300468" w:rsidRDefault="003E6588">
      <w:pPr>
        <w:ind w:firstLine="1134"/>
        <w:jc w:val="both"/>
      </w:pPr>
    </w:p>
    <w:p w:rsidR="003E6588" w:rsidRDefault="003E6588">
      <w:pPr>
        <w:ind w:firstLine="1134"/>
        <w:jc w:val="both"/>
      </w:pPr>
      <w:r>
        <w:rPr>
          <w:b/>
        </w:rPr>
        <w:t>Em andamento -</w:t>
      </w:r>
      <w:r>
        <w:t xml:space="preserve"> Desapropriação: acordos e/ou ações judiciais e regularização fundiária; Plantio compensatório e paisagístico e desenvolvimento de atividades de educação ambiental das obras do Programa de Desenvolvimento da Zona Leste da Região Metropolitana de São Paulo. Investimento: R$ 161,3 milhões.</w:t>
      </w:r>
    </w:p>
    <w:p w:rsidR="003E6588" w:rsidRPr="00300468" w:rsidRDefault="003E6588">
      <w:pPr>
        <w:ind w:firstLine="1134"/>
        <w:jc w:val="both"/>
      </w:pPr>
    </w:p>
    <w:p w:rsidR="003E6588" w:rsidRDefault="003E6588">
      <w:pPr>
        <w:ind w:firstLine="1134"/>
        <w:jc w:val="both"/>
        <w:rPr>
          <w:b/>
        </w:rPr>
      </w:pPr>
      <w:r>
        <w:rPr>
          <w:b/>
        </w:rPr>
        <w:t>RAO Internacional - Aeroporto de Ribeirão Preto</w:t>
      </w:r>
    </w:p>
    <w:p w:rsidR="003E6588" w:rsidRPr="00300468" w:rsidRDefault="003E6588">
      <w:pPr>
        <w:ind w:firstLine="1134"/>
        <w:jc w:val="both"/>
      </w:pPr>
    </w:p>
    <w:p w:rsidR="003E6588" w:rsidRDefault="003E6588">
      <w:pPr>
        <w:ind w:firstLine="1134"/>
        <w:jc w:val="both"/>
        <w:rPr>
          <w:i/>
        </w:rPr>
      </w:pPr>
      <w:r>
        <w:rPr>
          <w:b/>
        </w:rPr>
        <w:t>Concluído -</w:t>
      </w:r>
      <w:r>
        <w:t xml:space="preserve"> Obtenção da Licença Ambiental de Operação e Regularização.</w:t>
      </w:r>
    </w:p>
    <w:p w:rsidR="003E6588" w:rsidRDefault="003E6588">
      <w:pPr>
        <w:ind w:firstLine="1134"/>
        <w:jc w:val="both"/>
        <w:rPr>
          <w:i/>
        </w:rPr>
      </w:pPr>
    </w:p>
    <w:p w:rsidR="003E6588" w:rsidRDefault="003E6588">
      <w:pPr>
        <w:ind w:firstLine="1134"/>
        <w:jc w:val="both"/>
        <w:rPr>
          <w:b/>
        </w:rPr>
      </w:pPr>
      <w:r>
        <w:rPr>
          <w:b/>
        </w:rPr>
        <w:t>Outras Ações</w:t>
      </w:r>
    </w:p>
    <w:p w:rsidR="003E6588" w:rsidRPr="00300468" w:rsidRDefault="003E6588">
      <w:pPr>
        <w:ind w:firstLine="1134"/>
        <w:jc w:val="both"/>
      </w:pPr>
    </w:p>
    <w:p w:rsidR="003E6588" w:rsidRDefault="003E6588">
      <w:pPr>
        <w:ind w:firstLine="1134"/>
        <w:jc w:val="both"/>
        <w:rPr>
          <w:i/>
        </w:rPr>
      </w:pPr>
      <w:r>
        <w:rPr>
          <w:b/>
        </w:rPr>
        <w:t xml:space="preserve">Em andamento - </w:t>
      </w:r>
      <w:r>
        <w:t>Realização de investigação confirmatória complementar e passivo ambiental na área onde funcionou o Centro de Operações da DERSA - CODE em Itaquaquecetuba.</w:t>
      </w:r>
    </w:p>
    <w:p w:rsidR="003E6588" w:rsidRDefault="003E6588">
      <w:pPr>
        <w:ind w:firstLine="1134"/>
        <w:jc w:val="both"/>
        <w:rPr>
          <w:i/>
        </w:rPr>
      </w:pPr>
    </w:p>
    <w:p w:rsidR="003E6588" w:rsidRDefault="003E6588">
      <w:pPr>
        <w:ind w:firstLine="1134"/>
        <w:jc w:val="both"/>
        <w:rPr>
          <w:rFonts w:eastAsia="Arial Unicode MS"/>
          <w:b/>
        </w:rPr>
      </w:pPr>
      <w:r>
        <w:rPr>
          <w:rFonts w:eastAsia="Arial Unicode MS"/>
          <w:b/>
        </w:rPr>
        <w:t>Travessias Litorâneas</w:t>
      </w:r>
    </w:p>
    <w:p w:rsidR="003E6588" w:rsidRPr="00300468" w:rsidRDefault="003E6588">
      <w:pPr>
        <w:ind w:firstLine="1134"/>
        <w:jc w:val="both"/>
        <w:rPr>
          <w:rFonts w:eastAsia="Arial Unicode MS"/>
        </w:rPr>
      </w:pPr>
    </w:p>
    <w:p w:rsidR="003E6588" w:rsidRDefault="003E6588">
      <w:pPr>
        <w:ind w:firstLine="1134"/>
        <w:jc w:val="both"/>
        <w:rPr>
          <w:rFonts w:eastAsia="Arial Unicode MS"/>
          <w:b/>
        </w:rPr>
      </w:pPr>
      <w:r>
        <w:rPr>
          <w:rFonts w:eastAsia="Arial Unicode MS"/>
          <w:b/>
        </w:rPr>
        <w:t>Melhoramento das Condições de Operação e Instalação - Obras Civis</w:t>
      </w:r>
    </w:p>
    <w:p w:rsidR="003E6588" w:rsidRPr="00300468" w:rsidRDefault="003E6588">
      <w:pPr>
        <w:ind w:firstLine="1134"/>
        <w:jc w:val="both"/>
        <w:rPr>
          <w:rFonts w:eastAsia="Arial Unicode MS"/>
        </w:rPr>
      </w:pPr>
    </w:p>
    <w:p w:rsidR="003E6588" w:rsidRDefault="003E6588">
      <w:pPr>
        <w:widowControl w:val="0"/>
        <w:kinsoku w:val="0"/>
        <w:ind w:right="49" w:firstLine="1134"/>
        <w:jc w:val="both"/>
      </w:pPr>
      <w:r>
        <w:rPr>
          <w:rFonts w:eastAsia="Arial Unicode MS"/>
          <w:b/>
        </w:rPr>
        <w:t xml:space="preserve">Concluídos - </w:t>
      </w:r>
      <w:r>
        <w:t xml:space="preserve">Construção do novo atracadouro de Guarujá, incluindo a implantação de praças de cobrança de pedágio; </w:t>
      </w:r>
      <w:r>
        <w:rPr>
          <w:rFonts w:eastAsia="Arial Unicode MS"/>
        </w:rPr>
        <w:t>Reforma das estações de passageiro da Praça da República (Santos) e Vicente de Carvalho (Guarujá); Instalação dos flutuantes de Iguape e Juréia. Investimento: R$ 1,0 milhão.</w:t>
      </w:r>
    </w:p>
    <w:p w:rsidR="003E6588" w:rsidRDefault="003E6588">
      <w:pPr>
        <w:widowControl w:val="0"/>
        <w:kinsoku w:val="0"/>
        <w:ind w:right="144" w:firstLine="1134"/>
        <w:jc w:val="both"/>
        <w:rPr>
          <w:rFonts w:eastAsia="Arial Unicode MS"/>
        </w:rPr>
      </w:pPr>
    </w:p>
    <w:p w:rsidR="003E6588" w:rsidRDefault="003E6588">
      <w:pPr>
        <w:widowControl w:val="0"/>
        <w:kinsoku w:val="0"/>
        <w:ind w:firstLine="1134"/>
        <w:jc w:val="both"/>
        <w:rPr>
          <w:rFonts w:eastAsia="Arial Unicode MS"/>
          <w:b/>
        </w:rPr>
      </w:pPr>
      <w:r>
        <w:rPr>
          <w:rFonts w:eastAsia="Arial Unicode MS"/>
          <w:b/>
        </w:rPr>
        <w:t>Melhoramento de Instalação e Embarcação - Obras Navais</w:t>
      </w:r>
    </w:p>
    <w:p w:rsidR="003E6588" w:rsidRPr="00300468" w:rsidRDefault="003E6588" w:rsidP="00300468">
      <w:pPr>
        <w:widowControl w:val="0"/>
        <w:kinsoku w:val="0"/>
        <w:jc w:val="both"/>
        <w:rPr>
          <w:rFonts w:eastAsia="Arial Unicode MS"/>
        </w:rPr>
      </w:pPr>
    </w:p>
    <w:p w:rsidR="003E6588" w:rsidRDefault="003E6588">
      <w:pPr>
        <w:widowControl w:val="0"/>
        <w:kinsoku w:val="0"/>
        <w:ind w:right="49" w:firstLine="1134"/>
        <w:jc w:val="both"/>
      </w:pPr>
      <w:r>
        <w:rPr>
          <w:rFonts w:eastAsia="Arial Unicode MS"/>
          <w:b/>
        </w:rPr>
        <w:t xml:space="preserve">Concluídos - </w:t>
      </w:r>
      <w:r>
        <w:rPr>
          <w:rFonts w:eastAsia="Arial Unicode MS"/>
        </w:rPr>
        <w:t xml:space="preserve">Construção de 1 nova Lancha catamarã, em fibra, com capacidade para 350 passageiros, para a Travessia de Pedestres de Vicente de Carvalho (Guarujá)/Praça da República (Santos); </w:t>
      </w:r>
      <w:r>
        <w:t xml:space="preserve">Reforma e modernização das embarcações FB-20, FB-18, FB-10, FB-11, FB-05, FB-12 FB-21 e FB-24; Recondicionamento de parte da frota de motores usados - 25 motores; Elaboração de Estudo de Impacto de Vizinhança (EIV/RIV) para o estaleiro de Vicente de Carvalho e das obras de melhoria na travessia Bertioga/Guarujá (lado Guarujá; 6) Reforma da Lancha Canéu que opera na </w:t>
      </w:r>
      <w:r>
        <w:lastRenderedPageBreak/>
        <w:t>Travessia V. de Carvalho x P. da República.</w:t>
      </w:r>
    </w:p>
    <w:p w:rsidR="003E6588" w:rsidRDefault="003E6588">
      <w:pPr>
        <w:widowControl w:val="0"/>
        <w:kinsoku w:val="0"/>
        <w:ind w:right="144" w:firstLine="1134"/>
        <w:jc w:val="both"/>
      </w:pPr>
    </w:p>
    <w:p w:rsidR="003E6588" w:rsidRDefault="003E6588">
      <w:pPr>
        <w:widowControl w:val="0"/>
        <w:kinsoku w:val="0"/>
        <w:ind w:firstLine="1134"/>
        <w:jc w:val="both"/>
        <w:rPr>
          <w:rFonts w:eastAsia="Arial Unicode MS"/>
        </w:rPr>
      </w:pPr>
      <w:r>
        <w:rPr>
          <w:rFonts w:eastAsia="Arial Unicode MS"/>
          <w:b/>
        </w:rPr>
        <w:t xml:space="preserve">Em andamento - </w:t>
      </w:r>
      <w:r>
        <w:rPr>
          <w:rFonts w:eastAsia="Arial Unicode MS"/>
        </w:rPr>
        <w:t xml:space="preserve"> Reforma da embarcação FB-23 que opera na Travessia Santos x Guarujá; Contratação de Estudo junto ao Instituto de Pesquisas Tecnológicas, para avaliar condições de operação da embarcação FB-30 para ventos acima de 21 nós</w:t>
      </w:r>
      <w:r>
        <w:t xml:space="preserve">. </w:t>
      </w:r>
      <w:r>
        <w:rPr>
          <w:rFonts w:eastAsia="Arial Unicode MS"/>
        </w:rPr>
        <w:t>Investimento: R$ 16,5 milhões.</w:t>
      </w:r>
    </w:p>
    <w:p w:rsidR="003E6588" w:rsidRPr="00300468" w:rsidRDefault="003E6588">
      <w:pPr>
        <w:widowControl w:val="0"/>
        <w:kinsoku w:val="0"/>
        <w:ind w:right="144" w:firstLine="1134"/>
        <w:jc w:val="both"/>
        <w:rPr>
          <w:rFonts w:eastAsia="Arial Unicode MS"/>
        </w:rPr>
      </w:pPr>
    </w:p>
    <w:p w:rsidR="003E6588" w:rsidRDefault="003E6588">
      <w:pPr>
        <w:ind w:firstLine="1134"/>
        <w:jc w:val="both"/>
        <w:rPr>
          <w:rFonts w:eastAsia="Arial Unicode MS"/>
          <w:b/>
        </w:rPr>
      </w:pPr>
      <w:r>
        <w:rPr>
          <w:rFonts w:eastAsia="Arial Unicode MS"/>
          <w:b/>
        </w:rPr>
        <w:t>Outras ações</w:t>
      </w:r>
    </w:p>
    <w:p w:rsidR="003E6588" w:rsidRPr="00300468" w:rsidRDefault="003E6588">
      <w:pPr>
        <w:ind w:firstLine="1134"/>
        <w:jc w:val="both"/>
        <w:rPr>
          <w:rFonts w:eastAsia="Arial Unicode MS"/>
        </w:rPr>
      </w:pPr>
    </w:p>
    <w:p w:rsidR="003E6588" w:rsidRDefault="003E6588">
      <w:pPr>
        <w:widowControl w:val="0"/>
        <w:kinsoku w:val="0"/>
        <w:ind w:right="144" w:firstLine="1134"/>
        <w:jc w:val="both"/>
      </w:pPr>
      <w:r>
        <w:rPr>
          <w:rFonts w:eastAsia="Arial Unicode MS"/>
        </w:rPr>
        <w:t>C</w:t>
      </w:r>
      <w:r>
        <w:rPr>
          <w:rFonts w:eastAsia="Arial Unicode MS"/>
          <w:b/>
        </w:rPr>
        <w:t xml:space="preserve">oncluídos - </w:t>
      </w:r>
      <w:r>
        <w:rPr>
          <w:rFonts w:eastAsia="Arial Unicode MS"/>
        </w:rPr>
        <w:t xml:space="preserve"> </w:t>
      </w:r>
      <w:r>
        <w:t>Renovação da contratação de empresa especializada para a prestação de serviços de manutenção e conservação naval para as embarcações e linha de navegação, para os serviços de transporte de veículos e passageiros; Renovação da contratação de empresa especializada para a prestação de serviços de operação do Sistema de Travessias; Renovação e contratação de empresa especializada em fornecimento de óleo diesel marítimo; Renovação da contratação de empresa especializada dos serviços de arrecadação de tarifas; Contratação de empresa especializada em manutenção/recondicionamento de motores e reversores; Renovação de empresa especializada para manutenção preventiva, corretiva e programada dos atracadouros de gaveta e grupos geradores de Santos/Guarujá e Vicente de Carvalho/Praça da República; Renovação de empresa especializada para prestação de serviços de engenharia civil para conservação e manutenção de prédios, pátios, atracadouros e bolsões de embarque e desembarque dos estaleiros; Contratação de serviços de vigilância patrimonial nas dependências da DERSA; Renovação do contrato de manutenção eletroeletrônica.</w:t>
      </w:r>
    </w:p>
    <w:p w:rsidR="003E6588" w:rsidRPr="00300468" w:rsidRDefault="003E6588">
      <w:pPr>
        <w:widowControl w:val="0"/>
        <w:kinsoku w:val="0"/>
        <w:ind w:firstLine="1134"/>
        <w:jc w:val="both"/>
        <w:rPr>
          <w:rFonts w:eastAsia="Arial Unicode MS"/>
        </w:rPr>
      </w:pPr>
    </w:p>
    <w:p w:rsidR="003E6588" w:rsidRDefault="003E6588">
      <w:pPr>
        <w:widowControl w:val="0"/>
        <w:kinsoku w:val="0"/>
        <w:ind w:right="144" w:firstLine="1134"/>
        <w:jc w:val="both"/>
      </w:pPr>
      <w:r>
        <w:rPr>
          <w:rFonts w:eastAsia="Arial Unicode MS"/>
          <w:b/>
        </w:rPr>
        <w:t xml:space="preserve">Em andamento - </w:t>
      </w:r>
      <w:r>
        <w:t>Parcerias entre a DERSA e a CET Santos e Departamento de Trânsito de Guarujá, para organização das filas para embarque em ambas as margens, coibindo a ação dos "fura filas"; Implantação do Plano Emergencial Individual.</w:t>
      </w:r>
    </w:p>
    <w:p w:rsidR="003E6588" w:rsidRPr="00300468" w:rsidRDefault="003E6588">
      <w:pPr>
        <w:ind w:firstLine="1134"/>
        <w:jc w:val="both"/>
        <w:rPr>
          <w:rFonts w:eastAsia="Arial Unicode MS"/>
        </w:rPr>
      </w:pPr>
    </w:p>
    <w:p w:rsidR="003E6588" w:rsidRDefault="003E6588">
      <w:pPr>
        <w:widowControl w:val="0"/>
        <w:kinsoku w:val="0"/>
        <w:ind w:firstLine="1134"/>
        <w:jc w:val="both"/>
        <w:rPr>
          <w:b/>
        </w:rPr>
      </w:pPr>
      <w:r>
        <w:rPr>
          <w:b/>
        </w:rPr>
        <w:t>Operações Rodoviárias</w:t>
      </w:r>
    </w:p>
    <w:p w:rsidR="003E6588" w:rsidRPr="00300468" w:rsidRDefault="003E6588">
      <w:pPr>
        <w:widowControl w:val="0"/>
        <w:kinsoku w:val="0"/>
        <w:ind w:firstLine="1134"/>
        <w:jc w:val="both"/>
      </w:pPr>
    </w:p>
    <w:p w:rsidR="003E6588" w:rsidRDefault="003E6588">
      <w:pPr>
        <w:widowControl w:val="0"/>
        <w:kinsoku w:val="0"/>
        <w:ind w:firstLine="1134"/>
        <w:jc w:val="both"/>
        <w:rPr>
          <w:b/>
        </w:rPr>
      </w:pPr>
      <w:r>
        <w:rPr>
          <w:b/>
        </w:rPr>
        <w:t>Rodovia dos Tamoios SP 099</w:t>
      </w:r>
    </w:p>
    <w:p w:rsidR="003E6588" w:rsidRPr="00300468" w:rsidRDefault="003E6588">
      <w:pPr>
        <w:widowControl w:val="0"/>
        <w:kinsoku w:val="0"/>
        <w:ind w:firstLine="1134"/>
        <w:jc w:val="both"/>
      </w:pPr>
    </w:p>
    <w:p w:rsidR="003E6588" w:rsidRDefault="003E6588">
      <w:pPr>
        <w:ind w:firstLine="1134"/>
        <w:jc w:val="both"/>
      </w:pPr>
      <w:r>
        <w:rPr>
          <w:b/>
        </w:rPr>
        <w:t>Suporte Operacional Rodoviário -</w:t>
      </w:r>
      <w:r>
        <w:t xml:space="preserve"> Suporte operacional para os usuários da Rodovia dos Tamoios, coordenado pela Operação de Tráfego e o Centro de Controle Operacional - CCO, </w:t>
      </w:r>
      <w:r w:rsidR="00923E52">
        <w:t>implantado no km 22 da rodovia.</w:t>
      </w:r>
    </w:p>
    <w:p w:rsidR="003E6588" w:rsidRDefault="003E6588">
      <w:pPr>
        <w:ind w:firstLine="1134"/>
        <w:jc w:val="both"/>
      </w:pPr>
    </w:p>
    <w:p w:rsidR="003E6588" w:rsidRDefault="003E6588">
      <w:pPr>
        <w:ind w:firstLine="1134"/>
        <w:jc w:val="both"/>
      </w:pPr>
      <w:r>
        <w:rPr>
          <w:b/>
        </w:rPr>
        <w:t>Atendimento ao Usuário -</w:t>
      </w:r>
      <w:r>
        <w:t xml:space="preserve"> Serviços de atendimentos por guinchamento aos usuários da rodovia por motivo de pane seca, pane mecânica ou elétrica, acidentes; Atendimentos de APH (Atendimento Pré-Hospitalar) à acidentados; Apreensão de animais, remoções de obstáculos na pista, acompanhamentos de cargas excedentes, fiscalizações de obras na pista e interferências na faixa de domínio, dentre outros; Realizou também o suporte ao serviço de informação aos usuários através dos canais de atendimento 0800 055-5510 (DER) e </w:t>
      </w:r>
      <w:r w:rsidRPr="00300468">
        <w:rPr>
          <w:i/>
        </w:rPr>
        <w:t xml:space="preserve">Twitter </w:t>
      </w:r>
      <w:r>
        <w:t>(@novatamoios).</w:t>
      </w:r>
    </w:p>
    <w:p w:rsidR="003E6588" w:rsidRDefault="003E6588">
      <w:pPr>
        <w:ind w:firstLine="1134"/>
        <w:jc w:val="both"/>
        <w:rPr>
          <w:b/>
        </w:rPr>
      </w:pPr>
    </w:p>
    <w:p w:rsidR="003E6588" w:rsidRDefault="003E6588">
      <w:pPr>
        <w:ind w:firstLine="1134"/>
        <w:jc w:val="both"/>
      </w:pPr>
      <w:r>
        <w:rPr>
          <w:b/>
        </w:rPr>
        <w:t>Operação Especial nos Feriados e Operação Descida -</w:t>
      </w:r>
      <w:r>
        <w:rPr>
          <w:color w:val="FF0000"/>
        </w:rPr>
        <w:t xml:space="preserve"> </w:t>
      </w:r>
      <w:r>
        <w:t xml:space="preserve">Realizou, em conjunto com a PMRv - Polícia Militar Rodoviária, o planejamento das Operações Especiais nos momentos de grande </w:t>
      </w:r>
      <w:r>
        <w:lastRenderedPageBreak/>
        <w:t>fluxo de veículos na rodovia; No trecho de serra, compreendido entre o km 67+500 até o km 81+100 executou de forma planejada a implantação de reversão de faixa durante a Operação Verão, nos feriados prolongados e finais de semana com volume elevado de tráfego - Operação Descida.</w:t>
      </w:r>
    </w:p>
    <w:p w:rsidR="003E6588" w:rsidRDefault="003E6588">
      <w:pPr>
        <w:ind w:firstLine="1134"/>
        <w:jc w:val="both"/>
      </w:pPr>
    </w:p>
    <w:p w:rsidR="003E6588" w:rsidRDefault="003E6588">
      <w:pPr>
        <w:ind w:firstLine="1134"/>
        <w:jc w:val="both"/>
      </w:pPr>
      <w:r>
        <w:t>Para o suporte operacional da rodovia foram utilizados os seguintes recursos:</w:t>
      </w:r>
    </w:p>
    <w:p w:rsidR="003E6588" w:rsidRDefault="003E6588">
      <w:pPr>
        <w:ind w:firstLine="1134"/>
        <w:jc w:val="both"/>
        <w:rPr>
          <w:b/>
        </w:rPr>
      </w:pPr>
    </w:p>
    <w:p w:rsidR="003E6588" w:rsidRDefault="003E6588">
      <w:pPr>
        <w:ind w:firstLine="1134"/>
        <w:jc w:val="both"/>
      </w:pPr>
      <w:r>
        <w:t>Veículos operacionais -</w:t>
      </w:r>
      <w:r>
        <w:rPr>
          <w:b/>
        </w:rPr>
        <w:t xml:space="preserve"> </w:t>
      </w:r>
      <w:r>
        <w:t>5 viaturas de inspeção (caminhonetes); 4 guinchos leves; 1 guincho pesado; 1 caminhão pipa; 1 caminhão de apreensão de animais; 3 ambulâncias; 5 veículos leves apoio;</w:t>
      </w:r>
    </w:p>
    <w:p w:rsidR="003E6588" w:rsidRDefault="003E6588">
      <w:pPr>
        <w:ind w:firstLine="1134"/>
        <w:jc w:val="both"/>
      </w:pPr>
    </w:p>
    <w:p w:rsidR="003E6588" w:rsidRDefault="003E6588">
      <w:pPr>
        <w:ind w:firstLine="1134"/>
        <w:jc w:val="both"/>
      </w:pPr>
      <w:r>
        <w:t>Serviços contratados -</w:t>
      </w:r>
      <w:r>
        <w:rPr>
          <w:color w:val="FF0000"/>
        </w:rPr>
        <w:t xml:space="preserve"> </w:t>
      </w:r>
      <w:r>
        <w:t>Remoção de veículos por guinchamento; Inspeção de tráfego; Captura e recolhimento de animais; Atendimento a acidentados; Fornecimento de combustível; 4 Painéis de Mensagens Variáveis - PMV; Serviço de radiocomunicação.</w:t>
      </w:r>
    </w:p>
    <w:p w:rsidR="003E6588" w:rsidRDefault="003E6588">
      <w:pPr>
        <w:ind w:firstLine="1134"/>
        <w:jc w:val="both"/>
        <w:rPr>
          <w:b/>
        </w:rPr>
      </w:pPr>
    </w:p>
    <w:p w:rsidR="003E6588" w:rsidRDefault="003E6588">
      <w:pPr>
        <w:ind w:firstLine="1134"/>
        <w:jc w:val="both"/>
      </w:pPr>
      <w:r>
        <w:t>Conservação Rodoviária e Sinalização Vertical e Horizontal -</w:t>
      </w:r>
      <w:r>
        <w:rPr>
          <w:b/>
        </w:rPr>
        <w:t xml:space="preserve"> </w:t>
      </w:r>
      <w:r>
        <w:t>A Dersa manteve e gerenciou os contratos com empresas para cuidar da manutenção e conservação da rodovia, nas modalidades de conservação da pista, do revestimento vegetal, sinalização vertical e horizontal. Neste seguimento foram realizados os seguintes serviços/Melhorias, Conservação e Manutenção</w:t>
      </w:r>
      <w:r w:rsidRPr="00300468">
        <w:t xml:space="preserve">: </w:t>
      </w:r>
      <w:r>
        <w:t>execução de serviços gerais de conservação: varrição regular de pontes e viadutos, poda de grama e vegetação, pinturas de elementos de segurança, barreiras de concreto e guarda corpo de pontes, manutenção da base do Posto SAU (Serviço de Atendimento à Usuários); bases da PMRv, remoção de defensas danificadas e implantação de novas, limpeza e recuperação de drenagem dentro e fora da plataforma; manutenção de pavimento e tapa buraco; realização e recuperação de seções de pavimentos danificados no trecho de serra e urbano de Caraguatatuba e manutenção de barreiras de concreto por motivo de acidentes/Sinalização Vertical e Horizontal</w:t>
      </w:r>
      <w:r>
        <w:rPr>
          <w:b/>
        </w:rPr>
        <w:t xml:space="preserve">: </w:t>
      </w:r>
      <w:r>
        <w:t>realizou a limpeza de placas, recuperação e substituição de placas, balizadores, sinalizadores, faixa de sinalização e a substituição/colocação de tachas e tachões refletivos, além de pintura de sinalização horizontal provisória e definitiva entre os Km 60+400 e 83+500.</w:t>
      </w:r>
    </w:p>
    <w:p w:rsidR="00923E52" w:rsidRDefault="00923E52">
      <w:pPr>
        <w:ind w:firstLine="1134"/>
        <w:jc w:val="both"/>
      </w:pPr>
    </w:p>
    <w:p w:rsidR="003E6588" w:rsidRDefault="00AD3B0F">
      <w:r>
        <w:rPr>
          <w:noProof/>
        </w:rPr>
        <w:drawing>
          <wp:inline distT="0" distB="0" distL="0" distR="0">
            <wp:extent cx="4953000" cy="2257425"/>
            <wp:effectExtent l="19050" t="0" r="0" b="0"/>
            <wp:docPr id="2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65" cstate="print"/>
                    <a:srcRect/>
                    <a:stretch>
                      <a:fillRect/>
                    </a:stretch>
                  </pic:blipFill>
                  <pic:spPr bwMode="auto">
                    <a:xfrm>
                      <a:off x="0" y="0"/>
                      <a:ext cx="4953000" cy="2257425"/>
                    </a:xfrm>
                    <a:prstGeom prst="rect">
                      <a:avLst/>
                    </a:prstGeom>
                    <a:noFill/>
                    <a:ln w="9525">
                      <a:noFill/>
                      <a:miter lim="800000"/>
                      <a:headEnd/>
                      <a:tailEnd/>
                    </a:ln>
                  </pic:spPr>
                </pic:pic>
              </a:graphicData>
            </a:graphic>
          </wp:inline>
        </w:drawing>
      </w:r>
    </w:p>
    <w:p w:rsidR="003E6588" w:rsidRDefault="003E6588">
      <w:pPr>
        <w:widowControl w:val="0"/>
        <w:tabs>
          <w:tab w:val="num" w:pos="432"/>
        </w:tabs>
        <w:kinsoku w:val="0"/>
        <w:ind w:firstLine="1134"/>
        <w:jc w:val="both"/>
      </w:pPr>
      <w:r>
        <w:rPr>
          <w:rFonts w:eastAsia="Arial Unicode MS"/>
          <w:b/>
        </w:rPr>
        <w:t xml:space="preserve">Assessoria de Comunicação - </w:t>
      </w:r>
      <w:r>
        <w:t xml:space="preserve">Produção e Eventos: R$ 23.353,43; Mídia: R$ 0; Publicidade Legal: R$ 681.949,40; Audiências Públicas: R$ 7.081,00; Assessoria de Imprensa: R$ </w:t>
      </w:r>
      <w:r>
        <w:lastRenderedPageBreak/>
        <w:t>1.031.399,38; Centros de Informações: R$ 1.467.567,89; Material Informativo: R$ 192.615,84. Investimento: R$ 3.403.966,94.</w:t>
      </w:r>
    </w:p>
    <w:p w:rsidR="003E6588" w:rsidRDefault="003E6588">
      <w:pPr>
        <w:widowControl w:val="0"/>
        <w:kinsoku w:val="0"/>
        <w:ind w:firstLine="1134"/>
        <w:jc w:val="both"/>
        <w:rPr>
          <w:b/>
        </w:rPr>
      </w:pPr>
    </w:p>
    <w:p w:rsidR="003E6588" w:rsidRDefault="003E6588">
      <w:pPr>
        <w:ind w:firstLine="1134"/>
        <w:jc w:val="both"/>
      </w:pPr>
      <w:r>
        <w:rPr>
          <w:b/>
        </w:rPr>
        <w:t xml:space="preserve">Divisão de Desapropriação - </w:t>
      </w:r>
      <w:r>
        <w:t>Acompanhamento dos processos dos Empreendimentos da DERSA: Mensuração do custo da desapropriação nos diversos traçados proposto; Quantificação do tipo e quantidade de cadastro; Participação nas “audiências públicas e setoriais”; Desenvolvimento do cronograma físico-financeiro das atividades do Cadastro e Avaliação das áreas a serem desapropriadas; Dimensionamento das equipes para Cadastro, Avaliação e Apoio Técnico e Jurídico; Elaboração de levantamento cadastral de propriedades a serem desapropriadas; Gerenciamento, coordenação e fiscalização da execução de cadastro, avaliação e procedimentos de desapropriação; Volume de processos e protocolos: 1.412; atendimentos a expropriados: 1.793; reuniões internas: 156; reuniões externas: 552.</w:t>
      </w:r>
    </w:p>
    <w:p w:rsidR="003E6588" w:rsidRDefault="003E6588">
      <w:pPr>
        <w:widowControl w:val="0"/>
        <w:kinsoku w:val="0"/>
        <w:ind w:firstLine="1134"/>
        <w:jc w:val="both"/>
      </w:pPr>
    </w:p>
    <w:p w:rsidR="003E6588" w:rsidRDefault="003E6588">
      <w:pPr>
        <w:ind w:firstLine="1134"/>
        <w:jc w:val="both"/>
        <w:rPr>
          <w:rFonts w:eastAsia="Arial Unicode MS"/>
        </w:rPr>
      </w:pPr>
      <w:r>
        <w:rPr>
          <w:b/>
        </w:rPr>
        <w:t xml:space="preserve">Divisão de Patrimônio Imobiliário - </w:t>
      </w:r>
      <w:r>
        <w:rPr>
          <w:rFonts w:eastAsia="Arial Unicode MS"/>
        </w:rPr>
        <w:t>A DIPAT permanece com trabalho constante de regularização fundiária dos imóveis desapropriados pela DERSA, para construção dos empreendimentos, lavrando escrituras e registrando cartas de adjudicação dos imóveis objeto de desapropriação judicial, além de orientar e dar assistência aos expropriados; A DIPAT contestou e acompanhou diversas ações judiciais de retificação de área e de usucapião e respondeu pelas demandas cartorárias relativas a pedidos de retificação e demarcação de áreas de terceiros; Inventário: analisados e coletados dados de 600 processos de desapropriação (judiciais e administrativos) e cartas de adjudicação para atualizar as informações dos registros imobiliários; Atendimento a 80 expropriados para regularização da matrícula com registro da desapropriação e identificação da área remanescente; Lavradas 31 escrituras, das quais 15 foram registradas; Expedidas 30 cartas de adjudicação, das quais 8 foram registradas; Adoção de procedimentos preparatórios para licitação e aprovação para venda do imóvel denominado "Pedreira Santa Cruz"; Adotados os procedimentos preparatórios para licitação do imóvel denominado “Múcio”, inclusive a elaboração de laudo pela Companhia Paulista de Obras e Serviços - CPOS</w:t>
      </w:r>
      <w:r>
        <w:t xml:space="preserve">; </w:t>
      </w:r>
      <w:r>
        <w:rPr>
          <w:rFonts w:eastAsia="Arial Unicode MS"/>
        </w:rPr>
        <w:t>Efetuada permuta com Município de Mauá de áreas remanescentes da desapropriação para construção do complexo viário Jacu-Pessego, com áreas pertencentes à Prefeitura de Mauá, próprias para a construção de unidades habitacionais, a fim de dar cumprimento à</w:t>
      </w:r>
      <w:r>
        <w:t xml:space="preserve">s orientações contidas no EIA-RIMA (Estudo de Impacto Ambiental e Relatório de Impacto ao Meio Ambiente), referente às obras do Rodoanel Trecho Sul e do Complexo Viário Jacu Pêssego e garantir ao conjunto de famílias em situação fundiária irregular atingidas por estas obras, alternativas de atendimento através do Programa de Reassentamento; </w:t>
      </w:r>
      <w:r>
        <w:rPr>
          <w:rFonts w:eastAsia="Arial Unicode MS"/>
        </w:rPr>
        <w:t xml:space="preserve">Concretizada a dação em pagamento da área do Jardim Santa Helena em Guarulhos com a Prefeitura do Município de Guarulhos, extinguindo dívidas de IPTU da DERSA e garantindo área à Prefeitura de Guarulhos para construção do parque Tecnológico. Celebrado contrato de cessão de uso real de área de mata, de parte do terreno da DERSA onde está instalado o Terminal Intermodal de Cargas Leste - TIC Lesta, a fim de cumprir exigências quanto às áreas a serem utilizadas pelo Município de Guarulhos. Por meio desse contrato de cessão, garantiu-se, pelo prazo de 90 anos (duração da cessão) isenção do IPTU correspondente à área; Regularização de parte reassentamento decorrente das desapropriações do Rodoanel Oeste. Trabalho realizado junto à Prefeitura de Osasco para regularização do empreendimento de reassentamento no Município, assim como da área denominada “Turíbio” que já havia sido vendida por meio de processo licitatório. Por meio de trabalhos técnicos e diversas reuniões foi possível a unificação das áreas e </w:t>
      </w:r>
      <w:r>
        <w:rPr>
          <w:rFonts w:eastAsia="Arial Unicode MS"/>
        </w:rPr>
        <w:lastRenderedPageBreak/>
        <w:t>desdobro para regularização das glebas; Parques do Rodoanel e Jacu Pêssego: entrega das áreas desapropriadas e destinadas aos parques para as prefeituras de Embu das Artes e Itapecerica da Serra; Regularização de áreas da Jacú-Pessego para constituição de área de parque e entrega à Prefeitura de São Paulo; Regularização do imóvel denominado “Convento” para negociação com a Prefeitura de Itapecerica da Serra; Elaborado Termo de Servidão de uso de área da DERSA em Embu para a AES Eletropaulo mediante o pagamento de indenização pela utilização da área; Iniciados procedimentos para venda do Imóvel denominado CODE SIT localizado em Itaquaquecetuba; Estudos de ações para conferir destinações de interesse social aos imóveis remanescentes para que não sejam alvos de invasões e possam atender a demandas habitacionais e diversas outras demandas sociais dos governos do Estado e municipais de forma a atender aos interesses da população; Compensação RODOANEL SUL: A DERSA permanece atuando com a FUNAI para atender condicionantes da compensação ambiental em decorrência do Rodoanel Sul, para aquisição de imóvel rural destinados às Comunidades Indígenas Guarani das Aldeias Tenondé Porã e Krukutu. Ainda há impasse em relação à área encontrada pela FUNAI por conta do valor que ultrapassa o valor estabelecido pelo ITESP (Fundação Instituto de Terras do Estado de São Paulo “José Gomes da Silva”); Juntamente com a DJ/DECIT (Tributário), está em análise a oportunidade e conveniência de se proceder à dação em pagamento do CODE de Atibaia, haja vista a repercussão geral sobre a imunidade de sociedades e economia mista prestadoras de serviços públicos; Em análise, a destinação dos imóveis denominados Montanhão e Jd. Primavera.</w:t>
      </w:r>
    </w:p>
    <w:p w:rsidR="003E6588" w:rsidRDefault="003E6588"/>
    <w:p w:rsidR="003E6588" w:rsidRDefault="003E6588"/>
    <w:p w:rsidR="003E6588" w:rsidRDefault="003E6588">
      <w:pPr>
        <w:rPr>
          <w:b/>
          <w:bCs/>
        </w:rPr>
      </w:pPr>
      <w:r>
        <w:rPr>
          <w:b/>
          <w:bCs/>
        </w:rPr>
        <w:t>DEPARTAMENTO HIDROVIÁRIO - DH</w:t>
      </w:r>
    </w:p>
    <w:p w:rsidR="003E6588" w:rsidRPr="00300468" w:rsidRDefault="003E6588">
      <w:pPr>
        <w:rPr>
          <w:bCs/>
        </w:rPr>
      </w:pPr>
    </w:p>
    <w:p w:rsidR="003E6588" w:rsidRPr="00300468" w:rsidRDefault="003E6588">
      <w:pPr>
        <w:rPr>
          <w:bCs/>
        </w:rPr>
      </w:pPr>
    </w:p>
    <w:p w:rsidR="003E6588" w:rsidRDefault="003E6588">
      <w:pPr>
        <w:ind w:firstLine="1134"/>
        <w:jc w:val="both"/>
        <w:rPr>
          <w:b/>
          <w:bCs/>
          <w:strike/>
        </w:rPr>
      </w:pPr>
      <w:r>
        <w:rPr>
          <w:b/>
          <w:bCs/>
        </w:rPr>
        <w:t xml:space="preserve">Investimentos na Hidrovia Tietê-Paraná </w:t>
      </w:r>
      <w:r w:rsidR="00923E52">
        <w:rPr>
          <w:b/>
          <w:bCs/>
        </w:rPr>
        <w:t xml:space="preserve">- </w:t>
      </w:r>
      <w:r>
        <w:rPr>
          <w:b/>
          <w:bCs/>
        </w:rPr>
        <w:t>HTP</w:t>
      </w:r>
    </w:p>
    <w:p w:rsidR="003E6588" w:rsidRPr="00300468" w:rsidRDefault="003E6588">
      <w:pPr>
        <w:ind w:firstLine="1134"/>
        <w:jc w:val="both"/>
        <w:rPr>
          <w:bCs/>
        </w:rPr>
      </w:pPr>
    </w:p>
    <w:p w:rsidR="003E6588" w:rsidRDefault="003E6588">
      <w:pPr>
        <w:ind w:firstLine="1134"/>
        <w:jc w:val="both"/>
      </w:pPr>
      <w:r>
        <w:rPr>
          <w:b/>
        </w:rPr>
        <w:t>Operação do Sistema Hidroviário</w:t>
      </w:r>
    </w:p>
    <w:p w:rsidR="003E6588" w:rsidRDefault="003E6588">
      <w:pPr>
        <w:ind w:firstLine="1134"/>
        <w:jc w:val="both"/>
      </w:pPr>
    </w:p>
    <w:p w:rsidR="003E6588" w:rsidRDefault="003E6588">
      <w:pPr>
        <w:ind w:firstLine="1134"/>
        <w:jc w:val="both"/>
      </w:pPr>
      <w:r>
        <w:t>Serviços de Topografia na Elaboração de Projetos para Otimização de Rotas de Navegação. V</w:t>
      </w:r>
      <w:r w:rsidR="00300468">
        <w:t>alor executado: R$ 1.290.754,00.</w:t>
      </w:r>
    </w:p>
    <w:p w:rsidR="003E6588" w:rsidRDefault="003E6588">
      <w:pPr>
        <w:ind w:firstLine="1134"/>
        <w:jc w:val="both"/>
      </w:pPr>
    </w:p>
    <w:p w:rsidR="003E6588" w:rsidRDefault="003E6588">
      <w:pPr>
        <w:ind w:firstLine="1134"/>
        <w:jc w:val="both"/>
      </w:pPr>
      <w:r>
        <w:t>Execução de Manutenção da Sinalização Náutica Implantada na HTP (ampliação, reparo e posicionamento de sinais). Valor executado: R$ 3.164.408,00.</w:t>
      </w:r>
    </w:p>
    <w:p w:rsidR="003E6588" w:rsidRDefault="003E6588">
      <w:pPr>
        <w:ind w:firstLine="1134"/>
        <w:jc w:val="both"/>
      </w:pPr>
    </w:p>
    <w:p w:rsidR="003E6588" w:rsidRDefault="003E6588">
      <w:pPr>
        <w:ind w:firstLine="1134"/>
        <w:jc w:val="both"/>
      </w:pPr>
      <w:r>
        <w:rPr>
          <w:b/>
        </w:rPr>
        <w:t xml:space="preserve">Programa para Eliminação de Gargalos, Extensões e Terminais na Hidrovia - </w:t>
      </w:r>
      <w:r>
        <w:t>Recursos direcionados para a execução de conjunto de obras projetadas de forma a eliminar gargalos físicos e operacionais existentes no trecho em operação da Hidrovia do Rio Tietê.</w:t>
      </w:r>
    </w:p>
    <w:p w:rsidR="003E6588" w:rsidRDefault="003E6588">
      <w:pPr>
        <w:ind w:firstLine="1134"/>
        <w:jc w:val="both"/>
      </w:pPr>
    </w:p>
    <w:p w:rsidR="003E6588" w:rsidRDefault="003E6588">
      <w:pPr>
        <w:ind w:firstLine="1134"/>
        <w:jc w:val="both"/>
      </w:pPr>
      <w:r>
        <w:rPr>
          <w:b/>
          <w:bCs/>
        </w:rPr>
        <w:t xml:space="preserve">Obras e Serviços concluídos </w:t>
      </w:r>
      <w:r>
        <w:t>- Ponte SP 333 - rio Tietê - Demolição subaquática dos pilares remanescentes - R$ 452.000,00; Ponte SP 191 - rio Piracicaba - Nova Ponte - DER - R$ 300.000,00; - CCO - Sistema de Monitoramento e Controle Operacional da Hidrovia - Implantação da 2ª Etapa. Instalações concluídas - R$ 346.340,00.</w:t>
      </w:r>
    </w:p>
    <w:p w:rsidR="003E6588" w:rsidRDefault="003E6588">
      <w:pPr>
        <w:tabs>
          <w:tab w:val="left" w:pos="1701"/>
        </w:tabs>
        <w:ind w:firstLine="1134"/>
        <w:jc w:val="both"/>
        <w:rPr>
          <w:b/>
        </w:rPr>
      </w:pPr>
    </w:p>
    <w:p w:rsidR="003E6588" w:rsidRDefault="003E6588">
      <w:pPr>
        <w:ind w:firstLine="1134"/>
        <w:jc w:val="both"/>
      </w:pPr>
      <w:r>
        <w:rPr>
          <w:b/>
          <w:bCs/>
        </w:rPr>
        <w:lastRenderedPageBreak/>
        <w:t xml:space="preserve">Projetos/Obras e Serviços em andamento </w:t>
      </w:r>
      <w:r>
        <w:t xml:space="preserve">- Ponte SP 425 - Rio Tietê - Obra de Ampliação do Vão de Navegação - DER; complementação das obras; Ponte SP 425 - Rio Tietê - Obra de Proteção dos Pilares do Vão de Navegação Ampliado. - R$ 121.100,00; Pontes BR 153 e Igaraçu do Tietê - Obras de Reforço das Proteções dos Pilares - R$ 5.023.600,00; Ponte SP 333 - Rio Tietê - Obra de Proteção dos Pilares do Vão de Navegação Ampliado - R$ 1.228.590,00; Ponte Ayrosa Galvão - Obra de Ampliação do Vão de Navegação - R$ 4.888.240,00; Canais de Botucatu (km </w:t>
      </w:r>
      <w:smartTag w:uri="urn:schemas-microsoft-com:office:smarttags" w:element="metricconverter">
        <w:smartTagPr>
          <w:attr w:name="ProductID" w:val="61 a"/>
        </w:smartTagPr>
        <w:r>
          <w:t>61 a</w:t>
        </w:r>
      </w:smartTag>
      <w:r>
        <w:t xml:space="preserve"> 72) e Conchas (km </w:t>
      </w:r>
      <w:smartTag w:uri="urn:schemas-microsoft-com:office:smarttags" w:element="metricconverter">
        <w:smartTagPr>
          <w:attr w:name="ProductID" w:val="89 a"/>
        </w:smartTagPr>
        <w:r>
          <w:t>89 a</w:t>
        </w:r>
      </w:smartTag>
      <w:r>
        <w:t xml:space="preserve"> 110) - R$ 1.264.030,00; Canal a jusante de Nova Avanhandava - R$ 2.150.100,00; Canal de Anhembi (Dragagem de manutenção - km </w:t>
      </w:r>
      <w:smartTag w:uri="urn:schemas-microsoft-com:office:smarttags" w:element="metricconverter">
        <w:smartTagPr>
          <w:attr w:name="ProductID" w:val="72 a"/>
        </w:smartTagPr>
        <w:r>
          <w:t>72 a</w:t>
        </w:r>
      </w:smartTag>
      <w:r>
        <w:t xml:space="preserve"> 89) - R$ 3.015.780,00; Atracadouros de Espera das Eclusas - Barra Bonita, Ibitinga, Nova Avanhandava e Promissão - Dique a Jusante de Promissão - Amortecedor de Ondas da Eclusa de Promissão - R$ 1.342.000,00; Novo Canal de Restituição da Eclusa de Bariri - R$ 1.120.220,00; Barragem e Eclusa de Santa Maria da Serra - Projeto das Obras da Barragem e Reservatório; Estudos Ambientais - R$ 8.894.600,00; Eclusa da Barragem da Penha - R$ 39.710.730,00; Terminais de Ártemis, Salto, Araçatuba e Rubinéia - R$ 1.935.440,00; Gerenciamento das Obras - R$ 7.497.270,00; Supervisão e Acompanhamento das Obras do Núcleo do Alto e Médio Tietê - R$ 4.248.280,00; Supervisão e Acompanhamento das Obras do Núcleo do Baixo Tietê e Paraná - R$ 1.326.190,00.</w:t>
      </w:r>
    </w:p>
    <w:p w:rsidR="003E6588" w:rsidRDefault="003E6588">
      <w:pPr>
        <w:tabs>
          <w:tab w:val="left" w:pos="1985"/>
        </w:tabs>
        <w:ind w:firstLine="1134"/>
        <w:jc w:val="both"/>
        <w:rPr>
          <w:b/>
        </w:rPr>
      </w:pPr>
    </w:p>
    <w:p w:rsidR="003E6588" w:rsidRDefault="003E6588">
      <w:pPr>
        <w:tabs>
          <w:tab w:val="left" w:pos="1985"/>
        </w:tabs>
        <w:ind w:firstLine="1134"/>
        <w:jc w:val="both"/>
      </w:pPr>
      <w:r>
        <w:rPr>
          <w:b/>
          <w:bCs/>
        </w:rPr>
        <w:t xml:space="preserve">Projetos e Obras em licitação </w:t>
      </w:r>
      <w:r>
        <w:t>- Ponte SP 425 - rio Tietê - Obra de Ampliação do Vão de Navegação - DER; Canal a jusante de Nova Avanhandava; Atracadouro de Espera da Eclusa de Bariri; Barragem e Eclusa de Anhembi - Projetos e Estudos Ambientais para Aproveitamento Múltiplo de Anhembi; Auditoria da Qualidade das Obras/Controle Tecnológico de Materiais.</w:t>
      </w:r>
    </w:p>
    <w:p w:rsidR="003E6588" w:rsidRPr="00300468" w:rsidRDefault="003E6588">
      <w:pPr>
        <w:tabs>
          <w:tab w:val="left" w:pos="840"/>
          <w:tab w:val="left" w:pos="1985"/>
        </w:tabs>
        <w:ind w:firstLine="1134"/>
        <w:jc w:val="both"/>
      </w:pPr>
    </w:p>
    <w:p w:rsidR="003E6588" w:rsidRPr="00300468" w:rsidRDefault="003E6588" w:rsidP="00923E52">
      <w:pPr>
        <w:jc w:val="both"/>
      </w:pPr>
    </w:p>
    <w:p w:rsidR="003E6588" w:rsidRDefault="003E6588" w:rsidP="00923E52">
      <w:pPr>
        <w:rPr>
          <w:b/>
        </w:rPr>
      </w:pPr>
      <w:r>
        <w:rPr>
          <w:b/>
        </w:rPr>
        <w:t>COMPANHIA DOCAS DE SÃO SEBASTIÃO</w:t>
      </w:r>
    </w:p>
    <w:p w:rsidR="003E6588" w:rsidRPr="00300468" w:rsidRDefault="003E6588" w:rsidP="00923E52">
      <w:pPr>
        <w:jc w:val="both"/>
      </w:pPr>
    </w:p>
    <w:p w:rsidR="003E6588" w:rsidRPr="00300468" w:rsidRDefault="003E6588" w:rsidP="00923E52">
      <w:pPr>
        <w:jc w:val="both"/>
      </w:pPr>
    </w:p>
    <w:p w:rsidR="003E6588" w:rsidRDefault="003E6588">
      <w:pPr>
        <w:ind w:firstLine="1134"/>
        <w:jc w:val="both"/>
        <w:rPr>
          <w:strike/>
        </w:rPr>
      </w:pPr>
      <w:r>
        <w:rPr>
          <w:b/>
        </w:rPr>
        <w:t xml:space="preserve">Investimentos - </w:t>
      </w:r>
      <w:r>
        <w:t>A Companhia Docas de São Sebastião alcançará o montante de R$ 88,7 milhões em investimentos na infraestrutura portuária. Encontram-se em andamento, investimentos de R$ 26,5 milhões.</w:t>
      </w:r>
    </w:p>
    <w:p w:rsidR="003E6588" w:rsidRDefault="003E6588">
      <w:pPr>
        <w:ind w:firstLine="1134"/>
        <w:jc w:val="both"/>
      </w:pPr>
    </w:p>
    <w:p w:rsidR="003E6588" w:rsidRDefault="003E6588">
      <w:pPr>
        <w:ind w:firstLine="1134"/>
        <w:jc w:val="both"/>
      </w:pPr>
      <w:r>
        <w:rPr>
          <w:b/>
        </w:rPr>
        <w:t xml:space="preserve">Concluídos - </w:t>
      </w:r>
      <w:r>
        <w:t>Reforma e adequação da estrutura do cais do Porto, visando aumentar a capacidade de sobrecarga, ampliar a capacidade de operação e aumentar a segurança; Pavimentação em concreto do pátio 01 e adequação do pavimento dos armazéns 04, 05 e 06, liberando área de 36.000 m² para armazenagem dentro da área alfandegada do Porto; Implantação do Sistema de Solução Integrada de Tecnologia e Gestão de Dados Empresariais - ERP; Reforma das instalações administrativas do Porto, da sub sede em São Sebastião e da Sede em São Paulo, visando a melhoria nas condições de trabalho dos colaboradores da Companhia;</w:t>
      </w:r>
      <w:r>
        <w:rPr>
          <w:b/>
        </w:rPr>
        <w:t xml:space="preserve"> </w:t>
      </w:r>
      <w:r>
        <w:t>Estruturação do Sistema de Rádio e Comunicação, com aquisição de equipamentos; Instalação de sistema de iluminação em “LED” no Pátio 3; Aquisição de equipamentos para operação e segurança como viaturas para a Base de Emergência, balanças rodoviárias para controle de cargas, equipamentos de medição de emissão de partículas e opacímetros.</w:t>
      </w:r>
    </w:p>
    <w:p w:rsidR="00923E52" w:rsidRDefault="00923E52">
      <w:pPr>
        <w:ind w:firstLine="1134"/>
        <w:jc w:val="both"/>
      </w:pPr>
    </w:p>
    <w:p w:rsidR="003E6588" w:rsidRDefault="003E6588">
      <w:pPr>
        <w:ind w:firstLine="1134"/>
        <w:jc w:val="both"/>
      </w:pPr>
      <w:r>
        <w:rPr>
          <w:b/>
        </w:rPr>
        <w:t>Em andamento -</w:t>
      </w:r>
      <w:r>
        <w:t xml:space="preserve"> Elaboração de Projeto Básico e Executivo para construção de pátios com utilização de tecnologia baseada em pilotis (estacas) e lajes (tecnologia que causa menor impacto </w:t>
      </w:r>
      <w:r>
        <w:lastRenderedPageBreak/>
        <w:t>ambiental) - Execução Física 98%,; Planos de Gestão e Monitoramento da Qualidade Ambiental do Porto de São Sebastião; Implantação de sistema segurança de monitoramento por câmeras e controle de acesso para certificação ISPS CODE (código de segurança internacional) - Execução Física 20%; Execução de estação de armazenamento temporário de resíduos - Execução Física 80%; Substituição de lonas de cobertura e fechamento por placas de alumínio dos armazéns 4, 5 e 6 - Execução Física 90%; Nivelamento e calçamento da via de acesso dos pátios 3 e 4 ao cais, otimização e segurança da movimentação de cargas - Execução Física 25%.</w:t>
      </w:r>
    </w:p>
    <w:p w:rsidR="003E6588" w:rsidRDefault="003E6588">
      <w:pPr>
        <w:ind w:firstLine="1134"/>
        <w:jc w:val="both"/>
      </w:pPr>
    </w:p>
    <w:p w:rsidR="003E6588" w:rsidRDefault="003E6588">
      <w:pPr>
        <w:ind w:firstLine="1134"/>
        <w:jc w:val="both"/>
        <w:rPr>
          <w:b/>
        </w:rPr>
      </w:pPr>
      <w:r>
        <w:rPr>
          <w:b/>
        </w:rPr>
        <w:t>Indicadores de Desempenho</w:t>
      </w:r>
    </w:p>
    <w:p w:rsidR="003E6588" w:rsidRDefault="003E6588">
      <w:pPr>
        <w:ind w:firstLine="1134"/>
        <w:jc w:val="both"/>
        <w:rPr>
          <w:b/>
        </w:rPr>
      </w:pPr>
    </w:p>
    <w:p w:rsidR="003E6588" w:rsidRDefault="003E6588">
      <w:pPr>
        <w:ind w:firstLine="1134"/>
        <w:jc w:val="both"/>
      </w:pPr>
      <w:r>
        <w:rPr>
          <w:b/>
        </w:rPr>
        <w:t xml:space="preserve">Movimentação de cargas - </w:t>
      </w:r>
      <w:r>
        <w:t>Foram atracados 93 navios no berço 101 (principal) e 59</w:t>
      </w:r>
      <w:r>
        <w:rPr>
          <w:b/>
        </w:rPr>
        <w:t xml:space="preserve"> </w:t>
      </w:r>
      <w:r>
        <w:t xml:space="preserve">embarcações de menor porte para apoio </w:t>
      </w:r>
      <w:r>
        <w:rPr>
          <w:i/>
        </w:rPr>
        <w:t>offshore</w:t>
      </w:r>
      <w:r>
        <w:t xml:space="preserve"> nos demais berços. Foram movimentadas 669.515 mil toneladas de cargas, entre elas, granéis minerais, como barrilha (238.981 ton.), níquel (16.662 ton.), ulexita (33.052 ton.) e sulfato (115.159 ton.), e granéis vegetais, como malte (21.969 ton.) e cevada (114.403 ton.); veículos (58.093 ton.); cargas de projeto (7.734 ton.); contêineres (1.442 ton.); chapas e trilhos de aço (21.783 ton.); tubos (16.129 ton.); carga viva (4.257 ton.); cimento (15.191 ton.), entre outros. Do total de movimentação de cargas, </w:t>
      </w:r>
      <w:r>
        <w:rPr>
          <w:bCs/>
        </w:rPr>
        <w:t xml:space="preserve">573.208 toneladas </w:t>
      </w:r>
      <w:r>
        <w:t>são referentes a importação e 97.825 toneladas de exportação.</w:t>
      </w:r>
    </w:p>
    <w:p w:rsidR="003E6588" w:rsidRDefault="003E6588">
      <w:pPr>
        <w:ind w:firstLine="1134"/>
        <w:jc w:val="both"/>
      </w:pPr>
    </w:p>
    <w:p w:rsidR="003E6588" w:rsidRDefault="003E6588">
      <w:pPr>
        <w:ind w:firstLine="1134"/>
        <w:jc w:val="both"/>
      </w:pPr>
      <w:r>
        <w:t>Vale destacar que a movimentação de 51.984 unidades de veículos é um recorde anual no Porto.</w:t>
      </w:r>
    </w:p>
    <w:p w:rsidR="003E6588" w:rsidRDefault="003E6588">
      <w:pPr>
        <w:ind w:firstLine="1134"/>
        <w:jc w:val="both"/>
      </w:pPr>
    </w:p>
    <w:p w:rsidR="003E6588" w:rsidRDefault="003E6588">
      <w:pPr>
        <w:widowControl w:val="0"/>
        <w:ind w:firstLine="1134"/>
        <w:jc w:val="both"/>
        <w:rPr>
          <w:strike/>
        </w:rPr>
      </w:pPr>
      <w:r>
        <w:t>Com o término da obra de adequação da estrutura do cais do Porto, a profundidade do berço principal aumentou de (-) 8 metros para (-) 10 metros, possibilitando a atracação de navios com maiores volumes de cargas e atração de novos clientes com abertura de novas linhas de navegação.</w:t>
      </w:r>
    </w:p>
    <w:p w:rsidR="003E6588" w:rsidRPr="00923E52" w:rsidRDefault="003E6588">
      <w:pPr>
        <w:widowControl w:val="0"/>
        <w:ind w:firstLine="1134"/>
        <w:jc w:val="both"/>
        <w:rPr>
          <w:strike/>
        </w:rPr>
      </w:pPr>
    </w:p>
    <w:p w:rsidR="003E6588" w:rsidRDefault="003E6588">
      <w:pPr>
        <w:tabs>
          <w:tab w:val="left" w:pos="3514"/>
        </w:tabs>
        <w:ind w:firstLine="1134"/>
        <w:jc w:val="both"/>
        <w:rPr>
          <w:lang w:eastAsia="en-US"/>
        </w:rPr>
      </w:pPr>
      <w:r>
        <w:rPr>
          <w:b/>
        </w:rPr>
        <w:t xml:space="preserve">Cenário Financeiro - </w:t>
      </w:r>
      <w:r>
        <w:rPr>
          <w:lang w:eastAsia="en-US"/>
        </w:rPr>
        <w:t>A receita bruta consolidada alcançou R$ 21.2 milhões.</w:t>
      </w:r>
    </w:p>
    <w:p w:rsidR="003E6588" w:rsidRDefault="003E6588">
      <w:pPr>
        <w:widowControl w:val="0"/>
        <w:ind w:firstLine="1134"/>
        <w:jc w:val="both"/>
        <w:rPr>
          <w:lang w:eastAsia="en-US"/>
        </w:rPr>
      </w:pPr>
    </w:p>
    <w:p w:rsidR="003E6588" w:rsidRDefault="003E6588">
      <w:pPr>
        <w:ind w:firstLine="1134"/>
        <w:jc w:val="both"/>
      </w:pPr>
      <w:r>
        <w:rPr>
          <w:b/>
        </w:rPr>
        <w:t xml:space="preserve">Gestão Ambiental - </w:t>
      </w:r>
      <w:r>
        <w:t>O Porto de São Sebastião vem mantendo compromisso de garantir melhoria continua na gestão ambiental, por meio de investimentos e ações voltadas para a área ambiental. A Agência Reguladora de Transportes Aquaviários - ANTAQ divulgou relatório conclusivo com resultados do Índice de Qualidade de Gestão Ambiental em Portos Organizados - IQGAPO, onde foi possível verificar melhora no desempenho ambiental da Companhia Docas (73 pontos) mantendo-se entre os 3 melhores resultados dentre os 29 Portos analisados.</w:t>
      </w:r>
    </w:p>
    <w:p w:rsidR="003E6588" w:rsidRDefault="003E6588">
      <w:pPr>
        <w:widowControl w:val="0"/>
        <w:ind w:firstLine="1134"/>
        <w:jc w:val="both"/>
      </w:pPr>
    </w:p>
    <w:p w:rsidR="003E6588" w:rsidRDefault="003E6588">
      <w:pPr>
        <w:widowControl w:val="0"/>
        <w:ind w:firstLine="1134"/>
        <w:jc w:val="both"/>
      </w:pPr>
      <w:r>
        <w:t xml:space="preserve">O Porto possui o primeiro Plano de Área de um Porto Organizado no </w:t>
      </w:r>
      <w:r w:rsidR="00957E14">
        <w:t>País</w:t>
      </w:r>
      <w:r>
        <w:t xml:space="preserve">, aprovado pelo IBAMA. Foi realizado o segundo exercício simulado prático do Plano de Emergência Individual do Porto, acompanho por avaliadores de diversas instituições (IBAMA, CETESB, Marinha do Brasil e Secretaria Municipal de Meio Ambiente de São Sebastião), que aprovaram o desempenho da Companhia. Foi realizado o primeiro exercício simulado prático do Plano de Área do Porto Organizado de São Sebastião, que foi aprovado, sendo este o primeiro Plano de área de Porto Organizado aprovado pelo IBAMA no </w:t>
      </w:r>
      <w:r w:rsidR="00957E14">
        <w:t>País</w:t>
      </w:r>
      <w:r>
        <w:t>.</w:t>
      </w:r>
    </w:p>
    <w:p w:rsidR="003E6588" w:rsidRPr="00300468" w:rsidRDefault="003E6588">
      <w:pPr>
        <w:ind w:firstLine="1134"/>
        <w:jc w:val="both"/>
        <w:rPr>
          <w:bCs/>
        </w:rPr>
      </w:pPr>
    </w:p>
    <w:p w:rsidR="003E6588" w:rsidRPr="00300468" w:rsidRDefault="003E6588">
      <w:pPr>
        <w:ind w:firstLine="1134"/>
        <w:jc w:val="both"/>
        <w:rPr>
          <w:bCs/>
        </w:rPr>
      </w:pPr>
    </w:p>
    <w:p w:rsidR="003E6588" w:rsidRDefault="003E6588">
      <w:pPr>
        <w:rPr>
          <w:b/>
          <w:bCs/>
        </w:rPr>
      </w:pPr>
      <w:r>
        <w:rPr>
          <w:b/>
          <w:bCs/>
        </w:rPr>
        <w:t>DEPARTAMENTO AEROVIÁRIO DO ESTADO DE SÃO PAULO - DAESP</w:t>
      </w:r>
    </w:p>
    <w:p w:rsidR="003E6588" w:rsidRPr="00300468" w:rsidRDefault="003E6588" w:rsidP="00923E52">
      <w:pPr>
        <w:jc w:val="both"/>
        <w:rPr>
          <w:bCs/>
        </w:rPr>
      </w:pPr>
    </w:p>
    <w:p w:rsidR="003E6588" w:rsidRPr="00300468" w:rsidRDefault="003E6588">
      <w:pPr>
        <w:ind w:firstLine="1134"/>
        <w:jc w:val="both"/>
        <w:rPr>
          <w:bCs/>
        </w:rPr>
      </w:pPr>
    </w:p>
    <w:p w:rsidR="003E6588" w:rsidRDefault="003E6588">
      <w:pPr>
        <w:ind w:firstLine="1134"/>
        <w:jc w:val="both"/>
      </w:pPr>
      <w:r>
        <w:t>A administração do DAESP manteve prioridade no aprimoramento da gestão e na melhoria da infraestrutura dos 26 aeroportos, número a que ficou reduzida a rede com a conclusão do processo de transferência da administração do aeroporto de Bauru-Centro à autoridade municipal local.</w:t>
      </w:r>
    </w:p>
    <w:p w:rsidR="003E6588" w:rsidRDefault="003E6588">
      <w:pPr>
        <w:ind w:firstLine="1134"/>
        <w:jc w:val="both"/>
      </w:pPr>
    </w:p>
    <w:p w:rsidR="003E6588" w:rsidRDefault="003E6588">
      <w:pPr>
        <w:ind w:firstLine="1134"/>
        <w:jc w:val="both"/>
      </w:pPr>
      <w:r>
        <w:t>Os investimentos da autarquia foram concentrados no programa de obras para a modernização e ampliação da infraestrutura aeroportuária e na melhoria das condições de segurança operacional e de conforto aos passageiros, em atendimento às exigências das autoridades aeronáutica e da aviação civil.</w:t>
      </w:r>
    </w:p>
    <w:p w:rsidR="003E6588" w:rsidRDefault="003E6588">
      <w:pPr>
        <w:ind w:firstLine="1134"/>
        <w:jc w:val="both"/>
      </w:pPr>
    </w:p>
    <w:p w:rsidR="003E6588" w:rsidRDefault="003E6588">
      <w:pPr>
        <w:ind w:firstLine="1134"/>
        <w:jc w:val="both"/>
        <w:rPr>
          <w:strike/>
        </w:rPr>
      </w:pPr>
      <w:r>
        <w:t xml:space="preserve">O DAESP manteve grande esforço nas ações voltadas ao aumento da geração de receitas, cujos recursos permitiram complementar aqueles provenientes do Tesouro e fazer frente às despesas de custeio operacional dos aeroportos. A despeito do empenho no controle das despesas, houve aumento significativo daquelas relativas à operação das seções contra incêndio, onde o número de postos operacionais nos aeroportos cresceu em função das exigências impostas pela Agência Nacional da Aviação Civil </w:t>
      </w:r>
      <w:r w:rsidR="00923E52">
        <w:t xml:space="preserve">- </w:t>
      </w:r>
      <w:r>
        <w:t>ANAC.</w:t>
      </w:r>
    </w:p>
    <w:p w:rsidR="003E6588" w:rsidRDefault="003E6588">
      <w:pPr>
        <w:widowControl w:val="0"/>
        <w:ind w:firstLine="1134"/>
        <w:jc w:val="both"/>
        <w:rPr>
          <w:b/>
          <w:bCs/>
        </w:rPr>
      </w:pPr>
    </w:p>
    <w:p w:rsidR="003E6588" w:rsidRDefault="003E6588">
      <w:pPr>
        <w:widowControl w:val="0"/>
        <w:ind w:firstLine="1134"/>
        <w:jc w:val="both"/>
      </w:pPr>
      <w:r>
        <w:rPr>
          <w:b/>
          <w:bCs/>
        </w:rPr>
        <w:t xml:space="preserve">Movimento de passageiros e aeronaves - </w:t>
      </w:r>
      <w:r>
        <w:t>O DAESP registrou 2.239.000 passageiros nos terminais e 377.606 operações de pousos e decolagens de aeronaves.</w:t>
      </w:r>
    </w:p>
    <w:p w:rsidR="003E6588" w:rsidRDefault="003E6588">
      <w:pPr>
        <w:ind w:firstLine="1134"/>
        <w:jc w:val="both"/>
      </w:pPr>
    </w:p>
    <w:p w:rsidR="003E6588" w:rsidRDefault="003E6588">
      <w:pPr>
        <w:ind w:firstLine="1134"/>
        <w:jc w:val="both"/>
      </w:pPr>
      <w:r>
        <w:t xml:space="preserve">A despeito da desaceleração verificada em todos os segmentos da atividade econômica no </w:t>
      </w:r>
      <w:r w:rsidR="00957E14">
        <w:t>País</w:t>
      </w:r>
      <w:r>
        <w:t>, os aeroportos que operaram voos da aviação comercial regular nesse período - Araçatuba, Araraquara, Bauru-Arealva, Marília, Presidente Prudente, Ribeirão Preto e São José do Rio Preto - elevaram sua participação para 94% do total de passageiros transportados em toda a rede do DAESP, com destaque para o crescimento de 13% do movimento de passageiros do aeroporto de Presidente Prudente e 27% no aeroporto de Bauru-Arealva.</w:t>
      </w:r>
    </w:p>
    <w:p w:rsidR="003E6588" w:rsidRDefault="003E6588">
      <w:pPr>
        <w:ind w:firstLine="1134"/>
        <w:jc w:val="both"/>
      </w:pPr>
    </w:p>
    <w:p w:rsidR="003E6588" w:rsidRDefault="003E6588">
      <w:pPr>
        <w:ind w:firstLine="1134"/>
        <w:jc w:val="both"/>
      </w:pPr>
      <w:r>
        <w:t>Entre os aeroportos da aviação geral, o aeroporto de Campinas-Amarais continua a registrar aumento de movimento de aeronaves (13%), mesmo percentual alcançado pelo aeroporto de Tupã. O destaque ficou por conta do aeroporto de Registro, que apontou um aumento de 44% nas operações num processo de consolidação dessa nova alternativa de transporte na região do Vale do Ribeira.</w:t>
      </w:r>
    </w:p>
    <w:p w:rsidR="003E6588" w:rsidRDefault="003E6588">
      <w:pPr>
        <w:ind w:firstLine="1134"/>
        <w:jc w:val="both"/>
      </w:pPr>
    </w:p>
    <w:p w:rsidR="003E6588" w:rsidRDefault="003E6588">
      <w:pPr>
        <w:widowControl w:val="0"/>
        <w:ind w:firstLine="1134"/>
        <w:jc w:val="both"/>
      </w:pPr>
      <w:r>
        <w:rPr>
          <w:b/>
          <w:bCs/>
        </w:rPr>
        <w:t xml:space="preserve">Aplicação dos recursos de Investimento e Custeio - </w:t>
      </w:r>
      <w:r>
        <w:t xml:space="preserve">A maior parte dos R$ 18,4 milhões aprovados para o exercício foi investido no programa de modernização e ampliação da infraestrutura operacional da rede. Para melhorar o nível de conforto dos passageiros, o DAESP investiu nas obras de revitalização dos terminais de passageiros dos Aeroportos de Andradina, Presidente Epitácio e Tupã, iniciou os trabalhos nos Aeroporto Avaré-Arandu e São Manuel e construção de marquises e revitalização de edificações operacionais em Votuporanga. </w:t>
      </w:r>
    </w:p>
    <w:p w:rsidR="003E6588" w:rsidRDefault="003E6588">
      <w:pPr>
        <w:ind w:firstLine="1134"/>
        <w:jc w:val="both"/>
      </w:pPr>
    </w:p>
    <w:p w:rsidR="003E6588" w:rsidRDefault="003E6588">
      <w:pPr>
        <w:ind w:firstLine="1134"/>
        <w:jc w:val="both"/>
      </w:pPr>
      <w:r>
        <w:lastRenderedPageBreak/>
        <w:t>Para atender a requisitos de segurança operacional, revitalizou o sistema de sinalização horizontal dos Aeroportos de Marília e Ourinhos e mantém programa de remoção de borracha e medição de atrito das pistas de pouso e decolagem dos aeroportos de Araçatuba, Bauru-Arealva, Marília, Presidente Prudente, Ribeirão Preto, São José do Rio Preto, Jundiaí e Sorocaba.</w:t>
      </w:r>
    </w:p>
    <w:p w:rsidR="003E6588" w:rsidRDefault="003E6588">
      <w:pPr>
        <w:ind w:firstLine="1134"/>
        <w:jc w:val="both"/>
      </w:pPr>
    </w:p>
    <w:p w:rsidR="003E6588" w:rsidRDefault="003E6588">
      <w:pPr>
        <w:ind w:firstLine="1134"/>
        <w:jc w:val="both"/>
      </w:pPr>
      <w:r>
        <w:t>Com vista à segurança, foram recapeados em asfalto os sistemas de pistas e pátios do Aeroportos de Bauru-Centro e Registro: R$ 5,1 milhões.</w:t>
      </w:r>
    </w:p>
    <w:p w:rsidR="003E6588" w:rsidRDefault="003E6588">
      <w:pPr>
        <w:ind w:firstLine="1134"/>
        <w:jc w:val="both"/>
      </w:pPr>
    </w:p>
    <w:p w:rsidR="003E6588" w:rsidRDefault="003E6588">
      <w:pPr>
        <w:ind w:firstLine="1134"/>
        <w:jc w:val="both"/>
      </w:pPr>
      <w:r>
        <w:t>O Aeroporto de Ribeirão Preto, devido à sua intensa demanda, continuou recebendo investimentos, tendo sido revitalizado o Terminal de Passageiros com pintura e reforço na infraestrutura elétrica e iluminação. O projeto denominado RAO Internacional, que envolve obras de deslocamento da pista, implantação de novo sistema viário e ampliação do TPS, teve seu detalhamento e licenciamento ambiental estando apto para receber investimentos do PIL-SAC.</w:t>
      </w:r>
    </w:p>
    <w:p w:rsidR="003E6588" w:rsidRDefault="003E6588">
      <w:pPr>
        <w:ind w:firstLine="1134"/>
        <w:jc w:val="both"/>
      </w:pPr>
    </w:p>
    <w:p w:rsidR="003E6588" w:rsidRDefault="003E6588">
      <w:pPr>
        <w:ind w:firstLine="1134"/>
        <w:jc w:val="both"/>
      </w:pPr>
      <w:r>
        <w:t>A gestão da operação dos aeroportos da rede demandou aumento de 3% nas despesas de custeio, aumento suportado pela arrecadação de receitas comerciais e tarifárias. Excluídas as despesas de pessoal e de encargos, a administração buscou qualificar o custeio, privilegiando a contratação da prestação de serviços técnicos voltados à segurança operacional dos aeroportos e à melhoria da qualidade do atendimento aos passageiros e usuários, em cumprimento às orientações e determinações das Autoridades Aeronáuticas: SAC, DECEA e ANAC. Somente as despesas com serviços considerados essenciais (obrigação de fazer) à atividade aeroportuária representam 71% distribuídos entre Bombeiros-SCI (28%), vigilância e segurança (17%), proteção/inspeção (16%) e telecomunicações aeronáuticas - operação de torre de controle e rádios - EPTA (10%).</w:t>
      </w:r>
    </w:p>
    <w:p w:rsidR="003E6588" w:rsidRDefault="003E6588">
      <w:pPr>
        <w:ind w:firstLine="1134"/>
        <w:jc w:val="both"/>
      </w:pPr>
    </w:p>
    <w:p w:rsidR="003E6588" w:rsidRDefault="003E6588">
      <w:pPr>
        <w:ind w:firstLine="1134"/>
        <w:jc w:val="both"/>
      </w:pPr>
      <w:r>
        <w:t>Entre esses serviços, destacam-se: vigilância eletrônica para monitoramento da segurança nos aeroportos com aviação comercial regular, serviços auxiliares operacionais de transporte aéreo nos aeroportos da aviação geral com movimento expressivo de aeronaves como Bragança Paulista, Campinas-Amarais, Itanhaém, Jundiaí e Sorocaba; serviços de prevenção, salvamento e combate a incêndio para os aeroportos de Araraquara Araçatuba, Marília, Bauru-Arealva, São José do Rio Preto, Presidente Prudente, Bauru-Arealva, Ribeirão Preto, Jundiaí, Itanhaém e Sorocaba.</w:t>
      </w:r>
    </w:p>
    <w:p w:rsidR="003E6588" w:rsidRDefault="003E6588">
      <w:pPr>
        <w:ind w:firstLine="1134"/>
        <w:jc w:val="both"/>
      </w:pPr>
    </w:p>
    <w:p w:rsidR="003E6588" w:rsidRDefault="003E6588">
      <w:pPr>
        <w:widowControl w:val="0"/>
        <w:ind w:firstLine="1134"/>
        <w:jc w:val="both"/>
      </w:pPr>
      <w:r>
        <w:rPr>
          <w:b/>
          <w:bCs/>
        </w:rPr>
        <w:t xml:space="preserve">Receitas Comerciais e Tarifas Aeroportuárias - </w:t>
      </w:r>
      <w:r>
        <w:t>A arrecadação das receitas comerciais foi fundamental na geração de recursos para complementar o orçamento da autarquia e para atender às necessidades operacionais dos aeroportos.</w:t>
      </w:r>
    </w:p>
    <w:p w:rsidR="003E6588" w:rsidRDefault="003E6588">
      <w:pPr>
        <w:ind w:firstLine="1134"/>
        <w:jc w:val="both"/>
      </w:pPr>
    </w:p>
    <w:p w:rsidR="003E6588" w:rsidRDefault="003E6588">
      <w:pPr>
        <w:ind w:firstLine="1134"/>
        <w:jc w:val="both"/>
      </w:pPr>
      <w:r>
        <w:t>Foram realizadas 53 novas licitações públicas para concessões de áreas nos aeroportos para exploração de atividades comerciais diversas, resultando em 14 novos contratos, com previsão de arrecadação anual adicional de cerca de R$ 2 milhões em receitas comerciais.</w:t>
      </w:r>
    </w:p>
    <w:p w:rsidR="003E6588" w:rsidRDefault="003E6588">
      <w:pPr>
        <w:ind w:firstLine="1134"/>
        <w:jc w:val="both"/>
      </w:pPr>
    </w:p>
    <w:p w:rsidR="003E6588" w:rsidRDefault="003E6588">
      <w:pPr>
        <w:widowControl w:val="0"/>
        <w:ind w:firstLine="1134"/>
        <w:jc w:val="both"/>
      </w:pPr>
      <w:r>
        <w:rPr>
          <w:b/>
          <w:bCs/>
        </w:rPr>
        <w:t xml:space="preserve">Ações da área operacional - </w:t>
      </w:r>
      <w:r>
        <w:t xml:space="preserve">Na área de operação, o DAESP realizou exercícios simulados de combate a incêndio e salvamento nos aeroportos, com participação e colaboração da Defesa Civil, Polícia Militar, Corpo de Bombeiros do Estado, SAMU, Guarda Civil e Grupamento Águia da Polícia, num programa de treinamento com objetivo de capacitar as equipes de emergência dos aeroportos e </w:t>
      </w:r>
      <w:r>
        <w:lastRenderedPageBreak/>
        <w:t>municípios envolvidos; deu continuidade ao sistema de credenciamento de funcionários em atividade nas unidades aeroportuárias. Promoveu o treinamento de funcionários, participou de cursos para capacitação e gestão do sistema. No sistema de prevenção e combate a incêndio nos aeroportos, efetivou, após a chegada dos caminhões contra incêndio, a reclassificação dos níveis estabelecidos e homologados pela ANAC, deu continuidade à capacitação de funcionários de empresas aéreas para o desempenho de atividades operacionais nos aeroportos, fez acompanhamento técnico das inspeções aeroportuárias realizadas pela ANAC e DECEA nas unidades da rede, e realizou vistorias técnicas e relatórios operacionais de infraestrutura da rede aeroportuária.</w:t>
      </w:r>
    </w:p>
    <w:p w:rsidR="003E6588" w:rsidRDefault="003E6588">
      <w:pPr>
        <w:ind w:firstLine="1134"/>
        <w:jc w:val="both"/>
      </w:pPr>
    </w:p>
    <w:p w:rsidR="003E6588" w:rsidRDefault="003E6588">
      <w:pPr>
        <w:ind w:firstLine="1134"/>
        <w:jc w:val="both"/>
      </w:pPr>
      <w:r>
        <w:t xml:space="preserve">Atendendo às exigências da ANAC, deu prosseguimento à atualização e implantação dos Programas de Segurança Aeroportuária </w:t>
      </w:r>
      <w:r w:rsidR="00923E52">
        <w:t xml:space="preserve">- </w:t>
      </w:r>
      <w:r>
        <w:t xml:space="preserve">PSA, Programas de Prevenção de Acidentes Aeronáuticos </w:t>
      </w:r>
      <w:r w:rsidR="00923E52">
        <w:t xml:space="preserve">- </w:t>
      </w:r>
      <w:r>
        <w:t xml:space="preserve">PPAA, Planos de Emergência Aeroportuária </w:t>
      </w:r>
      <w:r w:rsidR="00923E52">
        <w:t xml:space="preserve">- </w:t>
      </w:r>
      <w:r>
        <w:t xml:space="preserve">PLEM e Planos Contra Incêndio </w:t>
      </w:r>
      <w:r w:rsidR="00923E52">
        <w:t xml:space="preserve">- </w:t>
      </w:r>
      <w:r>
        <w:t>PCINC, pa</w:t>
      </w:r>
      <w:r w:rsidR="00923E52">
        <w:t>ra todos os aeroportos da rede.</w:t>
      </w:r>
    </w:p>
    <w:p w:rsidR="003E6588" w:rsidRDefault="003E6588">
      <w:pPr>
        <w:ind w:firstLine="1134"/>
        <w:jc w:val="both"/>
      </w:pPr>
    </w:p>
    <w:p w:rsidR="003E6588" w:rsidRDefault="003E6588">
      <w:pPr>
        <w:widowControl w:val="0"/>
        <w:ind w:firstLine="1134"/>
        <w:jc w:val="both"/>
      </w:pPr>
      <w:r>
        <w:rPr>
          <w:b/>
          <w:bCs/>
        </w:rPr>
        <w:t xml:space="preserve">Administração - </w:t>
      </w:r>
      <w:r>
        <w:t xml:space="preserve">A Diretoria de Administração promoveu 16 processos licitatórios para atender às contratações de execução de obras e serviços do programa de modernização da infraestrutura aeroportuária do DAESP. Obteve economia equivalente a 6 % com relação aos valores originalmente reservados, fato que contribuiu para aplicação mais eficiente dos recursos orçamentários. Foram realizadas 54 contratações por meio da </w:t>
      </w:r>
      <w:r w:rsidR="00BE0AE9">
        <w:t xml:space="preserve">Bolsa Eletrônica </w:t>
      </w:r>
      <w:r>
        <w:t>d</w:t>
      </w:r>
      <w:r w:rsidR="00BE0AE9">
        <w:t>e</w:t>
      </w:r>
      <w:r>
        <w:t xml:space="preserve"> </w:t>
      </w:r>
      <w:r w:rsidR="00BE0AE9">
        <w:t>Compras</w:t>
      </w:r>
      <w:r>
        <w:t xml:space="preserve"> </w:t>
      </w:r>
      <w:r w:rsidR="00BE0AE9">
        <w:t xml:space="preserve">- </w:t>
      </w:r>
      <w:r>
        <w:t>BEC, visando à contratação de serviços técnicos, administrativos e operacionais, para aquisição de materiais de suprimento, peças, componentes e equipamentos utilizados nos sistemas elétricos essenciais dos aeroportos, além do atend</w:t>
      </w:r>
      <w:r w:rsidR="00BE0AE9">
        <w:t>imento às necessidades da sede.</w:t>
      </w:r>
    </w:p>
    <w:p w:rsidR="003E6588" w:rsidRDefault="003E6588">
      <w:pPr>
        <w:ind w:firstLine="1134"/>
        <w:jc w:val="both"/>
      </w:pPr>
    </w:p>
    <w:p w:rsidR="003E6588" w:rsidRDefault="003E6588">
      <w:pPr>
        <w:ind w:firstLine="1134"/>
        <w:jc w:val="both"/>
      </w:pPr>
      <w:r>
        <w:t>A administração adquiriu equipamentos para atender à necessidade de renovação da infraestrutura de tecnologia da informação (</w:t>
      </w:r>
      <w:r>
        <w:rPr>
          <w:i/>
        </w:rPr>
        <w:t>softwares</w:t>
      </w:r>
      <w:r>
        <w:t xml:space="preserve">, impressoras, </w:t>
      </w:r>
      <w:r>
        <w:rPr>
          <w:i/>
        </w:rPr>
        <w:t>switch</w:t>
      </w:r>
      <w:r>
        <w:t xml:space="preserve">, </w:t>
      </w:r>
      <w:r>
        <w:rPr>
          <w:i/>
        </w:rPr>
        <w:t>no-breaks</w:t>
      </w:r>
      <w:r>
        <w:t>), manteve programa de abastecimento de combustíveis da frota por meio de sistema de cartões magnéticos (</w:t>
      </w:r>
      <w:r>
        <w:rPr>
          <w:i/>
        </w:rPr>
        <w:t>Good Card</w:t>
      </w:r>
      <w:r>
        <w:t>) e implantou sistema de vales-refeição para o programa de alimentação dos funcionários.</w:t>
      </w:r>
    </w:p>
    <w:p w:rsidR="003E6588" w:rsidRDefault="003E6588">
      <w:pPr>
        <w:ind w:firstLine="1134"/>
        <w:jc w:val="both"/>
      </w:pPr>
    </w:p>
    <w:p w:rsidR="003E6588" w:rsidRDefault="003E6588">
      <w:pPr>
        <w:widowControl w:val="0"/>
        <w:ind w:firstLine="1134"/>
        <w:jc w:val="both"/>
      </w:pPr>
      <w:r>
        <w:rPr>
          <w:b/>
          <w:bCs/>
        </w:rPr>
        <w:t xml:space="preserve">Gestão Ambiental - </w:t>
      </w:r>
      <w:r>
        <w:t>O DAESP intensificou investimentos e ações voltadas à gestão ambiental e ao desenvolvimento sustentável da rede de aeroportos.</w:t>
      </w:r>
    </w:p>
    <w:p w:rsidR="003E6588" w:rsidRDefault="003E6588">
      <w:pPr>
        <w:ind w:firstLine="1134"/>
        <w:jc w:val="both"/>
      </w:pPr>
    </w:p>
    <w:p w:rsidR="003E6588" w:rsidRDefault="003E6588">
      <w:pPr>
        <w:ind w:firstLine="1134"/>
        <w:jc w:val="both"/>
      </w:pPr>
      <w:r>
        <w:t>Obteve licença ambiental de operação de regularização - LOR do aeroporto de Ribeirão Preto, autorizando-o, junto ao órgão ambiental, à realização das obras de ampliação e modernização da infraestrutura operacional do aeroporto. Concluiu processo de regularização do aeroporto de Marília, com expedição da respectiva LOR, e obteve licença prévia - LP e licença de instalação - LI para execução de obras de construção do novo terminal de passageiros, pátio de aeronaves e estacionamento de veículos do aeroporto. O DAESP eleva para 4 o número de aeroportos cujas operações estão licenciadas, incluindo os aeroportos de Bauru-Arealva e de Registro, cujas licenças já se encontram em fase de renovação.</w:t>
      </w:r>
    </w:p>
    <w:p w:rsidR="003E6588" w:rsidRDefault="003E6588">
      <w:pPr>
        <w:ind w:firstLine="1134"/>
        <w:jc w:val="both"/>
      </w:pPr>
    </w:p>
    <w:p w:rsidR="003E6588" w:rsidRDefault="003E6588">
      <w:pPr>
        <w:ind w:firstLine="1134"/>
        <w:jc w:val="both"/>
      </w:pPr>
      <w:r>
        <w:t>Concluiu e submeteu à análise do órgão licenciador os relatórios de regularização ambiental - RRA dos aeroportos de Araçatuba, Presidente Prudente e São José do Rio Preto.</w:t>
      </w:r>
    </w:p>
    <w:p w:rsidR="003E6588" w:rsidRDefault="003E6588">
      <w:pPr>
        <w:ind w:firstLine="1134"/>
        <w:jc w:val="both"/>
      </w:pPr>
    </w:p>
    <w:p w:rsidR="003E6588" w:rsidRDefault="003E6588">
      <w:pPr>
        <w:ind w:firstLine="1134"/>
        <w:jc w:val="both"/>
      </w:pPr>
      <w:r>
        <w:lastRenderedPageBreak/>
        <w:t xml:space="preserve">Em razão das condicionantes estabelecidas nas licenças de operação - LO e de operação de regularização - LOR, foi dado andamento aos programas de gestão ambiental da operação dos aeroportos de Registro, Marília e de Ribeirão Preto. </w:t>
      </w:r>
    </w:p>
    <w:p w:rsidR="003E6588" w:rsidRDefault="003E6588">
      <w:pPr>
        <w:ind w:firstLine="1134"/>
        <w:jc w:val="both"/>
      </w:pPr>
    </w:p>
    <w:p w:rsidR="003E6588" w:rsidRDefault="003E6588">
      <w:pPr>
        <w:ind w:firstLine="1134"/>
        <w:jc w:val="both"/>
      </w:pPr>
      <w:r>
        <w:t xml:space="preserve">Visando atender ao disposto nas políticas nacional e estadual de resíduos sólidos, concluiu a elaboração de planos de gerenciamento de resíduos sólidos - PGRS para a maioria dos aeroportos da rede (17): Araçatuba, Bauru-Arealva, Marília, Presidente Prudente, Ribeirão Preto, São José do Rio Preto, Bragança Paulista, Campinas-Amarais, Jundiaí, Sorocaba, Itanhaém, Ubatuba, Registro, Araraquara, </w:t>
      </w:r>
      <w:r w:rsidR="00BE0AE9">
        <w:t>Franca, Ourinhos e Votuporanga.</w:t>
      </w:r>
    </w:p>
    <w:p w:rsidR="003E6588" w:rsidRDefault="003E6588">
      <w:pPr>
        <w:ind w:firstLine="1134"/>
        <w:jc w:val="both"/>
      </w:pPr>
    </w:p>
    <w:p w:rsidR="003E6588" w:rsidRDefault="003E6588">
      <w:pPr>
        <w:ind w:firstLine="1134"/>
        <w:jc w:val="both"/>
      </w:pPr>
      <w:r>
        <w:t>Concluiu processo de licitação pública para contratação dos serviços de implantação do PGRS no Aeroporto de Ribeirão Preto, aeroporto que será pioneiro no cumprimento dessa exigência na rede paulista.</w:t>
      </w:r>
    </w:p>
    <w:p w:rsidR="003E6588" w:rsidRDefault="003E6588">
      <w:pPr>
        <w:ind w:firstLine="1134"/>
        <w:jc w:val="both"/>
      </w:pPr>
    </w:p>
    <w:p w:rsidR="003E6588" w:rsidRDefault="003E6588">
      <w:pPr>
        <w:ind w:firstLine="1134"/>
        <w:jc w:val="both"/>
      </w:pPr>
      <w:r>
        <w:t>Em razão das intervenções decorrentes do seu programa de obras, o DAESP continua o trabalho de monitoramento de 50 mil mudas de espécies nativas, para atender aos compromissos de compensação e recuperação ambiental celebrados com autoridades ambientais.</w:t>
      </w:r>
    </w:p>
    <w:p w:rsidR="003E6588" w:rsidRDefault="003E6588">
      <w:pPr>
        <w:ind w:firstLine="1134"/>
        <w:jc w:val="both"/>
      </w:pPr>
    </w:p>
    <w:p w:rsidR="003E6588" w:rsidRDefault="003E6588">
      <w:pPr>
        <w:ind w:firstLine="1134"/>
        <w:jc w:val="both"/>
      </w:pPr>
      <w:r>
        <w:t>No campo da prevenção do risco da fauna, atividade ambiental importante para segurança das operações nos aeroportos, o DAESP concluiu o Plano de Manejo de Fauna em Aeródromos-PMFA do Aeroporto de Campinas-Amarais que, juntamente com o plano do Aeroporto de Jundiaí, deverá ser submetido à análise e aprovação da CETESB. Os Planos de Ribeirão Preto, São José do Rio Preto e Presidente Prudente estão em fase de conclusão.</w:t>
      </w:r>
    </w:p>
    <w:p w:rsidR="003E6588" w:rsidRDefault="003E6588">
      <w:pPr>
        <w:ind w:firstLine="1134"/>
        <w:jc w:val="both"/>
      </w:pPr>
    </w:p>
    <w:p w:rsidR="003E6588" w:rsidRDefault="003E6588">
      <w:pPr>
        <w:widowControl w:val="0"/>
        <w:ind w:firstLine="1134"/>
        <w:jc w:val="both"/>
      </w:pPr>
      <w:r>
        <w:rPr>
          <w:b/>
          <w:bCs/>
        </w:rPr>
        <w:t xml:space="preserve">Ações institucionais - </w:t>
      </w:r>
      <w:r>
        <w:t>O DAESP recebeu da Secretaria da Aviação Civil da Presidência da República - SAC-PR anuência para dar sequência ao projeto de concessão do lote de 5 aeroportos da aviação executiva, elaborado com a ARTESP. Contudo ela foi revogada pela própria SAC e o lançamento do respectivo edital para a realização do leilão público continua pendente. Trata-se de projeto importante, opção viável para ampliação dos investimentos na infraestrutura aeroportuária e aprimoramento da gestão por meio da participação de agentes privados.</w:t>
      </w:r>
    </w:p>
    <w:p w:rsidR="003E6588" w:rsidRDefault="003E6588">
      <w:pPr>
        <w:ind w:firstLine="1134"/>
        <w:jc w:val="both"/>
      </w:pPr>
    </w:p>
    <w:p w:rsidR="003E6588" w:rsidRDefault="003E6588">
      <w:pPr>
        <w:ind w:firstLine="1134"/>
        <w:jc w:val="both"/>
      </w:pPr>
      <w:r>
        <w:t>O DAESP obteve credenciamento de 11 aeroportos da rede para receber aporte de recursos financeiros do Programa de Infraestrutura e Logística - PIL, do Governo Federal, apresentou informações necessárias à aprovação definitiva dos projetos e aos processos futuros de licitação para contratação das obras contempladas no programa.</w:t>
      </w:r>
    </w:p>
    <w:p w:rsidR="00A81FDC" w:rsidRDefault="00A81FDC">
      <w:pPr>
        <w:ind w:firstLine="1134"/>
        <w:jc w:val="both"/>
      </w:pPr>
    </w:p>
    <w:p w:rsidR="003E6588" w:rsidRDefault="003E6588">
      <w:pPr>
        <w:pStyle w:val="Rodap"/>
        <w:tabs>
          <w:tab w:val="clear" w:pos="4419"/>
          <w:tab w:val="clear" w:pos="8838"/>
        </w:tabs>
        <w:ind w:firstLine="1134"/>
        <w:jc w:val="both"/>
        <w:rPr>
          <w:b/>
          <w:bCs/>
        </w:rPr>
      </w:pPr>
      <w:r>
        <w:rPr>
          <w:b/>
          <w:bCs/>
        </w:rPr>
        <w:t>Planejamento de Transportes</w:t>
      </w:r>
    </w:p>
    <w:p w:rsidR="003E6588" w:rsidRDefault="003E6588">
      <w:pPr>
        <w:pStyle w:val="Rodap"/>
        <w:tabs>
          <w:tab w:val="clear" w:pos="4419"/>
          <w:tab w:val="clear" w:pos="8838"/>
        </w:tabs>
        <w:ind w:firstLine="1134"/>
        <w:jc w:val="both"/>
        <w:rPr>
          <w:b/>
          <w:bCs/>
        </w:rPr>
      </w:pPr>
    </w:p>
    <w:p w:rsidR="003E6588" w:rsidRDefault="003E6588">
      <w:pPr>
        <w:autoSpaceDE w:val="0"/>
        <w:autoSpaceDN w:val="0"/>
        <w:adjustRightInd w:val="0"/>
        <w:ind w:firstLine="1134"/>
        <w:jc w:val="both"/>
      </w:pPr>
      <w:r>
        <w:rPr>
          <w:b/>
          <w:bCs/>
          <w:color w:val="000000"/>
        </w:rPr>
        <w:t xml:space="preserve">Planejamento Estratégico - </w:t>
      </w:r>
      <w:r>
        <w:t>A Área de Planejamento de Transportes deu continuidade ao desenvolvimento do Plano Diretor de Logística e Transportes - PDLT 2030, que visa dotar a SLT de moderno instrumento de planejamento, usando as melhores ferramentas analíticas e bases de dados abrangentes para auxiliar a seleção do melhor conjunto de ações nos campos da infraestrutura, gestão e preços, para atingir os objetivos públicos previamente definidos, destacando-se as seguintes atividades:</w:t>
      </w:r>
    </w:p>
    <w:p w:rsidR="003E6588" w:rsidRDefault="003E6588">
      <w:pPr>
        <w:ind w:firstLine="1134"/>
        <w:jc w:val="both"/>
      </w:pPr>
    </w:p>
    <w:p w:rsidR="003E6588" w:rsidRDefault="003E6588">
      <w:pPr>
        <w:ind w:firstLine="1134"/>
        <w:jc w:val="both"/>
      </w:pPr>
      <w:r>
        <w:rPr>
          <w:b/>
        </w:rPr>
        <w:t>PDLT 2030 - Elaboração dos Estudos de Previabilidade do Sistema Multimodal Macrometropolitano de Cargas</w:t>
      </w:r>
      <w:r>
        <w:t xml:space="preserve"> - Foi concluída etapa de previabilidade do projeto que apresentou sustentabilidade financeira privada.</w:t>
      </w:r>
    </w:p>
    <w:p w:rsidR="003E6588" w:rsidRDefault="003E6588">
      <w:pPr>
        <w:ind w:firstLine="1134"/>
        <w:jc w:val="both"/>
      </w:pPr>
    </w:p>
    <w:p w:rsidR="003E6588" w:rsidRDefault="003E6588">
      <w:pPr>
        <w:ind w:firstLine="1134"/>
        <w:jc w:val="both"/>
        <w:rPr>
          <w:strike/>
        </w:rPr>
      </w:pPr>
      <w:r>
        <w:rPr>
          <w:b/>
        </w:rPr>
        <w:t xml:space="preserve">Outras Atividades Desenvolvidas - Definição do Arcabouço Metodológico para os Estudos Ambientais no PDLT - </w:t>
      </w:r>
      <w:r>
        <w:t>Foi desenvolvida a concepção do aprofundamento dos estudos ambientais no âmbito do PDLT; avançaram os estudos de demanda e oferta de transportes, que permitirão desenvolver análises de competitividade entre modos e instruir estudos de viabilidade econômico-financeira; foram concluídos os Termos de Referência para desenvolvimento dos estudos aeroportuários.</w:t>
      </w:r>
    </w:p>
    <w:p w:rsidR="003E6588" w:rsidRPr="00344DE8" w:rsidRDefault="003E6588" w:rsidP="00344DE8">
      <w:pPr>
        <w:ind w:firstLine="1134"/>
        <w:jc w:val="left"/>
      </w:pPr>
    </w:p>
    <w:p w:rsidR="003E6588" w:rsidRDefault="003E6588">
      <w:pPr>
        <w:ind w:firstLine="1134"/>
        <w:jc w:val="both"/>
      </w:pPr>
      <w:r>
        <w:rPr>
          <w:b/>
        </w:rPr>
        <w:t xml:space="preserve">Termo de Referência para o Plano Estratégico de Mobilidade para a Macrometrópole - </w:t>
      </w:r>
      <w:r>
        <w:t>A Área de Planejamento contribuiu para o desenvolvimento de Termo de Referência para contratação de estudos, que deverão apoiar o GESP na harmonização e dinamização de suas políticas de transporte de passageiros e logística de cargas, tendo como foco territorial a Macrometrópole Paulista, denominado PAM-TL.</w:t>
      </w:r>
    </w:p>
    <w:p w:rsidR="003E6588" w:rsidRDefault="003E6588">
      <w:pPr>
        <w:ind w:firstLine="1134"/>
        <w:jc w:val="both"/>
      </w:pPr>
    </w:p>
    <w:p w:rsidR="003E6588" w:rsidRDefault="003E6588">
      <w:pPr>
        <w:autoSpaceDE w:val="0"/>
        <w:autoSpaceDN w:val="0"/>
        <w:adjustRightInd w:val="0"/>
        <w:ind w:firstLine="1134"/>
        <w:jc w:val="both"/>
        <w:rPr>
          <w:b/>
          <w:sz w:val="28"/>
        </w:rPr>
      </w:pPr>
      <w:r>
        <w:rPr>
          <w:b/>
          <w:bCs/>
          <w:color w:val="000000"/>
        </w:rPr>
        <w:t xml:space="preserve">Transporte Ferroviário - </w:t>
      </w:r>
      <w:r>
        <w:t>A SLT promoveu intensas articulações com a União no sentido de contribuir para viabilizar a implantação desta infraestrutura ferroviária de grande relevância para a logística de movimentação de carga e passageiros na Região Metropolitana de São Paulo.</w:t>
      </w:r>
    </w:p>
    <w:p w:rsidR="003E6588" w:rsidRDefault="003E6588" w:rsidP="00344DE8">
      <w:pPr>
        <w:pStyle w:val="Rodap"/>
        <w:tabs>
          <w:tab w:val="clear" w:pos="4419"/>
          <w:tab w:val="clear" w:pos="8838"/>
        </w:tabs>
        <w:jc w:val="both"/>
      </w:pPr>
    </w:p>
    <w:p w:rsidR="003E6588" w:rsidRDefault="003E6588" w:rsidP="00344DE8">
      <w:pPr>
        <w:jc w:val="both"/>
      </w:pPr>
    </w:p>
    <w:p w:rsidR="003E6588" w:rsidRDefault="003E6588">
      <w:pPr>
        <w:rPr>
          <w:b/>
          <w:bCs/>
        </w:rPr>
      </w:pPr>
      <w:r>
        <w:br w:type="page"/>
      </w:r>
      <w:r>
        <w:rPr>
          <w:b/>
          <w:bCs/>
        </w:rPr>
        <w:lastRenderedPageBreak/>
        <w:t>SECRETARIA DO MEIO AMBIENTE</w:t>
      </w:r>
    </w:p>
    <w:p w:rsidR="003E6588" w:rsidRDefault="003E6588"/>
    <w:p w:rsidR="003E6588" w:rsidRDefault="003E6588"/>
    <w:p w:rsidR="003E6588" w:rsidRDefault="003E6588">
      <w:pPr>
        <w:ind w:firstLine="1134"/>
        <w:jc w:val="both"/>
      </w:pPr>
      <w:r>
        <w:t>A Secretaria do Meio Ambiente - SMA desenvolveu ações voltadas à conservação e preservação da biodiversidade e dos recursos naturais, educação ambiental, planejamento ambiental, licenciamento e fiscalização ambientais, controle de poluição e pesquisa ambiental com vistas ao desenvolvimento sustentável da sociedade paulista.</w:t>
      </w:r>
    </w:p>
    <w:p w:rsidR="003E6588" w:rsidRDefault="003E6588">
      <w:pPr>
        <w:ind w:firstLine="1134"/>
        <w:jc w:val="both"/>
      </w:pPr>
    </w:p>
    <w:p w:rsidR="003E6588" w:rsidRDefault="003E6588">
      <w:pPr>
        <w:ind w:firstLine="1134"/>
        <w:jc w:val="both"/>
        <w:rPr>
          <w:b/>
        </w:rPr>
      </w:pPr>
      <w:r>
        <w:rPr>
          <w:b/>
        </w:rPr>
        <w:t>CBRN - Coordenadoria de Biodiversidade e Recursos Naturais</w:t>
      </w:r>
    </w:p>
    <w:p w:rsidR="003E6588" w:rsidRDefault="003E6588">
      <w:pPr>
        <w:ind w:firstLine="1134"/>
        <w:jc w:val="both"/>
        <w:rPr>
          <w:b/>
        </w:rPr>
      </w:pPr>
    </w:p>
    <w:p w:rsidR="003E6588" w:rsidRDefault="003E6588">
      <w:pPr>
        <w:ind w:firstLine="1134"/>
        <w:jc w:val="both"/>
        <w:rPr>
          <w:rFonts w:eastAsia="Arial"/>
        </w:rPr>
      </w:pPr>
      <w:r>
        <w:rPr>
          <w:b/>
        </w:rPr>
        <w:t xml:space="preserve">Proteção de Remanescentes de Vegetação Nativa - </w:t>
      </w:r>
      <w:r>
        <w:rPr>
          <w:rFonts w:eastAsia="Arial"/>
        </w:rPr>
        <w:t xml:space="preserve">Foi publicada a Instrução Normativa nº 02/2014, do Ministério do Meio Ambiente, que implantou o Cadastro Ambiental Rural - CAR, dando prazo de um ano a partir dessa data para inscrição, nos termos da Lei nº 12.651/2012. A partir desse momento, a CBRN engendrou esforços no sentido de estimular ao máximo a inscrição de imóveis no Sistema de Cadastro Ambiental - SiCAR, que já estava em atividade desde seu lançamento. </w:t>
      </w:r>
      <w:r w:rsidRPr="00456370">
        <w:rPr>
          <w:rFonts w:eastAsia="Arial"/>
        </w:rPr>
        <w:t>Foram realizadas palestras de divulgação e orientação do SiCAR para um público de mais de 3.500</w:t>
      </w:r>
      <w:r>
        <w:rPr>
          <w:rFonts w:eastAsia="Arial"/>
        </w:rPr>
        <w:t xml:space="preserve"> pessoas e capacitações para técnicos de prefeituras e outras instituições, como a Federação dos Trabalhadores na Agricultura Familiar do Estado de São Paulo - FETAESP, que promoverão o apoio ao cadastramento de proprietários rurais. Foram firmados 330 convênios com prefeituras municipais, às quais foram cedidos equipamentos - um computador e uma impressora - para o apoio a pequenos proprietários na inscrição de seus imóveis. Como resultado de todas essas ações conjuntas para cadastramento no CAR, temos hoje aproximadamente 33 mil propriedades e posses rurais inscritas no SiCAR-SP, perfazendo 3,8 milhões de ha, ou 19% da área agrícola do Estado.</w:t>
      </w:r>
    </w:p>
    <w:p w:rsidR="003E6588" w:rsidRDefault="003E6588">
      <w:pPr>
        <w:ind w:firstLine="1134"/>
        <w:jc w:val="both"/>
      </w:pPr>
    </w:p>
    <w:p w:rsidR="003E6588" w:rsidRDefault="003E6588">
      <w:pPr>
        <w:ind w:firstLine="1134"/>
        <w:jc w:val="both"/>
      </w:pPr>
      <w:r>
        <w:rPr>
          <w:b/>
        </w:rPr>
        <w:t xml:space="preserve">Restauração Ecológica - Reserva Legal e Mata Ciliar - </w:t>
      </w:r>
      <w:r w:rsidRPr="006C3EAA">
        <w:t>Encontram-se</w:t>
      </w:r>
      <w:r>
        <w:t xml:space="preserve"> em restauração </w:t>
      </w:r>
      <w:r>
        <w:rPr>
          <w:rFonts w:eastAsia="Arial"/>
        </w:rPr>
        <w:t>75.298</w:t>
      </w:r>
      <w:r>
        <w:rPr>
          <w:rFonts w:eastAsia="Arial"/>
          <w:b/>
        </w:rPr>
        <w:t xml:space="preserve"> </w:t>
      </w:r>
      <w:r>
        <w:t xml:space="preserve">ha. </w:t>
      </w:r>
      <w:r>
        <w:rPr>
          <w:rFonts w:eastAsia="Arial"/>
        </w:rPr>
        <w:t>Foi publicada a Resolução SMA nº 32/2014, que estabelece as orientações, diretrizes e critérios sobre restauração e institui o Sistema Informatizado de Apoio à Restauração Ecológica - SARE, com a finalidade de registro, monitoramento e apoio às iniciativas e projetos de restauração ecológica no Estado. Outra ação de fomento para a restauração foi a publicação da Resolução SMA nº 70/2014, que define a metodologia de conversão de obrigações de reposição florestal para alocação de recursos no Programa Mata Ciliar. Este Programa, instituído pelo Decreto nº 60.521/2014, tem como metas recuperar cerca de 20 mil ha de matas ciliares e proteger 6.000 km de cursos d’água, com o intuito de ampliar a proteção e recuperação de matas ciliares e nascentes, especialmente em bacias hidrográficas destinadas ao abastecimento público. As ações são desenvolvidas por meio do direcionamento de investimentos públicos e privados, sendo que inicialmente o programa é desenvolvido nas bacias hidrográficas Alto Tietê, Paraíba do Sul e Piracicaba-Capivari-Jundiaí, regiões que concentram mais de 30 milhões de habitantes.</w:t>
      </w:r>
    </w:p>
    <w:p w:rsidR="003E6588" w:rsidRDefault="003E6588">
      <w:pPr>
        <w:ind w:firstLine="1134"/>
        <w:jc w:val="both"/>
        <w:rPr>
          <w:b/>
        </w:rPr>
      </w:pPr>
    </w:p>
    <w:p w:rsidR="003E6588" w:rsidRDefault="003E6588">
      <w:pPr>
        <w:ind w:firstLine="1134"/>
        <w:jc w:val="both"/>
        <w:rPr>
          <w:rFonts w:eastAsia="Arial"/>
        </w:rPr>
      </w:pPr>
      <w:r>
        <w:rPr>
          <w:b/>
        </w:rPr>
        <w:t xml:space="preserve">Fomento à Sustentabilidade de Atividades Agropecuárias e Florestais - </w:t>
      </w:r>
      <w:r>
        <w:rPr>
          <w:rFonts w:eastAsia="Arial"/>
        </w:rPr>
        <w:t>As áreas comprometidas com boas práticas agroambientais foram ampliadas de 4,0 milhões para 5,74 milhões de ha, representando de 28% da área agricultável do Estado.</w:t>
      </w:r>
    </w:p>
    <w:p w:rsidR="003E6588" w:rsidRDefault="003E6588">
      <w:pPr>
        <w:pStyle w:val="Normal1"/>
        <w:spacing w:after="0" w:line="240" w:lineRule="auto"/>
        <w:ind w:firstLine="1134"/>
        <w:jc w:val="both"/>
        <w:rPr>
          <w:rFonts w:ascii="Times New Roman" w:eastAsia="Arial" w:hAnsi="Times New Roman" w:cs="Times New Roman"/>
          <w:color w:val="auto"/>
          <w:sz w:val="24"/>
          <w:szCs w:val="24"/>
        </w:rPr>
      </w:pPr>
    </w:p>
    <w:p w:rsidR="003E6588" w:rsidRDefault="003E6588">
      <w:pPr>
        <w:pStyle w:val="Normal1"/>
        <w:spacing w:after="0" w:line="240" w:lineRule="auto"/>
        <w:ind w:firstLine="1134"/>
        <w:jc w:val="both"/>
        <w:rPr>
          <w:rFonts w:ascii="Times New Roman" w:eastAsia="Arial" w:hAnsi="Times New Roman" w:cs="Times New Roman"/>
          <w:color w:val="auto"/>
          <w:sz w:val="24"/>
          <w:szCs w:val="24"/>
        </w:rPr>
      </w:pPr>
      <w:r>
        <w:rPr>
          <w:rFonts w:ascii="Times New Roman" w:eastAsia="Arial" w:hAnsi="Times New Roman" w:cs="Times New Roman"/>
          <w:color w:val="auto"/>
          <w:sz w:val="24"/>
          <w:szCs w:val="24"/>
        </w:rPr>
        <w:t xml:space="preserve">No Protocolo Agroambiental, firmado no âmbito do Programa Etanol Verde, em que são </w:t>
      </w:r>
      <w:r>
        <w:rPr>
          <w:rFonts w:ascii="Times New Roman" w:eastAsia="Arial" w:hAnsi="Times New Roman" w:cs="Times New Roman"/>
          <w:color w:val="auto"/>
          <w:sz w:val="24"/>
          <w:szCs w:val="24"/>
        </w:rPr>
        <w:lastRenderedPageBreak/>
        <w:t xml:space="preserve">signatárias </w:t>
      </w:r>
      <w:r>
        <w:rPr>
          <w:rFonts w:ascii="Times New Roman" w:eastAsia="Arial" w:hAnsi="Times New Roman" w:cs="Times New Roman"/>
          <w:bCs/>
          <w:color w:val="auto"/>
          <w:sz w:val="24"/>
          <w:szCs w:val="24"/>
        </w:rPr>
        <w:t>90% das usinas e associações d</w:t>
      </w:r>
      <w:r>
        <w:rPr>
          <w:rFonts w:ascii="Times New Roman" w:eastAsia="Arial" w:hAnsi="Times New Roman" w:cs="Times New Roman"/>
          <w:color w:val="auto"/>
          <w:sz w:val="24"/>
          <w:szCs w:val="24"/>
        </w:rPr>
        <w:t xml:space="preserve">o setor sucroenergético paulista, foi atingida a marca de </w:t>
      </w:r>
      <w:r>
        <w:rPr>
          <w:rFonts w:ascii="Times New Roman" w:eastAsia="Arial" w:hAnsi="Times New Roman" w:cs="Times New Roman"/>
          <w:bCs/>
          <w:color w:val="auto"/>
          <w:sz w:val="24"/>
          <w:szCs w:val="24"/>
        </w:rPr>
        <w:t xml:space="preserve">5,18 milhões de hectares comprometidos com as boas práticas, o que representa o </w:t>
      </w:r>
      <w:r>
        <w:rPr>
          <w:rFonts w:ascii="Times New Roman" w:eastAsia="Arial" w:hAnsi="Times New Roman" w:cs="Times New Roman"/>
          <w:color w:val="auto"/>
          <w:sz w:val="24"/>
          <w:szCs w:val="24"/>
        </w:rPr>
        <w:t>equivalente a cerca de 25% da área agricultável do Estado. Em relação à safra anterior, h</w:t>
      </w:r>
      <w:r>
        <w:rPr>
          <w:rFonts w:ascii="Times New Roman" w:hAnsi="Times New Roman" w:cs="Times New Roman"/>
          <w:color w:val="auto"/>
          <w:sz w:val="24"/>
          <w:szCs w:val="24"/>
        </w:rPr>
        <w:t>ouve aumento do índice de cana colhida crua de 72,6% para 83,7% da área total de cana do Estado e diminuição de 500 mil hectares de cana queimada.</w:t>
      </w:r>
    </w:p>
    <w:p w:rsidR="003E6588" w:rsidRDefault="003E6588">
      <w:pPr>
        <w:pStyle w:val="Normal1"/>
        <w:spacing w:after="0" w:line="240" w:lineRule="auto"/>
        <w:ind w:firstLine="1134"/>
        <w:jc w:val="both"/>
        <w:rPr>
          <w:rFonts w:ascii="Times New Roman" w:eastAsia="Arial" w:hAnsi="Times New Roman" w:cs="Times New Roman"/>
          <w:color w:val="auto"/>
          <w:sz w:val="24"/>
          <w:szCs w:val="24"/>
        </w:rPr>
      </w:pPr>
    </w:p>
    <w:p w:rsidR="003E6588" w:rsidRDefault="003E6588">
      <w:pPr>
        <w:pStyle w:val="Normal1"/>
        <w:spacing w:after="0" w:line="240" w:lineRule="auto"/>
        <w:ind w:firstLine="1134"/>
        <w:jc w:val="both"/>
        <w:rPr>
          <w:rFonts w:ascii="Times New Roman" w:eastAsia="Arial" w:hAnsi="Times New Roman" w:cs="Times New Roman"/>
          <w:color w:val="auto"/>
          <w:sz w:val="24"/>
          <w:szCs w:val="24"/>
        </w:rPr>
      </w:pPr>
      <w:r>
        <w:rPr>
          <w:rFonts w:ascii="Times New Roman" w:eastAsia="Arial" w:hAnsi="Times New Roman" w:cs="Times New Roman"/>
          <w:color w:val="auto"/>
          <w:sz w:val="24"/>
          <w:szCs w:val="24"/>
        </w:rPr>
        <w:t>Já com relação ao Protocolo Agroambiental firmado com o setor florestal, foram entregues os primeiros certificados que atestam o compromisso das empresas Lwarcel, Fibria, Duratex e Suzano com as boas práticas, o que representa cerca de 570 mil hectares comprometidos com as Diretivas Técnicas estabelecidas no acordo.</w:t>
      </w:r>
    </w:p>
    <w:p w:rsidR="003E6588" w:rsidRDefault="003E6588">
      <w:pPr>
        <w:ind w:firstLine="1134"/>
        <w:jc w:val="both"/>
        <w:rPr>
          <w:b/>
        </w:rPr>
      </w:pPr>
    </w:p>
    <w:p w:rsidR="003E6588" w:rsidRDefault="003E6588">
      <w:pPr>
        <w:ind w:firstLine="1134"/>
        <w:jc w:val="both"/>
        <w:rPr>
          <w:rFonts w:eastAsia="Arial"/>
        </w:rPr>
      </w:pPr>
      <w:r>
        <w:rPr>
          <w:b/>
        </w:rPr>
        <w:t xml:space="preserve">Gestão da Fauna Silvestre e da Fauna Doméstica - </w:t>
      </w:r>
      <w:r>
        <w:t xml:space="preserve">100% das atividades relativas à gestão da fauna silvestre foram transferidas do Instituto Brasileiro de Meio Ambiente - IBAMA ao Estado. </w:t>
      </w:r>
      <w:r>
        <w:rPr>
          <w:rFonts w:eastAsia="Arial"/>
        </w:rPr>
        <w:t>Foi concluída a implantação do Sistema Integrado de Gestão de Fauna - GEFAU, sistema informatizado que permitirá o acesso aos dados de cada um dos empreendimentos ou atividades que utilizam fauna no Estado. Permitirá também a análise de processos e pedidos de autorizações.</w:t>
      </w:r>
    </w:p>
    <w:p w:rsidR="003E6588" w:rsidRDefault="003E6588">
      <w:pPr>
        <w:ind w:firstLine="1134"/>
        <w:jc w:val="both"/>
        <w:rPr>
          <w:rFonts w:eastAsia="Arial"/>
        </w:rPr>
      </w:pPr>
    </w:p>
    <w:p w:rsidR="003E6588" w:rsidRDefault="003E6588">
      <w:pPr>
        <w:pStyle w:val="Normal1"/>
        <w:spacing w:after="0" w:line="240" w:lineRule="auto"/>
        <w:ind w:firstLine="1134"/>
        <w:jc w:val="both"/>
        <w:rPr>
          <w:rFonts w:ascii="Times New Roman" w:hAnsi="Times New Roman" w:cs="Times New Roman"/>
          <w:color w:val="auto"/>
          <w:sz w:val="24"/>
          <w:szCs w:val="24"/>
        </w:rPr>
      </w:pPr>
      <w:r>
        <w:rPr>
          <w:rFonts w:ascii="Times New Roman" w:eastAsia="Arial" w:hAnsi="Times New Roman" w:cs="Times New Roman"/>
          <w:color w:val="auto"/>
          <w:sz w:val="24"/>
          <w:szCs w:val="24"/>
        </w:rPr>
        <w:t xml:space="preserve">Ainda como uma atividade de gestão da fauna no Estado, foi lançado o Sistema Estadual de Rastreabilidade de Animais Silvestres, com a publicação da Resolução SMA nº 93/2014. </w:t>
      </w:r>
      <w:r>
        <w:rPr>
          <w:rFonts w:ascii="Times New Roman" w:hAnsi="Times New Roman" w:cs="Times New Roman"/>
          <w:color w:val="auto"/>
          <w:sz w:val="24"/>
          <w:szCs w:val="24"/>
        </w:rPr>
        <w:t>Quanto à gestão da fauna doméstica, h</w:t>
      </w:r>
      <w:r>
        <w:rPr>
          <w:rFonts w:ascii="Times New Roman" w:eastAsia="Arial" w:hAnsi="Times New Roman" w:cs="Times New Roman"/>
          <w:color w:val="auto"/>
          <w:sz w:val="24"/>
          <w:szCs w:val="24"/>
        </w:rPr>
        <w:t xml:space="preserve">ouve grande demanda espontânea pela apresentação de Planos de Trabalho para acessar </w:t>
      </w:r>
      <w:r>
        <w:rPr>
          <w:rFonts w:ascii="Times New Roman" w:hAnsi="Times New Roman" w:cs="Times New Roman"/>
          <w:color w:val="auto"/>
          <w:sz w:val="24"/>
          <w:szCs w:val="24"/>
        </w:rPr>
        <w:t>o</w:t>
      </w:r>
      <w:r>
        <w:rPr>
          <w:rFonts w:ascii="Times New Roman" w:eastAsia="Arial" w:hAnsi="Times New Roman" w:cs="Times New Roman"/>
          <w:color w:val="auto"/>
          <w:sz w:val="24"/>
          <w:szCs w:val="24"/>
        </w:rPr>
        <w:t>s recursos destinados ao Programa Estadual de Identificação e Controle da População de Cães e Gatos. F</w:t>
      </w:r>
      <w:r>
        <w:rPr>
          <w:rFonts w:ascii="Times New Roman" w:hAnsi="Times New Roman" w:cs="Times New Roman"/>
          <w:color w:val="auto"/>
          <w:sz w:val="24"/>
          <w:szCs w:val="24"/>
        </w:rPr>
        <w:t>oram assinados 38 convênios, sendo 36 com Prefeituras e 2 com organizações não governamentais.</w:t>
      </w:r>
    </w:p>
    <w:p w:rsidR="003E6588" w:rsidRDefault="003E6588">
      <w:pPr>
        <w:ind w:firstLine="1134"/>
        <w:jc w:val="both"/>
        <w:rPr>
          <w:b/>
          <w:u w:val="single"/>
        </w:rPr>
      </w:pPr>
    </w:p>
    <w:p w:rsidR="003E6588" w:rsidRDefault="003E6588">
      <w:pPr>
        <w:ind w:firstLine="1134"/>
        <w:jc w:val="both"/>
        <w:rPr>
          <w:b/>
        </w:rPr>
      </w:pPr>
      <w:r>
        <w:rPr>
          <w:b/>
        </w:rPr>
        <w:t>CFA - Coordenadoria de Fiscalização Ambiental</w:t>
      </w:r>
    </w:p>
    <w:p w:rsidR="003E6588" w:rsidRDefault="003E6588">
      <w:pPr>
        <w:ind w:firstLine="1134"/>
        <w:jc w:val="both"/>
        <w:rPr>
          <w:b/>
        </w:rPr>
      </w:pPr>
    </w:p>
    <w:p w:rsidR="003E6588" w:rsidRDefault="003E6588">
      <w:pPr>
        <w:ind w:firstLine="1134"/>
        <w:jc w:val="both"/>
      </w:pPr>
      <w:r>
        <w:rPr>
          <w:b/>
        </w:rPr>
        <w:t xml:space="preserve">Nova Fiscalização Ambiental - </w:t>
      </w:r>
      <w:r>
        <w:t>Com a promulgação do Decreto nº 60.342/2014 e da Resolução SMA nº 48/2014, foi instituído um novo procedimento para imposição de penalidades, incluindo a criação do “Atendimento Ambiental”, momento destinado ao diálogo conciliatório entre o Estado e o autuado.</w:t>
      </w:r>
    </w:p>
    <w:p w:rsidR="003E6588" w:rsidRDefault="003E6588">
      <w:pPr>
        <w:ind w:firstLine="1134"/>
        <w:jc w:val="both"/>
      </w:pPr>
    </w:p>
    <w:p w:rsidR="003E6588" w:rsidRDefault="003E6588">
      <w:pPr>
        <w:ind w:firstLine="1134"/>
        <w:jc w:val="both"/>
      </w:pPr>
      <w:r>
        <w:rPr>
          <w:b/>
        </w:rPr>
        <w:t xml:space="preserve">Programa Estadual de Conciliação Ambiental - </w:t>
      </w:r>
      <w:r>
        <w:t>Instituído pela Resolução SMA nº 51/2014, o Programa Estadual de Conciliação Ambiental busca garantir os direitos dos autuados a um atendimento conciliatório para resolução dos processos relacionados às infrações contra o meio ambiente. Para a efetivação do Programa foram desenvolvidas ações, como:</w:t>
      </w:r>
    </w:p>
    <w:p w:rsidR="003E6588" w:rsidRDefault="003E6588">
      <w:pPr>
        <w:ind w:firstLine="1134"/>
        <w:jc w:val="both"/>
      </w:pPr>
    </w:p>
    <w:p w:rsidR="003E6588" w:rsidRDefault="003E6588">
      <w:pPr>
        <w:ind w:firstLine="1134"/>
        <w:jc w:val="both"/>
      </w:pPr>
      <w:r>
        <w:t>- Atendimento Ambiental - Implantação de 35 pontos de atendimento no Estado (Portaria CFA nº 08/2014); nomeação de mais de 200 agentes de conciliação.</w:t>
      </w:r>
    </w:p>
    <w:p w:rsidR="003E6588" w:rsidRDefault="003E6588">
      <w:pPr>
        <w:ind w:firstLine="1134"/>
        <w:jc w:val="both"/>
      </w:pPr>
    </w:p>
    <w:p w:rsidR="003E6588" w:rsidRDefault="003E6588">
      <w:pPr>
        <w:ind w:firstLine="1134"/>
        <w:jc w:val="both"/>
      </w:pPr>
      <w:r>
        <w:t>- Formação Continuada dos Agentes - 103 técnicos da SMA e 94 policiais militares ambientais; assinatura do Convênio com a Escola Paulista de Magistratura, para a elaboração conjunta de curso de formação de mediadores e conciliadores na área ambiental.</w:t>
      </w:r>
    </w:p>
    <w:p w:rsidR="003E6588" w:rsidRDefault="003E6588">
      <w:pPr>
        <w:ind w:firstLine="1134"/>
        <w:jc w:val="both"/>
        <w:rPr>
          <w:b/>
        </w:rPr>
      </w:pPr>
    </w:p>
    <w:p w:rsidR="003E6588" w:rsidRDefault="003E6588">
      <w:pPr>
        <w:ind w:firstLine="1134"/>
        <w:jc w:val="both"/>
      </w:pPr>
      <w:r>
        <w:rPr>
          <w:b/>
        </w:rPr>
        <w:lastRenderedPageBreak/>
        <w:t xml:space="preserve">Operação Corta Fogo - </w:t>
      </w:r>
      <w:r>
        <w:t xml:space="preserve">Foram realizadas: nas Ações de Prevenção, campanha em parceria com 19 concessionárias de rodovias para divulgação de mensagens em 34 painéis fixos, 58 painéis móveis e 47 faixas fixas, para alertar sobre o risco de fogo e informar telefones de emergência; </w:t>
      </w:r>
      <w:r>
        <w:rPr>
          <w:color w:val="000000"/>
        </w:rPr>
        <w:t>nas Ações de Monitoramento, acompanhamento dos focos detectados por satélite, que registraram 4.669 focos; ampliação do Sistema de Monitoramento e Alertas/INPE e aquisição de dois servidores, e elaboração e envio de 104 boletins de monitoramento aos centros regionais da CFA e às Unidades de Conservação do Estado;</w:t>
      </w:r>
      <w:r>
        <w:t xml:space="preserve"> nas Ações de Controle, aplicação de 527 autos de infração por uso irregular do fogo; </w:t>
      </w:r>
      <w:r>
        <w:rPr>
          <w:color w:val="000000"/>
        </w:rPr>
        <w:t xml:space="preserve">nas Ações de Combate, capacitação de 2.701 servidores de 408 </w:t>
      </w:r>
      <w:r>
        <w:t>muni</w:t>
      </w:r>
      <w:r>
        <w:rPr>
          <w:color w:val="000000"/>
        </w:rPr>
        <w:t>cípios como brigadistas para o combate ao fogo em vegetação; 32 caminhões-pipa para o combate ao fogo destinados aos municípios contemplados com recursos do Fundo Estadual de Prevenção e Controle da Poluição - FECOP; e, no período mais crítico de estiagem, registro de 20.233 ocorrências de incêndio em coberturas vegetais atendidas pelo Corpo de Bombeiros</w:t>
      </w:r>
      <w:r>
        <w:t>.</w:t>
      </w:r>
    </w:p>
    <w:p w:rsidR="003E6588" w:rsidRDefault="003E6588">
      <w:pPr>
        <w:ind w:firstLine="1134"/>
        <w:jc w:val="both"/>
        <w:rPr>
          <w:b/>
        </w:rPr>
      </w:pPr>
    </w:p>
    <w:p w:rsidR="003E6588" w:rsidRDefault="003E6588">
      <w:pPr>
        <w:ind w:firstLine="1134"/>
        <w:jc w:val="both"/>
      </w:pPr>
      <w:r>
        <w:rPr>
          <w:b/>
        </w:rPr>
        <w:t xml:space="preserve">Ações e Infraestrutura de Fiscalização - </w:t>
      </w:r>
      <w:r>
        <w:t xml:space="preserve">O empenho da fiscalização concentra esforços da CFA e da Polícia Militar Ambiental - PAmb e foram registrados: na PAmb 77.501 ações, que envolveram vistorias, bloqueios e ocorrências atendidas, sendo destas 11.229 destinadas ao combate ao tráfico de animais silvestres; 18.146.154 km percorridos e 24.212 horas navegadas; e 12.963 Autos de Infração lavrados; e, na CFA, 1.929 vistorias em campo realizadas pelos técnicos para averiguação de danos ou áreas de recuperação ambiental. Foram realizados investimentos em infraestrutura da fiscalização, com aquisição de equipamentos para CFA e PAmb (GPS, Máquinas Fotográficas, Computadores, </w:t>
      </w:r>
      <w:r>
        <w:rPr>
          <w:i/>
        </w:rPr>
        <w:t>Tablets</w:t>
      </w:r>
      <w:r>
        <w:t xml:space="preserve">, </w:t>
      </w:r>
      <w:r>
        <w:rPr>
          <w:i/>
        </w:rPr>
        <w:t>Notebooks</w:t>
      </w:r>
      <w:r>
        <w:t>, Paquímetros) e elaboração de projetos para construção e reforma de unidades da PAmb e Centros Técnicos Regionais de Fiscalização, além de investimento de 308 mil reais (recursos BIRD via Programa Pró-Vicinais) destinados ao desenvolvimento de sistema para implantação do AIA eletrônico e integração dos Sistemas de Informação da Polícia Ambiental e da Secretaria do Meio Ambiente.</w:t>
      </w:r>
    </w:p>
    <w:p w:rsidR="003E6588" w:rsidRDefault="003E6588">
      <w:pPr>
        <w:ind w:firstLine="1134"/>
        <w:jc w:val="both"/>
        <w:rPr>
          <w:b/>
        </w:rPr>
      </w:pPr>
    </w:p>
    <w:p w:rsidR="003E6588" w:rsidRDefault="003E6588">
      <w:pPr>
        <w:ind w:firstLine="1134"/>
        <w:jc w:val="both"/>
      </w:pPr>
      <w:r>
        <w:rPr>
          <w:b/>
        </w:rPr>
        <w:t xml:space="preserve">Planos de Fiscalização - </w:t>
      </w:r>
      <w:r>
        <w:t>Dentre os planos de fiscalização destinados ao planejamento das ações para proteção de territórios e bens ambientais de importância e relevância prioritárias, houve registro no SIM - Sistema Integrado de Monitoramento</w:t>
      </w:r>
      <w:r>
        <w:rPr>
          <w:b/>
        </w:rPr>
        <w:t xml:space="preserve"> </w:t>
      </w:r>
      <w:r>
        <w:t>de 4.630 ações de fiscalização realizadas nas Unidades de Conservação do Estado</w:t>
      </w:r>
      <w:r>
        <w:rPr>
          <w:color w:val="FF0000"/>
        </w:rPr>
        <w:t>,</w:t>
      </w:r>
      <w:r>
        <w:t xml:space="preserve"> com 601 identificações de ocorrências, sendo destas 32 % de Flora; no SIMMar - Sistema Integrado de Monitoramento Marítimo foi realizada a implantação do sistema nas regiões das Áreas de Proteção Ambiental - APA Marinhas do Litoral Sul, Centro e Norte, com a padronização de procedimentos para registro das fiscalizações, que totalizaram 180 ações voltadas ao combate da pesca marítima irregular, tendo 105 embarcações vistoriadas e 61 AIA lavrados; no Plano de Contenção de Ocupações Irregulares houve financiamento de recursos pelo Banco do Brasil e parceria com a CDHU para implantação do Projeto de Desenvolvimento Sustentável do Litoral Paulista, envolvendo a participação de 16 municípios litorâneos na proteção das áreas remanescentes da Mata Atlântica e contenção das ocupações irregulares em áreas protegidas ou em áreas de risco social e ambiental; na Formação Socioambiental, foi elaborado relatório com resultados das ações desenvolvidas para envolver a comunidade no desenvolvimento de abordagens aos problemas ambientais considerados nos planos de fiscalização, acompanhamento das ações realizadas pelos Conselhos participantes da ação e ampliação para as APAs Marinhas.</w:t>
      </w:r>
    </w:p>
    <w:p w:rsidR="003E6588" w:rsidRDefault="003E6588">
      <w:pPr>
        <w:ind w:firstLine="1134"/>
        <w:jc w:val="both"/>
      </w:pPr>
    </w:p>
    <w:p w:rsidR="003E6588" w:rsidRDefault="003E6588">
      <w:pPr>
        <w:ind w:firstLine="1134"/>
        <w:jc w:val="both"/>
      </w:pPr>
      <w:r>
        <w:rPr>
          <w:b/>
        </w:rPr>
        <w:lastRenderedPageBreak/>
        <w:t xml:space="preserve">MAIS - Monitoramento Ambiental por Imagens de Satélites - </w:t>
      </w:r>
      <w:r>
        <w:t>O MAIS fiscalizou cada ha do território paulista entre três a doze vezes, dependendo da cobertura de nuvens das imagens de satélite em cada região. Foram identificados 360 desmatamentos, somando 1.821 hectares de supressão de vegetação.</w:t>
      </w:r>
    </w:p>
    <w:p w:rsidR="003E6588" w:rsidRDefault="003E6588">
      <w:pPr>
        <w:ind w:firstLine="1134"/>
        <w:jc w:val="both"/>
      </w:pPr>
    </w:p>
    <w:p w:rsidR="003E6588" w:rsidRDefault="003E6588">
      <w:pPr>
        <w:ind w:firstLine="1134"/>
        <w:jc w:val="both"/>
      </w:pPr>
      <w:r>
        <w:rPr>
          <w:b/>
        </w:rPr>
        <w:t xml:space="preserve">Sistema de Denúncias - </w:t>
      </w:r>
      <w:r>
        <w:t>Foram registradas 31.746 denúncias no Sistema, sendo destas 97% consideradas atendidas pela Polícia Ambiental ou por demais integrantes do Sistema Ambiental Paulista.</w:t>
      </w:r>
    </w:p>
    <w:p w:rsidR="003E6588" w:rsidRDefault="003E6588">
      <w:pPr>
        <w:ind w:firstLine="1134"/>
        <w:jc w:val="both"/>
        <w:rPr>
          <w:b/>
        </w:rPr>
      </w:pPr>
    </w:p>
    <w:p w:rsidR="003E6588" w:rsidRDefault="003E6588">
      <w:pPr>
        <w:ind w:firstLine="1134"/>
        <w:jc w:val="both"/>
      </w:pPr>
      <w:r>
        <w:rPr>
          <w:b/>
        </w:rPr>
        <w:t xml:space="preserve">Articulação Institucional - </w:t>
      </w:r>
      <w:r>
        <w:t>Foi criado o Portal do Ministério Público, dando transparência às informações sobre os processos administrativos relacionados aos AIA e foram realizadas reuniões diretamente com os promotores de diversos municípios do Estado para apresentar as mudanças e alterações ocasionadas pela promulgação do Decreto nº 60.342/2014 e da Resolução SMA nº 48/2014.</w:t>
      </w:r>
    </w:p>
    <w:p w:rsidR="003E6588" w:rsidRDefault="003E6588">
      <w:pPr>
        <w:ind w:firstLine="1134"/>
        <w:jc w:val="both"/>
        <w:rPr>
          <w:b/>
          <w:u w:val="single"/>
        </w:rPr>
      </w:pPr>
    </w:p>
    <w:p w:rsidR="003E6588" w:rsidRDefault="003E6588">
      <w:pPr>
        <w:ind w:firstLine="1134"/>
        <w:jc w:val="both"/>
        <w:rPr>
          <w:b/>
        </w:rPr>
      </w:pPr>
      <w:r>
        <w:rPr>
          <w:b/>
        </w:rPr>
        <w:t>CPLA - Coordenadoria de Planejamento Ambiental</w:t>
      </w:r>
    </w:p>
    <w:p w:rsidR="003E6588" w:rsidRDefault="003E6588">
      <w:pPr>
        <w:pStyle w:val="PargrafodaLista1"/>
        <w:ind w:left="0" w:firstLine="1134"/>
        <w:jc w:val="both"/>
        <w:rPr>
          <w:b/>
          <w:u w:val="single"/>
        </w:rPr>
      </w:pPr>
    </w:p>
    <w:p w:rsidR="003E6588" w:rsidRDefault="003E6588">
      <w:pPr>
        <w:pStyle w:val="PargrafodaLista1"/>
        <w:ind w:left="0" w:firstLine="1134"/>
        <w:jc w:val="both"/>
        <w:rPr>
          <w:b/>
        </w:rPr>
      </w:pPr>
      <w:r>
        <w:rPr>
          <w:b/>
        </w:rPr>
        <w:t>Planejamento Ambiental</w:t>
      </w:r>
      <w:r>
        <w:t xml:space="preserve"> - </w:t>
      </w:r>
      <w:r>
        <w:rPr>
          <w:b/>
        </w:rPr>
        <w:t>Zoneamento Ambiental</w:t>
      </w:r>
    </w:p>
    <w:p w:rsidR="003E6588" w:rsidRDefault="003E6588">
      <w:pPr>
        <w:pStyle w:val="PargrafodaLista1"/>
        <w:ind w:left="0" w:firstLine="1134"/>
        <w:jc w:val="both"/>
        <w:rPr>
          <w:b/>
          <w:u w:val="single"/>
        </w:rPr>
      </w:pPr>
    </w:p>
    <w:p w:rsidR="003E6588" w:rsidRDefault="003E6588">
      <w:pPr>
        <w:pStyle w:val="PargrafodaLista1"/>
        <w:ind w:left="0" w:firstLine="1134"/>
        <w:jc w:val="both"/>
      </w:pPr>
      <w:r>
        <w:rPr>
          <w:b/>
        </w:rPr>
        <w:t xml:space="preserve">Gerenciamento Costeiro - </w:t>
      </w:r>
      <w:r>
        <w:t xml:space="preserve">Formalização de Protocolo de Intenções com a Agência Metropolitana da Baixada Santista </w:t>
      </w:r>
      <w:r w:rsidR="006C3EAA">
        <w:t xml:space="preserve">- </w:t>
      </w:r>
      <w:r>
        <w:t>AGEM e o Conselho de Desenvolvimento da Região Metropolitana da Baixada Santista</w:t>
      </w:r>
      <w:r w:rsidR="006C3EAA">
        <w:t xml:space="preserve"> -</w:t>
      </w:r>
      <w:r>
        <w:t xml:space="preserve"> CONDESB, para realização de esforços conjuntos na implantação do Plano de Ação da Baixada e do Plano Metropolitano de Desenvolvimento Estratégico da Baixada Santista, da AGEM.</w:t>
      </w:r>
    </w:p>
    <w:p w:rsidR="003E6588" w:rsidRDefault="003E6588">
      <w:pPr>
        <w:pStyle w:val="PargrafodaLista1"/>
        <w:ind w:left="0" w:firstLine="1134"/>
        <w:jc w:val="both"/>
      </w:pPr>
    </w:p>
    <w:p w:rsidR="003E6588" w:rsidRDefault="003E6588">
      <w:pPr>
        <w:pStyle w:val="PargrafodaLista1"/>
        <w:ind w:left="0" w:firstLine="1134"/>
        <w:jc w:val="both"/>
        <w:rPr>
          <w:b/>
        </w:rPr>
      </w:pPr>
      <w:r>
        <w:rPr>
          <w:b/>
        </w:rPr>
        <w:t>Relatórios Ambientais</w:t>
      </w:r>
    </w:p>
    <w:p w:rsidR="003E6588" w:rsidRDefault="003E6588">
      <w:pPr>
        <w:pStyle w:val="PargrafodaLista1"/>
        <w:ind w:left="0" w:firstLine="1134"/>
        <w:jc w:val="both"/>
        <w:rPr>
          <w:b/>
        </w:rPr>
      </w:pPr>
    </w:p>
    <w:p w:rsidR="003E6588" w:rsidRDefault="003E6588">
      <w:pPr>
        <w:ind w:firstLine="1134"/>
        <w:jc w:val="both"/>
      </w:pPr>
      <w:r>
        <w:rPr>
          <w:b/>
        </w:rPr>
        <w:t xml:space="preserve">Relatório de Qualidade Ambiental do Estado de São Paulo 2014 </w:t>
      </w:r>
      <w:r w:rsidR="006C3EAA">
        <w:rPr>
          <w:b/>
        </w:rPr>
        <w:t xml:space="preserve">- </w:t>
      </w:r>
      <w:r>
        <w:rPr>
          <w:b/>
        </w:rPr>
        <w:t xml:space="preserve">RQA - </w:t>
      </w:r>
      <w:r>
        <w:t>Elaboração e publicação do RQA 2014, composto por textos analíticos e indicadores que juntos propiciam análise crítica da evolução da qualidade ambiental do Estado.</w:t>
      </w:r>
    </w:p>
    <w:p w:rsidR="003E6588" w:rsidRDefault="003E6588">
      <w:pPr>
        <w:ind w:firstLine="1134"/>
        <w:jc w:val="both"/>
        <w:rPr>
          <w:b/>
        </w:rPr>
      </w:pPr>
    </w:p>
    <w:p w:rsidR="003E6588" w:rsidRDefault="003E6588">
      <w:pPr>
        <w:pStyle w:val="PargrafodaLista1"/>
        <w:ind w:left="0" w:firstLine="1134"/>
        <w:jc w:val="both"/>
        <w:rPr>
          <w:b/>
        </w:rPr>
      </w:pPr>
      <w:r>
        <w:rPr>
          <w:b/>
        </w:rPr>
        <w:t>Sistematização de Dados e Informações Ambientais Territoriais</w:t>
      </w:r>
    </w:p>
    <w:p w:rsidR="003E6588" w:rsidRDefault="003E6588">
      <w:pPr>
        <w:pStyle w:val="PargrafodaLista1"/>
        <w:ind w:left="0" w:firstLine="1134"/>
        <w:jc w:val="both"/>
        <w:rPr>
          <w:b/>
        </w:rPr>
      </w:pPr>
    </w:p>
    <w:p w:rsidR="003E6588" w:rsidRDefault="003E6588">
      <w:pPr>
        <w:pStyle w:val="PargrafodaLista1"/>
        <w:ind w:left="0" w:firstLine="1134"/>
        <w:jc w:val="both"/>
      </w:pPr>
      <w:r>
        <w:rPr>
          <w:b/>
        </w:rPr>
        <w:t xml:space="preserve">Projeto DATAGEO - </w:t>
      </w:r>
      <w:r>
        <w:t xml:space="preserve">Lançamento da Infraestrutura de Dados Espaciais Ambientais do Estado de São Paulo - IDEA - ferramenta que permite organização, catalogação, conversão, padronização e disponibilização via Portal </w:t>
      </w:r>
      <w:r>
        <w:rPr>
          <w:i/>
        </w:rPr>
        <w:t>Web</w:t>
      </w:r>
      <w:r>
        <w:t xml:space="preserve">. </w:t>
      </w:r>
      <w:r>
        <w:rPr>
          <w:bCs/>
        </w:rPr>
        <w:t xml:space="preserve">Projeto BIRD, Pró-Vicinais. </w:t>
      </w:r>
      <w:r>
        <w:t xml:space="preserve">Início da execução do contrato, que se dará em 5 ciclos. O 3º ciclo está finalizado ao custo de R$ 6,47 milhões. Endereço de acesso: </w:t>
      </w:r>
      <w:hyperlink r:id="rId66" w:history="1">
        <w:r w:rsidRPr="00657ECA">
          <w:rPr>
            <w:rStyle w:val="Hyperlink"/>
            <w:color w:val="auto"/>
            <w:u w:val="none"/>
          </w:rPr>
          <w:t>http://datageo.ambiente.sp.gov.br/</w:t>
        </w:r>
      </w:hyperlink>
      <w:r>
        <w:t>.</w:t>
      </w:r>
    </w:p>
    <w:p w:rsidR="003E6588" w:rsidRDefault="003E6588">
      <w:pPr>
        <w:pStyle w:val="PargrafodaLista1"/>
        <w:ind w:left="0" w:firstLine="1134"/>
        <w:jc w:val="both"/>
      </w:pPr>
    </w:p>
    <w:p w:rsidR="003E6588" w:rsidRDefault="003E6588">
      <w:pPr>
        <w:ind w:firstLine="1134"/>
        <w:jc w:val="both"/>
      </w:pPr>
      <w:r>
        <w:rPr>
          <w:b/>
        </w:rPr>
        <w:t>Unidades Básicas de Compartimentação do Estado de São Paulo</w:t>
      </w:r>
      <w:r>
        <w:t xml:space="preserve"> - Publicação e disponibilização das Unidades Básicas de Compartimentação do Meio Físico do Estado de São Paulo ao custo de R$ 200 mil. Recurso do Fundo Estadual de Recursos Hídricos - FEHIDRO.</w:t>
      </w:r>
    </w:p>
    <w:p w:rsidR="003E6588" w:rsidRDefault="003E6588">
      <w:pPr>
        <w:ind w:firstLine="1134"/>
        <w:jc w:val="both"/>
      </w:pPr>
    </w:p>
    <w:p w:rsidR="006C3EAA" w:rsidRDefault="006C3EAA">
      <w:pPr>
        <w:ind w:firstLine="1134"/>
        <w:jc w:val="both"/>
      </w:pPr>
    </w:p>
    <w:p w:rsidR="003E6588" w:rsidRDefault="003E6588">
      <w:pPr>
        <w:ind w:firstLine="1134"/>
        <w:jc w:val="both"/>
        <w:rPr>
          <w:b/>
        </w:rPr>
      </w:pPr>
      <w:r>
        <w:rPr>
          <w:b/>
        </w:rPr>
        <w:lastRenderedPageBreak/>
        <w:t>Políticas Públicas</w:t>
      </w:r>
    </w:p>
    <w:p w:rsidR="006C3EAA" w:rsidRDefault="006C3EAA">
      <w:pPr>
        <w:ind w:firstLine="1134"/>
        <w:jc w:val="both"/>
        <w:rPr>
          <w:b/>
        </w:rPr>
      </w:pPr>
    </w:p>
    <w:p w:rsidR="003E6588" w:rsidRDefault="003E6588">
      <w:pPr>
        <w:pStyle w:val="PargrafodaLista1"/>
        <w:ind w:left="0" w:firstLine="1134"/>
        <w:jc w:val="both"/>
        <w:rPr>
          <w:b/>
          <w:u w:val="single"/>
        </w:rPr>
      </w:pPr>
      <w:r>
        <w:rPr>
          <w:b/>
        </w:rPr>
        <w:t>Contratações Públicas Sustentáveis -</w:t>
      </w:r>
      <w:r>
        <w:t xml:space="preserve"> Atualização bimestral do Catálogo de Materiais da Bolsa Eletrônica de Compras para fins de concessão do Selo Socioambiental - Decreto nº 50.170/2005 (1.700 itens contemplados com o Selo). Coordenação Técnica do Programa Estadual de Contratações Públicas Sustentáveis - PECPS, nos termos da Resolução Conjunta SGP/SF/SMA/SSRH nº 01/2011 e da Resolução SGP nº 27/2011. Realização de Encontro Técnico do PECPS para capacitação de servidores estaduais. Elaboração e publicação do Relatório do PECPS - Período 2012-2013.</w:t>
      </w:r>
    </w:p>
    <w:p w:rsidR="003E6588" w:rsidRDefault="003E6588">
      <w:pPr>
        <w:ind w:firstLine="1134"/>
        <w:jc w:val="both"/>
        <w:rPr>
          <w:b/>
          <w:u w:val="single"/>
        </w:rPr>
      </w:pPr>
    </w:p>
    <w:p w:rsidR="003E6588" w:rsidRDefault="003E6588">
      <w:pPr>
        <w:ind w:firstLine="1134"/>
        <w:jc w:val="both"/>
      </w:pPr>
      <w:r>
        <w:rPr>
          <w:b/>
        </w:rPr>
        <w:t xml:space="preserve">Mananciais - </w:t>
      </w:r>
      <w:r>
        <w:t>Atividades para implementação da política de proteção aos mananciais na Região Metropolitana de São Paulo - RMSP.</w:t>
      </w:r>
    </w:p>
    <w:p w:rsidR="003E6588" w:rsidRDefault="003E6588">
      <w:pPr>
        <w:ind w:firstLine="1134"/>
        <w:jc w:val="both"/>
        <w:rPr>
          <w:b/>
          <w:u w:val="single"/>
        </w:rPr>
      </w:pPr>
    </w:p>
    <w:p w:rsidR="003E6588" w:rsidRDefault="003E6588">
      <w:pPr>
        <w:pStyle w:val="PargrafodaLista1"/>
        <w:ind w:left="0" w:firstLine="1134"/>
        <w:jc w:val="both"/>
      </w:pPr>
      <w:r>
        <w:rPr>
          <w:b/>
        </w:rPr>
        <w:t xml:space="preserve">Áreas de Proteção e Recuperação dos Mananciais dos Reservatórios Billings e Guarapiranga (APRM-B e APRM-G) - </w:t>
      </w:r>
      <w:r>
        <w:t>Manifestação sobre a compatibilização do Plano Diretor dos Municípios de Ribeirão Pires, Santo André, São Bernardo do Campo e Itapecerica da Serra.</w:t>
      </w:r>
    </w:p>
    <w:p w:rsidR="003E6588" w:rsidRDefault="003E6588">
      <w:pPr>
        <w:pStyle w:val="PargrafodaLista1"/>
        <w:ind w:left="0" w:firstLine="1134"/>
        <w:jc w:val="both"/>
      </w:pPr>
    </w:p>
    <w:p w:rsidR="003E6588" w:rsidRDefault="003E6588">
      <w:pPr>
        <w:pStyle w:val="PargrafodaLista1"/>
        <w:ind w:left="0" w:firstLine="1134"/>
        <w:jc w:val="both"/>
      </w:pPr>
      <w:r>
        <w:t>Análise de propostas para definição de Áreas de Recuperação Ambiental no Município de São Paulo.</w:t>
      </w:r>
    </w:p>
    <w:p w:rsidR="003E6588" w:rsidRDefault="003E6588">
      <w:pPr>
        <w:pStyle w:val="PargrafodaLista1"/>
        <w:ind w:left="0" w:firstLine="1134"/>
        <w:jc w:val="both"/>
      </w:pPr>
    </w:p>
    <w:p w:rsidR="003E6588" w:rsidRDefault="003E6588">
      <w:pPr>
        <w:pStyle w:val="PargrafodaLista1"/>
        <w:ind w:left="0" w:firstLine="1134"/>
        <w:jc w:val="both"/>
      </w:pPr>
      <w:r>
        <w:t>Apoio ao Comitê da Bacia Hidrográfica do Alto Tietê para a gestão dos mananciais, nas questões associadas às atribuições da CPLA.</w:t>
      </w:r>
    </w:p>
    <w:p w:rsidR="003E6588" w:rsidRDefault="003E6588">
      <w:pPr>
        <w:pStyle w:val="PargrafodaLista1"/>
        <w:ind w:left="0" w:firstLine="1134"/>
        <w:jc w:val="both"/>
        <w:rPr>
          <w:b/>
        </w:rPr>
      </w:pPr>
    </w:p>
    <w:p w:rsidR="003E6588" w:rsidRDefault="003E6588">
      <w:pPr>
        <w:pStyle w:val="PargrafodaLista1"/>
        <w:ind w:left="0" w:firstLine="1134"/>
        <w:jc w:val="both"/>
      </w:pPr>
      <w:r>
        <w:t>Apoio à criação das Áreas de Proteção e Recuperação dos Mananciais do Sistema Produtor Alto Tietê - SPAT e da Bacia do Rio Alto Juquery (APRM-AJ).</w:t>
      </w:r>
    </w:p>
    <w:p w:rsidR="003E6588" w:rsidRDefault="003E6588">
      <w:pPr>
        <w:pStyle w:val="PargrafodaLista1"/>
        <w:ind w:left="0" w:firstLine="1134"/>
        <w:jc w:val="both"/>
        <w:rPr>
          <w:b/>
        </w:rPr>
      </w:pPr>
    </w:p>
    <w:p w:rsidR="003E6588" w:rsidRDefault="003E6588">
      <w:pPr>
        <w:pStyle w:val="PargrafodaLista1"/>
        <w:ind w:left="0" w:firstLine="1134"/>
        <w:jc w:val="both"/>
      </w:pPr>
      <w:r>
        <w:t>Coordenação das ações do Sistema de Meio Ambiente junto ao Sistema Estadual de Gerenciamento de Recursos Hídricos</w:t>
      </w:r>
    </w:p>
    <w:p w:rsidR="003E6588" w:rsidRDefault="003E6588">
      <w:pPr>
        <w:pStyle w:val="PargrafodaLista1"/>
        <w:ind w:left="0" w:firstLine="1134"/>
        <w:jc w:val="both"/>
      </w:pPr>
    </w:p>
    <w:p w:rsidR="003E6588" w:rsidRDefault="003E6588">
      <w:pPr>
        <w:pStyle w:val="PargrafodaLista1"/>
        <w:ind w:left="0" w:firstLine="1134"/>
        <w:jc w:val="both"/>
      </w:pPr>
      <w:r>
        <w:t>Elaboração da publicação “Ações Municipais para Proteção das Águas no Estado de São Paulo - 2014”.</w:t>
      </w:r>
    </w:p>
    <w:p w:rsidR="003E6588" w:rsidRDefault="003E6588">
      <w:pPr>
        <w:ind w:firstLine="1134"/>
        <w:jc w:val="both"/>
        <w:rPr>
          <w:b/>
          <w:u w:val="single"/>
        </w:rPr>
      </w:pPr>
    </w:p>
    <w:p w:rsidR="003E6588" w:rsidRDefault="003E6588">
      <w:pPr>
        <w:ind w:firstLine="1134"/>
        <w:jc w:val="both"/>
        <w:rPr>
          <w:b/>
        </w:rPr>
      </w:pPr>
      <w:r>
        <w:rPr>
          <w:b/>
        </w:rPr>
        <w:t>CEA - Coordenadoria de Educação Ambiental</w:t>
      </w:r>
    </w:p>
    <w:p w:rsidR="003E6588" w:rsidRDefault="003E6588">
      <w:pPr>
        <w:ind w:firstLine="1134"/>
        <w:jc w:val="both"/>
        <w:rPr>
          <w:b/>
        </w:rPr>
      </w:pPr>
    </w:p>
    <w:p w:rsidR="003E6588" w:rsidRDefault="003E6588">
      <w:pPr>
        <w:ind w:firstLine="1134"/>
        <w:jc w:val="both"/>
      </w:pPr>
      <w:r>
        <w:rPr>
          <w:b/>
        </w:rPr>
        <w:t>Publicações</w:t>
      </w:r>
      <w:r>
        <w:t xml:space="preserve"> </w:t>
      </w:r>
      <w:r>
        <w:rPr>
          <w:b/>
        </w:rPr>
        <w:t>(30</w:t>
      </w:r>
      <w:r w:rsidRPr="006C3EAA">
        <w:rPr>
          <w:b/>
        </w:rPr>
        <w:t xml:space="preserve">) </w:t>
      </w:r>
      <w:r w:rsidRPr="006C3EAA">
        <w:t>- A Coordenadoria</w:t>
      </w:r>
      <w:r>
        <w:t xml:space="preserve"> de Educação Ambiental produz e distribui publicações e também as disponibiliza para </w:t>
      </w:r>
      <w:r>
        <w:rPr>
          <w:i/>
        </w:rPr>
        <w:t>download</w:t>
      </w:r>
      <w:r>
        <w:t xml:space="preserve"> no </w:t>
      </w:r>
      <w:r>
        <w:rPr>
          <w:i/>
        </w:rPr>
        <w:t>site</w:t>
      </w:r>
      <w:r>
        <w:t xml:space="preserve"> da Secretaria do Meio Ambiente. Em parceria com a Secretaria da Educação, foram entregues para as Salas de Leitura das escolas estaduais 4.357 unidades da coleção</w:t>
      </w:r>
      <w:r>
        <w:rPr>
          <w:i/>
        </w:rPr>
        <w:t xml:space="preserve"> “</w:t>
      </w:r>
      <w:r>
        <w:t>Biblioteca de Educação Ambiental”, composto por 29 títulos.</w:t>
      </w:r>
    </w:p>
    <w:p w:rsidR="003E6588" w:rsidRDefault="003E6588">
      <w:pPr>
        <w:ind w:firstLine="1134"/>
        <w:jc w:val="both"/>
      </w:pPr>
    </w:p>
    <w:p w:rsidR="003E6588" w:rsidRDefault="003E6588">
      <w:pPr>
        <w:spacing w:after="100" w:afterAutospacing="1"/>
        <w:ind w:firstLine="1134"/>
        <w:contextualSpacing/>
        <w:jc w:val="both"/>
      </w:pPr>
      <w:r>
        <w:rPr>
          <w:b/>
        </w:rPr>
        <w:t>Exposições de Educação Ambiental</w:t>
      </w:r>
      <w:r>
        <w:t xml:space="preserve"> - Disponibilização de 9 exposições itinerantes, versando sobre temas ambientais.</w:t>
      </w:r>
    </w:p>
    <w:p w:rsidR="003E6588" w:rsidRDefault="003E6588">
      <w:pPr>
        <w:spacing w:after="100" w:afterAutospacing="1"/>
        <w:ind w:firstLine="1134"/>
        <w:contextualSpacing/>
        <w:jc w:val="both"/>
      </w:pPr>
    </w:p>
    <w:p w:rsidR="003E6588" w:rsidRDefault="003E6588">
      <w:pPr>
        <w:ind w:firstLine="1134"/>
        <w:contextualSpacing/>
        <w:jc w:val="both"/>
      </w:pPr>
      <w:r>
        <w:rPr>
          <w:rStyle w:val="Forte"/>
          <w:bdr w:val="none" w:sz="0" w:space="0" w:color="auto" w:frame="1"/>
        </w:rPr>
        <w:t xml:space="preserve">Programas em parceria com a TV Cultura - </w:t>
      </w:r>
      <w:r>
        <w:t xml:space="preserve">Ação de comunicação em massa para sensibilizar grande parcela da população paulista em linguagem de fácil assimilação, por meio de dois </w:t>
      </w:r>
      <w:r>
        <w:lastRenderedPageBreak/>
        <w:t>projetos audiovisuais em andamento</w:t>
      </w:r>
      <w:r>
        <w:rPr>
          <w:color w:val="FF0000"/>
        </w:rPr>
        <w:t>,</w:t>
      </w:r>
      <w:r>
        <w:t xml:space="preserve"> realizados em parceria com a Fundação Padre Anchieta - TV Cultura: </w:t>
      </w:r>
      <w:r w:rsidRPr="00657ECA">
        <w:rPr>
          <w:bCs/>
          <w:bdr w:val="none" w:sz="0" w:space="0" w:color="auto" w:frame="1"/>
        </w:rPr>
        <w:t>Caderninho Verde e suas Estórias</w:t>
      </w:r>
      <w:r>
        <w:rPr>
          <w:b/>
          <w:bCs/>
          <w:bdr w:val="none" w:sz="0" w:space="0" w:color="auto" w:frame="1"/>
        </w:rPr>
        <w:t xml:space="preserve"> - </w:t>
      </w:r>
      <w:r>
        <w:rPr>
          <w:bCs/>
          <w:bdr w:val="none" w:sz="0" w:space="0" w:color="auto" w:frame="1"/>
        </w:rPr>
        <w:t>5</w:t>
      </w:r>
      <w:r>
        <w:rPr>
          <w:bCs/>
          <w:color w:val="FF0000"/>
          <w:bdr w:val="none" w:sz="0" w:space="0" w:color="auto" w:frame="1"/>
        </w:rPr>
        <w:t xml:space="preserve"> </w:t>
      </w:r>
      <w:r>
        <w:t>programetes inspirados nos livros infantis da série “Caderninhos de Educação Ambiental”, exibidos pela TV Cultura no programa “Quintal da Cultura”, voltados ao público de crianças entre 4 e 10 anos. O programa foi premiado com o Certificado de Mérito Ambiental pelo Instituto Brasileiro de Defesa da Natureza; série “</w:t>
      </w:r>
      <w:r w:rsidRPr="00657ECA">
        <w:rPr>
          <w:bCs/>
          <w:bdr w:val="none" w:sz="0" w:space="0" w:color="auto" w:frame="1"/>
        </w:rPr>
        <w:t>Rodas sobre Rotas”</w:t>
      </w:r>
      <w:r>
        <w:rPr>
          <w:b/>
          <w:bCs/>
          <w:bdr w:val="none" w:sz="0" w:space="0" w:color="auto" w:frame="1"/>
        </w:rPr>
        <w:t xml:space="preserve"> - </w:t>
      </w:r>
      <w:r>
        <w:rPr>
          <w:bdr w:val="none" w:sz="0" w:space="0" w:color="auto" w:frame="1"/>
        </w:rPr>
        <w:t>produzida em 4 episódios documentais, dramatizados no estilo comédia de situações, com 30 minutos de duração.</w:t>
      </w:r>
    </w:p>
    <w:p w:rsidR="003E6588" w:rsidRDefault="003E6588">
      <w:pPr>
        <w:pStyle w:val="NormalWeb"/>
        <w:spacing w:before="0" w:beforeAutospacing="0" w:after="0" w:afterAutospacing="0"/>
        <w:ind w:firstLine="1134"/>
        <w:jc w:val="both"/>
        <w:textAlignment w:val="baseline"/>
        <w:rPr>
          <w:rStyle w:val="Forte"/>
          <w:bdr w:val="none" w:sz="0" w:space="0" w:color="auto" w:frame="1"/>
        </w:rPr>
      </w:pPr>
    </w:p>
    <w:p w:rsidR="003E6588" w:rsidRDefault="003E6588">
      <w:pPr>
        <w:pStyle w:val="NormalWeb"/>
        <w:spacing w:before="0" w:beforeAutospacing="0" w:after="0" w:afterAutospacing="0"/>
        <w:ind w:firstLine="1134"/>
        <w:jc w:val="both"/>
        <w:textAlignment w:val="baseline"/>
      </w:pPr>
      <w:r>
        <w:rPr>
          <w:rStyle w:val="Forte"/>
          <w:bdr w:val="none" w:sz="0" w:space="0" w:color="auto" w:frame="1"/>
        </w:rPr>
        <w:t xml:space="preserve">EcoBrinquedoteca do Jardim Botânico de São Paulo - </w:t>
      </w:r>
      <w:r>
        <w:rPr>
          <w:rStyle w:val="Forte"/>
          <w:b w:val="0"/>
          <w:bdr w:val="none" w:sz="0" w:space="0" w:color="auto" w:frame="1"/>
        </w:rPr>
        <w:t>Rea</w:t>
      </w:r>
      <w:r>
        <w:t>lização de oficinas e atividades educativas para montagem de brinquedos e jogos produzidos exclusivamente com material descartado, por meio de atividades lúdicas e recreativas que estimulam as boas práticas ambientais em crianças e adolescentes</w:t>
      </w:r>
      <w:r>
        <w:rPr>
          <w:color w:val="FF0000"/>
        </w:rPr>
        <w:t>;</w:t>
      </w:r>
      <w:r>
        <w:t xml:space="preserve"> aproximadamente 1.200 visitantes.</w:t>
      </w:r>
    </w:p>
    <w:p w:rsidR="003E6588" w:rsidRDefault="003E6588">
      <w:pPr>
        <w:tabs>
          <w:tab w:val="left" w:pos="567"/>
          <w:tab w:val="left" w:pos="709"/>
        </w:tabs>
        <w:ind w:firstLine="1134"/>
        <w:jc w:val="both"/>
        <w:rPr>
          <w:b/>
        </w:rPr>
      </w:pPr>
    </w:p>
    <w:p w:rsidR="003E6588" w:rsidRDefault="003E6588">
      <w:pPr>
        <w:tabs>
          <w:tab w:val="left" w:pos="567"/>
          <w:tab w:val="left" w:pos="709"/>
        </w:tabs>
        <w:ind w:firstLine="1134"/>
        <w:jc w:val="both"/>
      </w:pPr>
      <w:r>
        <w:rPr>
          <w:b/>
        </w:rPr>
        <w:t>CadEA -</w:t>
      </w:r>
      <w:r>
        <w:t xml:space="preserve"> </w:t>
      </w:r>
      <w:r>
        <w:rPr>
          <w:b/>
        </w:rPr>
        <w:t>Cadastro das Entidades Ambientalistas do Estado de São Paulo</w:t>
      </w:r>
      <w:r>
        <w:t xml:space="preserve"> -</w:t>
      </w:r>
      <w:r>
        <w:rPr>
          <w:b/>
        </w:rPr>
        <w:t xml:space="preserve"> </w:t>
      </w:r>
      <w:r>
        <w:t>A Coordenadoria de Educação Ambiental, conta com 38 entidades certificadas.</w:t>
      </w:r>
    </w:p>
    <w:p w:rsidR="003E6588" w:rsidRPr="00657ECA" w:rsidRDefault="003E6588">
      <w:pPr>
        <w:ind w:firstLine="1134"/>
        <w:jc w:val="both"/>
        <w:rPr>
          <w:u w:val="single"/>
        </w:rPr>
      </w:pPr>
    </w:p>
    <w:p w:rsidR="003E6588" w:rsidRPr="00657ECA" w:rsidRDefault="003E6588">
      <w:pPr>
        <w:ind w:firstLine="1134"/>
        <w:jc w:val="both"/>
        <w:rPr>
          <w:u w:val="single"/>
        </w:rPr>
      </w:pPr>
    </w:p>
    <w:p w:rsidR="003E6588" w:rsidRDefault="003E6588">
      <w:pPr>
        <w:rPr>
          <w:b/>
        </w:rPr>
      </w:pPr>
      <w:r>
        <w:rPr>
          <w:b/>
        </w:rPr>
        <w:t>INSTITUTO FLORESTAL</w:t>
      </w:r>
    </w:p>
    <w:p w:rsidR="003E6588" w:rsidRPr="00657ECA" w:rsidRDefault="003E6588">
      <w:pPr>
        <w:ind w:firstLine="1134"/>
        <w:jc w:val="both"/>
      </w:pPr>
    </w:p>
    <w:p w:rsidR="003E6588" w:rsidRPr="00657ECA" w:rsidRDefault="003E6588">
      <w:pPr>
        <w:ind w:firstLine="1134"/>
        <w:jc w:val="both"/>
      </w:pPr>
    </w:p>
    <w:p w:rsidR="003E6588" w:rsidRDefault="003E6588">
      <w:pPr>
        <w:ind w:firstLine="1134"/>
        <w:jc w:val="both"/>
        <w:rPr>
          <w:b/>
        </w:rPr>
      </w:pPr>
      <w:r>
        <w:rPr>
          <w:b/>
        </w:rPr>
        <w:t xml:space="preserve">Áreas Protegidas Gerenciadas pelo Instituto Florestal - IF - </w:t>
      </w:r>
      <w:r>
        <w:t>Total de áreas protegidas - 47 unidades, abrangendo 53.916,19 hectares</w:t>
      </w:r>
      <w:r>
        <w:rPr>
          <w:b/>
        </w:rPr>
        <w:t xml:space="preserve"> - </w:t>
      </w:r>
      <w:r>
        <w:t>Transferência de gestão da área de uso público do Parque Estadual Alberto Löfgren para a Coordenadoria de Parques Urbanos da SMA (Decreto nº 60.245/2014)</w:t>
      </w:r>
      <w:r>
        <w:rPr>
          <w:b/>
        </w:rPr>
        <w:t>.</w:t>
      </w:r>
    </w:p>
    <w:p w:rsidR="003E6588" w:rsidRDefault="003E6588">
      <w:pPr>
        <w:ind w:firstLine="1134"/>
        <w:jc w:val="both"/>
        <w:rPr>
          <w:b/>
        </w:rPr>
      </w:pPr>
    </w:p>
    <w:p w:rsidR="003E6588" w:rsidRDefault="003E6588">
      <w:pPr>
        <w:ind w:firstLine="1134"/>
        <w:jc w:val="both"/>
      </w:pPr>
      <w:r>
        <w:t>Avaliação da Viabilidade de Criação de Unidades de Conservação nas áreas da Estação Experimental de Buri; Estação Experimental de Itararé; Floresta de Batatais e Floresta de Cajuru.</w:t>
      </w:r>
    </w:p>
    <w:p w:rsidR="003E6588" w:rsidRDefault="003E6588">
      <w:pPr>
        <w:ind w:firstLine="1134"/>
        <w:jc w:val="both"/>
      </w:pPr>
    </w:p>
    <w:p w:rsidR="003E6588" w:rsidRDefault="003E6588">
      <w:pPr>
        <w:ind w:firstLine="1134"/>
        <w:jc w:val="both"/>
      </w:pPr>
      <w:r>
        <w:t>Atividades de diagnóstico e avaliação dos Meios Físico e Biótico para os Planos de Manejo das Estações Ecológicas de Avaré, de Marília e de Paranapanema, e da Floresta Estadual de Pederneiras.</w:t>
      </w:r>
    </w:p>
    <w:p w:rsidR="003E6588" w:rsidRDefault="003E6588">
      <w:pPr>
        <w:ind w:firstLine="1134"/>
        <w:jc w:val="both"/>
      </w:pPr>
    </w:p>
    <w:p w:rsidR="003E6588" w:rsidRDefault="003E6588">
      <w:pPr>
        <w:ind w:firstLine="1134"/>
        <w:jc w:val="both"/>
      </w:pPr>
      <w:r>
        <w:t>Conclusão do Plano de Manejo da Estação Ecológica de Itapeva para encaminhamento ao CONSEMA.</w:t>
      </w:r>
    </w:p>
    <w:p w:rsidR="003E6588" w:rsidRDefault="003E6588">
      <w:pPr>
        <w:ind w:firstLine="1134"/>
        <w:jc w:val="both"/>
      </w:pPr>
    </w:p>
    <w:p w:rsidR="003E6588" w:rsidRDefault="003E6588">
      <w:pPr>
        <w:ind w:firstLine="1134"/>
        <w:jc w:val="both"/>
      </w:pPr>
      <w:r>
        <w:t>O Plano de Manejo da Floresta Estadual Serra d´Água - Campinas, sob a análise do CONSEMA.</w:t>
      </w:r>
    </w:p>
    <w:p w:rsidR="003E6588" w:rsidRDefault="003E6588">
      <w:pPr>
        <w:ind w:firstLine="1134"/>
        <w:jc w:val="both"/>
      </w:pPr>
    </w:p>
    <w:p w:rsidR="003E6588" w:rsidRDefault="003E6588">
      <w:pPr>
        <w:ind w:firstLine="1134"/>
        <w:jc w:val="both"/>
      </w:pPr>
      <w:r>
        <w:rPr>
          <w:b/>
        </w:rPr>
        <w:t>Participação no Sistema Integrado de Monitoramento - SIM -</w:t>
      </w:r>
      <w:r>
        <w:t xml:space="preserve"> 21 Áreas Protegidas do Instituto Florestal integradas ao Plano de Fiscalização da Secretaria do Meio Ambiente, com o objetivo de incrementar a proteção e a conservação da biodiversidade.</w:t>
      </w:r>
    </w:p>
    <w:p w:rsidR="003E6588" w:rsidRDefault="003E6588">
      <w:pPr>
        <w:ind w:firstLine="1134"/>
        <w:jc w:val="both"/>
      </w:pPr>
    </w:p>
    <w:p w:rsidR="003E6588" w:rsidRDefault="003E6588">
      <w:pPr>
        <w:ind w:firstLine="1134"/>
        <w:jc w:val="both"/>
      </w:pPr>
      <w:r>
        <w:lastRenderedPageBreak/>
        <w:t>Substituição já iniciada de 300 ha espécies exóticas por essências nativas, com o plantio estimado de 510.000 mudas de essências nativas, objetivando atendimento ao Termo de Compromisso de Recuperação Ambiental - TCRA, firmado com o Departamento de Estradas e Rodagem, nas Florestas de Batatais e Bebedouro e nas Estações Experimentais de Mogi Guaçú e São José do Rio Preto. Substituição de 340 ha de espécies exóticas, com o plantio estimado de 580.000 mudas de essências nativas, em andamento com outros TCRA’s, de empresas públicas e privadas em demais unidades do IF. No total foram destinados pela Divisão de Florestas e Estações Experimentais aproximadamente 2.600 ha para restauração.</w:t>
      </w:r>
    </w:p>
    <w:p w:rsidR="003E6588" w:rsidRDefault="003E6588">
      <w:pPr>
        <w:ind w:firstLine="1134"/>
        <w:jc w:val="both"/>
        <w:rPr>
          <w:b/>
        </w:rPr>
      </w:pPr>
    </w:p>
    <w:p w:rsidR="003E6588" w:rsidRDefault="003E6588">
      <w:pPr>
        <w:ind w:firstLine="1134"/>
        <w:jc w:val="both"/>
        <w:rPr>
          <w:b/>
        </w:rPr>
      </w:pPr>
      <w:r>
        <w:rPr>
          <w:b/>
        </w:rPr>
        <w:t>Pesquisa Científica e Tecnológica</w:t>
      </w:r>
    </w:p>
    <w:p w:rsidR="003E6588" w:rsidRDefault="003E6588">
      <w:pPr>
        <w:ind w:firstLine="1134"/>
        <w:jc w:val="both"/>
        <w:rPr>
          <w:b/>
        </w:rPr>
      </w:pPr>
    </w:p>
    <w:p w:rsidR="003E6588" w:rsidRDefault="003E6588">
      <w:pPr>
        <w:ind w:firstLine="1134"/>
        <w:jc w:val="both"/>
      </w:pPr>
      <w:r>
        <w:rPr>
          <w:b/>
        </w:rPr>
        <w:t xml:space="preserve">Programa Institucional de Bolsas de Iniciação Científica PIBIC CNPq/IF - </w:t>
      </w:r>
      <w:r>
        <w:t>Vinte Projetos Selecionados para serem desenvolvidos, representando as diferentes áreas de atuação do IF.</w:t>
      </w:r>
      <w:r>
        <w:rPr>
          <w:b/>
        </w:rPr>
        <w:t xml:space="preserve"> </w:t>
      </w:r>
      <w:r>
        <w:t>Foi realizado o “8º Seminário de Iniciação Científica do Instituto Florestal/PIBIC/CNPq</w:t>
      </w:r>
      <w:r w:rsidRPr="00657ECA">
        <w:t>”, c</w:t>
      </w:r>
      <w:r>
        <w:t>om a apresentação de 20 trabalhos em exposição oral e 20 na forma de painéis.</w:t>
      </w:r>
    </w:p>
    <w:p w:rsidR="003E6588" w:rsidRDefault="003E6588">
      <w:pPr>
        <w:ind w:firstLine="1134"/>
        <w:jc w:val="both"/>
      </w:pPr>
    </w:p>
    <w:p w:rsidR="003E6588" w:rsidRDefault="003E6588">
      <w:pPr>
        <w:ind w:firstLine="1134"/>
        <w:jc w:val="both"/>
      </w:pPr>
      <w:r>
        <w:rPr>
          <w:b/>
        </w:rPr>
        <w:t>Convênio com a Empresa Brasileira de Pesquisa Agropecuária - EMBRAPA -</w:t>
      </w:r>
      <w:r>
        <w:t xml:space="preserve"> Conservação genética e produção de sementes de espécies exóticas e nativas do Estado. Atualmente são 250 ensaios e 75 diferentes espécies plantadas nas Estações Experimentais e Florestas Estaduais.</w:t>
      </w:r>
    </w:p>
    <w:p w:rsidR="003E6588" w:rsidRDefault="003E6588">
      <w:pPr>
        <w:ind w:firstLine="1134"/>
        <w:jc w:val="both"/>
      </w:pPr>
    </w:p>
    <w:p w:rsidR="003E6588" w:rsidRDefault="003E6588">
      <w:pPr>
        <w:ind w:firstLine="1134"/>
        <w:jc w:val="both"/>
        <w:rPr>
          <w:kern w:val="24"/>
        </w:rPr>
      </w:pPr>
      <w:r>
        <w:t xml:space="preserve">O Corpo Técnico do Instituto Florestal publicou 32 artigos científicos, 11 capítulos de livros, 2 livros e 32 trabalhos publicados em anais de eventos científicos. Em relação à formação de recursos humanos, foram concluídas 12 </w:t>
      </w:r>
      <w:r>
        <w:rPr>
          <w:kern w:val="24"/>
        </w:rPr>
        <w:t>Orientações de Iniciação Científica, 2 de Mestrado e 1 de Doutorado; e estão em andamento 36 Orientações de Iniciação Científica, 10 de Mestrado e 17 de Doutorado. Foram ministrados 15 cursos de formação profissional em eventos. Os pesquisadores do IF participaram de 16 bancas de Mestrado e 12 de Doutorado.</w:t>
      </w:r>
    </w:p>
    <w:p w:rsidR="003E6588" w:rsidRDefault="003E6588">
      <w:pPr>
        <w:ind w:firstLine="1134"/>
        <w:jc w:val="both"/>
        <w:rPr>
          <w:b/>
          <w:kern w:val="24"/>
        </w:rPr>
      </w:pPr>
    </w:p>
    <w:p w:rsidR="003E6588" w:rsidRDefault="003E6588">
      <w:pPr>
        <w:ind w:firstLine="1134"/>
        <w:jc w:val="both"/>
        <w:rPr>
          <w:kern w:val="24"/>
        </w:rPr>
      </w:pPr>
      <w:r>
        <w:rPr>
          <w:kern w:val="24"/>
        </w:rPr>
        <w:t>A Comissão Técnico Científica do IF - COTEC é responsável pela gestão de todos os projetos científicos realizados nas Unidades de Conservação e demais Áreas Protegidas do Sistema Estadual de Florestas – SIEFLOR. Foram aprovados para a execução 209 projetos, sendo que 33 são coordenados por pesquisadores do IF. Encontram-se cadastrados na COTEC 2.607 projetos de pesquisa.</w:t>
      </w:r>
    </w:p>
    <w:p w:rsidR="003E6588" w:rsidRDefault="003E6588">
      <w:pPr>
        <w:ind w:firstLine="1134"/>
        <w:jc w:val="both"/>
        <w:rPr>
          <w:kern w:val="24"/>
        </w:rPr>
      </w:pPr>
    </w:p>
    <w:p w:rsidR="003E6588" w:rsidRDefault="003E6588">
      <w:pPr>
        <w:ind w:firstLine="1134"/>
        <w:jc w:val="both"/>
        <w:rPr>
          <w:kern w:val="24"/>
        </w:rPr>
      </w:pPr>
    </w:p>
    <w:p w:rsidR="003E6588" w:rsidRDefault="003E6588">
      <w:pPr>
        <w:rPr>
          <w:b/>
        </w:rPr>
      </w:pPr>
      <w:r>
        <w:rPr>
          <w:b/>
        </w:rPr>
        <w:t>INSTITUTO GEOLÓGICO</w:t>
      </w:r>
    </w:p>
    <w:p w:rsidR="003E6588" w:rsidRPr="00657ECA" w:rsidRDefault="003E6588">
      <w:pPr>
        <w:ind w:firstLine="1134"/>
        <w:jc w:val="both"/>
      </w:pPr>
    </w:p>
    <w:p w:rsidR="003E6588" w:rsidRPr="00657ECA" w:rsidRDefault="003E6588">
      <w:pPr>
        <w:ind w:firstLine="1134"/>
        <w:jc w:val="both"/>
      </w:pPr>
    </w:p>
    <w:p w:rsidR="003E6588" w:rsidRDefault="003E6588">
      <w:pPr>
        <w:ind w:firstLine="1134"/>
        <w:jc w:val="both"/>
      </w:pPr>
      <w:r>
        <w:t xml:space="preserve">Foram realizados 32 projetos de pesquisa, sendo 21 com financiamento externo e contemplando as seguintes áreas de atuação: Desastres Naturais (8), Hidrogeologia (6), Pesquisa Básica em Geociências (14), Monumentos Geológicos (2), Recursos Minerais (1) e Outros (1). Foram oferecidas 5 capacitações das quais 2 Palestras, 2 cursos e 1 Disciplina de Pós Graduação. O corpo técnico participou de 2 cursos de aperfeiçoamento, 4 Palestras, 5 Bancas, 2 Disciplinas Pós-Graduação e 1 Coordenação de mesa de discussão em evento técnico. O IG participou de 5 eventos, sendo 2 </w:t>
      </w:r>
      <w:r>
        <w:lastRenderedPageBreak/>
        <w:t>internacionais (realizados no Brasil) e 3 nacionais. Como Ações de Apoio e Suporte às Políticas Públicas, foram realizadas 24 Laudos e Pareceres. As solicitações tiveram origem em: CETESB (1), Chefe de Gabinete (1), Câmara Municipal de Mauá (1), Ministério Público (14), Policia Militar (1), Secretaria da Segurança Pública (1), Coordenadoria de Fiscalização Ambiental (1) e Tribunal de Justiça (4). Como Apoio Técnico à Comunidade e Ações Governamentais, houve a participação em 3 Comitês de Bacia/Câmaras Técnicas e 2 Conselhos. As ações de Comunicação e Produção Científica foram expressas em 19 Trabalhos Publicados dos quais 5 Periódicos, 11 em Eventos Científicos (11 resumos simples ou expandidos), 2 Capítulos de Livro, e 1 Relatório Técnico.</w:t>
      </w:r>
    </w:p>
    <w:p w:rsidR="003E6588" w:rsidRPr="00657ECA" w:rsidRDefault="003E6588">
      <w:pPr>
        <w:ind w:right="397" w:firstLine="1134"/>
        <w:jc w:val="both"/>
      </w:pPr>
    </w:p>
    <w:p w:rsidR="003E6588" w:rsidRDefault="003E6588">
      <w:pPr>
        <w:ind w:right="397" w:firstLine="1134"/>
        <w:jc w:val="both"/>
        <w:rPr>
          <w:b/>
        </w:rPr>
      </w:pPr>
      <w:r>
        <w:rPr>
          <w:b/>
        </w:rPr>
        <w:t>As principais ações das áreas de atuação foram</w:t>
      </w:r>
    </w:p>
    <w:p w:rsidR="003E6588" w:rsidRPr="00657ECA" w:rsidRDefault="003E6588">
      <w:pPr>
        <w:ind w:right="397" w:firstLine="1134"/>
        <w:jc w:val="both"/>
      </w:pPr>
    </w:p>
    <w:p w:rsidR="003E6588" w:rsidRDefault="003E6588">
      <w:pPr>
        <w:shd w:val="clear" w:color="auto" w:fill="FFFFFF"/>
        <w:ind w:firstLine="1134"/>
        <w:jc w:val="both"/>
      </w:pPr>
      <w:r>
        <w:rPr>
          <w:b/>
        </w:rPr>
        <w:t>Gerenciamento de Risco e Redução de Desastres Naturais</w:t>
      </w:r>
      <w:r>
        <w:t xml:space="preserve"> - O IG exerceu a Secretaria Executiva do Programa Estadual de Prevenção de Desastres Naturais - PDN (Decreto nº 57.512/2011). Em parceria com a Coordenadoria Estadual de Defesa Civil - CEDEC, concluiu-se o mapeamento de áreas de risco de escorregamento, inundação e erosão no Município de Campos de Jordão, e foi iniciado o mapeamento de áreas de risco de escorregamento, inundação, enxurradas e corridas detríticas no Município de Itaóca. Em apoio à Defesa Civil, o IG atuou na Operação Verão, mantendo técnicos em plantão 24 horas. Ministraram-se dois cursos de "Percepção de Perigos e Riscos Geológicos voltados para os Profissionais da Educação", no Município de Campos do Jordão. Realizou-se ainda o “VI Seminário Estratégias para Redução de Riscos e Desastres a Eventos Geodinâmicos no Estado de São Paulo”, com a presença de 20 palestrantes e público de 170 pessoas. Foram realizados 17 pareceres técnicos sobre problemas geoambientais ou de instabilidade de terrenos, visando atender principalmente ao Ministério Público e à CEDEC.</w:t>
      </w:r>
    </w:p>
    <w:p w:rsidR="003E6588" w:rsidRPr="00657ECA" w:rsidRDefault="003E6588">
      <w:pPr>
        <w:ind w:right="397" w:firstLine="1134"/>
        <w:jc w:val="both"/>
      </w:pPr>
    </w:p>
    <w:p w:rsidR="003E6588" w:rsidRDefault="003E6588">
      <w:pPr>
        <w:ind w:right="49" w:firstLine="1134"/>
        <w:jc w:val="both"/>
      </w:pPr>
      <w:r>
        <w:rPr>
          <w:b/>
        </w:rPr>
        <w:t xml:space="preserve">Pesquisa Básica em Geociências - </w:t>
      </w:r>
      <w:r>
        <w:t>Foram desenvolvidos 15 projetos técnicos de pesquisa nas áreas de Geologia Geral, Geomorfologia, Hidroclimatologia e Paleontologia, visando aprofundar o conhecimento científico e tecnológico e fornecendo subsídios para as políticas públicas, incluindo apoio à elaboração de Plano de Manejo de Unidades de Conservação.</w:t>
      </w:r>
    </w:p>
    <w:p w:rsidR="003E6588" w:rsidRPr="00657ECA" w:rsidRDefault="003E6588">
      <w:pPr>
        <w:shd w:val="clear" w:color="auto" w:fill="FFFFFF"/>
        <w:ind w:right="49" w:firstLine="1134"/>
        <w:jc w:val="both"/>
      </w:pPr>
    </w:p>
    <w:p w:rsidR="003E6588" w:rsidRDefault="003E6588">
      <w:pPr>
        <w:shd w:val="clear" w:color="auto" w:fill="FFFFFF"/>
        <w:ind w:right="49" w:firstLine="1134"/>
        <w:jc w:val="both"/>
      </w:pPr>
      <w:r>
        <w:rPr>
          <w:b/>
        </w:rPr>
        <w:t xml:space="preserve">Recursos Hídricos - Aquíferos - </w:t>
      </w:r>
      <w:r>
        <w:t>Delimitação de perímetros de proteção de poços de abastecimento público no Sistema Aquífero Bauru; orientações para proteger e evitar a captação de água subterrânea contaminada por nitrato; orientações aos usuários de águas subterrâneas para a regularização de poços.</w:t>
      </w:r>
    </w:p>
    <w:p w:rsidR="003E6588" w:rsidRDefault="003E6588">
      <w:pPr>
        <w:shd w:val="clear" w:color="auto" w:fill="FFFFFF"/>
        <w:ind w:right="49" w:firstLine="1134"/>
        <w:jc w:val="both"/>
      </w:pPr>
    </w:p>
    <w:p w:rsidR="003E6588" w:rsidRDefault="003E6588">
      <w:pPr>
        <w:shd w:val="clear" w:color="auto" w:fill="FFFFFF"/>
        <w:ind w:right="49" w:firstLine="1134"/>
        <w:jc w:val="both"/>
      </w:pPr>
      <w:r>
        <w:rPr>
          <w:b/>
        </w:rPr>
        <w:t xml:space="preserve">Recursos Minerais - </w:t>
      </w:r>
      <w:r>
        <w:t>Continuidade na atividade de Coordenação geral e participação, em parceria com a CETESB, do Curso “Atividade Minerária: conceitos e práticas para o licenciamento ambiental no âmbito das agências ambientais da CETESB”. Continuidade do tratamento dos dados do Projeto “Paraíba do Sul: Potencialidade de Areia - Fase II” e elaboração do relatório final para publicação.</w:t>
      </w:r>
    </w:p>
    <w:p w:rsidR="003E6588" w:rsidRDefault="003E6588">
      <w:pPr>
        <w:shd w:val="clear" w:color="auto" w:fill="FFFFFF"/>
        <w:ind w:right="49" w:firstLine="1134"/>
        <w:jc w:val="both"/>
      </w:pPr>
    </w:p>
    <w:p w:rsidR="003E6588" w:rsidRDefault="003E6588">
      <w:pPr>
        <w:ind w:right="49" w:firstLine="1134"/>
        <w:jc w:val="both"/>
      </w:pPr>
      <w:r>
        <w:rPr>
          <w:b/>
        </w:rPr>
        <w:t xml:space="preserve">Monumentos Geológicos - </w:t>
      </w:r>
      <w:r>
        <w:t xml:space="preserve">O Inventário Paulista de Monumentos Geológicos possui trinta e quatro geossítios, sendo que destes geossítios sete já foram declarados Monumentos Geológicos Paulistas, por meio do Conselho Estadual de Monumentos Geológicos - CoMGeo; Término do Projeto </w:t>
      </w:r>
      <w:r>
        <w:lastRenderedPageBreak/>
        <w:t>"Monumentos Geológicos da Região de Rio Claro", com identificação de onze potenciais geossítios, representativos do Patrimônio Natural Geológico Paulista.</w:t>
      </w:r>
    </w:p>
    <w:p w:rsidR="003E6588" w:rsidRDefault="003E6588">
      <w:pPr>
        <w:ind w:right="49" w:firstLine="1134"/>
        <w:jc w:val="both"/>
      </w:pPr>
    </w:p>
    <w:p w:rsidR="003E6588" w:rsidRDefault="003E6588">
      <w:pPr>
        <w:shd w:val="clear" w:color="auto" w:fill="FFFFFF"/>
        <w:ind w:firstLine="1134"/>
        <w:jc w:val="both"/>
      </w:pPr>
      <w:r>
        <w:rPr>
          <w:b/>
        </w:rPr>
        <w:t xml:space="preserve">MUGEO - Museu Geológico - </w:t>
      </w:r>
      <w:r>
        <w:t>Total de visitantes foi 52.199, sendo 44.263 pessoas e por 161 escolas públicas, privadas e entidades sem fins lucrativos, com 7.936 alunos.</w:t>
      </w:r>
    </w:p>
    <w:p w:rsidR="003E6588" w:rsidRPr="00657ECA" w:rsidRDefault="003E6588">
      <w:pPr>
        <w:shd w:val="clear" w:color="auto" w:fill="FFFFFF"/>
        <w:ind w:firstLine="1134"/>
        <w:jc w:val="both"/>
      </w:pPr>
    </w:p>
    <w:p w:rsidR="003E6588" w:rsidRDefault="003E6588">
      <w:pPr>
        <w:autoSpaceDE w:val="0"/>
        <w:autoSpaceDN w:val="0"/>
        <w:adjustRightInd w:val="0"/>
        <w:ind w:firstLine="1134"/>
        <w:jc w:val="both"/>
      </w:pPr>
      <w:r>
        <w:rPr>
          <w:b/>
          <w:color w:val="000000"/>
        </w:rPr>
        <w:t>Nova Sede do IG -</w:t>
      </w:r>
      <w:r>
        <w:rPr>
          <w:color w:val="000000"/>
        </w:rPr>
        <w:t xml:space="preserve"> Por força da Lei nº 14.944/2013, o Instituto Geológico mudou sua sede para a Rua Joaquim </w:t>
      </w:r>
      <w:r w:rsidRPr="00B161DB">
        <w:t>Távora nº 822</w:t>
      </w:r>
      <w:r>
        <w:rPr>
          <w:color w:val="000000"/>
        </w:rPr>
        <w:t xml:space="preserve"> - Vila Mariana - São Paulo, executando os serviços de reforma e adaptação provisória para ocupação emergencial da nova unidade com recursos da SMA.</w:t>
      </w:r>
    </w:p>
    <w:p w:rsidR="003E6588" w:rsidRPr="00657ECA" w:rsidRDefault="003E6588">
      <w:pPr>
        <w:ind w:left="426" w:firstLine="708"/>
        <w:jc w:val="both"/>
        <w:rPr>
          <w:u w:val="single"/>
        </w:rPr>
      </w:pPr>
    </w:p>
    <w:p w:rsidR="003E6588" w:rsidRPr="00657ECA" w:rsidRDefault="003E6588">
      <w:pPr>
        <w:ind w:left="426" w:firstLine="708"/>
        <w:jc w:val="both"/>
        <w:rPr>
          <w:u w:val="single"/>
        </w:rPr>
      </w:pPr>
    </w:p>
    <w:p w:rsidR="003E6588" w:rsidRDefault="003E6588">
      <w:pPr>
        <w:rPr>
          <w:b/>
        </w:rPr>
      </w:pPr>
      <w:r>
        <w:rPr>
          <w:b/>
        </w:rPr>
        <w:t>INSTITUTO DE BOTÂNICA</w:t>
      </w:r>
    </w:p>
    <w:p w:rsidR="003E6588" w:rsidRPr="00657ECA" w:rsidRDefault="003E6588">
      <w:pPr>
        <w:ind w:left="426" w:firstLine="708"/>
        <w:jc w:val="both"/>
      </w:pPr>
    </w:p>
    <w:p w:rsidR="003E6588" w:rsidRPr="00657ECA" w:rsidRDefault="003E6588">
      <w:pPr>
        <w:ind w:left="426" w:firstLine="708"/>
        <w:jc w:val="both"/>
      </w:pPr>
    </w:p>
    <w:p w:rsidR="003E6588" w:rsidRDefault="003E6588">
      <w:pPr>
        <w:shd w:val="clear" w:color="auto" w:fill="FFFFFF"/>
        <w:ind w:firstLine="1134"/>
        <w:jc w:val="both"/>
      </w:pPr>
      <w:r>
        <w:rPr>
          <w:b/>
        </w:rPr>
        <w:t xml:space="preserve">Ação Pesquisa Ambiental - Publicações e Divulgações Científicas - </w:t>
      </w:r>
      <w:r>
        <w:t>O corpo técnico do Instituto de Botânica produziu 157 artigos científicos, 7 livros, 17 capítulos de livros, e 104 trabalhos apresentados em Congressos Científicos, totalizando 285 publicações.</w:t>
      </w:r>
    </w:p>
    <w:p w:rsidR="003E6588" w:rsidRDefault="003E6588">
      <w:pPr>
        <w:shd w:val="clear" w:color="auto" w:fill="FFFFFF"/>
        <w:ind w:firstLine="1134"/>
        <w:jc w:val="both"/>
      </w:pPr>
    </w:p>
    <w:p w:rsidR="003E6588" w:rsidRDefault="003E6588">
      <w:pPr>
        <w:ind w:right="49" w:firstLine="1134"/>
        <w:jc w:val="both"/>
      </w:pPr>
      <w:r>
        <w:rPr>
          <w:b/>
        </w:rPr>
        <w:t xml:space="preserve">Programas de Pesquisa - </w:t>
      </w:r>
      <w:r>
        <w:t>Em desenvolvimento, no Instituto de Botânica existem 45 projetos de pesquisa científica distribuídos nos Programas “Biodiversidade e Conservação”, “Mudanças Climáticas Globais”, “Bioprospecção”, e “Recursos Hídricos”. Possui 16 Grupos de Pesquisa cadastrados na base de dados do CNPq - Conselho Nacional de Desenvolvimento Científico e Tecnológico.</w:t>
      </w:r>
    </w:p>
    <w:p w:rsidR="003E6588" w:rsidRDefault="003E6588">
      <w:pPr>
        <w:ind w:right="397" w:firstLine="1134"/>
        <w:jc w:val="both"/>
      </w:pPr>
    </w:p>
    <w:p w:rsidR="003E6588" w:rsidRDefault="003E6588">
      <w:pPr>
        <w:tabs>
          <w:tab w:val="left" w:pos="180"/>
        </w:tabs>
        <w:ind w:right="49" w:firstLine="1134"/>
        <w:jc w:val="both"/>
      </w:pPr>
      <w:r>
        <w:rPr>
          <w:b/>
        </w:rPr>
        <w:t xml:space="preserve">Capacitação e Formação de Recursos Humanos - </w:t>
      </w:r>
      <w:r>
        <w:t>O curso de Pós-Graduação em “Biodiversidade Vegetal e Meio Ambiente” formou 35 profissionais na área, entre Mestres e Doutores, totalizando 269 teses defendidas desde sua criação. Formação de profissionais na área de jardinagem e paisagismo pela realização de 2 edições do Curso de Capacitação em Técnicas Profissionais de Jardinagem - Programa Jardim Escola, com formação de 42 alunos, dos quais 16 alunos com deficiência. Estes cursos são realizados em parceria com Secretaria de Desenvolvimento Social e Associação para Valorização de Pessoas com Deficiência - AVAPE.</w:t>
      </w:r>
    </w:p>
    <w:p w:rsidR="003E6588" w:rsidRDefault="003E6588">
      <w:pPr>
        <w:tabs>
          <w:tab w:val="left" w:pos="180"/>
        </w:tabs>
        <w:ind w:right="49" w:firstLine="1134"/>
        <w:jc w:val="both"/>
      </w:pPr>
    </w:p>
    <w:p w:rsidR="003E6588" w:rsidRDefault="003E6588">
      <w:pPr>
        <w:autoSpaceDE w:val="0"/>
        <w:autoSpaceDN w:val="0"/>
        <w:adjustRightInd w:val="0"/>
        <w:ind w:right="49" w:firstLine="1134"/>
        <w:jc w:val="both"/>
        <w:rPr>
          <w:b/>
          <w:bCs/>
          <w:lang w:eastAsia="en-US"/>
        </w:rPr>
      </w:pPr>
      <w:r>
        <w:rPr>
          <w:b/>
        </w:rPr>
        <w:t xml:space="preserve">Jardim Botânico - </w:t>
      </w:r>
      <w:r>
        <w:rPr>
          <w:bCs/>
          <w:lang w:eastAsia="en-US"/>
        </w:rPr>
        <w:t xml:space="preserve">O Jardim Botânico recebeu 148.903 visitantes. Desses visitantes, recebeu pessoas de 46 países e, de dentro do </w:t>
      </w:r>
      <w:r w:rsidR="00957E14">
        <w:rPr>
          <w:bCs/>
          <w:lang w:eastAsia="en-US"/>
        </w:rPr>
        <w:t>País</w:t>
      </w:r>
      <w:r>
        <w:rPr>
          <w:bCs/>
          <w:lang w:eastAsia="en-US"/>
        </w:rPr>
        <w:t xml:space="preserve">, pessoas de 26 Estados. </w:t>
      </w:r>
      <w:r>
        <w:rPr>
          <w:bCs/>
          <w:iCs/>
          <w:lang w:eastAsia="en-US"/>
        </w:rPr>
        <w:t>Promoveu o lançamento do Livro “Jardim Botânico de São Paulo - 21 anos de inovações”.</w:t>
      </w:r>
    </w:p>
    <w:p w:rsidR="003E6588" w:rsidRDefault="003E6588">
      <w:pPr>
        <w:tabs>
          <w:tab w:val="left" w:pos="180"/>
        </w:tabs>
        <w:ind w:right="397" w:firstLine="1134"/>
        <w:jc w:val="both"/>
        <w:rPr>
          <w:b/>
        </w:rPr>
      </w:pPr>
    </w:p>
    <w:p w:rsidR="003E6588" w:rsidRDefault="003E6588">
      <w:pPr>
        <w:tabs>
          <w:tab w:val="left" w:pos="180"/>
        </w:tabs>
        <w:ind w:right="49" w:firstLine="1134"/>
        <w:jc w:val="both"/>
      </w:pPr>
      <w:r>
        <w:rPr>
          <w:b/>
        </w:rPr>
        <w:t xml:space="preserve">Programa Rodoanel (Parceria e contrato de serviços) - </w:t>
      </w:r>
      <w:r>
        <w:t>Contrato com a DERSA (Desenvolvimento Rodoviário S/A) para orientação de atividades no trecho Norte, dando início à execução dos Programas Básicos Ambientais, incluindo o gerenciamento de plantios compensatórios, a conservação e resgate da flora e monitoramento florestal. O programa Rodoanel realizou:</w:t>
      </w:r>
    </w:p>
    <w:p w:rsidR="003E6588" w:rsidRDefault="003E6588">
      <w:pPr>
        <w:ind w:firstLine="1134"/>
        <w:jc w:val="both"/>
        <w:textAlignment w:val="baseline"/>
        <w:rPr>
          <w:rStyle w:val="yiv9081193742"/>
        </w:rPr>
      </w:pPr>
    </w:p>
    <w:p w:rsidR="003E6588" w:rsidRDefault="003E6588">
      <w:pPr>
        <w:ind w:firstLine="1134"/>
        <w:jc w:val="both"/>
        <w:textAlignment w:val="baseline"/>
        <w:rPr>
          <w:rStyle w:val="yiv9081193742"/>
        </w:rPr>
      </w:pPr>
      <w:r>
        <w:rPr>
          <w:rStyle w:val="yiv9081193742"/>
        </w:rPr>
        <w:t>Capacitação de 100 funcionários em resgate e práticas ambientais;</w:t>
      </w:r>
    </w:p>
    <w:p w:rsidR="003E6588" w:rsidRDefault="003E6588">
      <w:pPr>
        <w:ind w:firstLine="1134"/>
        <w:jc w:val="both"/>
        <w:textAlignment w:val="baseline"/>
      </w:pPr>
    </w:p>
    <w:p w:rsidR="003E6588" w:rsidRDefault="003E6588">
      <w:pPr>
        <w:ind w:firstLine="1134"/>
        <w:jc w:val="both"/>
        <w:textAlignment w:val="baseline"/>
        <w:rPr>
          <w:rStyle w:val="yiv9081193742"/>
        </w:rPr>
      </w:pPr>
      <w:r>
        <w:rPr>
          <w:rStyle w:val="yiv9081193742"/>
        </w:rPr>
        <w:lastRenderedPageBreak/>
        <w:t>Resgate de 47 mil plantas, sendo que 12 mil estão realocadas, principalmente para o Parque Estadual da Cantareira, dentre as quais, 10 espécies ameaçadas de extinção (2 delas presumivelmente extintas); parceria com 4 prefeituras da Grande São Paulo, para as quais foram doadas 17.500 plantas resgatadas.</w:t>
      </w:r>
    </w:p>
    <w:p w:rsidR="003E6588" w:rsidRDefault="003E6588">
      <w:pPr>
        <w:ind w:firstLine="1134"/>
        <w:jc w:val="both"/>
        <w:textAlignment w:val="baseline"/>
      </w:pPr>
    </w:p>
    <w:p w:rsidR="003E6588" w:rsidRDefault="003E6588">
      <w:pPr>
        <w:tabs>
          <w:tab w:val="left" w:pos="180"/>
        </w:tabs>
        <w:ind w:right="49" w:firstLine="1134"/>
        <w:jc w:val="both"/>
        <w:rPr>
          <w:bCs/>
          <w:lang w:eastAsia="en-US"/>
        </w:rPr>
      </w:pPr>
      <w:r>
        <w:rPr>
          <w:b/>
          <w:bCs/>
          <w:lang w:eastAsia="en-US"/>
        </w:rPr>
        <w:t>Celebração de Convênio -</w:t>
      </w:r>
      <w:r>
        <w:rPr>
          <w:bCs/>
          <w:lang w:eastAsia="en-US"/>
        </w:rPr>
        <w:t xml:space="preserve"> O Instituto de Botânica formalizou o convênio com o Centro Universitário São Camilo - União Social Camiliana, visando a formação e capacitação de recursos humanos nas áreas de Botânica e Meio Ambiente, fortalecendo o programa de estágios e prestando serviço à sociedade.</w:t>
      </w:r>
    </w:p>
    <w:p w:rsidR="003E6588" w:rsidRDefault="003E6588">
      <w:pPr>
        <w:tabs>
          <w:tab w:val="left" w:pos="180"/>
        </w:tabs>
        <w:ind w:firstLine="1134"/>
        <w:jc w:val="both"/>
        <w:rPr>
          <w:b/>
          <w:u w:val="single"/>
        </w:rPr>
      </w:pPr>
    </w:p>
    <w:p w:rsidR="003E6588" w:rsidRDefault="003E6588">
      <w:pPr>
        <w:tabs>
          <w:tab w:val="left" w:pos="180"/>
        </w:tabs>
        <w:ind w:firstLine="1134"/>
        <w:jc w:val="both"/>
        <w:rPr>
          <w:bCs/>
        </w:rPr>
      </w:pPr>
      <w:r>
        <w:rPr>
          <w:b/>
        </w:rPr>
        <w:t xml:space="preserve">Ouvidoria SMA - </w:t>
      </w:r>
      <w:r>
        <w:rPr>
          <w:bCs/>
        </w:rPr>
        <w:t xml:space="preserve">Foram registradas 3.226 demandas de atendimento, distribuídas em 2.053 solicitações de informações, 462 denúncias, 362 reclamações, 174 elogios, 87 sugestões e 88 expressões livres. A busca de informações e as denúncias são os serviços mais solicitados. Juntos correspondem a 80% do total das demandas. O </w:t>
      </w:r>
      <w:r w:rsidRPr="00B161DB">
        <w:rPr>
          <w:bCs/>
          <w:i/>
        </w:rPr>
        <w:t>e-mail</w:t>
      </w:r>
      <w:r>
        <w:rPr>
          <w:bCs/>
        </w:rPr>
        <w:t xml:space="preserve"> é a forma de comunicação predominante; cerca de 98,5% dos cidadãos utilizam o correio eletrônico à procura dos serviços prestados. Os assuntos mais procurados foram:</w:t>
      </w:r>
    </w:p>
    <w:p w:rsidR="003E6588" w:rsidRDefault="003E6588">
      <w:pPr>
        <w:tabs>
          <w:tab w:val="left" w:pos="180"/>
        </w:tabs>
        <w:ind w:firstLine="1134"/>
        <w:jc w:val="both"/>
        <w:rPr>
          <w:bCs/>
        </w:rPr>
      </w:pPr>
    </w:p>
    <w:p w:rsidR="003E6588" w:rsidRDefault="003E6588">
      <w:pPr>
        <w:ind w:firstLine="1134"/>
        <w:jc w:val="both"/>
        <w:rPr>
          <w:bCs/>
        </w:rPr>
      </w:pPr>
      <w:r>
        <w:rPr>
          <w:bCs/>
        </w:rPr>
        <w:t>- Reflorestamentos e Supressão de Vegetação, Intervenções em APP - Área de Preservação;</w:t>
      </w:r>
    </w:p>
    <w:p w:rsidR="003E6588" w:rsidRDefault="003E6588">
      <w:pPr>
        <w:ind w:firstLine="1134"/>
        <w:jc w:val="both"/>
        <w:rPr>
          <w:bCs/>
        </w:rPr>
      </w:pPr>
    </w:p>
    <w:p w:rsidR="003E6588" w:rsidRDefault="003E6588">
      <w:pPr>
        <w:ind w:left="1134"/>
        <w:jc w:val="both"/>
        <w:rPr>
          <w:bCs/>
        </w:rPr>
      </w:pPr>
      <w:r>
        <w:rPr>
          <w:bCs/>
        </w:rPr>
        <w:t>- Preservação nos Parques Urbanos e Estaduais;</w:t>
      </w:r>
    </w:p>
    <w:p w:rsidR="003E6588" w:rsidRDefault="003E6588">
      <w:pPr>
        <w:ind w:firstLine="1134"/>
        <w:jc w:val="both"/>
        <w:rPr>
          <w:bCs/>
        </w:rPr>
      </w:pPr>
    </w:p>
    <w:p w:rsidR="003E6588" w:rsidRDefault="003E6588">
      <w:pPr>
        <w:ind w:left="1134"/>
        <w:jc w:val="both"/>
        <w:rPr>
          <w:bCs/>
        </w:rPr>
      </w:pPr>
      <w:r>
        <w:rPr>
          <w:bCs/>
        </w:rPr>
        <w:t>- Licenças para criadores de animais e</w:t>
      </w:r>
    </w:p>
    <w:p w:rsidR="003E6588" w:rsidRDefault="003E6588">
      <w:pPr>
        <w:ind w:firstLine="1134"/>
        <w:jc w:val="both"/>
        <w:rPr>
          <w:bCs/>
        </w:rPr>
      </w:pPr>
    </w:p>
    <w:p w:rsidR="003E6588" w:rsidRDefault="003E6588">
      <w:pPr>
        <w:ind w:left="1134"/>
        <w:jc w:val="both"/>
        <w:rPr>
          <w:bCs/>
        </w:rPr>
      </w:pPr>
      <w:r>
        <w:rPr>
          <w:bCs/>
        </w:rPr>
        <w:t>- Publicações.</w:t>
      </w:r>
    </w:p>
    <w:p w:rsidR="003E6588" w:rsidRDefault="003E6588">
      <w:pPr>
        <w:ind w:firstLine="1134"/>
        <w:jc w:val="both"/>
        <w:rPr>
          <w:b/>
          <w:u w:val="single"/>
        </w:rPr>
      </w:pPr>
    </w:p>
    <w:p w:rsidR="003E6588" w:rsidRDefault="003E6588">
      <w:pPr>
        <w:ind w:firstLine="1134"/>
        <w:jc w:val="both"/>
        <w:rPr>
          <w:b/>
        </w:rPr>
      </w:pPr>
      <w:r>
        <w:rPr>
          <w:b/>
        </w:rPr>
        <w:t>Assessoria Internacional</w:t>
      </w:r>
    </w:p>
    <w:p w:rsidR="003E6588" w:rsidRDefault="003E6588">
      <w:pPr>
        <w:ind w:firstLine="1134"/>
        <w:jc w:val="both"/>
        <w:rPr>
          <w:b/>
        </w:rPr>
      </w:pPr>
    </w:p>
    <w:p w:rsidR="003E6588" w:rsidRDefault="003E6588">
      <w:pPr>
        <w:ind w:firstLine="1134"/>
        <w:jc w:val="both"/>
        <w:rPr>
          <w:sz w:val="22"/>
          <w:szCs w:val="22"/>
        </w:rPr>
      </w:pPr>
      <w:r>
        <w:rPr>
          <w:b/>
        </w:rPr>
        <w:t xml:space="preserve">Cooperações Técnicas - CT - </w:t>
      </w:r>
      <w:r>
        <w:rPr>
          <w:sz w:val="22"/>
          <w:szCs w:val="22"/>
        </w:rPr>
        <w:t xml:space="preserve">Foram realizadas as seguintes cooperações: Equador - entre Agência Brasileira de Cooperação - ABC/MRE (órgão executor: Instituto Florestal da Secretaria do Meio Ambiente e Secretaria Técnica de Cooperação Internacional do Equador (órgão executor: Secretaria Nacional de Água - SENAGUA): “Apoio à Restauração Florestal e Monitoramento Hidrológico de Microbacias Hidrográficas sob Influência Direta de grandes reservatórios do Equador”; França - Região Provence Alpes Côte d’Azur, nos temas: produto final publicação “Mosaicos de Áreas Protegidas”; tratativas da II Fase: “Gestão de Áreas Protegidas Marinhas”; França - Île-de-France: Herbário Virtual </w:t>
      </w:r>
      <w:r w:rsidRPr="00657ECA">
        <w:rPr>
          <w:i/>
          <w:sz w:val="22"/>
          <w:szCs w:val="22"/>
        </w:rPr>
        <w:t>Saint Hilaire</w:t>
      </w:r>
      <w:r>
        <w:rPr>
          <w:sz w:val="22"/>
          <w:szCs w:val="22"/>
        </w:rPr>
        <w:t xml:space="preserve"> (Instituto de Botânica); Protocolo de Intenções em Meio Ambiente e Desenvolvimento Sustentável entre Conselho Regional para o Meio Ambiente, Agricultura e Energia (Região </w:t>
      </w:r>
      <w:r w:rsidRPr="00657ECA">
        <w:rPr>
          <w:i/>
          <w:sz w:val="22"/>
          <w:szCs w:val="22"/>
        </w:rPr>
        <w:t>Île-de-France</w:t>
      </w:r>
      <w:r>
        <w:rPr>
          <w:sz w:val="22"/>
          <w:szCs w:val="22"/>
        </w:rPr>
        <w:t xml:space="preserve">), e a Secretaria do Meio Ambiente - SMA; Canadá - tratativas em inovação tecnológica e Programa “SP Orgânico”; Reino Unido - candidatura ao Fundo Estratégico de Programa </w:t>
      </w:r>
      <w:r>
        <w:rPr>
          <w:i/>
          <w:sz w:val="22"/>
          <w:szCs w:val="22"/>
        </w:rPr>
        <w:t>(Prosperity Fund</w:t>
      </w:r>
      <w:r>
        <w:rPr>
          <w:sz w:val="22"/>
          <w:szCs w:val="22"/>
        </w:rPr>
        <w:t>) - Projeto “Governança Inovativa para Compras Públicas Sustentáveis no Estado de São Paulo”;</w:t>
      </w:r>
    </w:p>
    <w:p w:rsidR="003E6588" w:rsidRDefault="003E6588">
      <w:pPr>
        <w:ind w:firstLine="1134"/>
        <w:jc w:val="both"/>
        <w:rPr>
          <w:b/>
        </w:rPr>
      </w:pPr>
    </w:p>
    <w:p w:rsidR="003E6588" w:rsidRDefault="003E6588">
      <w:pPr>
        <w:ind w:firstLine="1134"/>
        <w:jc w:val="both"/>
      </w:pPr>
      <w:r>
        <w:rPr>
          <w:b/>
        </w:rPr>
        <w:t xml:space="preserve">Redes de Governos Regionais - </w:t>
      </w:r>
      <w:r>
        <w:t>O Estado, por meio da Secretaria do Meio Ambiente, é membro das seguintes redes internacionais:</w:t>
      </w:r>
    </w:p>
    <w:p w:rsidR="003E6588" w:rsidRDefault="003E6588">
      <w:pPr>
        <w:ind w:firstLine="1134"/>
        <w:jc w:val="both"/>
        <w:rPr>
          <w:b/>
        </w:rPr>
      </w:pPr>
    </w:p>
    <w:p w:rsidR="003E6588" w:rsidRDefault="003E6588">
      <w:pPr>
        <w:ind w:firstLine="1134"/>
        <w:jc w:val="both"/>
      </w:pPr>
      <w:r>
        <w:lastRenderedPageBreak/>
        <w:t xml:space="preserve">- nrg4SD - </w:t>
      </w:r>
      <w:r>
        <w:rPr>
          <w:i/>
        </w:rPr>
        <w:t>Network of Regional Governments for Sustainable Development</w:t>
      </w:r>
      <w:r>
        <w:t xml:space="preserve"> (Rede de Governos Regionais para Desenvolvimento Sustentável); </w:t>
      </w:r>
      <w:r>
        <w:rPr>
          <w:i/>
        </w:rPr>
        <w:t>The Climate Group</w:t>
      </w:r>
      <w:r>
        <w:t xml:space="preserve">; ICLEI - </w:t>
      </w:r>
      <w:r>
        <w:rPr>
          <w:i/>
        </w:rPr>
        <w:t>Local Goverments for Sustainability</w:t>
      </w:r>
      <w:r>
        <w:t xml:space="preserve"> (Governos Locais pela Sustentabilidade); </w:t>
      </w:r>
      <w:r>
        <w:rPr>
          <w:i/>
        </w:rPr>
        <w:t>Regional Leaders</w:t>
      </w:r>
      <w:r>
        <w:t xml:space="preserve"> (Cúpula de Líderes Regionais); Conselho Mundial da Água; R20 - </w:t>
      </w:r>
      <w:r>
        <w:rPr>
          <w:i/>
        </w:rPr>
        <w:t>Regions of Climate Action</w:t>
      </w:r>
      <w:r>
        <w:t xml:space="preserve"> (Regiões para Ação Climática); ORU/FOGAR - Regiões Unidas.</w:t>
      </w:r>
    </w:p>
    <w:p w:rsidR="003E6588" w:rsidRPr="00657ECA" w:rsidRDefault="003E6588">
      <w:pPr>
        <w:ind w:firstLine="1134"/>
        <w:jc w:val="both"/>
      </w:pPr>
    </w:p>
    <w:p w:rsidR="003E6588" w:rsidRDefault="003E6588">
      <w:pPr>
        <w:ind w:firstLine="1134"/>
        <w:jc w:val="both"/>
        <w:rPr>
          <w:b/>
        </w:rPr>
      </w:pPr>
      <w:r>
        <w:rPr>
          <w:b/>
        </w:rPr>
        <w:t>Eventos Internacionais</w:t>
      </w:r>
    </w:p>
    <w:p w:rsidR="003E6588" w:rsidRPr="00657ECA" w:rsidRDefault="003E6588">
      <w:pPr>
        <w:ind w:firstLine="1134"/>
        <w:jc w:val="both"/>
      </w:pPr>
    </w:p>
    <w:p w:rsidR="003E6588" w:rsidRDefault="003E6588">
      <w:pPr>
        <w:ind w:firstLine="1134"/>
        <w:jc w:val="both"/>
      </w:pPr>
      <w:r>
        <w:t>- Reunião executiva do ORU/FOGAR, em Cuenca, Equador;</w:t>
      </w:r>
    </w:p>
    <w:p w:rsidR="003E6588" w:rsidRDefault="003E6588">
      <w:pPr>
        <w:ind w:firstLine="1134"/>
        <w:jc w:val="both"/>
      </w:pPr>
    </w:p>
    <w:p w:rsidR="003E6588" w:rsidRDefault="003E6588">
      <w:pPr>
        <w:ind w:firstLine="1134"/>
        <w:jc w:val="both"/>
      </w:pPr>
      <w:r>
        <w:t xml:space="preserve">- Seminário “Desenvolvimento Sustentável: Qualidade e Caminhos da Água na Metrópole”, Ano de </w:t>
      </w:r>
      <w:r>
        <w:rPr>
          <w:i/>
        </w:rPr>
        <w:t>Île-de-France</w:t>
      </w:r>
      <w:r>
        <w:t xml:space="preserve"> e São Paulo para o Desenvolvimento Urbano Sustentável, na SMA São Paulo;</w:t>
      </w:r>
    </w:p>
    <w:p w:rsidR="003E6588" w:rsidRDefault="003E6588">
      <w:pPr>
        <w:ind w:firstLine="1134"/>
        <w:jc w:val="both"/>
      </w:pPr>
    </w:p>
    <w:p w:rsidR="003E6588" w:rsidRDefault="003E6588">
      <w:pPr>
        <w:ind w:firstLine="1134"/>
        <w:jc w:val="both"/>
      </w:pPr>
      <w:r>
        <w:t>- 1ª Assembleia Ambiental da ONU (UNEA) do Programa das Nações Unidas para o Meio Ambiente (PNUMA), em Nairóbi, Quênia;</w:t>
      </w:r>
    </w:p>
    <w:p w:rsidR="003E6588" w:rsidRDefault="003E6588">
      <w:pPr>
        <w:ind w:firstLine="1134"/>
        <w:jc w:val="both"/>
      </w:pPr>
    </w:p>
    <w:p w:rsidR="003E6588" w:rsidRDefault="003E6588">
      <w:pPr>
        <w:ind w:firstLine="1134"/>
        <w:jc w:val="both"/>
      </w:pPr>
      <w:r>
        <w:t>- 3ª Reunião do Comitê Consultivo de Governos Subnacionais, em Chuncheon, Coreia do Sul;</w:t>
      </w:r>
    </w:p>
    <w:p w:rsidR="003E6588" w:rsidRDefault="003E6588">
      <w:pPr>
        <w:ind w:firstLine="1134"/>
        <w:jc w:val="both"/>
      </w:pPr>
    </w:p>
    <w:p w:rsidR="003E6588" w:rsidRDefault="003E6588">
      <w:pPr>
        <w:ind w:firstLine="1134"/>
        <w:jc w:val="both"/>
      </w:pPr>
      <w:r>
        <w:t>- Assembleia Geral 2014 da nrg4SD e “VI Cúpula Mundial de Governos Subnacionais - ORU/FOGAR, OLAGI e FND”, em Cartagena, Colômbia;</w:t>
      </w:r>
    </w:p>
    <w:p w:rsidR="003E6588" w:rsidRDefault="003E6588">
      <w:pPr>
        <w:ind w:firstLine="1134"/>
        <w:jc w:val="both"/>
      </w:pPr>
    </w:p>
    <w:p w:rsidR="003E6588" w:rsidRDefault="003E6588">
      <w:pPr>
        <w:ind w:firstLine="1134"/>
        <w:jc w:val="both"/>
      </w:pPr>
      <w:r>
        <w:t>- Congresso Mundial de Resíduos Sólidos - ISWA/Associação Internacional de Resíduos Sólidos em São Paulo;</w:t>
      </w:r>
    </w:p>
    <w:p w:rsidR="003E6588" w:rsidRDefault="003E6588">
      <w:pPr>
        <w:ind w:firstLine="1134"/>
        <w:jc w:val="both"/>
      </w:pPr>
    </w:p>
    <w:p w:rsidR="003E6588" w:rsidRDefault="003E6588">
      <w:pPr>
        <w:ind w:firstLine="1134"/>
        <w:jc w:val="both"/>
      </w:pPr>
      <w:r>
        <w:t>- LED na Iluminação Pública: Eficiência Energética nas cidades/</w:t>
      </w:r>
      <w:r>
        <w:rPr>
          <w:i/>
        </w:rPr>
        <w:t>The Climate Group</w:t>
      </w:r>
      <w:r>
        <w:t xml:space="preserve"> e Orbiz em São Paulo;</w:t>
      </w:r>
    </w:p>
    <w:p w:rsidR="003E6588" w:rsidRDefault="003E6588">
      <w:pPr>
        <w:ind w:firstLine="1134"/>
        <w:jc w:val="both"/>
      </w:pPr>
    </w:p>
    <w:p w:rsidR="003E6588" w:rsidRDefault="003E6588">
      <w:pPr>
        <w:ind w:firstLine="1134"/>
        <w:jc w:val="both"/>
      </w:pPr>
      <w:r>
        <w:t>- “VI Fórum de Sustentabilidade” e “XII Prêmio LIF” - Câmara de Comércio França - Brasil, em São Paulo;</w:t>
      </w:r>
    </w:p>
    <w:p w:rsidR="003E6588" w:rsidRDefault="003E6588">
      <w:pPr>
        <w:ind w:firstLine="1134"/>
        <w:jc w:val="both"/>
      </w:pPr>
    </w:p>
    <w:p w:rsidR="003E6588" w:rsidRDefault="003E6588">
      <w:pPr>
        <w:ind w:firstLine="1134"/>
        <w:jc w:val="both"/>
      </w:pPr>
      <w:r>
        <w:t>- Conferência das Partes ONU - COP 12 de Biodiversidade, em Pyeongchang, Coreia do Sul e COP 20 de Mudanças Climáticas em Lima, Peru.</w:t>
      </w:r>
    </w:p>
    <w:p w:rsidR="003E6588" w:rsidRPr="00657ECA" w:rsidRDefault="003E6588">
      <w:pPr>
        <w:tabs>
          <w:tab w:val="left" w:pos="7560"/>
        </w:tabs>
        <w:autoSpaceDE w:val="0"/>
        <w:autoSpaceDN w:val="0"/>
        <w:adjustRightInd w:val="0"/>
        <w:ind w:firstLine="1134"/>
        <w:jc w:val="both"/>
      </w:pPr>
    </w:p>
    <w:p w:rsidR="003E6588" w:rsidRDefault="003E6588">
      <w:pPr>
        <w:tabs>
          <w:tab w:val="left" w:pos="7560"/>
        </w:tabs>
        <w:autoSpaceDE w:val="0"/>
        <w:autoSpaceDN w:val="0"/>
        <w:adjustRightInd w:val="0"/>
        <w:ind w:firstLine="1134"/>
        <w:jc w:val="both"/>
      </w:pPr>
      <w:r>
        <w:rPr>
          <w:b/>
        </w:rPr>
        <w:t xml:space="preserve">Audiências Internacionais - </w:t>
      </w:r>
      <w:r>
        <w:t>Entre as missões internacionais recebidas pela Secretaria do Meio Ambiente, destacam-se:</w:t>
      </w:r>
    </w:p>
    <w:p w:rsidR="003E6588" w:rsidRDefault="003E6588">
      <w:pPr>
        <w:tabs>
          <w:tab w:val="left" w:pos="7560"/>
        </w:tabs>
        <w:autoSpaceDE w:val="0"/>
        <w:autoSpaceDN w:val="0"/>
        <w:adjustRightInd w:val="0"/>
        <w:ind w:firstLine="1134"/>
        <w:jc w:val="both"/>
      </w:pPr>
    </w:p>
    <w:p w:rsidR="003E6588" w:rsidRDefault="003E6588">
      <w:pPr>
        <w:shd w:val="clear" w:color="auto" w:fill="FFFFFF"/>
        <w:ind w:firstLine="1134"/>
        <w:jc w:val="both"/>
      </w:pPr>
      <w:r>
        <w:t>- Príncipe Harry/Reino Unido - Visita ao Programa de Recuperação Socioambiental da Serra do Mar;</w:t>
      </w:r>
    </w:p>
    <w:p w:rsidR="003E6588" w:rsidRDefault="003E6588">
      <w:pPr>
        <w:shd w:val="clear" w:color="auto" w:fill="FFFFFF"/>
        <w:ind w:firstLine="1134"/>
        <w:jc w:val="both"/>
      </w:pPr>
    </w:p>
    <w:p w:rsidR="003E6588" w:rsidRDefault="003E6588">
      <w:pPr>
        <w:shd w:val="clear" w:color="auto" w:fill="FFFFFF"/>
        <w:ind w:firstLine="1134"/>
        <w:jc w:val="both"/>
      </w:pPr>
      <w:r>
        <w:t xml:space="preserve">- Vice-presidente da Região </w:t>
      </w:r>
      <w:r>
        <w:rPr>
          <w:i/>
        </w:rPr>
        <w:t>Île-de-France</w:t>
      </w:r>
      <w:r>
        <w:t xml:space="preserve"> para o Meio-Ambiente, Energia e Agricultura, Corinne Rufet;</w:t>
      </w:r>
    </w:p>
    <w:p w:rsidR="003E6588" w:rsidRDefault="003E6588">
      <w:pPr>
        <w:shd w:val="clear" w:color="auto" w:fill="FFFFFF"/>
        <w:ind w:firstLine="1134"/>
        <w:jc w:val="both"/>
      </w:pPr>
      <w:r>
        <w:lastRenderedPageBreak/>
        <w:t>- Sir David King, Representante Especial para Mudanças Climáticas do Reino Unido.</w:t>
      </w:r>
    </w:p>
    <w:p w:rsidR="003E6588" w:rsidRPr="00657ECA" w:rsidRDefault="003E6588">
      <w:pPr>
        <w:ind w:firstLine="1134"/>
        <w:jc w:val="both"/>
        <w:rPr>
          <w:u w:val="single"/>
        </w:rPr>
      </w:pPr>
    </w:p>
    <w:p w:rsidR="003E6588" w:rsidRDefault="003E6588">
      <w:pPr>
        <w:ind w:firstLine="1134"/>
        <w:jc w:val="both"/>
        <w:rPr>
          <w:b/>
        </w:rPr>
      </w:pPr>
      <w:r>
        <w:rPr>
          <w:b/>
        </w:rPr>
        <w:t>Implementação da Política de Resíduos Sólidos - PERS</w:t>
      </w:r>
    </w:p>
    <w:p w:rsidR="003E6588" w:rsidRPr="00657ECA" w:rsidRDefault="003E6588">
      <w:pPr>
        <w:pStyle w:val="PargrafodaLista1"/>
        <w:ind w:left="0" w:firstLine="1134"/>
        <w:jc w:val="both"/>
        <w:rPr>
          <w:u w:val="single"/>
        </w:rPr>
      </w:pPr>
    </w:p>
    <w:p w:rsidR="003E6588" w:rsidRDefault="003E6588">
      <w:pPr>
        <w:pStyle w:val="PargrafodaLista1"/>
        <w:ind w:left="0" w:firstLine="1134"/>
        <w:jc w:val="both"/>
      </w:pPr>
      <w:r>
        <w:rPr>
          <w:b/>
        </w:rPr>
        <w:t>Plano Estadual de Resíduos Sólidos -</w:t>
      </w:r>
      <w:r>
        <w:t xml:space="preserve"> Coordenação da elaboração do Plano Estadual de Resíduos Sólidos - PERS, em conjunto com os membros da Comissão Estadual de Resíduos Sólidos. Lançamento do PERS.</w:t>
      </w:r>
    </w:p>
    <w:p w:rsidR="003E6588" w:rsidRPr="00657ECA" w:rsidRDefault="003E6588">
      <w:pPr>
        <w:pStyle w:val="PargrafodaLista1"/>
        <w:ind w:left="0" w:firstLine="1134"/>
        <w:jc w:val="both"/>
        <w:rPr>
          <w:u w:val="single"/>
        </w:rPr>
      </w:pPr>
    </w:p>
    <w:p w:rsidR="003E6588" w:rsidRDefault="003E6588">
      <w:pPr>
        <w:pStyle w:val="PargrafodaLista1"/>
        <w:ind w:left="0" w:firstLine="1134"/>
        <w:jc w:val="both"/>
      </w:pPr>
      <w:r>
        <w:rPr>
          <w:b/>
        </w:rPr>
        <w:t>Projeto de Apoio à Gestão Municipal de Resíduos Sólidos - GIREM -</w:t>
      </w:r>
      <w:r>
        <w:t xml:space="preserve"> Realização da última etapa do Projeto GIREM, em parceria com a Fundação Prefeito Faria Lima - CEPAM. Total de 380 municípios capacitados (com presença de 750 pessoas) em 16 seminários regionais.</w:t>
      </w:r>
    </w:p>
    <w:p w:rsidR="003E6588" w:rsidRPr="00657ECA" w:rsidRDefault="003E6588">
      <w:pPr>
        <w:ind w:firstLine="1134"/>
        <w:jc w:val="both"/>
        <w:rPr>
          <w:u w:val="single"/>
        </w:rPr>
      </w:pPr>
    </w:p>
    <w:p w:rsidR="003E6588" w:rsidRDefault="003E6588">
      <w:pPr>
        <w:ind w:firstLine="1134"/>
        <w:jc w:val="both"/>
      </w:pPr>
      <w:r>
        <w:rPr>
          <w:b/>
        </w:rPr>
        <w:t>Expocatadores -</w:t>
      </w:r>
      <w:r>
        <w:t xml:space="preserve"> Participação na Expocatadores 2014, com a instalação de </w:t>
      </w:r>
      <w:r>
        <w:rPr>
          <w:i/>
        </w:rPr>
        <w:t>stand</w:t>
      </w:r>
      <w:r>
        <w:t xml:space="preserve"> para contato e cadastramento de cooperativas e associações de catadores de materiais recicláveis no Cadastro Estadual de Catadores de Materiais Recicláveis - CADEC. Foram atendidas 100 pessoas e cadastradas 15 novas entidades de catadores.</w:t>
      </w:r>
    </w:p>
    <w:p w:rsidR="003E6588" w:rsidRDefault="003E6588">
      <w:pPr>
        <w:ind w:firstLine="1134"/>
        <w:jc w:val="both"/>
      </w:pPr>
    </w:p>
    <w:p w:rsidR="003E6588" w:rsidRDefault="003E6588">
      <w:pPr>
        <w:tabs>
          <w:tab w:val="left" w:pos="9720"/>
        </w:tabs>
        <w:ind w:firstLine="1134"/>
        <w:jc w:val="both"/>
        <w:rPr>
          <w:rFonts w:eastAsia="Calibri"/>
          <w:lang w:eastAsia="en-US"/>
        </w:rPr>
      </w:pPr>
      <w:r>
        <w:rPr>
          <w:rFonts w:eastAsia="Calibri"/>
          <w:b/>
          <w:bCs/>
          <w:sz w:val="22"/>
          <w:szCs w:val="22"/>
          <w:lang w:eastAsia="en-US"/>
        </w:rPr>
        <w:t xml:space="preserve">Município Verde Azul </w:t>
      </w:r>
      <w:r>
        <w:rPr>
          <w:rFonts w:eastAsia="Calibri"/>
          <w:b/>
          <w:bCs/>
          <w:lang w:eastAsia="en-US"/>
        </w:rPr>
        <w:t xml:space="preserve">- </w:t>
      </w:r>
      <w:r>
        <w:rPr>
          <w:rFonts w:eastAsia="Calibri"/>
          <w:lang w:eastAsia="en-US"/>
        </w:rPr>
        <w:t xml:space="preserve">Foram publicadas as Resoluções SMA nº 20/2014, que estabeleceu os parâmetros para avaliação dos Relatórios de Gestão Ambiental Municipais e as Resoluções SMA nº 53/2014 e a SMA nº 85/2014, que definiram, respectivamente, o elenco de ações relacionado à diretiva biodiversidade e aos </w:t>
      </w:r>
      <w:r>
        <w:rPr>
          <w:rFonts w:eastAsia="Calibri"/>
          <w:iCs/>
          <w:lang w:eastAsia="en-US"/>
        </w:rPr>
        <w:t xml:space="preserve">critérios para avaliação e classificação dos municípios do Estado no </w:t>
      </w:r>
      <w:r>
        <w:rPr>
          <w:rFonts w:eastAsia="Calibri"/>
          <w:bCs/>
          <w:iCs/>
          <w:lang w:eastAsia="en-US"/>
        </w:rPr>
        <w:t>Programa Pacto das Águas - Ciclo 2013-2015</w:t>
      </w:r>
      <w:r>
        <w:rPr>
          <w:rFonts w:eastAsia="Calibri"/>
          <w:iCs/>
          <w:lang w:eastAsia="en-US"/>
        </w:rPr>
        <w:t>,</w:t>
      </w:r>
      <w:r>
        <w:rPr>
          <w:rFonts w:eastAsia="Calibri"/>
          <w:lang w:eastAsia="en-US"/>
        </w:rPr>
        <w:t xml:space="preserve"> no âmbito do Programa Município Verde Azul - PMVA.</w:t>
      </w:r>
    </w:p>
    <w:p w:rsidR="003E6588" w:rsidRDefault="003E6588">
      <w:pPr>
        <w:tabs>
          <w:tab w:val="left" w:pos="9720"/>
        </w:tabs>
        <w:ind w:firstLine="1134"/>
        <w:jc w:val="both"/>
        <w:rPr>
          <w:rFonts w:eastAsia="Calibri"/>
          <w:lang w:eastAsia="en-US"/>
        </w:rPr>
      </w:pPr>
    </w:p>
    <w:p w:rsidR="003E6588" w:rsidRDefault="003E6588">
      <w:pPr>
        <w:autoSpaceDE w:val="0"/>
        <w:autoSpaceDN w:val="0"/>
        <w:adjustRightInd w:val="0"/>
        <w:ind w:firstLine="1134"/>
        <w:jc w:val="both"/>
        <w:rPr>
          <w:rFonts w:eastAsia="Calibri"/>
          <w:lang w:eastAsia="en-US"/>
        </w:rPr>
      </w:pPr>
      <w:r>
        <w:rPr>
          <w:rFonts w:eastAsia="Calibri"/>
          <w:lang w:eastAsia="en-US"/>
        </w:rPr>
        <w:t>Procedemos à ratificação da adesão dos municípios ao PMVA, mediante a formalização, pelos prefeitos, da indicação dos interlocutores, totalizando 610 municípios cadastrados. Destes, 73% são novas gestões e 27% foram prefeitos reeleitos.</w:t>
      </w:r>
    </w:p>
    <w:p w:rsidR="003E6588" w:rsidRDefault="003E6588">
      <w:pPr>
        <w:autoSpaceDE w:val="0"/>
        <w:autoSpaceDN w:val="0"/>
        <w:adjustRightInd w:val="0"/>
        <w:ind w:firstLine="1134"/>
        <w:jc w:val="both"/>
        <w:rPr>
          <w:rFonts w:eastAsia="Calibri"/>
          <w:lang w:eastAsia="en-US"/>
        </w:rPr>
      </w:pPr>
    </w:p>
    <w:p w:rsidR="003E6588" w:rsidRDefault="003E6588">
      <w:pPr>
        <w:autoSpaceDE w:val="0"/>
        <w:autoSpaceDN w:val="0"/>
        <w:adjustRightInd w:val="0"/>
        <w:ind w:firstLine="1134"/>
        <w:jc w:val="both"/>
        <w:rPr>
          <w:rFonts w:eastAsia="Calibri"/>
          <w:lang w:eastAsia="en-US"/>
        </w:rPr>
      </w:pPr>
      <w:r>
        <w:rPr>
          <w:rFonts w:eastAsia="Calibri"/>
          <w:lang w:eastAsia="en-US"/>
        </w:rPr>
        <w:t>Registrou-se a entrega de 467 Relatórios de Gestão Ambiental Municipais para avaliação. 326 municipalidades estiveram representadas no evento de certificação dos municípios que demonstraram bom desempenho nas ações propostas pelo Programa, em que 118 municípios foram laureados.</w:t>
      </w:r>
    </w:p>
    <w:p w:rsidR="003E6588" w:rsidRDefault="003E6588">
      <w:pPr>
        <w:autoSpaceDE w:val="0"/>
        <w:autoSpaceDN w:val="0"/>
        <w:adjustRightInd w:val="0"/>
        <w:ind w:firstLine="1134"/>
        <w:jc w:val="both"/>
        <w:rPr>
          <w:rFonts w:eastAsia="Calibri"/>
          <w:strike/>
          <w:lang w:eastAsia="en-US"/>
        </w:rPr>
      </w:pPr>
    </w:p>
    <w:p w:rsidR="003E6588" w:rsidRDefault="003E6588">
      <w:pPr>
        <w:tabs>
          <w:tab w:val="left" w:pos="567"/>
          <w:tab w:val="left" w:pos="9540"/>
        </w:tabs>
        <w:autoSpaceDE w:val="0"/>
        <w:autoSpaceDN w:val="0"/>
        <w:adjustRightInd w:val="0"/>
        <w:ind w:firstLine="1134"/>
        <w:jc w:val="both"/>
        <w:rPr>
          <w:rFonts w:eastAsia="Calibri"/>
          <w:lang w:eastAsia="en-US"/>
        </w:rPr>
      </w:pPr>
      <w:r>
        <w:rPr>
          <w:rFonts w:eastAsia="Calibri"/>
          <w:b/>
          <w:bCs/>
          <w:lang w:eastAsia="en-US"/>
        </w:rPr>
        <w:t xml:space="preserve">Inovações promovidas pelo Programa Município Verde Azul - </w:t>
      </w:r>
      <w:r>
        <w:rPr>
          <w:rFonts w:eastAsia="Calibri"/>
          <w:b/>
          <w:lang w:eastAsia="en-US"/>
        </w:rPr>
        <w:t xml:space="preserve">PMVA - </w:t>
      </w:r>
      <w:r>
        <w:rPr>
          <w:rFonts w:eastAsia="Calibri"/>
          <w:lang w:eastAsia="en-US"/>
        </w:rPr>
        <w:t>Cooperação técnica entre o Programa e a Coordenação Estadual de Defesa Civil, a qual configurou a convergência de políticas públicas que prezam pela melhoria contínua do planejamento ambiental. Articulação entre as ações do PMVA e as atividades do Tribunal de Contas do Estado, a qual promoverá o estímulo ao Chefe do Executivo Municipal para internalizar a gestão ambiental de caráter estratégico.</w:t>
      </w:r>
    </w:p>
    <w:p w:rsidR="003E6588" w:rsidRPr="00657ECA" w:rsidRDefault="003E6588">
      <w:pPr>
        <w:autoSpaceDE w:val="0"/>
        <w:autoSpaceDN w:val="0"/>
        <w:adjustRightInd w:val="0"/>
        <w:ind w:firstLine="1134"/>
        <w:jc w:val="both"/>
        <w:rPr>
          <w:rFonts w:eastAsia="Calibri"/>
          <w:bCs/>
          <w:strike/>
          <w:lang w:eastAsia="en-US"/>
        </w:rPr>
      </w:pPr>
    </w:p>
    <w:p w:rsidR="003E6588" w:rsidRDefault="003E6588">
      <w:pPr>
        <w:autoSpaceDE w:val="0"/>
        <w:autoSpaceDN w:val="0"/>
        <w:adjustRightInd w:val="0"/>
        <w:ind w:firstLine="1134"/>
        <w:jc w:val="both"/>
        <w:rPr>
          <w:rFonts w:eastAsia="Calibri"/>
          <w:lang w:eastAsia="en-US"/>
        </w:rPr>
      </w:pPr>
      <w:r>
        <w:rPr>
          <w:rFonts w:eastAsia="Calibri"/>
          <w:b/>
          <w:bCs/>
          <w:lang w:eastAsia="en-US"/>
        </w:rPr>
        <w:t xml:space="preserve">Avaliação - </w:t>
      </w:r>
      <w:r>
        <w:rPr>
          <w:rFonts w:eastAsia="Calibri"/>
          <w:lang w:eastAsia="en-US"/>
        </w:rPr>
        <w:t xml:space="preserve">A SMA manteve também a premiação da edição anterior: o “Prêmio Franco Montoro”, para </w:t>
      </w:r>
      <w:r w:rsidRPr="00B161DB">
        <w:rPr>
          <w:rFonts w:eastAsia="Calibri"/>
          <w:lang w:eastAsia="en-US"/>
        </w:rPr>
        <w:t>os municípios</w:t>
      </w:r>
      <w:r>
        <w:rPr>
          <w:rFonts w:eastAsia="Calibri"/>
          <w:lang w:eastAsia="en-US"/>
        </w:rPr>
        <w:t xml:space="preserve"> melhores colocados em suas bacias hidrográficas. Os interlocutores dos municípios que obtiverem nota acima de 80 foram homenageados.</w:t>
      </w:r>
    </w:p>
    <w:p w:rsidR="003E6588" w:rsidRPr="00657ECA" w:rsidRDefault="003E6588">
      <w:pPr>
        <w:autoSpaceDE w:val="0"/>
        <w:autoSpaceDN w:val="0"/>
        <w:adjustRightInd w:val="0"/>
        <w:ind w:firstLine="1134"/>
        <w:jc w:val="both"/>
        <w:rPr>
          <w:rFonts w:eastAsia="Calibri"/>
          <w:bCs/>
          <w:lang w:eastAsia="en-US"/>
        </w:rPr>
      </w:pPr>
    </w:p>
    <w:p w:rsidR="00B161DB" w:rsidRPr="00657ECA" w:rsidRDefault="00B161DB">
      <w:pPr>
        <w:autoSpaceDE w:val="0"/>
        <w:autoSpaceDN w:val="0"/>
        <w:adjustRightInd w:val="0"/>
        <w:ind w:firstLine="1134"/>
        <w:jc w:val="both"/>
        <w:rPr>
          <w:rFonts w:eastAsia="Calibri"/>
          <w:bCs/>
          <w:lang w:eastAsia="en-US"/>
        </w:rPr>
      </w:pPr>
    </w:p>
    <w:p w:rsidR="003E6588" w:rsidRDefault="003E6588">
      <w:pPr>
        <w:autoSpaceDE w:val="0"/>
        <w:autoSpaceDN w:val="0"/>
        <w:adjustRightInd w:val="0"/>
        <w:ind w:firstLine="1134"/>
        <w:jc w:val="both"/>
        <w:rPr>
          <w:rFonts w:eastAsia="Calibri"/>
          <w:b/>
          <w:bCs/>
          <w:lang w:eastAsia="en-US"/>
        </w:rPr>
      </w:pPr>
      <w:r>
        <w:rPr>
          <w:rFonts w:eastAsia="Calibri"/>
          <w:b/>
          <w:bCs/>
          <w:lang w:eastAsia="en-US"/>
        </w:rPr>
        <w:lastRenderedPageBreak/>
        <w:t>Resultados</w:t>
      </w:r>
    </w:p>
    <w:p w:rsidR="003E6588" w:rsidRDefault="003E6588">
      <w:pPr>
        <w:autoSpaceDE w:val="0"/>
        <w:autoSpaceDN w:val="0"/>
        <w:adjustRightInd w:val="0"/>
        <w:ind w:firstLine="1134"/>
        <w:jc w:val="both"/>
        <w:rPr>
          <w:rFonts w:eastAsia="Calibri"/>
          <w:lang w:eastAsia="en-US"/>
        </w:rPr>
      </w:pPr>
    </w:p>
    <w:p w:rsidR="003E6588" w:rsidRDefault="003E6588" w:rsidP="00B161DB">
      <w:pPr>
        <w:ind w:firstLine="1134"/>
        <w:jc w:val="both"/>
        <w:rPr>
          <w:b/>
          <w:bCs/>
        </w:rPr>
      </w:pPr>
      <w:r>
        <w:rPr>
          <w:bCs/>
        </w:rPr>
        <w:t xml:space="preserve">Planos Municipais de Gestão Integrada de Resíduos Sólidos - </w:t>
      </w:r>
      <w:r>
        <w:t>334.</w:t>
      </w:r>
    </w:p>
    <w:p w:rsidR="00B161DB" w:rsidRDefault="00B161DB" w:rsidP="00B161DB">
      <w:pPr>
        <w:ind w:firstLine="1134"/>
        <w:jc w:val="both"/>
        <w:rPr>
          <w:bCs/>
        </w:rPr>
      </w:pPr>
    </w:p>
    <w:p w:rsidR="003E6588" w:rsidRDefault="003E6588" w:rsidP="00B161DB">
      <w:pPr>
        <w:ind w:firstLine="1134"/>
        <w:jc w:val="both"/>
      </w:pPr>
      <w:r>
        <w:rPr>
          <w:bCs/>
        </w:rPr>
        <w:t xml:space="preserve">Municípios com viveiros de mudas (próprio/consorciado/conveniado) - </w:t>
      </w:r>
      <w:r>
        <w:t>344.</w:t>
      </w:r>
    </w:p>
    <w:p w:rsidR="003E6588" w:rsidRDefault="003E6588" w:rsidP="00B161DB">
      <w:pPr>
        <w:ind w:firstLine="1134"/>
        <w:jc w:val="both"/>
      </w:pPr>
    </w:p>
    <w:p w:rsidR="003E6588" w:rsidRDefault="003E6588" w:rsidP="00B161DB">
      <w:pPr>
        <w:ind w:firstLine="1134"/>
        <w:jc w:val="both"/>
        <w:rPr>
          <w:b/>
        </w:rPr>
      </w:pPr>
      <w:r>
        <w:t>Municípios com Programas de Educação Ambiental - 258.</w:t>
      </w:r>
    </w:p>
    <w:p w:rsidR="003E6588" w:rsidRDefault="003E6588" w:rsidP="00B161DB">
      <w:pPr>
        <w:ind w:firstLine="1134"/>
        <w:jc w:val="both"/>
        <w:rPr>
          <w:bCs/>
        </w:rPr>
      </w:pPr>
    </w:p>
    <w:p w:rsidR="003E6588" w:rsidRDefault="003E6588" w:rsidP="00B161DB">
      <w:pPr>
        <w:ind w:firstLine="1134"/>
        <w:jc w:val="both"/>
      </w:pPr>
      <w:r>
        <w:rPr>
          <w:bCs/>
        </w:rPr>
        <w:t xml:space="preserve">Municípios que participaram do treinamento oferecido pelo corpo de bombeiros para prevenção e controle de incêndios ou de desastres naturais - </w:t>
      </w:r>
      <w:r>
        <w:t>361.</w:t>
      </w:r>
    </w:p>
    <w:p w:rsidR="003E6588" w:rsidRDefault="003E6588" w:rsidP="00B161DB">
      <w:pPr>
        <w:ind w:firstLine="1134"/>
        <w:jc w:val="both"/>
      </w:pPr>
    </w:p>
    <w:p w:rsidR="003E6588" w:rsidRDefault="003E6588" w:rsidP="00B161DB">
      <w:pPr>
        <w:ind w:firstLine="1134"/>
        <w:jc w:val="both"/>
        <w:rPr>
          <w:b/>
        </w:rPr>
      </w:pPr>
      <w:r>
        <w:t>Municípios que demonstraram ter desenvolvido articulações intermunicipais voltadas às questões ambientais - 290.</w:t>
      </w:r>
    </w:p>
    <w:p w:rsidR="003E6588" w:rsidRDefault="003E6588" w:rsidP="00B161DB">
      <w:pPr>
        <w:ind w:firstLine="1134"/>
        <w:jc w:val="both"/>
      </w:pPr>
    </w:p>
    <w:p w:rsidR="003E6588" w:rsidRDefault="003E6588" w:rsidP="00B161DB">
      <w:pPr>
        <w:ind w:firstLine="1134"/>
        <w:jc w:val="both"/>
      </w:pPr>
      <w:r>
        <w:t>Primeiro ano da parceria Programa Município Verdeazul e Defesa Civil do Estado de São Paulo</w:t>
      </w:r>
    </w:p>
    <w:p w:rsidR="003E6588" w:rsidRDefault="003E6588">
      <w:pPr>
        <w:ind w:firstLine="1134"/>
        <w:jc w:val="both"/>
      </w:pPr>
    </w:p>
    <w:p w:rsidR="003E6588" w:rsidRDefault="003E6588">
      <w:pPr>
        <w:ind w:firstLine="1134"/>
        <w:jc w:val="both"/>
        <w:rPr>
          <w:b/>
        </w:rPr>
      </w:pPr>
      <w:r>
        <w:t>Municípios que atualizaram a indicação dos Coordenadores Municipais de Defesa Civil - 483.</w:t>
      </w:r>
    </w:p>
    <w:p w:rsidR="003E6588" w:rsidRDefault="003E6588" w:rsidP="00657ECA">
      <w:pPr>
        <w:ind w:left="1134"/>
        <w:jc w:val="both"/>
      </w:pPr>
    </w:p>
    <w:p w:rsidR="003E6588" w:rsidRDefault="003E6588" w:rsidP="00B161DB">
      <w:pPr>
        <w:ind w:firstLine="1134"/>
        <w:jc w:val="both"/>
      </w:pPr>
      <w:r>
        <w:t xml:space="preserve">Municípios que se cadastraram no Programa Cidades Resilientes </w:t>
      </w:r>
      <w:r w:rsidR="00B161DB">
        <w:t>-</w:t>
      </w:r>
      <w:r>
        <w:t xml:space="preserve"> 210.</w:t>
      </w:r>
    </w:p>
    <w:p w:rsidR="003E6588" w:rsidRPr="00657ECA" w:rsidRDefault="003E6588" w:rsidP="00657ECA">
      <w:pPr>
        <w:ind w:left="1134"/>
        <w:jc w:val="both"/>
      </w:pPr>
    </w:p>
    <w:p w:rsidR="003E6588" w:rsidRDefault="003E6588">
      <w:pPr>
        <w:ind w:firstLine="1134"/>
        <w:jc w:val="both"/>
      </w:pPr>
      <w:r>
        <w:rPr>
          <w:b/>
        </w:rPr>
        <w:t xml:space="preserve">Mudanças Climáticas - </w:t>
      </w:r>
      <w:r>
        <w:t>A Assessoria de Mudanças Climáticas - AMC da SMA atua em diversas frentes para o cumprimento da política. A participação internacional te</w:t>
      </w:r>
      <w:r w:rsidRPr="00B161DB">
        <w:t xml:space="preserve">ve </w:t>
      </w:r>
      <w:r>
        <w:t xml:space="preserve">como destaque: a coordenação do “V Relatório de Avaliação do Painel do Clima (IPCC)”; a representação de São Paulo em Conferências como a “CoP20 da Convenção do Clima”; a assessoria técnica às Redes de Governo (R20, NRG4SD e </w:t>
      </w:r>
      <w:r>
        <w:rPr>
          <w:i/>
        </w:rPr>
        <w:t>Climate Group</w:t>
      </w:r>
      <w:r>
        <w:t>); o atendimento às demandas de Comunicação e às solicitações de delegações estrangeiras no que se refere ao tema.</w:t>
      </w:r>
    </w:p>
    <w:p w:rsidR="003E6588" w:rsidRDefault="003E6588">
      <w:pPr>
        <w:ind w:firstLine="1134"/>
        <w:jc w:val="both"/>
      </w:pPr>
    </w:p>
    <w:p w:rsidR="003E6588" w:rsidRDefault="003E6588">
      <w:pPr>
        <w:ind w:firstLine="1134"/>
        <w:jc w:val="both"/>
        <w:rPr>
          <w:b/>
        </w:rPr>
      </w:pPr>
      <w:r>
        <w:rPr>
          <w:b/>
        </w:rPr>
        <w:t>Parques Urbanos</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b/>
          <w:sz w:val="24"/>
          <w:szCs w:val="24"/>
        </w:rPr>
      </w:pPr>
      <w:r>
        <w:rPr>
          <w:rFonts w:ascii="Times New Roman" w:hAnsi="Times New Roman"/>
          <w:b/>
          <w:sz w:val="24"/>
          <w:szCs w:val="24"/>
        </w:rPr>
        <w:t>Coordenadoria de Parques Urbanos</w:t>
      </w:r>
    </w:p>
    <w:p w:rsidR="003E6588" w:rsidRDefault="003E6588">
      <w:pPr>
        <w:pStyle w:val="SemEspaamento"/>
        <w:ind w:firstLine="1134"/>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Urbano Candido Portinari - </w:t>
      </w:r>
      <w:r>
        <w:rPr>
          <w:rFonts w:ascii="Times New Roman" w:hAnsi="Times New Roman"/>
          <w:sz w:val="24"/>
          <w:szCs w:val="24"/>
        </w:rPr>
        <w:t xml:space="preserve">Área total - 121.000 m²/Visitação </w:t>
      </w:r>
      <w:r w:rsidR="00B161DB">
        <w:rPr>
          <w:rFonts w:ascii="Times New Roman" w:hAnsi="Times New Roman"/>
          <w:sz w:val="24"/>
          <w:szCs w:val="24"/>
        </w:rPr>
        <w:t>-</w:t>
      </w:r>
      <w:r>
        <w:rPr>
          <w:rFonts w:ascii="Times New Roman" w:hAnsi="Times New Roman"/>
          <w:sz w:val="24"/>
          <w:szCs w:val="24"/>
        </w:rPr>
        <w:t xml:space="preserve"> 414.413.</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Destaques - </w:t>
      </w:r>
      <w:r>
        <w:rPr>
          <w:rFonts w:ascii="Times New Roman" w:hAnsi="Times New Roman"/>
          <w:sz w:val="24"/>
          <w:szCs w:val="24"/>
        </w:rPr>
        <w:t xml:space="preserve">O Parque Candido Portinari é referência para a realização de grandes eventos; recebeu duas edições do “São Paulo </w:t>
      </w:r>
      <w:r>
        <w:rPr>
          <w:rFonts w:ascii="Times New Roman" w:hAnsi="Times New Roman"/>
          <w:i/>
          <w:sz w:val="24"/>
          <w:szCs w:val="24"/>
        </w:rPr>
        <w:t>Fashion Week”</w:t>
      </w:r>
      <w:r>
        <w:rPr>
          <w:rFonts w:ascii="Times New Roman" w:hAnsi="Times New Roman"/>
          <w:sz w:val="24"/>
          <w:szCs w:val="24"/>
        </w:rPr>
        <w:t xml:space="preserve">, maior evento de moda do País, tendo destaque em todos os canais de mídia; transmissão do </w:t>
      </w:r>
      <w:r>
        <w:rPr>
          <w:rFonts w:ascii="Times New Roman" w:hAnsi="Times New Roman"/>
          <w:i/>
          <w:sz w:val="24"/>
          <w:szCs w:val="24"/>
        </w:rPr>
        <w:t>show</w:t>
      </w:r>
      <w:r>
        <w:rPr>
          <w:rFonts w:ascii="Times New Roman" w:hAnsi="Times New Roman"/>
          <w:sz w:val="24"/>
          <w:szCs w:val="24"/>
        </w:rPr>
        <w:t xml:space="preserve"> ao vivo “</w:t>
      </w:r>
      <w:r>
        <w:rPr>
          <w:rFonts w:ascii="Times New Roman" w:hAnsi="Times New Roman"/>
          <w:i/>
          <w:sz w:val="24"/>
          <w:szCs w:val="24"/>
        </w:rPr>
        <w:t>Tomorrowland”</w:t>
      </w:r>
      <w:r>
        <w:rPr>
          <w:rFonts w:ascii="Times New Roman" w:hAnsi="Times New Roman"/>
          <w:sz w:val="24"/>
          <w:szCs w:val="24"/>
        </w:rPr>
        <w:t xml:space="preserve"> para 5 mil pessoas; eventos da “Virada Esportiva” e o “Primeiro Campeonato de </w:t>
      </w:r>
      <w:r>
        <w:rPr>
          <w:rFonts w:ascii="Times New Roman" w:hAnsi="Times New Roman"/>
          <w:i/>
          <w:sz w:val="24"/>
          <w:szCs w:val="24"/>
        </w:rPr>
        <w:t xml:space="preserve">Dowhill </w:t>
      </w:r>
      <w:r>
        <w:rPr>
          <w:rFonts w:ascii="Times New Roman" w:hAnsi="Times New Roman"/>
          <w:sz w:val="24"/>
          <w:szCs w:val="24"/>
        </w:rPr>
        <w:t>Feminin”.</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 xml:space="preserve">O Parque é via segura para quem quer acessar a estação da CPTM Villa-Lobos/Jaguaré, ocasionando o aumento de fluxo de usuários entre Parque e a CPTM, exigindo da Administração da </w:t>
      </w:r>
      <w:r>
        <w:rPr>
          <w:rFonts w:ascii="Times New Roman" w:hAnsi="Times New Roman"/>
          <w:sz w:val="24"/>
          <w:szCs w:val="24"/>
        </w:rPr>
        <w:lastRenderedPageBreak/>
        <w:t>CPTM a instalação de mais duas catracas para atender este público, o qual foi de 7 mil para 20 mil pessoas.</w:t>
      </w:r>
    </w:p>
    <w:p w:rsidR="00B161DB" w:rsidRDefault="00B161DB">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Villa-Lobos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3.229.446.</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Novos Equipamentos - </w:t>
      </w:r>
      <w:r>
        <w:rPr>
          <w:rFonts w:ascii="Times New Roman" w:hAnsi="Times New Roman"/>
          <w:sz w:val="24"/>
          <w:szCs w:val="24"/>
        </w:rPr>
        <w:t xml:space="preserve">2 conjuntos de equipamentos de </w:t>
      </w:r>
      <w:r>
        <w:rPr>
          <w:rFonts w:ascii="Times New Roman" w:hAnsi="Times New Roman"/>
          <w:i/>
          <w:sz w:val="24"/>
          <w:szCs w:val="24"/>
        </w:rPr>
        <w:t>playground</w:t>
      </w:r>
      <w:r>
        <w:rPr>
          <w:rFonts w:ascii="Times New Roman" w:hAnsi="Times New Roman"/>
          <w:sz w:val="24"/>
          <w:szCs w:val="24"/>
        </w:rPr>
        <w:t>, cada um com 9 equipamentos; Implantação de rede de água captada de poço semi-artesiano para abastecimento dos vasos sanitários dos banheiros com o maior fluxo de usuários, para a redução de consumo de água potável. Utilização de Triturador de galhos Mecânico Móvel para reutilização do material vegetal nos bosques, canteiros e recuperação de áreas de plantio. Implantação de novos equipamentos de academia ao ar livre. Implantação de aparelhos de ginástica (esteiras e bicicletas ergométricas). Recuperação do Orquidário “Professora Ruth Cardoso” (Recuperação das mudas/Sistema de bombas/Espelho d’água).</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b/>
          <w:sz w:val="24"/>
          <w:szCs w:val="24"/>
        </w:rPr>
      </w:pPr>
      <w:r>
        <w:rPr>
          <w:rFonts w:ascii="Times New Roman" w:hAnsi="Times New Roman"/>
          <w:b/>
          <w:sz w:val="24"/>
          <w:szCs w:val="24"/>
        </w:rPr>
        <w:t>Destaque</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Instalação da Biblioteca Parque Villa-Lobos - Parceria Secretaria da Cultura; Secretaria do Meio Ambiente e Biblioteca São Paulo.</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 xml:space="preserve">Plantio de 1.200 mudas de árvores - Origem Termo de Compromisso de Recuperação Ambiental </w:t>
      </w:r>
      <w:r w:rsidR="00B161DB">
        <w:rPr>
          <w:rFonts w:ascii="Times New Roman" w:hAnsi="Times New Roman"/>
          <w:sz w:val="24"/>
          <w:szCs w:val="24"/>
        </w:rPr>
        <w:t xml:space="preserve">- </w:t>
      </w:r>
      <w:r>
        <w:rPr>
          <w:rFonts w:ascii="Times New Roman" w:hAnsi="Times New Roman"/>
          <w:sz w:val="24"/>
          <w:szCs w:val="24"/>
        </w:rPr>
        <w:t xml:space="preserve">TCRA e Termo de Compensação Ambiental </w:t>
      </w:r>
      <w:r w:rsidR="00B161DB">
        <w:rPr>
          <w:rFonts w:ascii="Times New Roman" w:hAnsi="Times New Roman"/>
          <w:sz w:val="24"/>
          <w:szCs w:val="24"/>
        </w:rPr>
        <w:t xml:space="preserve">- </w:t>
      </w:r>
      <w:r>
        <w:rPr>
          <w:rFonts w:ascii="Times New Roman" w:hAnsi="Times New Roman"/>
          <w:sz w:val="24"/>
          <w:szCs w:val="24"/>
        </w:rPr>
        <w:t>TCA.</w:t>
      </w:r>
    </w:p>
    <w:p w:rsidR="003E6588" w:rsidRDefault="003E6588">
      <w:pPr>
        <w:pStyle w:val="SemEspaamento"/>
        <w:ind w:firstLine="1134"/>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do Jequitibá - </w:t>
      </w:r>
      <w:r>
        <w:rPr>
          <w:rFonts w:ascii="Times New Roman" w:hAnsi="Times New Roman"/>
          <w:sz w:val="24"/>
          <w:szCs w:val="24"/>
        </w:rPr>
        <w:t>As obras estão em andamento pela CDHU.</w:t>
      </w:r>
    </w:p>
    <w:p w:rsidR="003E6588" w:rsidRDefault="003E6588">
      <w:pPr>
        <w:pStyle w:val="SemEspaamento"/>
        <w:ind w:firstLine="1134"/>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Ecológico Monsenhor Emílio José Salim - </w:t>
      </w:r>
      <w:r>
        <w:rPr>
          <w:rFonts w:ascii="Times New Roman" w:hAnsi="Times New Roman"/>
          <w:sz w:val="24"/>
          <w:szCs w:val="24"/>
        </w:rPr>
        <w:t>Decreto nº 59.231/2013 permitiu o uso, a título precário e gratuito, por 99 anos, da área em favor ao Município de Campinas.</w:t>
      </w:r>
    </w:p>
    <w:p w:rsidR="003E6588" w:rsidRDefault="003E6588">
      <w:pPr>
        <w:pStyle w:val="SemEspaamento"/>
        <w:ind w:left="426" w:firstLine="708"/>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do Belem “Manoel Pitta”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476.924. Reparos, adequações e abertura para visitação, plantio de arvores decorrentes de TCCA; manutenção de gradis do parque; manutenção dos brinquedos dos </w:t>
      </w:r>
      <w:r>
        <w:rPr>
          <w:rFonts w:ascii="Times New Roman" w:hAnsi="Times New Roman"/>
          <w:i/>
          <w:sz w:val="24"/>
          <w:szCs w:val="24"/>
        </w:rPr>
        <w:t>playgrounds</w:t>
      </w:r>
      <w:r>
        <w:rPr>
          <w:rFonts w:ascii="Times New Roman" w:hAnsi="Times New Roman"/>
          <w:sz w:val="24"/>
          <w:szCs w:val="24"/>
        </w:rPr>
        <w:t>;</w:t>
      </w:r>
    </w:p>
    <w:p w:rsidR="003E6588" w:rsidRDefault="003E6588">
      <w:pPr>
        <w:pStyle w:val="SemEspaamento"/>
        <w:ind w:firstLine="1134"/>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da Juventude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1.954.607.</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b/>
          <w:sz w:val="24"/>
          <w:szCs w:val="24"/>
        </w:rPr>
      </w:pPr>
      <w:r>
        <w:rPr>
          <w:rFonts w:ascii="Times New Roman" w:hAnsi="Times New Roman"/>
          <w:b/>
          <w:sz w:val="24"/>
          <w:szCs w:val="24"/>
        </w:rPr>
        <w:t>Novos Equipamentos</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Implantação de aparelhos de ginástica (aparelhos de condicionamento físico);</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 xml:space="preserve">Implantação de novos equipamentos de </w:t>
      </w:r>
      <w:r>
        <w:rPr>
          <w:rFonts w:ascii="Times New Roman" w:hAnsi="Times New Roman"/>
          <w:i/>
          <w:sz w:val="24"/>
          <w:szCs w:val="24"/>
        </w:rPr>
        <w:t>playgroun</w:t>
      </w:r>
      <w:r>
        <w:rPr>
          <w:rFonts w:ascii="Times New Roman" w:hAnsi="Times New Roman"/>
          <w:sz w:val="24"/>
          <w:szCs w:val="24"/>
        </w:rPr>
        <w:t>d.</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Instalação da Obra de Arte “Esphoropeia”;</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Distribuição de mudas de chás;</w:t>
      </w:r>
    </w:p>
    <w:p w:rsidR="003E6588" w:rsidRDefault="003E6588">
      <w:pPr>
        <w:pStyle w:val="SemEspaamento"/>
        <w:ind w:firstLine="1134"/>
        <w:jc w:val="both"/>
        <w:rPr>
          <w:rFonts w:ascii="Times New Roman" w:hAnsi="Times New Roman"/>
          <w:sz w:val="24"/>
          <w:szCs w:val="24"/>
        </w:rPr>
      </w:pPr>
    </w:p>
    <w:p w:rsidR="003E6588" w:rsidRDefault="003E6588">
      <w:pPr>
        <w:pStyle w:val="Default"/>
        <w:ind w:firstLine="1134"/>
        <w:jc w:val="both"/>
        <w:rPr>
          <w:rFonts w:ascii="Times New Roman" w:hAnsi="Times New Roman"/>
        </w:rPr>
      </w:pPr>
      <w:r>
        <w:rPr>
          <w:rFonts w:ascii="Times New Roman" w:hAnsi="Times New Roman"/>
        </w:rPr>
        <w:t xml:space="preserve">Implantação do Conselho de Orientação com a Participação de membros da sociedade civil </w:t>
      </w:r>
      <w:r>
        <w:rPr>
          <w:rFonts w:ascii="Times New Roman" w:hAnsi="Times New Roman"/>
        </w:rPr>
        <w:lastRenderedPageBreak/>
        <w:t>organizada.</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Destaque - </w:t>
      </w:r>
      <w:r>
        <w:rPr>
          <w:rFonts w:ascii="Times New Roman" w:hAnsi="Times New Roman"/>
          <w:sz w:val="24"/>
          <w:szCs w:val="24"/>
        </w:rPr>
        <w:t xml:space="preserve">Instalação de mais uma pista de </w:t>
      </w:r>
      <w:r>
        <w:rPr>
          <w:rFonts w:ascii="Times New Roman" w:hAnsi="Times New Roman"/>
          <w:i/>
          <w:sz w:val="24"/>
          <w:szCs w:val="24"/>
        </w:rPr>
        <w:t>skat</w:t>
      </w:r>
      <w:r>
        <w:rPr>
          <w:rFonts w:ascii="Times New Roman" w:hAnsi="Times New Roman"/>
          <w:sz w:val="24"/>
          <w:szCs w:val="24"/>
        </w:rPr>
        <w:t>e com duas rampas.</w:t>
      </w:r>
    </w:p>
    <w:p w:rsidR="003E6588" w:rsidRDefault="003E6588">
      <w:pPr>
        <w:pStyle w:val="SemEspaamento"/>
        <w:ind w:firstLine="1134"/>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Ecológico do Guarapiranga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280.411.</w:t>
      </w:r>
    </w:p>
    <w:p w:rsidR="00B161DB" w:rsidRDefault="00B161DB">
      <w:pPr>
        <w:pStyle w:val="SemEspaamento"/>
        <w:ind w:firstLine="1134"/>
        <w:jc w:val="both"/>
        <w:rPr>
          <w:rFonts w:ascii="Times New Roman" w:hAnsi="Times New Roman"/>
          <w:bCs/>
          <w:sz w:val="24"/>
          <w:szCs w:val="24"/>
        </w:rPr>
      </w:pPr>
    </w:p>
    <w:p w:rsidR="003E6588" w:rsidRDefault="003E6588">
      <w:pPr>
        <w:pStyle w:val="SemEspaamento"/>
        <w:ind w:firstLine="1134"/>
        <w:jc w:val="both"/>
        <w:rPr>
          <w:rFonts w:ascii="Times New Roman" w:hAnsi="Times New Roman"/>
          <w:bCs/>
          <w:sz w:val="24"/>
          <w:szCs w:val="24"/>
        </w:rPr>
      </w:pPr>
      <w:r>
        <w:rPr>
          <w:rFonts w:ascii="Times New Roman" w:hAnsi="Times New Roman"/>
          <w:bCs/>
          <w:sz w:val="24"/>
          <w:szCs w:val="24"/>
        </w:rPr>
        <w:t xml:space="preserve">Obras para reforço de segurança e para garantir acessibilidade no Parque Guarapiranga. Adequação da segurança e acessibilidade no Edifício da Administração, substituição dos </w:t>
      </w:r>
      <w:r>
        <w:rPr>
          <w:rFonts w:ascii="Times New Roman" w:hAnsi="Times New Roman"/>
          <w:bCs/>
          <w:i/>
          <w:sz w:val="24"/>
          <w:szCs w:val="24"/>
        </w:rPr>
        <w:t>decks</w:t>
      </w:r>
      <w:r>
        <w:rPr>
          <w:rFonts w:ascii="Times New Roman" w:hAnsi="Times New Roman"/>
          <w:bCs/>
          <w:sz w:val="24"/>
          <w:szCs w:val="24"/>
        </w:rPr>
        <w:t xml:space="preserve"> e passarelas, impermeabilização de lajes, modernização de cabines primárias e adequação do viveiro, quadras esportivas e campo de futebol. Investimento: 2,3 milhões.</w:t>
      </w:r>
    </w:p>
    <w:p w:rsidR="003E6588" w:rsidRDefault="003E6588">
      <w:pPr>
        <w:pStyle w:val="SemEspaamento"/>
        <w:ind w:firstLine="1134"/>
        <w:jc w:val="both"/>
        <w:rPr>
          <w:rFonts w:ascii="Times New Roman" w:hAnsi="Times New Roman"/>
          <w:bCs/>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Cs/>
          <w:sz w:val="24"/>
          <w:szCs w:val="24"/>
        </w:rPr>
        <w:t>Plantio</w:t>
      </w:r>
      <w:r>
        <w:rPr>
          <w:rFonts w:ascii="Times New Roman" w:hAnsi="Times New Roman"/>
          <w:sz w:val="24"/>
          <w:szCs w:val="24"/>
        </w:rPr>
        <w:t xml:space="preserve"> de 27 mil mudas/Termo de Ajustamento de Conduta -</w:t>
      </w:r>
      <w:r>
        <w:rPr>
          <w:rFonts w:ascii="Times New Roman" w:hAnsi="Times New Roman"/>
          <w:color w:val="FF0000"/>
          <w:sz w:val="24"/>
          <w:szCs w:val="24"/>
        </w:rPr>
        <w:t xml:space="preserve"> </w:t>
      </w:r>
      <w:r>
        <w:rPr>
          <w:rFonts w:ascii="Times New Roman" w:hAnsi="Times New Roman"/>
          <w:sz w:val="24"/>
          <w:szCs w:val="24"/>
        </w:rPr>
        <w:t>TAC - SABESP.</w:t>
      </w:r>
    </w:p>
    <w:p w:rsidR="003E6588" w:rsidRDefault="003E6588">
      <w:pPr>
        <w:pStyle w:val="SemEspaamento"/>
        <w:ind w:firstLine="1134"/>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Gabriel Chucre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447.222.</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Reparos na quadra de tênis;</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Instalação de novo gradil na área de acesso a comunidade vizinha do parque.</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Alberto Löfgren (Horto Florestal)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1.235.941.</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Obras de Revitalização do Parque - </w:t>
      </w:r>
      <w:r>
        <w:rPr>
          <w:rFonts w:ascii="Times New Roman" w:hAnsi="Times New Roman"/>
          <w:sz w:val="24"/>
          <w:szCs w:val="24"/>
        </w:rPr>
        <w:t>Implantação de Sistema de Proteção e Monitoramento, Serviços Estruturados: adequação dos sanitários; rede de abastecimento de água potável e bebedouros; equipamentos de recreação infantil, piquenique, circuitos de ginástica, quiosques; quadra poliesportiva; instalação de gradis; serviços pavimentação.</w:t>
      </w:r>
    </w:p>
    <w:p w:rsidR="003E6588" w:rsidRDefault="003E6588">
      <w:pPr>
        <w:pStyle w:val="SemEspaamento"/>
        <w:ind w:firstLine="1134"/>
        <w:jc w:val="both"/>
        <w:rPr>
          <w:rFonts w:ascii="Times New Roman" w:hAnsi="Times New Roman"/>
          <w:b/>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Obras para prática de atividades esportivas e de lazer - </w:t>
      </w:r>
      <w:r>
        <w:rPr>
          <w:rFonts w:ascii="Times New Roman" w:hAnsi="Times New Roman"/>
          <w:sz w:val="24"/>
          <w:szCs w:val="24"/>
        </w:rPr>
        <w:t xml:space="preserve">Inauguração do Parque EcoCultural da Pedra Branca, com construção de portal, quadra poliesportiva, reforma de campo de futebol e adequação da rede de energia elétrica e sistema de iluminação, reforma dos sanitários, instalação de </w:t>
      </w:r>
      <w:r>
        <w:rPr>
          <w:rFonts w:ascii="Times New Roman" w:hAnsi="Times New Roman"/>
          <w:i/>
          <w:sz w:val="24"/>
          <w:szCs w:val="24"/>
        </w:rPr>
        <w:t>playground</w:t>
      </w:r>
      <w:r>
        <w:rPr>
          <w:rFonts w:ascii="Times New Roman" w:hAnsi="Times New Roman"/>
          <w:sz w:val="24"/>
          <w:szCs w:val="24"/>
        </w:rPr>
        <w:t>, instalação de aparelhos de ginástica. Investimentos R$ 8,2 milhões</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Destaque - </w:t>
      </w:r>
      <w:r>
        <w:rPr>
          <w:rFonts w:ascii="Times New Roman" w:hAnsi="Times New Roman"/>
          <w:sz w:val="24"/>
          <w:szCs w:val="24"/>
        </w:rPr>
        <w:t>Instalação de rede de captação de água das fontes existentes para irrigação das áreas verdes, campo de futebol e abastecimentos dos vasos sanitários de utilização dos usuários.</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As obras de abastecimento de água e utilização das fontes existentes no parque proporcionaram economia reduzindo o consumo de água potável em torno de 75%.</w:t>
      </w:r>
    </w:p>
    <w:p w:rsidR="003E6588" w:rsidRDefault="003E6588">
      <w:pPr>
        <w:pStyle w:val="SemEspaamento"/>
        <w:ind w:firstLine="1134"/>
        <w:jc w:val="both"/>
        <w:rPr>
          <w:rFonts w:ascii="Times New Roman" w:hAnsi="Times New Roman"/>
          <w:b/>
          <w:sz w:val="24"/>
          <w:szCs w:val="24"/>
          <w:u w:val="single"/>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Chácara da Baronesa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29.235.</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Trabalho de divulgação e agendamento de visitas com escolas, ong’s e grupos de pessoas, ocasionando no aumento do número de visitantes;</w:t>
      </w:r>
    </w:p>
    <w:p w:rsidR="003E6588" w:rsidRDefault="003E6588">
      <w:pPr>
        <w:pStyle w:val="SemEspaamento"/>
        <w:ind w:firstLine="1134"/>
        <w:jc w:val="both"/>
        <w:rPr>
          <w:rFonts w:ascii="Times New Roman" w:hAnsi="Times New Roman"/>
          <w:b/>
          <w:strike/>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b/>
          <w:sz w:val="24"/>
          <w:szCs w:val="24"/>
        </w:rPr>
        <w:t xml:space="preserve">Parque da Várzea do Embu-Guaçu Prof. Aziz Ab’saber - </w:t>
      </w:r>
      <w:r>
        <w:rPr>
          <w:rFonts w:ascii="Times New Roman" w:hAnsi="Times New Roman"/>
          <w:sz w:val="24"/>
          <w:szCs w:val="24"/>
        </w:rPr>
        <w:t xml:space="preserve">Visitação </w:t>
      </w:r>
      <w:r w:rsidR="00B161DB">
        <w:rPr>
          <w:rFonts w:ascii="Times New Roman" w:hAnsi="Times New Roman"/>
          <w:sz w:val="24"/>
          <w:szCs w:val="24"/>
        </w:rPr>
        <w:t>-</w:t>
      </w:r>
      <w:r>
        <w:rPr>
          <w:rFonts w:ascii="Times New Roman" w:hAnsi="Times New Roman"/>
          <w:sz w:val="24"/>
          <w:szCs w:val="24"/>
        </w:rPr>
        <w:t xml:space="preserve"> 22.389.</w:t>
      </w: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lastRenderedPageBreak/>
        <w:t>Pintura no Prédio Administrativo;</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Recuperação do Viveiro de Mudas;</w:t>
      </w:r>
    </w:p>
    <w:p w:rsidR="003E6588" w:rsidRDefault="003E6588">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sz w:val="24"/>
          <w:szCs w:val="24"/>
        </w:rPr>
      </w:pPr>
      <w:r>
        <w:rPr>
          <w:rFonts w:ascii="Times New Roman" w:hAnsi="Times New Roman"/>
          <w:sz w:val="24"/>
          <w:szCs w:val="24"/>
        </w:rPr>
        <w:t>Projeto do Viveiro do Bicho-Pau - Visitas monitoradas de escolas e grupos.</w:t>
      </w:r>
    </w:p>
    <w:p w:rsidR="00B161DB" w:rsidRDefault="00B161DB">
      <w:pPr>
        <w:pStyle w:val="SemEspaamento"/>
        <w:ind w:firstLine="1134"/>
        <w:jc w:val="both"/>
        <w:rPr>
          <w:rFonts w:ascii="Times New Roman" w:hAnsi="Times New Roman"/>
          <w:sz w:val="24"/>
          <w:szCs w:val="24"/>
        </w:rPr>
      </w:pPr>
    </w:p>
    <w:p w:rsidR="003E6588" w:rsidRDefault="003E6588">
      <w:pPr>
        <w:pStyle w:val="SemEspaamento"/>
        <w:ind w:firstLine="1134"/>
        <w:jc w:val="both"/>
        <w:rPr>
          <w:rFonts w:ascii="Times New Roman" w:hAnsi="Times New Roman"/>
        </w:rPr>
      </w:pPr>
      <w:r>
        <w:rPr>
          <w:rFonts w:ascii="Times New Roman" w:hAnsi="Times New Roman"/>
          <w:b/>
          <w:sz w:val="24"/>
          <w:szCs w:val="24"/>
        </w:rPr>
        <w:t xml:space="preserve">Parque Dr. Fernando Costa - Água Branca - </w:t>
      </w:r>
      <w:r>
        <w:rPr>
          <w:rFonts w:ascii="Times New Roman" w:hAnsi="Times New Roman"/>
        </w:rPr>
        <w:t xml:space="preserve">Visitação </w:t>
      </w:r>
      <w:r w:rsidR="00B161DB">
        <w:rPr>
          <w:rFonts w:ascii="Times New Roman" w:hAnsi="Times New Roman"/>
        </w:rPr>
        <w:t>-</w:t>
      </w:r>
      <w:r>
        <w:rPr>
          <w:rFonts w:ascii="Times New Roman" w:hAnsi="Times New Roman"/>
        </w:rPr>
        <w:t xml:space="preserve"> 2.717.661.</w:t>
      </w:r>
    </w:p>
    <w:p w:rsidR="003E6588" w:rsidRDefault="003E6588">
      <w:pPr>
        <w:pStyle w:val="Default"/>
        <w:ind w:firstLine="1134"/>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Espaço Zootécnico - Adequação para acomodação das galinhas;</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Manejo adequado e efetivo dos animais do parque;</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Instalação de academia adaptada para pessoas com deficiência;</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Instalação da academia com equipamentos de ginástica para condicionamento fisíco;</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Instalação do viveiro de mudas de chás;</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Implantação do Batalhão da Polícia Militar Montada - Batalhão 9 de Julho;</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 xml:space="preserve">Reforma do Prédio 12 - Prédio Tombado pelo Conselho de Defesa do Patrimônio Histórico, Arqueológico, Artístico e Turístico </w:t>
      </w:r>
      <w:r w:rsidR="00184DCE">
        <w:rPr>
          <w:rFonts w:ascii="Times New Roman" w:hAnsi="Times New Roman"/>
        </w:rPr>
        <w:t xml:space="preserve">- </w:t>
      </w:r>
      <w:r>
        <w:rPr>
          <w:rFonts w:ascii="Times New Roman" w:hAnsi="Times New Roman"/>
        </w:rPr>
        <w:t>CONDEPHAAP e pelo Conselho Municipal de Preservação do Patrimônio Histórico, Cultural e Ambiental da Cidade de São Paulo (CONPRESP);</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Implantação do Conselho de Orientação com a Participação de membros da sociedade civil organizada;</w:t>
      </w:r>
    </w:p>
    <w:p w:rsidR="003E6588" w:rsidRDefault="003E6588" w:rsidP="00B161DB">
      <w:pPr>
        <w:pStyle w:val="Default"/>
        <w:ind w:firstLine="1134"/>
        <w:jc w:val="both"/>
        <w:rPr>
          <w:rFonts w:ascii="Times New Roman" w:hAnsi="Times New Roman"/>
        </w:rPr>
      </w:pPr>
    </w:p>
    <w:p w:rsidR="003E6588" w:rsidRDefault="003E6588" w:rsidP="00B161DB">
      <w:pPr>
        <w:pStyle w:val="Default"/>
        <w:ind w:firstLine="1134"/>
        <w:jc w:val="both"/>
        <w:rPr>
          <w:rFonts w:ascii="Times New Roman" w:hAnsi="Times New Roman"/>
        </w:rPr>
      </w:pPr>
      <w:r>
        <w:rPr>
          <w:rFonts w:ascii="Times New Roman" w:hAnsi="Times New Roman"/>
        </w:rPr>
        <w:t xml:space="preserve">Instalação de novos equipamentos no </w:t>
      </w:r>
      <w:r>
        <w:rPr>
          <w:rFonts w:ascii="Times New Roman" w:hAnsi="Times New Roman"/>
          <w:i/>
        </w:rPr>
        <w:t>playground</w:t>
      </w:r>
      <w:r>
        <w:rPr>
          <w:rFonts w:ascii="Times New Roman" w:hAnsi="Times New Roman"/>
        </w:rPr>
        <w:t>.</w:t>
      </w:r>
    </w:p>
    <w:p w:rsidR="003E6588" w:rsidRPr="00184DCE" w:rsidRDefault="003E6588" w:rsidP="00184DCE">
      <w:pPr>
        <w:pStyle w:val="Default"/>
        <w:ind w:firstLine="1134"/>
        <w:jc w:val="both"/>
        <w:rPr>
          <w:rFonts w:ascii="Times New Roman" w:hAnsi="Times New Roman"/>
        </w:rPr>
      </w:pPr>
    </w:p>
    <w:p w:rsidR="003E6588" w:rsidRDefault="003E6588">
      <w:pPr>
        <w:pStyle w:val="Default"/>
        <w:ind w:firstLine="1134"/>
        <w:jc w:val="both"/>
        <w:rPr>
          <w:rFonts w:ascii="Times New Roman" w:hAnsi="Times New Roman"/>
        </w:rPr>
      </w:pPr>
      <w:r>
        <w:rPr>
          <w:rFonts w:ascii="Times New Roman" w:hAnsi="Times New Roman"/>
          <w:b/>
        </w:rPr>
        <w:t xml:space="preserve">Destaque - </w:t>
      </w:r>
      <w:r>
        <w:rPr>
          <w:rFonts w:ascii="Times New Roman" w:hAnsi="Times New Roman"/>
        </w:rPr>
        <w:t>Abertura em modo experimental da Área de Preservação Permanente - APP (nascente) com visita monitorada;</w:t>
      </w:r>
    </w:p>
    <w:p w:rsidR="003E6588" w:rsidRDefault="003E6588">
      <w:pPr>
        <w:pStyle w:val="Default"/>
        <w:ind w:firstLine="1134"/>
        <w:jc w:val="both"/>
        <w:rPr>
          <w:rFonts w:ascii="Times New Roman" w:hAnsi="Times New Roman"/>
        </w:rPr>
      </w:pPr>
    </w:p>
    <w:p w:rsidR="003E6588" w:rsidRDefault="003E6588">
      <w:pPr>
        <w:pStyle w:val="Default"/>
        <w:ind w:firstLine="1134"/>
        <w:jc w:val="both"/>
        <w:rPr>
          <w:rFonts w:ascii="Times New Roman" w:hAnsi="Times New Roman"/>
        </w:rPr>
      </w:pPr>
      <w:r>
        <w:rPr>
          <w:rFonts w:ascii="Times New Roman" w:hAnsi="Times New Roman"/>
        </w:rPr>
        <w:t>Implantação do Projeto Equitação Adaptada para pessoas com deficiência;</w:t>
      </w:r>
    </w:p>
    <w:p w:rsidR="003E6588" w:rsidRDefault="003E6588">
      <w:pPr>
        <w:pStyle w:val="Default"/>
        <w:ind w:firstLine="1134"/>
        <w:jc w:val="both"/>
        <w:rPr>
          <w:rFonts w:ascii="Times New Roman" w:hAnsi="Times New Roman"/>
        </w:rPr>
      </w:pPr>
    </w:p>
    <w:p w:rsidR="003E6588" w:rsidRDefault="003E6588">
      <w:pPr>
        <w:pStyle w:val="Default"/>
        <w:ind w:firstLine="1134"/>
        <w:jc w:val="both"/>
        <w:rPr>
          <w:rFonts w:ascii="Times New Roman" w:hAnsi="Times New Roman"/>
        </w:rPr>
      </w:pPr>
      <w:r>
        <w:rPr>
          <w:rFonts w:ascii="Times New Roman" w:hAnsi="Times New Roman"/>
        </w:rPr>
        <w:t>Replantio de 40 mudas padrão DEPAVE (Departamento de Parques e Áreas Verdes da Prefeitura de São Paulo) em substituição de árvores suprimidas em função de quedas naturais.</w:t>
      </w:r>
    </w:p>
    <w:p w:rsidR="003E6588" w:rsidRDefault="003E6588">
      <w:pPr>
        <w:ind w:firstLine="1134"/>
        <w:jc w:val="both"/>
        <w:rPr>
          <w:b/>
          <w:u w:val="single"/>
        </w:rPr>
      </w:pPr>
    </w:p>
    <w:p w:rsidR="003E6588" w:rsidRDefault="003E6588">
      <w:pPr>
        <w:ind w:firstLine="1134"/>
        <w:jc w:val="both"/>
        <w:rPr>
          <w:strike/>
        </w:rPr>
      </w:pPr>
      <w:r>
        <w:rPr>
          <w:b/>
        </w:rPr>
        <w:t>Grupo de Trabalho e Acompanhamento de Projetos Estratégicos - GTAPE</w:t>
      </w:r>
    </w:p>
    <w:p w:rsidR="003E6588" w:rsidRDefault="003E6588">
      <w:pPr>
        <w:pStyle w:val="PargrafodaLista1"/>
        <w:ind w:left="0" w:firstLine="1134"/>
        <w:jc w:val="both"/>
        <w:rPr>
          <w:b/>
        </w:rPr>
      </w:pPr>
    </w:p>
    <w:p w:rsidR="003E6588" w:rsidRDefault="003E6588">
      <w:pPr>
        <w:pStyle w:val="PargrafodaLista1"/>
        <w:ind w:left="0" w:firstLine="1134"/>
        <w:jc w:val="both"/>
        <w:rPr>
          <w:b/>
        </w:rPr>
      </w:pPr>
      <w:r>
        <w:rPr>
          <w:b/>
        </w:rPr>
        <w:t>Contratos Vigentes</w:t>
      </w:r>
    </w:p>
    <w:p w:rsidR="003E6588" w:rsidRDefault="003E6588">
      <w:pPr>
        <w:pStyle w:val="PargrafodaLista1"/>
        <w:ind w:left="0" w:firstLine="1134"/>
        <w:jc w:val="both"/>
        <w:rPr>
          <w:b/>
        </w:rPr>
      </w:pPr>
    </w:p>
    <w:p w:rsidR="003E6588" w:rsidRDefault="003E6588">
      <w:pPr>
        <w:pStyle w:val="PargrafodaLista1"/>
        <w:ind w:left="0" w:firstLine="1134"/>
        <w:contextualSpacing/>
        <w:jc w:val="both"/>
      </w:pPr>
      <w:r>
        <w:rPr>
          <w:b/>
        </w:rPr>
        <w:t>Projeto de Desenvolvimento Sustentável do Litoral Paulista</w:t>
      </w:r>
      <w:r>
        <w:t xml:space="preserve"> O</w:t>
      </w:r>
      <w:r>
        <w:rPr>
          <w:bCs/>
        </w:rPr>
        <w:t>bjetivo é e</w:t>
      </w:r>
      <w:r>
        <w:t xml:space="preserve">liminar passivos habitacionais e ambientais em áreas de risco socioambiental na mata atlântica promovendo a </w:t>
      </w:r>
      <w:r>
        <w:lastRenderedPageBreak/>
        <w:t xml:space="preserve">proteção da biodiversidade e dos mananciais. </w:t>
      </w:r>
      <w:r>
        <w:rPr>
          <w:bCs/>
        </w:rPr>
        <w:t xml:space="preserve">Valor a ser executado pela SMA é de </w:t>
      </w:r>
      <w:r>
        <w:t>R$ 227,5 milhões (BB - R$ 75 milhões; RTE - R$ 152 milhões) durante os 5 anos de sua vigência. Publicado o Decreto nº 60.029/2014, alterado pelo Decreto nº 60.092/2014, que cria e regulamenta o Projeto e as Unidades Executoras; publicada a Resolução SPDR nº 01/2014, que dispõe sobre estrutura e criação da Unidade de Gestão do Projeto e indica o Coordenador; publicada a Resolução SMA nº 84/2014, que dispõe sobre a estrutura e composição da Unidade de Gestão Local do Projeto. Dos 16 municípios do litoral paulista, 13 assinaram termo de adesão ao Projeto. Foi detalhado Projeto de Rede Monitoramento Ambiental para integrar e aprimorar as ações de monitoramento e fiscalização a partir de um sistema de inteligência. Do Plano de Aquisições do primeiro ano do Projeto (R$ 8 milhões), foram executados 76%. Foram adquiridos veículos para a PAmb e para a CFA com o objetivo de apoiar a fiscalização e o monitoramento, além de equipamentos de campo.</w:t>
      </w:r>
    </w:p>
    <w:p w:rsidR="003E6588" w:rsidRDefault="003E6588">
      <w:pPr>
        <w:pStyle w:val="PargrafodaLista1"/>
        <w:ind w:left="0" w:firstLine="1134"/>
        <w:contextualSpacing/>
        <w:jc w:val="both"/>
      </w:pPr>
    </w:p>
    <w:p w:rsidR="003E6588" w:rsidRDefault="003E6588">
      <w:pPr>
        <w:pStyle w:val="PargrafodaLista1"/>
        <w:ind w:left="0" w:firstLine="1134"/>
        <w:contextualSpacing/>
        <w:jc w:val="both"/>
      </w:pPr>
      <w:r>
        <w:rPr>
          <w:b/>
          <w:bCs/>
        </w:rPr>
        <w:t xml:space="preserve">Programa de Transporte, Logística e Meio Ambiente - PTLMA - </w:t>
      </w:r>
      <w:r>
        <w:t>O Convênio entre os órgãos partícipes (SLT-DER/SPDR/SMA-CETESB) foi celebrado. O Decreto nº 60.651/2014 instituiu o PTLMA na SMA e a Resolução SMA nº 67/2014 dispôs sobre a estrutura e composição da UCP/TLMA. O o</w:t>
      </w:r>
      <w:r>
        <w:rPr>
          <w:bCs/>
        </w:rPr>
        <w:t>bjetivo do Programa é a r</w:t>
      </w:r>
      <w:r>
        <w:t>ecuperação, modernização e pavimentação de rodovias estaduais e implantação de sistema de previsão de catástrofes naturais e obras de prevenção. O v</w:t>
      </w:r>
      <w:r>
        <w:rPr>
          <w:bCs/>
        </w:rPr>
        <w:t>alor referente aos competentes da SMA é de</w:t>
      </w:r>
      <w:r>
        <w:t xml:space="preserve"> US$ 31,2 milhões (BIRD - US$ 21 milhões; RTE - US$ 7,5 milhões; Petrobrás - US$ 2,2 milhões) e a duração do Programa é de 5 anos. Aguardando contratação de consultoria para o ZEE e aquisição de RPAS, sistema de cromatografia e microcomputadores de alto desempenho; com os recursos da Petrobrás já se iniciou o </w:t>
      </w:r>
      <w:r w:rsidRPr="00184DCE">
        <w:t>Projeto Sala de Cenários,</w:t>
      </w:r>
      <w:r>
        <w:t xml:space="preserve"> que visa fortalecer recursos geotecnológicos aos técnicos e ao corpo gerencial do Sistema Ambiental Paulista a uma infraestrutura de dados espaciais, até o momento foram liquidados R$ 1,1 milhão; participação de dois técnicos da CETESB em conferência no exterior sobre avaliação de impacto ambiental; Termos de Referência, especificações técnicas, minutas de edital e contrato em análise no BIRD para contratação de seguro para RPAS, instalação de piezômetros, cursos de restauração ecológica, cadastro de eventos geodinâmicos, avaliação e mapeamento de risco, aquisição de estações de monitoramento do ar e linígrafos.</w:t>
      </w:r>
    </w:p>
    <w:p w:rsidR="003E6588" w:rsidRDefault="003E6588">
      <w:pPr>
        <w:pStyle w:val="PargrafodaLista1"/>
        <w:ind w:left="0" w:firstLine="1134"/>
        <w:contextualSpacing/>
        <w:jc w:val="both"/>
      </w:pPr>
    </w:p>
    <w:p w:rsidR="003E6588" w:rsidRDefault="003E6588">
      <w:pPr>
        <w:pStyle w:val="PargrafodaLista1"/>
        <w:ind w:left="0" w:firstLine="1134"/>
        <w:contextualSpacing/>
        <w:jc w:val="both"/>
      </w:pPr>
      <w:r>
        <w:rPr>
          <w:b/>
          <w:bCs/>
        </w:rPr>
        <w:t xml:space="preserve">Projeto de Desenvolvimento do Ecoturismo na Região da Mata Atlântica no Estado - </w:t>
      </w:r>
      <w:r>
        <w:rPr>
          <w:bCs/>
        </w:rPr>
        <w:t xml:space="preserve">O Contrato de Empréstimo nº 1681/OC-BR foi prorrogado. </w:t>
      </w:r>
      <w:r>
        <w:t xml:space="preserve">Com o saldo remanescente oriundo de rendimentos de aplicações financeiras dos recursos do financiamento (Fonte 7), algumas ações complementares ao Projeto, de acordo com a  Política do Fundo Rotatório do Banco Interamericano de Desenvolvimento </w:t>
      </w:r>
      <w:r w:rsidR="00B161DB">
        <w:t>-</w:t>
      </w:r>
      <w:r>
        <w:t xml:space="preserve"> BID, foram concluidas. Foram investidos R$ 45,8 milhões em aquisição de </w:t>
      </w:r>
      <w:r>
        <w:rPr>
          <w:i/>
        </w:rPr>
        <w:t>notebooks</w:t>
      </w:r>
      <w:r>
        <w:t>; contratação de serviços para a elaboração de projeto básico, abrangendo o Sistema de Proteção contra Descargas Atmosféricas, o aterramento e a instalação de equipamentos de proteção contra surtos de energia na Caverna do Diabo.</w:t>
      </w:r>
    </w:p>
    <w:p w:rsidR="003E6588" w:rsidRDefault="003E6588">
      <w:pPr>
        <w:pStyle w:val="PargrafodaLista1"/>
        <w:ind w:left="0" w:firstLine="1134"/>
        <w:contextualSpacing/>
        <w:jc w:val="both"/>
      </w:pPr>
    </w:p>
    <w:p w:rsidR="003E6588" w:rsidRDefault="003E6588">
      <w:pPr>
        <w:pStyle w:val="PargrafodaLista1"/>
        <w:ind w:left="0" w:firstLine="1134"/>
        <w:contextualSpacing/>
        <w:jc w:val="both"/>
      </w:pPr>
      <w:r>
        <w:rPr>
          <w:b/>
          <w:bCs/>
        </w:rPr>
        <w:t xml:space="preserve">O Programa Pró-Vicinais (SLT-DER/SPDR/SMA) </w:t>
      </w:r>
      <w:r>
        <w:rPr>
          <w:bCs/>
        </w:rPr>
        <w:t>tem como objetivo</w:t>
      </w:r>
      <w:r>
        <w:t xml:space="preserve"> a melhoria das estradas vicinais municipais e a ações de reforço institucional. O valor da SMA é de US$ 5,5 milhões (100% BIRD) e sua duração é de 5 anos.</w:t>
      </w:r>
    </w:p>
    <w:p w:rsidR="003E6588" w:rsidRDefault="003E6588">
      <w:pPr>
        <w:pStyle w:val="PargrafodaLista1"/>
        <w:ind w:left="0" w:firstLine="1134"/>
        <w:contextualSpacing/>
        <w:jc w:val="both"/>
      </w:pPr>
    </w:p>
    <w:p w:rsidR="003E6588" w:rsidRDefault="003E6588">
      <w:pPr>
        <w:pStyle w:val="PargrafodaLista1"/>
        <w:ind w:left="0" w:firstLine="1134"/>
        <w:contextualSpacing/>
        <w:jc w:val="both"/>
      </w:pPr>
      <w:r>
        <w:rPr>
          <w:b/>
          <w:bCs/>
        </w:rPr>
        <w:lastRenderedPageBreak/>
        <w:t xml:space="preserve">Projeto de Desenvolvimento Rural Sustentável (SAA-CATI/SMA) - </w:t>
      </w:r>
      <w:r>
        <w:rPr>
          <w:bCs/>
        </w:rPr>
        <w:t>A SMA desenvolve suas atividades dentro do subcomponente 2.3 - Subprojetos Ambientais e Pagamentos por Serviços Ambientais. Nos Subprojetos Ambientais, estão em execução 24 subprojetos, formalizados por convênios firmados com organizações de pequenos produtores ou associações ambientalistas, visando à implantação ou enriquecimento de 940 hectares de Sistemas Agroflorestais - SAF, além de investimentos associados aos mesmos para agregação de renda. A implantação do SAF possibilitará adequação à legislação ambiental e ampliação da renda dos produtores. Nos Projetos de Pagamento por Serviços Ambientais - PSA, o projeto Mina d´Água (Projeto Piloto) concluiu os seguintes resultados: dos 21 municípios-pilotos envolvidos, 16 assinaram convênios com SMA (estando 7 convênios vigentes); 12 assinaram contrato com o Fundo Estadual de Prevenção e Controle da Poluição - FECOP para repasse de recursos e; 9 lançaram edital para seleção de produtores rurais localizados em áreas prioritárias com 239 inscrições. O projeto Crédito Ambiental Paulista - CAP para as Reservas Particulares do Patrimônio Natural - RPPN criado pela Resolução SMA nº 89/2013, teve o primeiro edital concluído com assinatura de 11 contratos com proprietários de RPPN, no valor total de R$ 1,9 milhão para cinco anos de contrato e proteção de 1.900 hectares.</w:t>
      </w:r>
    </w:p>
    <w:p w:rsidR="003E6588" w:rsidRPr="00184DCE" w:rsidRDefault="003E6588">
      <w:pPr>
        <w:pStyle w:val="PargrafodaLista1"/>
        <w:ind w:left="0" w:firstLine="1134"/>
        <w:jc w:val="both"/>
      </w:pPr>
    </w:p>
    <w:p w:rsidR="003E6588" w:rsidRDefault="003E6588">
      <w:pPr>
        <w:pStyle w:val="PargrafodaLista1"/>
        <w:ind w:left="0" w:firstLine="1134"/>
        <w:jc w:val="both"/>
        <w:rPr>
          <w:b/>
        </w:rPr>
      </w:pPr>
      <w:r>
        <w:rPr>
          <w:b/>
        </w:rPr>
        <w:t>Novos Contratos</w:t>
      </w:r>
    </w:p>
    <w:p w:rsidR="003E6588" w:rsidRPr="00184DCE" w:rsidRDefault="003E6588">
      <w:pPr>
        <w:pStyle w:val="PargrafodaLista1"/>
        <w:ind w:left="0" w:firstLine="1134"/>
        <w:jc w:val="both"/>
      </w:pPr>
    </w:p>
    <w:p w:rsidR="003E6588" w:rsidRDefault="003E6588">
      <w:pPr>
        <w:pStyle w:val="PargrafodaLista1"/>
        <w:ind w:left="0" w:firstLine="1134"/>
        <w:contextualSpacing/>
        <w:jc w:val="both"/>
      </w:pPr>
      <w:r>
        <w:rPr>
          <w:b/>
        </w:rPr>
        <w:t>Programa Recuperação e Proteção de Serviços do Clima e Biodiversidade na Mata Atlântica na região sudeste brasileira</w:t>
      </w:r>
      <w:r>
        <w:t xml:space="preserve"> (Ministério da Ciência, Tecnologia e Inovação e Estados de São Paulo - SMA, Rio de Janeiro e Minas Gerais), com doação do </w:t>
      </w:r>
      <w:r>
        <w:rPr>
          <w:i/>
        </w:rPr>
        <w:t>Global Environmental Facility - GEF,</w:t>
      </w:r>
      <w:r>
        <w:t xml:space="preserve"> por intermédio do Banco Interamericano de Desenvolvimento - BID. O objetivo deste Programa é a recuperação e preservação dos benefícios à biodiversidade advindos do sequestro de carbono na Bacia Hidrográfica do Paraíba do Sul. O projeto foi aprovado pelo Fundo Global para o Meio Ambiente - GEF e pelo BID, encontrando-se em fase de formalização.</w:t>
      </w:r>
    </w:p>
    <w:p w:rsidR="003E6588" w:rsidRPr="00184DCE" w:rsidRDefault="003E6588">
      <w:pPr>
        <w:ind w:firstLine="1134"/>
        <w:jc w:val="both"/>
        <w:rPr>
          <w:u w:val="single"/>
        </w:rPr>
      </w:pPr>
    </w:p>
    <w:p w:rsidR="003E6588" w:rsidRPr="00184DCE" w:rsidRDefault="003E6588">
      <w:pPr>
        <w:ind w:firstLine="1134"/>
        <w:jc w:val="both"/>
        <w:rPr>
          <w:u w:val="single"/>
        </w:rPr>
      </w:pPr>
    </w:p>
    <w:p w:rsidR="003E6588" w:rsidRDefault="003E6588">
      <w:pPr>
        <w:rPr>
          <w:b/>
        </w:rPr>
      </w:pPr>
      <w:r>
        <w:rPr>
          <w:b/>
        </w:rPr>
        <w:t>FUNDAÇÃO PARQUE ZOOLÓGICO DE SÃO PAULO</w:t>
      </w:r>
      <w:r w:rsidR="00C05AF3" w:rsidRPr="00C05AF3">
        <w:rPr>
          <w:b/>
        </w:rPr>
        <w:t xml:space="preserve"> </w:t>
      </w:r>
      <w:r w:rsidR="00C05AF3">
        <w:rPr>
          <w:b/>
        </w:rPr>
        <w:t>- FPZSP</w:t>
      </w:r>
    </w:p>
    <w:p w:rsidR="003E6588" w:rsidRPr="00184DCE" w:rsidRDefault="003E6588">
      <w:pPr>
        <w:ind w:firstLine="1134"/>
        <w:jc w:val="both"/>
      </w:pPr>
    </w:p>
    <w:p w:rsidR="003E6588" w:rsidRPr="00184DCE" w:rsidRDefault="003E6588">
      <w:pPr>
        <w:ind w:firstLine="1134"/>
        <w:jc w:val="both"/>
      </w:pPr>
    </w:p>
    <w:p w:rsidR="003E6588" w:rsidRDefault="003E6588">
      <w:pPr>
        <w:ind w:firstLine="1134"/>
        <w:jc w:val="both"/>
        <w:rPr>
          <w:rStyle w:val="A10"/>
          <w:rFonts w:ascii="Times New Roman" w:hAnsi="Times New Roman" w:cs="Times New Roman"/>
          <w:sz w:val="24"/>
          <w:szCs w:val="24"/>
        </w:rPr>
      </w:pPr>
      <w:r>
        <w:rPr>
          <w:rStyle w:val="A10"/>
          <w:rFonts w:ascii="Times New Roman" w:hAnsi="Times New Roman" w:cs="Times New Roman"/>
          <w:color w:val="auto"/>
          <w:sz w:val="24"/>
          <w:szCs w:val="24"/>
        </w:rPr>
        <w:t>A F</w:t>
      </w:r>
      <w:r>
        <w:rPr>
          <w:rStyle w:val="A10"/>
          <w:rFonts w:ascii="Times New Roman" w:hAnsi="Times New Roman" w:cs="Times New Roman"/>
          <w:sz w:val="24"/>
          <w:szCs w:val="24"/>
        </w:rPr>
        <w:t>PZSP realizou relevantes trabalhos nas áreas de educação ambiental, voltados à conscientização de visitantes para a proteção e sustentabilidade dos recursos naturais, bem como atividades de pesquisa em conservação a campo e em seus laboratórios de pesquisa em suporte à proteção da fauna silvestre brasileira. Estabeleceu ações adiantadas em projetos de conservação e reprodução de espécies ameaçadas em associação com pesquisadores de universidades e instituições de pesquisa que se dedicam aos estudos da biodiversidade. Recebeu 1.536.579 visitantes que interagiram em sua área enriquecida com recursos naturais da Mata Atlântica e a fauna silvestre da Fundação.</w:t>
      </w:r>
    </w:p>
    <w:p w:rsidR="003E6588" w:rsidRDefault="003E6588">
      <w:pPr>
        <w:ind w:firstLine="1134"/>
        <w:jc w:val="both"/>
        <w:rPr>
          <w:rStyle w:val="A10"/>
          <w:rFonts w:ascii="Times New Roman" w:hAnsi="Times New Roman" w:cs="Times New Roman"/>
          <w:b/>
          <w:sz w:val="24"/>
          <w:szCs w:val="24"/>
        </w:rPr>
      </w:pPr>
    </w:p>
    <w:p w:rsidR="003E6588" w:rsidRDefault="003E6588">
      <w:pPr>
        <w:ind w:firstLine="1134"/>
        <w:jc w:val="both"/>
      </w:pPr>
      <w:r>
        <w:rPr>
          <w:rStyle w:val="A10"/>
          <w:rFonts w:ascii="Times New Roman" w:hAnsi="Times New Roman" w:cs="Times New Roman"/>
          <w:b/>
          <w:sz w:val="24"/>
          <w:szCs w:val="24"/>
        </w:rPr>
        <w:t xml:space="preserve">Educação Ambiental e Eventos de destaque - </w:t>
      </w:r>
      <w:r>
        <w:t xml:space="preserve">Realização, por meio de seu Programa de Educação Ambiental, de visitas monitoradas, passeios noturnos, apresentações didáticas, capacitações de educadores, clube para idosos e exposições educativas; Conclusão da “5ª Edição do Programa ZooEscola: A Mata Atlântica como Instrumento de Ensino”, que teve como resultados 38 professores capacitados pela equipe do Programa, 1.028 crianças diretamente atendidas em 31 visitas monitoradas, </w:t>
      </w:r>
      <w:r>
        <w:lastRenderedPageBreak/>
        <w:t>14 projetos ambientais desenvolvidos nas escolas e submetidos à equipe do Programa; Apoio e coordenação aos Programas de Voluntariado, Estágio Curricular, Aprimoramento e Mestrado Profissional da FPZSP, com a participação de 21 aprimorandos e 16 mestrandos.</w:t>
      </w:r>
    </w:p>
    <w:p w:rsidR="003E6588" w:rsidRPr="00184DCE"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rPr>
        <w:t>Divisão de Pesquisas Aplicadas - DPA -</w:t>
      </w:r>
      <w:r>
        <w:t xml:space="preserve"> A DPA é constituída por três núcleos: Análises Clínicas, Biologia Molecular e Microbiologia e Núcleo de Reprodução Assistida e Biotecnologia. A DPA desenvolveu e participou de três projetos de Mestrado Profissionalizante (FPZSP/UFSCar); três projetos de Mestrado Acadêmico; uma Tese de Doutorado; quatro projetos de aprimoramento profissional; sete projetos internos da FPZSP; um trabalho de conclusão de curso (TCC); supervisão de dois estágios FUNDAP e dois projetos de Conservação </w:t>
      </w:r>
      <w:r>
        <w:rPr>
          <w:i/>
        </w:rPr>
        <w:t>in situ</w:t>
      </w:r>
      <w:r>
        <w:t xml:space="preserve">. Além das atividades de pesquisa, a DPA realizou atividades de rotina de exames laboratoriais, sendo 12.378 para hemograma, dosagens bioquímicas, exames parasitológicos; 1.631 análises microbiológicas e moleculares e armazenamento de 57 palhetas contendo sêmen de espécies, como mico-leão-preto, mantidas em nitrogênio líquido para conservação e futuros projetos, utilizando técnicas de biotecnologia reprodutiva. A DPA organizou e participou de dois Cursos e apresentou sete trabalhos </w:t>
      </w:r>
      <w:smartTag w:uri="urn:schemas-microsoft-com:office:smarttags" w:element="PersonName">
        <w:smartTagPr>
          <w:attr w:name="ProductID" w:val="em Congressos Nacionais"/>
        </w:smartTagPr>
        <w:r>
          <w:t>em Congressos Nacionais</w:t>
        </w:r>
      </w:smartTag>
      <w:r>
        <w:t xml:space="preserve"> e Internacionais.</w:t>
      </w:r>
    </w:p>
    <w:p w:rsidR="003E6588" w:rsidRDefault="003E6588">
      <w:pPr>
        <w:autoSpaceDE w:val="0"/>
        <w:autoSpaceDN w:val="0"/>
        <w:adjustRightInd w:val="0"/>
        <w:ind w:firstLine="1134"/>
        <w:jc w:val="both"/>
      </w:pPr>
    </w:p>
    <w:p w:rsidR="003E6588" w:rsidRDefault="003E6588">
      <w:pPr>
        <w:ind w:firstLine="1134"/>
        <w:jc w:val="both"/>
        <w:rPr>
          <w:strike/>
        </w:rPr>
      </w:pPr>
      <w:r>
        <w:rPr>
          <w:b/>
        </w:rPr>
        <w:t xml:space="preserve">Programa Zoológico de São Paulo - Entidade de Pesquisa - </w:t>
      </w:r>
      <w:r>
        <w:rPr>
          <w:bCs/>
        </w:rPr>
        <w:t xml:space="preserve">As publicações envolvendo a Fundação foram de 23 trabalhos científicos. Relativamente às </w:t>
      </w:r>
      <w:r>
        <w:t xml:space="preserve">solicitações de projetos para pesquisas, ocorreram 36, tendo sido concluídos </w:t>
      </w:r>
      <w:r>
        <w:rPr>
          <w:bCs/>
        </w:rPr>
        <w:t>23,</w:t>
      </w:r>
      <w:r>
        <w:t xml:space="preserve"> cancelados 9, e retrospectivamente, </w:t>
      </w:r>
      <w:r>
        <w:rPr>
          <w:bCs/>
        </w:rPr>
        <w:t xml:space="preserve">73 </w:t>
      </w:r>
      <w:r>
        <w:t>continuam em andamento.</w:t>
      </w:r>
    </w:p>
    <w:p w:rsidR="003E6588" w:rsidRDefault="003E6588">
      <w:pPr>
        <w:ind w:firstLine="1134"/>
        <w:jc w:val="both"/>
      </w:pPr>
    </w:p>
    <w:p w:rsidR="003E6588" w:rsidRDefault="003E6588">
      <w:pPr>
        <w:ind w:firstLine="1134"/>
        <w:jc w:val="both"/>
      </w:pPr>
      <w:r>
        <w:rPr>
          <w:rStyle w:val="A10"/>
          <w:rFonts w:ascii="Times New Roman" w:hAnsi="Times New Roman" w:cs="Times New Roman"/>
          <w:b/>
          <w:sz w:val="24"/>
          <w:szCs w:val="24"/>
        </w:rPr>
        <w:t xml:space="preserve">Mestrado Profissional - </w:t>
      </w:r>
      <w:r>
        <w:rPr>
          <w:rStyle w:val="A10"/>
          <w:rFonts w:ascii="Times New Roman" w:hAnsi="Times New Roman" w:cs="Times New Roman"/>
          <w:sz w:val="24"/>
          <w:szCs w:val="24"/>
        </w:rPr>
        <w:t>O</w:t>
      </w:r>
      <w:r>
        <w:rPr>
          <w:rStyle w:val="A10"/>
          <w:sz w:val="24"/>
          <w:szCs w:val="24"/>
        </w:rPr>
        <w:t xml:space="preserve"> </w:t>
      </w:r>
      <w:r>
        <w:t xml:space="preserve">Programa de Pós-Graduação em Conservação da Fauna - PPGCFau - Curso de Mestrado Profissional em Termo de Cooperação Técnica-Científica, firmado entre a FPZSP e a UFSCar, manteve oito alunos admitidos e recebeu mais oito alunos, todos continuando seus trabalhos e atividades discentes. Participou do exame de Processo Seletivo 2015, para o qual concorreram 49 candidatos. Realizou o </w:t>
      </w:r>
      <w:r>
        <w:rPr>
          <w:i/>
        </w:rPr>
        <w:t>Workshop</w:t>
      </w:r>
      <w:r>
        <w:t xml:space="preserve"> Mestrado Profissional PPG-CFau, no Espaço Dom Pedro, contando com a apresentação dos resultados atuais dos projetos de pesquisa de oito mestrandas e de oito pré-projetos de pesquisa.</w:t>
      </w:r>
    </w:p>
    <w:p w:rsidR="003E6588" w:rsidRPr="00184DCE" w:rsidRDefault="003E6588">
      <w:pPr>
        <w:autoSpaceDE w:val="0"/>
        <w:autoSpaceDN w:val="0"/>
        <w:adjustRightInd w:val="0"/>
        <w:ind w:firstLine="1134"/>
        <w:jc w:val="both"/>
        <w:rPr>
          <w:rStyle w:val="A10"/>
          <w:rFonts w:ascii="Times New Roman" w:hAnsi="Times New Roman" w:cs="Times New Roman"/>
          <w:sz w:val="24"/>
          <w:szCs w:val="24"/>
        </w:rPr>
      </w:pPr>
    </w:p>
    <w:p w:rsidR="003E6588" w:rsidRDefault="003E6588">
      <w:pPr>
        <w:autoSpaceDE w:val="0"/>
        <w:autoSpaceDN w:val="0"/>
        <w:adjustRightInd w:val="0"/>
        <w:ind w:firstLine="1134"/>
        <w:jc w:val="both"/>
      </w:pPr>
      <w:r>
        <w:rPr>
          <w:rStyle w:val="A10"/>
          <w:rFonts w:ascii="Times New Roman" w:hAnsi="Times New Roman" w:cs="Times New Roman"/>
          <w:b/>
          <w:sz w:val="24"/>
          <w:szCs w:val="24"/>
        </w:rPr>
        <w:t xml:space="preserve">Departamento Técnico - DT - </w:t>
      </w:r>
      <w:r>
        <w:t xml:space="preserve">Importação de quatro exemplares de cachorro pintado africano e exportação de um casal de tamanduá-mirim (Zoo de Londres). Conduziu o estabelecimento do Projeto de Conservação do Mico-leão-preto. Projeto de exposição “cachorro-pintado-africano”, “suricatas” e dos recintos de arara-azul-de-lear, mico-leão-preto e de tamanduás do Centro de Conservação de Fauna Silvestre do Estado de São Paulo. Participou da revisão do plano de manejo do PEFI. Participou do </w:t>
      </w:r>
      <w:r>
        <w:rPr>
          <w:i/>
        </w:rPr>
        <w:t>8th World Association of Zoos and Aquariuns-Marketing Conferen</w:t>
      </w:r>
      <w:r>
        <w:t>ce, em Bristol-Reino Unido. Conduziu reunião técnica do programa de cativeiro do mico-leão.</w:t>
      </w:r>
    </w:p>
    <w:p w:rsidR="003E6588" w:rsidRPr="00184DCE" w:rsidRDefault="003E6588">
      <w:pPr>
        <w:ind w:firstLine="1134"/>
        <w:jc w:val="both"/>
        <w:rPr>
          <w:rStyle w:val="A10"/>
          <w:rFonts w:ascii="Times New Roman" w:hAnsi="Times New Roman" w:cs="Times New Roman"/>
          <w:sz w:val="24"/>
          <w:szCs w:val="24"/>
        </w:rPr>
      </w:pPr>
    </w:p>
    <w:p w:rsidR="003E6588" w:rsidRDefault="003E6588">
      <w:pPr>
        <w:ind w:firstLine="1134"/>
        <w:jc w:val="both"/>
      </w:pPr>
      <w:r>
        <w:rPr>
          <w:rStyle w:val="A10"/>
          <w:rFonts w:ascii="Times New Roman" w:hAnsi="Times New Roman" w:cs="Times New Roman"/>
          <w:b/>
          <w:sz w:val="24"/>
          <w:szCs w:val="24"/>
        </w:rPr>
        <w:t xml:space="preserve">Divisão de </w:t>
      </w:r>
      <w:r>
        <w:rPr>
          <w:rStyle w:val="A10"/>
          <w:rFonts w:ascii="Times New Roman" w:hAnsi="Times New Roman" w:cs="Times New Roman"/>
          <w:b/>
          <w:color w:val="auto"/>
          <w:sz w:val="24"/>
          <w:szCs w:val="24"/>
        </w:rPr>
        <w:t>Ciências Biológicas - DCB -</w:t>
      </w:r>
      <w:r>
        <w:rPr>
          <w:rStyle w:val="A10"/>
          <w:rFonts w:ascii="Times New Roman" w:hAnsi="Times New Roman" w:cs="Times New Roman"/>
          <w:color w:val="auto"/>
          <w:sz w:val="24"/>
          <w:szCs w:val="24"/>
        </w:rPr>
        <w:t xml:space="preserve"> </w:t>
      </w:r>
      <w:r>
        <w:t>Reprodução de espécies brasileiras ameaçadas</w:t>
      </w:r>
      <w:r>
        <w:rPr>
          <w:b/>
        </w:rPr>
        <w:t xml:space="preserve"> </w:t>
      </w:r>
      <w:r>
        <w:t xml:space="preserve">de extinção </w:t>
      </w:r>
      <w:r>
        <w:rPr>
          <w:b/>
        </w:rPr>
        <w:t>-</w:t>
      </w:r>
      <w:r>
        <w:t xml:space="preserve"> mico-leão-preto, endêmica do Estado, mico-leão-dourado, tamanduá-bandeira, tamanduá mirim, cisne-pescoço-preto, coscoroba, ararajuba, arara-azul-grande. Reprodução de espécies</w:t>
      </w:r>
      <w:r>
        <w:rPr>
          <w:b/>
        </w:rPr>
        <w:t xml:space="preserve"> </w:t>
      </w:r>
      <w:r>
        <w:t>brasileiras não-ameaçadas</w:t>
      </w:r>
      <w:r>
        <w:rPr>
          <w:b/>
        </w:rPr>
        <w:t xml:space="preserve"> - </w:t>
      </w:r>
      <w:r>
        <w:t>catetos, jandaia-verdadeira, cágados de barbicha e do nordeste, sapinho garimpeiro, caracol-da-mata-atlântica, jabuti-tinga, tracajá. Espécies exóticas</w:t>
      </w:r>
      <w:r>
        <w:rPr>
          <w:b/>
        </w:rPr>
        <w:t xml:space="preserve"> -</w:t>
      </w:r>
      <w:r>
        <w:t xml:space="preserve"> zebra-de-grevy, turaco </w:t>
      </w:r>
      <w:r>
        <w:lastRenderedPageBreak/>
        <w:t>violeta, pavão, cisne-preto</w:t>
      </w:r>
      <w:r>
        <w:rPr>
          <w:i/>
        </w:rPr>
        <w:t xml:space="preserve">, </w:t>
      </w:r>
      <w:r>
        <w:t>grou-coroado, ema e</w:t>
      </w:r>
      <w:r>
        <w:rPr>
          <w:i/>
        </w:rPr>
        <w:t xml:space="preserve"> </w:t>
      </w:r>
      <w:r>
        <w:t xml:space="preserve">emu. </w:t>
      </w:r>
      <w:r w:rsidRPr="00184DCE">
        <w:t>Aquisições de novas espécies: espécies nativas</w:t>
      </w:r>
      <w:r>
        <w:rPr>
          <w:b/>
        </w:rPr>
        <w:t xml:space="preserve"> -</w:t>
      </w:r>
      <w:r>
        <w:t xml:space="preserve"> bugio preto, cutia, mabuia-de-noronha, rã-pimenta, perereca-de-banheiro, sapo-de-chifre, jabuti-piranga, cobra-papagaio e jararaca-ilhoa; </w:t>
      </w:r>
      <w:r w:rsidRPr="00184DCE">
        <w:t>espécies exóticas</w:t>
      </w:r>
      <w:r>
        <w:rPr>
          <w:b/>
        </w:rPr>
        <w:t xml:space="preserve"> - </w:t>
      </w:r>
      <w:r>
        <w:t>cão selvagem africano, turacos-de-orelhas-brancas e</w:t>
      </w:r>
      <w:r>
        <w:rPr>
          <w:b/>
        </w:rPr>
        <w:t xml:space="preserve"> </w:t>
      </w:r>
      <w:r>
        <w:t>papa-vento-americano. Para</w:t>
      </w:r>
      <w:r>
        <w:rPr>
          <w:b/>
        </w:rPr>
        <w:t xml:space="preserve"> </w:t>
      </w:r>
      <w:r>
        <w:t>atender as ações previstas, realizou os levantamentos</w:t>
      </w:r>
      <w:r>
        <w:rPr>
          <w:b/>
        </w:rPr>
        <w:t xml:space="preserve"> </w:t>
      </w:r>
      <w:r>
        <w:t>de</w:t>
      </w:r>
      <w:r>
        <w:rPr>
          <w:b/>
        </w:rPr>
        <w:t xml:space="preserve"> </w:t>
      </w:r>
      <w:r>
        <w:t>Avifauna, de Herpetofauna e Mastofauna</w:t>
      </w:r>
      <w:r>
        <w:rPr>
          <w:b/>
        </w:rPr>
        <w:t xml:space="preserve"> </w:t>
      </w:r>
      <w:r>
        <w:t>para o Parque Estadual Fontes do Ipiranga. Participou de 30 projetos de pesquisas, seis congressos nacionais, cinco eventos científicos, orientou 15 estagiários, nove aprimorandos e oito voluntários.</w:t>
      </w:r>
    </w:p>
    <w:p w:rsidR="00C05AF3" w:rsidRDefault="00C05AF3">
      <w:pPr>
        <w:ind w:firstLine="1134"/>
        <w:jc w:val="both"/>
      </w:pPr>
    </w:p>
    <w:p w:rsidR="003E6588" w:rsidRDefault="003E6588">
      <w:pPr>
        <w:ind w:firstLine="1134"/>
        <w:jc w:val="both"/>
      </w:pPr>
      <w:r>
        <w:rPr>
          <w:rStyle w:val="A10"/>
          <w:rFonts w:ascii="Times New Roman" w:hAnsi="Times New Roman" w:cs="Times New Roman"/>
          <w:b/>
          <w:sz w:val="24"/>
          <w:szCs w:val="24"/>
        </w:rPr>
        <w:t xml:space="preserve">Divisão de Veterinária - DV - </w:t>
      </w:r>
      <w:r>
        <w:t>Foram realizados 1.512 tratamentos clínico-cirúrgicos; participação de seus técnicos em dez projetos de pesquisas em associação com instituições nacionais e internacionais.</w:t>
      </w:r>
    </w:p>
    <w:p w:rsidR="003E6588" w:rsidRDefault="003E6588">
      <w:pPr>
        <w:ind w:firstLine="1134"/>
        <w:jc w:val="both"/>
      </w:pPr>
    </w:p>
    <w:p w:rsidR="003E6588" w:rsidRDefault="003E6588">
      <w:pPr>
        <w:autoSpaceDE w:val="0"/>
        <w:autoSpaceDN w:val="0"/>
        <w:adjustRightInd w:val="0"/>
        <w:ind w:firstLine="1134"/>
        <w:jc w:val="both"/>
      </w:pPr>
      <w:r>
        <w:rPr>
          <w:b/>
          <w:bCs/>
        </w:rPr>
        <w:t xml:space="preserve">Gestão Ambiental e de Qualidade - </w:t>
      </w:r>
      <w:r>
        <w:rPr>
          <w:bCs/>
        </w:rPr>
        <w:t>A</w:t>
      </w:r>
      <w:r>
        <w:t>s ações voltadas à sustentabilidade mantiveram nível satisfatório para manutenção do Sistema de Gestão Ambiental</w:t>
      </w:r>
      <w:r>
        <w:rPr>
          <w:color w:val="FF0000"/>
        </w:rPr>
        <w:t>,</w:t>
      </w:r>
      <w:r>
        <w:t xml:space="preserve"> segundo NBR ISO 14.001:2004. As estações de tratamento de água e de efluentes trataram 35.104,00 m³ de água e </w:t>
      </w:r>
      <w:smartTag w:uri="urn:schemas-microsoft-com:office:smarttags" w:element="metricconverter">
        <w:smartTagPr>
          <w:attr w:name="ProductID" w:val="19.105,8 mﾳ"/>
        </w:smartTagPr>
        <w:r>
          <w:t>19.105,8 m³</w:t>
        </w:r>
      </w:smartTag>
      <w:r>
        <w:t xml:space="preserve"> de efluentes. A Unidade de Produção de Composto Orgânico produziu 413,5 m³ (equivalendo a 413,5 toneladas) de adubo orgânico. Recebimento de 61 visitas monitoradas, 15 visitas com a Divisão de Educação e Difusão no Projeto "Plantando o Futuro" e 46 visitas para estudantes de escolas técnicas, universidades e empresas interessadas na área ambiental. Realização do Mutirão Ambiental no lago externo da FPZSP, com o objetivo de coletar lixo das margens. Desenvolvimento de material educativo/informativo para campanha de economia de água, energia e materiais descartáveis.</w:t>
      </w:r>
      <w:r>
        <w:rPr>
          <w:b/>
        </w:rPr>
        <w:t xml:space="preserve"> </w:t>
      </w:r>
      <w:r>
        <w:t>Auditoria externa, pela Fundação Carlos Alberto Vanzolini, resultando na manutenção NBR ISO 14.001:2004.</w:t>
      </w:r>
    </w:p>
    <w:p w:rsidR="003E6588" w:rsidRDefault="003E6588">
      <w:pPr>
        <w:autoSpaceDE w:val="0"/>
        <w:autoSpaceDN w:val="0"/>
        <w:adjustRightInd w:val="0"/>
        <w:ind w:firstLine="1134"/>
        <w:jc w:val="both"/>
      </w:pPr>
    </w:p>
    <w:p w:rsidR="003E6588" w:rsidRDefault="003E6588">
      <w:pPr>
        <w:ind w:firstLine="1134"/>
        <w:jc w:val="both"/>
      </w:pPr>
      <w:r>
        <w:rPr>
          <w:rStyle w:val="A10"/>
          <w:rFonts w:ascii="Times New Roman" w:hAnsi="Times New Roman" w:cs="Times New Roman"/>
          <w:b/>
          <w:sz w:val="24"/>
          <w:szCs w:val="24"/>
        </w:rPr>
        <w:t>Divisão de Produção Rural - DPR - Fazenda do Zoológico -</w:t>
      </w:r>
      <w:r>
        <w:rPr>
          <w:rStyle w:val="A10"/>
          <w:rFonts w:ascii="Times New Roman" w:hAnsi="Times New Roman" w:cs="Times New Roman"/>
          <w:sz w:val="24"/>
          <w:szCs w:val="24"/>
        </w:rPr>
        <w:t xml:space="preserve"> </w:t>
      </w:r>
      <w:r>
        <w:t>Concluído o fechamento do ano agrícola 2013-</w:t>
      </w:r>
      <w:smartTag w:uri="urn:schemas-microsoft-com:office:smarttags" w:element="metricconverter">
        <w:smartTagPr>
          <w:attr w:name="ProductID" w:val="2014, a"/>
        </w:smartTagPr>
        <w:r>
          <w:t>2014, a</w:t>
        </w:r>
      </w:smartTag>
      <w:r>
        <w:t xml:space="preserve"> Fazenda do Zôo enviou, seja para consumo, seja para venda em leilão, </w:t>
      </w:r>
      <w:smartTag w:uri="urn:schemas-microsoft-com:office:smarttags" w:element="metricconverter">
        <w:smartTagPr>
          <w:attr w:name="ProductID" w:val="2.020.023,8 kg"/>
        </w:smartTagPr>
        <w:r>
          <w:t>2.020.023,8 kg</w:t>
        </w:r>
      </w:smartTag>
      <w:r>
        <w:t xml:space="preserve"> de produtos, divididos em </w:t>
      </w:r>
      <w:smartTag w:uri="urn:schemas-microsoft-com:office:smarttags" w:element="metricconverter">
        <w:smartTagPr>
          <w:attr w:name="ProductID" w:val="47.147,8 kg"/>
        </w:smartTagPr>
        <w:r>
          <w:t>47.147,8 kg</w:t>
        </w:r>
      </w:smartTag>
      <w:r>
        <w:t xml:space="preserve"> de hortaliças, </w:t>
      </w:r>
      <w:smartTag w:uri="urn:schemas-microsoft-com:office:smarttags" w:element="metricconverter">
        <w:smartTagPr>
          <w:attr w:name="ProductID" w:val="32.904,0 kg"/>
        </w:smartTagPr>
        <w:r>
          <w:t>32.904,0 kg</w:t>
        </w:r>
      </w:smartTag>
      <w:r>
        <w:t xml:space="preserve"> de frutas, </w:t>
      </w:r>
      <w:smartTag w:uri="urn:schemas-microsoft-com:office:smarttags" w:element="metricconverter">
        <w:smartTagPr>
          <w:attr w:name="ProductID" w:val="1.483.700,0 kg"/>
        </w:smartTagPr>
        <w:r>
          <w:t>1.483.700,0 kg</w:t>
        </w:r>
      </w:smartTag>
      <w:r>
        <w:t xml:space="preserve"> de grãos, </w:t>
      </w:r>
      <w:smartTag w:uri="urn:schemas-microsoft-com:office:smarttags" w:element="metricconverter">
        <w:smartTagPr>
          <w:attr w:name="ProductID" w:val="455.120,0 kg"/>
        </w:smartTagPr>
        <w:r>
          <w:t>455.120,0 kg</w:t>
        </w:r>
      </w:smartTag>
      <w:r>
        <w:t xml:space="preserve"> de forrageiras e </w:t>
      </w:r>
      <w:smartTag w:uri="urn:schemas-microsoft-com:office:smarttags" w:element="metricconverter">
        <w:smartTagPr>
          <w:attr w:name="ProductID" w:val="1.152,0 kg"/>
        </w:smartTagPr>
        <w:r>
          <w:t>1.152,0 kg</w:t>
        </w:r>
      </w:smartTag>
      <w:r>
        <w:t xml:space="preserve"> de raízes. A Fazenda forneceu </w:t>
      </w:r>
      <w:smartTag w:uri="urn:schemas-microsoft-com:office:smarttags" w:element="metricconverter">
        <w:smartTagPr>
          <w:attr w:name="ProductID" w:val="10.540,0 kg"/>
        </w:smartTagPr>
        <w:r>
          <w:t>10.540,0 kg</w:t>
        </w:r>
      </w:smartTag>
      <w:r>
        <w:t xml:space="preserve"> de materiais utilizados na construção, reforma, ornamentação e forração de recintos do parque, como madeiras, sapés, bambus, mudas e fardos de gramíneas. A DPR deu continuidade ao Programa de Educação Ambiental </w:t>
      </w:r>
      <w:r w:rsidRPr="00184DCE">
        <w:t>“Fazenda Legal”,</w:t>
      </w:r>
      <w:r>
        <w:t xml:space="preserve"> em parcerias com Secretarias da Educação e Meio Ambiente dos Municípios de Araçoiaba da Serra, Capela do Alto e Votorantim, formando 60 docentes para projetos ambientais em escolas, atendeu 1.500 crianças em monitorias e envolveu indiretamente em projetos escolares 3.000 alunos. Concluiu o trabalho de pesquisa “Estimativa das emissões de carbono proveniente das atividades da Fazenda do Zoo e sua neutralização por meio de técnicas de recomposição florestal”. Fez a compensação ambiental da emissão de gases do efeito estufa das monitorias realizadas, bem como do evento de encerramento do Programa de Educação Ambiental "Fazenda Legal", considerando as gerações de efluente e lixo, queima de combustível fóssil e consumos de água e energia elétrica, por meio de plantio de mudas nativas. Deu continuidade ao trabalho de limpeza das estradas, do projeto “Lixo, responsabilidade de todos”, reestruturou a comunicação visual da Divisão e elaborou a do CECFAU.</w:t>
      </w:r>
    </w:p>
    <w:p w:rsidR="003E6588" w:rsidRDefault="003E6588">
      <w:pPr>
        <w:ind w:firstLine="1134"/>
        <w:jc w:val="both"/>
      </w:pPr>
    </w:p>
    <w:p w:rsidR="003E6588" w:rsidRDefault="003E6588">
      <w:pPr>
        <w:ind w:firstLine="1134"/>
        <w:jc w:val="both"/>
      </w:pPr>
      <w:r>
        <w:rPr>
          <w:rStyle w:val="A10"/>
          <w:rFonts w:ascii="Times New Roman" w:hAnsi="Times New Roman" w:cs="Times New Roman"/>
          <w:b/>
          <w:sz w:val="24"/>
          <w:szCs w:val="24"/>
        </w:rPr>
        <w:t>Relações com Mercado -</w:t>
      </w:r>
      <w:r>
        <w:rPr>
          <w:rStyle w:val="A10"/>
          <w:rFonts w:ascii="Times New Roman" w:hAnsi="Times New Roman" w:cs="Times New Roman"/>
          <w:sz w:val="24"/>
          <w:szCs w:val="24"/>
        </w:rPr>
        <w:t xml:space="preserve"> A</w:t>
      </w:r>
      <w:r>
        <w:t xml:space="preserve">tuou na comissão dos eventos realizados na Fundação, como o “Encontro Internacional de Educação” e “Congresso da ABRAVAS - Associação Brasileira de </w:t>
      </w:r>
      <w:r>
        <w:lastRenderedPageBreak/>
        <w:t xml:space="preserve">Veterinários de Animais Selvagens”. Coordenou as ações de publicações do Relatório Anual 2013 e das Revistas Ciência no Zoo, assim como na locação do Espaço D.Pedro e </w:t>
      </w:r>
      <w:r>
        <w:rPr>
          <w:i/>
        </w:rPr>
        <w:t>samplings</w:t>
      </w:r>
      <w:r>
        <w:t xml:space="preserve"> de agências e empresas. Renovou parcerias com as empresas Coca-Cola, Makita, Pet Center Marginal e EMTU, e obteve doações para a FPZSP e firmou parceria com a empresa Kibon. Promoveu instalação de monitoramento de câmeras na Divisão de Produção Rural e coordenou a instalação da nova atração “O Mundo dos Dinossauros”, com público de 14.701.</w:t>
      </w:r>
    </w:p>
    <w:p w:rsidR="003E6588" w:rsidRPr="00184DCE" w:rsidRDefault="003E6588">
      <w:pPr>
        <w:ind w:firstLine="1134"/>
        <w:jc w:val="both"/>
        <w:rPr>
          <w:rFonts w:eastAsia="Calibri"/>
          <w:u w:val="single"/>
          <w:lang w:eastAsia="en-US"/>
        </w:rPr>
      </w:pPr>
    </w:p>
    <w:p w:rsidR="003E6588" w:rsidRPr="00184DCE" w:rsidRDefault="003E6588">
      <w:pPr>
        <w:ind w:firstLine="1134"/>
        <w:jc w:val="both"/>
        <w:rPr>
          <w:rFonts w:eastAsia="Calibri"/>
          <w:u w:val="single"/>
          <w:lang w:eastAsia="en-US"/>
        </w:rPr>
      </w:pPr>
    </w:p>
    <w:p w:rsidR="003E6588" w:rsidRDefault="003E6588">
      <w:pPr>
        <w:rPr>
          <w:rFonts w:eastAsia="Calibri"/>
          <w:b/>
          <w:lang w:eastAsia="en-US"/>
        </w:rPr>
      </w:pPr>
      <w:r>
        <w:rPr>
          <w:rFonts w:eastAsia="Calibri"/>
          <w:b/>
          <w:lang w:eastAsia="en-US"/>
        </w:rPr>
        <w:t>FUNDAÇÃO PARA A CONSERVAÇÃO E A PRODUÇÃO FLORESTAL DO ESTADO DE SÃO PAULO</w:t>
      </w:r>
    </w:p>
    <w:p w:rsidR="003E6588" w:rsidRPr="00184DCE" w:rsidRDefault="003E6588">
      <w:pPr>
        <w:ind w:firstLine="1134"/>
        <w:jc w:val="both"/>
        <w:rPr>
          <w:rFonts w:eastAsia="Calibri"/>
          <w:lang w:eastAsia="en-US"/>
        </w:rPr>
      </w:pPr>
    </w:p>
    <w:p w:rsidR="003E6588" w:rsidRPr="00184DCE" w:rsidRDefault="003E6588">
      <w:pPr>
        <w:ind w:firstLine="1134"/>
        <w:jc w:val="both"/>
        <w:rPr>
          <w:rFonts w:eastAsia="Calibri"/>
          <w:lang w:eastAsia="en-US"/>
        </w:rPr>
      </w:pPr>
    </w:p>
    <w:p w:rsidR="003E6588" w:rsidRDefault="003E6588">
      <w:pPr>
        <w:ind w:firstLine="1134"/>
        <w:jc w:val="both"/>
        <w:rPr>
          <w:bCs/>
          <w:lang w:eastAsia="en-US"/>
        </w:rPr>
      </w:pPr>
      <w:r>
        <w:rPr>
          <w:rFonts w:eastAsia="Calibri"/>
          <w:b/>
          <w:lang w:eastAsia="en-US"/>
        </w:rPr>
        <w:t xml:space="preserve">Gestão de Unidades de Conservação - </w:t>
      </w:r>
      <w:r>
        <w:rPr>
          <w:bCs/>
          <w:lang w:eastAsia="en-US"/>
        </w:rPr>
        <w:t>A Fundação Florestal teve sob sua responsabilidade a gestão de 95 unidades de conservação, sendo 49 de proteção integral (951 mil hectares) e 46 de uso sustentável (3,64 milhões hectares), e a gestão de Marina (Saco da Ribeira) e de Área Especialmente Protegida (Reserva Estadual).</w:t>
      </w:r>
    </w:p>
    <w:p w:rsidR="003E6588" w:rsidRDefault="003E6588">
      <w:pPr>
        <w:ind w:firstLine="1134"/>
        <w:jc w:val="both"/>
        <w:rPr>
          <w:bCs/>
          <w:lang w:eastAsia="en-US"/>
        </w:rPr>
      </w:pPr>
    </w:p>
    <w:p w:rsidR="003E6588" w:rsidRDefault="003E6588">
      <w:pPr>
        <w:ind w:firstLine="1134"/>
        <w:jc w:val="both"/>
        <w:rPr>
          <w:rFonts w:eastAsia="Calibri"/>
          <w:lang w:eastAsia="en-US"/>
        </w:rPr>
      </w:pPr>
      <w:r>
        <w:rPr>
          <w:b/>
          <w:shd w:val="clear" w:color="auto" w:fill="FFFFFF"/>
        </w:rPr>
        <w:t xml:space="preserve">Novos Negócios e Parceiras para Sustentabilidade - </w:t>
      </w:r>
      <w:r>
        <w:rPr>
          <w:rFonts w:eastAsia="Calibri"/>
          <w:lang w:eastAsia="en-US"/>
        </w:rPr>
        <w:t>Instalado e em operação o primeiro sistema informatizado de controle de acesso da visitação de unidades de conservação da Fundação Florestal, na Estrada Parque de Castelhanos, no Parque Estadual Ilhabela. Outorga de permissão de uso qualificada e remunerada de agência de ecoturismo no Parque Estadual Campos do Jordão e de restaurante no Parque Estadual Intervales, como resultado do processo de instrumentalização do “Programa de parcerias para a sustentabilidade das Unidades de Conservação” instituído pelo Decreto nº 57.401/2011. Regularização do comércio ambulante de artesanato e alimentação no interior do Parque Estadual do Jaraguá. Participação na “8ª Conferência Anual de Ecoturismo e Turismo Sustentável”, encontro internacional realizado em Mato Grosso do Sul, onde foi apresentado o Programa Trilhas de São Paulo. Emissão de 23 autorizações de eventos em unidades de conservação de proteção integral e de 40 autorizações para captação e uso de imagens em unidades de conservação.</w:t>
      </w:r>
    </w:p>
    <w:p w:rsidR="003E6588" w:rsidRDefault="003E6588">
      <w:pPr>
        <w:ind w:firstLine="1134"/>
        <w:jc w:val="both"/>
        <w:rPr>
          <w:rFonts w:eastAsia="Calibri"/>
          <w:lang w:eastAsia="en-US"/>
        </w:rPr>
      </w:pPr>
    </w:p>
    <w:p w:rsidR="003E6588" w:rsidRDefault="003E6588">
      <w:pPr>
        <w:ind w:firstLine="1134"/>
        <w:jc w:val="both"/>
        <w:rPr>
          <w:rFonts w:eastAsia="Calibri"/>
          <w:lang w:eastAsia="en-US"/>
        </w:rPr>
      </w:pPr>
      <w:r>
        <w:rPr>
          <w:rFonts w:eastAsia="Calibri"/>
          <w:lang w:eastAsia="en-US"/>
        </w:rPr>
        <w:t>C</w:t>
      </w:r>
      <w:r>
        <w:rPr>
          <w:rFonts w:eastAsia="Calibri"/>
          <w:b/>
          <w:lang w:eastAsia="en-US"/>
        </w:rPr>
        <w:t xml:space="preserve">riação de Unidades de Conservação - </w:t>
      </w:r>
      <w:r>
        <w:rPr>
          <w:rFonts w:eastAsia="Calibri"/>
          <w:lang w:eastAsia="en-US"/>
        </w:rPr>
        <w:t>Instituído o Núcleo Administrativo Padre Dória no Parque Estadual Serra do Mar, com aproximadamente 19.320 hectares, oriundo de parcelas dos Núcleos Caraguatatuba e São Sebastião, compreendendo os Municípios de Salesópolis, Paraibuna e Biritiba-Mirim. Dois mosaicos de unidades de conservação se encontram em processo de criação: Serra de Itapeti-Tietê (12 mil hectares de Mata Atlântica) e o Refúgio de Vida Silvestre Bauru/Aymorés 6 mil hectares de Cerrado).</w:t>
      </w:r>
    </w:p>
    <w:p w:rsidR="003E6588" w:rsidRDefault="003E6588">
      <w:pPr>
        <w:autoSpaceDE w:val="0"/>
        <w:autoSpaceDN w:val="0"/>
        <w:adjustRightInd w:val="0"/>
        <w:ind w:firstLine="1134"/>
        <w:jc w:val="both"/>
        <w:rPr>
          <w:b/>
          <w:bCs/>
        </w:rPr>
      </w:pPr>
    </w:p>
    <w:p w:rsidR="003E6588" w:rsidRDefault="003E6588">
      <w:pPr>
        <w:autoSpaceDE w:val="0"/>
        <w:autoSpaceDN w:val="0"/>
        <w:adjustRightInd w:val="0"/>
        <w:ind w:firstLine="1134"/>
        <w:jc w:val="both"/>
        <w:rPr>
          <w:shd w:val="clear" w:color="auto" w:fill="FFFFFF"/>
        </w:rPr>
      </w:pPr>
      <w:r>
        <w:rPr>
          <w:b/>
          <w:bCs/>
        </w:rPr>
        <w:t xml:space="preserve">Regularização Fundiária - </w:t>
      </w:r>
      <w:r>
        <w:rPr>
          <w:shd w:val="clear" w:color="auto" w:fill="FFFFFF"/>
        </w:rPr>
        <w:t xml:space="preserve">Levantamento da malha fundiária e identificação de propriedades e ocupantes do Parque Estadual do Itapetinga (em execução); entrega dos laudos de danos ambientais para dar suporte à propositura de ações judiciais visando à regularização fundiária do Parque Estadual do Jurupará; fornecimento de informações fundiárias para o Cadastro Nacional de Unidades de Conservação - CNUC; participação na elaboração dos Planos de Manejo dos Parques Estaduais de Itaberaba, de Itapetinga, de Ilhabela, Vassununga e do Mosaico Paranapiacaba; </w:t>
      </w:r>
      <w:r>
        <w:rPr>
          <w:shd w:val="clear" w:color="auto" w:fill="FFFFFF"/>
        </w:rPr>
        <w:lastRenderedPageBreak/>
        <w:t>coordenação do Programa Estadual de Reassentamentos das Populações Tradicionais Residentes em Unidades de Conservação.</w:t>
      </w:r>
    </w:p>
    <w:p w:rsidR="003E6588" w:rsidRDefault="003E6588">
      <w:pPr>
        <w:ind w:firstLine="1134"/>
        <w:jc w:val="both"/>
        <w:rPr>
          <w:rFonts w:eastAsia="Calibri"/>
          <w:b/>
          <w:lang w:eastAsia="en-US"/>
        </w:rPr>
      </w:pPr>
    </w:p>
    <w:p w:rsidR="003E6588" w:rsidRDefault="003E6588">
      <w:pPr>
        <w:ind w:firstLine="1134"/>
        <w:jc w:val="both"/>
        <w:rPr>
          <w:rFonts w:eastAsia="Calibri"/>
          <w:lang w:eastAsia="en-US"/>
        </w:rPr>
      </w:pPr>
      <w:r>
        <w:rPr>
          <w:rFonts w:eastAsia="Calibri"/>
          <w:b/>
          <w:lang w:eastAsia="en-US"/>
        </w:rPr>
        <w:t xml:space="preserve">Reservas Particulares do Patrimônio Natural - </w:t>
      </w:r>
      <w:r>
        <w:rPr>
          <w:rFonts w:eastAsia="Calibri"/>
          <w:lang w:eastAsia="en-US"/>
        </w:rPr>
        <w:t>A Fundação Florestal apoia ainda a gestão de 37 RPPNs - Reservas Particulares do Patrimônio Natural - estaduais, das quais cinco, com aproximadamente 785,28</w:t>
      </w:r>
      <w:r>
        <w:t xml:space="preserve"> </w:t>
      </w:r>
      <w:r>
        <w:rPr>
          <w:rFonts w:eastAsia="Calibri"/>
          <w:lang w:eastAsia="en-US"/>
        </w:rPr>
        <w:t>ha, foram reconhecidas, totalizando 16.887</w:t>
      </w:r>
      <w:r>
        <w:t xml:space="preserve"> </w:t>
      </w:r>
      <w:r>
        <w:rPr>
          <w:rFonts w:eastAsia="Calibri"/>
          <w:lang w:eastAsia="en-US"/>
        </w:rPr>
        <w:t>ha.</w:t>
      </w:r>
    </w:p>
    <w:p w:rsidR="003E6588" w:rsidRDefault="003E6588">
      <w:pPr>
        <w:autoSpaceDE w:val="0"/>
        <w:autoSpaceDN w:val="0"/>
        <w:adjustRightInd w:val="0"/>
        <w:ind w:firstLine="1134"/>
        <w:jc w:val="both"/>
        <w:rPr>
          <w:rFonts w:eastAsia="Calibri"/>
          <w:b/>
          <w:lang w:eastAsia="en-US"/>
        </w:rPr>
      </w:pPr>
    </w:p>
    <w:p w:rsidR="003E6588" w:rsidRDefault="003E6588">
      <w:pPr>
        <w:autoSpaceDE w:val="0"/>
        <w:autoSpaceDN w:val="0"/>
        <w:adjustRightInd w:val="0"/>
        <w:ind w:firstLine="1134"/>
        <w:jc w:val="both"/>
        <w:rPr>
          <w:rFonts w:eastAsia="Calibri"/>
          <w:lang w:eastAsia="en-US"/>
        </w:rPr>
      </w:pPr>
      <w:r>
        <w:rPr>
          <w:rFonts w:eastAsia="Calibri"/>
          <w:b/>
          <w:lang w:eastAsia="en-US"/>
        </w:rPr>
        <w:t xml:space="preserve">Projeto CAP-RPPN - Crédito Ambiental Paulista para as RPPN - </w:t>
      </w:r>
      <w:r>
        <w:rPr>
          <w:rFonts w:eastAsia="Calibri"/>
          <w:lang w:eastAsia="en-US"/>
        </w:rPr>
        <w:t>O projeto de pagamento por serviços ambientais para as RPPN teve em seu 1° edital, com 11 RPPN contratadas, perfazendo área de 1.884,34 hectares, cujos proprietários serão remunerados pelos serviços ambientais comprovadamente prestados à sua conservação, por período de cinco anos. O valor total do FECOP, para os cinco anos de contrato, é de R$ 1.900.606,01. A Fundação Florestal monitorou 10 áreas, sendo que duas já receberam o pagamento da primeira parcela.</w:t>
      </w:r>
    </w:p>
    <w:p w:rsidR="003E6588" w:rsidRDefault="003E6588">
      <w:pPr>
        <w:ind w:firstLine="1134"/>
        <w:jc w:val="both"/>
        <w:rPr>
          <w:rFonts w:eastAsia="Calibri"/>
          <w:b/>
          <w:lang w:eastAsia="en-US"/>
        </w:rPr>
      </w:pPr>
    </w:p>
    <w:p w:rsidR="003E6588" w:rsidRDefault="003E6588">
      <w:pPr>
        <w:ind w:firstLine="1134"/>
        <w:jc w:val="both"/>
        <w:rPr>
          <w:rFonts w:eastAsia="Calibri"/>
          <w:lang w:eastAsia="en-US"/>
        </w:rPr>
      </w:pPr>
      <w:r>
        <w:rPr>
          <w:rFonts w:eastAsia="Calibri"/>
          <w:b/>
          <w:lang w:eastAsia="en-US"/>
        </w:rPr>
        <w:t xml:space="preserve">Planos de Manejo - </w:t>
      </w:r>
      <w:r>
        <w:rPr>
          <w:rFonts w:eastAsia="Calibri"/>
          <w:lang w:eastAsia="en-US"/>
        </w:rPr>
        <w:t>Foram concluídos e encaminhados para deliberação do CONSEMA 2 planos de manejo e 14 se encontram em elaboração.</w:t>
      </w:r>
    </w:p>
    <w:p w:rsidR="003E6588" w:rsidRDefault="003E6588">
      <w:pPr>
        <w:ind w:firstLine="1134"/>
        <w:jc w:val="both"/>
        <w:rPr>
          <w:rFonts w:eastAsia="Calibri"/>
          <w:lang w:eastAsia="en-US"/>
        </w:rPr>
      </w:pPr>
    </w:p>
    <w:p w:rsidR="003E6588" w:rsidRDefault="003E6588">
      <w:pPr>
        <w:ind w:firstLine="1134"/>
        <w:jc w:val="both"/>
        <w:rPr>
          <w:rFonts w:eastAsia="Calibri"/>
          <w:lang w:eastAsia="en-US"/>
        </w:rPr>
      </w:pPr>
      <w:r>
        <w:rPr>
          <w:rFonts w:eastAsia="Calibri"/>
          <w:b/>
          <w:lang w:eastAsia="en-US"/>
        </w:rPr>
        <w:t xml:space="preserve">Conselhos Gestores - </w:t>
      </w:r>
      <w:r>
        <w:rPr>
          <w:rFonts w:eastAsia="Calibri"/>
          <w:lang w:eastAsia="en-US"/>
        </w:rPr>
        <w:t>A Fundação Florestal contou com conselhos consultivos ou deliberativos constituídos em 80 Unidades de Conservação.</w:t>
      </w:r>
    </w:p>
    <w:p w:rsidR="003E6588" w:rsidRDefault="003E6588">
      <w:pPr>
        <w:ind w:firstLine="1134"/>
        <w:jc w:val="both"/>
        <w:rPr>
          <w:rFonts w:eastAsia="Calibri"/>
          <w:b/>
          <w:lang w:eastAsia="en-US"/>
        </w:rPr>
      </w:pPr>
    </w:p>
    <w:p w:rsidR="003E6588" w:rsidRDefault="003E6588">
      <w:pPr>
        <w:ind w:firstLine="1134"/>
        <w:jc w:val="both"/>
      </w:pPr>
      <w:r>
        <w:rPr>
          <w:rFonts w:eastAsia="Calibri"/>
          <w:b/>
          <w:lang w:eastAsia="en-US"/>
        </w:rPr>
        <w:t xml:space="preserve">Educação Ambiental - </w:t>
      </w:r>
      <w:r>
        <w:rPr>
          <w:rFonts w:eastAsia="Calibri"/>
          <w:lang w:eastAsia="en-US"/>
        </w:rPr>
        <w:t>Trilhas monitoradas e projetos pedagógicos direcionados a diferentes públicos, com a</w:t>
      </w:r>
      <w:r>
        <w:t>tendimento a 98.356 visitantes, entre eles, cerca de 26.500 alunos de 1.125 escolas da rede pública estadual de ensino, por meio do Projeto Lugares de Aprender - Convênio com a Fundação para o Desenvolvimento Escolar - Secretaria da Educação - FDE/SE, além da realização da Formação Socioambiental, integrada ao SIM, junto a 12 Conselhos Gestores de UC, de 7 polos de fiscalização no Estado. Publicação do Manual de Gestão das Unidades de Conservação, importante instrumento de normatização e diretrizes para a gestão das UC administradas pela FF, produto da capacitação de gestores e técnicos do Programa BID.</w:t>
      </w:r>
    </w:p>
    <w:p w:rsidR="003E6588" w:rsidRDefault="003E6588">
      <w:pPr>
        <w:ind w:firstLine="1134"/>
        <w:jc w:val="both"/>
      </w:pPr>
    </w:p>
    <w:p w:rsidR="003E6588" w:rsidRDefault="003E6588">
      <w:pPr>
        <w:tabs>
          <w:tab w:val="left" w:pos="8504"/>
        </w:tabs>
        <w:ind w:firstLine="1134"/>
        <w:jc w:val="both"/>
        <w:rPr>
          <w:rFonts w:eastAsia="Calibri"/>
          <w:lang w:eastAsia="en-US"/>
        </w:rPr>
      </w:pPr>
      <w:r>
        <w:rPr>
          <w:rFonts w:eastAsia="Calibri"/>
          <w:b/>
          <w:lang w:eastAsia="en-US"/>
        </w:rPr>
        <w:t>Recuperação Socioambiental da Serra do Mar</w:t>
      </w:r>
      <w:r>
        <w:rPr>
          <w:rFonts w:eastAsia="Calibri"/>
          <w:lang w:eastAsia="en-US"/>
        </w:rPr>
        <w:t xml:space="preserve"> - O Programa é um conjunto de intervenções no Parque Estadual da Serra do Mar - PESM, Estação Ecológica Juréia-Itatins e no Mosaico de Ilhas e Áreas Marinhas Protegidas do Estado de São Paulo, que tem por objetivo a conservação, o uso sustentável e a recuperação socioambiental em sua área de abrangência.</w:t>
      </w:r>
    </w:p>
    <w:p w:rsidR="003E6588" w:rsidRDefault="003E6588">
      <w:pPr>
        <w:tabs>
          <w:tab w:val="left" w:pos="8504"/>
        </w:tabs>
        <w:ind w:firstLine="1134"/>
        <w:jc w:val="both"/>
        <w:rPr>
          <w:rFonts w:eastAsia="Calibri"/>
          <w:lang w:eastAsia="en-US"/>
        </w:rPr>
      </w:pPr>
    </w:p>
    <w:p w:rsidR="003E6588" w:rsidRDefault="003E6588">
      <w:pPr>
        <w:tabs>
          <w:tab w:val="left" w:pos="8504"/>
        </w:tabs>
        <w:ind w:firstLine="1134"/>
        <w:jc w:val="both"/>
        <w:rPr>
          <w:rFonts w:eastAsia="Calibri"/>
          <w:lang w:eastAsia="en-US"/>
        </w:rPr>
      </w:pPr>
      <w:r>
        <w:rPr>
          <w:rFonts w:eastAsia="Calibri"/>
          <w:lang w:eastAsia="en-US"/>
        </w:rPr>
        <w:t xml:space="preserve">As ações ambientais desenvolvidas focaram a instrumentalização das Unidades de Conservação e da Polícia Militar Ambiental, de forma a dotá-las dos meios necessários à melhoria das ações de fiscalização e proteção do patrimônio natural. Obras PESM: das 11 obras contratadas para o PESM, registramos a conclusão, de 3 edificações, sendo 1 Centro de Visitantes, 1 Base de Proteção e 1 Guarita no Núcleo Itutinga-Pilões (Jardim Melvi, no Município de Praia Grande), totalizando 11 obras concluídas pelo programa. Além destas, foram concluídos os projetos executivos para a contratação de 3 obras no Núcleo Caraguatatuba (Estrada do Rio Claro); Mosaico Juréia-Itatins: em fase final os serviços de reforma do Alojamento e Base de Proteção, bem como da construção do Centro de Educação Ambiental do Núcleo Arpoador do P.E. Itinguçu e a conclusão do Projeto Executivo de </w:t>
      </w:r>
      <w:r>
        <w:rPr>
          <w:rFonts w:eastAsia="Calibri"/>
          <w:lang w:eastAsia="en-US"/>
        </w:rPr>
        <w:lastRenderedPageBreak/>
        <w:t>adequação e perenização de estradas do Mosaico Juréia-Itatins; Mosaico de Ilhas e Áreas Marinhas Protegidas: a conclusão da Base de Proteção e Guarita no P.E. Xixová-Japuí; Policia Militar Ambiental: contratadas as obras do Centro de Treinamento do Comando de Policiamento Ambiental e da Sede do 1º Batalhão de Policia Ambiental e dos respectivos serviços de gerenciamento. No que concerne a Capacitação, destacam-se: no âmbito do Componente 1 - Proteção de Unidades de Conservação, a capacitação de gestores e técnicos envolvidos diretamente na gestão das Unidades de Conservação, bem como da produção do “Manual de Gestão das Unidades de Conservação do Estado de São Paulo”; com relação à Polícia Militar Ambiental, a implementação do Programa Espiral Sustentável, levando educação ambiental a estudantes de todo território paulista; a execução dos trabalhos de recuperação ambiental das áreas liberadas pelo reassentamento de famílias nos bairros cota, da elaboração dos Planos de Manejo de APA´s Marinhas do Litoral Norte, Centro e Sul e da APA da Ilha Comprida. A manutenção de 46 postos de vigilância patrimonial e de 23 postos de monitores ambientais, contratos de abastecimento e manutenção de veículos e embarcações, geradores, equipamentos de proteção individual, suprimentos de informática, material de escritório, limpeza, serviços de conservação e manutenção predial.</w:t>
      </w:r>
    </w:p>
    <w:p w:rsidR="003E6588" w:rsidRPr="00184DCE" w:rsidRDefault="003E6588">
      <w:pPr>
        <w:ind w:firstLine="1134"/>
        <w:jc w:val="both"/>
        <w:rPr>
          <w:u w:val="single"/>
        </w:rPr>
      </w:pPr>
    </w:p>
    <w:p w:rsidR="003E6588" w:rsidRPr="00184DCE" w:rsidRDefault="003E6588">
      <w:pPr>
        <w:ind w:firstLine="1134"/>
        <w:jc w:val="both"/>
        <w:rPr>
          <w:u w:val="single"/>
        </w:rPr>
      </w:pPr>
    </w:p>
    <w:p w:rsidR="003E6588" w:rsidRDefault="003E6588">
      <w:pPr>
        <w:rPr>
          <w:b/>
          <w:u w:val="single"/>
        </w:rPr>
      </w:pPr>
      <w:r>
        <w:rPr>
          <w:b/>
        </w:rPr>
        <w:t>COMPANHIA AMBIENTAL DO ESTADO DE SÃO PAULO</w:t>
      </w:r>
      <w:r w:rsidR="00C05AF3" w:rsidRPr="00C05AF3">
        <w:rPr>
          <w:b/>
        </w:rPr>
        <w:t xml:space="preserve"> </w:t>
      </w:r>
      <w:r w:rsidR="00C05AF3">
        <w:rPr>
          <w:b/>
        </w:rPr>
        <w:t>- CETESB</w:t>
      </w:r>
    </w:p>
    <w:p w:rsidR="003E6588" w:rsidRPr="00184DCE" w:rsidRDefault="003E6588" w:rsidP="00184DCE">
      <w:pPr>
        <w:pStyle w:val="Corpodetexto"/>
        <w:ind w:firstLine="1134"/>
        <w:jc w:val="both"/>
        <w:rPr>
          <w:b w:val="0"/>
          <w:strike/>
          <w:szCs w:val="24"/>
        </w:rPr>
      </w:pPr>
    </w:p>
    <w:p w:rsidR="003E6588" w:rsidRPr="00184DCE" w:rsidRDefault="003E6588" w:rsidP="00184DCE">
      <w:pPr>
        <w:pStyle w:val="Corpodetexto"/>
        <w:ind w:firstLine="1134"/>
        <w:jc w:val="both"/>
        <w:rPr>
          <w:b w:val="0"/>
          <w:strike/>
          <w:szCs w:val="24"/>
        </w:rPr>
      </w:pPr>
    </w:p>
    <w:p w:rsidR="003E6588" w:rsidRDefault="003E6588">
      <w:pPr>
        <w:keepNext/>
        <w:autoSpaceDE w:val="0"/>
        <w:autoSpaceDN w:val="0"/>
        <w:adjustRightInd w:val="0"/>
        <w:ind w:firstLine="1134"/>
        <w:jc w:val="both"/>
      </w:pPr>
      <w:r>
        <w:rPr>
          <w:b/>
          <w:bCs/>
        </w:rPr>
        <w:t xml:space="preserve">Resíduos Sólidos Domiciliares - </w:t>
      </w:r>
      <w:r>
        <w:t>A CETESB manteve suas ações de controle em relação à disposição dos resíduos sólidos domiciliares, principalmente nos Municípios com o Índice de Qualidade de Resíduos no Estado de São Paulo - IQR menor que 7,0, com a intensificação das ações de orientação aos gestores municipais e aplicação de sanções, quando necessário, sendo realizadas 1.250 inspeções e aplicadas 237 penalidades. Ocorreu a interdição de aterro. Encontra-se em elaboração o Inventário Estadual de Resíduos Sólidos Urbanos 2014.</w:t>
      </w:r>
    </w:p>
    <w:p w:rsidR="003E6588" w:rsidRDefault="003E6588">
      <w:pPr>
        <w:keepNext/>
        <w:autoSpaceDE w:val="0"/>
        <w:autoSpaceDN w:val="0"/>
        <w:adjustRightInd w:val="0"/>
        <w:ind w:firstLine="1134"/>
        <w:jc w:val="both"/>
      </w:pPr>
    </w:p>
    <w:p w:rsidR="003E6588" w:rsidRDefault="003E6588">
      <w:pPr>
        <w:keepNext/>
        <w:autoSpaceDE w:val="0"/>
        <w:autoSpaceDN w:val="0"/>
        <w:adjustRightInd w:val="0"/>
        <w:ind w:firstLine="1134"/>
        <w:jc w:val="both"/>
      </w:pPr>
      <w:r>
        <w:rPr>
          <w:b/>
          <w:bCs/>
        </w:rPr>
        <w:t xml:space="preserve">Esgoto Doméstico - </w:t>
      </w:r>
      <w:r>
        <w:t>A CETESB realizou o acompanhamento e vistorias aos sistemas públicos de esgotos em operação ou em implantação, mediante a utulização do Indicador de Coleta e Tratabilidade de Esgoto do Município - ICTEM.</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As ações de controle de poluição, incluindo licenciamento e fiscalização ambiental, contribuíram para ampliação do tratamento de esgoto doméstico no Estado. O número de municípios sem tratamento caiu para 66 e o ICTEM subiu para 6,04. Foram realizadas 1.032 inspeções a sistemas de tratamento de esgotos, aplicadas 148 advertências e 41 multas.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Foram emitidas 25.414 licenças ambientais, 4.418 autorizações para supressão da vegetação nativa, corte de árvore isolada ou intervenção em área de preservação permanente, 425 alvarás para empreendimentos em área de proteção aos mananciais, 1.535 Certificados de Dispensa de Licenciamento e 2.968 Pareceres Técnicos. Além disso, foram indeferidas e arquivadas 2.855 solicitações de Licença. Foram firmados 2.848 Termos de Compromissos de Recuperação Ambiental e 38 Termos de Compromissos de Instituição de Recomposição ou de Compensação da Reserva Legal, averbadas 649 Reserva Legal.</w:t>
      </w:r>
    </w:p>
    <w:p w:rsidR="003E6588" w:rsidRDefault="003E6588">
      <w:pPr>
        <w:autoSpaceDE w:val="0"/>
        <w:autoSpaceDN w:val="0"/>
        <w:adjustRightInd w:val="0"/>
        <w:ind w:firstLine="1134"/>
        <w:jc w:val="both"/>
      </w:pPr>
      <w:r>
        <w:lastRenderedPageBreak/>
        <w:t>Com a adoção do Sistema de Licenciamento Simplificado - SILIS, atualmente incorporado ao Portal de Licenciamento Ambiental, o tempo para o licenciamento de empreendimentos de baixo potencial poluidor foi reduzido de 90 para 15 dias, em média. 3.159 licenças ambientais, por esta sistemática simplificada de licenciamento.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bCs/>
        </w:rPr>
        <w:t xml:space="preserve">Emissões Veiculares (Fumaça Preta) - </w:t>
      </w:r>
      <w:r>
        <w:t>Foram lavradas e contabilizadas 19.463 multas por emissão de fumaça preta.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bCs/>
        </w:rPr>
        <w:t xml:space="preserve">Fiscalização de Fontes Fixas e Recursos Naturais - </w:t>
      </w:r>
      <w:r>
        <w:t>Foram registradas 54.192 inspeções técnicas, com a lavratura de 7.004 Autos de Advertências, 2.594 Autos de Penalidade de Multas, 147 Autos de Embargo e 12 Autos de Interdição, sendo 3 em postos de combustíveis, 1 em aterro sanitário e 8 em indústrias.</w:t>
      </w:r>
    </w:p>
    <w:p w:rsidR="003E6588" w:rsidRDefault="003E6588">
      <w:pPr>
        <w:autoSpaceDE w:val="0"/>
        <w:autoSpaceDN w:val="0"/>
        <w:adjustRightInd w:val="0"/>
        <w:ind w:firstLine="1134"/>
        <w:jc w:val="both"/>
      </w:pPr>
    </w:p>
    <w:p w:rsidR="003E6588" w:rsidRDefault="003E6588" w:rsidP="00184DCE">
      <w:pPr>
        <w:ind w:firstLine="1134"/>
        <w:jc w:val="both"/>
        <w:rPr>
          <w:b/>
          <w:bCs/>
        </w:rPr>
      </w:pPr>
      <w:r>
        <w:rPr>
          <w:b/>
          <w:bCs/>
        </w:rPr>
        <w:t xml:space="preserve">Atendimento às Emergências Químicas - </w:t>
      </w:r>
      <w:r>
        <w:t>O Setor de Atendimento a Emergência atendeu 343 ocorrências, sendo 58,6% no transporte rodoviário, 4,1% por descarte de resíduos, 8,5% em indústrias, 2,3% em postos de combustíveis, 1,2% no transporte ferroviário, 6,1% no transporte por dutos e 2,9% no armazenamento</w:t>
      </w:r>
      <w:r>
        <w:rPr>
          <w:b/>
          <w:bCs/>
        </w:rPr>
        <w:t>.</w:t>
      </w:r>
    </w:p>
    <w:p w:rsidR="00184DCE" w:rsidRPr="00184DCE" w:rsidRDefault="00184DCE" w:rsidP="00184DCE">
      <w:pPr>
        <w:ind w:firstLine="1134"/>
        <w:jc w:val="both"/>
        <w:rPr>
          <w:u w:val="single"/>
        </w:rPr>
      </w:pPr>
    </w:p>
    <w:p w:rsidR="003E6588" w:rsidRDefault="003E6588" w:rsidP="00184DCE">
      <w:pPr>
        <w:pStyle w:val="Ttulo20"/>
        <w:spacing w:before="0" w:after="0"/>
        <w:ind w:firstLine="1134"/>
        <w:jc w:val="both"/>
        <w:rPr>
          <w:rFonts w:ascii="Times New Roman" w:hAnsi="Times New Roman"/>
          <w:i w:val="0"/>
          <w:sz w:val="24"/>
          <w:szCs w:val="24"/>
          <w:lang w:val="pt-BR"/>
        </w:rPr>
      </w:pPr>
      <w:r>
        <w:rPr>
          <w:rFonts w:ascii="Times New Roman" w:hAnsi="Times New Roman"/>
          <w:i w:val="0"/>
          <w:sz w:val="24"/>
          <w:szCs w:val="24"/>
          <w:lang w:val="pt-BR"/>
        </w:rPr>
        <w:t>Diretoria de Avaliação de Impacto Ambiental</w:t>
      </w:r>
    </w:p>
    <w:p w:rsidR="003E6588" w:rsidRDefault="003E6588" w:rsidP="00184DCE">
      <w:pPr>
        <w:jc w:val="both"/>
        <w:rPr>
          <w:lang w:eastAsia="en-US"/>
        </w:rPr>
      </w:pPr>
    </w:p>
    <w:p w:rsidR="003E6588" w:rsidRDefault="003E6588" w:rsidP="00184DCE">
      <w:pPr>
        <w:ind w:firstLine="1134"/>
        <w:jc w:val="both"/>
      </w:pPr>
      <w:r>
        <w:rPr>
          <w:b/>
        </w:rPr>
        <w:t xml:space="preserve">Licenciamentos sujeitos à Avaliação de Impacto Ambiental - AIA - </w:t>
      </w:r>
      <w:r>
        <w:t>O passivo de licenças manteve-se estável. Foram emitidas 268 licenças para empreendimentos sujeitos à AIA, conforme a Resolução CONAMA nº 001/1986, sendo 44% licenças prévias - LP, 28% licenças de instalação - LI e 28% licenças de operação - LO, representando a viabilização de investimentos no Estado em torno de R$ 13 bilhões, dados declarados nos estudos apresentados por ocasião das solicitações das licenças prévias.</w:t>
      </w:r>
    </w:p>
    <w:p w:rsidR="003E6588" w:rsidRDefault="003E6588">
      <w:pPr>
        <w:ind w:firstLine="1134"/>
        <w:jc w:val="both"/>
        <w:rPr>
          <w:b/>
        </w:rPr>
      </w:pPr>
    </w:p>
    <w:p w:rsidR="003E6588" w:rsidRDefault="003E6588">
      <w:pPr>
        <w:ind w:firstLine="1134"/>
        <w:jc w:val="both"/>
      </w:pPr>
      <w:r>
        <w:rPr>
          <w:b/>
        </w:rPr>
        <w:t xml:space="preserve">Compensação ambiental - </w:t>
      </w:r>
      <w:r>
        <w:t>A emissão das licenças supracitadas representa aporte financeiro de 68 milhões de reais para as unidades de conservação, em conformidade com a Lei nº 9.985/2000, diminuindo a pressão sobre o Tesouro do Estado com relação aos custos da manutenção destas unidades. A aplicação desses recursos é gerida pela Câmara de Compensação Ambiental da SMA.</w:t>
      </w:r>
    </w:p>
    <w:p w:rsidR="003E6588" w:rsidRDefault="003E6588">
      <w:pPr>
        <w:ind w:firstLine="1134"/>
        <w:jc w:val="both"/>
      </w:pPr>
    </w:p>
    <w:p w:rsidR="003E6588" w:rsidRDefault="003E6588">
      <w:pPr>
        <w:ind w:firstLine="1134"/>
        <w:jc w:val="both"/>
      </w:pPr>
      <w:r>
        <w:rPr>
          <w:b/>
        </w:rPr>
        <w:t xml:space="preserve">Autorizações de supressão vegetal e intervenções em APP - </w:t>
      </w:r>
      <w:r>
        <w:t>Foram emitidas 92 autorizações. Foram autorizados 708 ha de supressão, obtendo como contrapartida 2.190 ha de áreas a serem recuperadas, já compromissadas em TCRAs, com 3 milhões de indivíduos arbóreos a serem plantados.</w:t>
      </w:r>
    </w:p>
    <w:p w:rsidR="003E6588" w:rsidRDefault="003E6588">
      <w:pPr>
        <w:ind w:firstLine="1134"/>
        <w:jc w:val="both"/>
      </w:pPr>
    </w:p>
    <w:p w:rsidR="003E6588" w:rsidRDefault="003E6588">
      <w:pPr>
        <w:ind w:firstLine="1134"/>
        <w:jc w:val="both"/>
        <w:rPr>
          <w:kern w:val="24"/>
        </w:rPr>
      </w:pPr>
      <w:r>
        <w:rPr>
          <w:b/>
        </w:rPr>
        <w:t xml:space="preserve">Projeto sala de cenários - </w:t>
      </w:r>
      <w:r>
        <w:rPr>
          <w:kern w:val="24"/>
        </w:rPr>
        <w:t xml:space="preserve">Em funcionamento o Geoportal “Sala de Cenários”, utilizando como plataformas o </w:t>
      </w:r>
      <w:r>
        <w:rPr>
          <w:i/>
          <w:kern w:val="24"/>
        </w:rPr>
        <w:t>Google Maps Engine</w:t>
      </w:r>
      <w:r>
        <w:rPr>
          <w:kern w:val="24"/>
        </w:rPr>
        <w:t xml:space="preserve"> e </w:t>
      </w:r>
      <w:r>
        <w:rPr>
          <w:i/>
          <w:kern w:val="24"/>
        </w:rPr>
        <w:t>Google Maps</w:t>
      </w:r>
      <w:r>
        <w:rPr>
          <w:kern w:val="24"/>
        </w:rPr>
        <w:t xml:space="preserve"> API for Business. O geoportal é acessado via </w:t>
      </w:r>
      <w:r>
        <w:rPr>
          <w:i/>
          <w:kern w:val="24"/>
        </w:rPr>
        <w:t>web</w:t>
      </w:r>
      <w:r>
        <w:rPr>
          <w:kern w:val="24"/>
        </w:rPr>
        <w:t>, e 80 usuários foram cadastrados.</w:t>
      </w:r>
    </w:p>
    <w:p w:rsidR="003E6588" w:rsidRDefault="003E6588">
      <w:pPr>
        <w:ind w:firstLine="1134"/>
        <w:jc w:val="both"/>
        <w:rPr>
          <w:b/>
        </w:rPr>
      </w:pPr>
    </w:p>
    <w:p w:rsidR="003E6588" w:rsidRDefault="003E6588">
      <w:pPr>
        <w:ind w:firstLine="1134"/>
        <w:jc w:val="both"/>
        <w:rPr>
          <w:b/>
        </w:rPr>
      </w:pPr>
      <w:r>
        <w:rPr>
          <w:b/>
        </w:rPr>
        <w:lastRenderedPageBreak/>
        <w:t xml:space="preserve">Elaboração de Manuais de Licenciamento Ambiental com AIA - </w:t>
      </w:r>
      <w:r>
        <w:t>Um dos requisitos para aprimoramento do licenciamento ambiental é o de transmitir aos interessados, especialmente os empreendedores e consultoria, regras claras sobre o licenciamento ambiental com AIA. Nesse sentido, foi elaborado o primeiro deles - Manual para Elaboração de Estudos Ambientais para o Licenciamento com AIA.</w:t>
      </w:r>
    </w:p>
    <w:p w:rsidR="003E6588" w:rsidRDefault="003E6588">
      <w:pPr>
        <w:ind w:firstLine="1134"/>
        <w:jc w:val="both"/>
      </w:pPr>
    </w:p>
    <w:p w:rsidR="003E6588" w:rsidRDefault="003E6588">
      <w:pPr>
        <w:ind w:firstLine="1134"/>
        <w:jc w:val="both"/>
      </w:pPr>
      <w:r>
        <w:rPr>
          <w:b/>
        </w:rPr>
        <w:t>Diretoria de Engenharia e Qualidade Ambiental</w:t>
      </w:r>
      <w:r>
        <w:t xml:space="preserve"> - Na condição de Agente técnico, foram emitidos 391 pareceres relativos à aprovação e acompanhamento da implantação de 222 empreendimentos financiados pelo FEHIDRO (116 pareceres de aprovação: R$ 47.140.578 e 275 pareceres de acompanhamento da execução: R$ 29.027.165).</w:t>
      </w:r>
    </w:p>
    <w:p w:rsidR="003E6588" w:rsidRDefault="003E6588">
      <w:pPr>
        <w:ind w:firstLine="1134"/>
        <w:jc w:val="both"/>
      </w:pPr>
    </w:p>
    <w:p w:rsidR="003E6588" w:rsidRDefault="003E6588">
      <w:pPr>
        <w:ind w:firstLine="1134"/>
        <w:jc w:val="both"/>
        <w:rPr>
          <w:lang w:eastAsia="en-US"/>
        </w:rPr>
      </w:pPr>
      <w:r>
        <w:rPr>
          <w:lang w:eastAsia="en-US"/>
        </w:rPr>
        <w:t>A CETESB obteve junto ao FEHIDRO recursos a fundo perdido no montante de R$ 7.202.546, que serão aplicados na ampliação da avaliação de qualidade das águas subterrâneas; em modelagem matemática de qualidade da água superficial; na avaliação da presença de contaminantes emergentes no sistema hídrico do ESP; na capacitação para integrantes do SIGRH e na avaliação de POPs e metais pesados na Bacia Hidrográfica do Alto Tietê.</w:t>
      </w:r>
    </w:p>
    <w:p w:rsidR="003E6588" w:rsidRDefault="003E6588">
      <w:pPr>
        <w:ind w:firstLine="1134"/>
        <w:jc w:val="both"/>
        <w:rPr>
          <w:lang w:eastAsia="en-US"/>
        </w:rPr>
      </w:pPr>
    </w:p>
    <w:p w:rsidR="003E6588" w:rsidRDefault="003E6588">
      <w:pPr>
        <w:ind w:firstLine="1134"/>
        <w:jc w:val="both"/>
        <w:rPr>
          <w:snapToGrid w:val="0"/>
        </w:rPr>
      </w:pPr>
      <w:r>
        <w:rPr>
          <w:b/>
        </w:rPr>
        <w:t>Emissões Veiculares -</w:t>
      </w:r>
      <w:r>
        <w:t xml:space="preserve"> Desenvolvimento da Operação Inverno. Ação intensificadora de fiscalização de emissão de fumaça por veículos diesel. Veículos fiscalizados: 157.129; veículos constatados com emissão acima do padrão: 4.724. Homologação de veículos novos: Foram emitidos 981 pareceres técnicos de homologação de veículos novos, em atendimento aos requisitos do PROCONVE e PROMOT, como parte das atividades da CETESB no âmbito do Termo de Cooperação Técnica com o IBAMA. O Plano de Controle da Poluição Veicular - PCPV 2014-2016 foi divulgado após aprovação pela Diretoria Plena da CETESB e apresentação ao CONSEMA. </w:t>
      </w:r>
      <w:r w:rsidRPr="00184DCE">
        <w:t>Avaliação da Qualidade do ar -</w:t>
      </w:r>
      <w:r>
        <w:t xml:space="preserve"> </w:t>
      </w:r>
      <w:r>
        <w:rPr>
          <w:snapToGrid w:val="0"/>
        </w:rPr>
        <w:t>A rede automática de monitoramento da qualidade do ar foi ampliada, com a instalação de 2 estações (São Bernardo do Campo - Centro e Santa Gertrudes), contando atualmente com 52 estações no Estado de São Paulo (27 na RMSP, 5 no Litoral e 20 no Interior).</w:t>
      </w:r>
    </w:p>
    <w:p w:rsidR="003E6588" w:rsidRDefault="003E6588">
      <w:pPr>
        <w:ind w:firstLine="1134"/>
        <w:jc w:val="both"/>
      </w:pPr>
    </w:p>
    <w:p w:rsidR="003E6588" w:rsidRDefault="003E6588">
      <w:pPr>
        <w:ind w:firstLine="1134"/>
        <w:jc w:val="both"/>
      </w:pPr>
      <w:r>
        <w:rPr>
          <w:b/>
        </w:rPr>
        <w:t>Qualidade dos recursos hídricos -</w:t>
      </w:r>
      <w:r>
        <w:t xml:space="preserve"> A CETESB gerenciou quatro redes de monitoramento:</w:t>
      </w:r>
    </w:p>
    <w:p w:rsidR="003E6588" w:rsidRDefault="003E6588">
      <w:pPr>
        <w:ind w:firstLine="1134"/>
        <w:jc w:val="both"/>
        <w:rPr>
          <w:b/>
        </w:rPr>
      </w:pPr>
    </w:p>
    <w:p w:rsidR="003E6588" w:rsidRDefault="003E6588">
      <w:pPr>
        <w:ind w:firstLine="1134"/>
        <w:jc w:val="both"/>
      </w:pPr>
      <w:r>
        <w:rPr>
          <w:b/>
        </w:rPr>
        <w:t>Águas Subterrâneas -</w:t>
      </w:r>
      <w:r>
        <w:t xml:space="preserve"> Com 272 pontos de amostragem distribuídos no Estado, além de 21 poços da rede integrada de qualidade e quantidade. Foram divulgados novos Valores Orientadores para Solo e Águas Subterrâneas no Estado; </w:t>
      </w:r>
      <w:r w:rsidRPr="00184DCE">
        <w:t>Águas Superficiais</w:t>
      </w:r>
      <w:r>
        <w:rPr>
          <w:b/>
        </w:rPr>
        <w:t xml:space="preserve"> -</w:t>
      </w:r>
      <w:r>
        <w:t xml:space="preserve"> com 470 pontos de amostragem distribuídos pelos principais rios, reservatórios, estuários e Oceano Atlântico. </w:t>
      </w:r>
      <w:r w:rsidRPr="00184DCE">
        <w:t>Praias do Litoral</w:t>
      </w:r>
      <w:r>
        <w:rPr>
          <w:b/>
        </w:rPr>
        <w:t xml:space="preserve"> -</w:t>
      </w:r>
      <w:r>
        <w:t xml:space="preserve"> com 165 pontos situados em 149 praias dos 15 municípios que constituem a costa do litoral paulista </w:t>
      </w:r>
      <w:r w:rsidRPr="00184DCE">
        <w:t>e Rede</w:t>
      </w:r>
      <w:r>
        <w:rPr>
          <w:b/>
        </w:rPr>
        <w:t xml:space="preserve"> </w:t>
      </w:r>
      <w:r w:rsidRPr="00184DCE">
        <w:t xml:space="preserve">Automática </w:t>
      </w:r>
      <w:r>
        <w:t>- com 12 estações de monitoramento automático da qualidade das águas superficiais, distribuídas ao longo do Rio Tietê e dos principais mananciais de abastecimento público da Região Metropolitana de São Paulo. Foi iniciada a operação da estação automática de monitoramento em Santa Branca.</w:t>
      </w:r>
    </w:p>
    <w:p w:rsidR="003E6588" w:rsidRDefault="003E6588">
      <w:pPr>
        <w:ind w:firstLine="1134"/>
        <w:jc w:val="both"/>
      </w:pPr>
    </w:p>
    <w:p w:rsidR="003E6588" w:rsidRDefault="003E6588">
      <w:pPr>
        <w:pStyle w:val="Ttulo20"/>
        <w:spacing w:before="0" w:after="0"/>
        <w:ind w:firstLine="1134"/>
        <w:jc w:val="both"/>
        <w:rPr>
          <w:rFonts w:ascii="Times New Roman" w:hAnsi="Times New Roman"/>
          <w:b w:val="0"/>
          <w:i w:val="0"/>
          <w:sz w:val="24"/>
          <w:szCs w:val="24"/>
          <w:lang w:val="pt-BR"/>
        </w:rPr>
      </w:pPr>
      <w:r>
        <w:rPr>
          <w:rFonts w:ascii="Times New Roman" w:hAnsi="Times New Roman"/>
          <w:i w:val="0"/>
          <w:sz w:val="24"/>
          <w:szCs w:val="24"/>
          <w:lang w:val="pt-BR"/>
        </w:rPr>
        <w:t>Análises Ambientais -</w:t>
      </w:r>
      <w:r>
        <w:rPr>
          <w:rFonts w:ascii="Times New Roman" w:hAnsi="Times New Roman"/>
          <w:b w:val="0"/>
          <w:i w:val="0"/>
          <w:sz w:val="24"/>
          <w:szCs w:val="24"/>
          <w:lang w:val="pt-BR"/>
        </w:rPr>
        <w:t xml:space="preserve"> Modernização da infraestrutura e do parque de equipamentos de vários Laboratórios da Sede e Descentralizados, com consequente ampliação da capacidade de </w:t>
      </w:r>
      <w:r>
        <w:rPr>
          <w:rFonts w:ascii="Times New Roman" w:hAnsi="Times New Roman"/>
          <w:b w:val="0"/>
          <w:i w:val="0"/>
          <w:sz w:val="24"/>
          <w:szCs w:val="24"/>
          <w:lang w:val="pt-BR"/>
        </w:rPr>
        <w:lastRenderedPageBreak/>
        <w:t>diagnóstico da qualidade ambiental e fiscalização, atingindo 375.000 análises laboratoriais e 23,5 milhões de informações coletadas nas estações automáticas (5.733.000 - ar e 17.718.000 - águas)</w:t>
      </w:r>
      <w:r>
        <w:rPr>
          <w:rFonts w:ascii="Times New Roman" w:hAnsi="Times New Roman"/>
          <w:b w:val="0"/>
          <w:i w:val="0"/>
          <w:strike/>
          <w:sz w:val="24"/>
          <w:szCs w:val="24"/>
          <w:lang w:val="pt-BR"/>
        </w:rPr>
        <w:t>.</w:t>
      </w:r>
    </w:p>
    <w:p w:rsidR="003E6588" w:rsidRDefault="003E6588" w:rsidP="00C05AF3">
      <w:pPr>
        <w:jc w:val="both"/>
        <w:rPr>
          <w:lang w:eastAsia="en-US"/>
        </w:rPr>
      </w:pPr>
    </w:p>
    <w:p w:rsidR="003E6588" w:rsidRDefault="003E6588">
      <w:pPr>
        <w:ind w:firstLine="1134"/>
        <w:jc w:val="both"/>
      </w:pPr>
      <w:r>
        <w:rPr>
          <w:b/>
        </w:rPr>
        <w:t>Elaboração e publicação dos relatórios de qualidade ambiental, de manuais e protocolos -</w:t>
      </w:r>
      <w:r>
        <w:t xml:space="preserve"> Qualidade do Ar, das Águas Superficiais e das Águas Litorâneas; Atlas de Cianobactérias da Bacia do Alto Tietê.</w:t>
      </w:r>
    </w:p>
    <w:p w:rsidR="003E6588" w:rsidRDefault="003E6588">
      <w:pPr>
        <w:ind w:firstLine="1134"/>
        <w:jc w:val="both"/>
      </w:pPr>
    </w:p>
    <w:p w:rsidR="003E6588" w:rsidRDefault="003E6588">
      <w:pPr>
        <w:ind w:firstLine="1134"/>
        <w:jc w:val="both"/>
      </w:pPr>
      <w:r>
        <w:rPr>
          <w:b/>
        </w:rPr>
        <w:t>Capacitação e Formação Profissional Continuada -</w:t>
      </w:r>
      <w:r>
        <w:t xml:space="preserve"> Foram organizados 144 cursos e eventos de capacitação para 3.798 participantes, incluindo 2.441 participações de funcionários da CETESB e 1.357 do público externo.</w:t>
      </w:r>
    </w:p>
    <w:p w:rsidR="003E6588" w:rsidRDefault="003E6588">
      <w:pPr>
        <w:ind w:firstLine="1134"/>
        <w:jc w:val="both"/>
        <w:rPr>
          <w:b/>
        </w:rPr>
      </w:pPr>
    </w:p>
    <w:p w:rsidR="003E6588" w:rsidRDefault="003E6588">
      <w:pPr>
        <w:ind w:firstLine="1134"/>
        <w:jc w:val="both"/>
        <w:rPr>
          <w:snapToGrid w:val="0"/>
        </w:rPr>
      </w:pPr>
      <w:r>
        <w:rPr>
          <w:b/>
        </w:rPr>
        <w:t xml:space="preserve">Diretoria de Gestão Corporativa - </w:t>
      </w:r>
      <w:r>
        <w:rPr>
          <w:snapToGrid w:val="0"/>
        </w:rPr>
        <w:t>A Diretoria de Gestão Corporativa administra Políticas de Recursos Financeiros, de Orçamento, de Recursos Humanos e de Suprimentos; administra a Política Comercial da Companhia; gerencia e implementa a Política de Tecnologia da Informação da Companhia.</w:t>
      </w:r>
    </w:p>
    <w:p w:rsidR="003E6588" w:rsidRDefault="003E6588">
      <w:pPr>
        <w:ind w:firstLine="1134"/>
        <w:jc w:val="both"/>
      </w:pPr>
    </w:p>
    <w:p w:rsidR="003E6588" w:rsidRDefault="003E6588" w:rsidP="00C05AF3">
      <w:pPr>
        <w:pStyle w:val="Ttulo20"/>
        <w:spacing w:before="0" w:after="0"/>
        <w:ind w:firstLine="1134"/>
        <w:jc w:val="both"/>
        <w:rPr>
          <w:rFonts w:ascii="Times New Roman" w:hAnsi="Times New Roman"/>
          <w:i w:val="0"/>
          <w:strike/>
          <w:snapToGrid w:val="0"/>
          <w:sz w:val="24"/>
          <w:szCs w:val="24"/>
          <w:lang w:val="pt-BR"/>
        </w:rPr>
      </w:pPr>
      <w:r>
        <w:rPr>
          <w:rFonts w:ascii="Times New Roman" w:hAnsi="Times New Roman"/>
          <w:i w:val="0"/>
          <w:snapToGrid w:val="0"/>
          <w:sz w:val="24"/>
          <w:szCs w:val="24"/>
          <w:lang w:val="pt-BR"/>
        </w:rPr>
        <w:t>Ações desencadeadas ou continuadas</w:t>
      </w:r>
    </w:p>
    <w:p w:rsidR="003E6588" w:rsidRDefault="003E6588">
      <w:pPr>
        <w:rPr>
          <w:lang w:eastAsia="en-US"/>
        </w:rPr>
      </w:pPr>
    </w:p>
    <w:p w:rsidR="003E6588" w:rsidRDefault="003E6588">
      <w:pPr>
        <w:ind w:firstLine="1134"/>
        <w:jc w:val="both"/>
      </w:pPr>
      <w:r>
        <w:t>Adequação do Laboratório da Agência Ambiental de Limeira (ampliação do prédio para incorporação do laboratório de solos) - Em execução, com custo estimado de R$</w:t>
      </w:r>
      <w:r w:rsidR="00184DCE">
        <w:t xml:space="preserve"> 495 mil.</w:t>
      </w:r>
    </w:p>
    <w:p w:rsidR="003E6588" w:rsidRDefault="003E6588">
      <w:pPr>
        <w:ind w:firstLine="1134"/>
        <w:jc w:val="both"/>
        <w:rPr>
          <w:lang w:eastAsia="en-US"/>
        </w:rPr>
      </w:pPr>
    </w:p>
    <w:p w:rsidR="003E6588" w:rsidRDefault="003E6588">
      <w:pPr>
        <w:ind w:firstLine="1134"/>
        <w:jc w:val="both"/>
      </w:pPr>
      <w:r>
        <w:t>Construção em imóvel próprio para as Agências Ambientais ABC I e II - Concluído, com a</w:t>
      </w:r>
      <w:r w:rsidR="00184DCE">
        <w:t xml:space="preserve"> economia de R$ 270 mil por ano.</w:t>
      </w:r>
    </w:p>
    <w:p w:rsidR="003E6588" w:rsidRDefault="003E6588">
      <w:pPr>
        <w:ind w:firstLine="1134"/>
        <w:jc w:val="both"/>
      </w:pPr>
    </w:p>
    <w:p w:rsidR="003E6588" w:rsidRDefault="003E658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5103"/>
          <w:tab w:val="left" w:pos="5670"/>
          <w:tab w:val="left" w:pos="6237"/>
        </w:tabs>
        <w:autoSpaceDE w:val="0"/>
        <w:autoSpaceDN w:val="0"/>
        <w:adjustRightInd w:val="0"/>
        <w:ind w:firstLine="1134"/>
        <w:jc w:val="both"/>
      </w:pPr>
      <w:r>
        <w:t>Transferência da Agência de Osasco para prédio da Fazenda do Estado, com extinção de contrato de locação - Concluído, co</w:t>
      </w:r>
      <w:r w:rsidR="00184DCE">
        <w:t>m economia de R$ 80 mil por ano.</w:t>
      </w:r>
    </w:p>
    <w:p w:rsidR="003E6588" w:rsidRDefault="003E658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5103"/>
          <w:tab w:val="left" w:pos="5670"/>
          <w:tab w:val="left" w:pos="6237"/>
        </w:tabs>
        <w:autoSpaceDE w:val="0"/>
        <w:autoSpaceDN w:val="0"/>
        <w:adjustRightInd w:val="0"/>
        <w:ind w:firstLine="1134"/>
        <w:jc w:val="both"/>
      </w:pPr>
    </w:p>
    <w:p w:rsidR="003E6588" w:rsidRDefault="003E6588">
      <w:pPr>
        <w:ind w:firstLine="1134"/>
        <w:jc w:val="both"/>
      </w:pPr>
      <w:r>
        <w:t>Transferência da Agência de Barretos para prédio locado pela Prefeitura Municipal de Barretos, com extinção de contrato de locação - Concluído</w:t>
      </w:r>
      <w:r>
        <w:rPr>
          <w:color w:val="FF0000"/>
        </w:rPr>
        <w:t>,</w:t>
      </w:r>
      <w:r w:rsidR="00184DCE">
        <w:t xml:space="preserve"> com economia de R$ 60mil/ano.</w:t>
      </w:r>
    </w:p>
    <w:p w:rsidR="003E6588" w:rsidRDefault="003E6588">
      <w:pPr>
        <w:ind w:firstLine="1134"/>
        <w:jc w:val="both"/>
      </w:pPr>
    </w:p>
    <w:p w:rsidR="003E6588" w:rsidRDefault="003E6588">
      <w:pPr>
        <w:ind w:firstLine="1134"/>
        <w:jc w:val="both"/>
      </w:pPr>
      <w:r>
        <w:t>Entrega de 166 veículos novos, com modelos adaptados às demandas da CETESB, em substituição à frota desativada, sem onerar recursos financeiros da CETESB (recursos de com</w:t>
      </w:r>
      <w:r w:rsidR="00184DCE">
        <w:t>pensação ambiental e de leilão).</w:t>
      </w:r>
    </w:p>
    <w:p w:rsidR="003E6588" w:rsidRDefault="003E6588">
      <w:pPr>
        <w:ind w:firstLine="1134"/>
        <w:jc w:val="both"/>
      </w:pPr>
    </w:p>
    <w:p w:rsidR="003E6588" w:rsidRDefault="003E6588">
      <w:pPr>
        <w:ind w:firstLine="1134"/>
        <w:jc w:val="both"/>
      </w:pPr>
      <w:r>
        <w:t>Construção do novo Laboratório de Biologia Molecular com recursos</w:t>
      </w:r>
      <w:r w:rsidR="00184DCE">
        <w:t xml:space="preserve"> do FINEP - custo de R$ 500 mil.</w:t>
      </w:r>
    </w:p>
    <w:p w:rsidR="003E6588" w:rsidRDefault="003E6588">
      <w:pPr>
        <w:ind w:firstLine="1134"/>
        <w:jc w:val="both"/>
      </w:pPr>
    </w:p>
    <w:p w:rsidR="003E6588" w:rsidRDefault="003E6588">
      <w:pPr>
        <w:ind w:firstLine="1134"/>
        <w:jc w:val="both"/>
      </w:pPr>
      <w:r>
        <w:t>Reforma geral do Laboratório de Química Orgânica, da década de 1970, com recursos de compensação a</w:t>
      </w:r>
      <w:r w:rsidR="00184DCE">
        <w:t>mbiental - custo R$ 2,4 milhões.</w:t>
      </w:r>
    </w:p>
    <w:p w:rsidR="003E6588" w:rsidRDefault="003E6588">
      <w:pPr>
        <w:ind w:firstLine="1134"/>
        <w:jc w:val="both"/>
      </w:pPr>
    </w:p>
    <w:p w:rsidR="003E6588" w:rsidRDefault="003E6588">
      <w:pPr>
        <w:ind w:firstLine="1134"/>
        <w:jc w:val="both"/>
      </w:pPr>
      <w:r>
        <w:t>Reforma das instalações da Agência Ambiental e do Laboratório d</w:t>
      </w:r>
      <w:r w:rsidR="00184DCE">
        <w:t>e Taubaté - custo de R$ 300 mil.</w:t>
      </w:r>
    </w:p>
    <w:p w:rsidR="003E6588" w:rsidRDefault="003E6588">
      <w:pPr>
        <w:ind w:firstLine="1134"/>
        <w:jc w:val="both"/>
      </w:pPr>
    </w:p>
    <w:p w:rsidR="003E6588" w:rsidRDefault="003E6588">
      <w:pPr>
        <w:ind w:firstLine="1134"/>
        <w:jc w:val="both"/>
      </w:pPr>
      <w:r>
        <w:lastRenderedPageBreak/>
        <w:t>Reforma geral das instalações da Agência de São Carlos em prédio cedido pela Secretaria da Agricultura - Em execução</w:t>
      </w:r>
      <w:r w:rsidR="00184DCE">
        <w:t xml:space="preserve"> - custo estimado de R$ 600 mil.</w:t>
      </w:r>
    </w:p>
    <w:p w:rsidR="003E6588" w:rsidRDefault="003E6588">
      <w:pPr>
        <w:ind w:firstLine="1134"/>
        <w:jc w:val="both"/>
      </w:pPr>
    </w:p>
    <w:p w:rsidR="003E6588" w:rsidRDefault="003E6588">
      <w:pPr>
        <w:ind w:firstLine="1134"/>
        <w:jc w:val="both"/>
      </w:pPr>
      <w:r>
        <w:t>Implantado o Portal de Licenciamento para as regiões do Estado, realizado com as Diretorias de Licenciamento, para facilitar a execução das atividades de licenciamento e acesso público.</w:t>
      </w:r>
    </w:p>
    <w:p w:rsidR="003E6588" w:rsidRDefault="003E6588">
      <w:pPr>
        <w:tabs>
          <w:tab w:val="left" w:pos="1134"/>
        </w:tabs>
        <w:ind w:firstLine="1134"/>
        <w:jc w:val="both"/>
        <w:rPr>
          <w:b/>
        </w:rPr>
      </w:pPr>
    </w:p>
    <w:p w:rsidR="003E6588" w:rsidRDefault="003E6588">
      <w:pPr>
        <w:tabs>
          <w:tab w:val="left" w:pos="1134"/>
        </w:tabs>
        <w:ind w:firstLine="1134"/>
        <w:jc w:val="both"/>
        <w:rPr>
          <w:b/>
        </w:rPr>
      </w:pPr>
      <w:r>
        <w:rPr>
          <w:b/>
        </w:rPr>
        <w:t>Departamento de Desenvolvimento Institucional e Estratégico</w:t>
      </w:r>
    </w:p>
    <w:p w:rsidR="003E6588" w:rsidRDefault="003E6588">
      <w:pPr>
        <w:ind w:firstLine="1134"/>
        <w:jc w:val="both"/>
        <w:rPr>
          <w:b/>
        </w:rPr>
      </w:pPr>
    </w:p>
    <w:p w:rsidR="003E6588" w:rsidRDefault="003E6588">
      <w:pPr>
        <w:ind w:firstLine="1134"/>
        <w:jc w:val="both"/>
        <w:rPr>
          <w:b/>
        </w:rPr>
      </w:pPr>
      <w:r>
        <w:rPr>
          <w:b/>
        </w:rPr>
        <w:t>Ações desenvolvidas</w:t>
      </w:r>
    </w:p>
    <w:p w:rsidR="003E6588" w:rsidRDefault="003E6588">
      <w:pPr>
        <w:ind w:firstLine="1134"/>
        <w:jc w:val="both"/>
        <w:rPr>
          <w:b/>
        </w:rPr>
      </w:pPr>
    </w:p>
    <w:p w:rsidR="003E6588" w:rsidRDefault="003E6588">
      <w:pPr>
        <w:ind w:firstLine="1134"/>
        <w:jc w:val="both"/>
        <w:rPr>
          <w:bCs/>
        </w:rPr>
      </w:pPr>
      <w:r>
        <w:rPr>
          <w:b/>
        </w:rPr>
        <w:t xml:space="preserve">Municipalização do Licenciamento Ambiental - </w:t>
      </w:r>
      <w:r>
        <w:rPr>
          <w:bCs/>
        </w:rPr>
        <w:t>A CETESB desenvolveu o Programa de Descentralização da Gestão Ambiental, por meio de convênios firmados com os municípios para cooperação institucional nas áreas de fiscalização e licenciamento ambiental, que produziu 53 convênios. Atividade foi regulada por meio da Deliberação Normativa do CONSEMA nº 01/2014</w:t>
      </w:r>
      <w:r>
        <w:rPr>
          <w:bCs/>
          <w:color w:val="FF0000"/>
        </w:rPr>
        <w:t>,</w:t>
      </w:r>
      <w:r>
        <w:rPr>
          <w:bCs/>
        </w:rPr>
        <w:t xml:space="preserve"> que dispõe sobre a competência municipal, no âmbito do licenciamento ambiental, nos termos da Lei Complementar Federal nº 140/2011, e passou a ser gerida pelo CONSEMA.</w:t>
      </w:r>
    </w:p>
    <w:p w:rsidR="003E6588" w:rsidRDefault="003E6588">
      <w:pPr>
        <w:ind w:firstLine="1134"/>
        <w:jc w:val="both"/>
        <w:rPr>
          <w:b/>
        </w:rPr>
      </w:pPr>
    </w:p>
    <w:p w:rsidR="003E6588" w:rsidRDefault="003E6588">
      <w:pPr>
        <w:ind w:firstLine="1134"/>
        <w:jc w:val="both"/>
      </w:pPr>
      <w:r>
        <w:rPr>
          <w:b/>
        </w:rPr>
        <w:t xml:space="preserve">Câmaras Ambientais - </w:t>
      </w:r>
      <w:r>
        <w:t>Foram produzidos 30 trabalhos, dos quais 8 subsidiaram Consultas Públicas. Atualmente, as Câmaras Ambientais empenham-se na discussão de 71 temas afetos às suas respectivas áreas de atuação.</w:t>
      </w:r>
    </w:p>
    <w:p w:rsidR="003E6588" w:rsidRDefault="003E6588">
      <w:pPr>
        <w:ind w:firstLine="1134"/>
        <w:jc w:val="both"/>
        <w:rPr>
          <w:b/>
        </w:rPr>
      </w:pPr>
    </w:p>
    <w:p w:rsidR="003E6588" w:rsidRDefault="003E6588">
      <w:pPr>
        <w:ind w:firstLine="1134"/>
        <w:jc w:val="both"/>
        <w:rPr>
          <w:bCs/>
        </w:rPr>
      </w:pPr>
      <w:r>
        <w:rPr>
          <w:b/>
        </w:rPr>
        <w:t xml:space="preserve">Qualidade Organizacional - </w:t>
      </w:r>
      <w:r>
        <w:rPr>
          <w:bCs/>
        </w:rPr>
        <w:t>Apoio às áreas da Companhia no que tange a elaboração e revisão do acervo de normas técnicas e administrativas. Foram revisadas e homologadas 3 normas técnicas e 3 normas</w:t>
      </w:r>
      <w:r>
        <w:rPr>
          <w:b/>
          <w:bCs/>
        </w:rPr>
        <w:t xml:space="preserve"> </w:t>
      </w:r>
      <w:r>
        <w:rPr>
          <w:bCs/>
        </w:rPr>
        <w:t>administrativas.</w:t>
      </w:r>
    </w:p>
    <w:p w:rsidR="003E6588" w:rsidRDefault="003E6588">
      <w:pPr>
        <w:ind w:firstLine="1134"/>
        <w:jc w:val="both"/>
        <w:rPr>
          <w:bCs/>
        </w:rPr>
      </w:pPr>
    </w:p>
    <w:p w:rsidR="003E6588" w:rsidRDefault="003E6588">
      <w:pPr>
        <w:ind w:firstLine="1134"/>
        <w:jc w:val="both"/>
      </w:pPr>
      <w:r>
        <w:rPr>
          <w:b/>
        </w:rPr>
        <w:t xml:space="preserve">Planejamento Institucional - </w:t>
      </w:r>
      <w:r>
        <w:t>A CETESB executou o estabelecido no Plano Plurianual - PPA para o período 2012-2015. O PPA é constituído por um programa intitulado Gestão e Controle da Qualidade Ambiental e possui oito ações, das quais quatro correspondem a cada uma das atividades das Diretorias da CETESB: avaliação da qualidade ambiental; licenciamento e controle de fontes de poluição e de empreendimentos e atividades utilizadoras de recursos naturais; licenciamento com avaliação de impacto ambiental e gestão administrativa e financeira, além das ações do Fundo Estadual para Prevenção e Remediação de Áreas Contaminadas - FEPRAC e do Fundo Estadual de Prevenção e Controle da Poluição - FECOP, para o financiamento de projetos ambientais, que visem beneficiar a consecução de projetos financiados voltados à melhoria da qualidade ambiental no Estado. As ações de compensação ambiental - Trecho Norte do Rodoanel Mário Covas-CETESB e Trecho Norte do Rodoanel Mário Covas-SMA passaram a integrar o PPA.</w:t>
      </w:r>
    </w:p>
    <w:p w:rsidR="003E6588" w:rsidRDefault="003E6588">
      <w:pPr>
        <w:ind w:firstLine="1134"/>
        <w:jc w:val="both"/>
        <w:rPr>
          <w:b/>
        </w:rPr>
      </w:pPr>
    </w:p>
    <w:p w:rsidR="003E6588" w:rsidRDefault="003E6588">
      <w:pPr>
        <w:ind w:firstLine="1134"/>
        <w:jc w:val="both"/>
      </w:pPr>
      <w:r>
        <w:rPr>
          <w:b/>
        </w:rPr>
        <w:t xml:space="preserve">Departamento de Auditoria da Presidência - </w:t>
      </w:r>
      <w:r>
        <w:t>Os trabalhos de auditoria administrativa resultaram em 20 relatórios de auditoria preventiva, 6 processos administrativos corretivos e especiais, 254 despachos de exames de contratos administrativos , de receita e de normas administrativas, 1 despacho de exame de prestação de contas dos financiamentos do FEHIDRO, além do atendimento às demandas do controle externo da CETESB (TCE e Secretaria da Fazenda) e da auditoria independente.</w:t>
      </w: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lastRenderedPageBreak/>
        <w:t>Departamento de Cooperação Institucional e Internacional</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napToGrid w:val="0"/>
          <w:sz w:val="24"/>
          <w:szCs w:val="24"/>
        </w:rPr>
      </w:pPr>
      <w:r>
        <w:rPr>
          <w:rFonts w:ascii="Times New Roman" w:hAnsi="Times New Roman"/>
          <w:b/>
          <w:sz w:val="24"/>
          <w:szCs w:val="24"/>
        </w:rPr>
        <w:t xml:space="preserve">Projetos de Cooperação - </w:t>
      </w:r>
      <w:r>
        <w:rPr>
          <w:rFonts w:ascii="Times New Roman" w:hAnsi="Times New Roman"/>
          <w:sz w:val="24"/>
          <w:szCs w:val="24"/>
        </w:rPr>
        <w:t xml:space="preserve">4 novos projetos, com PNUMA e MMA, para Realização de </w:t>
      </w:r>
      <w:r>
        <w:rPr>
          <w:rFonts w:ascii="Times New Roman" w:hAnsi="Times New Roman"/>
          <w:snapToGrid w:val="0"/>
          <w:sz w:val="24"/>
          <w:szCs w:val="24"/>
        </w:rPr>
        <w:t>Curso de Ensino à Distância sobre temas da Convenção de Estocolmo; CNMTC - Centro de Testes em Motocicletas Nacional da China, para Equivalência de Padrões de Laboratório; UFZ - Centro Helmholtz de Pesquisa Ambiental da Alemanha, para Intercâmbio de Informações sobre Áreas Contaminadas; com o Secretariado Conjunto das Convenções do PNUMA, para Realização de Cursos Técnico e Prático de Formação sobre POPs e Análise de Mercúrio em Matrizes Ambientais para os países da América Latina e Caribe.</w:t>
      </w:r>
    </w:p>
    <w:p w:rsidR="003E6588" w:rsidRDefault="003E6588">
      <w:pPr>
        <w:pStyle w:val="PargrafodaLista"/>
        <w:ind w:left="0" w:firstLine="1134"/>
        <w:rPr>
          <w:rFonts w:ascii="Times New Roman" w:hAnsi="Times New Roman"/>
          <w:sz w:val="24"/>
          <w:szCs w:val="24"/>
        </w:rPr>
      </w:pPr>
    </w:p>
    <w:p w:rsidR="003E6588" w:rsidRDefault="003E6588">
      <w:pPr>
        <w:autoSpaceDE w:val="0"/>
        <w:autoSpaceDN w:val="0"/>
        <w:adjustRightInd w:val="0"/>
        <w:ind w:firstLine="1134"/>
        <w:jc w:val="both"/>
      </w:pPr>
      <w:r>
        <w:rPr>
          <w:b/>
        </w:rPr>
        <w:t xml:space="preserve">Política Estadual de Mudanças Climáticas - </w:t>
      </w:r>
      <w:r>
        <w:t>Publicação de Relatórios de Emissões dos Setores de Energia - Subsetor de Transporte e de Resíduos Sólidos e Efluentes Líquidos 2009 - 2010 e recepção dos inventários corporativos no sistema de informações sobre emissões industriais de GEE.</w:t>
      </w:r>
    </w:p>
    <w:p w:rsidR="003E6588" w:rsidRDefault="003E6588">
      <w:pPr>
        <w:autoSpaceDE w:val="0"/>
        <w:autoSpaceDN w:val="0"/>
        <w:adjustRightInd w:val="0"/>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Centro Regional da Convenção de Estocolmo para América Latina e Caribe -</w:t>
      </w:r>
      <w:r>
        <w:rPr>
          <w:rFonts w:ascii="Times New Roman" w:hAnsi="Times New Roman"/>
          <w:sz w:val="24"/>
          <w:szCs w:val="24"/>
        </w:rPr>
        <w:t xml:space="preserve"> Realização do Curso Internacional de Capacitação Intensiva na Gestão Ambiental de Poluentes Orgânicos Persistentes, para representantes de 12 países e 4 Estados brasileiros. Realização de 2 </w:t>
      </w:r>
      <w:r>
        <w:rPr>
          <w:rFonts w:ascii="Times New Roman" w:hAnsi="Times New Roman"/>
          <w:i/>
          <w:sz w:val="24"/>
          <w:szCs w:val="24"/>
        </w:rPr>
        <w:t>Workshops</w:t>
      </w:r>
      <w:r>
        <w:rPr>
          <w:rFonts w:ascii="Times New Roman" w:hAnsi="Times New Roman"/>
          <w:sz w:val="24"/>
          <w:szCs w:val="24"/>
        </w:rPr>
        <w:t xml:space="preserve"> sobre POPs e Análise de Mercúrio em Matrizes Ambientais para representantes de 15 países da América Latina e Caribe.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FECOP - Fundo Estadual de Prevenção e Controle da Poluição - </w:t>
      </w:r>
      <w:r>
        <w:rPr>
          <w:rFonts w:ascii="Times New Roman" w:hAnsi="Times New Roman"/>
          <w:sz w:val="24"/>
          <w:szCs w:val="24"/>
        </w:rPr>
        <w:t>Liberação de R$ 47.914.750,00 para 203 municípios, para execução de 250 projetos. Projeto de Capacitação Técnica e Representação Institucional:</w:t>
      </w:r>
      <w:r>
        <w:rPr>
          <w:rFonts w:ascii="Times New Roman" w:hAnsi="Times New Roman"/>
          <w:b/>
          <w:sz w:val="24"/>
          <w:szCs w:val="24"/>
        </w:rPr>
        <w:t xml:space="preserve"> </w:t>
      </w:r>
      <w:r>
        <w:rPr>
          <w:rFonts w:ascii="Times New Roman" w:hAnsi="Times New Roman"/>
          <w:sz w:val="24"/>
          <w:szCs w:val="24"/>
        </w:rPr>
        <w:t>treinamentos internacionais para 35 funcionários; treinamentos nacionais para 632 funcionários; apoio para realização de 11 seminários, 89 palestrantes nacionais; apoio para vinda de 37 palestrantes internacionais e 52 representações institucionais; e apoio ao Programa de Incentivo à Pós Graduação da CETESB (aperfeiçoamento de 21 funcionários em Cursos de Especialização, MBA, Mestrado e Doutorado).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Departamento de Políticas Públicas de Resíduos Sólidos e Eficiência dos Recursos Naturais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Política Estadual de Resíduos Sólidos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sz w:val="24"/>
          <w:szCs w:val="24"/>
        </w:rPr>
        <w:t>Implementação da Logística Reversa -</w:t>
      </w:r>
      <w:r>
        <w:rPr>
          <w:rFonts w:ascii="Times New Roman" w:hAnsi="Times New Roman"/>
          <w:sz w:val="24"/>
          <w:szCs w:val="24"/>
        </w:rPr>
        <w:t xml:space="preserve"> Acompanhamento dos 13 Termos de Compromisso de Responsabilidade Pós-Consumo - RPC, incluindo aditamento e padronização dos atuais e discussão de novos documentos. Acompanhamento dos Inquéritos Civis sobre o tema junto ao MPSP. Discussão sobre regras de logística reversa no licenciamento ambiental. Elaboração do capítulo de Responsabilidade Pós-Consumo do Plano de Resíduos Sólidos do Estado de São Paulo. Realização de evento sobre Economia Circular e Ecodesign, em parceria com o governo britânico. Redação de Caderno de Educação Ambiental sobre Logística Reversa. Elaboração de Minuta de Resolução para regulamentar a logística reversa no Estado.</w:t>
      </w:r>
    </w:p>
    <w:p w:rsidR="003E6588" w:rsidRDefault="003E6588">
      <w:pPr>
        <w:pStyle w:val="PargrafodaLista"/>
        <w:ind w:left="0" w:firstLine="1134"/>
        <w:contextualSpacing w:val="0"/>
        <w:rPr>
          <w:rFonts w:ascii="Times New Roman" w:hAnsi="Times New Roman"/>
          <w:b/>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sz w:val="24"/>
          <w:szCs w:val="24"/>
        </w:rPr>
        <w:lastRenderedPageBreak/>
        <w:t>Desenvolvimento, consolidação, fortalecimento e divulgação do SIGOR</w:t>
      </w:r>
      <w:r>
        <w:rPr>
          <w:rFonts w:ascii="Times New Roman" w:hAnsi="Times New Roman"/>
          <w:sz w:val="24"/>
          <w:szCs w:val="24"/>
        </w:rPr>
        <w:t xml:space="preserve"> - Sistema Estadual de Gerenciamento </w:t>
      </w:r>
      <w:r>
        <w:rPr>
          <w:rFonts w:ascii="Times New Roman" w:hAnsi="Times New Roman"/>
          <w:i/>
          <w:sz w:val="24"/>
          <w:szCs w:val="24"/>
        </w:rPr>
        <w:t>On line</w:t>
      </w:r>
      <w:r>
        <w:rPr>
          <w:rFonts w:ascii="Times New Roman" w:hAnsi="Times New Roman"/>
          <w:sz w:val="24"/>
          <w:szCs w:val="24"/>
        </w:rPr>
        <w:t xml:space="preserve"> de Resíduos Sólidos - Realização de piloto em Santos. Desenvolvimento de material de apoio (livro, folhetos e material para o treinamento). Apoio à elaboração do Decreto nº 60.520/2014, que institui o SIGOR e da Resolução SMA n° 81/2014, que estabelece diretrizes para implementação do Módulo Construção Civil do SIGOR. Estabelecimento de parceria com a Faculdade de Direito da </w:t>
      </w:r>
      <w:r w:rsidRPr="00184DCE">
        <w:rPr>
          <w:rFonts w:ascii="Times New Roman" w:hAnsi="Times New Roman"/>
          <w:sz w:val="24"/>
          <w:szCs w:val="24"/>
        </w:rPr>
        <w:t>USP, para</w:t>
      </w:r>
      <w:r>
        <w:rPr>
          <w:rFonts w:ascii="Times New Roman" w:hAnsi="Times New Roman"/>
          <w:sz w:val="24"/>
          <w:szCs w:val="24"/>
        </w:rPr>
        <w:t xml:space="preserve"> apoio na adequação legal </w:t>
      </w:r>
      <w:r w:rsidRPr="00C05AF3">
        <w:rPr>
          <w:rFonts w:ascii="Times New Roman" w:hAnsi="Times New Roman"/>
          <w:sz w:val="24"/>
          <w:szCs w:val="24"/>
        </w:rPr>
        <w:t>dos municípios, para implantação do SIGOR. Evento de lançamento do SIGOR - Módulo Construção Civil. Discussão para adesão de oito novos Municípios (Campinas, Sorocaba, São José do Rio Preto, Presidente</w:t>
      </w:r>
      <w:r>
        <w:rPr>
          <w:rFonts w:ascii="Times New Roman" w:hAnsi="Times New Roman"/>
          <w:sz w:val="24"/>
          <w:szCs w:val="24"/>
        </w:rPr>
        <w:t xml:space="preserve"> Prudente, Bauru, São José dos Campos, Ribeirão Preto, Santo André).</w:t>
      </w:r>
    </w:p>
    <w:p w:rsidR="003E6588" w:rsidRDefault="003E6588">
      <w:pPr>
        <w:ind w:firstLine="1134"/>
        <w:jc w:val="both"/>
        <w:rPr>
          <w:b/>
          <w:u w:val="single"/>
        </w:rPr>
      </w:pPr>
    </w:p>
    <w:p w:rsidR="003E6588" w:rsidRDefault="003E6588">
      <w:pPr>
        <w:ind w:firstLine="1134"/>
        <w:jc w:val="both"/>
        <w:rPr>
          <w:b/>
        </w:rPr>
      </w:pPr>
      <w:r>
        <w:rPr>
          <w:b/>
        </w:rPr>
        <w:t>Câmara de Compensação Ambiental - CCA</w:t>
      </w:r>
    </w:p>
    <w:p w:rsidR="003E6588" w:rsidRDefault="003E6588">
      <w:pPr>
        <w:ind w:firstLine="1134"/>
        <w:jc w:val="both"/>
        <w:rPr>
          <w:b/>
        </w:rPr>
      </w:pPr>
    </w:p>
    <w:p w:rsidR="003E6588" w:rsidRDefault="003E6588">
      <w:pPr>
        <w:ind w:firstLine="1134"/>
        <w:jc w:val="both"/>
      </w:pPr>
      <w:r>
        <w:t xml:space="preserve">Decreto nº 60.070/2014, que regulamenta os procedimentos relativos à compensação ambiental no âmbito do licenciamento ambiental de competência do Estado, dispõe sobre a Câmara de Compensação Ambiental e prevê a possibilidade de depósito dos recursos da compensação ambiental no Fundo Especial de Despesa para Preservação da Biodiversidade e dos Recursos Naturais </w:t>
      </w:r>
      <w:r w:rsidR="00C05AF3">
        <w:t>-</w:t>
      </w:r>
      <w:r>
        <w:t xml:space="preserve"> FPBRN.</w:t>
      </w:r>
    </w:p>
    <w:p w:rsidR="003E6588" w:rsidRDefault="003E6588">
      <w:pPr>
        <w:ind w:firstLine="1134"/>
        <w:jc w:val="both"/>
      </w:pPr>
    </w:p>
    <w:p w:rsidR="003E6588" w:rsidRDefault="003E6588">
      <w:pPr>
        <w:ind w:firstLine="1134"/>
        <w:jc w:val="both"/>
      </w:pPr>
      <w:r>
        <w:t>Resolução SMA nº 61/</w:t>
      </w:r>
      <w:r w:rsidRPr="00184DCE">
        <w:t>2014, fixa</w:t>
      </w:r>
      <w:r>
        <w:t xml:space="preserve"> procedimentos para celebração dos Termos de Compromisso de Compensação Ambiental e aprova os respectivos modelos, bem como os modelos de Termos de Quitação Parcial e Definitivo de Compensação Ambiental.</w:t>
      </w:r>
    </w:p>
    <w:p w:rsidR="003E6588" w:rsidRDefault="003E6588">
      <w:pPr>
        <w:ind w:firstLine="1134"/>
        <w:jc w:val="both"/>
      </w:pPr>
    </w:p>
    <w:p w:rsidR="003E6588" w:rsidRDefault="003E6588">
      <w:pPr>
        <w:ind w:firstLine="1134"/>
        <w:jc w:val="both"/>
      </w:pPr>
      <w:r>
        <w:t xml:space="preserve">- Decreto nº 60.919/ </w:t>
      </w:r>
      <w:r w:rsidRPr="00184DCE">
        <w:t>2014, altera</w:t>
      </w:r>
      <w:r>
        <w:t xml:space="preserve"> e revoga dispositivos do Decreto nº 60.070/2014, no que diz respeito à transferência de recursos da compensação ambiental para órgão ou entidade estadual responsável pela administração de Unidades de Conservação beneficiária de compensação ambiental.</w:t>
      </w:r>
    </w:p>
    <w:p w:rsidR="003E6588" w:rsidRDefault="003E6588">
      <w:pPr>
        <w:ind w:firstLine="1134"/>
        <w:jc w:val="both"/>
      </w:pPr>
    </w:p>
    <w:p w:rsidR="003E6588" w:rsidRDefault="003E6588">
      <w:pPr>
        <w:ind w:firstLine="1134"/>
        <w:jc w:val="both"/>
      </w:pPr>
      <w:r>
        <w:t>A Câmara de Compensação Ambiental registrou o aporte de R$ 69 milhões, provenientes da compensação ambiental decorrente de licenciamento ambiental de 20 empreendimentos. Dentre as deliberações da CCA, destacam-se a destinação de recursos para Elaboração dos Planos de Manejo de 14 Unidades de Conservação, a Identificação dos Limites de Ocupação dos Perímetros de Unidades de Conservação de Proteção Integral e a Aquisição de área para criação de nova Unidade de Conservação na Região de Cajurú.</w:t>
      </w:r>
    </w:p>
    <w:p w:rsidR="003E6588" w:rsidRDefault="003E6588">
      <w:pPr>
        <w:ind w:firstLine="1134"/>
        <w:jc w:val="both"/>
        <w:rPr>
          <w:u w:val="single"/>
        </w:rPr>
      </w:pPr>
    </w:p>
    <w:p w:rsidR="003E6588" w:rsidRDefault="003E6588">
      <w:pPr>
        <w:ind w:firstLine="1134"/>
        <w:jc w:val="both"/>
        <w:rPr>
          <w:strike/>
        </w:rPr>
      </w:pPr>
      <w:r>
        <w:t>Grupo de Trabalho e Acompanhamento de Convênios - GTAC - Foi criado o Grupo de Trabalho de Acompanhamento de Convênios pela Resolução SMA nº 04, com objetivo de centralizar as informações e orientações sobre os procedimentos relacionados à assinatura de convênios e avenças congêneres da Secretaria do Meio Ambiente, tendo recebido adequações às atividades iniciais com a publicação da Resolução SMA nº 16/2014, e Resolução SMA nº 89/2014.</w:t>
      </w:r>
    </w:p>
    <w:p w:rsidR="003E6588" w:rsidRDefault="003E6588">
      <w:pPr>
        <w:ind w:firstLine="1134"/>
        <w:jc w:val="both"/>
        <w:rPr>
          <w:strike/>
        </w:rPr>
      </w:pPr>
    </w:p>
    <w:p w:rsidR="003E6588" w:rsidRDefault="003E6588">
      <w:pPr>
        <w:ind w:firstLine="1134"/>
        <w:jc w:val="both"/>
      </w:pPr>
      <w:r>
        <w:t>Foram celebrados com o apoio do GTAC 377 convênios.</w:t>
      </w:r>
    </w:p>
    <w:p w:rsidR="003E6588" w:rsidRDefault="003E6588"/>
    <w:p w:rsidR="003E6588" w:rsidRDefault="003E6588">
      <w:pPr>
        <w:rPr>
          <w:b/>
          <w:bCs/>
        </w:rPr>
      </w:pPr>
      <w:r>
        <w:br w:type="page"/>
      </w:r>
      <w:r>
        <w:rPr>
          <w:b/>
          <w:bCs/>
        </w:rPr>
        <w:lastRenderedPageBreak/>
        <w:t>SECRETARIA DE PLANEJAMENTO E DESENVOLVIMENTO REGIONAL</w:t>
      </w:r>
    </w:p>
    <w:p w:rsidR="003E6588" w:rsidRDefault="003E6588"/>
    <w:p w:rsidR="003E6588" w:rsidRDefault="003E6588"/>
    <w:p w:rsidR="003E6588" w:rsidRDefault="003E6588">
      <w:pPr>
        <w:ind w:firstLine="1134"/>
        <w:jc w:val="both"/>
      </w:pPr>
      <w:r>
        <w:t>A formulação e o acompanhamento dos Planos Plurianuais estão entre as principais atribuições da Secretaria de Planejamento e Desenvolvimento Regional - SPDR, enquanto órgão central de planejamento e orçamento do Estado. A Secretaria é responsável pelo planejamento global, setorial, metropolitano e territorial das ações do Estado, bem como pela elaboração, acompanhamento e avaliação do Plano Plurianual - PPA, Lei de Diretrizes Orçamentárias - LDO e Orçamento Anual - LOA. Possui, ainda, papel fundamental na promoção da articulação entre diferentes esferas de governo, poderes e setor privado, em especial para a promoção do desenvolvimento de políticas públicas e garantia do alcance dos resultados propostos nos planos, programas e ações governamentais, visando ao alinhamento das estratégicas do governo e das ações desenvolvidas pelos órgãos e entidades da Administração Pública Paulista.</w:t>
      </w:r>
    </w:p>
    <w:p w:rsidR="003E6588" w:rsidRDefault="003E6588">
      <w:pPr>
        <w:ind w:firstLine="1134"/>
        <w:jc w:val="both"/>
        <w:rPr>
          <w:strike/>
        </w:rPr>
      </w:pPr>
    </w:p>
    <w:p w:rsidR="003E6588" w:rsidRDefault="003E6588">
      <w:pPr>
        <w:ind w:firstLine="1134"/>
        <w:jc w:val="both"/>
        <w:rPr>
          <w:b/>
          <w:u w:val="single"/>
        </w:rPr>
      </w:pPr>
      <w:r>
        <w:rPr>
          <w:b/>
        </w:rPr>
        <w:t>Planejamento Governamental</w:t>
      </w:r>
      <w:r>
        <w:t xml:space="preserve"> - A Coordenadoria de Planejamento e Avaliação - CPA deu continuidade aos trabalhos para seu reposicionamento no campo do planejamento governamental. Seu objetivo é resgatar a centralidade do planejamento nas atividades desenvolvidas pela SPDR. Para tanto, a CPA tem centrado esforços para aprimorar as ferramentas de planejamento - notadamente o Plano Plurianual - com vistas a orientá-las a resultados. Complementarmente, vem buscando se capacitar para promover e institucionalizar a prática da avaliação dos resultados de programas e ações governamentais e tomando iniciativas para contemplar a dimensão regional naquelas ferramentas. Tais iniciativas também atingem o campo da geração e disseminação de informações, dentro e fora do Governo, que contribuam para aprimorar o desenho e a execução dos programas e ações governamentais e para ampliar a transparência a seus resultados.</w:t>
      </w:r>
    </w:p>
    <w:p w:rsidR="003E6588" w:rsidRPr="00A66846" w:rsidRDefault="003E6588">
      <w:pPr>
        <w:jc w:val="both"/>
        <w:rPr>
          <w:u w:val="single"/>
        </w:rPr>
      </w:pPr>
    </w:p>
    <w:p w:rsidR="003E6588" w:rsidRDefault="003E6588">
      <w:pPr>
        <w:ind w:firstLine="1134"/>
        <w:jc w:val="both"/>
      </w:pPr>
      <w:r>
        <w:rPr>
          <w:b/>
        </w:rPr>
        <w:t>Projeto Orçamento por Resultados - OpR</w:t>
      </w:r>
      <w:r>
        <w:t xml:space="preserve"> - A iniciativa fundamenta-se no Decreto nº 57.958/2012, que estabelece providências para a implantação do Orçamento por Resultados na Administração Pública estadual. A terceira fase incluiu a realização do seminário “Orçamento por Resultados e Avaliação de Programas”, para apresentar aprendizados dos pilotos, proposta de metodologia para desenhar e planejar programas do Plano Plurianual e dos orçamentos anuais e debater os desafios da disseminação dessa metodologia baseada em resultados no Estado. O projeto é executado em parceria com o projeto de Sistema de Informações de Custos para os Serviços Públicos do Estado (de responsabilidade da Secretaria da Fazenda) e conta com ssistência técnica do Fundo Monetário Internacional - FMI, da Fundação do Desenvolvimento Administrativo - Fundap e da Fundação Sistema Estadual de Análise de Dados - Seade.</w:t>
      </w:r>
    </w:p>
    <w:p w:rsidR="003E6588" w:rsidRDefault="003E6588">
      <w:pPr>
        <w:jc w:val="both"/>
      </w:pPr>
    </w:p>
    <w:p w:rsidR="003E6588" w:rsidRDefault="003E6588">
      <w:pPr>
        <w:ind w:firstLine="1134"/>
        <w:jc w:val="both"/>
      </w:pPr>
      <w:r>
        <w:rPr>
          <w:b/>
        </w:rPr>
        <w:t>Projeto Redesenho do PPA -</w:t>
      </w:r>
      <w:r>
        <w:t xml:space="preserve"> Visa desenhar e executar propostas para aprimorar o modelo do PPA para o quadriênio 2016-2019, revendo os métodos para sua elaboração, estruturação e gerenciamento. Compõe-se de duas fases: a primeira analisou as oportunidades de melhoria do instrumento atual, gerando soluções inovadoras, contemplando a lógica de planejamento e gestão por resultados. A segunda fase corresponde à implementação daquelas soluções. Dentre as propostas em execução, destacam-se: constituição de Rede de Planejamento, para reunir e articular a capacidade de planejamento setorial, com vistas à maior coordenação intersetorial e consequente qualificação técnica </w:t>
      </w:r>
      <w:r>
        <w:lastRenderedPageBreak/>
        <w:t>das informações para o sistema de planejamento e a decisão governamental; desenho de novo processo de elaboração, monitoramento e avaliação do PPA, tendo em vista o aprimoramento deste instrumento de planejamento e acompanhamento das ações do Estado; modernização dos sistemas computacionais que dão suporte aos processos de elaboração, monitoramento e avaliação; elaboração de Diagnóstico e Painel de Indicadores da Situação Socioeconômica e Ambiental do Estado, a fim de gerar subsídios e recomendações técnicas para apoiar a definição das diretrizes e objetivos estratégicos do PPA 2016-2019; para tanto, foram realizadas atualização de banco de indicadores e inclusão de novos, reuniões com setoriais para validação dos aspectos relevantes de cada área e respectivos indicadores, e elaboração de análises para consolidar o Painel; formulação e especificação técnica de materiais de apoio, oficinas de trabalho e cursos modalidade à distância.</w:t>
      </w:r>
    </w:p>
    <w:p w:rsidR="003E6588" w:rsidRPr="00A66846" w:rsidRDefault="003E6588">
      <w:pPr>
        <w:jc w:val="both"/>
        <w:rPr>
          <w:bCs/>
          <w:caps/>
        </w:rPr>
      </w:pPr>
    </w:p>
    <w:p w:rsidR="003E6588" w:rsidRDefault="003E6588" w:rsidP="00A30FF4">
      <w:pPr>
        <w:ind w:firstLine="1134"/>
        <w:jc w:val="both"/>
      </w:pPr>
      <w:r>
        <w:rPr>
          <w:b/>
        </w:rPr>
        <w:t>Avaliação de Políticas Públicas</w:t>
      </w:r>
    </w:p>
    <w:p w:rsidR="003E6588" w:rsidRPr="00A66846" w:rsidRDefault="003E6588">
      <w:pPr>
        <w:jc w:val="both"/>
        <w:rPr>
          <w:bCs/>
          <w:caps/>
        </w:rPr>
      </w:pPr>
    </w:p>
    <w:p w:rsidR="003E6588" w:rsidRDefault="003E6588">
      <w:pPr>
        <w:ind w:firstLine="1134"/>
        <w:jc w:val="both"/>
        <w:rPr>
          <w:bCs/>
        </w:rPr>
      </w:pPr>
      <w:r>
        <w:rPr>
          <w:b/>
        </w:rPr>
        <w:t>Projeto Avaliação de Programas e Políticas Públicas -</w:t>
      </w:r>
      <w:r>
        <w:t xml:space="preserve"> </w:t>
      </w:r>
      <w:r>
        <w:rPr>
          <w:bCs/>
        </w:rPr>
        <w:t>Realização de avaliações de programas e das políticas públicas, com o objetivo de mensurar a eficiência, eficácia e efetividade das ações de Governo. O projeto contém metodologias adequadas à difusão, no âmbito governamental, da prática da avaliação, concorrendo para capacitar os formuladores e gestores públicos nesse campo e aprimorar a gestão de programas. As avaliações foram finalizadas e seus resultados foram apresentados e discutidos junto ao público interessado em reuniões técnicas e em seminário.</w:t>
      </w:r>
    </w:p>
    <w:p w:rsidR="003E6588" w:rsidRDefault="003E6588">
      <w:pPr>
        <w:ind w:firstLine="1134"/>
        <w:jc w:val="both"/>
      </w:pPr>
    </w:p>
    <w:p w:rsidR="003E6588" w:rsidRDefault="003E6588" w:rsidP="00A30FF4">
      <w:pPr>
        <w:ind w:firstLine="1134"/>
        <w:jc w:val="both"/>
        <w:rPr>
          <w:b/>
        </w:rPr>
      </w:pPr>
      <w:r>
        <w:rPr>
          <w:b/>
        </w:rPr>
        <w:t>Monitoramento das Ações de Governo</w:t>
      </w:r>
    </w:p>
    <w:p w:rsidR="003E6588" w:rsidRPr="00A66846" w:rsidRDefault="003E6588">
      <w:pPr>
        <w:ind w:firstLine="1134"/>
        <w:jc w:val="both"/>
        <w:rPr>
          <w:bCs/>
          <w:caps/>
        </w:rPr>
      </w:pPr>
    </w:p>
    <w:p w:rsidR="003E6588" w:rsidRDefault="003E6588">
      <w:pPr>
        <w:ind w:firstLine="1134"/>
        <w:jc w:val="both"/>
      </w:pPr>
      <w:r>
        <w:rPr>
          <w:b/>
        </w:rPr>
        <w:t>Monitoramento dos Programas do</w:t>
      </w:r>
      <w:r>
        <w:rPr>
          <w:b/>
          <w:smallCaps/>
        </w:rPr>
        <w:t xml:space="preserve"> PPA 2012-2015 -</w:t>
      </w:r>
      <w:r>
        <w:rPr>
          <w:smallCaps/>
        </w:rPr>
        <w:t xml:space="preserve"> </w:t>
      </w:r>
      <w:r>
        <w:t xml:space="preserve">A execução das metas dos programas e ações do PPA é acompanhada pelo Sistema de Monitoramento dos Programas e Ações - SIMPA. A plataforma possibilita o registro por cada Secretaria setorial das metas programadas e alcançadas ao longo de cada exercício financeiro e dos índices apurados para os indicadores dos programas nas datas especificadas. Do SIMPA são extraídas as informações necessárias para a produção de relatórios sobre a execução física das metas para diversos níveis da Administração Estadual e para órgãos de controle externo, como a Assembleia Legislativa e o Tribunal de Contas do Estado. Visando otimizar essas informações, está sendo implantado um projeto de </w:t>
      </w:r>
      <w:r>
        <w:rPr>
          <w:i/>
        </w:rPr>
        <w:t>Business Intelligence</w:t>
      </w:r>
      <w:r>
        <w:t xml:space="preserve"> - </w:t>
      </w:r>
      <w:r>
        <w:rPr>
          <w:i/>
        </w:rPr>
        <w:t>BI</w:t>
      </w:r>
      <w:r>
        <w:t xml:space="preserve"> para os dados do SIMPA.</w:t>
      </w:r>
    </w:p>
    <w:p w:rsidR="003E6588" w:rsidRDefault="003E6588">
      <w:pPr>
        <w:jc w:val="both"/>
      </w:pPr>
    </w:p>
    <w:p w:rsidR="003E6588" w:rsidRDefault="003E6588">
      <w:pPr>
        <w:ind w:firstLine="1134"/>
        <w:jc w:val="both"/>
      </w:pPr>
      <w:r>
        <w:rPr>
          <w:b/>
        </w:rPr>
        <w:t xml:space="preserve">Painel de Indicadores de Resultados da Atuação Governamental - </w:t>
      </w:r>
      <w:r>
        <w:t xml:space="preserve">Concepção de Painel de Indicadores de Resultados capaz de informar À SPDR, Ao Governo do Estado e À sociedade os resultados do Plano Plurianual, associados a seus objetivos, programas e ações implementados ao longo de sua vigência. Uma vez definido que o novo PPA deverá adotar o arcabouço metodológico do Orçamento por Resultados, será necessário dispor de sistema de informações capaz de revelar os resultados dos objetivos, programas e ações deste Plano, com vistas a permitir seu permanente acompanhamento, seja por parte do Governo e seu núcleo de planejamento, seja pelo conjunto da sociedade. Nesse sentido, o Painel de Indicadores de Resultados deverá conter os indicadores associados aos diferentes níveis de resultados do PPA, e requererá a definição, cálculo e disponibilização desses indicadores, que se processará por dois meios. Serão desenvolvidas ferramentas que permitam extrair informações existentes nas bases de dados da Fundação Seade e da SPDR, </w:t>
      </w:r>
      <w:r>
        <w:lastRenderedPageBreak/>
        <w:t>gerando sistema unificado de indicadores, associados aos distintos níveis de resultados do OpR. Entre essas ferramentas, destaquem-se aquelas dirigidas a gerar relatórios com diferentes formatos, que comporão o núcleo do Painel de Indicadores de Resultados. Tais atividades estão se desenvolvendo em associação com os trabalhos em andamento no Projeto Redesenho do PPA.</w:t>
      </w:r>
    </w:p>
    <w:p w:rsidR="003E6588" w:rsidRDefault="003E6588">
      <w:pPr>
        <w:jc w:val="both"/>
      </w:pPr>
    </w:p>
    <w:p w:rsidR="003E6588" w:rsidRDefault="003E6588">
      <w:pPr>
        <w:ind w:firstLine="1134"/>
        <w:jc w:val="both"/>
      </w:pPr>
      <w:r>
        <w:rPr>
          <w:b/>
        </w:rPr>
        <w:t>Sistema de Acompanhamento de Investimentos - SAI -</w:t>
      </w:r>
      <w:r>
        <w:t xml:space="preserve"> Reúne informações sobre execução física e orçamentária de investimentos da Administração Direta, Indireta e das Empresas dependentes do Tesouro e é integrado ao Sistema Integrado de Administração Financeira para Estados e Municípios - SIAFEM, o que garante a completa aderência entre a execução orçamentária e financeira. O SAI, no âmbito da Secretaria da Fazenda, a atualização de informações do patrimônio imobiliário do Estado. A Coordenadoria de Planejamento e Avaliação - CPA proporcionou treinamento e atendimento aos usuários do sistema; realizou supervisão do cadastramento de investimentos e realizou recuperação dos dados do SAI para subsidiar o acompanhamento do Plano Plurianual -</w:t>
      </w:r>
      <w:r>
        <w:rPr>
          <w:color w:val="FF0000"/>
        </w:rPr>
        <w:t xml:space="preserve"> </w:t>
      </w:r>
      <w:r>
        <w:t>PPA e análises de investimentos.</w:t>
      </w:r>
    </w:p>
    <w:p w:rsidR="003E6588" w:rsidRPr="00A66846" w:rsidRDefault="003E6588">
      <w:pPr>
        <w:jc w:val="both"/>
        <w:rPr>
          <w:bCs/>
          <w:caps/>
        </w:rPr>
      </w:pPr>
    </w:p>
    <w:p w:rsidR="003E6588" w:rsidRDefault="003E6588" w:rsidP="00A30FF4">
      <w:pPr>
        <w:ind w:firstLine="1134"/>
        <w:jc w:val="both"/>
      </w:pPr>
      <w:r>
        <w:rPr>
          <w:b/>
        </w:rPr>
        <w:t>Planejamento Territorial e Desenvolvimento Regional</w:t>
      </w:r>
      <w:r>
        <w:t xml:space="preserve"> - Ações realizadas: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Elaboração de Parecer Técnico para subsidiar a decisão sobre implementação da Região Administrativa de Itapeva e do Escritório Regional de Planejamento de Itapeva.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Orçamento Regionalizado</w:t>
      </w:r>
      <w:r w:rsidR="00A30FF4">
        <w:rPr>
          <w:rFonts w:ascii="Times New Roman" w:hAnsi="Times New Roman"/>
          <w:sz w:val="24"/>
          <w:szCs w:val="24"/>
        </w:rPr>
        <w:t xml:space="preserve"> -</w:t>
      </w:r>
      <w:r>
        <w:rPr>
          <w:rFonts w:ascii="Times New Roman" w:hAnsi="Times New Roman"/>
          <w:sz w:val="24"/>
          <w:szCs w:val="24"/>
        </w:rPr>
        <w:t xml:space="preserve"> </w:t>
      </w:r>
      <w:r w:rsidR="00A30FF4">
        <w:rPr>
          <w:rFonts w:ascii="Times New Roman" w:hAnsi="Times New Roman"/>
          <w:sz w:val="24"/>
          <w:szCs w:val="24"/>
        </w:rPr>
        <w:t>I</w:t>
      </w:r>
      <w:r>
        <w:rPr>
          <w:rFonts w:ascii="Times New Roman" w:hAnsi="Times New Roman"/>
          <w:sz w:val="24"/>
          <w:szCs w:val="24"/>
        </w:rPr>
        <w:t>niciativa anual de coleta de dados dos setoriais, análise, checagem, organização e posterior encaminhamento à publicação no Diário Oficial do Estado da execução das despesas de investimento do Orçamento Estadual por Região.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Agenda de Desenvolvimento Regional Presidente Prudente - Foram executadas as atividades de acompanhamento da implementação das iniciativas estabelecidas nos Planos de Ação da Região. Tais ações de monitoramento incluem reuniões na Região, acompanhamento e gestão virtual do andamento dos trabalhos e gestão de Comunidade de Prática virtual.</w:t>
      </w:r>
    </w:p>
    <w:p w:rsidR="003E6588" w:rsidRDefault="003E6588">
      <w:pPr>
        <w:pStyle w:val="PargrafodaLista"/>
        <w:ind w:left="0"/>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Programa de Transporte, Logística e Meio Ambiente - Acordo de Cooperação assinado em parceria com as Secretarias de Logística</w:t>
      </w:r>
      <w:r w:rsidR="00A66846">
        <w:rPr>
          <w:rFonts w:ascii="Times New Roman" w:hAnsi="Times New Roman"/>
          <w:sz w:val="24"/>
          <w:szCs w:val="24"/>
        </w:rPr>
        <w:t xml:space="preserve"> e Transporte</w:t>
      </w:r>
      <w:r>
        <w:rPr>
          <w:rFonts w:ascii="Times New Roman" w:hAnsi="Times New Roman"/>
          <w:sz w:val="24"/>
          <w:szCs w:val="24"/>
        </w:rPr>
        <w:t>/DER e Meio Ambiente, com financiamento do Banco Mundial até 2017. Por meio deste, prevê-se: expansão do Projeto Geoportal IGC; desenvolvimento de Instrumentos de Gestão Territorial e de Avaliação de Impacto Territorial.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 Estudo Cenário Econômico Setorial Regional 2030 pela Fundação Instituto de Pesquisas Econômicas - FIPE.</w:t>
      </w:r>
    </w:p>
    <w:p w:rsidR="003E6588" w:rsidRDefault="003E6588">
      <w:pPr>
        <w:ind w:firstLine="1134"/>
        <w:jc w:val="both"/>
      </w:pPr>
    </w:p>
    <w:p w:rsidR="003E6588" w:rsidRDefault="003E6588">
      <w:pPr>
        <w:ind w:firstLine="1134"/>
        <w:jc w:val="both"/>
      </w:pPr>
      <w:r>
        <w:rPr>
          <w:b/>
        </w:rPr>
        <w:t>Articulação com Municípios -</w:t>
      </w:r>
      <w:r>
        <w:t xml:space="preserve"> Foram formalizados 1.023 convênios com 465 municípios do Estado. Destacam-se obras de infraestrutura urbana, como pavimentação asfáltica, iluminação pública, praças públicas, além da viabilização de aquisições de caminhões e de máquinas pesadas para uso em serviços urbanos municipais.</w:t>
      </w:r>
    </w:p>
    <w:p w:rsidR="003E6588" w:rsidRPr="00A66846" w:rsidRDefault="003E6588">
      <w:pPr>
        <w:jc w:val="both"/>
        <w:rPr>
          <w:bCs/>
          <w:caps/>
        </w:rPr>
      </w:pPr>
    </w:p>
    <w:p w:rsidR="00A30FF4" w:rsidRPr="00A66846" w:rsidRDefault="00A30FF4">
      <w:pPr>
        <w:jc w:val="both"/>
        <w:rPr>
          <w:bCs/>
          <w:caps/>
        </w:rPr>
      </w:pPr>
    </w:p>
    <w:p w:rsidR="003E6588" w:rsidRDefault="00A30FF4" w:rsidP="00A30FF4">
      <w:pPr>
        <w:rPr>
          <w:b/>
        </w:rPr>
      </w:pPr>
      <w:r>
        <w:rPr>
          <w:b/>
        </w:rPr>
        <w:lastRenderedPageBreak/>
        <w:t xml:space="preserve">INSTITUTO GEOGRÁFICO E CARTOGRÁFICO </w:t>
      </w:r>
      <w:r w:rsidR="003E6588">
        <w:rPr>
          <w:b/>
        </w:rPr>
        <w:t>- IGC</w:t>
      </w:r>
    </w:p>
    <w:p w:rsidR="00A30FF4" w:rsidRPr="00A66846" w:rsidRDefault="00A30FF4">
      <w:pPr>
        <w:ind w:firstLine="1134"/>
        <w:jc w:val="both"/>
      </w:pPr>
    </w:p>
    <w:p w:rsidR="00A30FF4" w:rsidRPr="00A66846" w:rsidRDefault="00A30FF4">
      <w:pPr>
        <w:ind w:firstLine="1134"/>
        <w:jc w:val="both"/>
      </w:pPr>
    </w:p>
    <w:p w:rsidR="003E6588" w:rsidRDefault="003E6588">
      <w:pPr>
        <w:ind w:firstLine="1134"/>
        <w:jc w:val="both"/>
      </w:pPr>
      <w:r>
        <w:rPr>
          <w:b/>
        </w:rPr>
        <w:t>Mapeamento do Estado na Escala</w:t>
      </w:r>
      <w:r>
        <w:rPr>
          <w:b/>
          <w:smallCaps/>
        </w:rPr>
        <w:t xml:space="preserve"> 1:25.000 -</w:t>
      </w:r>
      <w:r>
        <w:rPr>
          <w:b/>
        </w:rPr>
        <w:t xml:space="preserve"> </w:t>
      </w:r>
      <w:r>
        <w:t>Está sendo concluído o Lote 2 - Sudeste, com 87.000 km². Foi licitado o Lote 3 - Centro Sul, avançando em mais 47.500 km² do território paulista. Todo o material cartográfico produzido é auditado pela Gerência de Cartografia do Instituto. O material é validado e publicado no Geoportal IGC, com acesso irrestrito aos demais órgãos e à sociedade em geral.</w:t>
      </w:r>
    </w:p>
    <w:p w:rsidR="003E6588" w:rsidRDefault="003E6588">
      <w:pPr>
        <w:ind w:firstLine="1134"/>
        <w:jc w:val="both"/>
      </w:pPr>
    </w:p>
    <w:p w:rsidR="003E6588" w:rsidRDefault="003E6588">
      <w:pPr>
        <w:ind w:firstLine="1134"/>
        <w:jc w:val="both"/>
        <w:rPr>
          <w:strike/>
        </w:rPr>
      </w:pPr>
      <w:r>
        <w:rPr>
          <w:b/>
        </w:rPr>
        <w:t>Geoportal</w:t>
      </w:r>
      <w:r>
        <w:rPr>
          <w:b/>
          <w:smallCaps/>
        </w:rPr>
        <w:t xml:space="preserve"> IGC - </w:t>
      </w:r>
      <w:r>
        <w:t>Foram disponibilizadas novas ortoimagens e nova rede hidrográfica correspondente a 147.000 km². Foram disponibilizados mapas do acervo histórico da cidade de São Paulo dos anos de 1929 e 1971. Encontra-se em operação o início do processo de interoperabilidade com outros sistemas. O desenvolvimento da fase 2, com financiamento do Banco Mundial, encontra-se na etapa de elaboração das especificações para contratação da expansão do Geoportal que deverá incorporar novas funcionalidades, interface aprimorada, configurando-o na principal plataforma da infraestrutura de dados espaciais do Estado.</w:t>
      </w:r>
    </w:p>
    <w:p w:rsidR="003E6588" w:rsidRDefault="003E6588">
      <w:pPr>
        <w:ind w:firstLine="1134"/>
        <w:jc w:val="both"/>
        <w:rPr>
          <w:strike/>
        </w:rPr>
      </w:pPr>
    </w:p>
    <w:p w:rsidR="003E6588" w:rsidRDefault="003E6588">
      <w:pPr>
        <w:ind w:firstLine="1134"/>
        <w:jc w:val="both"/>
        <w:rPr>
          <w:strike/>
        </w:rPr>
      </w:pPr>
      <w:r>
        <w:rPr>
          <w:b/>
        </w:rPr>
        <w:t xml:space="preserve">Novo Modelo Geoidal do Estado - </w:t>
      </w:r>
      <w:r>
        <w:t>Utilizando o gravímetro absoluto</w:t>
      </w:r>
      <w:r>
        <w:rPr>
          <w:b/>
        </w:rPr>
        <w:t xml:space="preserve"> </w:t>
      </w:r>
      <w:r>
        <w:t>do IGC, foram iniciados os trabalhos de refinamento da rede gravimétrica do Estado, sendo que o resultado das primeiras campanhas, em parceria com a Escola Politécnica da USP e o IBGE, possibilitou geração de nova versão do Modelo Geoidal do Estado.</w:t>
      </w:r>
    </w:p>
    <w:p w:rsidR="003E6588" w:rsidRDefault="003E6588">
      <w:pPr>
        <w:ind w:firstLine="1134"/>
        <w:jc w:val="both"/>
      </w:pPr>
    </w:p>
    <w:p w:rsidR="003E6588" w:rsidRDefault="003E6588">
      <w:pPr>
        <w:ind w:firstLine="1134"/>
        <w:jc w:val="both"/>
        <w:rPr>
          <w:strike/>
        </w:rPr>
      </w:pPr>
      <w:r>
        <w:rPr>
          <w:b/>
        </w:rPr>
        <w:t xml:space="preserve">Rede GNSS/RTK do Estado - </w:t>
      </w:r>
      <w:r>
        <w:t>O IGC adquiriu quatro estações de posicionamento preciso por satélite, sendo que a primeira delas, instalada no Município de Bragança Paulista, encontra-se em operação.</w:t>
      </w:r>
    </w:p>
    <w:p w:rsidR="003E6588" w:rsidRDefault="003E6588">
      <w:pPr>
        <w:ind w:firstLine="1134"/>
        <w:jc w:val="both"/>
      </w:pPr>
    </w:p>
    <w:p w:rsidR="003E6588" w:rsidRDefault="003E6588">
      <w:pPr>
        <w:ind w:firstLine="1134"/>
        <w:jc w:val="both"/>
      </w:pPr>
      <w:r>
        <w:rPr>
          <w:b/>
        </w:rPr>
        <w:t xml:space="preserve">Seviços de Gestão das Divisas dos Municípios Paulistas e de Estudos de Caracterização de Drenagem - </w:t>
      </w:r>
      <w:r>
        <w:t>Elaborou 520 processos, abrangendo certidões de jurisdição territorial, informações técnicas para subsidiar a criação de novos distritos, análises técnicas referentes a demarcações e traçados de divisa e pareceres técnicos de natureza geográfica e cartográfica. A área é responsável pela elaboração de informações técnicas de caracterização de drenagem, que tratam da localização precisa, em mapas oficiais, das nascentes e do traçado dos cursos d´água, com vistas ao processo de licenciamento ambiental. Foram elaboradas mais de 420 informações técnicas desta natureza.</w:t>
      </w:r>
    </w:p>
    <w:p w:rsidR="003E6588" w:rsidRDefault="003E6588">
      <w:pPr>
        <w:ind w:firstLine="1134"/>
        <w:jc w:val="both"/>
        <w:rPr>
          <w:strike/>
        </w:rPr>
      </w:pPr>
    </w:p>
    <w:p w:rsidR="003E6588" w:rsidRDefault="003E6588">
      <w:pPr>
        <w:ind w:firstLine="1134"/>
        <w:jc w:val="both"/>
      </w:pPr>
      <w:r>
        <w:rPr>
          <w:b/>
        </w:rPr>
        <w:t xml:space="preserve">Ações na Área de Gestão Documental e Disseminação da Informação Técnica - </w:t>
      </w:r>
      <w:r>
        <w:t xml:space="preserve">Deu-se continuidade ao tratamento, digitalização e disponibilização do acervo correspondente à Divisão Territorial do Estado, material que serve de apoio à equipe técnica do IGC na realização de trabalhos relativos às Certidões de Jurisdição Territorial e Informações Técnicas de Divisa, dois dos principais produtos fornecidos ao público. 3.600 documentos foram disponibilizados. Foram tratadas, digitalizas e disponibilizadas aos técnicos 116.000 fotografias de levantamentos aerofotogramétricos de diferentes épocas. Foram atendidas solicitações de cessão de imagens do acervo para utilização em trabalhos acadêmicos, revistas, periódicos, livros, exposições e para uso pessoal. Através de sua biblioteca e do </w:t>
      </w:r>
      <w:r>
        <w:lastRenderedPageBreak/>
        <w:t xml:space="preserve">setor de atendimento ao público, foram realizados aproximadamente 10.000 atendimentos na loja do Instituto, bem como por telefone, </w:t>
      </w:r>
      <w:r>
        <w:rPr>
          <w:i/>
        </w:rPr>
        <w:t>e-mails</w:t>
      </w:r>
      <w:r>
        <w:t>, Escritórios Regionais e demais meios de comunicação.</w:t>
      </w:r>
    </w:p>
    <w:p w:rsidR="003E6588" w:rsidRDefault="003E6588">
      <w:pPr>
        <w:ind w:firstLine="1134"/>
        <w:jc w:val="both"/>
      </w:pPr>
    </w:p>
    <w:p w:rsidR="003E6588" w:rsidRDefault="003E6588">
      <w:pPr>
        <w:ind w:firstLine="1134"/>
        <w:jc w:val="both"/>
        <w:rPr>
          <w:b/>
        </w:rPr>
      </w:pPr>
      <w:r>
        <w:rPr>
          <w:b/>
        </w:rPr>
        <w:t>Orçamento</w:t>
      </w:r>
    </w:p>
    <w:p w:rsidR="003E6588" w:rsidRDefault="003E6588">
      <w:pPr>
        <w:ind w:firstLine="1134"/>
        <w:jc w:val="both"/>
      </w:pPr>
    </w:p>
    <w:p w:rsidR="003E6588" w:rsidRDefault="003E6588">
      <w:pPr>
        <w:ind w:right="-59" w:firstLine="1134"/>
        <w:jc w:val="both"/>
      </w:pPr>
      <w:r>
        <w:rPr>
          <w:b/>
        </w:rPr>
        <w:t>Elaboração e Acompanhamento dos Orçamentos do Estado -</w:t>
      </w:r>
      <w:r>
        <w:t xml:space="preserve"> Gestão do processo de elaboração da proposta orçamentária e da Lei de Diretrizes Orçamentárias do Estado, bem como do acompanhamento da execução dos orçamentos anuais:</w:t>
      </w:r>
    </w:p>
    <w:p w:rsidR="003E6588" w:rsidRDefault="003E6588">
      <w:pPr>
        <w:ind w:right="-59" w:firstLine="1134"/>
        <w:jc w:val="both"/>
      </w:pPr>
    </w:p>
    <w:p w:rsidR="003E6588" w:rsidRDefault="003E6588">
      <w:pPr>
        <w:ind w:right="-59" w:firstLine="1134"/>
        <w:jc w:val="both"/>
        <w:rPr>
          <w:strike/>
        </w:rPr>
      </w:pPr>
      <w:r>
        <w:rPr>
          <w:b/>
        </w:rPr>
        <w:t>Estudos e Pesquisas para o Acompanhamento Orçamentário -</w:t>
      </w:r>
      <w:r>
        <w:t xml:space="preserve"> Desenvolvimento de pesquisas e estudos sobre o contexto macroeconômico e seus impactos sobre os orçamentos públicos. Análises do orçamento público sob diversos enfoques:</w:t>
      </w:r>
    </w:p>
    <w:p w:rsidR="003E6588" w:rsidRDefault="003E6588">
      <w:pPr>
        <w:ind w:right="-59" w:firstLine="1134"/>
        <w:jc w:val="both"/>
        <w:rPr>
          <w:strike/>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Elaboração e divulgação do Caderno Orçamento do Estado 2008/2014, constituído de relatórios técnicos com informações sobre a evolução das receitas e despesas em vários níveis de agregação.</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Avaliação técnica das implicações de reformas administrativas sobre a classificação institucional do Orçamento, resultando na edição de decretos e instruções, estabelecendo novas estruturas orçamentárias dos órgãos, unidades orçamentárias e unidades de despesa.</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Análises técnicas de proposições de alterações do orçamento e formalização das modificações aprovadas, nos termos das regras definidas no Decreto nº 60.066/2014.</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Análise das implicações orçamentárias nos processos de contratação pela Administração Pública estadual, na forma do Decreto nº 41.165/1996.</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Elaboração mensal do Relatório de Execução Orçamentária com informações gerenciais sobre a execução orçamentária como instrumento analítico e decisório durante o processo orçamentário.</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Acompanhamento dos Investimentos: preparação de relatório específico de acompanhamento dos investimentos, por área, programas e fontes de financiamento, para realização de reuniões mensais com as Secretarias de maior volume de investimentos no orçamento.</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Realização das Audiências Públicas Regionais: preparação de relatórios, levantamento de dados socioeconômicos e de programas governamentais, com objetivo de dar suporte à realização das Audiências Públicas Regionais do orçamento.</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Estudos para revisão de salários da Administração Direta e Indireta do Estado e dos principais itens de custeio, com o objetivo de racionalizar as despesas administrativas bem como das despesas de utilidade pública, e de aprimorar seu controle e forma de contratação.</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lastRenderedPageBreak/>
        <w:t>- Análise dos processos de contratação de pessoal, com objetivo de subsidiar o Governador em suas decisões e apoio ao Secretário da Pasta, membro da Comissão de Política Salarial, nos assuntos pertinentes à política salarial das Empresas e Fundações.</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Atendimento de consultas acerca das diferentes formas de classificação da despesa, estrutura programática, produtos e unidades de medida de ações orçamentárias.</w:t>
      </w:r>
    </w:p>
    <w:p w:rsidR="003E6588" w:rsidRDefault="003E6588">
      <w:pPr>
        <w:pStyle w:val="PargrafodaLista"/>
        <w:ind w:left="0" w:right="-59" w:firstLine="1134"/>
        <w:rPr>
          <w:rFonts w:ascii="Times New Roman" w:hAnsi="Times New Roman"/>
          <w:strike/>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xml:space="preserve">- Aprimoramento dos Relatórios Técnicos relativos à elaboração e execução orçamentária, mediante a utilização da ferramenta </w:t>
      </w:r>
      <w:r>
        <w:rPr>
          <w:rFonts w:ascii="Times New Roman" w:hAnsi="Times New Roman"/>
          <w:i/>
          <w:sz w:val="24"/>
          <w:szCs w:val="24"/>
        </w:rPr>
        <w:t>Business Intelligence</w:t>
      </w:r>
      <w:r>
        <w:rPr>
          <w:rFonts w:ascii="Times New Roman" w:hAnsi="Times New Roman"/>
          <w:sz w:val="24"/>
          <w:szCs w:val="24"/>
        </w:rPr>
        <w:t xml:space="preserve"> - </w:t>
      </w:r>
      <w:r>
        <w:rPr>
          <w:rFonts w:ascii="Times New Roman" w:hAnsi="Times New Roman"/>
          <w:i/>
          <w:sz w:val="24"/>
          <w:szCs w:val="24"/>
        </w:rPr>
        <w:t>BI</w:t>
      </w:r>
      <w:r>
        <w:rPr>
          <w:rFonts w:ascii="Times New Roman" w:hAnsi="Times New Roman"/>
          <w:sz w:val="24"/>
          <w:szCs w:val="24"/>
        </w:rPr>
        <w:t>.</w:t>
      </w:r>
    </w:p>
    <w:p w:rsidR="003E6588" w:rsidRDefault="003E6588">
      <w:pPr>
        <w:pStyle w:val="PargrafodaLista"/>
        <w:ind w:left="0" w:right="-59" w:firstLine="1134"/>
        <w:rPr>
          <w:rFonts w:ascii="Times New Roman" w:hAnsi="Times New Roman"/>
          <w:strike/>
          <w:sz w:val="24"/>
          <w:szCs w:val="24"/>
        </w:rPr>
      </w:pPr>
    </w:p>
    <w:p w:rsidR="003E6588" w:rsidRDefault="003E6588">
      <w:pPr>
        <w:pStyle w:val="PargrafodaLista"/>
        <w:ind w:left="0" w:right="-59" w:firstLine="1134"/>
        <w:rPr>
          <w:rFonts w:ascii="Times New Roman" w:hAnsi="Times New Roman"/>
          <w:sz w:val="24"/>
          <w:szCs w:val="24"/>
        </w:rPr>
      </w:pPr>
      <w:r>
        <w:rPr>
          <w:rFonts w:ascii="Times New Roman" w:hAnsi="Times New Roman"/>
          <w:sz w:val="24"/>
          <w:szCs w:val="24"/>
        </w:rPr>
        <w:t>- Elaboração de estudos para embasamento das negociações e propostas de reajustes salariais das carreiras do Estado.</w:t>
      </w:r>
    </w:p>
    <w:p w:rsidR="003E6588" w:rsidRDefault="003E6588">
      <w:pPr>
        <w:pStyle w:val="PargrafodaLista"/>
        <w:ind w:left="0" w:right="-59" w:firstLine="1134"/>
        <w:rPr>
          <w:rFonts w:ascii="Times New Roman" w:hAnsi="Times New Roman"/>
          <w:sz w:val="24"/>
          <w:szCs w:val="24"/>
        </w:rPr>
      </w:pPr>
    </w:p>
    <w:p w:rsidR="003E6588" w:rsidRDefault="003E6588">
      <w:pPr>
        <w:pStyle w:val="PargrafodaLista"/>
        <w:ind w:left="0" w:right="-59" w:firstLine="1134"/>
        <w:rPr>
          <w:rFonts w:ascii="Times New Roman" w:hAnsi="Times New Roman"/>
          <w:strike/>
          <w:sz w:val="24"/>
          <w:szCs w:val="24"/>
        </w:rPr>
      </w:pPr>
      <w:r>
        <w:rPr>
          <w:rFonts w:ascii="Times New Roman" w:hAnsi="Times New Roman"/>
          <w:sz w:val="24"/>
          <w:szCs w:val="24"/>
        </w:rPr>
        <w:t xml:space="preserve">- Atualização dos sistemas que coletam informações na </w:t>
      </w:r>
      <w:r>
        <w:rPr>
          <w:rFonts w:ascii="Times New Roman" w:hAnsi="Times New Roman"/>
          <w:i/>
          <w:sz w:val="24"/>
          <w:szCs w:val="24"/>
        </w:rPr>
        <w:t>web</w:t>
      </w:r>
      <w:r>
        <w:rPr>
          <w:rFonts w:ascii="Times New Roman" w:hAnsi="Times New Roman"/>
          <w:sz w:val="24"/>
          <w:szCs w:val="24"/>
        </w:rPr>
        <w:t>.</w:t>
      </w:r>
    </w:p>
    <w:p w:rsidR="003E6588" w:rsidRDefault="003E6588">
      <w:pPr>
        <w:pStyle w:val="PargrafodaLista"/>
        <w:ind w:left="0" w:firstLine="1134"/>
        <w:rPr>
          <w:rFonts w:ascii="Times New Roman" w:hAnsi="Times New Roman"/>
          <w:b/>
          <w:bCs/>
          <w:caps/>
          <w:sz w:val="24"/>
          <w:szCs w:val="24"/>
        </w:rPr>
      </w:pPr>
    </w:p>
    <w:p w:rsidR="003E6588" w:rsidRDefault="003E6588">
      <w:pPr>
        <w:ind w:firstLine="1134"/>
        <w:jc w:val="both"/>
        <w:rPr>
          <w:bCs/>
          <w:strike/>
        </w:rPr>
      </w:pPr>
      <w:r>
        <w:rPr>
          <w:b/>
        </w:rPr>
        <w:t>Concessões e Parcerias Público-Privadas</w:t>
      </w:r>
      <w:r>
        <w:t xml:space="preserve"> - </w:t>
      </w:r>
      <w:r>
        <w:rPr>
          <w:bCs/>
        </w:rPr>
        <w:t>A SPDR conta com a Unidade de PPP, junto ao Gabinete do Titular da Pasta, que tem por atribuição opinar sobre as propostas preliminares de projetos de Concessões e PPPs, acompanhar a realização de estudos técnicos e divulgar o Programa de PPP do Estado. Além das atividades regulares de análise de modelos e propostas de Concessões e PPPs, a Secretaria ofereceu apoio técnico e subsidiou as Secretarias e órgãos nos seguintes projetos/propostas:</w:t>
      </w:r>
    </w:p>
    <w:p w:rsidR="003E6588" w:rsidRDefault="003E6588">
      <w:pPr>
        <w:ind w:firstLine="284"/>
        <w:jc w:val="both"/>
        <w:rPr>
          <w:bCs/>
        </w:rPr>
      </w:pPr>
    </w:p>
    <w:p w:rsidR="003E6588" w:rsidRDefault="003E6588">
      <w:pPr>
        <w:ind w:firstLine="1134"/>
        <w:jc w:val="both"/>
        <w:rPr>
          <w:bCs/>
        </w:rPr>
      </w:pPr>
      <w:r>
        <w:rPr>
          <w:b/>
          <w:bCs/>
        </w:rPr>
        <w:t>Parcerias Público-Privadas e Concessões com contratos assinados -</w:t>
      </w:r>
      <w:r>
        <w:rPr>
          <w:bCs/>
        </w:rPr>
        <w:t xml:space="preserve"> Linha 4 - Amarela - STM/Metrô (R$ 5,6 bilhões); Sistema Produtor do Alto Tietê ETA Tietê Taiaçupeba - SSRH/SABESP (R$ 310 milhões); Trens Linha 8 Diamante - STM/CPTM (R$ 993 milhões); FURP - Planta de Produção Américo Brasiliense (R$ 362 milhões); Sistema São Lourenço - Alto Juquiá - SSRH/SABESP (R$ 2,2 bilhões); Centro de Exposições Imigrantes - SAA/CPETUR/SPDR (R$ 346 milhões); Linha 6 - Laranja (Modal Metrô): implantação, manutenção e operação (Estação São Joaquim - Brasilândia) (R$ 9,6 bilhões); Complexos Hospitalares: 3 novos hospitais: Sorocaba, Hospital da Mulher, São José dos Campos (R$ 793 milhões); Linha 18 - Bronze (Modal Monotrilho): extensão de 14,9 km (R$ 4,2 bilhões); Rodovia dos Tamoios: duplicação do Trecho de Serra (17,08 km) e Planalto (3,92 km), obras de adequação e complementação; serviços de gestão, manutenção e conservação dos trechos da Serra, do Planalto e dos Contornos (publicação edital) (R$ 3,7 bilhões).</w:t>
      </w:r>
    </w:p>
    <w:p w:rsidR="003E6588" w:rsidRDefault="003E6588">
      <w:pPr>
        <w:ind w:firstLine="1134"/>
        <w:jc w:val="both"/>
        <w:rPr>
          <w:bCs/>
        </w:rPr>
      </w:pPr>
    </w:p>
    <w:p w:rsidR="003E6588" w:rsidRDefault="003E6588">
      <w:pPr>
        <w:ind w:firstLine="1134"/>
        <w:jc w:val="both"/>
        <w:rPr>
          <w:bCs/>
        </w:rPr>
      </w:pPr>
      <w:r>
        <w:rPr>
          <w:b/>
          <w:bCs/>
        </w:rPr>
        <w:t>Parcerias Público-Privadas e Concessões com licitação encerrada e vencedor homologado -</w:t>
      </w:r>
      <w:r>
        <w:rPr>
          <w:bCs/>
        </w:rPr>
        <w:t xml:space="preserve"> Unidades Habitacionais: 9.000 habitações de interesse social e 5.124 habitações de mercado popular; gestão do financiamento e da carteira de mutuários e gestão condominial (publicação do edital) (R$ 3,5 bilhões); SIM Baixada Santista: expansão, operação e manutenção do Sistema Integrado Metropolitano de transporte público intermunicipal de passageiros da RMBS; implantação do tronco VLT com 23,4 km de extensão, e aquisição e racionalização da frota de ônibus (publicação edital) (R$ 666 milhões).</w:t>
      </w:r>
    </w:p>
    <w:p w:rsidR="003E6588" w:rsidRDefault="003E6588">
      <w:pPr>
        <w:ind w:firstLine="1134"/>
        <w:jc w:val="both"/>
        <w:rPr>
          <w:bCs/>
        </w:rPr>
      </w:pPr>
    </w:p>
    <w:p w:rsidR="003E6588" w:rsidRDefault="003E6588">
      <w:pPr>
        <w:ind w:firstLine="1134"/>
        <w:jc w:val="both"/>
        <w:rPr>
          <w:bCs/>
        </w:rPr>
      </w:pPr>
      <w:r>
        <w:rPr>
          <w:b/>
          <w:bCs/>
        </w:rPr>
        <w:lastRenderedPageBreak/>
        <w:t>Parcerias Público-Privadas e Concessões com modelagem financeira aprovada -</w:t>
      </w:r>
      <w:r>
        <w:rPr>
          <w:bCs/>
        </w:rPr>
        <w:t xml:space="preserve"> Pátio Integral Veicular - DETRAN: implantação e operação da logística de remoção, depósito, guarda e destinação de veículos, e modernização das atividades decorrentes da fiscalização de trânsito dos órgãos estaduais (modelagem em reavaliação) (R$ 185 milhões); Logística de Medicamentos: reorganização, estruturação, implantação e operação dos processos logísticos da assistência farmacêutica, imunização e outros insumos, serviços de TIC para gerenciar e rastrear medicamentos (R$ 83,4 milhões).</w:t>
      </w:r>
    </w:p>
    <w:p w:rsidR="003E6588" w:rsidRDefault="003E6588">
      <w:pPr>
        <w:ind w:firstLine="1134"/>
        <w:jc w:val="both"/>
        <w:rPr>
          <w:bCs/>
        </w:rPr>
      </w:pPr>
    </w:p>
    <w:p w:rsidR="003E6588" w:rsidRDefault="003E6588">
      <w:pPr>
        <w:ind w:firstLine="1134"/>
        <w:jc w:val="both"/>
        <w:rPr>
          <w:b/>
          <w:bCs/>
        </w:rPr>
      </w:pPr>
      <w:r>
        <w:rPr>
          <w:b/>
          <w:bCs/>
        </w:rPr>
        <w:t>Parcerias Público-Privadas com proposta preliminar aprovada -</w:t>
      </w:r>
      <w:r>
        <w:rPr>
          <w:bCs/>
        </w:rPr>
        <w:t xml:space="preserve"> Complexos Prisionais: construção, operação e manutenção de unidades prisionais (modelagem em estruturação) (R$ 750 milhões); Linha 20 - Rosa Lapa-Moema (Modal Metrô): implantação e operação de 12,3 km de extensão (modelagem em estruturação) (R$ 9,5 bilhões); Identificação Digital: implantação e suporte à operação de sistemas integrados de identificação de pessoas e emissão de documentos (modelagem em estruturação) (R$ 1,2 bilhões); Trens Intercidades: 135 km de rede integrada de linhas de trens (modelagem em estruturação) (R$ 4,3 bilhões); Fóruns de Justiça: construção, reforma e manutenção de 6 Fóruns: Lapa e Itaquera (Capital), Guarulhos, Bauru, Presidente Prudente e Carapicuíba (projeto em análise jurídica) (R$ 130 milhões); Portal São Paulo - Requalificação do acesso ao Aeroporto de Guarulhos (R$ 930 milhões) (modelagem em estruturação); Universalização do Saneamento no Vale do Juqueri - SABESP (R$ 872 milhões) (modelagem em estruturação).</w:t>
      </w:r>
    </w:p>
    <w:p w:rsidR="003E6588" w:rsidRDefault="003E6588" w:rsidP="003126E8">
      <w:pPr>
        <w:ind w:firstLine="1134"/>
        <w:jc w:val="both"/>
      </w:pPr>
    </w:p>
    <w:p w:rsidR="003E6588" w:rsidRDefault="003E6588">
      <w:pPr>
        <w:ind w:firstLine="1134"/>
        <w:jc w:val="both"/>
        <w:rPr>
          <w:strike/>
        </w:rPr>
      </w:pPr>
      <w:r>
        <w:rPr>
          <w:b/>
        </w:rPr>
        <w:t>Unidade de Financiamentos</w:t>
      </w:r>
      <w:r>
        <w:t xml:space="preserve"> </w:t>
      </w:r>
      <w:r w:rsidR="003126E8">
        <w:t>-</w:t>
      </w:r>
      <w:r>
        <w:t xml:space="preserve"> </w:t>
      </w:r>
      <w:bookmarkStart w:id="16" w:name="h.8sol8fs44s1t" w:colFirst="0" w:colLast="0"/>
      <w:bookmarkEnd w:id="16"/>
      <w:r>
        <w:t>Destacam-se as ações articuladas em conjunto com a Secretaria da Fazenda, no processo de captação de recursos financeiros nos mercados financeiros nacional e internacional, bem como, no âmbito interno da Pasta, apoio no acompanhamento da execução orçamentária e na elaboração da proposta de Lei Orçamentária/2015, no tocante aos aspectos de financiamentos envolvidos. Foram assinados 12 contratos de financiamento:</w:t>
      </w:r>
    </w:p>
    <w:p w:rsidR="003E6588" w:rsidRDefault="003E6588" w:rsidP="003126E8">
      <w:pPr>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Em moeda estrangeira - Fortalecimento da Gestão Estadual da Saúde - SS: USD 270 milhões (BID); Programa de Investimento Rodoviário do Estado (Tranche I) - DER: US$ 480,1 milhões (BID); Linha 13 Trem de Guarulhos - CPTM: € 300 milhões - CPTM (AFD); Macrodrenagem do Rio Baquirivu-Guaçu - SSRH/DAEE: US$ 204 milhões (CAF); Programa de Investimento Rodoviário do Estado (Tranche II) - DER: USD 480,1 milhões (BID); Aquisição de Trens - CPTM: € 200 milhões (BEI); Programa de Logística e Transporte do Estado - DER: US$ 300 milhões (Santander/Miga).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Em moeda nacional - </w:t>
      </w:r>
      <w:bookmarkStart w:id="17" w:name="h.cl8lymnk4eg" w:colFirst="0" w:colLast="0"/>
      <w:bookmarkEnd w:id="17"/>
      <w:r>
        <w:rPr>
          <w:rFonts w:ascii="Times New Roman" w:hAnsi="Times New Roman"/>
          <w:sz w:val="24"/>
          <w:szCs w:val="24"/>
        </w:rPr>
        <w:t>Programa de Investimentos do Estado: R$ 1.537,3 milhões (Banco do Brasil) que inclui os projetos: VLT da Baixada Santista - EMTU: R$ 120 milhões; Nova Tamoios Contornos Norte e Sul - Dersa: R$ 340 milhões; Complexo Viário Polo Itaquera - Dersa: R$ 165 milhões; Programa de Logística e Transportes - DER: R$ 912,3 milhões; Modernização de Hidrovias - SLT/DH: R$ 307 milhões (BNDES); Linha 6 - Laranja - STM/PPP: R$ 1.700 milhões (BNDES); Aquisição de Trens - CPTM: R$ 982 milhões (BNDES); Melhoria Logística e de Mobilidade Urbana entre Santos e Guarujá (Túnel Santos/São Vicente) - DERSA: R$ 938,2 milhões (BNDES).</w:t>
      </w:r>
    </w:p>
    <w:p w:rsidR="003E6588" w:rsidRDefault="003E6588">
      <w:pPr>
        <w:pStyle w:val="PargrafodaLista"/>
        <w:ind w:left="0" w:firstLine="1134"/>
        <w:rPr>
          <w:rFonts w:ascii="Times New Roman" w:hAnsi="Times New Roman"/>
          <w:sz w:val="24"/>
          <w:szCs w:val="24"/>
        </w:rPr>
      </w:pPr>
    </w:p>
    <w:p w:rsidR="003E6588" w:rsidRDefault="003E6588">
      <w:pPr>
        <w:ind w:firstLine="1134"/>
        <w:jc w:val="both"/>
      </w:pPr>
      <w:r>
        <w:lastRenderedPageBreak/>
        <w:t>Destaque-se tratativas da Unidade junto a órgãos técnicos dos Ministérios do Planejamento, Orçamento e Gestão e das Cidades, bem como, junto à Caixa Econômica Federal, no sentido de viabilizar a assinatura de 3 Termos de Compromisso para  transferência de R$ 1.340 milhões  do Orçamento Geral da União - OGU para os seguintes projetos selecionados no PAC 50 : Extensão da Linha 9 - CPTM - Grajaú-Varginha - R$ 500 milhões; Reforma e modernização de Estações e implantação do Terminal Franco da Rocha - CPTM: R$ 590 milhões; Implantação da Linha 13 - Trem de Guarulhos - CPTM: R$ 250 milhões.</w:t>
      </w:r>
    </w:p>
    <w:p w:rsidR="003E6588" w:rsidRDefault="003E6588">
      <w:pPr>
        <w:ind w:firstLine="1134"/>
        <w:jc w:val="both"/>
        <w:rPr>
          <w:strike/>
        </w:rPr>
      </w:pPr>
    </w:p>
    <w:p w:rsidR="003E6588" w:rsidRDefault="003E6588">
      <w:pPr>
        <w:ind w:firstLine="1134"/>
        <w:jc w:val="both"/>
      </w:pPr>
      <w:r>
        <w:rPr>
          <w:b/>
        </w:rPr>
        <w:t>Comitê Paulista para a Copa do Mundo da FIFA Brasil 2014</w:t>
      </w:r>
      <w:r>
        <w:t xml:space="preserve"> - Acompanhamento e articulação das ações necessárias para finalização dos seguintes planos e ações: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Plano de Mobilidade - Elaborado estrategicamente, por meio da integração do trabalho das Secretarias dos Transportes Metropolitanos e Segurança Pública e órgãos municipais correspondentes, com objetivo de atender à demanda da Copa do Mundo - torcedores, delegações e autoridades - interferindo minimamente na rotina da cidade. Contemplou deslocamentos pelas rotas protocolares e operações especiais no entorno dos hotéis oficiais, dos aeroportos e dos 15 centros de treinamentos paulistas que hospedaram delegações.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Plano de Segurança e Defesa Civil - Participou das Oficinas Temáticas da Secretaria Extraordinária de Segurança para Grandes Eventos do Ministério da Justiça, que desenvolveram protocolos operacionais utilizados no evento; durante a Copa, acompanhou o monitoramento das áreas de interesse realizado a partir do Centro Integrado de Comando e Controle Regional </w:t>
      </w:r>
      <w:r w:rsidR="003126E8">
        <w:rPr>
          <w:rFonts w:ascii="Times New Roman" w:hAnsi="Times New Roman"/>
          <w:sz w:val="24"/>
          <w:szCs w:val="24"/>
        </w:rPr>
        <w:t xml:space="preserve">- </w:t>
      </w:r>
      <w:r>
        <w:rPr>
          <w:rFonts w:ascii="Times New Roman" w:hAnsi="Times New Roman"/>
          <w:sz w:val="24"/>
          <w:szCs w:val="24"/>
        </w:rPr>
        <w:t>CICCR, e auxiliou na definição e execução do perímetro de segurança no entorno da Arena Corinthians.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right="-93" w:firstLine="1134"/>
        <w:rPr>
          <w:rFonts w:ascii="Times New Roman" w:hAnsi="Times New Roman"/>
          <w:sz w:val="24"/>
          <w:szCs w:val="24"/>
        </w:rPr>
      </w:pPr>
      <w:r>
        <w:rPr>
          <w:rFonts w:ascii="Times New Roman" w:hAnsi="Times New Roman"/>
          <w:sz w:val="24"/>
          <w:szCs w:val="24"/>
        </w:rPr>
        <w:t>- Plano de Saúde - Acompanhou a conclusão, pela Secretaria da Saúde, de plano de contingência inédito para grandes eventos, elaborado de forma a garantir atendimento médico de múltiplas vítimas em casos de desastres.</w:t>
      </w:r>
    </w:p>
    <w:p w:rsidR="003E6588" w:rsidRDefault="003E6588">
      <w:pPr>
        <w:pStyle w:val="PargrafodaLista"/>
        <w:ind w:left="0" w:right="-239" w:firstLine="1134"/>
        <w:rPr>
          <w:rFonts w:ascii="Times New Roman" w:hAnsi="Times New Roman"/>
          <w:sz w:val="24"/>
          <w:szCs w:val="24"/>
        </w:rPr>
      </w:pPr>
    </w:p>
    <w:p w:rsidR="003E6588" w:rsidRDefault="003E6588">
      <w:pPr>
        <w:pStyle w:val="PargrafodaLista"/>
        <w:ind w:left="0" w:right="-93" w:firstLine="1134"/>
        <w:rPr>
          <w:rFonts w:ascii="Times New Roman" w:hAnsi="Times New Roman"/>
          <w:sz w:val="24"/>
          <w:szCs w:val="24"/>
        </w:rPr>
      </w:pPr>
      <w:r>
        <w:rPr>
          <w:rFonts w:ascii="Times New Roman" w:hAnsi="Times New Roman"/>
          <w:sz w:val="24"/>
          <w:szCs w:val="24"/>
        </w:rPr>
        <w:t>- Plano de Energia - Acompanhou ações dos órgãos competentes para adequar os cronogramas de obras no sistema de distribuição de pontos estratégicos da Região Metropolitana de São Paulo. Sediou reuniões com empresas do setor elétrico, visando à preparação das cidades que receberam as delegações.</w:t>
      </w:r>
    </w:p>
    <w:p w:rsidR="003E6588" w:rsidRDefault="003E6588">
      <w:pPr>
        <w:pStyle w:val="PargrafodaLista"/>
        <w:ind w:left="0" w:right="-239" w:firstLine="1134"/>
        <w:rPr>
          <w:rFonts w:ascii="Times New Roman" w:hAnsi="Times New Roman"/>
          <w:sz w:val="24"/>
          <w:szCs w:val="24"/>
        </w:rPr>
      </w:pPr>
    </w:p>
    <w:p w:rsidR="003E6588" w:rsidRDefault="003E6588">
      <w:pPr>
        <w:pStyle w:val="PargrafodaLista"/>
        <w:ind w:left="0" w:right="-93" w:firstLine="1134"/>
        <w:rPr>
          <w:rFonts w:ascii="Times New Roman" w:hAnsi="Times New Roman"/>
          <w:sz w:val="24"/>
          <w:szCs w:val="24"/>
        </w:rPr>
      </w:pPr>
      <w:r>
        <w:rPr>
          <w:rFonts w:ascii="Times New Roman" w:hAnsi="Times New Roman"/>
          <w:sz w:val="24"/>
          <w:szCs w:val="24"/>
        </w:rPr>
        <w:t>- Programa Brasil Voluntário - Comitê Paulista e SPCopa (Prefeitura de São Paulo) coordenaram as atividades do programa envolvendo planejamento, estruturação e treinamento presencial de 1.100 voluntários.</w:t>
      </w:r>
    </w:p>
    <w:p w:rsidR="003E6588" w:rsidRDefault="003E6588">
      <w:pPr>
        <w:pStyle w:val="PargrafodaLista"/>
        <w:ind w:left="0" w:right="-239" w:firstLine="1134"/>
        <w:rPr>
          <w:rFonts w:ascii="Times New Roman" w:hAnsi="Times New Roman"/>
          <w:sz w:val="24"/>
          <w:szCs w:val="24"/>
        </w:rPr>
      </w:pPr>
    </w:p>
    <w:p w:rsidR="003E6588" w:rsidRDefault="003E6588">
      <w:pPr>
        <w:pStyle w:val="PargrafodaLista"/>
        <w:ind w:left="0" w:right="-93" w:firstLine="1134"/>
        <w:rPr>
          <w:rFonts w:ascii="Times New Roman" w:hAnsi="Times New Roman"/>
          <w:sz w:val="24"/>
          <w:szCs w:val="24"/>
        </w:rPr>
      </w:pPr>
      <w:r>
        <w:rPr>
          <w:rFonts w:ascii="Times New Roman" w:hAnsi="Times New Roman"/>
          <w:sz w:val="24"/>
          <w:szCs w:val="24"/>
        </w:rPr>
        <w:t xml:space="preserve">- Comunicação e Transparência - Manutenção do </w:t>
      </w:r>
      <w:r>
        <w:rPr>
          <w:rFonts w:ascii="Times New Roman" w:hAnsi="Times New Roman"/>
          <w:i/>
          <w:sz w:val="24"/>
          <w:szCs w:val="24"/>
        </w:rPr>
        <w:t>site</w:t>
      </w:r>
      <w:r>
        <w:rPr>
          <w:rFonts w:ascii="Times New Roman" w:hAnsi="Times New Roman"/>
          <w:sz w:val="24"/>
          <w:szCs w:val="24"/>
        </w:rPr>
        <w:t xml:space="preserve"> www.copa2014.sp.gov.br, com informações relativas aos preparativos de São Paulo para o evento. Envio da </w:t>
      </w:r>
      <w:r>
        <w:rPr>
          <w:rFonts w:ascii="Times New Roman" w:hAnsi="Times New Roman"/>
          <w:i/>
          <w:sz w:val="24"/>
          <w:szCs w:val="24"/>
        </w:rPr>
        <w:t>newsletter</w:t>
      </w:r>
      <w:r>
        <w:rPr>
          <w:rFonts w:ascii="Times New Roman" w:hAnsi="Times New Roman"/>
          <w:sz w:val="24"/>
          <w:szCs w:val="24"/>
        </w:rPr>
        <w:t xml:space="preserve"> semanal aos servidores do governo estadual. Participação nas audiências públicas e seminários. Atendimento à imprensa e elaboração de materiais de comunicação diversos. Desenvolvimento de ações com o Procon e Ouvidoria.</w:t>
      </w:r>
    </w:p>
    <w:p w:rsidR="003E6588" w:rsidRDefault="003E6588">
      <w:pPr>
        <w:pStyle w:val="PargrafodaLista"/>
        <w:ind w:left="0" w:right="-239" w:firstLine="1134"/>
        <w:rPr>
          <w:rFonts w:ascii="Times New Roman" w:hAnsi="Times New Roman"/>
          <w:sz w:val="24"/>
          <w:szCs w:val="24"/>
        </w:rPr>
      </w:pPr>
    </w:p>
    <w:p w:rsidR="003E6588" w:rsidRDefault="003E6588">
      <w:pPr>
        <w:pStyle w:val="PargrafodaLista"/>
        <w:ind w:left="0" w:right="-93" w:firstLine="1134"/>
        <w:contextualSpacing w:val="0"/>
        <w:rPr>
          <w:rFonts w:ascii="Times New Roman" w:hAnsi="Times New Roman"/>
          <w:bCs/>
          <w:sz w:val="24"/>
          <w:szCs w:val="24"/>
        </w:rPr>
      </w:pPr>
      <w:r>
        <w:rPr>
          <w:rFonts w:ascii="Times New Roman" w:hAnsi="Times New Roman"/>
          <w:bCs/>
          <w:sz w:val="24"/>
          <w:szCs w:val="24"/>
        </w:rPr>
        <w:lastRenderedPageBreak/>
        <w:t>- Projetos “Família em Campo” - Julgamento e premiação do concurso “Bola da Família”, onde representantes de 91 Diretorias de Ensino participantes do Programa Escola da Família, da Secretaria da Educação, decoraram 2.603 bolas. Jogos do “Torneio da Família”, campeonato que envolveu 3.000 pessoas de 189 escolas.</w:t>
      </w:r>
    </w:p>
    <w:p w:rsidR="003E6588" w:rsidRDefault="003E6588">
      <w:pPr>
        <w:pStyle w:val="PargrafodaLista"/>
        <w:ind w:left="0" w:firstLine="1134"/>
        <w:contextualSpacing w:val="0"/>
        <w:rPr>
          <w:rFonts w:ascii="Times New Roman" w:hAnsi="Times New Roman"/>
          <w:bCs/>
          <w:sz w:val="24"/>
          <w:szCs w:val="24"/>
        </w:rPr>
      </w:pPr>
    </w:p>
    <w:p w:rsidR="003E6588" w:rsidRDefault="003E6588">
      <w:pPr>
        <w:pStyle w:val="PargrafodaLista"/>
        <w:ind w:left="0" w:right="-93" w:firstLine="1134"/>
        <w:contextualSpacing w:val="0"/>
        <w:rPr>
          <w:rFonts w:ascii="Times New Roman" w:hAnsi="Times New Roman"/>
          <w:bCs/>
          <w:sz w:val="24"/>
          <w:szCs w:val="24"/>
        </w:rPr>
      </w:pPr>
      <w:r>
        <w:rPr>
          <w:rFonts w:ascii="Times New Roman" w:hAnsi="Times New Roman"/>
          <w:bCs/>
          <w:sz w:val="24"/>
          <w:szCs w:val="24"/>
        </w:rPr>
        <w:t xml:space="preserve">- Interface com FIFA/Comitê Organizador Local - COL/Ministério do Esporte - Participação em reuniões/seminários promovidos pelo COL e pela FIFA. Participação em reuniões do Ministério do Esporte sobre Integração de Planos Operacionais, Comitê de Responsabilidades, Balanço da Copa, Seminário de Legado e Câmaras Temáticas do governo federal. Colaborou com a Câmara de Meio Ambiente e Sustentabilidade - Mudanças Climáticas, fornecendo informações dos entes estaduais para realização do Inventário </w:t>
      </w:r>
      <w:r>
        <w:rPr>
          <w:rFonts w:ascii="Times New Roman" w:hAnsi="Times New Roman"/>
          <w:bCs/>
          <w:i/>
          <w:sz w:val="24"/>
          <w:szCs w:val="24"/>
        </w:rPr>
        <w:t>ex post</w:t>
      </w:r>
      <w:r>
        <w:rPr>
          <w:rFonts w:ascii="Times New Roman" w:hAnsi="Times New Roman"/>
          <w:bCs/>
          <w:sz w:val="24"/>
          <w:szCs w:val="24"/>
        </w:rPr>
        <w:t xml:space="preserve"> de Emissão de GEE Copa do Mundo.</w:t>
      </w:r>
    </w:p>
    <w:p w:rsidR="003E6588" w:rsidRDefault="003E6588">
      <w:pPr>
        <w:pStyle w:val="PargrafodaLista"/>
        <w:ind w:left="0" w:firstLine="1134"/>
        <w:contextualSpacing w:val="0"/>
        <w:rPr>
          <w:rFonts w:ascii="Times New Roman" w:hAnsi="Times New Roman"/>
          <w:bCs/>
          <w:sz w:val="24"/>
          <w:szCs w:val="24"/>
        </w:rPr>
      </w:pPr>
    </w:p>
    <w:p w:rsidR="003E6588" w:rsidRDefault="003E6588">
      <w:pPr>
        <w:pStyle w:val="PargrafodaLista"/>
        <w:ind w:left="0" w:firstLine="1134"/>
        <w:contextualSpacing w:val="0"/>
        <w:rPr>
          <w:rFonts w:ascii="Times New Roman" w:hAnsi="Times New Roman"/>
          <w:bCs/>
          <w:sz w:val="24"/>
          <w:szCs w:val="24"/>
        </w:rPr>
      </w:pPr>
      <w:r>
        <w:rPr>
          <w:rFonts w:ascii="Times New Roman" w:hAnsi="Times New Roman"/>
          <w:bCs/>
          <w:sz w:val="24"/>
          <w:szCs w:val="24"/>
        </w:rPr>
        <w:t>- Projeto do Estádio - Reuniões com responsáveis pela Arena Corinthians (Sport Club Corinthians Paulista e Construtora Odebrecht), para acompanhamento e execução das adequações do projeto do estádio aos requisitos da FIFA. Reuniões com FIFA/COL, Polícia Militar e Corpo de Bombeiros, para identificação de pendências. Participação nas visitas técnicas de inspeção da FIFA/COL ao estádio.</w:t>
      </w:r>
    </w:p>
    <w:p w:rsidR="003E6588" w:rsidRDefault="003E6588">
      <w:pPr>
        <w:pStyle w:val="PargrafodaLista"/>
        <w:ind w:left="0" w:firstLine="1134"/>
        <w:contextualSpacing w:val="0"/>
        <w:rPr>
          <w:rFonts w:ascii="Times New Roman" w:hAnsi="Times New Roman"/>
          <w:bCs/>
          <w:sz w:val="24"/>
          <w:szCs w:val="24"/>
        </w:rPr>
      </w:pPr>
    </w:p>
    <w:p w:rsidR="003E6588" w:rsidRDefault="003E6588">
      <w:pPr>
        <w:pStyle w:val="PargrafodaLista"/>
        <w:ind w:left="0" w:firstLine="1134"/>
        <w:contextualSpacing w:val="0"/>
        <w:rPr>
          <w:rFonts w:ascii="Times New Roman" w:hAnsi="Times New Roman"/>
          <w:bCs/>
          <w:sz w:val="24"/>
          <w:szCs w:val="24"/>
        </w:rPr>
      </w:pPr>
      <w:r>
        <w:rPr>
          <w:rFonts w:ascii="Times New Roman" w:hAnsi="Times New Roman"/>
          <w:bCs/>
          <w:sz w:val="24"/>
          <w:szCs w:val="24"/>
        </w:rPr>
        <w:t xml:space="preserve">- Estruturas complementares - Participação na elaboração da planta geral do evento (Masterplan) e no estudo de fluxo de multidão do estádio até as estações de Metrô e CPTM. Cessão de área da Faculdade de Tecnologia </w:t>
      </w:r>
      <w:r w:rsidR="003126E8">
        <w:rPr>
          <w:rFonts w:ascii="Times New Roman" w:hAnsi="Times New Roman"/>
          <w:bCs/>
          <w:sz w:val="24"/>
          <w:szCs w:val="24"/>
        </w:rPr>
        <w:t xml:space="preserve">- </w:t>
      </w:r>
      <w:r>
        <w:rPr>
          <w:rFonts w:ascii="Times New Roman" w:hAnsi="Times New Roman"/>
          <w:bCs/>
          <w:sz w:val="24"/>
          <w:szCs w:val="24"/>
        </w:rPr>
        <w:t>Fatec para o Centro de Credenciamento. Apoio aos voluntários, à cerimônia de abertura. Estruturação de escritório avançado do Comitê Paulista na Zona Leste.</w:t>
      </w:r>
    </w:p>
    <w:p w:rsidR="003E6588" w:rsidRDefault="003E6588">
      <w:pPr>
        <w:pStyle w:val="PargrafodaLista"/>
        <w:ind w:left="0" w:firstLine="1134"/>
        <w:contextualSpacing w:val="0"/>
        <w:rPr>
          <w:rFonts w:ascii="Times New Roman" w:hAnsi="Times New Roman"/>
          <w:bCs/>
          <w:sz w:val="24"/>
          <w:szCs w:val="24"/>
        </w:rPr>
      </w:pPr>
    </w:p>
    <w:p w:rsidR="003E6588" w:rsidRDefault="003E6588">
      <w:pPr>
        <w:pStyle w:val="PargrafodaLista"/>
        <w:ind w:left="0" w:firstLine="1134"/>
        <w:contextualSpacing w:val="0"/>
        <w:rPr>
          <w:rFonts w:ascii="Times New Roman" w:hAnsi="Times New Roman"/>
          <w:bCs/>
          <w:sz w:val="24"/>
          <w:szCs w:val="24"/>
        </w:rPr>
      </w:pPr>
      <w:r>
        <w:rPr>
          <w:rFonts w:ascii="Times New Roman" w:hAnsi="Times New Roman"/>
          <w:bCs/>
          <w:sz w:val="24"/>
          <w:szCs w:val="24"/>
        </w:rPr>
        <w:t>- Execução e participação em eventos - Acompanhamento das visitas de parlamentares e representantes de entidades da sociedade civil ao estádio, obras do entorno e aeroportos. Participação em seminários diversos de divulgação dos preparativos para a Copa.</w:t>
      </w:r>
    </w:p>
    <w:p w:rsidR="003E6588" w:rsidRDefault="003E6588">
      <w:pPr>
        <w:pStyle w:val="PargrafodaLista"/>
        <w:ind w:left="0" w:firstLine="1134"/>
        <w:contextualSpacing w:val="0"/>
        <w:rPr>
          <w:rFonts w:ascii="Times New Roman" w:hAnsi="Times New Roman"/>
          <w:bCs/>
          <w:sz w:val="24"/>
          <w:szCs w:val="24"/>
        </w:rPr>
      </w:pPr>
    </w:p>
    <w:p w:rsidR="003E6588" w:rsidRDefault="003E6588">
      <w:pPr>
        <w:pStyle w:val="PargrafodaLista"/>
        <w:ind w:left="0" w:firstLine="1134"/>
        <w:contextualSpacing w:val="0"/>
        <w:rPr>
          <w:rFonts w:ascii="Times New Roman" w:hAnsi="Times New Roman"/>
          <w:sz w:val="24"/>
          <w:szCs w:val="24"/>
          <w:shd w:val="clear" w:color="auto" w:fill="FFFFFF"/>
        </w:rPr>
      </w:pPr>
      <w:r>
        <w:rPr>
          <w:rFonts w:ascii="Times New Roman" w:hAnsi="Times New Roman"/>
          <w:bCs/>
          <w:sz w:val="24"/>
          <w:szCs w:val="24"/>
        </w:rPr>
        <w:t>- Projeto Cidade Base - Acompanhamento das tratativas finais entre as 15 seleções que se hospedaram no Estado e seus respectivos centos de treinamento/cidades. Acompanhamento da estadia das delegações.</w:t>
      </w:r>
    </w:p>
    <w:p w:rsidR="003E6588" w:rsidRDefault="003E6588">
      <w:pPr>
        <w:pStyle w:val="PargrafodaLista"/>
        <w:ind w:left="0" w:firstLine="1134"/>
        <w:contextualSpacing w:val="0"/>
        <w:rPr>
          <w:rFonts w:ascii="Times New Roman" w:hAnsi="Times New Roman"/>
          <w:sz w:val="24"/>
          <w:szCs w:val="24"/>
          <w:shd w:val="clear" w:color="auto" w:fill="FFFFFF"/>
        </w:rPr>
      </w:pPr>
    </w:p>
    <w:p w:rsidR="003E6588" w:rsidRDefault="003E6588">
      <w:pPr>
        <w:pStyle w:val="PargrafodaLista"/>
        <w:ind w:left="0" w:firstLine="1134"/>
        <w:contextualSpacing w:val="0"/>
        <w:rPr>
          <w:rFonts w:ascii="Times New Roman" w:hAnsi="Times New Roman"/>
          <w:i/>
          <w:sz w:val="24"/>
          <w:szCs w:val="24"/>
          <w:shd w:val="clear" w:color="auto" w:fill="FFFFFF"/>
        </w:rPr>
      </w:pPr>
      <w:r>
        <w:rPr>
          <w:rFonts w:ascii="Times New Roman" w:hAnsi="Times New Roman"/>
          <w:bCs/>
          <w:sz w:val="24"/>
          <w:szCs w:val="24"/>
        </w:rPr>
        <w:t>- Roteiros Paulistas - Finalização, lançamento e divulgação do guia Roteiros Paulistas, com proposta de fomentar o turismo em São Paulo antes, durante e depois do Mundial.</w:t>
      </w:r>
    </w:p>
    <w:p w:rsidR="003E6588" w:rsidRDefault="003E6588">
      <w:pPr>
        <w:pStyle w:val="PargrafodaLista"/>
        <w:ind w:left="0" w:firstLine="1134"/>
        <w:contextualSpacing w:val="0"/>
        <w:rPr>
          <w:rFonts w:ascii="Times New Roman" w:hAnsi="Times New Roman"/>
          <w:i/>
          <w:sz w:val="24"/>
          <w:szCs w:val="24"/>
          <w:shd w:val="clear" w:color="auto" w:fill="FFFFFF"/>
        </w:rPr>
      </w:pPr>
    </w:p>
    <w:p w:rsidR="003E6588" w:rsidRDefault="003E6588">
      <w:pPr>
        <w:pStyle w:val="PargrafodaLista"/>
        <w:ind w:left="0" w:firstLine="1134"/>
        <w:contextualSpacing w:val="0"/>
        <w:rPr>
          <w:rFonts w:ascii="Times New Roman" w:hAnsi="Times New Roman"/>
          <w:bCs/>
          <w:sz w:val="24"/>
          <w:szCs w:val="24"/>
        </w:rPr>
      </w:pPr>
      <w:r>
        <w:rPr>
          <w:rFonts w:ascii="Times New Roman" w:hAnsi="Times New Roman"/>
          <w:bCs/>
          <w:sz w:val="24"/>
          <w:szCs w:val="24"/>
        </w:rPr>
        <w:t xml:space="preserve">- Guia de Orientação Local </w:t>
      </w:r>
      <w:r w:rsidR="003126E8">
        <w:rPr>
          <w:rFonts w:ascii="Times New Roman" w:hAnsi="Times New Roman"/>
          <w:bCs/>
          <w:sz w:val="24"/>
          <w:szCs w:val="24"/>
        </w:rPr>
        <w:t>-</w:t>
      </w:r>
      <w:r>
        <w:rPr>
          <w:rFonts w:ascii="Times New Roman" w:hAnsi="Times New Roman"/>
          <w:bCs/>
          <w:sz w:val="24"/>
          <w:szCs w:val="24"/>
        </w:rPr>
        <w:t xml:space="preserve"> GOL - Lançamento do guia nos Municípios de Santos, Campinas, Itu, Águas de Lindóia, São Carlos, Mogi das Cruzes, Ribeirão Preto, Guarulhos, Ubatuba, Sorocaba, Campos do Jordão e São Paulo.</w:t>
      </w:r>
    </w:p>
    <w:p w:rsidR="003E6588" w:rsidRDefault="003E6588">
      <w:pPr>
        <w:pStyle w:val="PargrafodaLista"/>
        <w:ind w:left="0" w:firstLine="1134"/>
        <w:contextualSpacing w:val="0"/>
        <w:rPr>
          <w:rFonts w:ascii="Times New Roman" w:hAnsi="Times New Roman"/>
          <w:bCs/>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Cs/>
          <w:sz w:val="24"/>
          <w:szCs w:val="24"/>
        </w:rPr>
        <w:t xml:space="preserve">- Complexo Viário Itaquera - Acompanhamento da conclusão das obras do conjunto de viadutos, vias, alças de acesso e túnel, executadas pela Dersa S/A com recursos do Estado e do Município de São Paulo. </w:t>
      </w:r>
    </w:p>
    <w:p w:rsidR="003E6588" w:rsidRDefault="003E6588" w:rsidP="00716AF0">
      <w:pPr>
        <w:ind w:firstLine="1134"/>
        <w:jc w:val="both"/>
      </w:pPr>
    </w:p>
    <w:p w:rsidR="003126E8" w:rsidRDefault="003126E8" w:rsidP="00716AF0">
      <w:pPr>
        <w:ind w:firstLine="1134"/>
        <w:jc w:val="both"/>
      </w:pPr>
    </w:p>
    <w:p w:rsidR="003E6588" w:rsidRDefault="003E6588">
      <w:pPr>
        <w:ind w:firstLine="1134"/>
        <w:jc w:val="both"/>
        <w:rPr>
          <w:strike/>
        </w:rPr>
      </w:pPr>
      <w:r>
        <w:rPr>
          <w:b/>
        </w:rPr>
        <w:lastRenderedPageBreak/>
        <w:t>Conselho do Patrimônio Imobiliário - CPI - Principais ações</w:t>
      </w:r>
    </w:p>
    <w:p w:rsidR="003E6588" w:rsidRDefault="003E6588">
      <w:pPr>
        <w:ind w:firstLine="1134"/>
        <w:jc w:val="both"/>
        <w:rPr>
          <w:strike/>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Aperfeiçoamento e melhoria da tecnologia do Conselho do Patrimônio Imobiliário - Concepção da solução de modernização tecnológica do Conselho, com vistas ao detalhamento, melhoria e celerização dos fluxos de processos. Implantação do novo Sistema de Gerenciamento de Imóveis - SGI, buscando aperfeiçoamento da gestão de dados, de modo a contabilizar os valores da propriedade. Execução de estudos para a interligação com os sistemas de pagamento do Estado, com vistas à centralização de informações de custeio.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Atualização contínua do Banco de Dados de Imóveis - SGI.</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Instrução dos processos imobiliários - Conselho analisou 1.435 processos, cuja matéria versa sobre aspectos imobiliários. O órgão recomendou 300 ações (permissão de uso, doação, venda e compra, venda), que originaram autorizações aos setoriais do Governo, aos diversos municípios e a organizações não-governamentais, com vistas à melhoria dos serviços de relevante interesse público, de caráter regional e local.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Interlocução com os Prefeitos dos Municípios de Santo André, São Bernardo do Campo, Mauá, Guarulhos e Diadema para doação de 1.400 imóveis doados pelo METRÔ, remanescentes do Anel Viário Metropolitano, que servirá à Administração para implantação de equipamentos públicos de uso coletivo, e regularizará os leitos de rua inseridos, cuja atribuição é da Municipalidade.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Tratativas com o Município de São Paulo para outorgar a doação de 440 imóveis localizados na região da Avenida Jornalista Roberto Marinho, para regularização e edificação de unidades habitacionais, e melhoria da infraestrutura urbana local.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Apoio e orientação aos vários setoriais da Administração para aquisição, por meio de desapropriação, de imóveis na região central da Capital, com vistas à redução dos gastos com locação.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Formulação da política e fiscalização dos usos dos espaços utilizados por terceiros, em especial aqueles ocupados pelo Agente Financeiro Oficial do Estado.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Coordenação do grupo de trabalho constituído por vários setoriais para estudos acerca da inserção de dados no Sistema de Gestão Fundiária - SIGEF do INCRA, que tem como escopo a recepção, validação, organização, regularização e disponibilização das informações georreferenciadas de limites de imóveis rurais.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Venda de imóveis inservíveis - Venda de 24 imóveis não utilizados pela Administração estadual, cujos trabalhos resultaram em arrecadação de R$ 30,4 milhões.</w:t>
      </w:r>
    </w:p>
    <w:p w:rsidR="003E6588" w:rsidRDefault="003E6588" w:rsidP="00716AF0">
      <w:pPr>
        <w:ind w:firstLine="1134"/>
        <w:jc w:val="both"/>
      </w:pPr>
    </w:p>
    <w:p w:rsidR="003E6588" w:rsidRDefault="003E6588" w:rsidP="003126E8">
      <w:pPr>
        <w:ind w:firstLine="1134"/>
        <w:jc w:val="both"/>
        <w:rPr>
          <w:b/>
        </w:rPr>
      </w:pPr>
      <w:r>
        <w:rPr>
          <w:b/>
        </w:rPr>
        <w:t>Inovação em Governo</w:t>
      </w:r>
    </w:p>
    <w:p w:rsidR="003E6588" w:rsidRDefault="003E6588" w:rsidP="00716AF0">
      <w:pPr>
        <w:ind w:firstLine="1134"/>
        <w:jc w:val="both"/>
      </w:pPr>
    </w:p>
    <w:p w:rsidR="003E6588" w:rsidRDefault="003E6588">
      <w:pPr>
        <w:ind w:firstLine="1134"/>
        <w:jc w:val="both"/>
        <w:rPr>
          <w:strike/>
        </w:rPr>
      </w:pPr>
      <w:r>
        <w:rPr>
          <w:b/>
        </w:rPr>
        <w:t>Suprimentos e Compras Públicas</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 xml:space="preserve">Pregão Eletrônico - Desenvolvimento, manutenção e atualização do sítio www.pregao.sp.gov.br, que tem como objetivo disponibilizar o conhecimento gerado no âmbito da Administração Pública sobre uma modalidade de licitação e disponibiliza informações sobre os pregões realizados. Foram realizados 23.538 pregões (22.470 eletrônicos e 1.068 presenciais), com redução de 23,34% nos valores referenciais (R$ 20,79 bilhões), resultando economia de R$ 4,85 bilhões de reais. Acesso médio mensal de visitas ao </w:t>
      </w:r>
      <w:r w:rsidRPr="003126E8">
        <w:rPr>
          <w:rFonts w:ascii="Times New Roman" w:hAnsi="Times New Roman"/>
          <w:i/>
          <w:sz w:val="24"/>
          <w:szCs w:val="24"/>
        </w:rPr>
        <w:t>site</w:t>
      </w:r>
      <w:r>
        <w:rPr>
          <w:rFonts w:ascii="Times New Roman" w:hAnsi="Times New Roman"/>
          <w:sz w:val="24"/>
          <w:szCs w:val="24"/>
        </w:rPr>
        <w:t>: 24.701.</w:t>
      </w:r>
    </w:p>
    <w:p w:rsidR="003E6588" w:rsidRDefault="003E6588">
      <w:pPr>
        <w:pStyle w:val="PargrafodaLista"/>
        <w:ind w:left="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Sanções Administrativas - Desenvolvimento, manutenção e atualização do sítio www.sancoes.sp.gov.br, que tem como objetivo registrar e divulgar as sanções administrativas de pessoas físicas e jurídicas sancionadas por inexecução total ou parcial de suas obrigações contratuais, ou por irregularidade praticada na condição de licitante em certames realizados pela Administração Estadual. Atualmente. Estão registradas 1.145 penalidades em andamento. Acesso médio média de visitas ao site: 16.512.</w:t>
      </w:r>
    </w:p>
    <w:p w:rsidR="003E6588" w:rsidRDefault="003E6588">
      <w:pPr>
        <w:ind w:firstLine="1134"/>
        <w:jc w:val="both"/>
        <w:rPr>
          <w:b/>
          <w:strike/>
          <w:u w:val="single"/>
        </w:rPr>
      </w:pPr>
    </w:p>
    <w:p w:rsidR="003E6588" w:rsidRDefault="003E6588">
      <w:pPr>
        <w:ind w:firstLine="1134"/>
        <w:jc w:val="both"/>
        <w:rPr>
          <w:b/>
        </w:rPr>
      </w:pPr>
      <w:r>
        <w:rPr>
          <w:b/>
        </w:rPr>
        <w:t>Cultura da Inovação</w:t>
      </w:r>
    </w:p>
    <w:p w:rsidR="003E6588" w:rsidRDefault="003E6588">
      <w:pPr>
        <w:ind w:firstLine="1134"/>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Inovaday - Foram realizados 9 encontros, com apresentação de 16 palestras, abordando os seguintes temas: Copa do Mundo de 2014: planejamento, desafios e legado; Ideação como Utilidade Pública; </w:t>
      </w:r>
      <w:r>
        <w:rPr>
          <w:rFonts w:ascii="Times New Roman" w:hAnsi="Times New Roman"/>
          <w:i/>
          <w:sz w:val="24"/>
          <w:szCs w:val="24"/>
        </w:rPr>
        <w:t xml:space="preserve">Design Thinking </w:t>
      </w:r>
      <w:r>
        <w:rPr>
          <w:rFonts w:ascii="Times New Roman" w:hAnsi="Times New Roman"/>
          <w:sz w:val="24"/>
          <w:szCs w:val="24"/>
        </w:rPr>
        <w:t xml:space="preserve">aplicado ao serviço legislativo; Economia Criativa e Colaborativa: Oportunidades para Gestão Inovadora de Territórios; Sampa CriAtiva: uma plataforma colaborativa para coleta e difusão de ideias; Inovação Social: como pensar de maneira sistêmica para impactar positivamente a sociedade; O que é Arredondar?; Revisitando o </w:t>
      </w:r>
      <w:r>
        <w:rPr>
          <w:rFonts w:ascii="Times New Roman" w:hAnsi="Times New Roman"/>
          <w:i/>
          <w:sz w:val="24"/>
          <w:szCs w:val="24"/>
        </w:rPr>
        <w:t>Design Thinking</w:t>
      </w:r>
      <w:r>
        <w:rPr>
          <w:rFonts w:ascii="Times New Roman" w:hAnsi="Times New Roman"/>
          <w:sz w:val="24"/>
          <w:szCs w:val="24"/>
        </w:rPr>
        <w:t xml:space="preserve"> com o pensamento crítico brasileiro; Processos de Conhecimento na Gestão de Projetos - Caso Natura; </w:t>
      </w:r>
      <w:r>
        <w:rPr>
          <w:rFonts w:ascii="Times New Roman" w:hAnsi="Times New Roman"/>
          <w:i/>
          <w:sz w:val="24"/>
          <w:szCs w:val="24"/>
        </w:rPr>
        <w:t>Fab Labs</w:t>
      </w:r>
      <w:r>
        <w:rPr>
          <w:rFonts w:ascii="Times New Roman" w:hAnsi="Times New Roman"/>
          <w:sz w:val="24"/>
          <w:szCs w:val="24"/>
        </w:rPr>
        <w:t xml:space="preserve"> e o movimento </w:t>
      </w:r>
      <w:r>
        <w:rPr>
          <w:rFonts w:ascii="Times New Roman" w:hAnsi="Times New Roman"/>
          <w:i/>
          <w:sz w:val="24"/>
          <w:szCs w:val="24"/>
        </w:rPr>
        <w:t>Maker</w:t>
      </w:r>
      <w:r>
        <w:rPr>
          <w:rFonts w:ascii="Times New Roman" w:hAnsi="Times New Roman"/>
          <w:sz w:val="24"/>
          <w:szCs w:val="24"/>
        </w:rPr>
        <w:t>; Do pombo ao VANT, um novo olhar sobre o Estado; Truco: os candidatos falam e eles checam; Chega de Fiu Fiu: campanha contra o assédio sexual; Política de Boteco: a discussão de projetos de lei controversos; O educador, princípio da Pedagogia Profunda ; O uso de dados como norte para políticas educacionais.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Santo de Casa faz Milagre - Projeto em parceria com a Unidade Central de Recursos Humanos, da Secretaria de Gestão Pública, que visa identificar e reconhecer servidores públicos que têm superado expectativas no exercício da função pública.</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InovaDay Especial - Foram realizados os seguintes eventos: Inovaday Especial CEPAM, cujo tema foi Economia Criativa; e InovaDay Especial FUNDAP, cujo tema foi a pesquisa de Gestão do Conhecimento na Administração Pública realizada pelo IPEA.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Publicação de Livro no formato </w:t>
      </w:r>
      <w:r>
        <w:rPr>
          <w:rFonts w:ascii="Times New Roman" w:hAnsi="Times New Roman"/>
          <w:i/>
          <w:sz w:val="24"/>
          <w:szCs w:val="24"/>
        </w:rPr>
        <w:t>e-book</w:t>
      </w:r>
      <w:r>
        <w:rPr>
          <w:rFonts w:ascii="Times New Roman" w:hAnsi="Times New Roman"/>
          <w:sz w:val="24"/>
          <w:szCs w:val="24"/>
        </w:rPr>
        <w:t xml:space="preserve"> “Gestão do Conhecimento e Inovação no Setor Público - Dá pra Fazer”: elaboração e edição eletrônica de publicação técnica acerca da inovação e gestão do conhecimento no âmbito da Administração Pública.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Rede Paulista de Inovação: manutenção e aprimoramento do Portal, que teve 265 postagens e 25.425 acessos.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 xml:space="preserve">Criação e implantação do </w:t>
      </w:r>
      <w:r w:rsidRPr="009E5061">
        <w:rPr>
          <w:rFonts w:ascii="Times New Roman" w:hAnsi="Times New Roman"/>
          <w:i/>
          <w:sz w:val="24"/>
          <w:szCs w:val="24"/>
        </w:rPr>
        <w:t>Blog</w:t>
      </w:r>
      <w:r>
        <w:rPr>
          <w:rFonts w:ascii="Times New Roman" w:hAnsi="Times New Roman"/>
          <w:sz w:val="24"/>
          <w:szCs w:val="24"/>
        </w:rPr>
        <w:t xml:space="preserve"> “Governo 21” - Produto da Rede Paulista de Inovação, tem como objetivo central identificar, pontuar e comentar experiências exitosas no campo da inovação governamental nacional e internacional, em todos os poderes (Executivo, Legislativo e Judiciário) e esferas de governo (municipal, estadual e federal).</w:t>
      </w:r>
    </w:p>
    <w:p w:rsidR="003126E8" w:rsidRDefault="003126E8">
      <w:pPr>
        <w:pStyle w:val="PargrafodaLista"/>
        <w:ind w:left="0" w:firstLine="1134"/>
        <w:rPr>
          <w:rFonts w:ascii="Times New Roman" w:hAnsi="Times New Roman"/>
          <w:strike/>
          <w:sz w:val="24"/>
          <w:szCs w:val="24"/>
        </w:rPr>
      </w:pPr>
    </w:p>
    <w:p w:rsidR="003E6588" w:rsidRDefault="003E6588">
      <w:pPr>
        <w:ind w:firstLine="1134"/>
        <w:jc w:val="both"/>
        <w:rPr>
          <w:b/>
        </w:rPr>
      </w:pPr>
      <w:r>
        <w:rPr>
          <w:b/>
        </w:rPr>
        <w:t>Capacitação</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Curso de </w:t>
      </w:r>
      <w:r>
        <w:rPr>
          <w:rFonts w:ascii="Times New Roman" w:hAnsi="Times New Roman"/>
          <w:i/>
          <w:sz w:val="24"/>
          <w:szCs w:val="24"/>
        </w:rPr>
        <w:t>Design Thinking</w:t>
      </w:r>
      <w:r>
        <w:rPr>
          <w:rFonts w:ascii="Times New Roman" w:hAnsi="Times New Roman"/>
          <w:sz w:val="24"/>
          <w:szCs w:val="24"/>
        </w:rPr>
        <w:t xml:space="preserve"> na Fundap: apoio na organização e definição de escopo do </w:t>
      </w:r>
      <w:r>
        <w:rPr>
          <w:rFonts w:ascii="Times New Roman" w:hAnsi="Times New Roman"/>
          <w:i/>
          <w:sz w:val="24"/>
          <w:szCs w:val="24"/>
        </w:rPr>
        <w:t>workshop</w:t>
      </w:r>
      <w:r>
        <w:rPr>
          <w:rFonts w:ascii="Times New Roman" w:hAnsi="Times New Roman"/>
          <w:sz w:val="24"/>
          <w:szCs w:val="24"/>
        </w:rPr>
        <w:t xml:space="preserve"> “Introdução ao </w:t>
      </w:r>
      <w:r>
        <w:rPr>
          <w:rFonts w:ascii="Times New Roman" w:hAnsi="Times New Roman"/>
          <w:i/>
          <w:sz w:val="24"/>
          <w:szCs w:val="24"/>
        </w:rPr>
        <w:t>Design Thinking</w:t>
      </w:r>
      <w:r>
        <w:rPr>
          <w:rFonts w:ascii="Times New Roman" w:hAnsi="Times New Roman"/>
          <w:sz w:val="24"/>
          <w:szCs w:val="24"/>
        </w:rPr>
        <w:t>”, para gestores públicos.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Programa Excelência Gerencial da Sabesp (PGE) - Coordenação do módulo de Gestão do Conhecimento e Inovação (conceitos e oficinas), abrangendo 120 Gerentes.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Palestras: “Gestão do Conhecimento e Inovação no Setor Público”, no “1º Encontro Intermunicipal de Escolas de Governo da Região de Sorocaba”; “Inovação Organizacional no Setor Público”, no CEPAM; c) “Capacitação 360° - Como alinhar forma e conteúdo para atender ao governo do século XXI”, no 1° Encontro Paulista de Escolas de Governo Municipais no CEPAM; “O Setor Público na Era do Conhecimento”, no VII Congresso CONSAD de Gestão Pública; “Choque de Conhecimento: as novas competências do setor público no século XXI”, no KM 2014; “Capacitação 360°”, na Escola de Governo e Gestão de Mogi Das Cruzes; Planejamento da implantação do Laboratório de Inovação em Governo - iGovLab, em processo de montagem na FUNDAP; formatação das disciplinas que comporão o primeiro curso a ser ministrado no Laboratório de Inovação em Governo - iGovLab, em processo de montagem na FUNDAP; Planejamento, estruturação, proferimento de aulas e palestra sobre Gestão do Conhecimento e Inovação no Setor Público na Secretaria da Fazenda; palestra no Ministério Público de Santa Catarina, sob o título “Inovação em Governo: Dá Prá Fazer”; formatação do curso </w:t>
      </w:r>
      <w:r>
        <w:rPr>
          <w:rFonts w:ascii="Times New Roman" w:hAnsi="Times New Roman"/>
          <w:i/>
          <w:sz w:val="24"/>
          <w:szCs w:val="24"/>
        </w:rPr>
        <w:t>on line</w:t>
      </w:r>
      <w:r>
        <w:rPr>
          <w:rFonts w:ascii="Times New Roman" w:hAnsi="Times New Roman"/>
          <w:sz w:val="24"/>
          <w:szCs w:val="24"/>
        </w:rPr>
        <w:t xml:space="preserve"> “</w:t>
      </w:r>
      <w:r>
        <w:rPr>
          <w:rFonts w:ascii="Times New Roman" w:hAnsi="Times New Roman"/>
          <w:i/>
          <w:sz w:val="24"/>
          <w:szCs w:val="24"/>
        </w:rPr>
        <w:t>Design</w:t>
      </w:r>
      <w:r>
        <w:rPr>
          <w:rFonts w:ascii="Times New Roman" w:hAnsi="Times New Roman"/>
          <w:sz w:val="24"/>
          <w:szCs w:val="24"/>
        </w:rPr>
        <w:t xml:space="preserve"> de Serviços Públicos”, a compor o portfólio do iGovLab, com abrangência de até mil alunos por curso; palestra no curso CONSEG, sob o título “O Governo em Rede”; elaboração de material e apresentação de vídeo-aula na UNIVESP, sobre “O Impacto da Inovação em Governo”; m) palestra no </w:t>
      </w:r>
      <w:r>
        <w:rPr>
          <w:rFonts w:ascii="Times New Roman" w:hAnsi="Times New Roman"/>
          <w:i/>
          <w:sz w:val="24"/>
          <w:szCs w:val="24"/>
        </w:rPr>
        <w:t>Gartner Symposium</w:t>
      </w:r>
      <w:r>
        <w:rPr>
          <w:rFonts w:ascii="Times New Roman" w:hAnsi="Times New Roman"/>
          <w:sz w:val="24"/>
          <w:szCs w:val="24"/>
        </w:rPr>
        <w:t xml:space="preserve"> IT 2014.</w:t>
      </w:r>
    </w:p>
    <w:p w:rsidR="003E6588" w:rsidRDefault="003E6588">
      <w:pPr>
        <w:pStyle w:val="PargrafodaLista"/>
        <w:ind w:left="0" w:firstLine="1134"/>
        <w:rPr>
          <w:rFonts w:ascii="Times New Roman" w:hAnsi="Times New Roman"/>
          <w:sz w:val="24"/>
          <w:szCs w:val="24"/>
        </w:rPr>
      </w:pPr>
    </w:p>
    <w:p w:rsidR="003E6588" w:rsidRDefault="003E6588">
      <w:pPr>
        <w:ind w:firstLine="1134"/>
        <w:jc w:val="both"/>
        <w:rPr>
          <w:b/>
        </w:rPr>
      </w:pPr>
      <w:r>
        <w:rPr>
          <w:b/>
        </w:rPr>
        <w:t>Prospecção de Tecnologias para Inovação</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Prospecção de novas ferramentas sociais disponibilizadas em </w:t>
      </w:r>
      <w:r>
        <w:rPr>
          <w:rFonts w:ascii="Times New Roman" w:hAnsi="Times New Roman"/>
          <w:i/>
          <w:sz w:val="24"/>
          <w:szCs w:val="24"/>
        </w:rPr>
        <w:t>blog</w:t>
      </w:r>
      <w:r>
        <w:rPr>
          <w:rFonts w:ascii="Times New Roman" w:hAnsi="Times New Roman"/>
          <w:sz w:val="24"/>
          <w:szCs w:val="24"/>
        </w:rPr>
        <w:t xml:space="preserve"> de boas práticas e em matérias postadas nos diversos </w:t>
      </w:r>
      <w:r>
        <w:rPr>
          <w:rFonts w:ascii="Times New Roman" w:hAnsi="Times New Roman"/>
          <w:i/>
          <w:sz w:val="24"/>
          <w:szCs w:val="24"/>
        </w:rPr>
        <w:t>blogs</w:t>
      </w:r>
      <w:r>
        <w:rPr>
          <w:rFonts w:ascii="Times New Roman" w:hAnsi="Times New Roman"/>
          <w:sz w:val="24"/>
          <w:szCs w:val="24"/>
        </w:rPr>
        <w:t xml:space="preserve"> da Rede Paulista de Inovação em Governo (</w:t>
      </w:r>
      <w:hyperlink r:id="rId67" w:history="1">
        <w:r w:rsidRPr="00716AF0">
          <w:rPr>
            <w:rStyle w:val="Hyperlink"/>
            <w:rFonts w:ascii="Times New Roman" w:hAnsi="Times New Roman"/>
            <w:color w:val="auto"/>
            <w:sz w:val="24"/>
            <w:szCs w:val="24"/>
            <w:u w:val="none"/>
          </w:rPr>
          <w:t>www.igovsp.net</w:t>
        </w:r>
      </w:hyperlink>
      <w:r>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Tutoriais - Filmes de curta duração explicando o uso de ferramentas sociais disponibilizados na Rede Paulista de Inovação em Governo (www.igovsp.net).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Apoio conceitual e metodológico para viabilização de projetos inovadores embrionários, surgidos nas diferentes Secretarias de Estado.</w:t>
      </w:r>
    </w:p>
    <w:p w:rsidR="003E6588" w:rsidRDefault="003E6588">
      <w:pPr>
        <w:pStyle w:val="PargrafodaLista"/>
        <w:ind w:left="0" w:firstLine="1134"/>
        <w:rPr>
          <w:rFonts w:ascii="Times New Roman" w:hAnsi="Times New Roman"/>
          <w:i/>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i/>
          <w:sz w:val="24"/>
          <w:szCs w:val="24"/>
        </w:rPr>
        <w:t>Design Thinking</w:t>
      </w:r>
      <w:r>
        <w:rPr>
          <w:rFonts w:ascii="Times New Roman" w:hAnsi="Times New Roman"/>
          <w:sz w:val="24"/>
          <w:szCs w:val="24"/>
        </w:rPr>
        <w:t xml:space="preserve"> e </w:t>
      </w:r>
      <w:r>
        <w:rPr>
          <w:rFonts w:ascii="Times New Roman" w:hAnsi="Times New Roman"/>
          <w:i/>
          <w:sz w:val="24"/>
          <w:szCs w:val="24"/>
        </w:rPr>
        <w:t>Business Model Generation</w:t>
      </w:r>
      <w:r>
        <w:rPr>
          <w:rFonts w:ascii="Times New Roman" w:hAnsi="Times New Roman"/>
          <w:sz w:val="24"/>
          <w:szCs w:val="24"/>
        </w:rPr>
        <w:t xml:space="preserve">, com estudos e prospecção nas ferramentas para </w:t>
      </w:r>
      <w:r w:rsidRPr="00716AF0">
        <w:rPr>
          <w:rFonts w:ascii="Times New Roman" w:hAnsi="Times New Roman"/>
          <w:i/>
          <w:sz w:val="24"/>
          <w:szCs w:val="24"/>
        </w:rPr>
        <w:t>iPad.</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 xml:space="preserve">Implementação e uso da plataforma </w:t>
      </w:r>
      <w:r>
        <w:rPr>
          <w:rFonts w:ascii="Times New Roman" w:hAnsi="Times New Roman"/>
          <w:i/>
          <w:sz w:val="24"/>
          <w:szCs w:val="24"/>
        </w:rPr>
        <w:t>Scoop</w:t>
      </w:r>
      <w:r>
        <w:rPr>
          <w:rFonts w:ascii="Times New Roman" w:hAnsi="Times New Roman"/>
          <w:sz w:val="24"/>
          <w:szCs w:val="24"/>
        </w:rPr>
        <w:t xml:space="preserve">, com os temas </w:t>
      </w:r>
      <w:r>
        <w:rPr>
          <w:rFonts w:ascii="Times New Roman" w:hAnsi="Times New Roman"/>
          <w:i/>
          <w:sz w:val="24"/>
          <w:szCs w:val="24"/>
        </w:rPr>
        <w:t>Design Thinking</w:t>
      </w:r>
      <w:r>
        <w:rPr>
          <w:rFonts w:ascii="Times New Roman" w:hAnsi="Times New Roman"/>
          <w:sz w:val="24"/>
          <w:szCs w:val="24"/>
        </w:rPr>
        <w:t xml:space="preserve"> e “Gestão do Conhecimento”.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Ferramentas de edição e publicação de </w:t>
      </w:r>
      <w:r>
        <w:rPr>
          <w:rFonts w:ascii="Times New Roman" w:hAnsi="Times New Roman"/>
          <w:i/>
          <w:sz w:val="24"/>
          <w:szCs w:val="24"/>
        </w:rPr>
        <w:t>e</w:t>
      </w:r>
      <w:r w:rsidR="00716AF0">
        <w:rPr>
          <w:rFonts w:ascii="Times New Roman" w:hAnsi="Times New Roman"/>
          <w:i/>
          <w:sz w:val="24"/>
          <w:szCs w:val="24"/>
        </w:rPr>
        <w:t>-</w:t>
      </w:r>
      <w:r>
        <w:rPr>
          <w:rFonts w:ascii="Times New Roman" w:hAnsi="Times New Roman"/>
          <w:i/>
          <w:sz w:val="24"/>
          <w:szCs w:val="24"/>
        </w:rPr>
        <w:t>books</w:t>
      </w:r>
      <w:r>
        <w:rPr>
          <w:rFonts w:ascii="Times New Roman" w:hAnsi="Times New Roman"/>
          <w:sz w:val="24"/>
          <w:szCs w:val="24"/>
        </w:rPr>
        <w:t>.</w:t>
      </w:r>
    </w:p>
    <w:p w:rsidR="003126E8" w:rsidRDefault="003126E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Smart.SP - Concepção e criação em </w:t>
      </w:r>
      <w:r>
        <w:rPr>
          <w:rFonts w:ascii="Times New Roman" w:hAnsi="Times New Roman"/>
          <w:i/>
          <w:sz w:val="24"/>
          <w:szCs w:val="24"/>
        </w:rPr>
        <w:t>mockup</w:t>
      </w:r>
      <w:r>
        <w:rPr>
          <w:rFonts w:ascii="Times New Roman" w:hAnsi="Times New Roman"/>
          <w:sz w:val="24"/>
          <w:szCs w:val="24"/>
        </w:rPr>
        <w:t xml:space="preserve"> (protótipo digital) para primeiro aplicativo móvel do Governo do Estado, alinhado por evento da vida, desenvolvido para </w:t>
      </w:r>
      <w:r>
        <w:rPr>
          <w:rFonts w:ascii="Times New Roman" w:hAnsi="Times New Roman"/>
          <w:i/>
          <w:sz w:val="24"/>
          <w:szCs w:val="24"/>
        </w:rPr>
        <w:t>smartphones</w:t>
      </w:r>
      <w:r>
        <w:rPr>
          <w:rFonts w:ascii="Times New Roman" w:hAnsi="Times New Roman"/>
          <w:sz w:val="24"/>
          <w:szCs w:val="24"/>
        </w:rPr>
        <w:t>, entendendo as três plataformas (IOS, Android e Windows 8) e efetuado os testes de usabilidade e experiência do usuário.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i/>
          <w:sz w:val="24"/>
          <w:szCs w:val="24"/>
        </w:rPr>
        <w:t>Design Thinking -</w:t>
      </w:r>
      <w:r>
        <w:rPr>
          <w:rFonts w:ascii="Times New Roman" w:hAnsi="Times New Roman"/>
          <w:sz w:val="24"/>
          <w:szCs w:val="24"/>
        </w:rPr>
        <w:t xml:space="preserve"> Estratégia de inclusão das técnicas e ferramentas usadas por esse método de inovação, aplicada a governos.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i/>
          <w:sz w:val="24"/>
          <w:szCs w:val="24"/>
        </w:rPr>
        <w:t>Storytelling -</w:t>
      </w:r>
      <w:r>
        <w:rPr>
          <w:rFonts w:ascii="Times New Roman" w:hAnsi="Times New Roman"/>
          <w:sz w:val="24"/>
          <w:szCs w:val="24"/>
        </w:rPr>
        <w:t xml:space="preserve"> Participação nos projetos “Metrópole: Conhecer e Agir” e “Entretempos”, desenvolvidos pelo Grupo Setorial de Gestão do Conhecimento e Inovação da Empresa Paulista de Planejamento Metropolitano S.A. </w:t>
      </w:r>
      <w:r w:rsidR="003126E8">
        <w:rPr>
          <w:rFonts w:ascii="Times New Roman" w:hAnsi="Times New Roman"/>
          <w:sz w:val="24"/>
          <w:szCs w:val="24"/>
        </w:rPr>
        <w:t xml:space="preserve">- </w:t>
      </w:r>
      <w:r>
        <w:rPr>
          <w:rFonts w:ascii="Times New Roman" w:hAnsi="Times New Roman"/>
          <w:sz w:val="24"/>
          <w:szCs w:val="24"/>
        </w:rPr>
        <w:t>EMPLASA, centrados na narrativa de histórias corporativas.</w:t>
      </w:r>
    </w:p>
    <w:p w:rsidR="003E6588" w:rsidRDefault="003E6588">
      <w:pPr>
        <w:pStyle w:val="PargrafodaLista"/>
        <w:ind w:left="0" w:firstLine="1134"/>
        <w:rPr>
          <w:rFonts w:ascii="Times New Roman" w:hAnsi="Times New Roman"/>
          <w:sz w:val="24"/>
          <w:szCs w:val="24"/>
        </w:rPr>
      </w:pPr>
    </w:p>
    <w:p w:rsidR="003E6588" w:rsidRDefault="003E6588">
      <w:pPr>
        <w:ind w:firstLine="1134"/>
        <w:jc w:val="both"/>
        <w:rPr>
          <w:b/>
        </w:rPr>
      </w:pPr>
      <w:r>
        <w:rPr>
          <w:b/>
        </w:rPr>
        <w:t>Projeto Internacional</w:t>
      </w:r>
    </w:p>
    <w:p w:rsidR="003E6588" w:rsidRDefault="003E6588">
      <w:pPr>
        <w:ind w:firstLine="1134"/>
        <w:jc w:val="both"/>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SPUK - Melhoria do Ambiente de Negócios por meio da Transparência no Estado -</w:t>
      </w:r>
      <w:r>
        <w:rPr>
          <w:rFonts w:ascii="Times New Roman" w:hAnsi="Times New Roman"/>
          <w:sz w:val="24"/>
          <w:szCs w:val="24"/>
        </w:rPr>
        <w:t xml:space="preserve"> Foram concluídas as etapas de estruturação e aprovação do projeto, formação de equipes técnicas, apoio ao levantamento de melhores práticas internacionais. Em andamento a articulação de parcerias com METRÔ, TCE, CPA (SPDR) e Secretaria da Saúde.</w:t>
      </w:r>
    </w:p>
    <w:p w:rsidR="003E6588" w:rsidRDefault="003E6588">
      <w:pPr>
        <w:pStyle w:val="PargrafodaLista"/>
        <w:ind w:left="0" w:firstLine="1134"/>
        <w:rPr>
          <w:rFonts w:ascii="Times New Roman" w:hAnsi="Times New Roman"/>
          <w:b/>
          <w:sz w:val="24"/>
          <w:szCs w:val="24"/>
        </w:rPr>
      </w:pPr>
    </w:p>
    <w:p w:rsidR="003E6588" w:rsidRDefault="003E6588">
      <w:pPr>
        <w:ind w:firstLine="1134"/>
        <w:jc w:val="both"/>
        <w:rPr>
          <w:b/>
        </w:rPr>
      </w:pPr>
      <w:r>
        <w:rPr>
          <w:b/>
        </w:rPr>
        <w:t>Governança</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Convênio sobre Inovação em Governo e Implantação de Laboratório de Inovação em Governo - Convênio entre USP, a SPDR, FUNDAP, CEPAM e Fundação Seade, com objetivo de promover inovação organizacional no setor público no Estado, incluindo oferecimento de cursos de pós-graduação, extensão e aperfeiçoamento a gestores públicos, órgãos e entidades estaduais e municipais, bem como implantação e operação do Laboratório de Inovação em Governo.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i/>
          <w:sz w:val="24"/>
          <w:szCs w:val="24"/>
        </w:rPr>
        <w:t>Site</w:t>
      </w:r>
      <w:r>
        <w:rPr>
          <w:rFonts w:ascii="Times New Roman" w:hAnsi="Times New Roman"/>
          <w:sz w:val="24"/>
          <w:szCs w:val="24"/>
        </w:rPr>
        <w:t xml:space="preserve"> iGovSP.net - Manutenção da Rede Paulista de Inovação em Governo: criação de novas áreas e de </w:t>
      </w:r>
      <w:r>
        <w:rPr>
          <w:rFonts w:ascii="Times New Roman" w:hAnsi="Times New Roman"/>
          <w:i/>
          <w:sz w:val="24"/>
          <w:szCs w:val="24"/>
        </w:rPr>
        <w:t>subsite</w:t>
      </w:r>
      <w:r>
        <w:rPr>
          <w:rFonts w:ascii="Times New Roman" w:hAnsi="Times New Roman"/>
          <w:sz w:val="24"/>
          <w:szCs w:val="24"/>
        </w:rPr>
        <w:t xml:space="preserve"> específico para o iGovLab.</w:t>
      </w:r>
    </w:p>
    <w:p w:rsidR="003E6588" w:rsidRDefault="003E6588" w:rsidP="003126E8">
      <w:pPr>
        <w:ind w:firstLine="1134"/>
        <w:jc w:val="both"/>
      </w:pPr>
    </w:p>
    <w:p w:rsidR="003E6588" w:rsidRDefault="003E6588" w:rsidP="003126E8">
      <w:pPr>
        <w:ind w:firstLine="1134"/>
        <w:jc w:val="both"/>
      </w:pPr>
      <w:r>
        <w:rPr>
          <w:b/>
        </w:rPr>
        <w:t>Ouvidoria e Informação ao Cidadão</w:t>
      </w:r>
    </w:p>
    <w:p w:rsidR="003E6588" w:rsidRDefault="003E6588" w:rsidP="003126E8">
      <w:pPr>
        <w:ind w:firstLine="1134"/>
        <w:jc w:val="both"/>
      </w:pPr>
    </w:p>
    <w:p w:rsidR="003E6588" w:rsidRDefault="003E6588">
      <w:pPr>
        <w:ind w:firstLine="1134"/>
        <w:jc w:val="both"/>
      </w:pPr>
      <w:r>
        <w:rPr>
          <w:b/>
        </w:rPr>
        <w:t>Atendimento -</w:t>
      </w:r>
      <w:r>
        <w:t xml:space="preserve"> A Ouvidoria recebeu 629 manifestações. Foram 2 elogios, 19 sugestões, 23 expressões livres, 34 denúncias, 90 reclamações e 461 solicitações de informações. O Serviço de Informações ao Cidadão - SIC recebeu 39 solicitações de acesso a informações, incluindo arquivos, documentos e bases de dados.</w:t>
      </w:r>
    </w:p>
    <w:p w:rsidR="003E6588" w:rsidRPr="00716AF0" w:rsidRDefault="003E6588">
      <w:pPr>
        <w:jc w:val="both"/>
        <w:rPr>
          <w:u w:val="single"/>
        </w:rPr>
      </w:pPr>
    </w:p>
    <w:p w:rsidR="003126E8" w:rsidRPr="00716AF0" w:rsidRDefault="003126E8">
      <w:pPr>
        <w:jc w:val="both"/>
        <w:rPr>
          <w:u w:val="single"/>
        </w:rPr>
      </w:pPr>
    </w:p>
    <w:p w:rsidR="003E6588" w:rsidRDefault="003E6588">
      <w:pPr>
        <w:ind w:firstLine="1134"/>
        <w:jc w:val="both"/>
        <w:rPr>
          <w:b/>
        </w:rPr>
      </w:pPr>
      <w:r>
        <w:rPr>
          <w:b/>
        </w:rPr>
        <w:lastRenderedPageBreak/>
        <w:t>Outras Atividades da Ouvidoria</w:t>
      </w:r>
    </w:p>
    <w:p w:rsidR="003E6588" w:rsidRDefault="003E6588">
      <w:pPr>
        <w:ind w:firstLine="1134"/>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Criação, junto com Associação Brasileira de Ouvidores e Ombudsman, Ouvidoria Geral do Estado, Ouvidoria do Município de São Paulo e PROCON, de grupo para troca de informações sobre a atuação na Copa do Mundo 2014.</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Realização, em conjunto com Ouvidoria Geral do Estado, de encontro com Ouvidores dos municípios do Estado que receberam seleções para a Copa do Mundo de 2014.</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Participação no Grupo de Trabalho que discutiu a reformulação do Decreto nº 44.074/1999, que regulamentou a Lei nº 12.294/1999, estabelecendo as principais diretrizes para o funcionamento das Ouvidorias. As discussões conduziram à redação de do Decreto nº 60.399/2014.</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Realização, a convite de entidades externas, de palestras sobre o tema ‘Ouvidoria, Transparência Pública, Acesso à Informação e Controle Social do Estado’. Destacamos os seguintes eventos: palestra no Fórum de Ouvidorias Universitárias; palestras na Associação Brasileira de Ouvidores/Ombudsman; palestra na Ouvidoria Independente no Município de Santo André; palestra na FIPECAFI; participação em debate virtual na Secretaria de Gestão Pública sobre Democracia e Acesso à Informação; duas videoconferências no Programa Transparência Pública, realizado pela FUNDAP para qualificação de funcionários </w:t>
      </w:r>
      <w:r>
        <w:rPr>
          <w:rFonts w:ascii="Times New Roman" w:hAnsi="Times New Roman"/>
          <w:color w:val="141823"/>
          <w:sz w:val="24"/>
          <w:szCs w:val="24"/>
          <w:highlight w:val="white"/>
        </w:rPr>
        <w:t>públicos municipais (Prefeituras e Câmaras) das áreas de gabinete, administrativa, jurídica, comunicação, informática, arquivo e protocolo, e representantes do SIC e Ouvidorias.</w:t>
      </w:r>
    </w:p>
    <w:p w:rsidR="003E6588" w:rsidRDefault="003E6588">
      <w:pPr>
        <w:ind w:firstLine="1134"/>
      </w:pPr>
    </w:p>
    <w:p w:rsidR="003E6588" w:rsidRDefault="003E6588">
      <w:pPr>
        <w:ind w:firstLine="1134"/>
      </w:pPr>
      <w:r>
        <w:rPr>
          <w:b/>
        </w:rPr>
        <w:t>Novo DETRAN.SP</w:t>
      </w:r>
      <w:r>
        <w:t xml:space="preserve"> - Gestão das 336 CIRETRANs e 309 Seções de Trânsito, e também:</w:t>
      </w:r>
    </w:p>
    <w:p w:rsidR="003E6588" w:rsidRDefault="003E6588">
      <w:pPr>
        <w:ind w:firstLine="1134"/>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Implantação de 32 unidades em Parceria com o Poupatempo - Americana; Andradina; Araras; Assis; Avaré; Barretos; Bebedouro; Birigui; Bragança Paulista; Caieiras; Carapicuíba; Catanduva; Cotia; Diadema; Dracena; Fernandópolis; Indaiatuba; Itapetininga; Itapeva; Itu; Jacareí; Limeira; Lins; Mogi Guaçu; Ourinhos; Penápolis; Pindamonhangaba; Praia Grande; Registro; São João da Boa Vista; Taboão da Serra; Votuporanga.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 xml:space="preserve">- Implantação do novo padrão de atendimento em 31 unidades - Aguaí; Atibaia; Brodowski; Buritama; Cananéia; Casa Branca; Elias Fausto; Guapiara; Iguape; Itapira; Mombuca; Monte Alegre do Sul; Monte Aprazível; Morungaba; Nova Europa; Palmital; Pariquera-Açu; Pedregulho; Peruíbe; Posto Raposo Tavares; Posto </w:t>
      </w:r>
      <w:r>
        <w:rPr>
          <w:rFonts w:ascii="Times New Roman" w:hAnsi="Times New Roman"/>
          <w:i/>
          <w:sz w:val="24"/>
          <w:szCs w:val="24"/>
        </w:rPr>
        <w:t>Shopping</w:t>
      </w:r>
      <w:r>
        <w:rPr>
          <w:rFonts w:ascii="Times New Roman" w:hAnsi="Times New Roman"/>
          <w:sz w:val="24"/>
          <w:szCs w:val="24"/>
        </w:rPr>
        <w:t xml:space="preserve"> Cidade (SJRP); Presidente Venceslau; Ribeirão Branco; Ribeirão Corrente; Ribeirão Grande; Salesópolis; Santo Anastácio; São Caetano do Sul; Sorocaba; Sumaré; Tarumã.</w:t>
      </w:r>
    </w:p>
    <w:p w:rsidR="003E6588" w:rsidRDefault="003E6588">
      <w:pPr>
        <w:ind w:firstLine="1134"/>
        <w:jc w:val="both"/>
        <w:rPr>
          <w:b/>
        </w:rPr>
      </w:pPr>
    </w:p>
    <w:p w:rsidR="003E6588" w:rsidRDefault="003E6588">
      <w:pPr>
        <w:ind w:firstLine="1134"/>
        <w:jc w:val="both"/>
        <w:rPr>
          <w:b/>
        </w:rPr>
      </w:pPr>
      <w:r>
        <w:rPr>
          <w:b/>
        </w:rPr>
        <w:t>Atendimento ao Cidadão</w:t>
      </w:r>
    </w:p>
    <w:p w:rsidR="003E6588" w:rsidRDefault="003E6588">
      <w:pPr>
        <w:ind w:firstLine="1134"/>
        <w:jc w:val="both"/>
        <w:rPr>
          <w:b/>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Novo Modelo de Seção de Trânsito - Início da implantação de novo modelo de Seção de Trânsito, em parceria com Prefeituras Municipais.</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Atendimento - Em 81 unidades foi implantado o sistema Sintonia, por meio do qual o usuário pode opinar sobre o atendimento.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i/>
          <w:sz w:val="24"/>
          <w:szCs w:val="24"/>
        </w:rPr>
        <w:t xml:space="preserve">Internet </w:t>
      </w:r>
      <w:r>
        <w:rPr>
          <w:rFonts w:ascii="Times New Roman" w:hAnsi="Times New Roman"/>
          <w:sz w:val="24"/>
          <w:szCs w:val="24"/>
        </w:rPr>
        <w:t xml:space="preserve">e Dique Detran.SP - O DETRAN.SP teve 180 milhões de visitas em suas páginas na </w:t>
      </w:r>
      <w:r>
        <w:rPr>
          <w:rFonts w:ascii="Times New Roman" w:hAnsi="Times New Roman"/>
          <w:i/>
          <w:sz w:val="24"/>
          <w:szCs w:val="24"/>
        </w:rPr>
        <w:t>internet</w:t>
      </w:r>
      <w:r>
        <w:rPr>
          <w:rFonts w:ascii="Times New Roman" w:hAnsi="Times New Roman"/>
          <w:sz w:val="24"/>
          <w:szCs w:val="24"/>
        </w:rPr>
        <w:t>.</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Agendamento - Atingiu-se 260 unidades de Atendimento do DETRAN.SP com agendamento eletrônico.</w:t>
      </w:r>
    </w:p>
    <w:p w:rsidR="003E6588" w:rsidRDefault="003E6588">
      <w:pPr>
        <w:ind w:firstLine="1134"/>
        <w:jc w:val="both"/>
      </w:pPr>
    </w:p>
    <w:p w:rsidR="003E6588" w:rsidRDefault="003E6588">
      <w:pPr>
        <w:ind w:firstLine="1134"/>
        <w:jc w:val="both"/>
        <w:rPr>
          <w:b/>
        </w:rPr>
      </w:pPr>
      <w:r>
        <w:rPr>
          <w:b/>
        </w:rPr>
        <w:t>Veículos</w:t>
      </w:r>
    </w:p>
    <w:p w:rsidR="003E6588" w:rsidRDefault="003E6588">
      <w:pPr>
        <w:ind w:firstLine="1134"/>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Lei dos desmanches - Implantação da Lei nº 15.276/2014, que disciplinou o destinos dos veículos em fim de vida útil, além de regulamentar a atividade de desmontagem veicular e comércio de peças usadas. O DETRAN.SP recebeu 1.400 pedidos de credenciamento, além de integrar as ações de fiscalização que culminaram no fechamento de 447 estabelecimentos irregulares.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Sistema de Controle de Placas e Lacres - Implementado novo sistema de controle de placas e lacres, que passou a garantir a rastreabilidade desde a produção das placas até sua instalação no veículo, dificultando a adulteração e clonagem de veículos automotores.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Comunicação de Venda Eletrônica - Em ação integrada com a Secretaria da Fazenda, o DETRAN.SP passou a receber eletronicamente dos tabelionatos as informações sobre compra e venda de veículos. Com isso, facilitou a vida do cidadão, que não mais necessita encaminhar cópia autenticada do documento de transferência para deixar de responder pelos débitos e infrações do veículo vendido.</w:t>
      </w:r>
    </w:p>
    <w:p w:rsidR="003E6588" w:rsidRDefault="003E6588">
      <w:pPr>
        <w:ind w:firstLine="1134"/>
        <w:jc w:val="both"/>
      </w:pPr>
    </w:p>
    <w:p w:rsidR="003E6588" w:rsidRDefault="003E6588">
      <w:pPr>
        <w:ind w:firstLine="1134"/>
        <w:jc w:val="both"/>
        <w:rPr>
          <w:b/>
        </w:rPr>
      </w:pPr>
      <w:r>
        <w:rPr>
          <w:b/>
        </w:rPr>
        <w:t>Sistemas de Informação</w:t>
      </w:r>
    </w:p>
    <w:p w:rsidR="003E6588" w:rsidRDefault="003E6588">
      <w:pPr>
        <w:ind w:firstLine="1134"/>
        <w:jc w:val="both"/>
        <w:rPr>
          <w:b/>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Sistema Integrado de Multas - SIM - Implantação do sistema de controle de gestão de multas desde o início do auto de infração aos recursos junto às JARIS e CETRAN. Permitirá a emissão do auto de infração por meio de talonário eletrônico.</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Sistema de Sinistro - Implantação do sistema que controla os veículos sinistrados e estabelece os danos por monta.</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Sistema de Desmanche - O novo sistema controla as lojas de desmanches e as partes e peças dos veículos comercializadas.</w:t>
      </w:r>
    </w:p>
    <w:p w:rsidR="003E6588" w:rsidRDefault="003E6588">
      <w:pPr>
        <w:ind w:firstLine="1134"/>
        <w:jc w:val="both"/>
      </w:pPr>
    </w:p>
    <w:p w:rsidR="003E6588" w:rsidRDefault="003E6588">
      <w:pPr>
        <w:ind w:firstLine="1134"/>
        <w:jc w:val="both"/>
        <w:rPr>
          <w:b/>
        </w:rPr>
      </w:pPr>
      <w:r>
        <w:rPr>
          <w:b/>
        </w:rPr>
        <w:t>Educação para o Trânsito e Fiscalização</w:t>
      </w:r>
    </w:p>
    <w:p w:rsidR="003E6588" w:rsidRDefault="003E6588">
      <w:pPr>
        <w:ind w:firstLine="1134"/>
        <w:jc w:val="both"/>
        <w:rPr>
          <w:b/>
        </w:rPr>
      </w:pPr>
    </w:p>
    <w:p w:rsidR="003E6588" w:rsidRDefault="003E6588">
      <w:pPr>
        <w:pStyle w:val="PargrafodaLista"/>
        <w:ind w:left="0" w:firstLine="1134"/>
        <w:rPr>
          <w:rFonts w:ascii="Times New Roman" w:hAnsi="Times New Roman"/>
          <w:strike/>
          <w:sz w:val="24"/>
          <w:szCs w:val="24"/>
        </w:rPr>
      </w:pPr>
      <w:r>
        <w:rPr>
          <w:rFonts w:ascii="Times New Roman" w:hAnsi="Times New Roman"/>
          <w:sz w:val="24"/>
          <w:szCs w:val="24"/>
        </w:rPr>
        <w:t>Ampliação do Programa Direção Segura - Prevê equipes do DETRAN.SP em regiões estratégicas do Estado, desenvolvendo atividades integradas com participação das Polícias Militar, Civil e Técnico-Científica e do Corpo de Bombeiros, sob a coordenação do DETRAN.SP.</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Aumento de Pátios na Capital e no Interior - Novas contratações de serviço de remoção, depósito e guarda de veículos em apoio às operações da Polícia Militar foram realizadas na Capital e no Interior.</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Leilão de veículos - Foram leiloados 60 mil veículos nas condições previstas na Lei de Desmanche.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Educação para o Trânsito - Foram realizados programas permanentes de Educação para o Trânsito: “Clube do Bem-te-vi” e “Criança Segura” para crianças; “Na Medida”, para adolescentes; e “Educação viária é vital”, para professores. Campanhas: “de Verão”; “Carnaval” e “Dia Mundial das Vítimas de Acidente de Trânsito”, para a população em geral.</w:t>
      </w:r>
    </w:p>
    <w:p w:rsidR="003E6588" w:rsidRDefault="003E6588">
      <w:pPr>
        <w:ind w:firstLine="1134"/>
        <w:jc w:val="both"/>
      </w:pPr>
    </w:p>
    <w:p w:rsidR="003E6588" w:rsidRDefault="003E6588">
      <w:pPr>
        <w:ind w:firstLine="1134"/>
        <w:jc w:val="both"/>
        <w:rPr>
          <w:b/>
        </w:rPr>
      </w:pPr>
      <w:r>
        <w:rPr>
          <w:b/>
        </w:rPr>
        <w:t>Habilitação</w:t>
      </w:r>
    </w:p>
    <w:p w:rsidR="003E6588" w:rsidRDefault="003E6588">
      <w:pPr>
        <w:ind w:firstLine="1134"/>
        <w:jc w:val="both"/>
        <w:rPr>
          <w:b/>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Melhoria dos Processos de Suspensão - Implantação do novo padrão de atendimento no setor de pontuação da Autarquia, com agendamento pelo site do DETRAN.SP, tendo como meta o atendimento padrão Poupatempo. Outra medida adotada foi o julgamento no dia, aos cidadãos que não desejam apresentar defesa nos processos de suspensão e cassação, sendo possível iniciar imediatamente o cumprimento das penalidades.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Examinadores e Autoescolas - Intensificação da fiscalização nas autoescolas. Foram realizadas 684 fiscalizações, ocasionando vários descredenciamentos. Deu-se inicio à formação de examinadores concursados.</w:t>
      </w:r>
    </w:p>
    <w:p w:rsidR="003E6588" w:rsidRDefault="003E6588">
      <w:pPr>
        <w:ind w:firstLine="1134"/>
        <w:jc w:val="both"/>
        <w:rPr>
          <w:b/>
          <w:u w:val="single"/>
        </w:rPr>
      </w:pPr>
    </w:p>
    <w:p w:rsidR="003E6588" w:rsidRDefault="003E6588" w:rsidP="008E2401">
      <w:pPr>
        <w:ind w:firstLine="1134"/>
        <w:jc w:val="both"/>
        <w:rPr>
          <w:strike/>
        </w:rPr>
      </w:pPr>
      <w:r>
        <w:rPr>
          <w:b/>
        </w:rPr>
        <w:t>Escola Pública de Trânsito</w:t>
      </w:r>
      <w:r w:rsidR="008E2401">
        <w:rPr>
          <w:b/>
        </w:rPr>
        <w:t xml:space="preserve"> </w:t>
      </w:r>
      <w:r>
        <w:t xml:space="preserve">- Operacionalização do novo banco de questões do DETRAN.SP, reformulado e aberto a consulta dos candidatos ao Exame Teórico de Primeira Habilitação e condutores que buscam Renovação da CNH. 16 milhões de acessos pela </w:t>
      </w:r>
      <w:r>
        <w:rPr>
          <w:i/>
        </w:rPr>
        <w:t xml:space="preserve">internet </w:t>
      </w:r>
      <w:r>
        <w:t>e nos aplicativos de celular.</w:t>
      </w:r>
    </w:p>
    <w:p w:rsidR="003E6588" w:rsidRDefault="003E6588" w:rsidP="008E2401">
      <w:pPr>
        <w:jc w:val="both"/>
      </w:pPr>
    </w:p>
    <w:p w:rsidR="003E6588" w:rsidRDefault="003E6588" w:rsidP="008E2401">
      <w:pPr>
        <w:jc w:val="both"/>
      </w:pPr>
    </w:p>
    <w:p w:rsidR="003E6588" w:rsidRDefault="003E6588">
      <w:pPr>
        <w:rPr>
          <w:b/>
        </w:rPr>
      </w:pPr>
      <w:r>
        <w:rPr>
          <w:b/>
        </w:rPr>
        <w:t>CENTRO DE ESTUDOS E PESQUISAS DE ADMINISTRAÇÃO MUNICIPAL - CEPAM</w:t>
      </w:r>
    </w:p>
    <w:p w:rsidR="003E6588" w:rsidRDefault="003E6588" w:rsidP="008E2401">
      <w:pPr>
        <w:ind w:firstLine="1134"/>
        <w:jc w:val="both"/>
      </w:pPr>
    </w:p>
    <w:p w:rsidR="003E6588" w:rsidRDefault="003E6588" w:rsidP="008E2401">
      <w:pPr>
        <w:ind w:firstLine="1134"/>
        <w:jc w:val="both"/>
      </w:pPr>
    </w:p>
    <w:p w:rsidR="003E6588" w:rsidRDefault="003E6588">
      <w:pPr>
        <w:ind w:firstLine="1134"/>
        <w:jc w:val="both"/>
      </w:pPr>
      <w:r>
        <w:rPr>
          <w:b/>
          <w:highlight w:val="white"/>
        </w:rPr>
        <w:t xml:space="preserve">Projetos de Valorização dos Municípios - </w:t>
      </w:r>
      <w:r>
        <w:rPr>
          <w:highlight w:val="white"/>
        </w:rPr>
        <w:t>Assessoramento na elaboração dos Planos Municipais de Gestão de Resíduos Sólidos - Girem, abrangendo 508 cidades com população até 100 mil habitantes. Suporte para as audiências públicas sobre o Orçamento Estadual de 2015. Promoção da inovação organizacional no setor público do Estado, resultado de convênio com SPDR e USP.</w:t>
      </w:r>
      <w:r>
        <w:t xml:space="preserve"> </w:t>
      </w:r>
      <w:r>
        <w:rPr>
          <w:highlight w:val="white"/>
        </w:rPr>
        <w:t>A Pesquisa sobre Novos Prefeitos (Gestão 2013-2016), para caracterização da gestão atual, e o Programa de Educação Fiscal para a Cidadania foram projetos desenvolvidos pelo CEPAM. Capacitação de profissionais da Rede de Atenção Primária à Saúde na detecção precoce de risco de uso de substâncias psicotrópicas. Contribuiu para realização da 10</w:t>
      </w:r>
      <w:r>
        <w:rPr>
          <w:highlight w:val="white"/>
          <w:u w:val="single"/>
          <w:vertAlign w:val="superscript"/>
        </w:rPr>
        <w:t>a</w:t>
      </w:r>
      <w:r>
        <w:rPr>
          <w:highlight w:val="white"/>
        </w:rPr>
        <w:t xml:space="preserve"> Edição do “Prêmio Mario Covas”, no qual lhe coube reconhecer e premiar as melhores práticas implementadas por servidores no âmbito de iniciativas municipais e estaduais.</w:t>
      </w:r>
      <w:r>
        <w:t xml:space="preserve"> I</w:t>
      </w:r>
      <w:r>
        <w:rPr>
          <w:highlight w:val="white"/>
        </w:rPr>
        <w:t xml:space="preserve">niciativa “Conversando com os Gestores Municipais”: temas concretos, que </w:t>
      </w:r>
      <w:r>
        <w:rPr>
          <w:highlight w:val="white"/>
        </w:rPr>
        <w:lastRenderedPageBreak/>
        <w:t xml:space="preserve">afetam as Administrações municipais são discutidos nesses encontros, direcionados a Prefeitos e especialistas com experiência voltada à contribuição para a melhoria da gestão pública; o primeiro evento tratou da Iluminação Pública, com participantes de 55 municípios paulistas, além de outras 29 cidades de todo o Brasil, totalizando 450 gestores públicos, que acompanharam o evento presencialmente e pela </w:t>
      </w:r>
      <w:r>
        <w:rPr>
          <w:i/>
          <w:highlight w:val="white"/>
        </w:rPr>
        <w:t>internet</w:t>
      </w:r>
      <w:r>
        <w:rPr>
          <w:highlight w:val="white"/>
        </w:rPr>
        <w:t>.</w:t>
      </w:r>
    </w:p>
    <w:p w:rsidR="003E6588" w:rsidRDefault="003E6588">
      <w:pPr>
        <w:ind w:firstLine="1134"/>
        <w:jc w:val="both"/>
      </w:pPr>
    </w:p>
    <w:p w:rsidR="003E6588" w:rsidRDefault="003E6588">
      <w:pPr>
        <w:ind w:firstLine="1134"/>
        <w:jc w:val="both"/>
        <w:rPr>
          <w:strike/>
        </w:rPr>
      </w:pPr>
      <w:r>
        <w:rPr>
          <w:b/>
          <w:highlight w:val="white"/>
        </w:rPr>
        <w:t xml:space="preserve">Eventos de Aprendizagem e Capacitação - </w:t>
      </w:r>
      <w:r>
        <w:rPr>
          <w:highlight w:val="white"/>
        </w:rPr>
        <w:t>Realizou 42 eventos e ações de formação e capacitação de gestores públicos, especialmente no âmbito municipal, por meio de cursos, oficinas, seminários, encontros técnicos e palestras, com participação de 2.326 agentes públicos, oriundos de 526 municípios.</w:t>
      </w:r>
      <w:r>
        <w:t xml:space="preserve"> </w:t>
      </w:r>
      <w:r>
        <w:rPr>
          <w:highlight w:val="white"/>
        </w:rPr>
        <w:t>Entre os eventos de aprendizagem e capacitação, destaque para o curso sobre o PPA; a oficina de revisão da Lei Orgânica Municipal - LOM; o curso de Parcelamento do Solo Urbano; de Licitação e Contratos; de Contabilidade Pública; os encontros intermunicipais de Escolas de Governo; o curso aplicado de Administração Pública; sobre Gestão de Pessoas e Proteção Integral de Crianças.</w:t>
      </w:r>
    </w:p>
    <w:p w:rsidR="003E6588" w:rsidRDefault="003E6588">
      <w:pPr>
        <w:ind w:firstLine="1134"/>
        <w:jc w:val="both"/>
        <w:rPr>
          <w:strike/>
          <w:highlight w:val="white"/>
        </w:rPr>
      </w:pPr>
    </w:p>
    <w:p w:rsidR="003E6588" w:rsidRDefault="003E6588">
      <w:pPr>
        <w:ind w:firstLine="1134"/>
        <w:jc w:val="both"/>
      </w:pPr>
      <w:r>
        <w:rPr>
          <w:highlight w:val="white"/>
        </w:rPr>
        <w:t>Cabe mencionar também o curso sobre Processo Legislativo, nas modalidades presencial e a distância; os encontros temáticos sobre Envelhecimento da População: Políticas Públicas e Atenção Integral ao Idoso; Encontros Intermunicipais de Escolas de Governo, ocorridos em São Paulo, Sorocaba e Jundiaí, e sobre Iluminação Pública Municipal; além de cursos técnicos, em parceria com o Centro Paula Souza (Escola Técnica - ETEC CEPAM), nas áreas de Gestão de Políticas Públicas, Legislativo, Orientação Comunitária.</w:t>
      </w:r>
    </w:p>
    <w:p w:rsidR="003E6588" w:rsidRDefault="003E6588">
      <w:pPr>
        <w:ind w:firstLine="1134"/>
        <w:jc w:val="both"/>
      </w:pPr>
    </w:p>
    <w:p w:rsidR="003E6588" w:rsidRDefault="003E6588">
      <w:pPr>
        <w:ind w:firstLine="1134"/>
        <w:jc w:val="both"/>
      </w:pPr>
      <w:r>
        <w:rPr>
          <w:b/>
          <w:highlight w:val="white"/>
        </w:rPr>
        <w:t xml:space="preserve">Pareceres e Consultas Técnicas aos Municípios - </w:t>
      </w:r>
      <w:r>
        <w:rPr>
          <w:highlight w:val="white"/>
        </w:rPr>
        <w:t>Os Poderes Executivo e Legislativo dos municípios demandaram pareceres jurídicos e consultas técnicas. Foram emitidos 405 pareceres jurídicos e 1.178 consultas técnicas, nas seguintes áreas de interesse: servidor público; posturas municipais; tributos; responsabilidade fiscal; licitações e contratos; e Câmara de Vereadores. O CEPAM prestou consultorias sobre urbanismo, serviços públicos e agentes políticos.</w:t>
      </w:r>
    </w:p>
    <w:p w:rsidR="003E6588" w:rsidRDefault="003E6588">
      <w:pPr>
        <w:ind w:firstLine="1134"/>
        <w:jc w:val="both"/>
      </w:pPr>
    </w:p>
    <w:p w:rsidR="003E6588" w:rsidRDefault="003E6588">
      <w:pPr>
        <w:ind w:firstLine="1134"/>
        <w:jc w:val="both"/>
      </w:pPr>
      <w:r>
        <w:rPr>
          <w:b/>
          <w:i/>
          <w:highlight w:val="white"/>
        </w:rPr>
        <w:t>Site</w:t>
      </w:r>
      <w:r>
        <w:rPr>
          <w:b/>
          <w:highlight w:val="white"/>
        </w:rPr>
        <w:t xml:space="preserve"> | Informe CEPAM | Rede CIM - </w:t>
      </w:r>
      <w:r>
        <w:rPr>
          <w:highlight w:val="white"/>
        </w:rPr>
        <w:t xml:space="preserve">O </w:t>
      </w:r>
      <w:r>
        <w:rPr>
          <w:i/>
          <w:highlight w:val="white"/>
        </w:rPr>
        <w:t>site</w:t>
      </w:r>
      <w:r>
        <w:rPr>
          <w:highlight w:val="white"/>
        </w:rPr>
        <w:t xml:space="preserve"> do Cepam que publicou 200 novos textos e reportagens teve 350 mil acessos. O </w:t>
      </w:r>
      <w:r>
        <w:rPr>
          <w:i/>
          <w:highlight w:val="white"/>
        </w:rPr>
        <w:t>site</w:t>
      </w:r>
      <w:r>
        <w:rPr>
          <w:highlight w:val="white"/>
        </w:rPr>
        <w:t xml:space="preserve"> passou a transmitir o “Informe CEPAM”, que leva aos agentes públicos, por meio de vídeos, assuntos de interesse da Administração Municipal, como os novos padrões da contabilidade pública ou novas regras de licitação para micro e pequenas empresas.</w:t>
      </w:r>
      <w:r>
        <w:t xml:space="preserve"> </w:t>
      </w:r>
      <w:r>
        <w:rPr>
          <w:highlight w:val="white"/>
        </w:rPr>
        <w:t>A Célula de Inovação do Município (Rede CIM), destinada a agentes públicos, registrou 52.113 acessos e conta com 6 mil membros efetivos.</w:t>
      </w:r>
    </w:p>
    <w:p w:rsidR="003E6588" w:rsidRDefault="003E6588">
      <w:pPr>
        <w:ind w:firstLine="1134"/>
        <w:jc w:val="both"/>
      </w:pPr>
    </w:p>
    <w:p w:rsidR="003E6588" w:rsidRDefault="003E6588">
      <w:pPr>
        <w:ind w:firstLine="1134"/>
        <w:jc w:val="both"/>
      </w:pPr>
      <w:r>
        <w:rPr>
          <w:b/>
          <w:highlight w:val="white"/>
        </w:rPr>
        <w:t xml:space="preserve">Publicações </w:t>
      </w:r>
      <w:r w:rsidR="006165A4">
        <w:rPr>
          <w:b/>
          <w:highlight w:val="white"/>
        </w:rPr>
        <w:t>-</w:t>
      </w:r>
      <w:r>
        <w:rPr>
          <w:b/>
          <w:highlight w:val="white"/>
        </w:rPr>
        <w:t xml:space="preserve"> </w:t>
      </w:r>
      <w:r>
        <w:rPr>
          <w:highlight w:val="white"/>
        </w:rPr>
        <w:t>Publicação de três novos volumes, em formato eletrônico (</w:t>
      </w:r>
      <w:r>
        <w:rPr>
          <w:i/>
          <w:highlight w:val="white"/>
        </w:rPr>
        <w:t>e-book</w:t>
      </w:r>
      <w:r>
        <w:rPr>
          <w:highlight w:val="white"/>
        </w:rPr>
        <w:t>): Informativo Cepam 2014; Processo e Técnica Legislativa Municipal; Prefeitos Paulistas - Gestão 2013-2016, além da edição da Cartilha do Encontro de 2014 do Patrimônio Cultural Paulista.</w:t>
      </w:r>
    </w:p>
    <w:p w:rsidR="006165A4" w:rsidRPr="006165A4" w:rsidRDefault="006165A4">
      <w:pPr>
        <w:ind w:firstLine="1134"/>
        <w:jc w:val="both"/>
        <w:rPr>
          <w:sz w:val="16"/>
          <w:szCs w:val="16"/>
        </w:rPr>
      </w:pPr>
    </w:p>
    <w:p w:rsidR="006165A4" w:rsidRPr="006165A4" w:rsidRDefault="006165A4">
      <w:pPr>
        <w:ind w:firstLine="1134"/>
        <w:jc w:val="both"/>
        <w:rPr>
          <w:sz w:val="16"/>
          <w:szCs w:val="16"/>
        </w:rPr>
      </w:pPr>
    </w:p>
    <w:p w:rsidR="003E6588" w:rsidRDefault="003E6588">
      <w:pPr>
        <w:rPr>
          <w:b/>
        </w:rPr>
      </w:pPr>
      <w:r>
        <w:rPr>
          <w:b/>
        </w:rPr>
        <w:t>FUNDAÇÃO SISTEMA ESTADUAL DE ANÁLISE DE DADOS - SEADE</w:t>
      </w:r>
    </w:p>
    <w:p w:rsidR="003E6588" w:rsidRPr="006165A4" w:rsidRDefault="003E6588">
      <w:pPr>
        <w:ind w:firstLine="1134"/>
        <w:jc w:val="both"/>
        <w:rPr>
          <w:sz w:val="16"/>
          <w:szCs w:val="16"/>
        </w:rPr>
      </w:pPr>
    </w:p>
    <w:p w:rsidR="003E6588" w:rsidRPr="006165A4" w:rsidRDefault="003E6588">
      <w:pPr>
        <w:jc w:val="both"/>
        <w:rPr>
          <w:sz w:val="16"/>
          <w:szCs w:val="16"/>
        </w:rPr>
      </w:pPr>
    </w:p>
    <w:p w:rsidR="003E6588" w:rsidRDefault="003E6588">
      <w:pPr>
        <w:ind w:firstLine="1134"/>
        <w:jc w:val="both"/>
        <w:rPr>
          <w:i/>
        </w:rPr>
      </w:pPr>
      <w:r>
        <w:rPr>
          <w:b/>
        </w:rPr>
        <w:t xml:space="preserve">Administração da Fundação Seade - </w:t>
      </w:r>
      <w:r>
        <w:t xml:space="preserve">Ações para obtenção de melhorias na gestão: revisão de sistemas internos de TI que exigem modernização; adoção de medidas de redução de gastos, </w:t>
      </w:r>
      <w:r>
        <w:lastRenderedPageBreak/>
        <w:t xml:space="preserve">em especial da água, reduzindo consumo em mais de 20%; atualização de equipamentos de TI e de versões de </w:t>
      </w:r>
      <w:r>
        <w:rPr>
          <w:i/>
        </w:rPr>
        <w:t>softwares</w:t>
      </w:r>
      <w:r>
        <w:t xml:space="preserve">; reconstrução do Portal do Seade na </w:t>
      </w:r>
      <w:r>
        <w:rPr>
          <w:i/>
        </w:rPr>
        <w:t>internet.</w:t>
      </w:r>
    </w:p>
    <w:p w:rsidR="006165A4" w:rsidRDefault="006165A4">
      <w:pPr>
        <w:ind w:firstLine="1134"/>
        <w:jc w:val="both"/>
      </w:pPr>
    </w:p>
    <w:p w:rsidR="003E6588" w:rsidRDefault="003E6588">
      <w:pPr>
        <w:ind w:firstLine="1134"/>
        <w:jc w:val="both"/>
        <w:rPr>
          <w:b/>
        </w:rPr>
      </w:pPr>
      <w:r>
        <w:rPr>
          <w:b/>
        </w:rPr>
        <w:t>Produção e Disseminação de Novas Informações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Índice Paulista de Responsabilidade Social </w:t>
      </w:r>
      <w:r w:rsidR="00E43261">
        <w:rPr>
          <w:rFonts w:ascii="Times New Roman" w:hAnsi="Times New Roman"/>
          <w:sz w:val="24"/>
          <w:szCs w:val="24"/>
        </w:rPr>
        <w:t xml:space="preserve">- </w:t>
      </w:r>
      <w:r>
        <w:rPr>
          <w:rFonts w:ascii="Times New Roman" w:hAnsi="Times New Roman"/>
          <w:sz w:val="24"/>
          <w:szCs w:val="24"/>
        </w:rPr>
        <w:t>IPRS 2014 - 4 indicadores, sendo 3 sintéticos setoriais, que mensuram as condições atuais de um município em termos de renda, escolaridade e longevidade, permitindo o ordenamento dos 645 municípios do Estado segundo cada uma dessas dimensões; 1 tipologia constituída de cinco grupos, denominada Grupos do IPRS, que resume a situação dos municípios segundo os três eixos considerados, sem, no entanto, ordená-los. Esses indicadores constituem importante instrumento para acompanhar a evolução dos municípios paulistas sob a ótica do desenvolvimento humano.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Avaliações de Impacto de Programas Públicos - Contribuição para formação e consolidação de cultura de avaliação no âmbito do Estado, envolvendo a capacitação da SPDR, da Fundação Seade e de outros órgãos encarregados da execução de programas a serem avaliados, visando subsidiar o processo de tomada de decisão no âmbito das políticas públicas.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Suporte à elaboração do Plano Estadual de Habitação de Interesse Social - Produção, tratamento e análise de informações para elaboração do Plano Estadual de Habitação de Interesse Social.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Atualização das informações para o Adicional de Local de Exercício - ALE da Secretaria da Educação - Atualização dos critérios de concessão do ALE, a partir da versão 2010 do IPVS, realizada pela Fundação Seade, e realização de estudo para avaliar vantagens e limitações da nova proposta metodológica.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Sistema de Monitoramento e Avaliação do Selo Amigo do Idoso - Sistema informatizado de monitoramento </w:t>
      </w:r>
      <w:r>
        <w:rPr>
          <w:rFonts w:ascii="Times New Roman" w:hAnsi="Times New Roman"/>
          <w:i/>
          <w:sz w:val="24"/>
          <w:szCs w:val="24"/>
        </w:rPr>
        <w:t>on line</w:t>
      </w:r>
      <w:r>
        <w:rPr>
          <w:rFonts w:ascii="Times New Roman" w:hAnsi="Times New Roman"/>
          <w:sz w:val="24"/>
          <w:szCs w:val="24"/>
        </w:rPr>
        <w:t xml:space="preserve"> para receber informações sobre o andamento das ações do programa nos municípios, além de avaliar e validar instrumentais a serem utilizados para realização dos diagnósticos e indicadores propostos para medir o desempenho dos municípios no cumprimento das ações implantadas pelos gestores com os idosos.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Projeção de população e dos domicílios para os municípios - Produção de informações para caracterização da demanda por saneamento básico, por meio da projeção de população e domicílios para todos os municípios paulistas e distritos do Município de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Monitoramento dos impactos da Linha 4 do Metrô nas condições de vida e de viagem das populações de suas áreas de influência, por meio da realização de duas tomadas de pesquisa domiciliar com as famílias residentes nas áreas de influências diretas e em áreas definidas como grupo de controle.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Produção de insumos para elaboração do Plano Metropolitano de Desenvolvimento Habitacional - Dados e informações sobre habitação popular a partir da perspectiva dos municípios, por meio de Pesquisa Municipal Unificada - PMU e atualização dos indicadores Tipologia Socioeconômica e Habitacional de Municípios e Pró Atividade Municipal.</w:t>
      </w:r>
    </w:p>
    <w:p w:rsidR="00E43261" w:rsidRDefault="00E43261">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Dimensionamento da capacidade dos municípios no cumprimento das metas de atendimento escolar à população de 0 a 5 anos, preconizadas no Plano Nacional de Educação (PNE 2011-2020) e construção de cenários sobre oferta e demanda por educação infantil para atendimento das metas do PNE, visando subsidiar a tomada de decisão do Governo do Estado sobre as possíveis ações a serem implementadas em apoio aos municípios no cumprimento do PNE.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Painel das Profissões - Sistema que fornece informações para a orientação profissional de jovens e adultos e sobre a situação do mercado de trabalho nas regiões do Estado.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Indicadores sobre a indústria de petróleo e gás e sobre a Região Metropolitana da Baixada Santista - Indicadores de atividade econômica para a indústria de petróleo e gás na RMBS e sistema de informações sociais, econômicas e demográficas para os municípios sob influência dessa indústria no litoral paulista.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Elaboração de Base de Dados e Edição de Livro sobre a Evolução da Educação Básica em São Paulo (“Educação Básica no Estado: Avanços e Desafios”) e realização de Seminário para divulgação desses conteúdos, com participação de autores e de público predominantemente de gestores na área de educação.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Lançamento do Livro “Seade 35 anos: Estatísticas Públicas para o Desenvolvimento de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Pesquisa e análise para diagnósticos e identificação de tendências de mercado de trabalho e das ocupações - Produção de listagem das ocupações de referência dos municípios paulistas para o Programa Via Rápida do Emprego e boletim sobre a economia, demografia e mercado de trabalho para as Regiões Metropolitanas e Administrativas, para os beneficiários do programa EJA-Mundo do Trabalho.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Geocodificação do registro civil para a Região Metropolitana de São Paulo - Disponibiliza informações sobre óbitos e nascimentos em escala intraurbana para a Região Metropolitana de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Sistema de consulta e recuperação de informações demográficas, socioeconômicas e educacionais dos municípios, para subsidiar a elaboração de políticas voltadas à ampliação da cobertura da rede de ensino, em especial da educação infantil, bem como à melhoria de sua qualidade.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Indicador Municipal de Atenção à Primeira Infância - Indicador para todos os 645 municípios paulistas, baseado nos registros administrativos e pesquisa domiciliar para os municípios da Região Metropolitana de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Boletins Trimestrais do Emprego Formal - Oferecem visão da dinâmica econômica do Estado e de suas regiões administrativas e metropolitanas, além de informações sobre as ocupações mais representativas dos empregos criados e dos desligamentos realizados no período analisado, segundo o Cadastro Geral de Empregados e Desempregados - Caged, do Ministério do Trabalho e Emprego (TEM).</w:t>
      </w:r>
    </w:p>
    <w:p w:rsidR="003E6588" w:rsidRDefault="003E6588">
      <w:pPr>
        <w:pStyle w:val="PargrafodaLista"/>
        <w:ind w:left="0" w:firstLine="1134"/>
        <w:rPr>
          <w:rFonts w:ascii="Times New Roman" w:hAnsi="Times New Roman"/>
          <w:strike/>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Identificação de Áreas Prioritárias para Implantação de Ações Educacionais no Estado - Desenvolvido índice que classificou as áreas do Estado a serem priorizadas pelas políticas públicas educacionais, segundo a concentração de população mais vulnerável de 4 a 17 anos.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Pesquisa Conjuntural das Micro e Pequenas Empresas - Pecompe - Pesquisa mensal em amostra de cerca de 2.700 micro e pequenas empresas, visando coletar, processar, analisar e disponibilizar informações mensais sobre o desempenho desse segmento nos setores industrial, comercial e de serviços.</w:t>
      </w:r>
    </w:p>
    <w:p w:rsidR="003E6588" w:rsidRDefault="003E6588">
      <w:pPr>
        <w:jc w:val="both"/>
      </w:pPr>
      <w:r>
        <w:t xml:space="preserve"> </w:t>
      </w:r>
    </w:p>
    <w:p w:rsidR="003E6588" w:rsidRDefault="003E6588">
      <w:pPr>
        <w:ind w:firstLine="1134"/>
        <w:jc w:val="both"/>
      </w:pPr>
      <w:r>
        <w:rPr>
          <w:b/>
        </w:rPr>
        <w:t xml:space="preserve">Produção e Disseminação de Novas Informações - </w:t>
      </w:r>
      <w:r>
        <w:t>Sistemas de Indicadores implantados pela Fundação SEADE</w:t>
      </w:r>
      <w:r>
        <w:rPr>
          <w:b/>
        </w:rPr>
        <w:t xml:space="preserve">. </w:t>
      </w:r>
      <w:r>
        <w:t>Bases de Dados produzidas nos seguintes temas: Produto Interno Bruto - PIB; Mercado de Trabalho (PED); Sistema de Estatísticas Vitais - SEV; d) Informações sobre os Municípios Paulistas - IMP; d) Indicadores de Acompanhamento dos Objetivos do Milênio - ODM, atualizados anualmente; SP Demográfico; Primeira Análise: artigos mensais de análise socioeconômica com base na produção de dados da Seade; Pesquisa de Investimentos anunciados no Estado.</w:t>
      </w:r>
    </w:p>
    <w:p w:rsidR="003E6588" w:rsidRDefault="003E6588">
      <w:pPr>
        <w:ind w:firstLine="1134"/>
        <w:jc w:val="both"/>
      </w:pPr>
    </w:p>
    <w:p w:rsidR="003E6588" w:rsidRDefault="003E6588">
      <w:pPr>
        <w:ind w:firstLine="1134"/>
        <w:jc w:val="both"/>
      </w:pPr>
    </w:p>
    <w:p w:rsidR="003E6588" w:rsidRDefault="003E6588">
      <w:pPr>
        <w:rPr>
          <w:b/>
        </w:rPr>
      </w:pPr>
      <w:r>
        <w:rPr>
          <w:b/>
        </w:rPr>
        <w:t>COMPANHIA PAULISTA DE OBRAS E SERVIÇOS - CPOS</w:t>
      </w:r>
    </w:p>
    <w:p w:rsidR="003E6588" w:rsidRPr="00E43261" w:rsidRDefault="003E6588">
      <w:pPr>
        <w:ind w:firstLine="1134"/>
        <w:jc w:val="both"/>
      </w:pPr>
    </w:p>
    <w:p w:rsidR="003E6588" w:rsidRPr="00E43261" w:rsidRDefault="003E6588">
      <w:pPr>
        <w:ind w:firstLine="1134"/>
        <w:jc w:val="both"/>
      </w:pPr>
    </w:p>
    <w:p w:rsidR="003E6588" w:rsidRDefault="003E6588">
      <w:pPr>
        <w:ind w:firstLine="1134"/>
        <w:jc w:val="both"/>
      </w:pPr>
      <w:r>
        <w:t>Foram assinados 90 contratos de prestação de serviços, que somam R$ 34 milhões, aos clientes, empreendimentos e serviços abaixo relacionados: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da Justiça e Defesa da Cidadania - Gerenciamento das obras de diversos Fóruns nos Municípios: Caraguatatuba, Francisco Morato, São Joaquim da Barra, Boituva, São José do Rio Preto, Mirandópolis, Conchas, Hortolândia, Potirendaba, Peruíbe, Ilha Solteira, Jaú, José Bonifácio, Santa Barbara D’Oeste, Mongaguá, São Carlos, Pacaembu, Brás Cubas, São João da Boa Vista, Ribeirão Pires, Esp</w:t>
      </w:r>
      <w:r w:rsidR="00452C16">
        <w:rPr>
          <w:rFonts w:ascii="Times New Roman" w:hAnsi="Times New Roman"/>
          <w:sz w:val="24"/>
          <w:szCs w:val="24"/>
        </w:rPr>
        <w:t>í</w:t>
      </w:r>
      <w:r>
        <w:rPr>
          <w:rFonts w:ascii="Times New Roman" w:hAnsi="Times New Roman"/>
          <w:sz w:val="24"/>
          <w:szCs w:val="24"/>
        </w:rPr>
        <w:t>rito Santo do Pinhal, Itu; gerenciamento de obras para acessibilidades de Jaboticabal, Mococa, Monte Alto, Olímpia, Santa Rosa de Viterbo e São José do Rio Pardo; elaboração do projeto de implantação complementar do Fórum de Rio Claro.</w:t>
      </w:r>
    </w:p>
    <w:p w:rsidR="003E6588" w:rsidRDefault="003E6588">
      <w:pPr>
        <w:pStyle w:val="PargrafodaLista"/>
        <w:ind w:left="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Justiça Federal - Elaboração dos projetos básico e executivo para construção da futura sede do Fórum Federal de Marília.</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 Secretaria dos Transportes Metropolitanos; Agência Reguladora de Saneamento e Energia do Estado - ARSESP; Tribunal de Justiça</w:t>
      </w:r>
      <w:r w:rsidR="001D6786">
        <w:rPr>
          <w:rFonts w:ascii="Times New Roman" w:hAnsi="Times New Roman"/>
          <w:sz w:val="24"/>
          <w:szCs w:val="24"/>
        </w:rPr>
        <w:t xml:space="preserve"> do Estado de São Paulo</w:t>
      </w:r>
      <w:r>
        <w:rPr>
          <w:rFonts w:ascii="Times New Roman" w:hAnsi="Times New Roman"/>
          <w:sz w:val="24"/>
          <w:szCs w:val="24"/>
        </w:rPr>
        <w:t xml:space="preserve">; Universidade Estadual de São Paulo - USP; Companhia Energética de São Paulo - </w:t>
      </w:r>
      <w:r w:rsidR="001D6786">
        <w:rPr>
          <w:rFonts w:ascii="Times New Roman" w:hAnsi="Times New Roman"/>
          <w:sz w:val="24"/>
          <w:szCs w:val="24"/>
        </w:rPr>
        <w:t>CESP; Companhia</w:t>
      </w:r>
      <w:r>
        <w:rPr>
          <w:rFonts w:ascii="Times New Roman" w:hAnsi="Times New Roman"/>
          <w:sz w:val="24"/>
          <w:szCs w:val="24"/>
        </w:rPr>
        <w:t xml:space="preserve"> Paulista de Trens Metropolitanos - CPTM; São Paulo Transporte - </w:t>
      </w:r>
      <w:r w:rsidR="001D6786">
        <w:rPr>
          <w:rFonts w:ascii="Times New Roman" w:hAnsi="Times New Roman"/>
          <w:sz w:val="24"/>
          <w:szCs w:val="24"/>
        </w:rPr>
        <w:t>S</w:t>
      </w:r>
      <w:r>
        <w:rPr>
          <w:rFonts w:ascii="Times New Roman" w:hAnsi="Times New Roman"/>
          <w:sz w:val="24"/>
          <w:szCs w:val="24"/>
        </w:rPr>
        <w:t xml:space="preserve">PTRAN; Departamento de Estradas </w:t>
      </w:r>
      <w:r w:rsidR="001D6786">
        <w:rPr>
          <w:rFonts w:ascii="Times New Roman" w:hAnsi="Times New Roman"/>
          <w:sz w:val="24"/>
          <w:szCs w:val="24"/>
        </w:rPr>
        <w:t>d</w:t>
      </w:r>
      <w:r>
        <w:rPr>
          <w:rFonts w:ascii="Times New Roman" w:hAnsi="Times New Roman"/>
          <w:sz w:val="24"/>
          <w:szCs w:val="24"/>
        </w:rPr>
        <w:t>e Rodagem - DER; Desenvolvimento Rodoviário S/A - Dersa; Estrada de Ferro Campos d</w:t>
      </w:r>
      <w:r w:rsidR="001D6786">
        <w:rPr>
          <w:rFonts w:ascii="Times New Roman" w:hAnsi="Times New Roman"/>
          <w:sz w:val="24"/>
          <w:szCs w:val="24"/>
        </w:rPr>
        <w:t>o</w:t>
      </w:r>
      <w:r>
        <w:rPr>
          <w:rFonts w:ascii="Times New Roman" w:hAnsi="Times New Roman"/>
          <w:sz w:val="24"/>
          <w:szCs w:val="24"/>
        </w:rPr>
        <w:t xml:space="preserve"> Jordão; Empresa Metropolitana de Águas e Energia - EMAE; Empresa Metropolitana de Transportes Urbanos - EMTU; Instituto de Pesos e Medidas do Estado - IPEM; Companhia de Processamento de Dados do Estado - PRODESP; C</w:t>
      </w:r>
      <w:r w:rsidR="001D6786">
        <w:rPr>
          <w:rFonts w:ascii="Times New Roman" w:hAnsi="Times New Roman"/>
          <w:sz w:val="24"/>
          <w:szCs w:val="24"/>
        </w:rPr>
        <w:t>ompanhia do</w:t>
      </w:r>
      <w:r>
        <w:rPr>
          <w:rFonts w:ascii="Times New Roman" w:hAnsi="Times New Roman"/>
          <w:sz w:val="24"/>
          <w:szCs w:val="24"/>
        </w:rPr>
        <w:t xml:space="preserve"> Metropolitano de São Paulo - METRÔ; Faculdade de Medicina de Marília - FAM</w:t>
      </w:r>
      <w:r w:rsidR="00D42CAE">
        <w:rPr>
          <w:rFonts w:ascii="Times New Roman" w:hAnsi="Times New Roman"/>
          <w:sz w:val="24"/>
          <w:szCs w:val="24"/>
        </w:rPr>
        <w:t>EMA</w:t>
      </w:r>
      <w:r>
        <w:rPr>
          <w:rFonts w:ascii="Times New Roman" w:hAnsi="Times New Roman"/>
          <w:sz w:val="24"/>
          <w:szCs w:val="24"/>
        </w:rPr>
        <w:t>; C</w:t>
      </w:r>
      <w:r w:rsidR="001D6786">
        <w:rPr>
          <w:rFonts w:ascii="Times New Roman" w:hAnsi="Times New Roman"/>
          <w:sz w:val="24"/>
          <w:szCs w:val="24"/>
        </w:rPr>
        <w:t>ompanhia de</w:t>
      </w:r>
      <w:r>
        <w:rPr>
          <w:rFonts w:ascii="Times New Roman" w:hAnsi="Times New Roman"/>
          <w:sz w:val="24"/>
          <w:szCs w:val="24"/>
        </w:rPr>
        <w:t xml:space="preserve"> Desenvolvimento Habitacional e Urbano</w:t>
      </w:r>
      <w:r w:rsidR="001D6786">
        <w:rPr>
          <w:rFonts w:ascii="Times New Roman" w:hAnsi="Times New Roman"/>
          <w:sz w:val="24"/>
          <w:szCs w:val="24"/>
        </w:rPr>
        <w:t xml:space="preserve"> do Estado de São Paulo</w:t>
      </w:r>
      <w:r>
        <w:rPr>
          <w:rFonts w:ascii="Times New Roman" w:hAnsi="Times New Roman"/>
          <w:sz w:val="24"/>
          <w:szCs w:val="24"/>
        </w:rPr>
        <w:t xml:space="preserve"> - CDHU; Departamento Estadual de Trânsito - DETRAN; Universidade Estadual Paulista</w:t>
      </w:r>
      <w:r w:rsidR="001D6786">
        <w:rPr>
          <w:rFonts w:ascii="Times New Roman" w:hAnsi="Times New Roman"/>
          <w:sz w:val="24"/>
          <w:szCs w:val="24"/>
        </w:rPr>
        <w:t xml:space="preserve"> “Júlio de Mesquita Filho”</w:t>
      </w:r>
      <w:r>
        <w:rPr>
          <w:rFonts w:ascii="Times New Roman" w:hAnsi="Times New Roman"/>
          <w:sz w:val="24"/>
          <w:szCs w:val="24"/>
        </w:rPr>
        <w:t xml:space="preserve"> </w:t>
      </w:r>
      <w:r w:rsidR="00452C16">
        <w:rPr>
          <w:rFonts w:ascii="Times New Roman" w:hAnsi="Times New Roman"/>
          <w:sz w:val="24"/>
          <w:szCs w:val="24"/>
        </w:rPr>
        <w:t>-</w:t>
      </w:r>
      <w:r>
        <w:rPr>
          <w:rFonts w:ascii="Times New Roman" w:hAnsi="Times New Roman"/>
          <w:sz w:val="24"/>
          <w:szCs w:val="24"/>
        </w:rPr>
        <w:t xml:space="preserve"> UNESP - Elaboração de laudos técnicos de avaliação de valor de mercado para locação e venda de imóveis.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de Planejamento e Desenvolvimento Regional - Elaboração de serviços técnicos especializados de engenharia para gestão imobiliária de imóveis do Estado.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de Esporte, Lazer e Juventude - Obtenção de outorga de regularização de obras hidráulicas existentes na “Vila Olímpica Mario Covas”.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Fundação Memorial da América Latina</w:t>
      </w:r>
      <w:r w:rsidR="001D6786">
        <w:rPr>
          <w:rFonts w:ascii="Times New Roman" w:hAnsi="Times New Roman"/>
          <w:sz w:val="24"/>
          <w:szCs w:val="24"/>
        </w:rPr>
        <w:t xml:space="preserve"> -</w:t>
      </w:r>
      <w:r>
        <w:rPr>
          <w:rFonts w:ascii="Times New Roman" w:hAnsi="Times New Roman"/>
          <w:sz w:val="24"/>
          <w:szCs w:val="24"/>
        </w:rPr>
        <w:t xml:space="preserve"> </w:t>
      </w:r>
      <w:r w:rsidR="001D6786">
        <w:rPr>
          <w:rFonts w:ascii="Times New Roman" w:hAnsi="Times New Roman"/>
          <w:sz w:val="24"/>
          <w:szCs w:val="24"/>
        </w:rPr>
        <w:t>E</w:t>
      </w:r>
      <w:r>
        <w:rPr>
          <w:rFonts w:ascii="Times New Roman" w:hAnsi="Times New Roman"/>
          <w:sz w:val="24"/>
          <w:szCs w:val="24"/>
        </w:rPr>
        <w:t>laboração de projetos para restauro e reforma do “Conjunto Arquitetônico do Auditório Simon Bolivar”.</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da Segurança Pública - Gerenciamento das obras de reforma e ampliação da Delegacia Seccional de Santa Fé do Sul, Delegacia Seccional de Novo Horizonte e 1ª Delegacia de Polícia da Pessoa com Deficiência “Bairro da Luz”,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da Administração Penitenciária - Elaboração de projeto básico de implantação e orçamento para o Centro de Detenção Provisória “CDP” de Limeira.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Fundação Prefeito Faria Lima - CEPAM - Revisão de projeto para atendimento a comunicação de vistoria do Corpo de Bombeiro.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Fundo Social de Solidariedade do Estado de São Paulo - FUSSESP - Elaboração de projeto básico e executivo para reforma do depósito de materiais.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Companhia de Desenvolvimento Habitacional e Urbano do Estado de São Paulo - CDHU - Levantamento planialtimétrico, laudo de avaliação de imóvel e decreto expropriatório.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da Segurança Pública - Departamento de Prevenção e Repressão ao Narcotráfico - DENARC - Elaboração de projeto básico e executivo para reforma das instalações do edifício sede, em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 xml:space="preserve">- Secretaria da Segurança Pública - Departamento de Inteligência </w:t>
      </w:r>
      <w:r w:rsidR="001D6786">
        <w:rPr>
          <w:rFonts w:ascii="Times New Roman" w:hAnsi="Times New Roman"/>
          <w:sz w:val="24"/>
          <w:szCs w:val="24"/>
        </w:rPr>
        <w:t xml:space="preserve">da </w:t>
      </w:r>
      <w:r>
        <w:rPr>
          <w:rFonts w:ascii="Times New Roman" w:hAnsi="Times New Roman"/>
          <w:sz w:val="24"/>
          <w:szCs w:val="24"/>
        </w:rPr>
        <w:t>Pol</w:t>
      </w:r>
      <w:r w:rsidR="001D6786">
        <w:rPr>
          <w:rFonts w:ascii="Times New Roman" w:hAnsi="Times New Roman"/>
          <w:sz w:val="24"/>
          <w:szCs w:val="24"/>
        </w:rPr>
        <w:t>í</w:t>
      </w:r>
      <w:r>
        <w:rPr>
          <w:rFonts w:ascii="Times New Roman" w:hAnsi="Times New Roman"/>
          <w:sz w:val="24"/>
          <w:szCs w:val="24"/>
        </w:rPr>
        <w:t>cia Civil - Elaboração de projeto para readequação das instalações do Departamento de Inteligência de São Paulo.</w:t>
      </w:r>
    </w:p>
    <w:p w:rsidR="001D6786" w:rsidRDefault="001D6786">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Empresa Metropolitana de Transportes Urbanos - EMTU - Elaboração de projeto executivo para reforma do Edifício Canadá, serviços técnicos para modernização dos elevadores do edifício e gerenciamento das obras complementares do trecho Campinas/Sumaré do Corredor Metropolitano Noroeste, da Regional de Campinas.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da Cultura - Gerenciamento da conclusão da reforma, ampliação e adequação das instalações da sede do Museu de Arte Contemporânea da Universidade de São Paulo e das obras do Museu de História.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Instituto de Pesos e Medidas do Estado de São Paulo - IPEM - Gerenciamento de obras de recuperação da cobertura do Prédio Técnico Administrativo.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Secretaria da Fazenda - Elaboração de projeto básico para construção do edifício sede da Regional Administração da ABCD e gerenciamento das obras do Posto Fiscal de Suzano e do Posto Fiscal de São José do Rio Pardo.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Instituto Geológico - IG - Elaboração de projeto básico completo dos Blocos A, B e C, para a nova sede do Instituto, e gerenciamento das obras do Bloco B para ocupação do imóvel.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Tribunal de Justiça do Estado de São Paulo - Elaboração de serviços técnicos de engenharia, arquitetura, e vistorias de apoio técnico nos serviços contratados entre o Tribunal e empresas de manutenção em suas unidades administrativas.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Instituto de Assistência Médica ao Servidor Público Estadual - IAMSPE - Elaboração do projeto básico de vigilância eletrônica para o complexo Hospitalar.</w:t>
      </w:r>
    </w:p>
    <w:p w:rsidR="003E6588" w:rsidRDefault="003E6588">
      <w:pPr>
        <w:pStyle w:val="PargrafodaLista"/>
        <w:ind w:left="0" w:firstLine="1134"/>
        <w:rPr>
          <w:rFonts w:ascii="Times New Roman" w:hAnsi="Times New Roman"/>
          <w:sz w:val="24"/>
          <w:szCs w:val="24"/>
        </w:rPr>
      </w:pPr>
    </w:p>
    <w:p w:rsidR="003E6588" w:rsidRDefault="003E6588">
      <w:pPr>
        <w:rPr>
          <w:b/>
          <w:bCs/>
        </w:rPr>
      </w:pPr>
      <w:r>
        <w:br w:type="page"/>
      </w:r>
      <w:r>
        <w:rPr>
          <w:b/>
          <w:bCs/>
        </w:rPr>
        <w:lastRenderedPageBreak/>
        <w:t>SECRETARIA DE SANEAMENTO E RECURSOS HÍDRICOS</w:t>
      </w:r>
    </w:p>
    <w:p w:rsidR="003E6588" w:rsidRDefault="003E6588"/>
    <w:p w:rsidR="003E6588" w:rsidRDefault="003E6588">
      <w:pPr>
        <w:autoSpaceDE w:val="0"/>
        <w:autoSpaceDN w:val="0"/>
        <w:adjustRightInd w:val="0"/>
        <w:ind w:firstLine="1134"/>
        <w:jc w:val="both"/>
        <w:rPr>
          <w:color w:val="000000"/>
          <w:highlight w:val="yellow"/>
        </w:rPr>
      </w:pPr>
    </w:p>
    <w:p w:rsidR="003E6588" w:rsidRDefault="003E6588">
      <w:pPr>
        <w:autoSpaceDE w:val="0"/>
        <w:autoSpaceDN w:val="0"/>
        <w:adjustRightInd w:val="0"/>
        <w:ind w:firstLine="1134"/>
        <w:jc w:val="both"/>
        <w:rPr>
          <w:rFonts w:eastAsia="Calibri"/>
          <w:lang w:eastAsia="en-US"/>
        </w:rPr>
      </w:pPr>
      <w:r>
        <w:rPr>
          <w:rFonts w:eastAsia="Calibri"/>
          <w:b/>
          <w:lang w:eastAsia="en-US"/>
        </w:rPr>
        <w:t xml:space="preserve">Estrutura - </w:t>
      </w:r>
      <w:r>
        <w:t>A Secretaria de Saneamento e Recursos Hídricos tem contingente funcional distribuído entre Gabinete, Departamento Administrativo e Coordenadorias de Saneamento, de Recursos Hídricos e Unidade de Gerenciamento de Programas.</w:t>
      </w:r>
      <w:r>
        <w:rPr>
          <w:rFonts w:eastAsia="Calibri"/>
          <w:lang w:eastAsia="en-US"/>
        </w:rPr>
        <w:t xml:space="preserve"> Ademais, conta com Departamento de Águas e Energia Elétrica - DAEE e Companhia de Saneamento Básico do Estado de São Paulo - SABESP.</w:t>
      </w:r>
    </w:p>
    <w:p w:rsidR="003E6588" w:rsidRDefault="003E6588">
      <w:pPr>
        <w:ind w:firstLine="1134"/>
        <w:jc w:val="both"/>
        <w:rPr>
          <w:rFonts w:eastAsia="Calibri" w:cs="Arial"/>
          <w:lang w:eastAsia="en-US"/>
        </w:rPr>
      </w:pPr>
    </w:p>
    <w:p w:rsidR="003E6588" w:rsidRDefault="003E6588">
      <w:pPr>
        <w:ind w:firstLine="1134"/>
        <w:jc w:val="both"/>
        <w:rPr>
          <w:rFonts w:eastAsia="Calibri" w:cs="Arial"/>
          <w:b/>
          <w:lang w:eastAsia="en-US"/>
        </w:rPr>
      </w:pPr>
      <w:r>
        <w:rPr>
          <w:rFonts w:eastAsia="Calibri" w:cs="Arial"/>
          <w:b/>
          <w:lang w:eastAsia="en-US"/>
        </w:rPr>
        <w:t>Ações, Projetos e Programas da SSRH</w:t>
      </w:r>
    </w:p>
    <w:p w:rsidR="003E6588" w:rsidRDefault="003E6588">
      <w:pPr>
        <w:ind w:firstLine="1134"/>
        <w:jc w:val="both"/>
        <w:rPr>
          <w:rFonts w:eastAsia="Calibri" w:cs="Arial"/>
          <w:lang w:eastAsia="en-US"/>
        </w:rPr>
      </w:pPr>
    </w:p>
    <w:p w:rsidR="003E6588" w:rsidRDefault="003E6588">
      <w:pPr>
        <w:ind w:firstLine="1134"/>
        <w:jc w:val="both"/>
        <w:rPr>
          <w:b/>
        </w:rPr>
      </w:pPr>
      <w:r>
        <w:rPr>
          <w:b/>
        </w:rPr>
        <w:t>Coordenadoria de Saneamento - CSAN</w:t>
      </w:r>
    </w:p>
    <w:p w:rsidR="003E6588" w:rsidRDefault="003E6588">
      <w:pPr>
        <w:ind w:firstLine="1134"/>
        <w:jc w:val="both"/>
        <w:rPr>
          <w:b/>
        </w:rPr>
      </w:pPr>
    </w:p>
    <w:p w:rsidR="003E6588" w:rsidRDefault="003E6588">
      <w:pPr>
        <w:ind w:firstLine="1134"/>
        <w:jc w:val="both"/>
      </w:pPr>
      <w:r>
        <w:rPr>
          <w:b/>
        </w:rPr>
        <w:t xml:space="preserve">SANEBASE - Desenvolvimento de Saneamento Básico - </w:t>
      </w:r>
      <w:r>
        <w:t>A SANEBASE tem como objetivo transferir recursos financeiros do Tesouro do Estado para a execução de obras e serviços de saneamento básico, mediante convênios firmados entre o Estado, por meio da Secretaria de Saneamento e Recursos Hídricos, e os municípios, cujos sistemas de água e esgoto são operados diretamente pela Prefeitura Municipal ou por intermédio de autarquias municipais, tendo a SABESP como Órgão Técnico do Programa.</w:t>
      </w:r>
    </w:p>
    <w:p w:rsidR="003E6588" w:rsidRDefault="003E6588">
      <w:pPr>
        <w:ind w:firstLine="1134"/>
        <w:jc w:val="both"/>
        <w:rPr>
          <w:strike/>
        </w:rPr>
      </w:pPr>
    </w:p>
    <w:p w:rsidR="003E6588" w:rsidRDefault="003E6588">
      <w:pPr>
        <w:ind w:firstLine="1134"/>
        <w:jc w:val="both"/>
      </w:pPr>
      <w:r>
        <w:t>Foram celebrados 14 convênios no valor de R$ 9.393.902,93, para atender os Municípios de Américo Brasiliense, Cedral, Clementina, Dois Córregos, Holambra, Ipaussú, Jaboticabal, Marília, Monte Alegre do Sul, Orlândia, Salto Grande, Santa Rita D´Oeste e São Pedro.</w:t>
      </w:r>
    </w:p>
    <w:p w:rsidR="003E6588" w:rsidRDefault="003E6588">
      <w:pPr>
        <w:ind w:firstLine="1134"/>
        <w:jc w:val="both"/>
      </w:pPr>
    </w:p>
    <w:p w:rsidR="003E6588" w:rsidRDefault="003E6588">
      <w:pPr>
        <w:ind w:firstLine="1134"/>
        <w:jc w:val="both"/>
      </w:pPr>
      <w:r>
        <w:t>Foram executadas as seguintes obras para melhoria do sistema de abastecimento desses Municípios, beneficiando 176.000 habitantes: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Perfuração de 6 poços profundos com aquisição e instalação de respectivos, conjuntos moto-bombas e quadros elétricos;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Aquisição e execução de 8.212 metros de rede de distribuição de água;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Aquisição e instalação de 541 ligações domiciliares de água;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Execução de </w:t>
      </w:r>
      <w:r w:rsidRPr="001E5FE5">
        <w:rPr>
          <w:rFonts w:ascii="Times New Roman" w:hAnsi="Times New Roman"/>
          <w:i/>
          <w:sz w:val="24"/>
          <w:szCs w:val="24"/>
        </w:rPr>
        <w:t>Bo</w:t>
      </w:r>
      <w:r w:rsidR="00836A03">
        <w:rPr>
          <w:rFonts w:ascii="Times New Roman" w:hAnsi="Times New Roman"/>
          <w:i/>
          <w:sz w:val="24"/>
          <w:szCs w:val="24"/>
        </w:rPr>
        <w:t>o</w:t>
      </w:r>
      <w:r w:rsidRPr="001E5FE5">
        <w:rPr>
          <w:rFonts w:ascii="Times New Roman" w:hAnsi="Times New Roman"/>
          <w:i/>
          <w:sz w:val="24"/>
          <w:szCs w:val="24"/>
        </w:rPr>
        <w:t>ster</w:t>
      </w:r>
      <w:r>
        <w:rPr>
          <w:rFonts w:ascii="Times New Roman" w:hAnsi="Times New Roman"/>
          <w:sz w:val="24"/>
          <w:szCs w:val="24"/>
        </w:rPr>
        <w:t>;</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Aquisição e montagem de dois conjuntos moto-bombas;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Aquisição e execução de 2.520 metros de adutora de água tratada;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Aquisição e instalação de 2 reservatórios metálicos, com base e interligações de tubulações;</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Reforma de uma ETA - Estação de Tratamento de Água;</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 Reforma de uma ETE- Estação de Tratamento de Esgoto;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Aquisição e execução de 3.411 metros de rede coletora de esgoto;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Aquisição e execução de 300 ligações domiciliares de esgoto.</w:t>
      </w:r>
    </w:p>
    <w:p w:rsidR="003E6588" w:rsidRDefault="003E6588">
      <w:pPr>
        <w:autoSpaceDE w:val="0"/>
        <w:autoSpaceDN w:val="0"/>
        <w:adjustRightInd w:val="0"/>
        <w:ind w:firstLine="1134"/>
        <w:jc w:val="both"/>
      </w:pPr>
    </w:p>
    <w:p w:rsidR="003E6588" w:rsidRDefault="003E6588">
      <w:pPr>
        <w:ind w:firstLine="1134"/>
        <w:jc w:val="both"/>
      </w:pPr>
      <w:r>
        <w:rPr>
          <w:b/>
        </w:rPr>
        <w:t xml:space="preserve">Programa ÁGUA LIMPA - </w:t>
      </w:r>
      <w:r>
        <w:t>O Programa Água Limpa busca melhoria dos sistemas de esgotamento sanitário, com execução de Estações de Tratamento de Esgoto, Estações Elevatórias de Esgoto, Extensão de Emissários, Linhas de Recalque, Rede Coletora, Interceptores, Impermeabilização de Lagoas. Cabe ao Município convenente ceder as áreas onde serão executadas as obras, desenvolver os projetos básicos, providenciar as licenças ambientais e servidões administrativas necessárias.</w:t>
      </w:r>
    </w:p>
    <w:p w:rsidR="003E6588" w:rsidRDefault="003E6588">
      <w:pPr>
        <w:ind w:firstLine="1134"/>
        <w:jc w:val="both"/>
        <w:rPr>
          <w:strike/>
        </w:rPr>
      </w:pPr>
    </w:p>
    <w:p w:rsidR="003E6588" w:rsidRDefault="003E6588">
      <w:pPr>
        <w:widowControl w:val="0"/>
        <w:autoSpaceDE w:val="0"/>
        <w:autoSpaceDN w:val="0"/>
        <w:adjustRightInd w:val="0"/>
        <w:ind w:firstLine="1134"/>
        <w:jc w:val="both"/>
      </w:pPr>
      <w:r>
        <w:t>Foram formalizados 34 convênios com 33 municípios no valor de 280 milhões de reais.</w:t>
      </w:r>
    </w:p>
    <w:p w:rsidR="003E6588" w:rsidRDefault="003E6588">
      <w:pPr>
        <w:widowControl w:val="0"/>
        <w:autoSpaceDE w:val="0"/>
        <w:autoSpaceDN w:val="0"/>
        <w:adjustRightInd w:val="0"/>
        <w:ind w:firstLine="1134"/>
        <w:jc w:val="both"/>
      </w:pPr>
    </w:p>
    <w:p w:rsidR="003E6588" w:rsidRDefault="003E6588">
      <w:pPr>
        <w:widowControl w:val="0"/>
        <w:autoSpaceDE w:val="0"/>
        <w:autoSpaceDN w:val="0"/>
        <w:adjustRightInd w:val="0"/>
        <w:ind w:firstLine="1134"/>
        <w:jc w:val="both"/>
      </w:pPr>
      <w:r>
        <w:t>As contratações das obras gerenciadas pelo DAEE estão na seguinte conformidade:</w:t>
      </w:r>
    </w:p>
    <w:p w:rsidR="003E6588" w:rsidRDefault="003E6588">
      <w:pPr>
        <w:widowControl w:val="0"/>
        <w:autoSpaceDE w:val="0"/>
        <w:autoSpaceDN w:val="0"/>
        <w:adjustRightInd w:val="0"/>
        <w:ind w:firstLine="1134"/>
        <w:jc w:val="both"/>
      </w:pPr>
    </w:p>
    <w:p w:rsidR="003E6588" w:rsidRDefault="003E6588">
      <w:pPr>
        <w:pStyle w:val="PargrafodaLista"/>
        <w:widowControl w:val="0"/>
        <w:autoSpaceDE w:val="0"/>
        <w:autoSpaceDN w:val="0"/>
        <w:adjustRightInd w:val="0"/>
        <w:ind w:left="0" w:firstLine="1134"/>
        <w:rPr>
          <w:rFonts w:ascii="Times New Roman" w:hAnsi="Times New Roman"/>
          <w:sz w:val="24"/>
          <w:szCs w:val="24"/>
        </w:rPr>
      </w:pPr>
      <w:r>
        <w:rPr>
          <w:rFonts w:ascii="Times New Roman" w:hAnsi="Times New Roman"/>
          <w:sz w:val="24"/>
          <w:szCs w:val="24"/>
        </w:rPr>
        <w:t>- 17 Municípios em fase de implantação das obras</w:t>
      </w:r>
      <w:r w:rsidR="00836A03">
        <w:rPr>
          <w:rFonts w:ascii="Times New Roman" w:hAnsi="Times New Roman"/>
          <w:sz w:val="24"/>
          <w:szCs w:val="24"/>
        </w:rPr>
        <w:t xml:space="preserve"> -</w:t>
      </w:r>
      <w:r>
        <w:rPr>
          <w:rFonts w:ascii="Times New Roman" w:hAnsi="Times New Roman"/>
          <w:sz w:val="24"/>
          <w:szCs w:val="24"/>
        </w:rPr>
        <w:t xml:space="preserve"> Borebi, Campos Novos Paulistas, Guaraçaí, Reginópolis, Bom Jesus dos Perdões, Ibitinga, Jardinópolis, Águas de Lindóia, Cafelândia, Caiuá, Ipeúna, Mendonça, Santa Rita do Passa Quatro, Ibaté, Serrana, Cordeirópolis e Morro Agudo.</w:t>
      </w:r>
    </w:p>
    <w:p w:rsidR="003E6588" w:rsidRDefault="003E6588">
      <w:pPr>
        <w:widowControl w:val="0"/>
        <w:autoSpaceDE w:val="0"/>
        <w:autoSpaceDN w:val="0"/>
        <w:adjustRightInd w:val="0"/>
        <w:ind w:firstLine="1134"/>
        <w:jc w:val="both"/>
      </w:pPr>
    </w:p>
    <w:p w:rsidR="003E6588" w:rsidRDefault="003E6588">
      <w:pPr>
        <w:pStyle w:val="PargrafodaLista"/>
        <w:widowControl w:val="0"/>
        <w:autoSpaceDE w:val="0"/>
        <w:autoSpaceDN w:val="0"/>
        <w:adjustRightInd w:val="0"/>
        <w:ind w:left="0" w:firstLine="1134"/>
        <w:rPr>
          <w:rFonts w:ascii="Times New Roman" w:hAnsi="Times New Roman"/>
          <w:sz w:val="24"/>
          <w:szCs w:val="24"/>
        </w:rPr>
      </w:pPr>
      <w:r>
        <w:rPr>
          <w:rFonts w:ascii="Times New Roman" w:hAnsi="Times New Roman"/>
          <w:sz w:val="24"/>
          <w:szCs w:val="24"/>
        </w:rPr>
        <w:t>- 17 Municípios aguardando liberação do financiamento</w:t>
      </w:r>
      <w:r w:rsidR="00836A03">
        <w:rPr>
          <w:rFonts w:ascii="Times New Roman" w:hAnsi="Times New Roman"/>
          <w:sz w:val="24"/>
          <w:szCs w:val="24"/>
        </w:rPr>
        <w:t xml:space="preserve"> -</w:t>
      </w:r>
      <w:r>
        <w:rPr>
          <w:rFonts w:ascii="Times New Roman" w:hAnsi="Times New Roman"/>
          <w:sz w:val="24"/>
          <w:szCs w:val="24"/>
        </w:rPr>
        <w:t xml:space="preserve"> Américo Brasiliense, Amparo (Arcadas), Capivari, Cunha, Guatapará, Itápolis (N. América), Itápolis (Tapinas) Manduri, Pitangueiras, Potirendaba, Ribeirão Bonito, Murutinga do Sul, Monte Azul Paulista, Barra Bonita, Itapuí, Morro Agudo, São Pedro do Turvo e Tietê.</w:t>
      </w:r>
    </w:p>
    <w:p w:rsidR="003E6588" w:rsidRDefault="003E6588">
      <w:pPr>
        <w:widowControl w:val="0"/>
        <w:autoSpaceDE w:val="0"/>
        <w:autoSpaceDN w:val="0"/>
        <w:adjustRightInd w:val="0"/>
        <w:ind w:firstLine="1134"/>
        <w:jc w:val="both"/>
      </w:pPr>
    </w:p>
    <w:p w:rsidR="003E6588" w:rsidRDefault="003E6588">
      <w:pPr>
        <w:widowControl w:val="0"/>
        <w:autoSpaceDE w:val="0"/>
        <w:autoSpaceDN w:val="0"/>
        <w:adjustRightInd w:val="0"/>
        <w:ind w:firstLine="1134"/>
        <w:jc w:val="both"/>
      </w:pPr>
      <w:r>
        <w:t xml:space="preserve">Essas obras beneficiarão 559 mil habitantes, promovendo melhoria do meio ambiente com a retirada de </w:t>
      </w:r>
      <w:r>
        <w:rPr>
          <w:strike/>
        </w:rPr>
        <w:t>1</w:t>
      </w:r>
      <w:r>
        <w:t xml:space="preserve"> mil toneladas de carga orgânica dos rios e córregos paulistas, assegurando maior disponibilidade e qualidade das águas, contribuindo para revitalizar a Bacia Hidrográfica respectiva, melhorando as condições de saúde pública, visando à universalização do saneamento básico no Estado.</w:t>
      </w:r>
    </w:p>
    <w:p w:rsidR="003E6588" w:rsidRDefault="003E6588">
      <w:pPr>
        <w:widowControl w:val="0"/>
        <w:autoSpaceDE w:val="0"/>
        <w:autoSpaceDN w:val="0"/>
        <w:adjustRightInd w:val="0"/>
        <w:ind w:firstLine="1134"/>
        <w:jc w:val="both"/>
        <w:rPr>
          <w:b/>
          <w:u w:val="single"/>
        </w:rPr>
      </w:pPr>
    </w:p>
    <w:p w:rsidR="003E6588" w:rsidRDefault="003E6588">
      <w:pPr>
        <w:ind w:firstLine="1134"/>
        <w:jc w:val="both"/>
      </w:pPr>
      <w:r>
        <w:rPr>
          <w:b/>
        </w:rPr>
        <w:t xml:space="preserve">Convênios de Cooperação Técnica - </w:t>
      </w:r>
      <w:r>
        <w:t>As Leis federais nº 11.107/2005 e nº 11.445/2007 definiram o atual modelo de concessão para os serviços de saneamento, no qual os Municípios podem celebrar Convênios de Cooperação com o Estado, delegando as competências de fiscalização e regulação para a ARSESP - Agência Reguladora de Saneamento e Recursos Hídricos do Estado de São Paulo e a prestação dos serviços de saneamento básico para a SABESP, por meio de contrato de programa.</w:t>
      </w:r>
    </w:p>
    <w:p w:rsidR="003E6588" w:rsidRDefault="003E6588">
      <w:pPr>
        <w:widowControl w:val="0"/>
        <w:autoSpaceDE w:val="0"/>
        <w:autoSpaceDN w:val="0"/>
        <w:adjustRightInd w:val="0"/>
        <w:ind w:firstLine="1134"/>
        <w:jc w:val="both"/>
        <w:rPr>
          <w:strike/>
        </w:rPr>
      </w:pPr>
    </w:p>
    <w:p w:rsidR="003E6588" w:rsidRDefault="003E6588">
      <w:pPr>
        <w:widowControl w:val="0"/>
        <w:autoSpaceDE w:val="0"/>
        <w:autoSpaceDN w:val="0"/>
        <w:adjustRightInd w:val="0"/>
        <w:ind w:firstLine="1134"/>
        <w:jc w:val="both"/>
      </w:pPr>
      <w:r w:rsidRPr="0038593F">
        <w:t>Fora</w:t>
      </w:r>
      <w:r>
        <w:t>m celebrados 16 convênios com os Municípios de Jaborandi, Lucélia, Parapuã, Piedade, Rosana, Registro, Santa Branca, Santa Cruz do Rio Pardo, Diadema, Itapevi, Barueri, Mairiporã, Taubaté, Iperó, Santos e Santa Isabel.</w:t>
      </w:r>
    </w:p>
    <w:p w:rsidR="003E6588" w:rsidRDefault="003E6588">
      <w:pPr>
        <w:widowControl w:val="0"/>
        <w:autoSpaceDE w:val="0"/>
        <w:autoSpaceDN w:val="0"/>
        <w:adjustRightInd w:val="0"/>
        <w:ind w:firstLine="1134"/>
        <w:jc w:val="both"/>
      </w:pPr>
    </w:p>
    <w:p w:rsidR="003E6588" w:rsidRDefault="003E6588">
      <w:pPr>
        <w:ind w:firstLine="1134"/>
        <w:jc w:val="both"/>
      </w:pPr>
      <w:r>
        <w:rPr>
          <w:b/>
        </w:rPr>
        <w:t xml:space="preserve">PMS - Programa de Apoio à Elaboração de Planos Municipais de Saneamento - </w:t>
      </w:r>
      <w:r>
        <w:t xml:space="preserve">O Programa de Apoio à Elaboração de Planos Municipais de Saneamento - PMS - foi instituído pelo </w:t>
      </w:r>
      <w:r>
        <w:lastRenderedPageBreak/>
        <w:t xml:space="preserve">Decreto nº 52.895/2008, para garantir aos Municípios paulistas as melhores condições técnicas, de forma a atender a Lei </w:t>
      </w:r>
      <w:r w:rsidR="00836A03">
        <w:t>f</w:t>
      </w:r>
      <w:r>
        <w:t>ederal nº 11.445/2007.</w:t>
      </w:r>
    </w:p>
    <w:p w:rsidR="003E6588" w:rsidRDefault="003E6588">
      <w:pPr>
        <w:widowControl w:val="0"/>
        <w:autoSpaceDE w:val="0"/>
        <w:autoSpaceDN w:val="0"/>
        <w:adjustRightInd w:val="0"/>
        <w:ind w:firstLine="1134"/>
        <w:jc w:val="both"/>
      </w:pPr>
    </w:p>
    <w:p w:rsidR="003E6588" w:rsidRDefault="003E6588">
      <w:pPr>
        <w:widowControl w:val="0"/>
        <w:autoSpaceDE w:val="0"/>
        <w:autoSpaceDN w:val="0"/>
        <w:adjustRightInd w:val="0"/>
        <w:ind w:firstLine="1134"/>
        <w:jc w:val="both"/>
      </w:pPr>
      <w:r>
        <w:t>O Governo do Estado autorizou a SSRH a representá-lo na celebração dos convênios com os Municípios, com base nas Unidades de Gerenciamento de Recursos Hídricos - UGRHI’s, integrando-os aos Planos Regionais de Saneamento.</w:t>
      </w:r>
    </w:p>
    <w:p w:rsidR="003E6588" w:rsidRDefault="003E6588">
      <w:pPr>
        <w:widowControl w:val="0"/>
        <w:autoSpaceDE w:val="0"/>
        <w:autoSpaceDN w:val="0"/>
        <w:adjustRightInd w:val="0"/>
        <w:ind w:firstLine="1134"/>
        <w:jc w:val="both"/>
      </w:pPr>
    </w:p>
    <w:p w:rsidR="003E6588" w:rsidRDefault="003E6588">
      <w:pPr>
        <w:widowControl w:val="0"/>
        <w:autoSpaceDE w:val="0"/>
        <w:autoSpaceDN w:val="0"/>
        <w:adjustRightInd w:val="0"/>
        <w:ind w:firstLine="1134"/>
        <w:jc w:val="both"/>
      </w:pPr>
      <w:r>
        <w:t xml:space="preserve">Foram assinados convênios com os </w:t>
      </w:r>
      <w:r w:rsidR="00836A03">
        <w:t xml:space="preserve">municípios </w:t>
      </w:r>
      <w:r>
        <w:t>e estão em fase de licitação os projetos para elaboração dos PMS e seus respectivos Planos Regionais das UGHRI’s 4, 8, 12, 17, 20, 21 e 22, e a elaboração de 44 Planos Regionais cujos Munícipios já possuem PMS’s.</w:t>
      </w:r>
    </w:p>
    <w:p w:rsidR="003E6588" w:rsidRDefault="003E6588">
      <w:pPr>
        <w:ind w:firstLine="1134"/>
        <w:jc w:val="both"/>
        <w:rPr>
          <w:b/>
        </w:rPr>
      </w:pPr>
    </w:p>
    <w:p w:rsidR="003E6588" w:rsidRDefault="003E6588">
      <w:pPr>
        <w:ind w:firstLine="1134"/>
        <w:jc w:val="both"/>
        <w:rPr>
          <w:strike/>
        </w:rPr>
      </w:pPr>
      <w:r>
        <w:rPr>
          <w:b/>
        </w:rPr>
        <w:t xml:space="preserve">Programa Água é Vida - </w:t>
      </w:r>
      <w:r>
        <w:t>Em 2014 foram celebrados convêmios com municípios.</w:t>
      </w:r>
    </w:p>
    <w:p w:rsidR="003E6588" w:rsidRDefault="003E6588">
      <w:pPr>
        <w:ind w:firstLine="1134"/>
        <w:jc w:val="both"/>
        <w:rPr>
          <w:strike/>
        </w:rPr>
      </w:pPr>
    </w:p>
    <w:p w:rsidR="003E6588" w:rsidRDefault="003E6588">
      <w:pPr>
        <w:ind w:firstLine="1134"/>
        <w:jc w:val="both"/>
        <w:rPr>
          <w:b/>
        </w:rPr>
      </w:pPr>
      <w:r>
        <w:rPr>
          <w:b/>
        </w:rPr>
        <w:t>Coordenadoria de Recursos Hídricos - CRHi</w:t>
      </w:r>
    </w:p>
    <w:p w:rsidR="003E6588" w:rsidRDefault="003E6588">
      <w:pPr>
        <w:ind w:firstLine="1134"/>
        <w:jc w:val="both"/>
      </w:pPr>
    </w:p>
    <w:p w:rsidR="003E6588" w:rsidRDefault="003E6588">
      <w:pPr>
        <w:ind w:firstLine="1134"/>
        <w:jc w:val="both"/>
        <w:rPr>
          <w:b/>
        </w:rPr>
      </w:pPr>
      <w:r>
        <w:rPr>
          <w:b/>
        </w:rPr>
        <w:t>Departamento de Gerenciamento de Recursos Hídricos</w:t>
      </w:r>
    </w:p>
    <w:p w:rsidR="003E6588" w:rsidRDefault="003E6588">
      <w:pPr>
        <w:ind w:firstLine="1134"/>
        <w:jc w:val="both"/>
        <w:rPr>
          <w:b/>
        </w:rPr>
      </w:pPr>
    </w:p>
    <w:p w:rsidR="003E6588" w:rsidRDefault="003E6588">
      <w:pPr>
        <w:tabs>
          <w:tab w:val="left" w:pos="284"/>
          <w:tab w:val="left" w:pos="567"/>
        </w:tabs>
        <w:ind w:firstLine="1134"/>
        <w:jc w:val="both"/>
      </w:pPr>
      <w:r>
        <w:rPr>
          <w:b/>
        </w:rPr>
        <w:t>Cobrança pelo uso da água -</w:t>
      </w:r>
      <w:r>
        <w:t xml:space="preserve"> Instrumento estabelecido pela Lei </w:t>
      </w:r>
      <w:r w:rsidRPr="0038593F">
        <w:t>nº 7.663/1991,</w:t>
      </w:r>
      <w:r>
        <w:t xml:space="preserve"> que institui a Política Estadual de Recursos Hídricos.</w:t>
      </w:r>
    </w:p>
    <w:p w:rsidR="003E6588" w:rsidRDefault="003E6588">
      <w:pPr>
        <w:tabs>
          <w:tab w:val="left" w:pos="284"/>
          <w:tab w:val="left" w:pos="567"/>
        </w:tabs>
        <w:ind w:firstLine="1134"/>
        <w:jc w:val="both"/>
      </w:pPr>
    </w:p>
    <w:p w:rsidR="003E6588" w:rsidRDefault="003E6588">
      <w:pPr>
        <w:tabs>
          <w:tab w:val="left" w:pos="284"/>
          <w:tab w:val="left" w:pos="567"/>
        </w:tabs>
        <w:ind w:firstLine="1134"/>
        <w:jc w:val="both"/>
      </w:pPr>
      <w:r>
        <w:t>As atividades desenvolvidas foram:</w:t>
      </w:r>
    </w:p>
    <w:p w:rsidR="003E6588" w:rsidRDefault="003E6588">
      <w:pPr>
        <w:ind w:firstLine="1134"/>
        <w:jc w:val="both"/>
      </w:pPr>
    </w:p>
    <w:p w:rsidR="003E6588" w:rsidRDefault="003E6588">
      <w:pPr>
        <w:ind w:firstLine="1134"/>
        <w:jc w:val="both"/>
      </w:pPr>
      <w:r>
        <w:t>- Expedição de 9.344 outorgas de direito de uso de água de implantação de empreendimentos, cadastros de usos isentos de outorgas; licenças de execução ou operação para poços profundos e interferências;</w:t>
      </w:r>
    </w:p>
    <w:p w:rsidR="003E6588" w:rsidRDefault="003E6588">
      <w:pPr>
        <w:ind w:firstLine="1134"/>
        <w:jc w:val="both"/>
      </w:pPr>
    </w:p>
    <w:p w:rsidR="003E6588" w:rsidRDefault="003E6588">
      <w:pPr>
        <w:ind w:firstLine="1134"/>
        <w:jc w:val="both"/>
      </w:pPr>
      <w:r>
        <w:t>- Manutenção e atualização do cadastro com registro 138.000 usos ou interferências;</w:t>
      </w:r>
    </w:p>
    <w:p w:rsidR="003E6588" w:rsidRDefault="003E6588">
      <w:pPr>
        <w:ind w:firstLine="1134"/>
        <w:jc w:val="both"/>
      </w:pPr>
    </w:p>
    <w:p w:rsidR="003E6588" w:rsidRDefault="003E6588">
      <w:pPr>
        <w:ind w:firstLine="1134"/>
        <w:jc w:val="both"/>
      </w:pPr>
      <w:r>
        <w:t>- Disponibilização de Ato Convocatório do Comitê Tietê-Jacaré e do Comitê Ribeira de Iguape e Litoral Sul;</w:t>
      </w:r>
    </w:p>
    <w:p w:rsidR="003E6588" w:rsidRDefault="003E6588">
      <w:pPr>
        <w:ind w:firstLine="1134"/>
        <w:jc w:val="both"/>
      </w:pPr>
    </w:p>
    <w:p w:rsidR="003E6588" w:rsidRDefault="003E6588">
      <w:pPr>
        <w:ind w:firstLine="1134"/>
        <w:jc w:val="both"/>
      </w:pPr>
      <w:r>
        <w:t>- Suporte Técnico aos CBHs para aprovação da cobrança (estudos de fundamentação, deliberações, etc.);</w:t>
      </w:r>
    </w:p>
    <w:p w:rsidR="003E6588" w:rsidRDefault="003E6588">
      <w:pPr>
        <w:ind w:firstLine="1134"/>
        <w:jc w:val="both"/>
      </w:pPr>
    </w:p>
    <w:p w:rsidR="003E6588" w:rsidRDefault="003E6588">
      <w:pPr>
        <w:ind w:firstLine="1134"/>
        <w:jc w:val="both"/>
      </w:pPr>
      <w:r>
        <w:t>- Reuniões de articulação com os órgãos gestores (DAEE - Departamento de Águas e Energia Elétrica e CETESB - Companhia Ambiental do Estado de São Paulo) para agilizar o processo de construção dos cadastros de cobrança;</w:t>
      </w:r>
    </w:p>
    <w:p w:rsidR="003E6588" w:rsidRDefault="003E6588">
      <w:pPr>
        <w:ind w:firstLine="1134"/>
        <w:jc w:val="both"/>
      </w:pPr>
    </w:p>
    <w:p w:rsidR="003E6588" w:rsidRDefault="003E6588">
      <w:pPr>
        <w:ind w:firstLine="1134"/>
        <w:jc w:val="both"/>
      </w:pPr>
      <w:r>
        <w:t xml:space="preserve">- Acompanhamento e assistência à Câmara Técnica de Cobrança </w:t>
      </w:r>
      <w:r w:rsidR="0038593F">
        <w:t xml:space="preserve">- </w:t>
      </w:r>
      <w:r>
        <w:t>CTCOB do CRH;</w:t>
      </w:r>
    </w:p>
    <w:p w:rsidR="003E6588" w:rsidRDefault="003E6588">
      <w:pPr>
        <w:ind w:firstLine="1134"/>
        <w:jc w:val="both"/>
      </w:pPr>
    </w:p>
    <w:p w:rsidR="003E6588" w:rsidRDefault="003E6588">
      <w:pPr>
        <w:ind w:firstLine="1134"/>
        <w:jc w:val="both"/>
      </w:pPr>
      <w:r>
        <w:t>- Apoio técnico à CTCOB na elaboração, em conjunto com os CBHs, de proposta de Deliberação, dispondo sobre os critérios e procedimentos para revisão da cobrança, a ser encaminhada ao CRH;</w:t>
      </w:r>
    </w:p>
    <w:p w:rsidR="003E6588" w:rsidRDefault="003E6588">
      <w:pPr>
        <w:ind w:firstLine="1134"/>
        <w:jc w:val="both"/>
      </w:pPr>
      <w:r>
        <w:lastRenderedPageBreak/>
        <w:t>- Apoio técnico à CTCOB na análise dos Estudos de Fundamentação e Deliberações, para implantação da cobrança dos CBHs Pontal do Paranapanema, Médio Paranapanema e Alto Paranapanema;</w:t>
      </w:r>
    </w:p>
    <w:p w:rsidR="003E6588" w:rsidRDefault="003E6588">
      <w:pPr>
        <w:ind w:firstLine="1134"/>
        <w:jc w:val="both"/>
      </w:pPr>
    </w:p>
    <w:p w:rsidR="003E6588" w:rsidRDefault="003E6588">
      <w:pPr>
        <w:ind w:firstLine="1134"/>
        <w:jc w:val="both"/>
      </w:pPr>
      <w:r>
        <w:t>- Apoio técnico à CTCOB na análise do Estudo de Fundamentação e Deliberação, para atualização dos valores dos Preços Unitários Básicos da cobrança do CBH Piracicaba, Capivari e Jundiaí;</w:t>
      </w:r>
    </w:p>
    <w:p w:rsidR="003E6588" w:rsidRDefault="003E6588">
      <w:pPr>
        <w:ind w:firstLine="1134"/>
        <w:jc w:val="both"/>
      </w:pPr>
    </w:p>
    <w:p w:rsidR="003E6588" w:rsidRDefault="003E6588">
      <w:pPr>
        <w:ind w:firstLine="1134"/>
        <w:jc w:val="both"/>
      </w:pPr>
      <w:r>
        <w:t>- Suporte técnico ao Gabinete da SSRH nos trâmites necessários para assinatura de Decretos de cobrança das UGRHIs do Estado, junto à Casa Civil;</w:t>
      </w:r>
    </w:p>
    <w:p w:rsidR="003E6588" w:rsidRDefault="003E6588">
      <w:pPr>
        <w:ind w:firstLine="1134"/>
        <w:jc w:val="both"/>
      </w:pPr>
    </w:p>
    <w:p w:rsidR="003E6588" w:rsidRDefault="003E6588">
      <w:pPr>
        <w:ind w:firstLine="1134"/>
        <w:jc w:val="both"/>
      </w:pPr>
      <w:r>
        <w:t>- Suporte técnico ao Gabinete da SSRH nos trâmites necessários para a assinatura do Decreto da cobrança pelo uso da água para o setor rural, aprovado pela Deliberação CRH nº 101</w:t>
      </w:r>
      <w:r w:rsidRPr="0038593F">
        <w:t>/2009</w:t>
      </w:r>
      <w:r>
        <w:t>, junto à Casa Civil.</w:t>
      </w:r>
    </w:p>
    <w:p w:rsidR="003E6588" w:rsidRDefault="003E6588">
      <w:pPr>
        <w:ind w:firstLine="1134"/>
        <w:jc w:val="both"/>
      </w:pPr>
    </w:p>
    <w:p w:rsidR="003E6588" w:rsidRDefault="003E6588">
      <w:pPr>
        <w:ind w:firstLine="1134"/>
        <w:jc w:val="both"/>
      </w:pPr>
      <w:r>
        <w:rPr>
          <w:b/>
        </w:rPr>
        <w:t>Plano Estadual de Recursos Hídricos - PERH 2012-2015 -</w:t>
      </w:r>
      <w:r>
        <w:t xml:space="preserve"> Documento formal destinado a organizar as ações de recuperação, proteção e conservação das águas, tendo em vista sua disponibilidade, qualidade e atendimento das demandas da sociedade. O PERH foi precursor da Política Estadual de Recursos Hídricos.</w:t>
      </w:r>
    </w:p>
    <w:p w:rsidR="003E6588" w:rsidRDefault="003E6588">
      <w:pPr>
        <w:ind w:firstLine="1134"/>
        <w:jc w:val="both"/>
      </w:pPr>
    </w:p>
    <w:p w:rsidR="003E6588" w:rsidRDefault="003E6588">
      <w:pPr>
        <w:ind w:firstLine="1134"/>
        <w:jc w:val="both"/>
      </w:pPr>
      <w:r>
        <w:t>As atividades desenvolvidas foram:</w:t>
      </w:r>
    </w:p>
    <w:p w:rsidR="003E6588" w:rsidRDefault="003E6588">
      <w:pPr>
        <w:ind w:firstLine="1134"/>
        <w:jc w:val="both"/>
      </w:pPr>
    </w:p>
    <w:p w:rsidR="003E6588" w:rsidRDefault="003E6588">
      <w:pPr>
        <w:ind w:firstLine="1134"/>
        <w:jc w:val="both"/>
      </w:pPr>
      <w:r>
        <w:t>- Suporte Técnico ao CORHI na coordenação das atividades de acompanhamento do PERH: atualização e manutenção da base de dados para acompanhamento do PERH, definição da rotina de acompanhamento anual, articulação institucional e estruturação do relatório gerencial;</w:t>
      </w:r>
    </w:p>
    <w:p w:rsidR="003E6588" w:rsidRDefault="003E6588">
      <w:pPr>
        <w:ind w:firstLine="1134"/>
        <w:jc w:val="both"/>
      </w:pPr>
    </w:p>
    <w:p w:rsidR="003E6588" w:rsidRDefault="003E6588">
      <w:pPr>
        <w:ind w:firstLine="1134"/>
        <w:jc w:val="both"/>
      </w:pPr>
      <w:r>
        <w:t>- Condução das atividades de acompanhamento do PERH: preparação das bases técnicas e material de trabalho a ser distribuído às instituições participantes, agendamento e condução de reuniões, apoio e acompanhamento da resposta das instituições, sistematização das respostas, consolidação e atualização da base de dados;</w:t>
      </w:r>
    </w:p>
    <w:p w:rsidR="003E6588" w:rsidRDefault="003E6588">
      <w:pPr>
        <w:ind w:firstLine="1134"/>
        <w:jc w:val="both"/>
      </w:pPr>
    </w:p>
    <w:p w:rsidR="003E6588" w:rsidRDefault="003E6588">
      <w:pPr>
        <w:ind w:firstLine="1134"/>
        <w:jc w:val="both"/>
      </w:pPr>
      <w:r>
        <w:t>- Publicação do Relatório de Acompanhamento do PERH ano base 2012: coordenação das atividades de edição (projeto gráfico, diagramação, publicação) e distribuição do relatório aos Comitês de Bacias, Secretarias estaduais, órgãos gestores de recursos hídricos, Câmaras Técnicas do CRH e do CNRH, ANA, SRHU/MMA, TCE, Ministério Público estadual, ALESP, Câmara de Vereadores e lideranças politicas estaduais e para as Secretarias d</w:t>
      </w:r>
      <w:r w:rsidR="001C7F65">
        <w:t>o</w:t>
      </w:r>
      <w:r>
        <w:t xml:space="preserve"> Meio Ambiente dos demais Estados;</w:t>
      </w:r>
    </w:p>
    <w:p w:rsidR="003E6588" w:rsidRDefault="003E6588">
      <w:pPr>
        <w:ind w:firstLine="1134"/>
        <w:jc w:val="both"/>
      </w:pPr>
    </w:p>
    <w:p w:rsidR="003E6588" w:rsidRDefault="003E6588">
      <w:pPr>
        <w:ind w:firstLine="1134"/>
        <w:jc w:val="both"/>
      </w:pPr>
      <w:r>
        <w:t>- Elaboração do Relatório de Acompanhamento do PERH ano base 2013;</w:t>
      </w:r>
    </w:p>
    <w:p w:rsidR="003E6588" w:rsidRDefault="003E6588">
      <w:pPr>
        <w:ind w:firstLine="1134"/>
        <w:jc w:val="both"/>
      </w:pPr>
    </w:p>
    <w:p w:rsidR="003E6588" w:rsidRDefault="003E6588">
      <w:pPr>
        <w:ind w:firstLine="1134"/>
        <w:jc w:val="both"/>
      </w:pPr>
      <w:r>
        <w:t>- Elaboração do Termo de Referência para contratação de serviços técnicos especializados para a elaboração do “Prognóstico de Situação dos Recursos Hídricos” para subsidiar a construção do Plano Estadual de Recursos Hídricos - PERH 2016-2027;</w:t>
      </w:r>
    </w:p>
    <w:p w:rsidR="003E6588" w:rsidRDefault="003E6588">
      <w:pPr>
        <w:ind w:firstLine="1134"/>
        <w:jc w:val="both"/>
      </w:pPr>
    </w:p>
    <w:p w:rsidR="003E6588" w:rsidRDefault="003E6588">
      <w:pPr>
        <w:ind w:firstLine="1134"/>
        <w:jc w:val="both"/>
      </w:pPr>
      <w:r>
        <w:lastRenderedPageBreak/>
        <w:t>- Apoio técnico no trâmite, junto ao FEHIDRO, para viabilização do Empreendimento 2014-CORHI-150 - Prognóstico de Situação dos Recursos Hídricos no Estado de São Paulo - 2016-2027: Fundamentos para a elaboração do Plano Estadual de Recursos Hídricos - PERH.</w:t>
      </w:r>
    </w:p>
    <w:p w:rsidR="003E6588" w:rsidRDefault="003E6588">
      <w:pPr>
        <w:ind w:firstLine="1134"/>
        <w:jc w:val="both"/>
      </w:pPr>
    </w:p>
    <w:p w:rsidR="003E6588" w:rsidRDefault="003E6588">
      <w:pPr>
        <w:ind w:firstLine="1134"/>
        <w:jc w:val="both"/>
      </w:pPr>
      <w:r>
        <w:rPr>
          <w:b/>
        </w:rPr>
        <w:t>Planos de Bacias Hidrográficas -</w:t>
      </w:r>
      <w:r>
        <w:t xml:space="preserve"> Documento formal, destinado a organizar as ações de recuperação, proteção e conservação das águas, em escala regional, tendo em vista sua disponibilidade, qualidade e o atendimento das demandas da sociedade. O Estado é dividido em 22 Unidades de Gerenciamento de Recursos Hídricos - UGRHI, as quais constituem o recorte regional para efeito de planejamento e gestão das águas.</w:t>
      </w:r>
    </w:p>
    <w:p w:rsidR="003E6588" w:rsidRDefault="003E6588">
      <w:pPr>
        <w:ind w:firstLine="1134"/>
        <w:jc w:val="both"/>
      </w:pPr>
    </w:p>
    <w:p w:rsidR="003E6588" w:rsidRDefault="003E6588">
      <w:pPr>
        <w:ind w:firstLine="1134"/>
        <w:jc w:val="both"/>
      </w:pPr>
      <w:r>
        <w:t>As atividades desenvolvidas foram:</w:t>
      </w:r>
    </w:p>
    <w:p w:rsidR="003E6588" w:rsidRDefault="003E6588">
      <w:pPr>
        <w:ind w:firstLine="1134"/>
        <w:jc w:val="both"/>
      </w:pPr>
    </w:p>
    <w:p w:rsidR="003E6588" w:rsidRDefault="003E6588">
      <w:pPr>
        <w:ind w:firstLine="1134"/>
        <w:jc w:val="both"/>
      </w:pPr>
      <w:r>
        <w:t>- Suporte Técnico aos CBHs na atualização de seus PBHs, em conformidade com as diretrizes da Deliberação CRH nº 146/2012;</w:t>
      </w:r>
    </w:p>
    <w:p w:rsidR="003E6588" w:rsidRDefault="003E6588">
      <w:pPr>
        <w:ind w:firstLine="1134"/>
        <w:jc w:val="both"/>
      </w:pPr>
    </w:p>
    <w:p w:rsidR="003E6588" w:rsidRDefault="003E6588">
      <w:pPr>
        <w:ind w:firstLine="1134"/>
        <w:jc w:val="both"/>
      </w:pPr>
      <w:r>
        <w:t>- Realização do “I Seminário de Gestão de Integrada dos Recursos Hídricos do Estado de São Paulo - Subsídios para revisão dos Planos das Bacias Hidrográficas”, do qual participaram CBHs, CETESB, DAEE e CTPLAN, e que abordou: Base Cartográfica; Indicadores de Acompanhamento; Planejamento da Rede de Monitoramento quali-quantitativo; Enquadramento dos Corpos d’água Superficiais; recuperação florestal e Pagamento por Serviços Ambientais.</w:t>
      </w:r>
    </w:p>
    <w:p w:rsidR="003E6588" w:rsidRDefault="003E6588">
      <w:pPr>
        <w:ind w:firstLine="1134"/>
        <w:jc w:val="both"/>
      </w:pPr>
    </w:p>
    <w:p w:rsidR="003E6588" w:rsidRDefault="003E6588">
      <w:pPr>
        <w:ind w:firstLine="1134"/>
        <w:jc w:val="both"/>
      </w:pPr>
      <w:r>
        <w:t>- Definição, em conjunto com os CBHs, de indicadores de acompanhamento de Planos de Bacias, a serem incorporados aos relatórios de situação dos recursos hídricos.</w:t>
      </w:r>
    </w:p>
    <w:p w:rsidR="003E6588" w:rsidRDefault="003E6588">
      <w:pPr>
        <w:ind w:firstLine="1134"/>
        <w:jc w:val="both"/>
        <w:rPr>
          <w:bCs/>
          <w:lang w:val="pt-PT"/>
        </w:rPr>
      </w:pPr>
    </w:p>
    <w:p w:rsidR="003E6588" w:rsidRDefault="003E6588">
      <w:pPr>
        <w:ind w:firstLine="1134"/>
        <w:jc w:val="both"/>
      </w:pPr>
      <w:r>
        <w:rPr>
          <w:b/>
        </w:rPr>
        <w:t>Relatório de Situação dos Recursos Hídricos -</w:t>
      </w:r>
      <w:r>
        <w:t xml:space="preserve"> Instrumento de gestão, estabelecido pela Lei nº 7.663/</w:t>
      </w:r>
      <w:r w:rsidRPr="0038593F">
        <w:t>1991,</w:t>
      </w:r>
      <w:r>
        <w:t xml:space="preserve"> que visa prestar informação pública quanto ao estado das águas paulistas, bem como acompanhar a implementação dos Planos de Bacias Hidrográficas e do Plano Estadual de Recursos Hídricos, permitindo atualização de suas metas e ações, caso necessário. Para tanto, o Relatório de Situação - RS abrange duas categorias de publicação: um relatório estadual e 21 relatórios regionais, adotando o recorte territorial das Unidades de Gerenciamento dos Recursos Hídricos - UGRHIs no Estado.</w:t>
      </w:r>
    </w:p>
    <w:p w:rsidR="003E6588" w:rsidRDefault="003E6588">
      <w:pPr>
        <w:ind w:firstLine="1134"/>
        <w:jc w:val="both"/>
      </w:pPr>
    </w:p>
    <w:p w:rsidR="003E6588" w:rsidRDefault="003E6588">
      <w:pPr>
        <w:ind w:firstLine="1134"/>
        <w:jc w:val="both"/>
      </w:pPr>
      <w:r>
        <w:t>A elaboração dos relatórios segue metodologia que adota indicadores ambientais para correlacionar as atividades humanas com o estado dos recursos naturais - neste caso específico, a qualidade e a disponibilidade da água - e suas necessidades de proteção, conservação e recuperação.</w:t>
      </w:r>
    </w:p>
    <w:p w:rsidR="003E6588" w:rsidRDefault="003E6588">
      <w:pPr>
        <w:ind w:firstLine="1134"/>
        <w:jc w:val="both"/>
      </w:pPr>
    </w:p>
    <w:p w:rsidR="003E6588" w:rsidRDefault="003E6588">
      <w:pPr>
        <w:ind w:firstLine="1134"/>
        <w:jc w:val="both"/>
      </w:pPr>
      <w:r>
        <w:t>As atividades desenvolvidas foram:</w:t>
      </w:r>
    </w:p>
    <w:p w:rsidR="003E6588" w:rsidRDefault="003E6588">
      <w:pPr>
        <w:ind w:firstLine="1134"/>
        <w:jc w:val="both"/>
      </w:pPr>
    </w:p>
    <w:p w:rsidR="003E6588" w:rsidRDefault="003E6588">
      <w:pPr>
        <w:ind w:firstLine="1134"/>
        <w:jc w:val="both"/>
      </w:pPr>
      <w:r>
        <w:t>- Avaliação dos Relatórios de Situação ano base 2013, das 21 UGRHI;</w:t>
      </w:r>
    </w:p>
    <w:p w:rsidR="001C7F65" w:rsidRDefault="001C7F65">
      <w:pPr>
        <w:ind w:firstLine="1134"/>
        <w:jc w:val="both"/>
      </w:pPr>
    </w:p>
    <w:p w:rsidR="003E6588" w:rsidRDefault="003E6588">
      <w:pPr>
        <w:ind w:firstLine="1134"/>
        <w:jc w:val="both"/>
      </w:pPr>
      <w:r>
        <w:t>- Coleta e sistematização de dados primários (fornecidos por SEADE, DAEE, SNIS, CETESB, Defesa Civil e CVE) para elaboração dos Relatórios de Situação Estadual e das UGRHIs para 2014;</w:t>
      </w:r>
    </w:p>
    <w:p w:rsidR="003E6588" w:rsidRDefault="003E6588">
      <w:pPr>
        <w:ind w:firstLine="1134"/>
        <w:jc w:val="both"/>
      </w:pPr>
      <w:r>
        <w:lastRenderedPageBreak/>
        <w:t>- Avaliação e aprimoramento da metodologia para elaboração do RS;</w:t>
      </w:r>
    </w:p>
    <w:p w:rsidR="003E6588" w:rsidRDefault="003E6588">
      <w:pPr>
        <w:ind w:firstLine="1134"/>
        <w:jc w:val="both"/>
      </w:pPr>
    </w:p>
    <w:p w:rsidR="003E6588" w:rsidRDefault="003E6588">
      <w:pPr>
        <w:ind w:firstLine="1134"/>
        <w:jc w:val="both"/>
      </w:pPr>
      <w:r>
        <w:t>- Elaboração de roteiro de orientação para a elaboração dos RS das Bacias Hidrográficas, em conformidade com a Deliberação CRH nº 146/2012;</w:t>
      </w:r>
    </w:p>
    <w:p w:rsidR="003E6588" w:rsidRDefault="003E6588">
      <w:pPr>
        <w:ind w:firstLine="1134"/>
        <w:jc w:val="both"/>
      </w:pPr>
    </w:p>
    <w:p w:rsidR="003E6588" w:rsidRDefault="003E6588">
      <w:pPr>
        <w:ind w:firstLine="1134"/>
        <w:jc w:val="both"/>
      </w:pPr>
      <w:r>
        <w:t>- Oficina para entrega da base de dados e para apresentação da metodologia/modelo do RS 2014 aos Comitês de Bacias;</w:t>
      </w:r>
    </w:p>
    <w:p w:rsidR="003E6588" w:rsidRDefault="003E6588">
      <w:pPr>
        <w:ind w:firstLine="1134"/>
        <w:jc w:val="both"/>
      </w:pPr>
    </w:p>
    <w:p w:rsidR="003E6588" w:rsidRDefault="003E6588">
      <w:pPr>
        <w:ind w:firstLine="1134"/>
        <w:jc w:val="both"/>
      </w:pPr>
      <w:r>
        <w:t>- Suporte Técnico aos CBHs na aplicação da metodologia e na elaboração dos RS das Bacias Hidrográficas;</w:t>
      </w:r>
    </w:p>
    <w:p w:rsidR="003E6588" w:rsidRDefault="003E6588">
      <w:pPr>
        <w:ind w:firstLine="1134"/>
        <w:jc w:val="both"/>
      </w:pPr>
    </w:p>
    <w:p w:rsidR="003E6588" w:rsidRDefault="003E6588">
      <w:pPr>
        <w:ind w:firstLine="1134"/>
        <w:jc w:val="both"/>
      </w:pPr>
      <w:r>
        <w:t>- Elaboração do Relatório Estadual de Situação dos Recursos Hídricos (ano base 2012);</w:t>
      </w:r>
    </w:p>
    <w:p w:rsidR="003E6588" w:rsidRDefault="003E6588">
      <w:pPr>
        <w:ind w:firstLine="1134"/>
        <w:jc w:val="both"/>
      </w:pPr>
    </w:p>
    <w:p w:rsidR="003E6588" w:rsidRDefault="003E6588">
      <w:pPr>
        <w:ind w:firstLine="1134"/>
        <w:jc w:val="both"/>
      </w:pPr>
      <w:r>
        <w:t>- Elaboração de Termo de Referência para contratação de diagramação e impressão do Relatório Estadual de Situação dos Recursos Hídricos - ano base 2012;</w:t>
      </w:r>
    </w:p>
    <w:p w:rsidR="003E6588" w:rsidRDefault="003E6588">
      <w:pPr>
        <w:ind w:firstLine="1134"/>
        <w:jc w:val="both"/>
      </w:pPr>
    </w:p>
    <w:p w:rsidR="003E6588" w:rsidRDefault="003E6588">
      <w:pPr>
        <w:ind w:firstLine="1134"/>
        <w:jc w:val="both"/>
      </w:pPr>
      <w:r>
        <w:t>- Apoio à integração dos diversos sistemas de informação relacionados a recursos hídricos já financiados ou em financiamento pelo FEHIDRO, de modo a compatibilizá-los e estabelecer critérios para desenvolvimento de sistema de informações específico.</w:t>
      </w:r>
    </w:p>
    <w:p w:rsidR="003E6588" w:rsidRDefault="003E6588">
      <w:pPr>
        <w:ind w:firstLine="1134"/>
        <w:jc w:val="both"/>
      </w:pPr>
    </w:p>
    <w:p w:rsidR="003E6588" w:rsidRDefault="003E6588">
      <w:pPr>
        <w:ind w:firstLine="1134"/>
        <w:jc w:val="both"/>
        <w:rPr>
          <w:b/>
        </w:rPr>
      </w:pPr>
      <w:r>
        <w:rPr>
          <w:b/>
        </w:rPr>
        <w:t>Departamento de Comunicação e Informações Gerenciais</w:t>
      </w:r>
    </w:p>
    <w:p w:rsidR="003E6588" w:rsidRDefault="003E6588">
      <w:pPr>
        <w:ind w:firstLine="1134"/>
        <w:jc w:val="both"/>
        <w:rPr>
          <w:b/>
        </w:rPr>
      </w:pPr>
    </w:p>
    <w:p w:rsidR="003E6588" w:rsidRDefault="003E6588">
      <w:pPr>
        <w:ind w:firstLine="1134"/>
        <w:jc w:val="both"/>
      </w:pPr>
      <w:r>
        <w:rPr>
          <w:b/>
        </w:rPr>
        <w:t>Secretaria Executiva do Conselho Estadual de Recursos Hídricos - CRH -</w:t>
      </w:r>
      <w:r>
        <w:t xml:space="preserve"> Realização de reunião ordinária e 4 reuniões extraordinárias do CRH (com transmissão via </w:t>
      </w:r>
      <w:r>
        <w:rPr>
          <w:i/>
        </w:rPr>
        <w:t>streaming</w:t>
      </w:r>
      <w:r>
        <w:t>), aprovando 11 deliberações: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157 - Referenda a proposta dos mecanismos e valores para cobrança pelos usos urbanos e industriais dos recursos hídricos nas Bacias Hidrográficas dos Rios Aguapeí e Peixe, contida nas Deliberações CBH-AP nº 166.</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158 - Dispõe sobre a aplicação dos recursos do FEHIDRO, referentes ao ano de 2014, e os percentuais para distribuição, entre os colegiados do Sistema Integrado de Gerenciamento de Recursos Hídricos.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159 - Altera as Deliberações CRH nº 146/2012 e CRH nº 147/2012, revoga a Deliberação CRH nº 142/2012 e dá outras providências.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160 - Prorroga a Deliberação CRH nº 90/2008, que aprova procedimentos, limites e condicionantes para a cobrança, dos usuários urbanos e industriais, pela utilização dos recursos hídricos de domínio do Estado de São Paulo.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161 - Aprova indicação ao FEHIDRO dos empreendimentos de abrangência e interesse estadual para o exercício de 2014.</w:t>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lastRenderedPageBreak/>
        <w:t xml:space="preserve">- Deliberação CRH </w:t>
      </w:r>
      <w:r w:rsidR="001C7F65">
        <w:rPr>
          <w:rFonts w:ascii="Times New Roman" w:hAnsi="Times New Roman"/>
          <w:sz w:val="24"/>
          <w:szCs w:val="24"/>
        </w:rPr>
        <w:t xml:space="preserve">nº </w:t>
      </w:r>
      <w:r>
        <w:rPr>
          <w:rFonts w:ascii="Times New Roman" w:hAnsi="Times New Roman"/>
          <w:sz w:val="24"/>
          <w:szCs w:val="24"/>
        </w:rPr>
        <w:t>162 - Referenda a proposta de alteração da classe de qualidade do Rio Jundiaí, entre a foz do Ribeirão São José e a foz do Córrego Barnabé, contida na Deliberação dos Comitês PCJ nº 206/2014.</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163 - Referenda a proposta dos mecanismos e valores para a cobrança pelos usos urbanos e industriais dos recursos hídricos, conforme disposto na Deliberação CBH-PP nº 156/2014.</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164 - Referenda a proposta dos valores dos Preços Unitários Básicos - PUBs, da cobrança pelos usos urbanos e industriais dos recursos hídricos de domínio do Estado de São Paulo, nas Bacias Hidrográficas dos Rios Piracicaba, Capivari e Jundiaí, aprovada na Deliberação dos Comitês PCJ nº 160/2012.</w:t>
      </w:r>
      <w:r>
        <w:rPr>
          <w:rFonts w:ascii="Times New Roman" w:hAnsi="Times New Roman"/>
          <w:sz w:val="24"/>
          <w:szCs w:val="24"/>
        </w:rPr>
        <w:cr/>
      </w: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165 - Referenda a Deliberação CBH-PARDO nº 201/2014 que retiratifica a Deliberação 171/2012 que “Redefine Critérios Técnicos para a Autorização de Perfuração de Poços Tubulares Profundos no Município de Ribeirão Preto”.</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166 - Aprova o relatório de Situação dos Recursos Hídricos no Estado de São Paulo - ano base 2012.</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167 - Dispõe sobre a aplicação dos recursos do FEHIDRO, referente ao ano de 2015, estabelece os percentuais para distribuição, entre os colegiados do Sistema Integrado de Gerenciamento de Recursos Hídricos, e altera a metodologia para os anos subsequentes.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 Deliberação CRH </w:t>
      </w:r>
      <w:r w:rsidR="001C7F65">
        <w:rPr>
          <w:rFonts w:ascii="Times New Roman" w:hAnsi="Times New Roman"/>
          <w:sz w:val="24"/>
          <w:szCs w:val="24"/>
        </w:rPr>
        <w:t xml:space="preserve">nº </w:t>
      </w:r>
      <w:r>
        <w:rPr>
          <w:rFonts w:ascii="Times New Roman" w:hAnsi="Times New Roman"/>
          <w:sz w:val="24"/>
          <w:szCs w:val="24"/>
        </w:rPr>
        <w:t xml:space="preserve">168 - Referenda a proposta de alteração da classe de qualidade da água do Ribeirão Lavapés, no trecho compreendido da nascente até a confluência com o Córrego Desbruado, no Município de Botucatu, contida na Deliberação CBH-SMT </w:t>
      </w:r>
      <w:r>
        <w:rPr>
          <w:rFonts w:ascii="Times New Roman" w:hAnsi="Times New Roman"/>
          <w:i/>
          <w:sz w:val="24"/>
          <w:szCs w:val="24"/>
        </w:rPr>
        <w:t>ad referendum</w:t>
      </w:r>
      <w:r>
        <w:rPr>
          <w:rFonts w:ascii="Times New Roman" w:hAnsi="Times New Roman"/>
          <w:sz w:val="24"/>
          <w:szCs w:val="24"/>
        </w:rPr>
        <w:t xml:space="preserve"> nº 317/2014.</w:t>
      </w:r>
    </w:p>
    <w:p w:rsidR="003E6588" w:rsidRDefault="003E6588">
      <w:pPr>
        <w:jc w:val="both"/>
      </w:pPr>
    </w:p>
    <w:p w:rsidR="003E6588" w:rsidRDefault="003E6588">
      <w:pPr>
        <w:tabs>
          <w:tab w:val="left" w:pos="284"/>
          <w:tab w:val="left" w:pos="567"/>
        </w:tabs>
        <w:ind w:firstLine="1134"/>
        <w:jc w:val="both"/>
      </w:pPr>
      <w:r>
        <w:rPr>
          <w:b/>
        </w:rPr>
        <w:t>Acompanhamento das Câmaras Técnicas do CRH -</w:t>
      </w:r>
      <w:r>
        <w:t xml:space="preserve"> Acompanhamento permanente das atividades das 7 CTs (Câmaras Técnicas); realização de reunião conjunta entre coordenadores e relatores das Câmaras, para planejamento das atividades.</w:t>
      </w:r>
    </w:p>
    <w:p w:rsidR="003E6588" w:rsidRDefault="003E6588">
      <w:pPr>
        <w:tabs>
          <w:tab w:val="left" w:pos="284"/>
          <w:tab w:val="left" w:pos="567"/>
        </w:tabs>
        <w:ind w:firstLine="1134"/>
        <w:jc w:val="both"/>
        <w:rPr>
          <w:b/>
        </w:rPr>
      </w:pPr>
    </w:p>
    <w:p w:rsidR="003E6588" w:rsidRDefault="003E6588">
      <w:pPr>
        <w:tabs>
          <w:tab w:val="left" w:pos="284"/>
          <w:tab w:val="left" w:pos="567"/>
        </w:tabs>
        <w:ind w:firstLine="1134"/>
        <w:jc w:val="both"/>
      </w:pPr>
      <w:r>
        <w:rPr>
          <w:b/>
        </w:rPr>
        <w:t xml:space="preserve">Comitês de Bacias - CBHs - </w:t>
      </w:r>
      <w:r>
        <w:t xml:space="preserve">Contato permanente com os CBHs, promovendo o intercâmbio de informações, bem como apoio técnico e administrativo; realização de encontro com representantes dos </w:t>
      </w:r>
      <w:r w:rsidRPr="00B91759">
        <w:t>CBHs,</w:t>
      </w:r>
      <w:r>
        <w:t xml:space="preserve"> para nivelamento sobre a estrutura e funcionamento das secretarias executivas.</w:t>
      </w:r>
    </w:p>
    <w:p w:rsidR="001C7F65" w:rsidRDefault="001C7F65">
      <w:pPr>
        <w:tabs>
          <w:tab w:val="left" w:pos="284"/>
          <w:tab w:val="left" w:pos="567"/>
        </w:tabs>
        <w:ind w:firstLine="1134"/>
        <w:jc w:val="both"/>
      </w:pPr>
    </w:p>
    <w:p w:rsidR="003E6588" w:rsidRDefault="003E6588">
      <w:pPr>
        <w:tabs>
          <w:tab w:val="left" w:pos="284"/>
          <w:tab w:val="left" w:pos="567"/>
        </w:tabs>
        <w:ind w:firstLine="1134"/>
        <w:jc w:val="both"/>
      </w:pPr>
      <w:r>
        <w:rPr>
          <w:b/>
        </w:rPr>
        <w:t xml:space="preserve">Acompanhamento do Sistema Nacional de Recursos Hídricos - </w:t>
      </w:r>
      <w:r>
        <w:t>Acompanhamento permanente das atividades do Conselho Nacional de Recursos Hídricos e de suas 10 Câmaras Técnicas, incluindo controle de indicações, atualização e divulgação de agenda de atividades.</w:t>
      </w:r>
    </w:p>
    <w:p w:rsidR="003E6588" w:rsidRDefault="003E6588">
      <w:pPr>
        <w:tabs>
          <w:tab w:val="left" w:pos="284"/>
          <w:tab w:val="left" w:pos="567"/>
        </w:tabs>
        <w:ind w:right="-108" w:firstLine="1134"/>
        <w:jc w:val="both"/>
        <w:rPr>
          <w:b/>
        </w:rPr>
      </w:pPr>
    </w:p>
    <w:p w:rsidR="003E6588" w:rsidRDefault="003E6588">
      <w:pPr>
        <w:tabs>
          <w:tab w:val="left" w:pos="284"/>
          <w:tab w:val="left" w:pos="567"/>
        </w:tabs>
        <w:ind w:right="-108" w:firstLine="1134"/>
        <w:jc w:val="both"/>
      </w:pPr>
      <w:r>
        <w:rPr>
          <w:b/>
        </w:rPr>
        <w:t xml:space="preserve">Elaboração e produção de material técnico, informativo e de divulgação do SIGRH - </w:t>
      </w:r>
      <w:r>
        <w:t xml:space="preserve">Produção de 3 edições do informativo impresso “Correnteza” e 29 edições do informativo eletrônico </w:t>
      </w:r>
      <w:r>
        <w:lastRenderedPageBreak/>
        <w:t>“Correnteza Express”; produção dos folders “Orientações Básicas FEHIDRO”, “Respostas às perguntas mais comuns dos tomadores” e “Plano Estadual de Recursos Hídricos - Informações Básicas”; produção do novo Mapa das Unidades Hidrográficas de Gerenciamento de Recursos Hídricos do Estado de São Paulo - UGRHIs.</w:t>
      </w:r>
    </w:p>
    <w:p w:rsidR="003E6588" w:rsidRDefault="003E6588">
      <w:pPr>
        <w:tabs>
          <w:tab w:val="left" w:pos="284"/>
          <w:tab w:val="left" w:pos="567"/>
        </w:tabs>
        <w:ind w:right="-108" w:firstLine="1134"/>
        <w:jc w:val="both"/>
      </w:pPr>
    </w:p>
    <w:p w:rsidR="003E6588" w:rsidRDefault="003E6588">
      <w:pPr>
        <w:tabs>
          <w:tab w:val="left" w:pos="284"/>
          <w:tab w:val="left" w:pos="567"/>
        </w:tabs>
        <w:ind w:right="-108" w:firstLine="1134"/>
        <w:jc w:val="both"/>
      </w:pPr>
      <w:r>
        <w:rPr>
          <w:b/>
        </w:rPr>
        <w:t xml:space="preserve">Sistemas de informação - </w:t>
      </w:r>
      <w:r>
        <w:t xml:space="preserve">Lançamento do Portal SIGRH; geração de conteúdo em ferramentas de comunicação como </w:t>
      </w:r>
      <w:r>
        <w:rPr>
          <w:i/>
        </w:rPr>
        <w:t>Facebook, Twitter e YouTube</w:t>
      </w:r>
      <w:r>
        <w:t>, investindo na transparência das informações e na democratização da gestão.</w:t>
      </w:r>
    </w:p>
    <w:p w:rsidR="003E6588" w:rsidRDefault="003E6588">
      <w:pPr>
        <w:tabs>
          <w:tab w:val="left" w:pos="284"/>
          <w:tab w:val="left" w:pos="567"/>
        </w:tabs>
        <w:ind w:right="-108" w:firstLine="1134"/>
        <w:jc w:val="both"/>
      </w:pPr>
    </w:p>
    <w:p w:rsidR="003E6588" w:rsidRDefault="003E6588">
      <w:pPr>
        <w:ind w:firstLine="1134"/>
        <w:jc w:val="both"/>
      </w:pPr>
      <w:r>
        <w:rPr>
          <w:b/>
        </w:rPr>
        <w:t xml:space="preserve">Organização e participação em eventos - </w:t>
      </w:r>
      <w:r>
        <w:t>Organização de evento em comemoração ao Dia da Água; Participação em eventos significativos para o Sistema, com destaque para o “Diálogo Interbacias de Educação Ambiental em Recursos Hídricos” e “Encontro Nacional de Comitês de Bacias Hidrográficas - ENCOB”.</w:t>
      </w:r>
    </w:p>
    <w:p w:rsidR="003E6588" w:rsidRDefault="003E6588">
      <w:pPr>
        <w:ind w:firstLine="1134"/>
        <w:jc w:val="both"/>
      </w:pPr>
    </w:p>
    <w:p w:rsidR="003E6588" w:rsidRDefault="003E6588">
      <w:pPr>
        <w:ind w:firstLine="1134"/>
        <w:jc w:val="both"/>
      </w:pPr>
      <w:r>
        <w:rPr>
          <w:b/>
        </w:rPr>
        <w:t xml:space="preserve">Departamento de Operacionalização do FEHIDRO - </w:t>
      </w:r>
      <w:r>
        <w:t>O FEHIDRO realiza financiamentos reembolsáveis ou não reembolsáveis de projetos, serviços e obras que se vinculem diretamente às metas estabelecidas pelo Plano de Bacia Hidrográfica e que se enquadrem no Plano Estadual de Recursos Hídricos do Estado de São Paulo.</w:t>
      </w:r>
    </w:p>
    <w:p w:rsidR="003E6588" w:rsidRDefault="003E6588">
      <w:pPr>
        <w:ind w:firstLine="1134"/>
        <w:jc w:val="both"/>
      </w:pPr>
    </w:p>
    <w:p w:rsidR="003E6588" w:rsidRDefault="003E6588">
      <w:pPr>
        <w:pStyle w:val="PargrafodaLista"/>
        <w:shd w:val="clear" w:color="auto" w:fill="FFFFFF"/>
        <w:ind w:left="0" w:firstLine="1134"/>
        <w:rPr>
          <w:rFonts w:ascii="Times New Roman" w:hAnsi="Times New Roman"/>
          <w:sz w:val="23"/>
          <w:szCs w:val="23"/>
        </w:rPr>
      </w:pPr>
      <w:r>
        <w:rPr>
          <w:rFonts w:ascii="Times New Roman" w:hAnsi="Times New Roman"/>
          <w:sz w:val="23"/>
          <w:szCs w:val="23"/>
        </w:rPr>
        <w:t xml:space="preserve">- Empreendimentos concluídos com recursos da Compensação Financeira e de </w:t>
      </w:r>
      <w:r>
        <w:rPr>
          <w:rFonts w:ascii="Times New Roman" w:hAnsi="Times New Roman"/>
          <w:i/>
          <w:sz w:val="23"/>
          <w:szCs w:val="23"/>
        </w:rPr>
        <w:t>Royalties:</w:t>
      </w:r>
    </w:p>
    <w:p w:rsidR="003E6588" w:rsidRDefault="003E6588">
      <w:pPr>
        <w:ind w:firstLine="1276"/>
        <w:jc w:val="both"/>
        <w:rPr>
          <w:sz w:val="23"/>
          <w:szCs w:val="23"/>
        </w:rPr>
      </w:pPr>
      <w:r>
        <w:rPr>
          <w:sz w:val="23"/>
          <w:szCs w:val="23"/>
        </w:rPr>
        <w:t>Conclusão, total ou parcial, de 268 empreendimentos.</w:t>
      </w:r>
    </w:p>
    <w:p w:rsidR="003E6588" w:rsidRDefault="003E6588">
      <w:pPr>
        <w:ind w:firstLine="1276"/>
        <w:jc w:val="both"/>
        <w:rPr>
          <w:sz w:val="23"/>
          <w:szCs w:val="23"/>
        </w:rPr>
      </w:pPr>
      <w:r>
        <w:rPr>
          <w:sz w:val="23"/>
          <w:szCs w:val="23"/>
        </w:rPr>
        <w:t>Total - R$ 42.663.709,27 (valores pagos aos Tomadores).</w:t>
      </w:r>
    </w:p>
    <w:p w:rsidR="003E6588" w:rsidRDefault="003E6588">
      <w:pPr>
        <w:ind w:firstLine="1276"/>
        <w:jc w:val="both"/>
        <w:rPr>
          <w:sz w:val="23"/>
          <w:szCs w:val="23"/>
        </w:rPr>
      </w:pPr>
      <w:r>
        <w:rPr>
          <w:sz w:val="23"/>
          <w:szCs w:val="23"/>
        </w:rPr>
        <w:t>Perspectivas - Continuidade das conclusões dos empreendimentos.</w:t>
      </w:r>
    </w:p>
    <w:p w:rsidR="003E6588" w:rsidRDefault="003E6588">
      <w:pPr>
        <w:pStyle w:val="PargrafodaLista"/>
        <w:shd w:val="clear" w:color="auto" w:fill="FFFFFF"/>
        <w:ind w:left="0" w:firstLine="1134"/>
        <w:rPr>
          <w:rFonts w:ascii="Times New Roman" w:hAnsi="Times New Roman"/>
          <w:sz w:val="23"/>
          <w:szCs w:val="23"/>
        </w:rPr>
      </w:pPr>
    </w:p>
    <w:p w:rsidR="003E6588" w:rsidRDefault="003E6588">
      <w:pPr>
        <w:pStyle w:val="PargrafodaLista"/>
        <w:shd w:val="clear" w:color="auto" w:fill="FFFFFF"/>
        <w:ind w:left="0" w:firstLine="1134"/>
        <w:rPr>
          <w:rFonts w:ascii="Times New Roman" w:hAnsi="Times New Roman"/>
          <w:sz w:val="23"/>
          <w:szCs w:val="23"/>
        </w:rPr>
      </w:pPr>
      <w:r>
        <w:rPr>
          <w:rFonts w:ascii="Times New Roman" w:hAnsi="Times New Roman"/>
          <w:sz w:val="23"/>
          <w:szCs w:val="23"/>
        </w:rPr>
        <w:t>- Empreendimentos concluídos com recursos da Cobrança pela Utilização dos Recursos Hídricos:</w:t>
      </w:r>
    </w:p>
    <w:p w:rsidR="003E6588" w:rsidRDefault="003E6588">
      <w:pPr>
        <w:ind w:firstLine="1276"/>
        <w:jc w:val="both"/>
        <w:rPr>
          <w:sz w:val="23"/>
          <w:szCs w:val="23"/>
        </w:rPr>
      </w:pPr>
      <w:r>
        <w:rPr>
          <w:sz w:val="23"/>
          <w:szCs w:val="23"/>
        </w:rPr>
        <w:t>Conclusão, total ou parcial, de 16 empreendimentos.</w:t>
      </w:r>
    </w:p>
    <w:p w:rsidR="003E6588" w:rsidRDefault="003E6588">
      <w:pPr>
        <w:ind w:firstLine="1276"/>
        <w:jc w:val="both"/>
        <w:rPr>
          <w:sz w:val="23"/>
          <w:szCs w:val="23"/>
        </w:rPr>
      </w:pPr>
      <w:r>
        <w:rPr>
          <w:sz w:val="23"/>
          <w:szCs w:val="23"/>
        </w:rPr>
        <w:t>Total - R$ 8.602.288,98 (valores pagos aos Tomadores).</w:t>
      </w:r>
    </w:p>
    <w:p w:rsidR="003E6588" w:rsidRDefault="003E6588">
      <w:pPr>
        <w:ind w:firstLine="1276"/>
        <w:jc w:val="both"/>
        <w:rPr>
          <w:sz w:val="23"/>
          <w:szCs w:val="23"/>
        </w:rPr>
      </w:pPr>
      <w:r>
        <w:rPr>
          <w:sz w:val="23"/>
          <w:szCs w:val="23"/>
        </w:rPr>
        <w:t>Perspectivas - Continuidade das conclusões dos empreendimentos.</w:t>
      </w:r>
    </w:p>
    <w:p w:rsidR="003E6588" w:rsidRDefault="003E6588">
      <w:pPr>
        <w:ind w:firstLine="1134"/>
        <w:jc w:val="both"/>
        <w:rPr>
          <w:sz w:val="23"/>
          <w:szCs w:val="23"/>
        </w:rPr>
      </w:pPr>
    </w:p>
    <w:p w:rsidR="003E6588" w:rsidRDefault="003E6588">
      <w:pPr>
        <w:pStyle w:val="PargrafodaLista"/>
        <w:shd w:val="clear" w:color="auto" w:fill="FFFFFF"/>
        <w:ind w:left="0" w:firstLine="1134"/>
        <w:rPr>
          <w:rFonts w:ascii="Times New Roman" w:hAnsi="Times New Roman"/>
          <w:sz w:val="23"/>
          <w:szCs w:val="23"/>
        </w:rPr>
      </w:pPr>
      <w:r>
        <w:rPr>
          <w:rFonts w:ascii="Times New Roman" w:hAnsi="Times New Roman"/>
          <w:sz w:val="23"/>
          <w:szCs w:val="23"/>
        </w:rPr>
        <w:t xml:space="preserve">- Contratos assinados com recursos da Compensação Financeira e de </w:t>
      </w:r>
      <w:r>
        <w:rPr>
          <w:rFonts w:ascii="Times New Roman" w:hAnsi="Times New Roman"/>
          <w:i/>
          <w:sz w:val="23"/>
          <w:szCs w:val="23"/>
        </w:rPr>
        <w:t>Royalties:</w:t>
      </w:r>
    </w:p>
    <w:p w:rsidR="003E6588" w:rsidRDefault="003E6588">
      <w:pPr>
        <w:ind w:firstLine="1276"/>
        <w:jc w:val="both"/>
        <w:rPr>
          <w:sz w:val="23"/>
          <w:szCs w:val="23"/>
        </w:rPr>
      </w:pPr>
      <w:r>
        <w:rPr>
          <w:sz w:val="23"/>
          <w:szCs w:val="23"/>
        </w:rPr>
        <w:t>Assinatura de 59 contratos com recursos do FEHIDRO.</w:t>
      </w:r>
    </w:p>
    <w:p w:rsidR="003E6588" w:rsidRDefault="003E6588">
      <w:pPr>
        <w:ind w:firstLine="1276"/>
        <w:jc w:val="both"/>
        <w:rPr>
          <w:sz w:val="23"/>
          <w:szCs w:val="23"/>
        </w:rPr>
      </w:pPr>
      <w:r>
        <w:rPr>
          <w:sz w:val="23"/>
          <w:szCs w:val="23"/>
        </w:rPr>
        <w:t>Total - R$ 18.935.374,04 (valores aprovados pelos Agentes Técnicos).</w:t>
      </w:r>
    </w:p>
    <w:p w:rsidR="003E6588" w:rsidRDefault="003E6588">
      <w:pPr>
        <w:ind w:firstLine="1134"/>
        <w:jc w:val="both"/>
        <w:rPr>
          <w:sz w:val="23"/>
          <w:szCs w:val="23"/>
        </w:rPr>
      </w:pPr>
    </w:p>
    <w:p w:rsidR="003E6588" w:rsidRDefault="003E6588">
      <w:pPr>
        <w:pStyle w:val="PargrafodaLista"/>
        <w:shd w:val="clear" w:color="auto" w:fill="FFFFFF"/>
        <w:ind w:left="0" w:firstLine="1134"/>
        <w:rPr>
          <w:rFonts w:ascii="Times New Roman" w:hAnsi="Times New Roman"/>
          <w:sz w:val="23"/>
          <w:szCs w:val="23"/>
        </w:rPr>
      </w:pPr>
      <w:r>
        <w:rPr>
          <w:rFonts w:ascii="Times New Roman" w:hAnsi="Times New Roman"/>
          <w:sz w:val="23"/>
          <w:szCs w:val="23"/>
        </w:rPr>
        <w:t>- Contratos assinados com recursos da Cobrança pela Utilização dos Recursos Hídricos.</w:t>
      </w:r>
    </w:p>
    <w:p w:rsidR="003E6588" w:rsidRDefault="003E6588" w:rsidP="0038593F">
      <w:pPr>
        <w:tabs>
          <w:tab w:val="left" w:pos="0"/>
        </w:tabs>
        <w:ind w:firstLine="1276"/>
        <w:jc w:val="both"/>
        <w:rPr>
          <w:sz w:val="23"/>
          <w:szCs w:val="23"/>
        </w:rPr>
      </w:pPr>
      <w:r>
        <w:rPr>
          <w:sz w:val="23"/>
          <w:szCs w:val="23"/>
        </w:rPr>
        <w:t>Assinatura de 4 contratos com recursos oriundos da cobrança pela utilização dos recursos hídricos.</w:t>
      </w:r>
    </w:p>
    <w:p w:rsidR="003E6588" w:rsidRDefault="003E6588" w:rsidP="0038593F">
      <w:pPr>
        <w:tabs>
          <w:tab w:val="left" w:pos="0"/>
        </w:tabs>
        <w:ind w:firstLine="1276"/>
        <w:jc w:val="both"/>
        <w:rPr>
          <w:sz w:val="23"/>
          <w:szCs w:val="23"/>
        </w:rPr>
      </w:pPr>
      <w:r>
        <w:rPr>
          <w:sz w:val="23"/>
          <w:szCs w:val="23"/>
        </w:rPr>
        <w:t>Total: R$ 3.232.363,51.</w:t>
      </w:r>
    </w:p>
    <w:p w:rsidR="001C7F65" w:rsidRDefault="001C7F65" w:rsidP="0038593F">
      <w:pPr>
        <w:tabs>
          <w:tab w:val="left" w:pos="0"/>
        </w:tabs>
        <w:ind w:firstLine="1276"/>
        <w:jc w:val="both"/>
        <w:rPr>
          <w:sz w:val="23"/>
          <w:szCs w:val="23"/>
        </w:rPr>
      </w:pPr>
    </w:p>
    <w:p w:rsidR="003E6588" w:rsidRDefault="003E6588">
      <w:pPr>
        <w:ind w:firstLine="1134"/>
        <w:jc w:val="both"/>
        <w:rPr>
          <w:b/>
        </w:rPr>
      </w:pPr>
      <w:r>
        <w:rPr>
          <w:b/>
        </w:rPr>
        <w:t>Unidade de Gerenciamento de Programas - UGP</w:t>
      </w:r>
    </w:p>
    <w:p w:rsidR="003E6588" w:rsidRDefault="003E6588">
      <w:pPr>
        <w:ind w:firstLine="1134"/>
        <w:jc w:val="both"/>
      </w:pPr>
    </w:p>
    <w:p w:rsidR="003E6588" w:rsidRDefault="003E6588">
      <w:pPr>
        <w:ind w:firstLine="1134"/>
        <w:jc w:val="both"/>
      </w:pPr>
      <w:r>
        <w:rPr>
          <w:b/>
        </w:rPr>
        <w:t xml:space="preserve">Programa Mananciais - </w:t>
      </w:r>
      <w:r>
        <w:t xml:space="preserve">Deu-se continuidade ao Programa voltado à recuperação dos mananciais utilizados para o abastecimento público da Região Metropolitana de São Paulo. Participam </w:t>
      </w:r>
      <w:r>
        <w:lastRenderedPageBreak/>
        <w:t>do Programa Secretaria de Saneamento e Recursos Hídricos, SABESP, CDHU e Prefeituras de São Paulo e de São Bernardo do Campo. Investimento total previsto - R$ 1.600,0 milhões.</w:t>
      </w:r>
    </w:p>
    <w:p w:rsidR="003E6588" w:rsidRDefault="003E6588">
      <w:pPr>
        <w:ind w:firstLine="1134"/>
        <w:jc w:val="both"/>
      </w:pPr>
    </w:p>
    <w:p w:rsidR="003E6588" w:rsidRDefault="003E6588">
      <w:pPr>
        <w:ind w:firstLine="1134"/>
        <w:jc w:val="both"/>
      </w:pPr>
      <w:r>
        <w:t>Fazem parte deste Programa:</w:t>
      </w:r>
    </w:p>
    <w:p w:rsidR="003E6588" w:rsidRDefault="003E6588">
      <w:pPr>
        <w:ind w:firstLine="1134"/>
        <w:jc w:val="both"/>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Programa de Recuperação Ambiental de Mananciais, Urbanização de Favelas e Melhorias Urbanas - Guarapiranga e Billings</w:t>
      </w:r>
    </w:p>
    <w:p w:rsidR="003E6588" w:rsidRDefault="003E6588">
      <w:pPr>
        <w:pStyle w:val="PargrafodaLista"/>
        <w:ind w:left="1494" w:firstLine="1134"/>
        <w:rPr>
          <w:rFonts w:ascii="Times New Roman" w:hAnsi="Times New Roman"/>
          <w:b/>
          <w:sz w:val="24"/>
          <w:szCs w:val="24"/>
        </w:rPr>
      </w:pPr>
    </w:p>
    <w:p w:rsidR="003E6588" w:rsidRDefault="003E6588">
      <w:pPr>
        <w:ind w:firstLine="1134"/>
        <w:jc w:val="both"/>
      </w:pPr>
      <w:r>
        <w:rPr>
          <w:b/>
        </w:rPr>
        <w:t>Meta -</w:t>
      </w:r>
      <w:r>
        <w:t xml:space="preserve"> Urbanização de 44.343 unidades habitacionais, mediante execução de obras de pavimentação e sistema viário, drenagem e canalizações, contenção em áreas de risco, sistemas de água e esgotos, parques e áreas de lazer; construção de 5.340 unidades habitacionais novas para famílias removidas e reassentadas.</w:t>
      </w:r>
    </w:p>
    <w:p w:rsidR="003E6588" w:rsidRDefault="003E6588">
      <w:pPr>
        <w:ind w:firstLine="1134"/>
        <w:jc w:val="both"/>
      </w:pPr>
    </w:p>
    <w:p w:rsidR="003E6588" w:rsidRDefault="003E6588">
      <w:pPr>
        <w:ind w:firstLine="1134"/>
        <w:jc w:val="both"/>
      </w:pPr>
      <w:r>
        <w:rPr>
          <w:b/>
        </w:rPr>
        <w:t>Realização -</w:t>
      </w:r>
      <w:r>
        <w:t xml:space="preserve"> É executado sob o Termo de Compromisso OGU nº 0227.535-53/2007 com o Governo do Estado, por intermédio da Secretaria de Saneamento e Recursos Hídricos. O orçamento é de R$ 1.077,5 milhões, sendo R$ 445,5 milhões do Orçamento Geral da União e o restante distribuído entre os intervenientes: Prefeitura de São Paulo (R$</w:t>
      </w:r>
      <w:r w:rsidR="0038593F">
        <w:t xml:space="preserve"> </w:t>
      </w:r>
      <w:r>
        <w:t>459,3 milhões), CDHU (R$ 130,6 milhões) e SABESP (R$ 42,1 milhões). O prazo contratual será aditado por mais 24 meses. Foram atestados pela CAIXA R$ 711,9 milhões e liberados R$ 307,3 milhões de repasse do OGU. As obras de urbanização encontram-se concluídas. Foram cadastradas 57.000 famílias, superando a meta inicial proposta para o Programa (44.343 unidades habitacionais urbanizadas). As obras dos Conjuntos Habitacionais novos encontram-se em andamento pela CDHU e pela Prefeitura de São Paulo.</w:t>
      </w:r>
    </w:p>
    <w:p w:rsidR="003E6588" w:rsidRDefault="003E6588">
      <w:pPr>
        <w:ind w:firstLine="1134"/>
        <w:jc w:val="both"/>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Programa Saneamento Ambiental dos Mananciais do Alto Tietê</w:t>
      </w:r>
    </w:p>
    <w:p w:rsidR="003E6588" w:rsidRDefault="003E6588">
      <w:pPr>
        <w:ind w:firstLine="1134"/>
        <w:jc w:val="both"/>
        <w:rPr>
          <w:u w:val="single"/>
        </w:rPr>
      </w:pPr>
    </w:p>
    <w:p w:rsidR="003E6588" w:rsidRDefault="003E6588">
      <w:pPr>
        <w:ind w:firstLine="1134"/>
        <w:jc w:val="both"/>
      </w:pPr>
      <w:r>
        <w:rPr>
          <w:b/>
        </w:rPr>
        <w:t>Investimento Total -</w:t>
      </w:r>
      <w:r>
        <w:t xml:space="preserve"> US$ 226,9 milhões, sendo: SABESP: US$ 125 milhões; Governo do Estado: US$ 60,5 milhões; São Bernardo do Campo: US$ 41,4 milhões. Os respectivos Acordos de Empréstimo com o Banco Mundial são: SABESP - Valor Financiado: US$ 100 milhões; Governo do Estado: Valor Financiado: US$ 4 milhões; São Bernardo do Campo: Valor Financiado: US$ 20,82 milhões.</w:t>
      </w:r>
    </w:p>
    <w:p w:rsidR="003E6588" w:rsidRDefault="003E6588">
      <w:pPr>
        <w:ind w:firstLine="1134"/>
        <w:jc w:val="both"/>
      </w:pPr>
    </w:p>
    <w:p w:rsidR="003E6588" w:rsidRDefault="003E6588">
      <w:pPr>
        <w:ind w:firstLine="1134"/>
        <w:jc w:val="both"/>
      </w:pPr>
      <w:r>
        <w:t>As atividades desenvolvidas por cada instituição foram:</w:t>
      </w:r>
    </w:p>
    <w:p w:rsidR="003E6588" w:rsidRDefault="003E6588">
      <w:pPr>
        <w:ind w:firstLine="1134"/>
        <w:jc w:val="both"/>
        <w:rPr>
          <w:u w:val="single"/>
        </w:rPr>
      </w:pPr>
    </w:p>
    <w:p w:rsidR="003E6588" w:rsidRDefault="003E6588">
      <w:pPr>
        <w:ind w:firstLine="1134"/>
        <w:jc w:val="both"/>
        <w:rPr>
          <w:b/>
        </w:rPr>
      </w:pPr>
      <w:r>
        <w:rPr>
          <w:b/>
        </w:rPr>
        <w:t>Projeto SABESP</w:t>
      </w:r>
    </w:p>
    <w:p w:rsidR="003E6588" w:rsidRDefault="003E6588">
      <w:pPr>
        <w:ind w:firstLine="1134"/>
        <w:jc w:val="both"/>
        <w:rPr>
          <w:u w:val="single"/>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Obras concluídas - ETE Bragança Paulista; Adutora Grajaú Parelheiros; e Sistema de esgotamento sanitário no Município de São Paulo - Cocaia/Lagoinha.</w:t>
      </w:r>
    </w:p>
    <w:p w:rsidR="0038593F" w:rsidRDefault="0038593F">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Serviço de Consultoria concluído - Projeto do sistema de esgotamento sanitário de Ribeirão Pires e Rio Grande da Serra.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Obras em andamento - Sistemas de esgotamento sanitário Branca Flor (Itapecerica da Serra), Mombaça (Itapecerica da Serra) e TO-13 (Carapicuíba).</w:t>
      </w: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lastRenderedPageBreak/>
        <w:t>- Serviços de Consultoria em contratação - Recuperação e limpeza da área de inundação da Represa Taiaçupeba; Otimização operacional de sistemas de esgotos existentes na Bacia Guarapiranga (Córrego Limpo); Projetos de ampliação do sistema de esgotos de Embu das Artes, Embu-Guaçu e Itapecerica da Serra; Revisão da concepção hidráulica e estrutural do Sistema Adutor Guarapiranga; Estudo limnológico de represas do Sistema Cantareira; Estudo de modelagem hidrodinâmica dos reservatórios Taiaçupeba, Jundiaí, Atibainha e Rio Grande.</w:t>
      </w:r>
    </w:p>
    <w:p w:rsidR="003E6588" w:rsidRDefault="003E6588">
      <w:pPr>
        <w:pStyle w:val="PargrafodaLista"/>
        <w:autoSpaceDE w:val="0"/>
        <w:autoSpaceDN w:val="0"/>
        <w:adjustRightInd w:val="0"/>
        <w:ind w:firstLine="1134"/>
        <w:rPr>
          <w:rFonts w:ascii="Times New Roman" w:hAnsi="Times New Roman"/>
          <w:sz w:val="24"/>
          <w:szCs w:val="24"/>
        </w:rPr>
      </w:pPr>
    </w:p>
    <w:p w:rsidR="003E6588" w:rsidRDefault="003E6588">
      <w:pPr>
        <w:ind w:firstLine="1134"/>
        <w:jc w:val="both"/>
        <w:rPr>
          <w:b/>
        </w:rPr>
      </w:pPr>
      <w:r>
        <w:rPr>
          <w:b/>
        </w:rPr>
        <w:t>Projeto GESP</w:t>
      </w:r>
    </w:p>
    <w:p w:rsidR="003E6588" w:rsidRDefault="003E6588">
      <w:pPr>
        <w:ind w:firstLine="1134"/>
        <w:jc w:val="both"/>
        <w:rPr>
          <w:b/>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Obras concluídas - Parque Nove de Julho, mediante convênio com PMSP (R$ 4,7 milhões); e Centro de Integração da Cidadania - CIC Grajaú (R$</w:t>
      </w:r>
      <w:r w:rsidR="0038593F">
        <w:rPr>
          <w:rFonts w:ascii="Times New Roman" w:hAnsi="Times New Roman"/>
          <w:sz w:val="24"/>
          <w:szCs w:val="24"/>
        </w:rPr>
        <w:t xml:space="preserve"> </w:t>
      </w:r>
      <w:r>
        <w:rPr>
          <w:rFonts w:ascii="Times New Roman" w:hAnsi="Times New Roman"/>
          <w:sz w:val="24"/>
          <w:szCs w:val="24"/>
        </w:rPr>
        <w:t>5,4 milhões).</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Serviços de Consultoria concluídos - Auditoria do Projeto (R$ 24 mil); e Consultoria individual para apoio à realização da Oficina de Trabalho “Avaliação da Efetividade da Legislação de Proteção e Recuperação de Mananciais na RMSP” (R$ 60 mil).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Serviços de Consultoria em andamento - Gerenciamento do Projeto (R$ 4,8 milhões); Monitoramento da qualidade das Represas Billings e Guarapiranga (R$ 2,1 milhões); Projeto do sistema de esgotamento sanitário do Distrito de Marsilac (R$ 339 mil); Especificação técnica do SGI - Sistema de Gerenciamento de Informações (R$ 496 mil); e Elaboração de estudos de cargas difusas no Sistema Produtor Alto Tietê (R$ 2,8 milhões).</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Obra em contratação - Aterro Sanitário de Embu Guaçu (R$ 2,6 milhões). Assinatura do contrato depende do aditamento do valor do Termo de Convênio, assinado entre a Prefeitura de Embu Guaçu e o GESP, bem como da prorrogação da Licença de Instalação emitida pela CETESB.</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Serviços de Consultoria em contratação - Elaboração do Plano Integrado de Desenvolvimento e Proteção Ambiental e dos PDPA Específicos para as APRM da RMSP; Auditoria do Projeto 2014 e 2015; Monitoramento da APRM do Alto Juquery; e Gestão de Resíduos Sólidos.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Convênios em andamento com a PMSP - Ciclovia Guarapiranga Trecho I/Parque Atlântica (R$ 4,6 milhões); e Ciclovia Guarapiranga Trecho II (R$ 10,8 milhões).</w:t>
      </w:r>
    </w:p>
    <w:p w:rsidR="003E6588" w:rsidRDefault="003E6588">
      <w:pPr>
        <w:pStyle w:val="PargrafodaLista"/>
        <w:ind w:firstLine="1134"/>
        <w:rPr>
          <w:rFonts w:ascii="Times New Roman" w:hAnsi="Times New Roman"/>
          <w:sz w:val="24"/>
          <w:szCs w:val="24"/>
        </w:rPr>
      </w:pPr>
    </w:p>
    <w:p w:rsidR="003E6588" w:rsidRDefault="003E6588">
      <w:pPr>
        <w:ind w:firstLine="1134"/>
        <w:jc w:val="both"/>
        <w:rPr>
          <w:b/>
        </w:rPr>
      </w:pPr>
      <w:r>
        <w:rPr>
          <w:b/>
        </w:rPr>
        <w:t>Projeto São Bernardo do Campo</w:t>
      </w:r>
    </w:p>
    <w:p w:rsidR="003E6588" w:rsidRDefault="003E6588">
      <w:pPr>
        <w:ind w:firstLine="1134"/>
        <w:jc w:val="both"/>
        <w:rPr>
          <w:b/>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Serviços de Consultoria em andamento - Consultoria individual para apoio às contratações do Projeto (R$ 135 mil).</w:t>
      </w:r>
    </w:p>
    <w:p w:rsidR="001C7F65" w:rsidRDefault="001C7F65">
      <w:pPr>
        <w:pStyle w:val="PargrafodaLista"/>
        <w:autoSpaceDE w:val="0"/>
        <w:autoSpaceDN w:val="0"/>
        <w:adjustRightInd w:val="0"/>
        <w:ind w:left="0"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Serviços de Consultoria em contratação - Plano de Desenvolvimento e Proteção Ambiental Local - Fase 1, Programa de Educação Ambiental Municipal e Gerenciamento do Projeto.</w:t>
      </w:r>
    </w:p>
    <w:p w:rsidR="003E6588" w:rsidRDefault="003E6588">
      <w:pPr>
        <w:ind w:firstLine="1134"/>
        <w:jc w:val="both"/>
        <w:rPr>
          <w:b/>
        </w:rPr>
      </w:pPr>
    </w:p>
    <w:p w:rsidR="003E6588" w:rsidRDefault="003E6588">
      <w:pPr>
        <w:ind w:firstLine="1134"/>
        <w:jc w:val="both"/>
      </w:pPr>
      <w:r>
        <w:rPr>
          <w:b/>
        </w:rPr>
        <w:t xml:space="preserve">Programa Estadual de Apoio à Recuperação das Águas - REÁGUA - </w:t>
      </w:r>
      <w:r>
        <w:t xml:space="preserve">O programa apoia ações de redução de perdas em sistemas de abastecimento de água; redução de consumo em edificações </w:t>
      </w:r>
      <w:r>
        <w:lastRenderedPageBreak/>
        <w:t>públicas; reuso de efluentes tratados; redução da poluição por coleta e tratamento de esgotos e modernização da prestação de serviços. O acesso por parte dos Municípios e entidades operadoras de serviços deu-se mediante atendimento a edital público, avaliação e priorização de projetos, em conformidade com as regras do Programa acordadas com o agente financiador. O Programa traz como inovação o mecanismo de repasse de recursos baseado na verificação de desempenho.</w:t>
      </w:r>
    </w:p>
    <w:p w:rsidR="003E6588" w:rsidRDefault="003E6588">
      <w:pPr>
        <w:ind w:firstLine="1134"/>
        <w:jc w:val="both"/>
        <w:rPr>
          <w:strike/>
        </w:rPr>
      </w:pPr>
    </w:p>
    <w:p w:rsidR="003E6588" w:rsidRDefault="003E6588">
      <w:pPr>
        <w:ind w:firstLine="1134"/>
        <w:jc w:val="both"/>
      </w:pPr>
      <w:r>
        <w:t>Mais 11 contratos assinados com prestadores de serviços, no valor de R$</w:t>
      </w:r>
      <w:r w:rsidR="001C7F65">
        <w:t xml:space="preserve"> </w:t>
      </w:r>
      <w:r>
        <w:t>72,7 milhões. No total, os 41 contratos com prestadores de serviços perfazem R$ 224 milhões, dos quais foram desembolsados R$ 21,2 milhões. Foram contratadas consultorias para Apoio Técnico ao Gerenciamento do Programa e para Agente Verificador do cumprimento das metas do Programa.</w:t>
      </w:r>
    </w:p>
    <w:p w:rsidR="003E6588" w:rsidRDefault="003E6588">
      <w:pPr>
        <w:ind w:firstLine="1134"/>
        <w:jc w:val="both"/>
      </w:pPr>
    </w:p>
    <w:p w:rsidR="003E6588" w:rsidRDefault="003E6588">
      <w:pPr>
        <w:ind w:firstLine="1134"/>
        <w:jc w:val="both"/>
        <w:rPr>
          <w:b/>
        </w:rPr>
      </w:pPr>
      <w:r>
        <w:rPr>
          <w:b/>
        </w:rPr>
        <w:t>Resultados Parciais</w:t>
      </w:r>
    </w:p>
    <w:p w:rsidR="003E6588" w:rsidRDefault="003E6588">
      <w:pPr>
        <w:ind w:firstLine="1134"/>
        <w:jc w:val="both"/>
        <w:rPr>
          <w:b/>
        </w:rPr>
      </w:pPr>
    </w:p>
    <w:p w:rsidR="003E6588" w:rsidRDefault="003E6588">
      <w:pPr>
        <w:ind w:firstLine="1134"/>
        <w:jc w:val="both"/>
      </w:pPr>
      <w:r>
        <w:rPr>
          <w:b/>
        </w:rPr>
        <w:t>Controle e Redução de Perdas -</w:t>
      </w:r>
      <w:r>
        <w:t xml:space="preserve"> Como resultado das ações de combate a perdas, executadas pelo SAAE de Indaiatuba, o REÁGUA mensurou que 712 mil m³ deixarão de ser desperdiçados anualmente no Município. Para Campo Limpo Paulista, a quantidade de água economizada é de 970 mil m³. Para Várzea Paulista, esse número alcança 2 milhões de m³ por ano. Em Campinas 388 mil m³ por ano estão sendo economizados com as obras já realizadas e no Município de Nova Odessa o volume chega a 1,27 milhões de m³ por ano.</w:t>
      </w:r>
    </w:p>
    <w:p w:rsidR="003E6588" w:rsidRDefault="003E6588">
      <w:pPr>
        <w:ind w:firstLine="1134"/>
        <w:jc w:val="both"/>
        <w:rPr>
          <w:u w:val="single"/>
        </w:rPr>
      </w:pPr>
    </w:p>
    <w:p w:rsidR="003E6588" w:rsidRDefault="003E6588">
      <w:pPr>
        <w:ind w:firstLine="1134"/>
        <w:jc w:val="both"/>
      </w:pPr>
      <w:r>
        <w:rPr>
          <w:b/>
        </w:rPr>
        <w:t>Uso Racional da Água -</w:t>
      </w:r>
      <w:r>
        <w:t xml:space="preserve"> A SANASA realizou intervenções para uso racional da água em 124 escolas públicas de Campinas, mediante substituição de torneiras, válvulas de descarga e educação ambiental para funcionários e alunos.</w:t>
      </w:r>
    </w:p>
    <w:p w:rsidR="003E6588" w:rsidRDefault="003E6588">
      <w:pPr>
        <w:ind w:firstLine="1134"/>
        <w:jc w:val="both"/>
        <w:rPr>
          <w:u w:val="single"/>
        </w:rPr>
      </w:pPr>
    </w:p>
    <w:p w:rsidR="003E6588" w:rsidRDefault="003E6588">
      <w:pPr>
        <w:ind w:firstLine="1134"/>
        <w:jc w:val="both"/>
      </w:pPr>
      <w:r>
        <w:rPr>
          <w:b/>
        </w:rPr>
        <w:t>Esgotos -</w:t>
      </w:r>
      <w:r>
        <w:t xml:space="preserve"> Foram concluídas e operacionalizadas pela Sabesp três Estações de Tratamento de Esgotos, nos Municípios de Anhembi, Boituva e Conchas, que atenderão 34 mil pessoas.</w:t>
      </w:r>
    </w:p>
    <w:p w:rsidR="003E6588" w:rsidRPr="0038593F" w:rsidRDefault="003E6588">
      <w:pPr>
        <w:ind w:firstLine="1134"/>
        <w:jc w:val="both"/>
        <w:rPr>
          <w:rFonts w:cs="Arial"/>
        </w:rPr>
      </w:pPr>
    </w:p>
    <w:p w:rsidR="003E6588" w:rsidRDefault="003E6588">
      <w:pPr>
        <w:ind w:firstLine="1134"/>
        <w:jc w:val="both"/>
        <w:rPr>
          <w:bCs/>
          <w:lang w:val="pt-PT"/>
        </w:rPr>
      </w:pPr>
    </w:p>
    <w:p w:rsidR="003E6588" w:rsidRDefault="003E6588">
      <w:pPr>
        <w:rPr>
          <w:b/>
        </w:rPr>
      </w:pPr>
      <w:r>
        <w:rPr>
          <w:b/>
        </w:rPr>
        <w:t>DEPARTAMENTO DE ÁGUAS E ENERGIA ELÉTRICA</w:t>
      </w:r>
      <w:r w:rsidR="00E573E5" w:rsidRPr="00E573E5">
        <w:rPr>
          <w:b/>
        </w:rPr>
        <w:t xml:space="preserve"> </w:t>
      </w:r>
      <w:r w:rsidR="00E573E5">
        <w:rPr>
          <w:b/>
        </w:rPr>
        <w:t>- DAEE</w:t>
      </w:r>
    </w:p>
    <w:p w:rsidR="003E6588" w:rsidRDefault="003E6588">
      <w:pPr>
        <w:ind w:firstLine="1134"/>
        <w:jc w:val="both"/>
        <w:rPr>
          <w:bCs/>
        </w:rPr>
      </w:pPr>
    </w:p>
    <w:p w:rsidR="003E6588" w:rsidRDefault="003E6588">
      <w:pPr>
        <w:ind w:firstLine="1134"/>
        <w:jc w:val="both"/>
        <w:rPr>
          <w:bCs/>
        </w:rPr>
      </w:pPr>
    </w:p>
    <w:p w:rsidR="003E6588" w:rsidRDefault="003E6588">
      <w:pPr>
        <w:ind w:firstLine="1134"/>
        <w:jc w:val="both"/>
      </w:pPr>
      <w:r>
        <w:rPr>
          <w:b/>
        </w:rPr>
        <w:t xml:space="preserve">Universalização do Saneamento - Programa Água Limpa - </w:t>
      </w:r>
      <w:r>
        <w:t>O Programa Água Limpa foi criado em 2005, por meio de ação conjunta da Secretaria de Saneamento e Recursos Hídricos, Departamento de Águas e Energia Elétrica - DAEE e Secretaria da Saúde, com objetivo de elaborar projetos e implantar obras de afastamento e tratamento de esgotos domésticos urbanos em Municípios com até 50 mil habitantes não atendidos pela Sabesp ou qualquer concessão. Desde sua implantação, 93 municípios em 95 locais já tiveram seus atendimentos concluídos e contam com Estação de Tratamento de Esgoto em operação atendendo 100% de suas populações, sendo que se encontram em andamento outras 43 obras em 40 municípios.</w:t>
      </w:r>
    </w:p>
    <w:p w:rsidR="003E6588" w:rsidRDefault="003E6588">
      <w:pPr>
        <w:ind w:firstLine="1134"/>
        <w:jc w:val="both"/>
      </w:pPr>
    </w:p>
    <w:p w:rsidR="003E6588" w:rsidRDefault="0033685F">
      <w:pPr>
        <w:ind w:firstLine="1134"/>
        <w:jc w:val="both"/>
      </w:pPr>
      <w:r w:rsidRPr="0033685F">
        <w:rPr>
          <w:strike/>
          <w:noProof/>
        </w:rPr>
        <w:pict>
          <v:group id="Group 92" o:spid="_x0000_s1068" style="position:absolute;left:0;text-align:left;margin-left:591.95pt;margin-top:24.75pt;width:1.8pt;height:435.8pt;z-index:251658752;mso-position-horizontal-relative:page" coordorigin="11839,495" coordsize="36,8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">
            <v:group id="Group 95" o:spid="_x0000_s1069" style="position:absolute;left:11868;top:503;width:2;height:8702" coordorigin="11868,503" coordsize="2,8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Freeform 96" o:spid="_x0000_s1070" style="position:absolute;left:11868;top:503;width:2;height:8702;visibility:visible;mso-wrap-style:square;v-text-anchor:top" coordsize="2,8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xqsMA&#10;AADbAAAADwAAAGRycy9kb3ducmV2LnhtbESPQWsCMRSE70L/Q3iF3jRrC9JujSJCYQ9e3Hrx9tw8&#10;s6ublyWJa/z3TaHQ4zAz3zDLdbK9GMmHzrGC+awAQdw43bFRcPj+mr6DCBFZY++YFDwowHr1NFli&#10;qd2d9zTW0YgM4VCigjbGoZQyNC1ZDDM3EGfv7LzFmKU3Unu8Z7jt5WtRLKTFjvNCiwNtW2qu9c0q&#10;SCaaw3x/WWyPpzHt+kflT3Wl1Mtz2nyCiJTif/ivXWkFH2/w+yX/AL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xqsMAAADbAAAADwAAAAAAAAAAAAAAAACYAgAAZHJzL2Rv&#10;d25yZXYueG1sUEsFBgAAAAAEAAQA9QAAAIgDAAAAAA==&#10;" path="m,8701l,e" filled="f" strokeweight=".25397mm">
                <v:path arrowok="t" o:connecttype="custom" o:connectlocs="0,9204;0,503" o:connectangles="0,0"/>
              </v:shape>
            </v:group>
            <v:group id="Group 93" o:spid="_x0000_s1071" style="position:absolute;left:11846;top:1028;width:2;height:8177" coordorigin="11846,1028" coordsize="2,81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Freeform 94" o:spid="_x0000_s1072" style="position:absolute;left:11846;top:1028;width:2;height:8177;visibility:visible;mso-wrap-style:square;v-text-anchor:top" coordsize="2,8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yFDsUA&#10;AADbAAAADwAAAGRycy9kb3ducmV2LnhtbESP3WrCQBSE7wu+w3KE3tWNFYuJ2UhpsZRW8Be8PWSP&#10;STR7NmS3Jr59t1DwcpiZb5h00ZtaXKl1lWUF41EEgji3uuJCwWG/fJqBcB5ZY22ZFNzIwSIbPKSY&#10;aNvxlq47X4gAYZeggtL7JpHS5SUZdCPbEAfvZFuDPsi2kLrFLsBNLZ+j6EUarDgslNjQW0n5Zfdj&#10;FBzlanKr12tTxPH3+8d0szl/HTqlHof96xyEp97fw//tT60gnsLfl/AD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LIUOxQAAANsAAAAPAAAAAAAAAAAAAAAAAJgCAABkcnMv&#10;ZG93bnJldi54bWxQSwUGAAAAAAQABAD1AAAAigMAAAAA&#10;" path="m,8176l,e" filled="f" strokeweight=".25397mm">
                <v:path arrowok="t" o:connecttype="custom" o:connectlocs="0,9204;0,1028" o:connectangles="0,0"/>
              </v:shape>
            </v:group>
            <w10:wrap anchorx="page"/>
          </v:group>
        </w:pict>
      </w:r>
      <w:r w:rsidR="003E6588">
        <w:t>Foram inauguradas 2 obras pelo Programa, com a previsão de ser inauguradas mais 3. Foram assinados convênios para 35 obras, dos quais 34 foram licitados.</w:t>
      </w:r>
    </w:p>
    <w:p w:rsidR="003E6588" w:rsidRDefault="003E6588">
      <w:pPr>
        <w:ind w:firstLine="1134"/>
        <w:jc w:val="both"/>
        <w:rPr>
          <w:strike/>
        </w:rPr>
      </w:pPr>
    </w:p>
    <w:p w:rsidR="003E6588" w:rsidRDefault="003E6588">
      <w:pPr>
        <w:ind w:firstLine="1134"/>
        <w:jc w:val="both"/>
      </w:pPr>
      <w:r>
        <w:lastRenderedPageBreak/>
        <w:t>Desde o início do Programa, o Governo do Estado investiu R$ 480,32 milhões e a meta final é atender até o final de 2017 todo o universo dos Municípios com até 50 mil habitantes não atendimentos pela SABESP ou outra concessão.</w:t>
      </w:r>
    </w:p>
    <w:p w:rsidR="003E6588" w:rsidRDefault="003E6588">
      <w:pPr>
        <w:ind w:firstLine="1134"/>
        <w:jc w:val="both"/>
        <w:rPr>
          <w:b/>
          <w:bCs/>
        </w:rPr>
      </w:pPr>
    </w:p>
    <w:p w:rsidR="003E6588" w:rsidRDefault="003E6588">
      <w:pPr>
        <w:ind w:firstLine="1134"/>
        <w:jc w:val="both"/>
      </w:pPr>
      <w:r>
        <w:rPr>
          <w:b/>
        </w:rPr>
        <w:t xml:space="preserve">Reservatórios de Retenção - </w:t>
      </w:r>
      <w:r>
        <w:t xml:space="preserve">De acordo com a meta anunciada pelo Estado, sete reservatórios de retenção devem ser implantados pelo DAEE. A meta do PPA (plano plurianual) 2012-2015 é de construir seis reservatórios na RMSP - Região Metropolitana de São Paulo. </w:t>
      </w:r>
      <w:r w:rsidRPr="0038593F">
        <w:t>Resumo das</w:t>
      </w:r>
      <w:r>
        <w:t xml:space="preserve"> informações:</w:t>
      </w:r>
    </w:p>
    <w:p w:rsidR="003E6588" w:rsidRPr="001C7F65" w:rsidRDefault="003E6588">
      <w:pPr>
        <w:ind w:firstLine="1134"/>
        <w:jc w:val="both"/>
        <w:rPr>
          <w:rFonts w:cs="Arial"/>
        </w:rPr>
      </w:pPr>
    </w:p>
    <w:tbl>
      <w:tblPr>
        <w:tblW w:w="9643" w:type="dxa"/>
        <w:jc w:val="center"/>
        <w:tblCellMar>
          <w:left w:w="70" w:type="dxa"/>
          <w:right w:w="70" w:type="dxa"/>
        </w:tblCellMar>
        <w:tblLook w:val="04A0"/>
      </w:tblPr>
      <w:tblGrid>
        <w:gridCol w:w="4231"/>
        <w:gridCol w:w="1675"/>
        <w:gridCol w:w="3737"/>
      </w:tblGrid>
      <w:tr w:rsidR="003E6588">
        <w:trPr>
          <w:trHeight w:hRule="exact" w:val="250"/>
          <w:jc w:val="center"/>
        </w:trPr>
        <w:tc>
          <w:tcPr>
            <w:tcW w:w="4231"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w w:val="105"/>
                <w:sz w:val="20"/>
                <w:szCs w:val="20"/>
                <w:lang w:val="en-US"/>
              </w:rPr>
              <w:t>Piscinão</w:t>
            </w:r>
          </w:p>
        </w:tc>
        <w:tc>
          <w:tcPr>
            <w:tcW w:w="1675" w:type="dxa"/>
            <w:tcBorders>
              <w:top w:val="single" w:sz="8" w:space="0" w:color="000000"/>
              <w:left w:val="nil"/>
              <w:bottom w:val="nil"/>
              <w:right w:val="single" w:sz="8" w:space="0" w:color="000000"/>
            </w:tcBorders>
            <w:shd w:val="clear" w:color="auto" w:fill="auto"/>
            <w:vAlign w:val="center"/>
            <w:hideMark/>
          </w:tcPr>
          <w:p w:rsidR="003E6588" w:rsidRDefault="003E6588">
            <w:pPr>
              <w:rPr>
                <w:b/>
                <w:bCs/>
                <w:color w:val="000000"/>
                <w:sz w:val="20"/>
                <w:szCs w:val="20"/>
              </w:rPr>
            </w:pPr>
            <w:r>
              <w:rPr>
                <w:b/>
                <w:bCs/>
                <w:color w:val="000000"/>
                <w:w w:val="105"/>
                <w:sz w:val="20"/>
                <w:szCs w:val="20"/>
                <w:lang w:val="en-US"/>
              </w:rPr>
              <w:t>Capacidade</w:t>
            </w:r>
          </w:p>
        </w:tc>
        <w:tc>
          <w:tcPr>
            <w:tcW w:w="373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w w:val="105"/>
                <w:sz w:val="20"/>
                <w:szCs w:val="20"/>
                <w:lang w:val="en-US"/>
              </w:rPr>
              <w:t>Situação atual</w:t>
            </w:r>
          </w:p>
        </w:tc>
      </w:tr>
      <w:tr w:rsidR="003E6588">
        <w:trPr>
          <w:trHeight w:val="255"/>
          <w:jc w:val="center"/>
        </w:trPr>
        <w:tc>
          <w:tcPr>
            <w:tcW w:w="4231" w:type="dxa"/>
            <w:vMerge/>
            <w:tcBorders>
              <w:top w:val="single" w:sz="8" w:space="0" w:color="000000"/>
              <w:left w:val="single" w:sz="8" w:space="0" w:color="000000"/>
              <w:bottom w:val="single" w:sz="8" w:space="0" w:color="000000"/>
              <w:right w:val="single" w:sz="8" w:space="0" w:color="000000"/>
            </w:tcBorders>
            <w:vAlign w:val="center"/>
            <w:hideMark/>
          </w:tcPr>
          <w:p w:rsidR="003E6588" w:rsidRDefault="003E6588">
            <w:pPr>
              <w:rPr>
                <w:b/>
                <w:bCs/>
                <w:color w:val="000000"/>
                <w:sz w:val="20"/>
                <w:szCs w:val="20"/>
              </w:rPr>
            </w:pPr>
          </w:p>
        </w:tc>
        <w:tc>
          <w:tcPr>
            <w:tcW w:w="1675" w:type="dxa"/>
            <w:tcBorders>
              <w:top w:val="nil"/>
              <w:left w:val="nil"/>
              <w:bottom w:val="single" w:sz="8" w:space="0" w:color="000000"/>
              <w:right w:val="single" w:sz="8" w:space="0" w:color="000000"/>
            </w:tcBorders>
            <w:shd w:val="clear" w:color="auto" w:fill="auto"/>
            <w:vAlign w:val="center"/>
            <w:hideMark/>
          </w:tcPr>
          <w:p w:rsidR="003E6588" w:rsidRDefault="003E6588">
            <w:pPr>
              <w:rPr>
                <w:b/>
                <w:bCs/>
                <w:color w:val="000000"/>
                <w:sz w:val="20"/>
                <w:szCs w:val="20"/>
              </w:rPr>
            </w:pPr>
            <w:r>
              <w:rPr>
                <w:b/>
                <w:bCs/>
                <w:color w:val="000000"/>
                <w:w w:val="105"/>
                <w:sz w:val="20"/>
                <w:szCs w:val="20"/>
                <w:lang w:val="en-US"/>
              </w:rPr>
              <w:t>Investimento</w:t>
            </w:r>
          </w:p>
        </w:tc>
        <w:tc>
          <w:tcPr>
            <w:tcW w:w="3737" w:type="dxa"/>
            <w:vMerge/>
            <w:tcBorders>
              <w:top w:val="single" w:sz="8" w:space="0" w:color="000000"/>
              <w:left w:val="single" w:sz="8" w:space="0" w:color="000000"/>
              <w:bottom w:val="single" w:sz="8" w:space="0" w:color="000000"/>
              <w:right w:val="single" w:sz="8" w:space="0" w:color="000000"/>
            </w:tcBorders>
            <w:vAlign w:val="center"/>
            <w:hideMark/>
          </w:tcPr>
          <w:p w:rsidR="003E6588" w:rsidRDefault="003E6588">
            <w:pPr>
              <w:rPr>
                <w:b/>
                <w:bCs/>
                <w:color w:val="000000"/>
                <w:sz w:val="20"/>
                <w:szCs w:val="20"/>
              </w:rPr>
            </w:pPr>
          </w:p>
        </w:tc>
      </w:tr>
      <w:tr w:rsidR="003E6588">
        <w:trPr>
          <w:trHeight w:hRule="exact" w:val="170"/>
          <w:jc w:val="center"/>
        </w:trPr>
        <w:tc>
          <w:tcPr>
            <w:tcW w:w="423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Olaria - Pirajussara - São Paulo, Taboão da Serra</w:t>
            </w:r>
          </w:p>
        </w:tc>
        <w:tc>
          <w:tcPr>
            <w:tcW w:w="167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color w:val="000000"/>
                <w:sz w:val="20"/>
                <w:szCs w:val="20"/>
                <w:lang w:val="en-US"/>
              </w:rPr>
            </w:pPr>
            <w:r>
              <w:rPr>
                <w:color w:val="000000"/>
                <w:sz w:val="20"/>
                <w:szCs w:val="20"/>
                <w:lang w:val="en-US"/>
              </w:rPr>
              <w:t>100 mil m³</w:t>
            </w:r>
          </w:p>
          <w:p w:rsidR="003E6588" w:rsidRDefault="003E6588">
            <w:pPr>
              <w:rPr>
                <w:color w:val="000000"/>
                <w:sz w:val="20"/>
                <w:szCs w:val="20"/>
              </w:rPr>
            </w:pPr>
            <w:r>
              <w:rPr>
                <w:color w:val="000000"/>
                <w:sz w:val="20"/>
                <w:szCs w:val="20"/>
                <w:lang w:val="en-US"/>
              </w:rPr>
              <w:t>R$ 36 milhões</w:t>
            </w:r>
          </w:p>
        </w:tc>
        <w:tc>
          <w:tcPr>
            <w:tcW w:w="3737"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Concluído</w:t>
            </w:r>
          </w:p>
        </w:tc>
      </w:tr>
      <w:tr w:rsidR="003E6588">
        <w:trPr>
          <w:trHeight w:val="23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hRule="exact" w:val="20"/>
          <w:jc w:val="center"/>
        </w:trPr>
        <w:tc>
          <w:tcPr>
            <w:tcW w:w="423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w w:val="105"/>
                <w:sz w:val="20"/>
                <w:szCs w:val="20"/>
                <w:lang w:val="en-US"/>
              </w:rPr>
              <w:t>Franco da Rocha - Piscinões</w:t>
            </w:r>
          </w:p>
        </w:tc>
        <w:tc>
          <w:tcPr>
            <w:tcW w:w="167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AV 03 e EU 09</w:t>
            </w:r>
          </w:p>
          <w:p w:rsidR="003E6588" w:rsidRDefault="003E6588">
            <w:pPr>
              <w:rPr>
                <w:color w:val="000000"/>
                <w:sz w:val="20"/>
                <w:szCs w:val="20"/>
              </w:rPr>
            </w:pPr>
            <w:r>
              <w:rPr>
                <w:color w:val="000000"/>
                <w:sz w:val="20"/>
                <w:szCs w:val="20"/>
              </w:rPr>
              <w:t>293 mil m³</w:t>
            </w:r>
          </w:p>
          <w:p w:rsidR="003E6588" w:rsidRDefault="003E6588">
            <w:pPr>
              <w:rPr>
                <w:color w:val="000000"/>
                <w:sz w:val="20"/>
                <w:szCs w:val="20"/>
              </w:rPr>
            </w:pPr>
            <w:r>
              <w:rPr>
                <w:color w:val="000000"/>
                <w:sz w:val="20"/>
                <w:szCs w:val="20"/>
              </w:rPr>
              <w:t>R$ 20,3 milhões</w:t>
            </w:r>
          </w:p>
        </w:tc>
        <w:tc>
          <w:tcPr>
            <w:tcW w:w="3737"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Aguarda liberação das áreas pela PM para OS. São previstos 18 meses de obras.</w:t>
            </w:r>
          </w:p>
        </w:tc>
      </w:tr>
      <w:tr w:rsidR="003E6588">
        <w:trPr>
          <w:trHeight w:val="30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val="23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val="23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hRule="exact" w:val="300"/>
          <w:jc w:val="center"/>
        </w:trPr>
        <w:tc>
          <w:tcPr>
            <w:tcW w:w="423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Guamiranga - São Paulo (Vila Prudente)</w:t>
            </w:r>
          </w:p>
        </w:tc>
        <w:tc>
          <w:tcPr>
            <w:tcW w:w="167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color w:val="000000"/>
                <w:w w:val="105"/>
                <w:sz w:val="20"/>
                <w:szCs w:val="20"/>
              </w:rPr>
            </w:pPr>
            <w:r>
              <w:rPr>
                <w:color w:val="000000"/>
                <w:w w:val="105"/>
                <w:sz w:val="20"/>
                <w:szCs w:val="20"/>
              </w:rPr>
              <w:t>850 mil m³</w:t>
            </w:r>
          </w:p>
          <w:p w:rsidR="003E6588" w:rsidRDefault="003E6588">
            <w:pPr>
              <w:rPr>
                <w:color w:val="000000"/>
                <w:sz w:val="20"/>
                <w:szCs w:val="20"/>
              </w:rPr>
            </w:pPr>
            <w:r>
              <w:rPr>
                <w:color w:val="000000"/>
                <w:w w:val="105"/>
                <w:sz w:val="20"/>
                <w:szCs w:val="20"/>
              </w:rPr>
              <w:t>R$ 142,0 milhões</w:t>
            </w:r>
          </w:p>
        </w:tc>
        <w:tc>
          <w:tcPr>
            <w:tcW w:w="3737"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w w:val="110"/>
                <w:sz w:val="20"/>
                <w:szCs w:val="20"/>
              </w:rPr>
              <w:t>Em execução – 63 % da obra.</w:t>
            </w:r>
          </w:p>
        </w:tc>
      </w:tr>
      <w:tr w:rsidR="003E6588">
        <w:trPr>
          <w:trHeight w:val="23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hRule="exact" w:val="300"/>
          <w:jc w:val="center"/>
        </w:trPr>
        <w:tc>
          <w:tcPr>
            <w:tcW w:w="423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w w:val="105"/>
                <w:sz w:val="20"/>
                <w:szCs w:val="20"/>
              </w:rPr>
              <w:t>Miranda D' Avi</w:t>
            </w:r>
            <w:r>
              <w:rPr>
                <w:color w:val="000000"/>
                <w:w w:val="105"/>
                <w:sz w:val="20"/>
                <w:szCs w:val="20"/>
                <w:lang w:val="en-US"/>
              </w:rPr>
              <w:t>z - Mauá</w:t>
            </w:r>
          </w:p>
        </w:tc>
        <w:tc>
          <w:tcPr>
            <w:tcW w:w="167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color w:val="000000"/>
                <w:w w:val="105"/>
                <w:sz w:val="20"/>
                <w:szCs w:val="20"/>
                <w:lang w:val="en-US"/>
              </w:rPr>
            </w:pPr>
            <w:r>
              <w:rPr>
                <w:color w:val="000000"/>
                <w:w w:val="105"/>
                <w:sz w:val="20"/>
                <w:szCs w:val="20"/>
                <w:lang w:val="en-US"/>
              </w:rPr>
              <w:t>100 mil m³</w:t>
            </w:r>
          </w:p>
          <w:p w:rsidR="003E6588" w:rsidRDefault="003E6588">
            <w:pPr>
              <w:rPr>
                <w:color w:val="000000"/>
                <w:sz w:val="20"/>
                <w:szCs w:val="20"/>
              </w:rPr>
            </w:pPr>
            <w:r>
              <w:rPr>
                <w:color w:val="000000"/>
                <w:w w:val="105"/>
                <w:sz w:val="20"/>
                <w:szCs w:val="20"/>
                <w:lang w:val="en-US"/>
              </w:rPr>
              <w:t>R$ 24,6 milhões</w:t>
            </w:r>
          </w:p>
        </w:tc>
        <w:tc>
          <w:tcPr>
            <w:tcW w:w="3737"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Cancelado o convênio e Financiamento Federal.</w:t>
            </w:r>
          </w:p>
        </w:tc>
      </w:tr>
      <w:tr w:rsidR="003E6588">
        <w:trPr>
          <w:trHeight w:val="23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hRule="exact" w:val="300"/>
          <w:jc w:val="center"/>
        </w:trPr>
        <w:tc>
          <w:tcPr>
            <w:tcW w:w="423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Pindorama - São Bernardo do Campo</w:t>
            </w:r>
          </w:p>
        </w:tc>
        <w:tc>
          <w:tcPr>
            <w:tcW w:w="167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color w:val="000000"/>
                <w:w w:val="105"/>
                <w:sz w:val="20"/>
                <w:szCs w:val="20"/>
                <w:lang w:val="en-US"/>
              </w:rPr>
            </w:pPr>
            <w:r>
              <w:rPr>
                <w:color w:val="000000"/>
                <w:w w:val="105"/>
                <w:sz w:val="20"/>
                <w:szCs w:val="20"/>
                <w:lang w:val="en-US"/>
              </w:rPr>
              <w:t>35 mil m³</w:t>
            </w:r>
          </w:p>
          <w:p w:rsidR="003E6588" w:rsidRDefault="003E6588">
            <w:pPr>
              <w:rPr>
                <w:color w:val="000000"/>
                <w:sz w:val="20"/>
                <w:szCs w:val="20"/>
              </w:rPr>
            </w:pPr>
            <w:r>
              <w:rPr>
                <w:color w:val="000000"/>
                <w:w w:val="105"/>
                <w:sz w:val="20"/>
                <w:szCs w:val="20"/>
                <w:lang w:val="en-US"/>
              </w:rPr>
              <w:t>R$ 17,6 milhões</w:t>
            </w:r>
          </w:p>
        </w:tc>
        <w:tc>
          <w:tcPr>
            <w:tcW w:w="3737"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Cancelado o convênio e Financiamento Federal.</w:t>
            </w:r>
          </w:p>
        </w:tc>
      </w:tr>
      <w:tr w:rsidR="003E6588">
        <w:trPr>
          <w:trHeight w:val="23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hRule="exact" w:val="300"/>
          <w:jc w:val="center"/>
        </w:trPr>
        <w:tc>
          <w:tcPr>
            <w:tcW w:w="423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Jaboticabal - São Paulo/São Caetano do Sul</w:t>
            </w:r>
          </w:p>
        </w:tc>
        <w:tc>
          <w:tcPr>
            <w:tcW w:w="167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rPr>
              <w:t>900 mil m³</w:t>
            </w:r>
          </w:p>
          <w:p w:rsidR="003E6588" w:rsidRDefault="003E6588">
            <w:pPr>
              <w:rPr>
                <w:color w:val="000000"/>
                <w:sz w:val="20"/>
                <w:szCs w:val="20"/>
              </w:rPr>
            </w:pPr>
            <w:r>
              <w:rPr>
                <w:color w:val="000000"/>
                <w:sz w:val="20"/>
                <w:szCs w:val="20"/>
              </w:rPr>
              <w:t>R$ 89,0 milhões</w:t>
            </w:r>
          </w:p>
        </w:tc>
        <w:tc>
          <w:tcPr>
            <w:tcW w:w="3737" w:type="dxa"/>
            <w:vMerge w:val="restart"/>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Cancelado o convênio e Financiamento Federal.</w:t>
            </w:r>
          </w:p>
        </w:tc>
      </w:tr>
      <w:tr w:rsidR="003E6588">
        <w:trPr>
          <w:trHeight w:val="230"/>
          <w:jc w:val="center"/>
        </w:trPr>
        <w:tc>
          <w:tcPr>
            <w:tcW w:w="4231"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1675"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c>
          <w:tcPr>
            <w:tcW w:w="3737" w:type="dxa"/>
            <w:vMerge/>
            <w:tcBorders>
              <w:top w:val="nil"/>
              <w:left w:val="single" w:sz="8" w:space="0" w:color="000000"/>
              <w:bottom w:val="single" w:sz="8" w:space="0" w:color="000000"/>
              <w:right w:val="single" w:sz="8" w:space="0" w:color="000000"/>
            </w:tcBorders>
            <w:vAlign w:val="center"/>
            <w:hideMark/>
          </w:tcPr>
          <w:p w:rsidR="003E6588" w:rsidRDefault="003E6588">
            <w:pPr>
              <w:rPr>
                <w:color w:val="000000"/>
                <w:sz w:val="20"/>
                <w:szCs w:val="20"/>
              </w:rPr>
            </w:pPr>
          </w:p>
        </w:tc>
      </w:tr>
      <w:tr w:rsidR="003E6588">
        <w:trPr>
          <w:trHeight w:hRule="exact" w:val="281"/>
          <w:jc w:val="center"/>
        </w:trPr>
        <w:tc>
          <w:tcPr>
            <w:tcW w:w="4231"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Manutenção e Operação de piscinões</w:t>
            </w:r>
          </w:p>
        </w:tc>
        <w:tc>
          <w:tcPr>
            <w:tcW w:w="1675"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lang w:val="en-US"/>
              </w:rPr>
              <w:t>R$ 7,7 milhões</w:t>
            </w:r>
          </w:p>
        </w:tc>
        <w:tc>
          <w:tcPr>
            <w:tcW w:w="3737" w:type="dxa"/>
            <w:tcBorders>
              <w:top w:val="nil"/>
              <w:left w:val="nil"/>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Em execução</w:t>
            </w:r>
          </w:p>
        </w:tc>
      </w:tr>
      <w:tr w:rsidR="003E6588">
        <w:trPr>
          <w:trHeight w:hRule="exact" w:val="272"/>
          <w:jc w:val="center"/>
        </w:trPr>
        <w:tc>
          <w:tcPr>
            <w:tcW w:w="4231" w:type="dxa"/>
            <w:tcBorders>
              <w:top w:val="nil"/>
              <w:left w:val="single" w:sz="8" w:space="0" w:color="000000"/>
              <w:bottom w:val="single" w:sz="8" w:space="0" w:color="000000"/>
              <w:right w:val="single" w:sz="8" w:space="0" w:color="000000"/>
            </w:tcBorders>
            <w:shd w:val="clear" w:color="auto" w:fill="auto"/>
            <w:vAlign w:val="center"/>
            <w:hideMark/>
          </w:tcPr>
          <w:p w:rsidR="003E6588" w:rsidRDefault="003E6588">
            <w:pPr>
              <w:jc w:val="both"/>
              <w:rPr>
                <w:color w:val="000000"/>
                <w:sz w:val="20"/>
                <w:szCs w:val="20"/>
              </w:rPr>
            </w:pPr>
            <w:r>
              <w:rPr>
                <w:color w:val="000000"/>
                <w:sz w:val="20"/>
                <w:szCs w:val="20"/>
              </w:rPr>
              <w:t>Limpeza, Manutenção e Operação de 25 piscinões</w:t>
            </w:r>
          </w:p>
        </w:tc>
        <w:tc>
          <w:tcPr>
            <w:tcW w:w="1675" w:type="dxa"/>
            <w:tcBorders>
              <w:top w:val="nil"/>
              <w:left w:val="nil"/>
              <w:bottom w:val="single" w:sz="8" w:space="0" w:color="000000"/>
              <w:right w:val="single" w:sz="8" w:space="0" w:color="000000"/>
            </w:tcBorders>
            <w:shd w:val="clear" w:color="auto" w:fill="auto"/>
            <w:vAlign w:val="center"/>
            <w:hideMark/>
          </w:tcPr>
          <w:p w:rsidR="003E6588" w:rsidRDefault="003E6588">
            <w:pPr>
              <w:rPr>
                <w:color w:val="000000"/>
                <w:sz w:val="20"/>
                <w:szCs w:val="20"/>
              </w:rPr>
            </w:pPr>
            <w:r>
              <w:rPr>
                <w:color w:val="000000"/>
                <w:sz w:val="20"/>
                <w:szCs w:val="20"/>
                <w:lang w:val="en-US"/>
              </w:rPr>
              <w:t>R$ 45,0 milhões</w:t>
            </w:r>
          </w:p>
        </w:tc>
        <w:tc>
          <w:tcPr>
            <w:tcW w:w="3737" w:type="dxa"/>
            <w:tcBorders>
              <w:top w:val="nil"/>
              <w:left w:val="nil"/>
              <w:bottom w:val="single" w:sz="8" w:space="0" w:color="000000"/>
              <w:right w:val="single" w:sz="8" w:space="0" w:color="000000"/>
            </w:tcBorders>
            <w:shd w:val="clear" w:color="auto" w:fill="auto"/>
            <w:vAlign w:val="center"/>
            <w:hideMark/>
          </w:tcPr>
          <w:p w:rsidR="003E6588" w:rsidRDefault="003E6588">
            <w:pPr>
              <w:jc w:val="both"/>
              <w:rPr>
                <w:sz w:val="20"/>
                <w:szCs w:val="20"/>
              </w:rPr>
            </w:pPr>
            <w:r>
              <w:rPr>
                <w:sz w:val="20"/>
                <w:szCs w:val="20"/>
                <w:lang w:val="en-US"/>
              </w:rPr>
              <w:t>Em execução</w:t>
            </w:r>
          </w:p>
        </w:tc>
      </w:tr>
    </w:tbl>
    <w:p w:rsidR="003E6588" w:rsidRDefault="003E6588">
      <w:pPr>
        <w:ind w:firstLine="1134"/>
        <w:jc w:val="both"/>
        <w:rPr>
          <w:rFonts w:cs="Arial"/>
          <w:b/>
        </w:rPr>
      </w:pPr>
    </w:p>
    <w:p w:rsidR="001C7F65" w:rsidRPr="001C7F65" w:rsidRDefault="001C7F65">
      <w:pPr>
        <w:ind w:firstLine="1134"/>
        <w:jc w:val="both"/>
        <w:rPr>
          <w:rFonts w:cs="Arial"/>
          <w:b/>
        </w:rPr>
      </w:pPr>
    </w:p>
    <w:p w:rsidR="003E6588" w:rsidRDefault="003E6588">
      <w:pPr>
        <w:ind w:firstLine="1134"/>
        <w:jc w:val="both"/>
        <w:rPr>
          <w:b/>
        </w:rPr>
      </w:pPr>
      <w:r>
        <w:rPr>
          <w:b/>
        </w:rPr>
        <w:t>Rio Tietê - Desassoreamento</w:t>
      </w:r>
    </w:p>
    <w:p w:rsidR="003E6588" w:rsidRDefault="003E6588">
      <w:pPr>
        <w:ind w:firstLine="1134"/>
        <w:jc w:val="both"/>
      </w:pPr>
    </w:p>
    <w:p w:rsidR="003E6588" w:rsidRDefault="003E6588">
      <w:pPr>
        <w:ind w:firstLine="1134"/>
        <w:jc w:val="both"/>
      </w:pPr>
      <w:r>
        <w:t xml:space="preserve">Início das atividades - lotes 1 e 2 </w:t>
      </w:r>
      <w:r>
        <w:sym w:font="Wingdings" w:char="F0E0"/>
      </w:r>
      <w:r>
        <w:t xml:space="preserve"> maio de 2011/lote 3 </w:t>
      </w:r>
      <w:r>
        <w:sym w:font="Wingdings" w:char="F0E0"/>
      </w:r>
      <w:r>
        <w:t xml:space="preserve"> outubro de 2010.</w:t>
      </w:r>
    </w:p>
    <w:p w:rsidR="003E6588" w:rsidRDefault="003E6588">
      <w:pPr>
        <w:ind w:firstLine="1134"/>
        <w:jc w:val="both"/>
      </w:pPr>
      <w:r>
        <w:t>Duração do contrato (lotes 1 e 2) - 60 meses.</w:t>
      </w:r>
    </w:p>
    <w:p w:rsidR="003E6588" w:rsidRDefault="003E6588">
      <w:pPr>
        <w:ind w:firstLine="1134"/>
        <w:jc w:val="both"/>
      </w:pPr>
      <w:r>
        <w:t>Valor investido de 2011 à 2014 - R$ 400 milhões.</w:t>
      </w:r>
    </w:p>
    <w:p w:rsidR="003E6588" w:rsidRDefault="003E6588">
      <w:pPr>
        <w:ind w:firstLine="1134"/>
        <w:jc w:val="both"/>
      </w:pPr>
      <w:r>
        <w:t>Volume desassoreado de 2011 à 2014 - 6 milhões m³.</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Lote 1 </w:t>
      </w:r>
      <w:r>
        <w:rPr>
          <w:rFonts w:ascii="Times New Roman" w:hAnsi="Times New Roman"/>
          <w:sz w:val="24"/>
          <w:szCs w:val="24"/>
        </w:rPr>
        <w:t>- Barragem Edgar de Souza até a Barragem Móvel.</w:t>
      </w:r>
    </w:p>
    <w:p w:rsidR="003E6588" w:rsidRDefault="003E6588">
      <w:pPr>
        <w:pStyle w:val="PargrafodaLista"/>
        <w:ind w:left="1985"/>
        <w:rPr>
          <w:rFonts w:ascii="Times New Roman" w:hAnsi="Times New Roman"/>
          <w:sz w:val="24"/>
          <w:szCs w:val="24"/>
        </w:rPr>
      </w:pPr>
      <w:r>
        <w:rPr>
          <w:rFonts w:ascii="Times New Roman" w:hAnsi="Times New Roman"/>
          <w:sz w:val="24"/>
          <w:szCs w:val="24"/>
        </w:rPr>
        <w:t>- Valor: R$ 62,7 milhões.</w:t>
      </w:r>
    </w:p>
    <w:p w:rsidR="003E6588" w:rsidRDefault="003E6588">
      <w:pPr>
        <w:pStyle w:val="PargrafodaLista"/>
        <w:ind w:left="1985"/>
        <w:rPr>
          <w:rFonts w:ascii="Times New Roman" w:hAnsi="Times New Roman"/>
          <w:sz w:val="24"/>
          <w:szCs w:val="24"/>
        </w:rPr>
      </w:pPr>
      <w:r>
        <w:rPr>
          <w:rFonts w:ascii="Times New Roman" w:hAnsi="Times New Roman"/>
          <w:sz w:val="24"/>
          <w:szCs w:val="24"/>
        </w:rPr>
        <w:t>- Desassoreado: 1,84 milhões de m³.</w:t>
      </w:r>
    </w:p>
    <w:p w:rsidR="001C7F65" w:rsidRDefault="001C7F65">
      <w:pPr>
        <w:pStyle w:val="PargrafodaLista"/>
        <w:ind w:left="1985"/>
        <w:rPr>
          <w:rFonts w:ascii="Times New Roman" w:hAnsi="Times New Roman"/>
          <w:sz w:val="24"/>
          <w:szCs w:val="24"/>
        </w:rPr>
      </w:pPr>
    </w:p>
    <w:p w:rsidR="003E6588" w:rsidRDefault="003E6588">
      <w:pPr>
        <w:pStyle w:val="PargrafodaLista"/>
        <w:ind w:left="0" w:firstLine="1134"/>
        <w:rPr>
          <w:rFonts w:ascii="Times New Roman" w:eastAsia="Times New Roman" w:hAnsi="Times New Roman"/>
          <w:sz w:val="24"/>
          <w:szCs w:val="24"/>
        </w:rPr>
      </w:pPr>
      <w:r>
        <w:rPr>
          <w:rFonts w:ascii="Times New Roman" w:hAnsi="Times New Roman"/>
          <w:b/>
          <w:sz w:val="24"/>
          <w:szCs w:val="24"/>
        </w:rPr>
        <w:t>Lote 2</w:t>
      </w:r>
      <w:r>
        <w:rPr>
          <w:rFonts w:ascii="Times New Roman" w:hAnsi="Times New Roman"/>
          <w:sz w:val="24"/>
          <w:szCs w:val="24"/>
        </w:rPr>
        <w:t xml:space="preserve"> - Barragem Móvel até a Barragem da Penha.</w:t>
      </w:r>
    </w:p>
    <w:p w:rsidR="003E6588" w:rsidRDefault="003E6588">
      <w:pPr>
        <w:pStyle w:val="PargrafodaLista"/>
        <w:ind w:left="1985"/>
        <w:rPr>
          <w:rFonts w:ascii="Times New Roman" w:hAnsi="Times New Roman"/>
          <w:sz w:val="24"/>
          <w:szCs w:val="24"/>
        </w:rPr>
      </w:pPr>
      <w:r>
        <w:rPr>
          <w:rFonts w:ascii="Times New Roman" w:hAnsi="Times New Roman"/>
          <w:sz w:val="24"/>
          <w:szCs w:val="24"/>
        </w:rPr>
        <w:t>- Valor: R$ 121,8 milhões.</w:t>
      </w:r>
    </w:p>
    <w:p w:rsidR="003E6588" w:rsidRDefault="003E6588">
      <w:pPr>
        <w:pStyle w:val="PargrafodaLista"/>
        <w:ind w:left="1985"/>
        <w:rPr>
          <w:rFonts w:ascii="Times New Roman" w:eastAsia="Times New Roman" w:hAnsi="Times New Roman"/>
          <w:sz w:val="24"/>
          <w:szCs w:val="24"/>
        </w:rPr>
      </w:pPr>
      <w:r>
        <w:rPr>
          <w:rFonts w:ascii="Times New Roman" w:hAnsi="Times New Roman"/>
          <w:sz w:val="24"/>
          <w:szCs w:val="24"/>
        </w:rPr>
        <w:t>- Desassoreado: 1,88 milhões de m³.</w:t>
      </w:r>
    </w:p>
    <w:p w:rsidR="003E6588" w:rsidRDefault="003E6588">
      <w:pPr>
        <w:ind w:firstLine="1134"/>
        <w:jc w:val="both"/>
      </w:pPr>
    </w:p>
    <w:p w:rsidR="003E6588" w:rsidRDefault="003E6588" w:rsidP="00F83380">
      <w:pPr>
        <w:pStyle w:val="PargrafodaLista"/>
        <w:ind w:left="0" w:right="49" w:firstLine="1134"/>
        <w:rPr>
          <w:rFonts w:ascii="Times New Roman" w:eastAsia="Times New Roman" w:hAnsi="Times New Roman"/>
          <w:sz w:val="24"/>
          <w:szCs w:val="24"/>
        </w:rPr>
      </w:pPr>
      <w:r>
        <w:rPr>
          <w:rFonts w:ascii="Times New Roman" w:hAnsi="Times New Roman"/>
          <w:b/>
          <w:sz w:val="24"/>
          <w:szCs w:val="24"/>
        </w:rPr>
        <w:lastRenderedPageBreak/>
        <w:t>Lote 3</w:t>
      </w:r>
      <w:r>
        <w:rPr>
          <w:rFonts w:ascii="Times New Roman" w:hAnsi="Times New Roman"/>
          <w:sz w:val="24"/>
          <w:szCs w:val="24"/>
        </w:rPr>
        <w:t xml:space="preserve"> - Barragem da Penha até o Córrego Três Pontes.</w:t>
      </w:r>
    </w:p>
    <w:p w:rsidR="003E6588" w:rsidRDefault="003E6588" w:rsidP="00F83380">
      <w:pPr>
        <w:pStyle w:val="PargrafodaLista"/>
        <w:ind w:left="1985" w:right="49"/>
        <w:rPr>
          <w:rFonts w:ascii="Times New Roman" w:hAnsi="Times New Roman"/>
          <w:sz w:val="24"/>
          <w:szCs w:val="24"/>
        </w:rPr>
      </w:pPr>
      <w:r>
        <w:rPr>
          <w:rFonts w:ascii="Times New Roman" w:hAnsi="Times New Roman"/>
          <w:sz w:val="24"/>
          <w:szCs w:val="24"/>
        </w:rPr>
        <w:t>- Valor: R$ 223,7 milhões.</w:t>
      </w:r>
    </w:p>
    <w:p w:rsidR="003E6588" w:rsidRDefault="003E6588" w:rsidP="00F83380">
      <w:pPr>
        <w:pStyle w:val="PargrafodaLista"/>
        <w:ind w:left="1985" w:right="49"/>
        <w:rPr>
          <w:rFonts w:ascii="Times New Roman" w:eastAsia="Times New Roman" w:hAnsi="Times New Roman"/>
          <w:sz w:val="24"/>
          <w:szCs w:val="24"/>
        </w:rPr>
      </w:pPr>
      <w:r>
        <w:rPr>
          <w:rFonts w:ascii="Times New Roman" w:hAnsi="Times New Roman"/>
          <w:sz w:val="24"/>
          <w:szCs w:val="24"/>
        </w:rPr>
        <w:t>- Desassoreado: 2,26 milhões de m³.</w:t>
      </w:r>
    </w:p>
    <w:p w:rsidR="003E6588" w:rsidRDefault="003E6588" w:rsidP="00F83380">
      <w:pPr>
        <w:ind w:right="49" w:firstLine="1134"/>
        <w:jc w:val="both"/>
      </w:pPr>
    </w:p>
    <w:p w:rsidR="003E6588" w:rsidRDefault="003E6588" w:rsidP="00F83380">
      <w:pPr>
        <w:pStyle w:val="PargrafodaLista"/>
        <w:ind w:left="0" w:right="49" w:firstLine="1134"/>
        <w:rPr>
          <w:rFonts w:ascii="Times New Roman" w:eastAsia="Times New Roman" w:hAnsi="Times New Roman"/>
          <w:sz w:val="24"/>
          <w:szCs w:val="24"/>
        </w:rPr>
      </w:pPr>
      <w:r>
        <w:rPr>
          <w:rFonts w:ascii="Times New Roman" w:hAnsi="Times New Roman"/>
          <w:b/>
          <w:sz w:val="24"/>
          <w:szCs w:val="24"/>
        </w:rPr>
        <w:t>Lote 4</w:t>
      </w:r>
      <w:r>
        <w:rPr>
          <w:rFonts w:ascii="Times New Roman" w:hAnsi="Times New Roman"/>
          <w:sz w:val="24"/>
          <w:szCs w:val="24"/>
        </w:rPr>
        <w:t xml:space="preserve"> - Autorizado o desassoreamento de novo trecho do rio Tietê, com 44,2 km de extensão, passando por cinco Municípios da RMSP (Região Metropolitana de São Paulo): Guarulhos (na margem direita do rio), Itaquaquecetuba, Poá, Suzano e Mogi das Cruzes. O investimento é de R$ 38 milhões e os estudos preveem a remoção de 432 mil m</w:t>
      </w:r>
      <w:r>
        <w:rPr>
          <w:rFonts w:ascii="Times New Roman" w:hAnsi="Times New Roman"/>
          <w:sz w:val="24"/>
          <w:szCs w:val="24"/>
          <w:vertAlign w:val="superscript"/>
        </w:rPr>
        <w:t>3</w:t>
      </w:r>
      <w:r>
        <w:rPr>
          <w:rFonts w:ascii="Times New Roman" w:hAnsi="Times New Roman"/>
          <w:sz w:val="24"/>
          <w:szCs w:val="24"/>
        </w:rPr>
        <w:t xml:space="preserve"> de material assoreado - areia e argila -, além de detritos diversos - lixo e materiais não inertes -, assim como a desobstrução do rio para facilitar sua navegação e manutenção. Está em andamento a elaboração de nova licitação com as adequações necessárias e obtenção das Licenças Ambientais.</w:t>
      </w:r>
    </w:p>
    <w:p w:rsidR="003E6588" w:rsidRDefault="003E6588" w:rsidP="00F83380">
      <w:pPr>
        <w:ind w:left="1134" w:right="49"/>
        <w:jc w:val="both"/>
      </w:pPr>
    </w:p>
    <w:p w:rsidR="003E6588" w:rsidRDefault="003E6588" w:rsidP="00F83380">
      <w:pPr>
        <w:ind w:right="49" w:firstLine="1134"/>
        <w:jc w:val="both"/>
        <w:rPr>
          <w:b/>
        </w:rPr>
      </w:pPr>
      <w:r>
        <w:rPr>
          <w:b/>
        </w:rPr>
        <w:t>Desassoreamento - rios e córregos</w:t>
      </w:r>
    </w:p>
    <w:p w:rsidR="003E6588" w:rsidRPr="001C7F65" w:rsidRDefault="003E6588" w:rsidP="00F83380">
      <w:pPr>
        <w:ind w:right="49" w:firstLine="1134"/>
        <w:jc w:val="both"/>
      </w:pPr>
    </w:p>
    <w:tbl>
      <w:tblPr>
        <w:tblW w:w="877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70" w:type="dxa"/>
          <w:right w:w="70" w:type="dxa"/>
        </w:tblCellMar>
        <w:tblLook w:val="04A0"/>
      </w:tblPr>
      <w:tblGrid>
        <w:gridCol w:w="3561"/>
        <w:gridCol w:w="1559"/>
        <w:gridCol w:w="1985"/>
        <w:gridCol w:w="1668"/>
      </w:tblGrid>
      <w:tr w:rsidR="003E6588" w:rsidTr="00F83380">
        <w:trPr>
          <w:trHeight w:hRule="exact" w:val="241"/>
          <w:jc w:val="center"/>
        </w:trPr>
        <w:tc>
          <w:tcPr>
            <w:tcW w:w="3561" w:type="dxa"/>
            <w:shd w:val="clear" w:color="auto" w:fill="auto"/>
            <w:vAlign w:val="center"/>
            <w:hideMark/>
          </w:tcPr>
          <w:p w:rsidR="003E6588" w:rsidRDefault="003E6588" w:rsidP="00F83380">
            <w:pPr>
              <w:ind w:right="49"/>
              <w:rPr>
                <w:b/>
                <w:bCs/>
                <w:color w:val="000000"/>
                <w:sz w:val="20"/>
                <w:szCs w:val="20"/>
              </w:rPr>
            </w:pPr>
            <w:r>
              <w:rPr>
                <w:b/>
                <w:bCs/>
                <w:color w:val="000000"/>
                <w:sz w:val="20"/>
                <w:szCs w:val="20"/>
                <w:lang w:val="en-US"/>
              </w:rPr>
              <w:t>Desassoreamento</w:t>
            </w:r>
          </w:p>
        </w:tc>
        <w:tc>
          <w:tcPr>
            <w:tcW w:w="1559" w:type="dxa"/>
            <w:shd w:val="clear" w:color="auto" w:fill="auto"/>
            <w:vAlign w:val="center"/>
            <w:hideMark/>
          </w:tcPr>
          <w:p w:rsidR="003E6588" w:rsidRDefault="003E6588" w:rsidP="00F83380">
            <w:pPr>
              <w:ind w:right="49"/>
              <w:rPr>
                <w:b/>
                <w:bCs/>
                <w:color w:val="000000"/>
                <w:sz w:val="20"/>
                <w:szCs w:val="20"/>
              </w:rPr>
            </w:pPr>
            <w:r>
              <w:rPr>
                <w:b/>
                <w:bCs/>
                <w:color w:val="000000"/>
                <w:sz w:val="20"/>
                <w:szCs w:val="20"/>
                <w:lang w:val="en-US"/>
              </w:rPr>
              <w:t>Valor</w:t>
            </w:r>
          </w:p>
        </w:tc>
        <w:tc>
          <w:tcPr>
            <w:tcW w:w="1985" w:type="dxa"/>
            <w:shd w:val="clear" w:color="auto" w:fill="auto"/>
            <w:vAlign w:val="center"/>
            <w:hideMark/>
          </w:tcPr>
          <w:p w:rsidR="003E6588" w:rsidRDefault="003E6588" w:rsidP="00F83380">
            <w:pPr>
              <w:ind w:right="49"/>
              <w:rPr>
                <w:b/>
                <w:bCs/>
                <w:color w:val="000000"/>
                <w:sz w:val="20"/>
                <w:szCs w:val="20"/>
              </w:rPr>
            </w:pPr>
            <w:r>
              <w:rPr>
                <w:b/>
                <w:bCs/>
                <w:color w:val="000000"/>
                <w:w w:val="105"/>
                <w:sz w:val="20"/>
                <w:szCs w:val="20"/>
                <w:lang w:val="en-US"/>
              </w:rPr>
              <w:t>Volume acumulado</w:t>
            </w:r>
          </w:p>
        </w:tc>
        <w:tc>
          <w:tcPr>
            <w:tcW w:w="1668" w:type="dxa"/>
            <w:shd w:val="clear" w:color="auto" w:fill="auto"/>
            <w:vAlign w:val="center"/>
            <w:hideMark/>
          </w:tcPr>
          <w:p w:rsidR="003E6588" w:rsidRDefault="003E6588" w:rsidP="00F83380">
            <w:pPr>
              <w:ind w:right="49"/>
              <w:rPr>
                <w:b/>
                <w:bCs/>
                <w:color w:val="000000"/>
                <w:sz w:val="20"/>
                <w:szCs w:val="20"/>
              </w:rPr>
            </w:pPr>
            <w:r>
              <w:rPr>
                <w:b/>
                <w:bCs/>
                <w:color w:val="000000"/>
                <w:w w:val="105"/>
                <w:sz w:val="20"/>
                <w:szCs w:val="20"/>
                <w:lang w:val="en-US"/>
              </w:rPr>
              <w:t>Situação</w:t>
            </w:r>
          </w:p>
        </w:tc>
      </w:tr>
      <w:tr w:rsidR="003E6588" w:rsidTr="00F83380">
        <w:trPr>
          <w:trHeight w:hRule="exact" w:val="430"/>
          <w:jc w:val="center"/>
        </w:trPr>
        <w:tc>
          <w:tcPr>
            <w:tcW w:w="3561" w:type="dxa"/>
            <w:shd w:val="clear" w:color="auto" w:fill="auto"/>
            <w:vAlign w:val="center"/>
            <w:hideMark/>
          </w:tcPr>
          <w:p w:rsidR="003E6588" w:rsidRPr="001D6A26" w:rsidRDefault="003E6588" w:rsidP="00F83380">
            <w:pPr>
              <w:ind w:right="49"/>
              <w:jc w:val="both"/>
              <w:rPr>
                <w:color w:val="000000"/>
                <w:sz w:val="20"/>
                <w:szCs w:val="20"/>
              </w:rPr>
            </w:pPr>
            <w:r w:rsidRPr="001D6A26">
              <w:rPr>
                <w:color w:val="000000"/>
                <w:sz w:val="20"/>
                <w:szCs w:val="20"/>
              </w:rPr>
              <w:t>Rio Juquery - Caieiras e Franco da Rocha</w:t>
            </w:r>
          </w:p>
        </w:tc>
        <w:tc>
          <w:tcPr>
            <w:tcW w:w="1559"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R$ 37,9 milhões</w:t>
            </w:r>
          </w:p>
        </w:tc>
        <w:tc>
          <w:tcPr>
            <w:tcW w:w="1985"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389 mil m</w:t>
            </w:r>
            <w:r w:rsidRPr="001D6A26">
              <w:rPr>
                <w:color w:val="000000"/>
                <w:sz w:val="20"/>
                <w:szCs w:val="20"/>
                <w:vertAlign w:val="superscript"/>
                <w:lang w:val="en-US"/>
              </w:rPr>
              <w:t>3</w:t>
            </w:r>
          </w:p>
        </w:tc>
        <w:tc>
          <w:tcPr>
            <w:tcW w:w="1668"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Em andamento.</w:t>
            </w:r>
          </w:p>
        </w:tc>
      </w:tr>
      <w:tr w:rsidR="003E6588" w:rsidTr="00F83380">
        <w:trPr>
          <w:trHeight w:hRule="exact" w:val="564"/>
          <w:jc w:val="center"/>
        </w:trPr>
        <w:tc>
          <w:tcPr>
            <w:tcW w:w="3561" w:type="dxa"/>
            <w:shd w:val="clear" w:color="auto" w:fill="auto"/>
            <w:vAlign w:val="center"/>
            <w:hideMark/>
          </w:tcPr>
          <w:p w:rsidR="003E6588" w:rsidRPr="001D6A26" w:rsidRDefault="003E6588" w:rsidP="00F83380">
            <w:pPr>
              <w:ind w:right="49"/>
              <w:jc w:val="both"/>
              <w:rPr>
                <w:color w:val="000000"/>
                <w:sz w:val="20"/>
                <w:szCs w:val="20"/>
              </w:rPr>
            </w:pPr>
            <w:r w:rsidRPr="001D6A26">
              <w:rPr>
                <w:color w:val="000000"/>
                <w:sz w:val="20"/>
                <w:szCs w:val="20"/>
              </w:rPr>
              <w:t>Rio Cotia - Jandira, Cotia, Carapicuíba, Barueri, Osasco e Itapevi</w:t>
            </w:r>
          </w:p>
        </w:tc>
        <w:tc>
          <w:tcPr>
            <w:tcW w:w="1559"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R$ 12,9 milhões</w:t>
            </w:r>
          </w:p>
        </w:tc>
        <w:tc>
          <w:tcPr>
            <w:tcW w:w="1985"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186,7 mil m</w:t>
            </w:r>
            <w:r w:rsidRPr="001D6A26">
              <w:rPr>
                <w:color w:val="000000"/>
                <w:sz w:val="20"/>
                <w:szCs w:val="20"/>
                <w:vertAlign w:val="superscript"/>
                <w:lang w:val="en-US"/>
              </w:rPr>
              <w:t>3</w:t>
            </w:r>
          </w:p>
        </w:tc>
        <w:tc>
          <w:tcPr>
            <w:tcW w:w="1668"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Concluído.</w:t>
            </w:r>
          </w:p>
        </w:tc>
      </w:tr>
      <w:tr w:rsidR="003E6588" w:rsidTr="00F83380">
        <w:trPr>
          <w:trHeight w:hRule="exact" w:val="430"/>
          <w:jc w:val="center"/>
        </w:trPr>
        <w:tc>
          <w:tcPr>
            <w:tcW w:w="3561" w:type="dxa"/>
            <w:shd w:val="clear" w:color="auto" w:fill="auto"/>
            <w:vAlign w:val="center"/>
            <w:hideMark/>
          </w:tcPr>
          <w:p w:rsidR="003E6588" w:rsidRPr="001D6A26" w:rsidRDefault="003E6588" w:rsidP="00F83380">
            <w:pPr>
              <w:ind w:right="49"/>
              <w:jc w:val="both"/>
              <w:rPr>
                <w:color w:val="000000"/>
                <w:sz w:val="20"/>
                <w:szCs w:val="20"/>
              </w:rPr>
            </w:pPr>
            <w:r w:rsidRPr="001D6A26">
              <w:rPr>
                <w:color w:val="000000"/>
                <w:sz w:val="20"/>
                <w:szCs w:val="20"/>
              </w:rPr>
              <w:t>Ribeirão Carapicuíba - São Paulo</w:t>
            </w:r>
          </w:p>
        </w:tc>
        <w:tc>
          <w:tcPr>
            <w:tcW w:w="1559"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R$ 21,0 milhões</w:t>
            </w:r>
          </w:p>
        </w:tc>
        <w:tc>
          <w:tcPr>
            <w:tcW w:w="1985" w:type="dxa"/>
            <w:shd w:val="clear" w:color="auto" w:fill="auto"/>
            <w:vAlign w:val="center"/>
            <w:hideMark/>
          </w:tcPr>
          <w:p w:rsidR="003E6588" w:rsidRPr="001D6A26" w:rsidRDefault="003E6588" w:rsidP="00F83380">
            <w:pPr>
              <w:ind w:right="49"/>
              <w:rPr>
                <w:color w:val="000000"/>
                <w:sz w:val="20"/>
                <w:szCs w:val="20"/>
              </w:rPr>
            </w:pPr>
            <w:r w:rsidRPr="001D6A26">
              <w:rPr>
                <w:color w:val="000000"/>
                <w:sz w:val="20"/>
                <w:szCs w:val="20"/>
                <w:lang w:val="en-US"/>
              </w:rPr>
              <w:t>308 mil m</w:t>
            </w:r>
            <w:r w:rsidRPr="001D6A26">
              <w:rPr>
                <w:color w:val="000000"/>
                <w:sz w:val="20"/>
                <w:szCs w:val="20"/>
                <w:vertAlign w:val="superscript"/>
                <w:lang w:val="en-US"/>
              </w:rPr>
              <w:t>3</w:t>
            </w:r>
          </w:p>
        </w:tc>
        <w:tc>
          <w:tcPr>
            <w:tcW w:w="1668" w:type="dxa"/>
            <w:shd w:val="clear" w:color="auto" w:fill="auto"/>
            <w:vAlign w:val="center"/>
            <w:hideMark/>
          </w:tcPr>
          <w:p w:rsidR="003E6588" w:rsidRPr="001D6A26" w:rsidRDefault="003E6588" w:rsidP="00F83380">
            <w:pPr>
              <w:ind w:right="51"/>
              <w:rPr>
                <w:color w:val="000000"/>
                <w:sz w:val="20"/>
                <w:szCs w:val="20"/>
              </w:rPr>
            </w:pPr>
            <w:r w:rsidRPr="001D6A26">
              <w:rPr>
                <w:color w:val="000000"/>
                <w:sz w:val="20"/>
                <w:szCs w:val="20"/>
                <w:lang w:val="en-US"/>
              </w:rPr>
              <w:t>Em andamento.</w:t>
            </w:r>
          </w:p>
        </w:tc>
      </w:tr>
    </w:tbl>
    <w:p w:rsidR="003E6588" w:rsidRPr="001C7F65" w:rsidRDefault="003E6588" w:rsidP="00F83380">
      <w:pPr>
        <w:ind w:right="49" w:firstLine="1134"/>
        <w:jc w:val="both"/>
      </w:pPr>
    </w:p>
    <w:p w:rsidR="003E6588" w:rsidRDefault="003E6588" w:rsidP="00F83380">
      <w:pPr>
        <w:ind w:right="49" w:firstLine="1134"/>
        <w:jc w:val="both"/>
      </w:pPr>
      <w:r>
        <w:rPr>
          <w:b/>
        </w:rPr>
        <w:t xml:space="preserve">Sistema de Macrodrenagem do Rio Baquirivu-Guaçu - </w:t>
      </w:r>
      <w:r>
        <w:t>Para o parque linear, a canalização e os dois reservatórios de retenção no Município de Guarulhos, licitação está sendo preparada.</w:t>
      </w:r>
    </w:p>
    <w:p w:rsidR="003E6588" w:rsidRDefault="003E6588" w:rsidP="00F83380">
      <w:pPr>
        <w:ind w:right="49" w:firstLine="1134"/>
        <w:jc w:val="both"/>
        <w:rPr>
          <w:b/>
        </w:rPr>
      </w:pPr>
    </w:p>
    <w:p w:rsidR="003E6588" w:rsidRDefault="003E6588" w:rsidP="00F83380">
      <w:pPr>
        <w:ind w:right="49" w:firstLine="1134"/>
        <w:jc w:val="both"/>
        <w:rPr>
          <w:b/>
        </w:rPr>
      </w:pPr>
      <w:r>
        <w:rPr>
          <w:b/>
        </w:rPr>
        <w:t>Canalização de córregos</w:t>
      </w:r>
    </w:p>
    <w:p w:rsidR="003E6588" w:rsidRPr="001C7F65" w:rsidRDefault="003E6588" w:rsidP="00F83380">
      <w:pPr>
        <w:ind w:right="49" w:firstLine="1134"/>
        <w:jc w:val="both"/>
      </w:pPr>
    </w:p>
    <w:p w:rsidR="003E6588" w:rsidRDefault="003E6588" w:rsidP="00F83380">
      <w:pPr>
        <w:pStyle w:val="PargrafodaLista"/>
        <w:widowControl w:val="0"/>
        <w:tabs>
          <w:tab w:val="left" w:pos="284"/>
        </w:tabs>
        <w:ind w:left="1134" w:right="49"/>
        <w:contextualSpacing w:val="0"/>
        <w:rPr>
          <w:rFonts w:ascii="Times New Roman" w:eastAsia="Times New Roman" w:hAnsi="Times New Roman"/>
          <w:sz w:val="24"/>
          <w:szCs w:val="24"/>
        </w:rPr>
      </w:pPr>
      <w:r>
        <w:rPr>
          <w:rFonts w:ascii="Times New Roman" w:hAnsi="Times New Roman"/>
          <w:w w:val="105"/>
          <w:sz w:val="24"/>
          <w:szCs w:val="24"/>
        </w:rPr>
        <w:t>- Córrego do Pirajuçara (SP e Taboão da</w:t>
      </w:r>
      <w:r>
        <w:rPr>
          <w:rFonts w:ascii="Times New Roman" w:hAnsi="Times New Roman"/>
          <w:spacing w:val="31"/>
          <w:w w:val="105"/>
          <w:sz w:val="24"/>
          <w:szCs w:val="24"/>
        </w:rPr>
        <w:t xml:space="preserve"> </w:t>
      </w:r>
      <w:r>
        <w:rPr>
          <w:rFonts w:ascii="Times New Roman" w:hAnsi="Times New Roman"/>
          <w:w w:val="105"/>
          <w:sz w:val="24"/>
          <w:szCs w:val="24"/>
        </w:rPr>
        <w:t>Serra)</w:t>
      </w:r>
    </w:p>
    <w:p w:rsidR="003E6588" w:rsidRDefault="003E6588" w:rsidP="00F83380">
      <w:pPr>
        <w:pStyle w:val="Corpodetexto"/>
        <w:tabs>
          <w:tab w:val="left" w:pos="567"/>
        </w:tabs>
        <w:ind w:right="49" w:firstLine="1276"/>
        <w:jc w:val="both"/>
        <w:rPr>
          <w:b w:val="0"/>
        </w:rPr>
      </w:pPr>
      <w:r>
        <w:rPr>
          <w:b w:val="0"/>
        </w:rPr>
        <w:t>Valor - R$ 79,26 milhões.</w:t>
      </w:r>
    </w:p>
    <w:p w:rsidR="003E6588" w:rsidRDefault="003E6588" w:rsidP="00F83380">
      <w:pPr>
        <w:pStyle w:val="Corpodetexto"/>
        <w:tabs>
          <w:tab w:val="left" w:pos="567"/>
        </w:tabs>
        <w:ind w:right="49" w:firstLine="1276"/>
        <w:jc w:val="both"/>
        <w:rPr>
          <w:b w:val="0"/>
        </w:rPr>
      </w:pPr>
      <w:r>
        <w:rPr>
          <w:b w:val="0"/>
        </w:rPr>
        <w:t>Situação - Em execução o lote 1 (42%). A Sabesp cancelou</w:t>
      </w:r>
      <w:r>
        <w:rPr>
          <w:b w:val="0"/>
          <w:spacing w:val="36"/>
        </w:rPr>
        <w:t xml:space="preserve"> </w:t>
      </w:r>
      <w:r>
        <w:rPr>
          <w:b w:val="0"/>
        </w:rPr>
        <w:t>o</w:t>
      </w:r>
      <w:r>
        <w:rPr>
          <w:b w:val="0"/>
          <w:w w:val="99"/>
        </w:rPr>
        <w:t xml:space="preserve"> </w:t>
      </w:r>
      <w:r>
        <w:rPr>
          <w:b w:val="0"/>
        </w:rPr>
        <w:t>convênio dos demais lotes.</w:t>
      </w:r>
    </w:p>
    <w:p w:rsidR="003E6588" w:rsidRDefault="003E6588" w:rsidP="00F83380">
      <w:pPr>
        <w:pStyle w:val="Corpodetexto"/>
        <w:tabs>
          <w:tab w:val="left" w:pos="567"/>
        </w:tabs>
        <w:ind w:left="709" w:right="49"/>
        <w:jc w:val="both"/>
        <w:rPr>
          <w:b w:val="0"/>
        </w:rPr>
      </w:pPr>
    </w:p>
    <w:p w:rsidR="003E6588" w:rsidRDefault="003E6588" w:rsidP="00F83380">
      <w:pPr>
        <w:pStyle w:val="PargrafodaLista"/>
        <w:widowControl w:val="0"/>
        <w:tabs>
          <w:tab w:val="left" w:pos="284"/>
        </w:tabs>
        <w:ind w:left="1134" w:right="49"/>
        <w:contextualSpacing w:val="0"/>
        <w:rPr>
          <w:rFonts w:ascii="Times New Roman" w:eastAsia="Times New Roman" w:hAnsi="Times New Roman"/>
          <w:sz w:val="24"/>
          <w:szCs w:val="24"/>
        </w:rPr>
      </w:pPr>
      <w:r>
        <w:rPr>
          <w:rFonts w:ascii="Times New Roman" w:hAnsi="Times New Roman"/>
          <w:sz w:val="24"/>
          <w:szCs w:val="24"/>
        </w:rPr>
        <w:t>- Ribeirão Vermelho (SP e</w:t>
      </w:r>
      <w:r>
        <w:rPr>
          <w:rFonts w:ascii="Times New Roman" w:hAnsi="Times New Roman"/>
          <w:spacing w:val="-18"/>
          <w:sz w:val="24"/>
          <w:szCs w:val="24"/>
        </w:rPr>
        <w:t xml:space="preserve"> </w:t>
      </w:r>
      <w:r>
        <w:rPr>
          <w:rFonts w:ascii="Times New Roman" w:hAnsi="Times New Roman"/>
          <w:sz w:val="24"/>
          <w:szCs w:val="24"/>
        </w:rPr>
        <w:t>Osasco)</w:t>
      </w:r>
    </w:p>
    <w:p w:rsidR="003E6588" w:rsidRDefault="003E6588" w:rsidP="00F83380">
      <w:pPr>
        <w:pStyle w:val="Corpodetexto"/>
        <w:tabs>
          <w:tab w:val="left" w:pos="567"/>
        </w:tabs>
        <w:ind w:right="49" w:firstLine="1276"/>
        <w:jc w:val="both"/>
        <w:rPr>
          <w:b w:val="0"/>
          <w:w w:val="105"/>
        </w:rPr>
      </w:pPr>
      <w:r>
        <w:rPr>
          <w:b w:val="0"/>
          <w:w w:val="105"/>
        </w:rPr>
        <w:t>Valor -</w:t>
      </w:r>
      <w:r>
        <w:rPr>
          <w:b w:val="0"/>
          <w:spacing w:val="1"/>
          <w:w w:val="105"/>
        </w:rPr>
        <w:t xml:space="preserve"> </w:t>
      </w:r>
      <w:r>
        <w:rPr>
          <w:b w:val="0"/>
          <w:w w:val="105"/>
        </w:rPr>
        <w:t>R$</w:t>
      </w:r>
      <w:r>
        <w:rPr>
          <w:b w:val="0"/>
          <w:spacing w:val="-6"/>
          <w:w w:val="105"/>
        </w:rPr>
        <w:t xml:space="preserve"> </w:t>
      </w:r>
      <w:r>
        <w:rPr>
          <w:b w:val="0"/>
          <w:w w:val="105"/>
        </w:rPr>
        <w:t>44,3</w:t>
      </w:r>
      <w:r>
        <w:rPr>
          <w:b w:val="0"/>
          <w:spacing w:val="-14"/>
          <w:w w:val="105"/>
        </w:rPr>
        <w:t xml:space="preserve"> </w:t>
      </w:r>
      <w:r>
        <w:rPr>
          <w:b w:val="0"/>
          <w:w w:val="105"/>
        </w:rPr>
        <w:t>milhões.</w:t>
      </w:r>
    </w:p>
    <w:p w:rsidR="003E6588" w:rsidRDefault="003E6588" w:rsidP="00F83380">
      <w:pPr>
        <w:pStyle w:val="Corpodetexto"/>
        <w:tabs>
          <w:tab w:val="left" w:pos="567"/>
        </w:tabs>
        <w:ind w:right="49" w:firstLine="1276"/>
        <w:jc w:val="both"/>
        <w:rPr>
          <w:b w:val="0"/>
          <w:w w:val="105"/>
        </w:rPr>
      </w:pPr>
      <w:r>
        <w:rPr>
          <w:b w:val="0"/>
          <w:w w:val="105"/>
        </w:rPr>
        <w:t>Situação -</w:t>
      </w:r>
      <w:r>
        <w:rPr>
          <w:b w:val="0"/>
          <w:spacing w:val="-11"/>
          <w:w w:val="105"/>
        </w:rPr>
        <w:t xml:space="preserve"> </w:t>
      </w:r>
      <w:r>
        <w:rPr>
          <w:b w:val="0"/>
          <w:w w:val="105"/>
        </w:rPr>
        <w:t>Em</w:t>
      </w:r>
      <w:r>
        <w:rPr>
          <w:b w:val="0"/>
          <w:spacing w:val="-7"/>
          <w:w w:val="105"/>
        </w:rPr>
        <w:t xml:space="preserve"> </w:t>
      </w:r>
      <w:r>
        <w:rPr>
          <w:b w:val="0"/>
          <w:w w:val="105"/>
        </w:rPr>
        <w:t>execução</w:t>
      </w:r>
      <w:r>
        <w:rPr>
          <w:b w:val="0"/>
          <w:spacing w:val="3"/>
          <w:w w:val="105"/>
        </w:rPr>
        <w:t xml:space="preserve"> </w:t>
      </w:r>
      <w:r>
        <w:rPr>
          <w:b w:val="0"/>
          <w:w w:val="105"/>
        </w:rPr>
        <w:t>(22%)</w:t>
      </w:r>
      <w:r>
        <w:rPr>
          <w:b w:val="0"/>
          <w:spacing w:val="-13"/>
          <w:w w:val="105"/>
        </w:rPr>
        <w:t xml:space="preserve"> </w:t>
      </w:r>
      <w:r>
        <w:rPr>
          <w:b w:val="0"/>
          <w:w w:val="105"/>
        </w:rPr>
        <w:t>Para</w:t>
      </w:r>
      <w:r>
        <w:rPr>
          <w:b w:val="0"/>
          <w:spacing w:val="-4"/>
          <w:w w:val="105"/>
        </w:rPr>
        <w:t xml:space="preserve"> </w:t>
      </w:r>
      <w:r>
        <w:rPr>
          <w:b w:val="0"/>
          <w:w w:val="105"/>
        </w:rPr>
        <w:t>conclusão</w:t>
      </w:r>
      <w:r>
        <w:rPr>
          <w:b w:val="0"/>
          <w:spacing w:val="-2"/>
          <w:w w:val="105"/>
        </w:rPr>
        <w:t xml:space="preserve"> </w:t>
      </w:r>
      <w:r>
        <w:rPr>
          <w:b w:val="0"/>
          <w:w w:val="105"/>
        </w:rPr>
        <w:t>das</w:t>
      </w:r>
      <w:r>
        <w:rPr>
          <w:b w:val="0"/>
          <w:spacing w:val="-11"/>
          <w:w w:val="105"/>
        </w:rPr>
        <w:t xml:space="preserve"> </w:t>
      </w:r>
      <w:r>
        <w:rPr>
          <w:b w:val="0"/>
          <w:w w:val="105"/>
        </w:rPr>
        <w:t>obras</w:t>
      </w:r>
      <w:r>
        <w:rPr>
          <w:b w:val="0"/>
          <w:w w:val="102"/>
        </w:rPr>
        <w:t xml:space="preserve"> </w:t>
      </w:r>
      <w:r>
        <w:rPr>
          <w:b w:val="0"/>
          <w:w w:val="105"/>
        </w:rPr>
        <w:t>necessita-se a remoção de famílias.</w:t>
      </w:r>
    </w:p>
    <w:p w:rsidR="003E6588" w:rsidRDefault="003E6588" w:rsidP="00F83380">
      <w:pPr>
        <w:pStyle w:val="Corpodetexto"/>
        <w:tabs>
          <w:tab w:val="left" w:pos="567"/>
        </w:tabs>
        <w:ind w:right="49" w:firstLine="1134"/>
        <w:jc w:val="both"/>
        <w:rPr>
          <w:b w:val="0"/>
        </w:rPr>
      </w:pPr>
    </w:p>
    <w:p w:rsidR="003E6588" w:rsidRDefault="003E6588" w:rsidP="00F83380">
      <w:pPr>
        <w:pStyle w:val="PargrafodaLista"/>
        <w:widowControl w:val="0"/>
        <w:tabs>
          <w:tab w:val="left" w:pos="284"/>
        </w:tabs>
        <w:ind w:left="1134" w:right="49"/>
        <w:contextualSpacing w:val="0"/>
        <w:rPr>
          <w:rFonts w:ascii="Times New Roman" w:hAnsi="Times New Roman"/>
          <w:w w:val="101"/>
          <w:sz w:val="24"/>
          <w:szCs w:val="24"/>
        </w:rPr>
      </w:pPr>
      <w:r>
        <w:rPr>
          <w:rFonts w:ascii="Times New Roman" w:hAnsi="Times New Roman"/>
          <w:w w:val="101"/>
          <w:sz w:val="24"/>
          <w:szCs w:val="24"/>
        </w:rPr>
        <w:t>- Córrego do Oratório (SP e Santo André)</w:t>
      </w:r>
    </w:p>
    <w:p w:rsidR="003E6588" w:rsidRDefault="003E6588" w:rsidP="00F83380">
      <w:pPr>
        <w:pStyle w:val="PargrafodaLista"/>
        <w:widowControl w:val="0"/>
        <w:tabs>
          <w:tab w:val="left" w:pos="567"/>
        </w:tabs>
        <w:ind w:left="0" w:right="49" w:firstLine="1276"/>
        <w:contextualSpacing w:val="0"/>
        <w:rPr>
          <w:rFonts w:ascii="Times New Roman" w:hAnsi="Times New Roman"/>
          <w:w w:val="101"/>
          <w:sz w:val="24"/>
          <w:szCs w:val="24"/>
        </w:rPr>
      </w:pPr>
      <w:r>
        <w:rPr>
          <w:rFonts w:ascii="Times New Roman" w:hAnsi="Times New Roman"/>
          <w:w w:val="101"/>
          <w:sz w:val="24"/>
          <w:szCs w:val="24"/>
        </w:rPr>
        <w:t>Valor - R$ 80 milhões.</w:t>
      </w:r>
    </w:p>
    <w:p w:rsidR="003E6588" w:rsidRDefault="003E6588" w:rsidP="00F83380">
      <w:pPr>
        <w:pStyle w:val="PargrafodaLista"/>
        <w:widowControl w:val="0"/>
        <w:tabs>
          <w:tab w:val="left" w:pos="567"/>
        </w:tabs>
        <w:ind w:left="0" w:right="49" w:firstLine="1276"/>
        <w:contextualSpacing w:val="0"/>
        <w:rPr>
          <w:rFonts w:ascii="Times New Roman" w:hAnsi="Times New Roman"/>
          <w:w w:val="101"/>
          <w:sz w:val="24"/>
          <w:szCs w:val="24"/>
        </w:rPr>
      </w:pPr>
      <w:r>
        <w:rPr>
          <w:rFonts w:ascii="Times New Roman" w:hAnsi="Times New Roman"/>
          <w:w w:val="101"/>
          <w:sz w:val="24"/>
          <w:szCs w:val="24"/>
        </w:rPr>
        <w:t>Situação - Em execução (lote 3 -20%). Executado trecho emergencial de 400m no lote 3, termo de Distrato do convênio com a CEF assinado.</w:t>
      </w:r>
    </w:p>
    <w:p w:rsidR="003E6588" w:rsidRDefault="003E6588" w:rsidP="00F83380">
      <w:pPr>
        <w:ind w:right="49" w:firstLine="1134"/>
        <w:jc w:val="both"/>
        <w:rPr>
          <w:b/>
        </w:rPr>
      </w:pPr>
    </w:p>
    <w:p w:rsidR="003E6588" w:rsidRDefault="003E6588" w:rsidP="00F83380">
      <w:pPr>
        <w:ind w:right="49" w:firstLine="1134"/>
        <w:jc w:val="both"/>
        <w:rPr>
          <w:b/>
        </w:rPr>
      </w:pPr>
      <w:r>
        <w:rPr>
          <w:b/>
        </w:rPr>
        <w:t>Polderes</w:t>
      </w:r>
    </w:p>
    <w:p w:rsidR="003E6588" w:rsidRDefault="003E6588" w:rsidP="00F83380">
      <w:pPr>
        <w:ind w:right="49" w:firstLine="1134"/>
        <w:jc w:val="both"/>
        <w:rPr>
          <w:b/>
        </w:rPr>
      </w:pPr>
    </w:p>
    <w:p w:rsidR="003E6588" w:rsidRDefault="003E6588">
      <w:pPr>
        <w:pStyle w:val="Corpodetexto"/>
        <w:widowControl w:val="0"/>
        <w:tabs>
          <w:tab w:val="left" w:pos="284"/>
        </w:tabs>
        <w:ind w:left="1134"/>
        <w:jc w:val="both"/>
        <w:rPr>
          <w:b w:val="0"/>
          <w:w w:val="105"/>
        </w:rPr>
      </w:pPr>
      <w:r>
        <w:rPr>
          <w:b w:val="0"/>
          <w:w w:val="105"/>
        </w:rPr>
        <w:lastRenderedPageBreak/>
        <w:t>- Ponte Aricanduva</w:t>
      </w:r>
    </w:p>
    <w:p w:rsidR="003E6588" w:rsidRDefault="003E6588">
      <w:pPr>
        <w:pStyle w:val="Corpodetexto"/>
        <w:widowControl w:val="0"/>
        <w:tabs>
          <w:tab w:val="left" w:pos="284"/>
        </w:tabs>
        <w:ind w:firstLine="1276"/>
        <w:jc w:val="both"/>
        <w:rPr>
          <w:b w:val="0"/>
          <w:w w:val="105"/>
        </w:rPr>
      </w:pPr>
      <w:r>
        <w:rPr>
          <w:b w:val="0"/>
          <w:w w:val="105"/>
        </w:rPr>
        <w:t>Margem direita - concluído.</w:t>
      </w:r>
    </w:p>
    <w:p w:rsidR="003E6588" w:rsidRPr="0038593F" w:rsidRDefault="003E6588">
      <w:pPr>
        <w:pStyle w:val="Corpodetexto"/>
        <w:widowControl w:val="0"/>
        <w:tabs>
          <w:tab w:val="left" w:pos="284"/>
        </w:tabs>
        <w:ind w:firstLine="1276"/>
        <w:jc w:val="both"/>
        <w:rPr>
          <w:b w:val="0"/>
          <w:w w:val="105"/>
        </w:rPr>
      </w:pPr>
      <w:r>
        <w:rPr>
          <w:b w:val="0"/>
          <w:w w:val="105"/>
        </w:rPr>
        <w:t xml:space="preserve">Margem esquerda - </w:t>
      </w:r>
      <w:r w:rsidRPr="0038593F">
        <w:rPr>
          <w:b w:val="0"/>
          <w:w w:val="105"/>
        </w:rPr>
        <w:t>em execução.</w:t>
      </w:r>
    </w:p>
    <w:p w:rsidR="003E6588" w:rsidRDefault="003E6588" w:rsidP="001C7F65">
      <w:pPr>
        <w:pStyle w:val="Corpodetexto"/>
        <w:widowControl w:val="0"/>
        <w:tabs>
          <w:tab w:val="left" w:pos="284"/>
        </w:tabs>
        <w:ind w:firstLine="1134"/>
        <w:jc w:val="both"/>
        <w:rPr>
          <w:b w:val="0"/>
          <w:w w:val="105"/>
        </w:rPr>
      </w:pPr>
    </w:p>
    <w:p w:rsidR="003E6588" w:rsidRDefault="003E6588">
      <w:pPr>
        <w:pStyle w:val="Corpodetexto"/>
        <w:widowControl w:val="0"/>
        <w:tabs>
          <w:tab w:val="left" w:pos="284"/>
        </w:tabs>
        <w:ind w:left="1134"/>
        <w:jc w:val="both"/>
        <w:rPr>
          <w:b w:val="0"/>
        </w:rPr>
      </w:pPr>
      <w:r>
        <w:rPr>
          <w:b w:val="0"/>
          <w:w w:val="105"/>
        </w:rPr>
        <w:t>- Ponte da Vila Maria</w:t>
      </w:r>
    </w:p>
    <w:p w:rsidR="003E6588" w:rsidRDefault="003E6588">
      <w:pPr>
        <w:pStyle w:val="Corpodetexto"/>
        <w:widowControl w:val="0"/>
        <w:tabs>
          <w:tab w:val="left" w:pos="284"/>
        </w:tabs>
        <w:ind w:firstLine="1276"/>
        <w:jc w:val="both"/>
        <w:rPr>
          <w:b w:val="0"/>
          <w:w w:val="105"/>
        </w:rPr>
      </w:pPr>
      <w:r>
        <w:rPr>
          <w:b w:val="0"/>
          <w:w w:val="105"/>
        </w:rPr>
        <w:t>Margem direita - concluído.</w:t>
      </w:r>
    </w:p>
    <w:p w:rsidR="003E6588" w:rsidRPr="0038593F" w:rsidRDefault="003E6588">
      <w:pPr>
        <w:pStyle w:val="Corpodetexto"/>
        <w:widowControl w:val="0"/>
        <w:tabs>
          <w:tab w:val="left" w:pos="284"/>
        </w:tabs>
        <w:ind w:firstLine="1276"/>
        <w:jc w:val="both"/>
        <w:rPr>
          <w:b w:val="0"/>
          <w:w w:val="105"/>
        </w:rPr>
      </w:pPr>
      <w:r>
        <w:rPr>
          <w:b w:val="0"/>
          <w:w w:val="105"/>
        </w:rPr>
        <w:t xml:space="preserve">Margem esquerda - </w:t>
      </w:r>
      <w:r w:rsidRPr="0038593F">
        <w:rPr>
          <w:b w:val="0"/>
          <w:w w:val="105"/>
        </w:rPr>
        <w:t>em execução.</w:t>
      </w:r>
    </w:p>
    <w:p w:rsidR="003E6588" w:rsidRPr="0038593F" w:rsidRDefault="003E6588">
      <w:pPr>
        <w:pStyle w:val="Corpodetexto"/>
        <w:widowControl w:val="0"/>
        <w:tabs>
          <w:tab w:val="left" w:pos="284"/>
        </w:tabs>
        <w:ind w:firstLine="1134"/>
        <w:jc w:val="both"/>
        <w:rPr>
          <w:b w:val="0"/>
          <w:w w:val="105"/>
        </w:rPr>
      </w:pPr>
    </w:p>
    <w:p w:rsidR="003E6588" w:rsidRPr="0038593F" w:rsidRDefault="003E6588">
      <w:pPr>
        <w:pStyle w:val="Corpodetexto"/>
        <w:widowControl w:val="0"/>
        <w:tabs>
          <w:tab w:val="left" w:pos="284"/>
        </w:tabs>
        <w:ind w:left="1134"/>
        <w:jc w:val="both"/>
        <w:rPr>
          <w:b w:val="0"/>
          <w:w w:val="105"/>
        </w:rPr>
      </w:pPr>
      <w:r w:rsidRPr="0038593F">
        <w:rPr>
          <w:b w:val="0"/>
          <w:w w:val="105"/>
        </w:rPr>
        <w:t>- Ponte da Vila Guilherme</w:t>
      </w:r>
    </w:p>
    <w:p w:rsidR="003E6588" w:rsidRPr="0038593F" w:rsidRDefault="003E6588">
      <w:pPr>
        <w:pStyle w:val="Corpodetexto"/>
        <w:widowControl w:val="0"/>
        <w:tabs>
          <w:tab w:val="left" w:pos="284"/>
        </w:tabs>
        <w:ind w:firstLine="1276"/>
        <w:jc w:val="both"/>
        <w:rPr>
          <w:b w:val="0"/>
          <w:w w:val="105"/>
        </w:rPr>
      </w:pPr>
      <w:r w:rsidRPr="0038593F">
        <w:rPr>
          <w:b w:val="0"/>
          <w:w w:val="105"/>
        </w:rPr>
        <w:t>Margem esquerda - em execução.</w:t>
      </w:r>
    </w:p>
    <w:p w:rsidR="003E6588" w:rsidRPr="0038593F" w:rsidRDefault="003E6588">
      <w:pPr>
        <w:pStyle w:val="Corpodetexto"/>
        <w:widowControl w:val="0"/>
        <w:tabs>
          <w:tab w:val="left" w:pos="284"/>
        </w:tabs>
        <w:ind w:left="425" w:firstLine="1134"/>
        <w:jc w:val="both"/>
        <w:rPr>
          <w:b w:val="0"/>
          <w:w w:val="105"/>
        </w:rPr>
      </w:pPr>
    </w:p>
    <w:p w:rsidR="003E6588" w:rsidRPr="0038593F" w:rsidRDefault="003E6588">
      <w:pPr>
        <w:pStyle w:val="Corpodetexto"/>
        <w:widowControl w:val="0"/>
        <w:tabs>
          <w:tab w:val="left" w:pos="284"/>
        </w:tabs>
        <w:ind w:left="1134"/>
        <w:jc w:val="both"/>
        <w:rPr>
          <w:b w:val="0"/>
          <w:w w:val="105"/>
        </w:rPr>
      </w:pPr>
      <w:r w:rsidRPr="0038593F">
        <w:rPr>
          <w:b w:val="0"/>
          <w:w w:val="105"/>
        </w:rPr>
        <w:t>- Ponte do Limão</w:t>
      </w:r>
    </w:p>
    <w:p w:rsidR="003E6588" w:rsidRPr="0038593F" w:rsidRDefault="003E6588">
      <w:pPr>
        <w:pStyle w:val="Corpodetexto"/>
        <w:widowControl w:val="0"/>
        <w:tabs>
          <w:tab w:val="left" w:pos="284"/>
        </w:tabs>
        <w:ind w:firstLine="1276"/>
        <w:jc w:val="both"/>
        <w:rPr>
          <w:b w:val="0"/>
          <w:w w:val="105"/>
        </w:rPr>
      </w:pPr>
      <w:r w:rsidRPr="0038593F">
        <w:rPr>
          <w:b w:val="0"/>
          <w:w w:val="105"/>
        </w:rPr>
        <w:t>Margem direita - em execução.</w:t>
      </w:r>
    </w:p>
    <w:p w:rsidR="003E6588" w:rsidRDefault="003E6588">
      <w:pPr>
        <w:pStyle w:val="Corpodetexto"/>
        <w:tabs>
          <w:tab w:val="left" w:pos="284"/>
        </w:tabs>
        <w:ind w:firstLine="1276"/>
        <w:jc w:val="both"/>
        <w:rPr>
          <w:b w:val="0"/>
        </w:rPr>
      </w:pPr>
      <w:r>
        <w:rPr>
          <w:b w:val="0"/>
        </w:rPr>
        <w:t>Valor total de investimento - R$ 70 milhões.</w:t>
      </w:r>
    </w:p>
    <w:p w:rsidR="003E6588" w:rsidRDefault="003E6588">
      <w:pPr>
        <w:pStyle w:val="Corpodetexto"/>
        <w:tabs>
          <w:tab w:val="left" w:pos="284"/>
        </w:tabs>
        <w:ind w:firstLine="1134"/>
        <w:jc w:val="both"/>
        <w:rPr>
          <w:b w:val="0"/>
        </w:rPr>
      </w:pPr>
    </w:p>
    <w:p w:rsidR="003E6588" w:rsidRDefault="003E6588">
      <w:pPr>
        <w:pStyle w:val="Corpodetexto"/>
        <w:widowControl w:val="0"/>
        <w:tabs>
          <w:tab w:val="left" w:pos="284"/>
        </w:tabs>
        <w:ind w:left="1134"/>
        <w:jc w:val="both"/>
        <w:rPr>
          <w:b w:val="0"/>
          <w:w w:val="105"/>
        </w:rPr>
      </w:pPr>
      <w:r>
        <w:rPr>
          <w:b w:val="0"/>
          <w:w w:val="105"/>
        </w:rPr>
        <w:t>- Ribeirão Euzébio e Rio Juqueri (Franco da Rocha)</w:t>
      </w:r>
    </w:p>
    <w:p w:rsidR="003E6588" w:rsidRDefault="003E6588">
      <w:pPr>
        <w:pStyle w:val="Corpodetexto"/>
        <w:tabs>
          <w:tab w:val="left" w:pos="1418"/>
        </w:tabs>
        <w:ind w:firstLine="1276"/>
        <w:jc w:val="both"/>
        <w:rPr>
          <w:b w:val="0"/>
        </w:rPr>
      </w:pPr>
      <w:r>
        <w:rPr>
          <w:b w:val="0"/>
        </w:rPr>
        <w:t>Valor - R$ 45,9</w:t>
      </w:r>
      <w:r>
        <w:rPr>
          <w:b w:val="0"/>
          <w:spacing w:val="36"/>
        </w:rPr>
        <w:t xml:space="preserve"> </w:t>
      </w:r>
      <w:r>
        <w:rPr>
          <w:b w:val="0"/>
        </w:rPr>
        <w:t>milhões.</w:t>
      </w:r>
    </w:p>
    <w:p w:rsidR="003E6588" w:rsidRDefault="003E6588">
      <w:pPr>
        <w:pStyle w:val="Corpodetexto"/>
        <w:tabs>
          <w:tab w:val="left" w:pos="1418"/>
        </w:tabs>
        <w:ind w:firstLine="1276"/>
        <w:jc w:val="both"/>
        <w:rPr>
          <w:b w:val="0"/>
        </w:rPr>
      </w:pPr>
      <w:r>
        <w:rPr>
          <w:b w:val="0"/>
        </w:rPr>
        <w:t>Extensão - 3.300m</w:t>
      </w:r>
    </w:p>
    <w:p w:rsidR="003E6588" w:rsidRDefault="003E6588">
      <w:pPr>
        <w:pStyle w:val="Corpodetexto"/>
        <w:tabs>
          <w:tab w:val="left" w:pos="1418"/>
        </w:tabs>
        <w:ind w:firstLine="1276"/>
        <w:jc w:val="both"/>
        <w:rPr>
          <w:b w:val="0"/>
        </w:rPr>
      </w:pPr>
      <w:r>
        <w:rPr>
          <w:b w:val="0"/>
        </w:rPr>
        <w:t>Situação - 83,43% da obra executada.</w:t>
      </w:r>
    </w:p>
    <w:p w:rsidR="003E6588" w:rsidRDefault="003E6588">
      <w:pPr>
        <w:ind w:firstLine="1134"/>
        <w:jc w:val="both"/>
      </w:pPr>
    </w:p>
    <w:p w:rsidR="003E6588" w:rsidRDefault="003E6588">
      <w:pPr>
        <w:ind w:firstLine="1134"/>
        <w:jc w:val="both"/>
      </w:pPr>
      <w:r>
        <w:rPr>
          <w:b/>
        </w:rPr>
        <w:t xml:space="preserve">Parque Várzeas do Tietê - </w:t>
      </w:r>
      <w:r>
        <w:t>O Parque Várzeas do Tietê - PVT é o maior parque linear do mundo, com 75 km de extensão e 10.730 hectares de área (equivalente a 68 Parques do Ibirapuera). Estima-se a população diretamente beneficiada pela implantação integral do Projeto em 2,1 milhões de pessoas.</w:t>
      </w:r>
    </w:p>
    <w:p w:rsidR="003E6588" w:rsidRDefault="003E6588">
      <w:pPr>
        <w:ind w:firstLine="1134"/>
        <w:jc w:val="both"/>
      </w:pPr>
    </w:p>
    <w:p w:rsidR="003E6588" w:rsidRDefault="003E6588">
      <w:pPr>
        <w:ind w:firstLine="1134"/>
        <w:jc w:val="both"/>
      </w:pPr>
      <w:r>
        <w:t>Tem como principal objetivo a preservação das várzeas do Rio Tietê, fundamentais para o ecossistema do rio, visando restabelecer a função destas para o amortecimento de cheias, por meio de ações voltadas à proteção e à recuperação do ambiente natural, que preveem a promoção de usos sustentáveis e compatíveis, tais como implantação de parques, vias de trânsito local e ciclovias junto aos limites externos, equipamentos de lazer, turismo e cultura, de forma a promover educação ambiental, inclusão social, proteção e recuperação da flora e fauna. Para tal, a ocupação das margens será reordenada. Devido à sua extensão e complexidade, o PVT será implementado em três etapas.</w:t>
      </w:r>
    </w:p>
    <w:p w:rsidR="003E6588" w:rsidRDefault="003E6588">
      <w:pPr>
        <w:ind w:firstLine="1134"/>
        <w:jc w:val="both"/>
      </w:pPr>
    </w:p>
    <w:p w:rsidR="003E6588" w:rsidRDefault="003E6588">
      <w:pPr>
        <w:ind w:firstLine="1134"/>
        <w:jc w:val="both"/>
      </w:pPr>
      <w:r>
        <w:t>Para viabilizar a implantação da 1ª Etapa, que engloba os Municípios de São Paulo e Guarulhos, foi firmado entre o Governo do Estado de São Paulo - GESP e o Banco Interamericano de Desenvolvimento - BID o Contrato de Empréstimo nº 2500/OC-BR, no valor de US$ 199.780.000,00 (US$ 115.700.000,00 provenientes do BID e o restante como contrapartida do GESP).</w:t>
      </w:r>
    </w:p>
    <w:p w:rsidR="003E6588" w:rsidRDefault="003E6588">
      <w:pPr>
        <w:ind w:firstLine="1134"/>
        <w:jc w:val="both"/>
      </w:pPr>
    </w:p>
    <w:p w:rsidR="003E6588" w:rsidRDefault="003E6588">
      <w:pPr>
        <w:ind w:firstLine="1134"/>
        <w:jc w:val="both"/>
      </w:pPr>
      <w:r>
        <w:t>Encontra-se em andamento a 1ª Etapa do Projeto, cujas ações se estendem por 25 km, entre a Barragem da Penha até a divisa com Itaquaquecetuba.</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Convênio</w:t>
      </w:r>
      <w:r>
        <w:rPr>
          <w:rFonts w:ascii="Times New Roman" w:hAnsi="Times New Roman"/>
          <w:sz w:val="24"/>
          <w:szCs w:val="24"/>
        </w:rPr>
        <w:t xml:space="preserve"> - A execução financeira prevista para o reassentamento populacional em Guarulhos, envolvendo repasse de R$ 42 milhões, do DAEE (com recursos do BID) para a SH, depende de formalização do Convênio DAEE/SH.</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Desapropriação</w:t>
      </w:r>
      <w:r>
        <w:rPr>
          <w:rFonts w:ascii="Times New Roman" w:hAnsi="Times New Roman"/>
          <w:sz w:val="24"/>
          <w:szCs w:val="24"/>
        </w:rPr>
        <w:t xml:space="preserve"> - Foram elaborados 3 decretos de utilidade pública e encontram-se em análise pela Procuradoria do Patrimônio Imobiliário.</w:t>
      </w:r>
    </w:p>
    <w:p w:rsidR="003E6588" w:rsidRDefault="003E6588">
      <w:pPr>
        <w:ind w:firstLine="1134"/>
        <w:jc w:val="both"/>
        <w:rPr>
          <w:b/>
        </w:rPr>
      </w:pPr>
    </w:p>
    <w:p w:rsidR="003E6588" w:rsidRDefault="003E6588">
      <w:pPr>
        <w:ind w:firstLine="1134"/>
        <w:jc w:val="both"/>
      </w:pPr>
      <w:r>
        <w:rPr>
          <w:b/>
        </w:rPr>
        <w:t xml:space="preserve">Sistema Produtor PCJ (Piracicaba - Capivari - Jundiaí) - </w:t>
      </w:r>
      <w:r>
        <w:t>O projeto executivo e o EIA-RIMA para a construção das barragens de Duas Pontes e Pedreira foram contratados, com investimento de R$ 14,8 milhões. Foram executados 67,85% dos serviços.</w:t>
      </w:r>
    </w:p>
    <w:p w:rsidR="003E6588" w:rsidRDefault="003E6588">
      <w:pPr>
        <w:ind w:firstLine="1134"/>
        <w:jc w:val="both"/>
      </w:pPr>
    </w:p>
    <w:p w:rsidR="003E6588" w:rsidRPr="00200E09" w:rsidRDefault="003E6588">
      <w:pPr>
        <w:ind w:firstLine="1134"/>
        <w:jc w:val="both"/>
      </w:pPr>
      <w:r w:rsidRPr="00200E09">
        <w:rPr>
          <w:b/>
        </w:rPr>
        <w:t xml:space="preserve">Sistema de Alerta e Prevenção de Enchentes - </w:t>
      </w:r>
      <w:r w:rsidRPr="00200E09">
        <w:t>Foi concluída a instalação e entrou em operação o radar meteorológico multipolarizado na barragem Ponte Nova.</w:t>
      </w:r>
    </w:p>
    <w:p w:rsidR="003E6588" w:rsidRPr="00200E09" w:rsidRDefault="003E6588">
      <w:pPr>
        <w:ind w:firstLine="1134"/>
        <w:jc w:val="both"/>
        <w:rPr>
          <w:b/>
        </w:rPr>
      </w:pPr>
    </w:p>
    <w:p w:rsidR="003E6588" w:rsidRDefault="003E6588">
      <w:pPr>
        <w:ind w:firstLine="1134"/>
        <w:jc w:val="both"/>
        <w:rPr>
          <w:b/>
        </w:rPr>
      </w:pPr>
      <w:r>
        <w:rPr>
          <w:b/>
        </w:rPr>
        <w:t>Bacia do rio Paraitinga</w:t>
      </w:r>
    </w:p>
    <w:p w:rsidR="003E6588" w:rsidRDefault="003E6588">
      <w:pPr>
        <w:ind w:firstLine="1134"/>
        <w:jc w:val="both"/>
        <w:rPr>
          <w:b/>
        </w:rPr>
      </w:pPr>
    </w:p>
    <w:p w:rsidR="003E6588" w:rsidRDefault="003E6588">
      <w:pPr>
        <w:pStyle w:val="PargrafodaLista"/>
        <w:widowControl w:val="0"/>
        <w:tabs>
          <w:tab w:val="left" w:pos="284"/>
        </w:tabs>
        <w:ind w:left="0" w:firstLine="1134"/>
        <w:contextualSpacing w:val="0"/>
        <w:rPr>
          <w:rFonts w:ascii="Times New Roman" w:hAnsi="Times New Roman"/>
          <w:w w:val="105"/>
          <w:sz w:val="24"/>
          <w:szCs w:val="24"/>
        </w:rPr>
      </w:pPr>
      <w:r>
        <w:rPr>
          <w:rFonts w:ascii="Times New Roman" w:hAnsi="Times New Roman"/>
          <w:b/>
          <w:w w:val="105"/>
          <w:sz w:val="24"/>
          <w:szCs w:val="24"/>
        </w:rPr>
        <w:t xml:space="preserve">Implantação do Sistema de Telemetria em 30 pontos - </w:t>
      </w:r>
      <w:r>
        <w:rPr>
          <w:rFonts w:ascii="Times New Roman" w:hAnsi="Times New Roman"/>
          <w:w w:val="105"/>
          <w:sz w:val="24"/>
          <w:szCs w:val="24"/>
        </w:rPr>
        <w:t>Primeira etapa executada no valor de R$ 900 mil. São 20 postos, sendo 8 na Bacia do Paraitinga e 12 na bacia do rio Paraíba. Operando normalmente, fornecendo dados em tempo real.</w:t>
      </w:r>
    </w:p>
    <w:p w:rsidR="003E6588" w:rsidRDefault="003E6588">
      <w:pPr>
        <w:pStyle w:val="PargrafodaLista"/>
        <w:widowControl w:val="0"/>
        <w:tabs>
          <w:tab w:val="left" w:pos="284"/>
        </w:tabs>
        <w:ind w:left="0" w:firstLine="1134"/>
        <w:contextualSpacing w:val="0"/>
        <w:rPr>
          <w:rFonts w:ascii="Times New Roman" w:hAnsi="Times New Roman"/>
          <w:w w:val="105"/>
          <w:sz w:val="24"/>
          <w:szCs w:val="24"/>
        </w:rPr>
      </w:pPr>
    </w:p>
    <w:p w:rsidR="003E6588" w:rsidRDefault="003E6588">
      <w:pPr>
        <w:pStyle w:val="PargrafodaLista"/>
        <w:widowControl w:val="0"/>
        <w:tabs>
          <w:tab w:val="left" w:pos="284"/>
        </w:tabs>
        <w:ind w:left="0" w:firstLine="1134"/>
        <w:contextualSpacing w:val="0"/>
        <w:rPr>
          <w:rFonts w:ascii="Times New Roman" w:hAnsi="Times New Roman"/>
          <w:w w:val="105"/>
          <w:sz w:val="24"/>
          <w:szCs w:val="24"/>
        </w:rPr>
      </w:pPr>
      <w:r>
        <w:rPr>
          <w:rFonts w:ascii="Times New Roman" w:hAnsi="Times New Roman"/>
          <w:w w:val="105"/>
          <w:sz w:val="24"/>
          <w:szCs w:val="24"/>
        </w:rPr>
        <w:t>Em fase de contratação da segunda etapa, que prevê instalação de mais 10 postos na bacia do Paraíba e manutenção do sistema por dois anos.</w:t>
      </w:r>
    </w:p>
    <w:p w:rsidR="003E6588" w:rsidRPr="001C7F65" w:rsidRDefault="003E6588">
      <w:pPr>
        <w:ind w:firstLine="1134"/>
        <w:jc w:val="both"/>
        <w:rPr>
          <w:rFonts w:cs="Arial"/>
          <w:b/>
        </w:rPr>
      </w:pPr>
    </w:p>
    <w:p w:rsidR="003E6588" w:rsidRPr="001C7F65" w:rsidRDefault="003E6588">
      <w:pPr>
        <w:ind w:firstLine="1134"/>
        <w:jc w:val="both"/>
        <w:rPr>
          <w:rFonts w:cs="Arial"/>
          <w:b/>
        </w:rPr>
      </w:pPr>
    </w:p>
    <w:p w:rsidR="003E6588" w:rsidRDefault="003E6588">
      <w:pPr>
        <w:rPr>
          <w:b/>
        </w:rPr>
      </w:pPr>
      <w:r>
        <w:rPr>
          <w:b/>
        </w:rPr>
        <w:t>COMPANHIA DE SANEAMENTO BÁSICO DO ESTADO DE SÃO PAULO</w:t>
      </w:r>
      <w:r w:rsidR="00200E09" w:rsidRPr="00200E09">
        <w:rPr>
          <w:b/>
        </w:rPr>
        <w:t xml:space="preserve"> </w:t>
      </w:r>
      <w:r w:rsidR="00200E09">
        <w:rPr>
          <w:b/>
        </w:rPr>
        <w:t>- SABESP</w:t>
      </w:r>
    </w:p>
    <w:p w:rsidR="003E6588" w:rsidRDefault="003E6588">
      <w:pPr>
        <w:ind w:firstLine="1134"/>
        <w:jc w:val="both"/>
        <w:rPr>
          <w:bCs/>
          <w:lang w:val="pt-PT"/>
        </w:rPr>
      </w:pPr>
    </w:p>
    <w:p w:rsidR="003E6588" w:rsidRDefault="003E6588">
      <w:pPr>
        <w:ind w:firstLine="1134"/>
        <w:jc w:val="both"/>
        <w:rPr>
          <w:bCs/>
          <w:lang w:val="pt-PT"/>
        </w:rPr>
      </w:pPr>
    </w:p>
    <w:p w:rsidR="003E6588" w:rsidRDefault="003E6588">
      <w:pPr>
        <w:ind w:firstLine="1134"/>
        <w:jc w:val="both"/>
      </w:pPr>
      <w:r>
        <w:t xml:space="preserve">A Sabesp, quinta maior empresa de saneamento do mundo em população atendida, de acordo com a 14ª edição do anuário </w:t>
      </w:r>
      <w:r>
        <w:rPr>
          <w:i/>
        </w:rPr>
        <w:t>Pinsent Masons Water Yearbook</w:t>
      </w:r>
      <w:r>
        <w:t>, investiu R$ 2,3 bilhões, para potencializar suas ações.</w:t>
      </w:r>
    </w:p>
    <w:p w:rsidR="003E6588" w:rsidRDefault="003E6588">
      <w:pPr>
        <w:ind w:firstLine="1134"/>
        <w:jc w:val="both"/>
        <w:rPr>
          <w:b/>
        </w:rPr>
      </w:pPr>
    </w:p>
    <w:p w:rsidR="003E6588" w:rsidRDefault="003E6588">
      <w:pPr>
        <w:ind w:firstLine="1134"/>
        <w:jc w:val="both"/>
      </w:pPr>
      <w:r>
        <w:rPr>
          <w:b/>
        </w:rPr>
        <w:t xml:space="preserve">Desempenho Operacional - </w:t>
      </w:r>
      <w:r>
        <w:t xml:space="preserve">A Sabesp opera 364 municípios no Estado, abastecendo diretamente 25,2 milhões de paulistas e vendendo água tratada a municípios que operam seus sistemas de distribuição (3,1 milhões de pessoas), por meio de sua infraestrutura de distribuição que atinge 71 mil quilômetros extensão. Cerca de 22,2 milhões de habitantes do Estado têm seus esgotos coletados por meio de infraestrutura de esgotamento sanitário que conta com 48 mil quilômetros de redes de coleta, emissários e interceptores de esgoto. </w:t>
      </w:r>
    </w:p>
    <w:p w:rsidR="003E6588" w:rsidRDefault="003E6588">
      <w:pPr>
        <w:ind w:firstLine="1134"/>
        <w:jc w:val="both"/>
        <w:rPr>
          <w:sz w:val="16"/>
        </w:rPr>
      </w:pPr>
    </w:p>
    <w:p w:rsidR="003E6588" w:rsidRDefault="003E6588">
      <w:pPr>
        <w:ind w:firstLine="1134"/>
        <w:jc w:val="both"/>
      </w:pPr>
      <w:r>
        <w:rPr>
          <w:b/>
        </w:rPr>
        <w:t xml:space="preserve">Gestão Ambiental - </w:t>
      </w:r>
      <w:r>
        <w:t>A empresa atua em várias frentes para aprimorar a gestão ambiental, pautada nas diretrizes propostas em sua Política de Meio Ambiente.</w:t>
      </w:r>
    </w:p>
    <w:p w:rsidR="001C7F65" w:rsidRDefault="001C7F65">
      <w:pPr>
        <w:ind w:firstLine="1134"/>
        <w:jc w:val="both"/>
      </w:pPr>
    </w:p>
    <w:p w:rsidR="003E6588" w:rsidRDefault="003E6588">
      <w:pPr>
        <w:ind w:firstLine="1134"/>
        <w:jc w:val="both"/>
      </w:pPr>
      <w:r>
        <w:t>Dentre os Programas Corporativos em andamento, destacam-se:</w:t>
      </w:r>
    </w:p>
    <w:p w:rsidR="003E6588" w:rsidRDefault="003E6588">
      <w:pPr>
        <w:ind w:firstLine="1134"/>
        <w:jc w:val="both"/>
      </w:pPr>
    </w:p>
    <w:p w:rsidR="003E6588" w:rsidRDefault="003E6588">
      <w:pPr>
        <w:autoSpaceDE w:val="0"/>
        <w:autoSpaceDN w:val="0"/>
        <w:adjustRightInd w:val="0"/>
        <w:ind w:firstLine="1134"/>
        <w:jc w:val="both"/>
      </w:pPr>
      <w:r>
        <w:lastRenderedPageBreak/>
        <w:t>- Implementação progressiva e manutenção do Sistema de Gestão Ambiental - SGA em Estações de Tratamento de Esgotos - ETEs e Estações de Tratamento de Água - ETAs. O SGA está presente em 95 estações, com 34 em fase de implementação, totalizando 129, sendo 51 estações certificadas na ISO 14001;</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Continuidade das ações previstas no Programa Corporativo de Obtenção e Manutenção das Outorgas de Direito de Uso dos Recursos Hídricos;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Continuidade das ações previstas no Programa Corporativo de Obtenção e Manutenção do Licenciamento Ambiental das Estações de Tratamento de Esgotos - ETEs e Estações de Tratamento de Água - ETAs;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Estruturação do Programa Corporativo de Obtenção e Manutenção do Licenciamento Ambiental de Estações Elevatórias de Esgotos - EEEs;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Participação nos colegiados de recursos hídricos, incluindo acompanhamento do processo de cobrança pelo uso da água. A SABESP manteve sua representatividade nos 21 Comitês de Bacias Hidrográficas Estaduais, nos 4 Comitês Federais com abrangência no Estado e nos Conselhos Nacional e Estadual de Recursos Hídricos;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Estruturação do Programa Corporativo de Gestão de Emissões de Gases de Efeito Estufa, alinhado com as diretrizes da Política Estadual de Mudanças Climáticas (PEMC), incluindo a elaboração de inventários de emissões, totalizando sete inventários concluídos;</w:t>
      </w:r>
    </w:p>
    <w:p w:rsidR="003E6588" w:rsidRDefault="003E6588">
      <w:pPr>
        <w:autoSpaceDE w:val="0"/>
        <w:autoSpaceDN w:val="0"/>
        <w:adjustRightInd w:val="0"/>
        <w:ind w:left="284"/>
        <w:jc w:val="both"/>
      </w:pPr>
    </w:p>
    <w:p w:rsidR="003E6588" w:rsidRDefault="003E6588">
      <w:pPr>
        <w:autoSpaceDE w:val="0"/>
        <w:autoSpaceDN w:val="0"/>
        <w:adjustRightInd w:val="0"/>
        <w:ind w:firstLine="1134"/>
        <w:jc w:val="both"/>
      </w:pPr>
      <w:r>
        <w:t xml:space="preserve">- Participação no </w:t>
      </w:r>
      <w:r>
        <w:rPr>
          <w:i/>
        </w:rPr>
        <w:t>Carbon Disclosure Project - CDP Investors;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Continuidade do Programa Corporativo de Educação Ambiental - PEA Sabesp, com treinamento de empregados envolvidos nas atividades de educação sanitária e ambiental e com estabelecimento de diretrizes para as ações e projetos nos municípios operados;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Implementação do Programa Corporativo Sabesp 3 Rs, a fim de realizar gestão dos resíduos sólidos de origem administrativa na Empresa, baseado no conceito “reduzir, reutilizar e reciclar”, capacitando empregados para atuar como multiplicadores na implantação do programa.</w:t>
      </w:r>
    </w:p>
    <w:p w:rsidR="003E6588" w:rsidRDefault="003E6588">
      <w:pPr>
        <w:autoSpaceDE w:val="0"/>
        <w:autoSpaceDN w:val="0"/>
        <w:adjustRightInd w:val="0"/>
        <w:ind w:left="-11"/>
        <w:jc w:val="both"/>
      </w:pPr>
    </w:p>
    <w:p w:rsidR="003E6588" w:rsidRDefault="003E6588">
      <w:pPr>
        <w:ind w:firstLine="1134"/>
        <w:jc w:val="both"/>
      </w:pPr>
      <w:r>
        <w:t>Além dos Programas Corporativos de Gestão Ambiental, estão em desenvolvimento diversas iniciativas e projetos em prol do meio ambiente com envolvimento da sociedade.</w:t>
      </w:r>
    </w:p>
    <w:p w:rsidR="003E6588" w:rsidRDefault="003E6588">
      <w:pPr>
        <w:tabs>
          <w:tab w:val="left" w:pos="0"/>
          <w:tab w:val="left" w:pos="1134"/>
        </w:tabs>
        <w:autoSpaceDE w:val="0"/>
        <w:autoSpaceDN w:val="0"/>
        <w:adjustRightInd w:val="0"/>
        <w:spacing w:after="60"/>
        <w:jc w:val="both"/>
      </w:pPr>
    </w:p>
    <w:p w:rsidR="003E6588" w:rsidRDefault="003E6588">
      <w:pPr>
        <w:ind w:firstLine="1134"/>
        <w:jc w:val="both"/>
      </w:pPr>
      <w:r>
        <w:rPr>
          <w:b/>
        </w:rPr>
        <w:t xml:space="preserve">Relacionamento com clientes - </w:t>
      </w:r>
      <w:r>
        <w:t xml:space="preserve">A Sabesp tem como um de seus focos principais o aprimoramento do relacionamento com seus clientes. Neste sentido, seu principal projeto atual é a substituição do sistema comercial e de atendimento a clientes, dentro do escopo do Projeto SiiS - Sistema Integrado de Informações Sabesp. A substituição do sistema trará diversas novidades como: sistema de atendimento em formato </w:t>
      </w:r>
      <w:r>
        <w:rPr>
          <w:i/>
        </w:rPr>
        <w:t>CRM - Customer Relationship Management</w:t>
      </w:r>
      <w:r>
        <w:t xml:space="preserve">; inovações na interação com clientes, com uso de novas tecnologias; modernização dos processos de faturamento, </w:t>
      </w:r>
      <w:r>
        <w:lastRenderedPageBreak/>
        <w:t>cobrança e gestão de serviços ao cliente; atendimento de forma plena aos requisitos da ARSESP - Agência Reguladora de Saneamento e Energia do Estado de São Paulo.</w:t>
      </w:r>
    </w:p>
    <w:p w:rsidR="003E6588" w:rsidRDefault="003E6588">
      <w:pPr>
        <w:pStyle w:val="PargrafodaLista"/>
        <w:ind w:left="1134"/>
        <w:rPr>
          <w:rFonts w:ascii="Times New Roman" w:hAnsi="Times New Roman"/>
          <w:sz w:val="24"/>
          <w:szCs w:val="24"/>
        </w:rPr>
      </w:pPr>
    </w:p>
    <w:p w:rsidR="003E6588" w:rsidRDefault="003E6588">
      <w:pPr>
        <w:ind w:firstLine="1134"/>
        <w:jc w:val="both"/>
      </w:pPr>
      <w:r>
        <w:rPr>
          <w:b/>
        </w:rPr>
        <w:t xml:space="preserve">Contratualização com Municípios - </w:t>
      </w:r>
      <w:r>
        <w:t>Continuando em seu esforço para renovação dos contratos de prestação de serviços de saneamento, a Sabesp, assinou 273 contratos sob a Lei de Saneamento com municípios operados, sendo 256 Contratos de Programa na Diretoria de Sistemas Regionais e 17 Contratos Metropolitanos na Diretoria Metropolitana.</w:t>
      </w:r>
    </w:p>
    <w:p w:rsidR="003E6588" w:rsidRDefault="003E6588">
      <w:pPr>
        <w:ind w:firstLine="1134"/>
        <w:jc w:val="both"/>
      </w:pPr>
    </w:p>
    <w:p w:rsidR="003E6588" w:rsidRDefault="003E6588">
      <w:pPr>
        <w:ind w:firstLine="1134"/>
        <w:jc w:val="both"/>
      </w:pPr>
      <w:r>
        <w:rPr>
          <w:b/>
        </w:rPr>
        <w:t xml:space="preserve">Novos Negócios - </w:t>
      </w:r>
      <w:r>
        <w:t>A Sabesp vem desenvolvendo operações diferenciadas daquelas de geração, tratamento e distribuição de água e da captação e tratamento de esgotos no Estado com responsabilidade total da Sabesp. A área de novos negócios administra os seguintes empreendimentos:</w:t>
      </w:r>
    </w:p>
    <w:p w:rsidR="003E6588" w:rsidRDefault="003E6588">
      <w:pPr>
        <w:ind w:firstLine="1134"/>
        <w:jc w:val="both"/>
      </w:pPr>
    </w:p>
    <w:p w:rsidR="003E6588" w:rsidRDefault="003E6588">
      <w:pPr>
        <w:autoSpaceDE w:val="0"/>
        <w:autoSpaceDN w:val="0"/>
        <w:adjustRightInd w:val="0"/>
        <w:ind w:firstLine="1134"/>
        <w:jc w:val="both"/>
        <w:rPr>
          <w:b/>
        </w:rPr>
      </w:pPr>
      <w:r>
        <w:rPr>
          <w:b/>
        </w:rPr>
        <w:t xml:space="preserve">Prestação de Serviços de Água e Esgotos em parceria - </w:t>
      </w:r>
      <w:r>
        <w:t>Um dos principais mecanismos para atender à crescente demanda do mercado de saneamento é a formação de Sociedades de Pro</w:t>
      </w:r>
      <w:r w:rsidRPr="000B76A4">
        <w:t>pósi</w:t>
      </w:r>
      <w:r>
        <w:t>to Especifico - SPE’s, que tem se mostrado útil caminho para universalização do saneamento no Estado, atraindo investimentos do setor privado e promovendo desenvolvimentos tecnológicos.</w:t>
      </w:r>
    </w:p>
    <w:p w:rsidR="003E6588" w:rsidRDefault="003E6588">
      <w:pPr>
        <w:autoSpaceDE w:val="0"/>
        <w:autoSpaceDN w:val="0"/>
        <w:adjustRightInd w:val="0"/>
        <w:ind w:left="284" w:firstLine="1134"/>
        <w:jc w:val="both"/>
      </w:pPr>
    </w:p>
    <w:p w:rsidR="003E6588" w:rsidRDefault="003E6588">
      <w:pPr>
        <w:autoSpaceDE w:val="0"/>
        <w:autoSpaceDN w:val="0"/>
        <w:adjustRightInd w:val="0"/>
        <w:ind w:firstLine="1134"/>
        <w:jc w:val="both"/>
      </w:pPr>
      <w:r>
        <w:t>A Sabesp participa de quatro SPE’s na prestação de serviços de água e esgotos: Águas de Andradina, Águas de Castilho, Saneaqua em Mairinque e SESAMM em Mogi Mirim.</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Essas SPE’s são associações com o setor privado e têm como forte objetivo acelerar o desenvolvimento do saneamento nos Municípios paulistas e</w:t>
      </w:r>
      <w:r>
        <w:rPr>
          <w:strike/>
        </w:rPr>
        <w:t>,</w:t>
      </w:r>
      <w:r>
        <w:t xml:space="preserve"> já foram obtidos ganhos significativos no Município de Mogi Mirim, que, através dos investimentos realizados, além de elevar de zero para 70% o índice de tratamento dos esgotos coletados, alterou a qualificação do Rio Mogi Mirim de Ruim (vermelho) para Regular (amarelo); em Mairinque, o atendimento de água passou para 98,3% e a coleta de esgotos para 74%. Teve início a negociação para o 2º ciclo de investimentos de R$ 46 milhões para ampliação da rede de esgotos e a implantação de três estações de tratamento de esgotos, alterando o índice de tratamento de esgotos de 0 para 100%. Em Andradina e Castilho, foram aprovados financiamentos do BNDES no valor de R$ 27 milhões para Andradina e R$ 8 milhões para Castilho, para cumprimento dos investimentos previstos nos respectivos contratos de concessão.</w:t>
      </w:r>
    </w:p>
    <w:p w:rsidR="003E6588" w:rsidRDefault="003E6588">
      <w:pPr>
        <w:autoSpaceDE w:val="0"/>
        <w:autoSpaceDN w:val="0"/>
        <w:adjustRightInd w:val="0"/>
        <w:ind w:left="284"/>
        <w:jc w:val="both"/>
        <w:rPr>
          <w:b/>
        </w:rPr>
      </w:pPr>
    </w:p>
    <w:p w:rsidR="003E6588" w:rsidRDefault="003E6588">
      <w:pPr>
        <w:autoSpaceDE w:val="0"/>
        <w:autoSpaceDN w:val="0"/>
        <w:adjustRightInd w:val="0"/>
        <w:ind w:firstLine="1134"/>
        <w:jc w:val="both"/>
      </w:pPr>
      <w:r>
        <w:rPr>
          <w:b/>
        </w:rPr>
        <w:t xml:space="preserve">Prestação de Serviços de Reestruturação do Sistema de Água - </w:t>
      </w:r>
      <w:r>
        <w:t xml:space="preserve">A Sabesp, em parceria com a empresa </w:t>
      </w:r>
      <w:r>
        <w:rPr>
          <w:i/>
        </w:rPr>
        <w:t>Latin Consult</w:t>
      </w:r>
      <w:r>
        <w:t>, desenvolve dois trabalhos internacionais, um no Panamá e outro em Honduras.</w:t>
      </w:r>
    </w:p>
    <w:p w:rsidR="003E6588" w:rsidRDefault="003E6588">
      <w:pPr>
        <w:autoSpaceDE w:val="0"/>
        <w:autoSpaceDN w:val="0"/>
        <w:adjustRightInd w:val="0"/>
        <w:ind w:firstLine="1134"/>
        <w:jc w:val="both"/>
        <w:rPr>
          <w:color w:val="000000"/>
        </w:rPr>
      </w:pPr>
    </w:p>
    <w:p w:rsidR="003E6588" w:rsidRDefault="003E6588">
      <w:pPr>
        <w:ind w:firstLine="1134"/>
        <w:jc w:val="both"/>
      </w:pPr>
      <w:r>
        <w:t>No Panamá, abrange desde recadastramento até reformulação institucional, com descentralização do sistema de água e esgotos, em quatro províncias centrais do Panamá (Herrera, Coclé, Los Santos e Veraguas), atendendo a 68 cidades. O contrato tem valor de US $ 9,5 milhões. Está em fase de aprovação um aditamento do contrato por mais um período</w:t>
      </w:r>
      <w:r>
        <w:rPr>
          <w:color w:val="FF0000"/>
        </w:rPr>
        <w:t>,</w:t>
      </w:r>
      <w:r>
        <w:t xml:space="preserve"> permitindo a conclusão de complementações solicitadas pelo contratante. São contratantes: </w:t>
      </w:r>
      <w:r>
        <w:rPr>
          <w:i/>
        </w:rPr>
        <w:t>Consejo Nacional para el Desarrollo</w:t>
      </w:r>
      <w:r>
        <w:t xml:space="preserve"> </w:t>
      </w:r>
      <w:r>
        <w:rPr>
          <w:i/>
        </w:rPr>
        <w:t>Sosteniblede - CONADES</w:t>
      </w:r>
      <w:r>
        <w:t xml:space="preserve"> e o </w:t>
      </w:r>
      <w:r>
        <w:rPr>
          <w:i/>
        </w:rPr>
        <w:t>Instituto de Acueductos y Alcantarillados Nacionales - IDANN</w:t>
      </w:r>
      <w:r>
        <w:t xml:space="preserve"> e o suporte financeiro é fornecido pelo BID - Banco Interamericano de Desenvolvimento.</w:t>
      </w:r>
    </w:p>
    <w:p w:rsidR="003E6588" w:rsidRDefault="003E6588">
      <w:pPr>
        <w:ind w:firstLine="1134"/>
        <w:jc w:val="both"/>
      </w:pPr>
    </w:p>
    <w:p w:rsidR="003E6588" w:rsidRDefault="003E6588">
      <w:pPr>
        <w:ind w:firstLine="1134"/>
        <w:jc w:val="both"/>
      </w:pPr>
      <w:r>
        <w:lastRenderedPageBreak/>
        <w:t>Em Honduras, o contrato é de assistência técnica para modernização do sistema de água e esgoto dos Municípios beneficiados pelo programa PROMOSAS (</w:t>
      </w:r>
      <w:r>
        <w:rPr>
          <w:i/>
        </w:rPr>
        <w:t>Proyecto de Modernización del Sector de Agua y Saneamiento</w:t>
      </w:r>
      <w:r>
        <w:t>). Contrato iniciado com prazo de 36 meses e valor de R$ 2,7 milhões. Recebeu aditamento de prazo com objetivo de atender as necessidades dos clientes. O suporte financeiro é prestado pelo BIRD Banco Internacional para Reconstrução e Desenvolvimento.</w:t>
      </w:r>
    </w:p>
    <w:p w:rsidR="003E6588" w:rsidRDefault="003E6588">
      <w:pPr>
        <w:ind w:left="284" w:firstLine="1134"/>
        <w:jc w:val="both"/>
      </w:pPr>
    </w:p>
    <w:p w:rsidR="003E6588" w:rsidRDefault="003E6588">
      <w:pPr>
        <w:ind w:firstLine="1134"/>
        <w:jc w:val="both"/>
      </w:pPr>
      <w:r>
        <w:t>Na Nicarágua, em parceria com a JICA, a Sabesp iniciou um projeto de consultoria e capacitação em Programa de Perdas.</w:t>
      </w:r>
    </w:p>
    <w:p w:rsidR="003E6588" w:rsidRDefault="003E6588">
      <w:pPr>
        <w:ind w:left="284"/>
        <w:jc w:val="both"/>
      </w:pPr>
    </w:p>
    <w:p w:rsidR="003E6588" w:rsidRDefault="003E6588">
      <w:pPr>
        <w:autoSpaceDE w:val="0"/>
        <w:autoSpaceDN w:val="0"/>
        <w:adjustRightInd w:val="0"/>
        <w:ind w:firstLine="1134"/>
        <w:jc w:val="both"/>
      </w:pPr>
      <w:r>
        <w:rPr>
          <w:b/>
        </w:rPr>
        <w:t xml:space="preserve">Parcerias com Concessionárias Estaduais - </w:t>
      </w:r>
      <w:r>
        <w:t>A Sabesp estabeleceu contrato com duas concessionárias estaduais, nos quais a transferência de tecnologia e o conhecimento são os elementos principais da contratação.</w:t>
      </w:r>
    </w:p>
    <w:p w:rsidR="003E6588" w:rsidRDefault="003E6588">
      <w:pPr>
        <w:autoSpaceDE w:val="0"/>
        <w:autoSpaceDN w:val="0"/>
        <w:adjustRightInd w:val="0"/>
        <w:ind w:left="284" w:firstLine="1134"/>
        <w:jc w:val="both"/>
      </w:pPr>
    </w:p>
    <w:p w:rsidR="003E6588" w:rsidRDefault="003E6588">
      <w:pPr>
        <w:autoSpaceDE w:val="0"/>
        <w:autoSpaceDN w:val="0"/>
        <w:adjustRightInd w:val="0"/>
        <w:ind w:firstLine="1134"/>
        <w:jc w:val="both"/>
      </w:pPr>
      <w:r>
        <w:t xml:space="preserve">No Espírito Santo, a Sabesp concluiu projeto com a Companhia de Saneamento do Espírito Santo - Cesan, de prestação de serviços técnicos especializados, relativos ao fornecimento, instalação de equipamentos, licenciamento e customização do </w:t>
      </w:r>
      <w:r>
        <w:rPr>
          <w:i/>
        </w:rPr>
        <w:t>software</w:t>
      </w:r>
      <w:r>
        <w:t xml:space="preserve"> AQUALOG, desenvolvido e de propriedade da Sabesp. O contrato previa colocação em marcha, treinamento de pessoal e pré-operação dos sistemas produtores de água tratada do Município de Nova Venécia.</w:t>
      </w:r>
    </w:p>
    <w:p w:rsidR="003E6588" w:rsidRDefault="003E6588">
      <w:pPr>
        <w:ind w:firstLine="1134"/>
        <w:jc w:val="both"/>
      </w:pPr>
    </w:p>
    <w:p w:rsidR="003E6588" w:rsidRDefault="003E6588">
      <w:pPr>
        <w:ind w:firstLine="1134"/>
        <w:jc w:val="both"/>
      </w:pPr>
      <w:r>
        <w:t xml:space="preserve">Em </w:t>
      </w:r>
      <w:r w:rsidRPr="000B76A4">
        <w:t>Alagoas, a Sabesp Casal mantem contrato de transferência de tecnologia para redução de perdas reais e aparentes para a cidade de Maceió. Para atender o contrato, foram realizados três sub contratos: Perdas Físicas, Perdas Aparentes e Metodologia para Controles das Perdas. O investimento realizado foi de R$ 21 milhões</w:t>
      </w:r>
      <w:r>
        <w:t>. Os trabalhos técnicos foram concluídos e a Sabesp administrou o retorno do investimento.</w:t>
      </w:r>
    </w:p>
    <w:p w:rsidR="003E6588" w:rsidRDefault="003E6588">
      <w:pPr>
        <w:ind w:left="284"/>
        <w:jc w:val="both"/>
      </w:pPr>
    </w:p>
    <w:p w:rsidR="003E6588" w:rsidRDefault="003E6588">
      <w:pPr>
        <w:autoSpaceDE w:val="0"/>
        <w:autoSpaceDN w:val="0"/>
        <w:adjustRightInd w:val="0"/>
        <w:ind w:firstLine="1134"/>
        <w:jc w:val="both"/>
        <w:rPr>
          <w:b/>
        </w:rPr>
      </w:pPr>
      <w:r>
        <w:rPr>
          <w:b/>
        </w:rPr>
        <w:t>Energia Elétrica -</w:t>
      </w:r>
      <w:r>
        <w:t xml:space="preserve"> Foi constituída parceria para utilização do potencial energético das ETA’s Guaraú (4 </w:t>
      </w:r>
      <w:r w:rsidR="001C7F65">
        <w:t>mw</w:t>
      </w:r>
      <w:r>
        <w:t xml:space="preserve">) e Cascata (2 </w:t>
      </w:r>
      <w:r w:rsidR="001C7F65">
        <w:t>mw</w:t>
      </w:r>
      <w:r>
        <w:t>). O CA da Sabesp aprovou a constituição de SPE, que viabilizará a produção de energia elétrica. A Sabesp terá 25% das ações, o projeto foi apreciado pelos órgãos governamentais, pela agência reguladora e está na fase de conclusão da constituição da empresa (SPE) para iniciar as obras.</w:t>
      </w:r>
    </w:p>
    <w:p w:rsidR="003E6588" w:rsidRPr="001C7F65"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rPr>
        <w:t>Água de Reuso -</w:t>
      </w:r>
      <w:r>
        <w:t xml:space="preserve"> A distribuição de água de Reúso das ETEs Cubatão, Vicente de Carvalho e Itatiba esteve em análise, porém, devido às dificuldades dos possíveis clientes, os esforços foram suspensos temporariamente. Essa solução tem impacto até no suprimento de água potável da Baixada Paulista.</w:t>
      </w:r>
    </w:p>
    <w:p w:rsidR="003E6588" w:rsidRPr="001C7F65"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rPr>
        <w:t xml:space="preserve">Aproveitamento do gás das ETEs - </w:t>
      </w:r>
      <w:r>
        <w:t>Em continuidade aos estudos desenvolvidos, está em avaliação a criação de nova SPE, a ser constituída para o aproveitamento do gás que hoje é queimado nas ETES.</w:t>
      </w:r>
    </w:p>
    <w:p w:rsidR="003E6588" w:rsidRPr="001C7F65"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b/>
        </w:rPr>
        <w:t>Tratamento de Lodo de ETE -</w:t>
      </w:r>
      <w:r>
        <w:t xml:space="preserve"> Continuaram as ações relativas aos Resíduos Sólidos restritas ao tratamento do lodo das ETEs, que apresentam enormes custos e trabalho, além de problemas ecológicos. A Sabesp está trabalhando na identificação de soluções sustentáveis. Estão em </w:t>
      </w:r>
      <w:r>
        <w:lastRenderedPageBreak/>
        <w:t>desenvolvimento estudos para melhoria do modelo integrado na recuperação de energia do lodo e seu aproveitamento como insumo agrícola.</w:t>
      </w:r>
    </w:p>
    <w:p w:rsidR="003E6588" w:rsidRPr="001C7F65" w:rsidRDefault="003E6588">
      <w:pPr>
        <w:autoSpaceDE w:val="0"/>
        <w:autoSpaceDN w:val="0"/>
        <w:adjustRightInd w:val="0"/>
        <w:ind w:firstLine="1134"/>
        <w:jc w:val="both"/>
      </w:pPr>
    </w:p>
    <w:p w:rsidR="003E6588" w:rsidRDefault="003E6588">
      <w:pPr>
        <w:ind w:firstLine="1134"/>
        <w:jc w:val="both"/>
      </w:pPr>
      <w:r>
        <w:rPr>
          <w:b/>
        </w:rPr>
        <w:t xml:space="preserve">Soluções Ambientais - </w:t>
      </w:r>
      <w:r>
        <w:t>A Sabesp desenvolveu pacote diferenciado de produtos e serviços, direcionado às empresas que procuram utilizar melhor seus recursos hídricos. O Programa Sabesp Soluções Ambientais teve como principais resultados:</w:t>
      </w:r>
    </w:p>
    <w:p w:rsidR="003E6588" w:rsidRDefault="003E6588">
      <w:pPr>
        <w:jc w:val="both"/>
        <w:rPr>
          <w:bCs/>
        </w:rPr>
      </w:pPr>
    </w:p>
    <w:p w:rsidR="003E6588" w:rsidRDefault="003E6588">
      <w:pPr>
        <w:autoSpaceDE w:val="0"/>
        <w:autoSpaceDN w:val="0"/>
        <w:adjustRightInd w:val="0"/>
        <w:ind w:firstLine="1134"/>
        <w:jc w:val="both"/>
      </w:pPr>
      <w:r>
        <w:rPr>
          <w:b/>
        </w:rPr>
        <w:t>Contratos de Fidelização -</w:t>
      </w:r>
      <w:r>
        <w:t xml:space="preserve"> Estabelecem demandas mensais mínimas de consumo, nos quais as empresas se beneficiam de tarifas diferenciadas, atendimento específico e sistemas de gestão de consumo. Em razão da crise hídrica que se abateu sobre o Sudeste brasileiro e a necessidade de adoção de medidas de incentivo à redução do consumo de água, a Empresa não aplicou esforços para captação de novos clientes ou incremento do volume. Os contratos firmados foram mantidos e os novos contratos referem-se a clientes que já consumiam na tarifa comum da Sabesp e solicitaram enquadramento na tarifa diferenciada disponível no Comunicado Tarifário. Foram firmados 34 novos contratos, totalizando 583 contratos de fidelização, que garantem receita de R$ 422 milhões por ano.</w:t>
      </w:r>
    </w:p>
    <w:p w:rsidR="003E6588" w:rsidRPr="001C7F65" w:rsidRDefault="003E6588">
      <w:pPr>
        <w:autoSpaceDE w:val="0"/>
        <w:autoSpaceDN w:val="0"/>
        <w:adjustRightInd w:val="0"/>
        <w:ind w:firstLine="1134"/>
        <w:jc w:val="both"/>
        <w:rPr>
          <w:rFonts w:eastAsia="Calibri"/>
          <w:bCs/>
        </w:rPr>
      </w:pPr>
    </w:p>
    <w:p w:rsidR="003E6588" w:rsidRDefault="003E6588">
      <w:pPr>
        <w:autoSpaceDE w:val="0"/>
        <w:autoSpaceDN w:val="0"/>
        <w:adjustRightInd w:val="0"/>
        <w:ind w:firstLine="1134"/>
        <w:jc w:val="both"/>
        <w:rPr>
          <w:bCs/>
        </w:rPr>
      </w:pPr>
      <w:r>
        <w:rPr>
          <w:rFonts w:eastAsia="Calibri"/>
          <w:b/>
          <w:bCs/>
        </w:rPr>
        <w:t>Programa de Recebimentos de Esgotos Não-Domésticos - PREND -</w:t>
      </w:r>
      <w:r>
        <w:rPr>
          <w:rFonts w:eastAsia="Calibri"/>
        </w:rPr>
        <w:t xml:space="preserve"> Uma das grandes preocupações das empresas é o destino adequado dos efluentes resultantes do processo produtivo. Para atender a esta necessidade, a Sabesp disponibiliza instalações adequadas para receber e tratar esses esgotos não domésticos. Ao adotar este programa, as empresas repassam a responsabilidade do tratamento e disposição final à Sabesp, reduzem o custo operacional e atendem às exigências legais de controle de poluição ambiental.</w:t>
      </w:r>
    </w:p>
    <w:p w:rsidR="003E6588" w:rsidRPr="001C7F65" w:rsidRDefault="003E6588">
      <w:pPr>
        <w:pStyle w:val="PargrafodaLista"/>
        <w:autoSpaceDE w:val="0"/>
        <w:autoSpaceDN w:val="0"/>
        <w:adjustRightInd w:val="0"/>
        <w:ind w:left="0" w:firstLine="1134"/>
        <w:rPr>
          <w:rFonts w:ascii="Times New Roman" w:hAnsi="Times New Roman"/>
          <w:bCs/>
          <w:sz w:val="24"/>
          <w:szCs w:val="24"/>
        </w:rPr>
      </w:pPr>
    </w:p>
    <w:p w:rsidR="003E6588" w:rsidRDefault="003E6588">
      <w:pPr>
        <w:pStyle w:val="PargrafodaLista"/>
        <w:autoSpaceDE w:val="0"/>
        <w:autoSpaceDN w:val="0"/>
        <w:adjustRightInd w:val="0"/>
        <w:ind w:left="0" w:firstLine="1134"/>
        <w:rPr>
          <w:rFonts w:ascii="Times New Roman" w:hAnsi="Times New Roman"/>
          <w:color w:val="000000"/>
          <w:sz w:val="24"/>
          <w:szCs w:val="24"/>
        </w:rPr>
      </w:pPr>
      <w:r>
        <w:rPr>
          <w:rFonts w:ascii="Times New Roman" w:hAnsi="Times New Roman"/>
          <w:b/>
          <w:bCs/>
          <w:color w:val="000000"/>
          <w:sz w:val="24"/>
          <w:szCs w:val="24"/>
        </w:rPr>
        <w:t>Programa de Uso Racional da Água - PURA -</w:t>
      </w:r>
      <w:r>
        <w:rPr>
          <w:rFonts w:ascii="Times New Roman" w:hAnsi="Times New Roman"/>
          <w:color w:val="000000"/>
          <w:sz w:val="24"/>
          <w:szCs w:val="24"/>
        </w:rPr>
        <w:t xml:space="preserve"> Conjunto de intervenções nas instalações do cliente que, depois de realizadas, promovem redução de consumo de água. O cliente pode efetuar estas ações por meio de contrato de prestação de serviços com a Sabesp ou com equipe própria, desde que sob supervisão da concessionária. As intervenções do programa são basicamente pesquisa e correção de vazamentos em ramal predial, reservatórios e pontos de consumo, substituição de aparelhos hidro sanitários por aparelhos de baixo consumo de água, campanha educacional e gestão do consumo de água via telemedição. O quadro abaixo apresenta as quantidades de RGIs com o PURA, bem como o faturamento:</w:t>
      </w:r>
    </w:p>
    <w:p w:rsidR="003E6588" w:rsidRPr="001C7F65" w:rsidRDefault="003E6588">
      <w:pPr>
        <w:pStyle w:val="PargrafodaLista"/>
        <w:autoSpaceDE w:val="0"/>
        <w:autoSpaceDN w:val="0"/>
        <w:adjustRightInd w:val="0"/>
        <w:ind w:left="1701"/>
        <w:rPr>
          <w:rFonts w:ascii="Times New Roman" w:hAnsi="Times New Roman"/>
          <w:color w:val="000000"/>
          <w:sz w:val="24"/>
          <w:szCs w:val="24"/>
        </w:rPr>
      </w:pPr>
    </w:p>
    <w:tbl>
      <w:tblPr>
        <w:tblW w:w="3028" w:type="dxa"/>
        <w:jc w:val="center"/>
        <w:tblInd w:w="180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2093"/>
        <w:gridCol w:w="935"/>
      </w:tblGrid>
      <w:tr w:rsidR="003E6588" w:rsidTr="00E54467">
        <w:trPr>
          <w:trHeight w:val="262"/>
          <w:jc w:val="center"/>
        </w:trPr>
        <w:tc>
          <w:tcPr>
            <w:tcW w:w="2093" w:type="dxa"/>
            <w:vAlign w:val="center"/>
          </w:tcPr>
          <w:p w:rsidR="003E6588" w:rsidRDefault="003E6588">
            <w:pPr>
              <w:autoSpaceDE w:val="0"/>
              <w:autoSpaceDN w:val="0"/>
              <w:adjustRightInd w:val="0"/>
              <w:ind w:left="142" w:hanging="142"/>
              <w:rPr>
                <w:b/>
                <w:bCs/>
                <w:sz w:val="20"/>
                <w:szCs w:val="20"/>
              </w:rPr>
            </w:pPr>
            <w:r>
              <w:rPr>
                <w:b/>
                <w:bCs/>
                <w:color w:val="000000"/>
                <w:sz w:val="20"/>
                <w:szCs w:val="20"/>
              </w:rPr>
              <w:t>Ano</w:t>
            </w:r>
          </w:p>
        </w:tc>
        <w:tc>
          <w:tcPr>
            <w:tcW w:w="935" w:type="dxa"/>
            <w:vAlign w:val="center"/>
          </w:tcPr>
          <w:p w:rsidR="003E6588" w:rsidRDefault="003E6588">
            <w:pPr>
              <w:autoSpaceDE w:val="0"/>
              <w:autoSpaceDN w:val="0"/>
              <w:adjustRightInd w:val="0"/>
              <w:rPr>
                <w:b/>
                <w:bCs/>
                <w:sz w:val="20"/>
                <w:szCs w:val="20"/>
              </w:rPr>
            </w:pPr>
            <w:r>
              <w:rPr>
                <w:b/>
                <w:bCs/>
                <w:sz w:val="20"/>
                <w:szCs w:val="20"/>
              </w:rPr>
              <w:t>2014</w:t>
            </w:r>
          </w:p>
        </w:tc>
      </w:tr>
      <w:tr w:rsidR="003E6588" w:rsidTr="00E54467">
        <w:trPr>
          <w:trHeight w:val="404"/>
          <w:jc w:val="center"/>
        </w:trPr>
        <w:tc>
          <w:tcPr>
            <w:tcW w:w="2093" w:type="dxa"/>
            <w:vAlign w:val="center"/>
          </w:tcPr>
          <w:p w:rsidR="003E6588" w:rsidRDefault="003E6588">
            <w:pPr>
              <w:autoSpaceDE w:val="0"/>
              <w:autoSpaceDN w:val="0"/>
              <w:adjustRightInd w:val="0"/>
              <w:rPr>
                <w:bCs/>
                <w:sz w:val="20"/>
                <w:szCs w:val="20"/>
              </w:rPr>
            </w:pPr>
            <w:r>
              <w:rPr>
                <w:color w:val="000000"/>
                <w:sz w:val="20"/>
                <w:szCs w:val="20"/>
              </w:rPr>
              <w:t>RGIs Finalizados</w:t>
            </w:r>
          </w:p>
        </w:tc>
        <w:tc>
          <w:tcPr>
            <w:tcW w:w="935" w:type="dxa"/>
            <w:vAlign w:val="center"/>
          </w:tcPr>
          <w:p w:rsidR="003E6588" w:rsidRDefault="003E6588">
            <w:pPr>
              <w:autoSpaceDE w:val="0"/>
              <w:autoSpaceDN w:val="0"/>
              <w:adjustRightInd w:val="0"/>
              <w:rPr>
                <w:bCs/>
                <w:sz w:val="20"/>
                <w:szCs w:val="20"/>
              </w:rPr>
            </w:pPr>
            <w:r>
              <w:rPr>
                <w:bCs/>
                <w:sz w:val="20"/>
                <w:szCs w:val="20"/>
              </w:rPr>
              <w:t>232</w:t>
            </w:r>
          </w:p>
        </w:tc>
      </w:tr>
      <w:tr w:rsidR="003E6588" w:rsidTr="00E54467">
        <w:trPr>
          <w:trHeight w:val="404"/>
          <w:jc w:val="center"/>
        </w:trPr>
        <w:tc>
          <w:tcPr>
            <w:tcW w:w="2093" w:type="dxa"/>
            <w:vAlign w:val="center"/>
          </w:tcPr>
          <w:p w:rsidR="003E6588" w:rsidRDefault="003E6588">
            <w:pPr>
              <w:autoSpaceDE w:val="0"/>
              <w:autoSpaceDN w:val="0"/>
              <w:adjustRightInd w:val="0"/>
              <w:rPr>
                <w:color w:val="000000"/>
                <w:sz w:val="20"/>
                <w:szCs w:val="20"/>
              </w:rPr>
            </w:pPr>
            <w:r>
              <w:rPr>
                <w:color w:val="000000"/>
                <w:sz w:val="20"/>
                <w:szCs w:val="20"/>
              </w:rPr>
              <w:t>Faturamento</w:t>
            </w:r>
          </w:p>
          <w:p w:rsidR="003E6588" w:rsidRDefault="003E6588">
            <w:pPr>
              <w:autoSpaceDE w:val="0"/>
              <w:autoSpaceDN w:val="0"/>
              <w:adjustRightInd w:val="0"/>
              <w:rPr>
                <w:bCs/>
                <w:sz w:val="20"/>
                <w:szCs w:val="20"/>
              </w:rPr>
            </w:pPr>
            <w:r>
              <w:rPr>
                <w:color w:val="000000"/>
                <w:sz w:val="20"/>
                <w:szCs w:val="20"/>
              </w:rPr>
              <w:t>R$ x 1.000</w:t>
            </w:r>
          </w:p>
        </w:tc>
        <w:tc>
          <w:tcPr>
            <w:tcW w:w="935" w:type="dxa"/>
            <w:vAlign w:val="center"/>
          </w:tcPr>
          <w:p w:rsidR="003E6588" w:rsidRDefault="003E6588">
            <w:pPr>
              <w:autoSpaceDE w:val="0"/>
              <w:autoSpaceDN w:val="0"/>
              <w:adjustRightInd w:val="0"/>
              <w:rPr>
                <w:bCs/>
                <w:sz w:val="20"/>
                <w:szCs w:val="20"/>
              </w:rPr>
            </w:pPr>
            <w:r>
              <w:rPr>
                <w:bCs/>
                <w:sz w:val="20"/>
                <w:szCs w:val="20"/>
              </w:rPr>
              <w:t>13.333</w:t>
            </w:r>
          </w:p>
        </w:tc>
      </w:tr>
    </w:tbl>
    <w:p w:rsidR="003E6588" w:rsidRPr="001C7F65" w:rsidRDefault="003E6588">
      <w:pPr>
        <w:autoSpaceDE w:val="0"/>
        <w:autoSpaceDN w:val="0"/>
        <w:adjustRightInd w:val="0"/>
        <w:ind w:left="1134"/>
        <w:jc w:val="both"/>
        <w:rPr>
          <w:rFonts w:cs="Arial"/>
          <w:color w:val="000000"/>
          <w:sz w:val="28"/>
          <w:szCs w:val="28"/>
        </w:rPr>
      </w:pPr>
    </w:p>
    <w:p w:rsidR="003E6588" w:rsidRDefault="003E6588">
      <w:pPr>
        <w:tabs>
          <w:tab w:val="left" w:pos="284"/>
        </w:tabs>
        <w:autoSpaceDE w:val="0"/>
        <w:autoSpaceDN w:val="0"/>
        <w:adjustRightInd w:val="0"/>
        <w:ind w:left="284" w:firstLine="1134"/>
        <w:jc w:val="both"/>
        <w:rPr>
          <w:color w:val="000000"/>
        </w:rPr>
      </w:pPr>
      <w:r>
        <w:rPr>
          <w:color w:val="000000"/>
        </w:rPr>
        <w:t>A implantação do PURA nesses imóveis colabora para a postergação de investimentos em Sistemas de Água e Esgoto e propicia conservação mensal de água tratada na rede pública suficiente para abastecer uma cidade com cerca de 47,5 mil habitantes.</w:t>
      </w:r>
    </w:p>
    <w:p w:rsidR="001C7F65" w:rsidRDefault="001C7F65">
      <w:pPr>
        <w:tabs>
          <w:tab w:val="left" w:pos="284"/>
        </w:tabs>
        <w:autoSpaceDE w:val="0"/>
        <w:autoSpaceDN w:val="0"/>
        <w:adjustRightInd w:val="0"/>
        <w:ind w:left="284" w:firstLine="1134"/>
        <w:jc w:val="both"/>
        <w:rPr>
          <w:color w:val="000000"/>
        </w:rPr>
      </w:pPr>
    </w:p>
    <w:p w:rsidR="003E6588" w:rsidRDefault="003E6588">
      <w:pPr>
        <w:pStyle w:val="PargrafodaLista"/>
        <w:autoSpaceDE w:val="0"/>
        <w:autoSpaceDN w:val="0"/>
        <w:adjustRightInd w:val="0"/>
        <w:spacing w:after="240"/>
        <w:ind w:left="0" w:firstLine="1134"/>
        <w:rPr>
          <w:rFonts w:ascii="Times New Roman" w:hAnsi="Times New Roman"/>
          <w:sz w:val="24"/>
          <w:szCs w:val="24"/>
        </w:rPr>
      </w:pPr>
      <w:r>
        <w:rPr>
          <w:rFonts w:ascii="Times New Roman" w:hAnsi="Times New Roman"/>
          <w:b/>
          <w:bCs/>
          <w:sz w:val="24"/>
          <w:szCs w:val="24"/>
        </w:rPr>
        <w:lastRenderedPageBreak/>
        <w:t>Água de Reuso -</w:t>
      </w:r>
      <w:r>
        <w:rPr>
          <w:rFonts w:ascii="Times New Roman" w:hAnsi="Times New Roman"/>
          <w:bCs/>
          <w:sz w:val="24"/>
          <w:szCs w:val="24"/>
        </w:rPr>
        <w:t xml:space="preserve"> O processo de produção da água de reuso da Sabesp é assegurado pelo sistema de gestão ISO 9001:2000, obedecendo rigorosos parâmetros de qualidade. As Estações de Tratamento de Esgoto da Região Metropolitana de São Paulo têm fornecido cerca de 102 mil m³ de água de </w:t>
      </w:r>
      <w:r>
        <w:rPr>
          <w:rFonts w:ascii="Times New Roman" w:hAnsi="Times New Roman"/>
          <w:sz w:val="24"/>
          <w:szCs w:val="24"/>
        </w:rPr>
        <w:t>reuso por mês para os clientes. O maior cliente da Sabesp é a Santher, que teve consumo médio mensal de 67 mil m³ no processo de produção de papel e celulose.</w:t>
      </w:r>
    </w:p>
    <w:p w:rsidR="003E6588" w:rsidRDefault="003E6588">
      <w:pPr>
        <w:pStyle w:val="PargrafodaLista"/>
        <w:autoSpaceDE w:val="0"/>
        <w:autoSpaceDN w:val="0"/>
        <w:adjustRightInd w:val="0"/>
        <w:spacing w:after="240"/>
        <w:ind w:left="284"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A Sabesp fornece água de reuso por meio da Aquapolo Ambiental, formada por sociedade entre a Foz do Brasil e a Sabesp. O Projeto consiste em produzir água de reuso para fins industriais para o Polo Petroquímico de Capuava, que fornecerá volume de até 1.000 L/s (após 2020), o que equivale abastecer município de 500 mil habitantes.</w:t>
      </w:r>
    </w:p>
    <w:p w:rsidR="003E6588" w:rsidRDefault="003E6588">
      <w:pPr>
        <w:tabs>
          <w:tab w:val="left" w:pos="567"/>
        </w:tabs>
        <w:autoSpaceDE w:val="0"/>
        <w:autoSpaceDN w:val="0"/>
        <w:adjustRightInd w:val="0"/>
        <w:ind w:firstLine="1134"/>
        <w:jc w:val="both"/>
        <w:rPr>
          <w:b/>
          <w:bCs/>
        </w:rPr>
      </w:pPr>
    </w:p>
    <w:p w:rsidR="003E6588" w:rsidRDefault="003E6588">
      <w:pPr>
        <w:tabs>
          <w:tab w:val="left" w:pos="567"/>
        </w:tabs>
        <w:autoSpaceDE w:val="0"/>
        <w:autoSpaceDN w:val="0"/>
        <w:adjustRightInd w:val="0"/>
        <w:ind w:firstLine="1134"/>
        <w:jc w:val="both"/>
        <w:rPr>
          <w:bCs/>
        </w:rPr>
      </w:pPr>
      <w:r>
        <w:rPr>
          <w:b/>
          <w:bCs/>
        </w:rPr>
        <w:t>Medição Individualizada -</w:t>
      </w:r>
      <w:r>
        <w:rPr>
          <w:bCs/>
        </w:rPr>
        <w:t xml:space="preserve"> Sabesp lançou tecnologia que permite medir separadamente o consumo de cada apartamento. Batizada de “medição individualizada”, a nova tecnologia atende a antiga reivindicação de muitos condomínios e pode se transformar em importante incentivo econômico ao uso racional da água. A Medição Individualizada de água pode ser adquirida por condomínios residenciais e comerciais em todos os municípios operados pela Sabesp no Estado. O modelo desenvolvido pelo ProAcqua, parceria entre a Sabesp e Cediplac, prevê utilização de tecnologia de ponta, na qual é instalado concentrador desenvolvido com exclusividade para a Sabesp, que permite a leitura e corte à distância. Resultados do programa:</w:t>
      </w:r>
    </w:p>
    <w:p w:rsidR="003E6588" w:rsidRDefault="003E6588">
      <w:pPr>
        <w:tabs>
          <w:tab w:val="left" w:pos="567"/>
        </w:tabs>
        <w:autoSpaceDE w:val="0"/>
        <w:autoSpaceDN w:val="0"/>
        <w:adjustRightInd w:val="0"/>
        <w:ind w:firstLine="1134"/>
        <w:jc w:val="both"/>
        <w:rPr>
          <w:bCs/>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- 11.516 condomínios atendidos;</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- 6.280 orçamentos solicitados, representando cerca de 262 mil apartamentos;</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- 59 condomínios implantados na RMSP</w:t>
      </w:r>
    </w:p>
    <w:p w:rsidR="003E6588" w:rsidRDefault="003E6588">
      <w:pPr>
        <w:pStyle w:val="PargrafodaLista"/>
        <w:autoSpaceDE w:val="0"/>
        <w:autoSpaceDN w:val="0"/>
        <w:adjustRightInd w:val="0"/>
        <w:ind w:left="0" w:firstLine="1134"/>
        <w:rPr>
          <w:rFonts w:ascii="Times New Roman" w:hAnsi="Times New Roman"/>
          <w:sz w:val="24"/>
          <w:szCs w:val="24"/>
        </w:rPr>
      </w:pPr>
    </w:p>
    <w:p w:rsidR="003E6588" w:rsidRDefault="003E6588">
      <w:pPr>
        <w:pStyle w:val="PargrafodaLista"/>
        <w:autoSpaceDE w:val="0"/>
        <w:autoSpaceDN w:val="0"/>
        <w:adjustRightInd w:val="0"/>
        <w:ind w:left="0" w:firstLine="1134"/>
        <w:rPr>
          <w:rFonts w:ascii="Times New Roman" w:hAnsi="Times New Roman"/>
          <w:sz w:val="24"/>
          <w:szCs w:val="24"/>
        </w:rPr>
      </w:pPr>
      <w:r>
        <w:rPr>
          <w:rFonts w:ascii="Times New Roman" w:hAnsi="Times New Roman"/>
          <w:sz w:val="24"/>
          <w:szCs w:val="24"/>
        </w:rPr>
        <w:t>- 4.574 unidades autônomas com emissão de conta.</w:t>
      </w:r>
    </w:p>
    <w:p w:rsidR="003E6588" w:rsidRDefault="003E6588">
      <w:pPr>
        <w:tabs>
          <w:tab w:val="left" w:pos="709"/>
        </w:tabs>
        <w:autoSpaceDE w:val="0"/>
        <w:autoSpaceDN w:val="0"/>
        <w:adjustRightInd w:val="0"/>
        <w:spacing w:before="240"/>
        <w:ind w:firstLine="1134"/>
        <w:jc w:val="both"/>
        <w:rPr>
          <w:bCs/>
        </w:rPr>
      </w:pPr>
      <w:r>
        <w:rPr>
          <w:b/>
          <w:bCs/>
        </w:rPr>
        <w:t xml:space="preserve">Telemedição - </w:t>
      </w:r>
      <w:r>
        <w:rPr>
          <w:bCs/>
        </w:rPr>
        <w:t xml:space="preserve">Serviço possibilita monitoramento do consumo do hidrômetro em tempo real via </w:t>
      </w:r>
      <w:r>
        <w:rPr>
          <w:bCs/>
          <w:i/>
        </w:rPr>
        <w:t>internet</w:t>
      </w:r>
      <w:r>
        <w:rPr>
          <w:bCs/>
        </w:rPr>
        <w:t xml:space="preserve"> e monitoramento de equipamentos operacionais da rede de distribuição. O histórico de consumo é apresentado em gráficos de acordo com o período determinado pelo cliente. O sistema disponibiliza alerta sobre vazamentos e picos de consumo por meio de correio eletrônico e mensagens de celular. A gestão de consumo em tempo real permite tomada de decisões com maior agilidade, aumentando eficiência logística das respostas, ao mesmo tempo em que reduz desperdício de água. O sistema está implantado em 1.161 locais entre clientes e instalações operacionais da Sabesp.</w:t>
      </w:r>
    </w:p>
    <w:p w:rsidR="003E6588" w:rsidRDefault="003E6588">
      <w:pPr>
        <w:tabs>
          <w:tab w:val="left" w:pos="1134"/>
        </w:tabs>
        <w:autoSpaceDE w:val="0"/>
        <w:autoSpaceDN w:val="0"/>
        <w:adjustRightInd w:val="0"/>
        <w:ind w:left="1134"/>
        <w:jc w:val="both"/>
        <w:rPr>
          <w:bCs/>
        </w:rPr>
      </w:pPr>
    </w:p>
    <w:p w:rsidR="003E6588" w:rsidRDefault="003E6588">
      <w:pPr>
        <w:ind w:firstLine="1134"/>
        <w:jc w:val="both"/>
      </w:pPr>
      <w:r>
        <w:rPr>
          <w:b/>
        </w:rPr>
        <w:t xml:space="preserve">Tarifas diferenciadas para clientes de baixa renda - </w:t>
      </w:r>
      <w:r>
        <w:t>A Sabesp disponibiliza à população de baixa renda tarifas reduzidas. Essas tarifas são até 66% mais baixas que a tarifa residencial normal. Esta é uma das ações que garante o acesso ao saneamento básico por parte das populações mais carentes. 350 mil residências são beneficiadas pelas tarifas diferenciadas, o que equivale a população de quase 1.100 mil pessoas.</w:t>
      </w:r>
    </w:p>
    <w:p w:rsidR="003E6588" w:rsidRDefault="003E6588">
      <w:pPr>
        <w:ind w:firstLine="1134"/>
        <w:jc w:val="both"/>
      </w:pPr>
    </w:p>
    <w:p w:rsidR="003E6588" w:rsidRDefault="003E6588">
      <w:pPr>
        <w:ind w:firstLine="1134"/>
        <w:jc w:val="both"/>
      </w:pPr>
      <w:r>
        <w:rPr>
          <w:b/>
        </w:rPr>
        <w:lastRenderedPageBreak/>
        <w:t xml:space="preserve">Modernização da gestão e investimentos - </w:t>
      </w:r>
      <w:r w:rsidRPr="00E54467">
        <w:rPr>
          <w:bCs/>
        </w:rPr>
        <w:t xml:space="preserve">A </w:t>
      </w:r>
      <w:r>
        <w:rPr>
          <w:bCs/>
          <w:color w:val="000000"/>
        </w:rPr>
        <w:t>Sabesp deve investir R$ 2,5 bilhões (valor financeiro; não contábil)</w:t>
      </w:r>
      <w:r>
        <w:rPr>
          <w:color w:val="000000"/>
        </w:rPr>
        <w:t xml:space="preserve">. Estes investimentos estão focados nos </w:t>
      </w:r>
      <w:r w:rsidRPr="001C7F65">
        <w:rPr>
          <w:color w:val="000000"/>
        </w:rPr>
        <w:t>Programas Estruturantes</w:t>
      </w:r>
      <w:r>
        <w:rPr>
          <w:color w:val="000000"/>
        </w:rPr>
        <w:t>, cujos principais resultados estão descritos a seguir</w:t>
      </w:r>
      <w:r>
        <w:t>:</w:t>
      </w:r>
    </w:p>
    <w:p w:rsidR="003E6588" w:rsidRDefault="003E6588">
      <w:pPr>
        <w:autoSpaceDE w:val="0"/>
        <w:autoSpaceDN w:val="0"/>
        <w:adjustRightInd w:val="0"/>
        <w:ind w:firstLine="1134"/>
        <w:jc w:val="both"/>
      </w:pPr>
    </w:p>
    <w:p w:rsidR="003E6588" w:rsidRDefault="003E6588">
      <w:pPr>
        <w:tabs>
          <w:tab w:val="left" w:pos="0"/>
        </w:tabs>
        <w:autoSpaceDE w:val="0"/>
        <w:autoSpaceDN w:val="0"/>
        <w:adjustRightInd w:val="0"/>
        <w:ind w:firstLine="1134"/>
        <w:jc w:val="both"/>
        <w:rPr>
          <w:rFonts w:eastAsia="Calibri"/>
          <w:iCs/>
        </w:rPr>
      </w:pPr>
      <w:r>
        <w:rPr>
          <w:rFonts w:eastAsia="Calibri"/>
          <w:b/>
          <w:bCs/>
        </w:rPr>
        <w:t xml:space="preserve">Projeto Tietê - </w:t>
      </w:r>
      <w:r>
        <w:rPr>
          <w:rFonts w:eastAsia="Calibri"/>
          <w:iCs/>
        </w:rPr>
        <w:t>Maior programa de saneamento em execução está em pleno andamento, com obras da terceira das quatro etapas previstas em ritmo acelerado. Há 23 anos, a Sabesp iniciou ações destinadas a reduzir a poluição do Rio Tietê na Região Metropolitana de São Paulo, por meio da implantação de redes de coleta e transporte de esgotos e da construção e ampliação de estações para tratamento.</w:t>
      </w:r>
    </w:p>
    <w:p w:rsidR="003E6588" w:rsidRDefault="003E6588">
      <w:pPr>
        <w:autoSpaceDE w:val="0"/>
        <w:autoSpaceDN w:val="0"/>
        <w:adjustRightInd w:val="0"/>
        <w:ind w:left="284"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A terceira fase foi iniciada em 2010 e tem término previsto para 2016. A meta é elevar o percentual de coleta de esgotos dos atuais 84% para 87% e o de tratamento de 70% para 84%. Ao final da atual etapa, 1,5 milhão de pessoas irão passar a dispor de coleta e 3 milhões terão esgoto tratado.</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O programa conta com 76% das obras contratadas, tendo sido realizado o equivalente a 36%. Encontram-se em execução simultânea 150 frentes de serviço em 19 municípios.</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A Companhia avançou na implantação do interceptor Pinheiros e concluiu os coletores-tronco Ipiranga e São João do Barueri.</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Marco importante foi o início das obras de ampliação da ETE Barueri, a maior da América Latina, ocorrido em 2013: sua capacidade saltará dos atuais 9,5 m³/s para 16 m³/s. O primeiro módulo da expansão - que permitirá tratar mais 2,5 m³/s - começa a ser testado.</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 xml:space="preserve">Foi finalizada a construção das ETEs Guatambu e Mandi, em Itaquaquecetuba, perfazendo capacidade para tratar 60 l/s. Estão previstas ampliações das ETEs Parque Novo Mundo e ABC, acrescentando 3 m³/s de capacidade ao sistema de tratamento metropolitano, bem como construção de nove ETEs em sistemas isolados, principalmente na Região Norte da Grande São Paulo. </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Em sua terceira etapa, o programa executou 322 mil ligações de esgoto, 222 km de redes, 236 km de coletores e interceptores.</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Os investimentos nesta etapa irão somar US$ 2 bilhões até 2016, com recursos próprios e financiamento do BID (35%), BNDES (35%) e Caixa (3%).</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A Sabesp deu início às licitações para a quarta fase do Projeto Tietê, cujas obras permitirão universalizar o serviço de coleta e tratamento de esgoto nos municípios da Região Metropolitana de São Paulo atendidos pela Companhia.</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Dos US$ 2 bilhões necessários, 25% foram viabilizados por meio de recursos do FGTS - os contratos de financiamento foram assinados com a Caixa.</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lastRenderedPageBreak/>
        <w:t>Com a quarta e última etapa, a meta é beneficiar 3 milhões de pessoas, expandindo os índices de coleta e tratamento para 95%.</w:t>
      </w:r>
    </w:p>
    <w:p w:rsidR="003E6588" w:rsidRDefault="003E6588">
      <w:pPr>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Entre as intervenções previstas está a ampliação da capacidade de ETEs em 9,5 m³/s, a construção de 600 km de coletores e interceptores e 600 km de redes, bem como a realização</w:t>
      </w:r>
      <w:r w:rsidR="001C7F65">
        <w:rPr>
          <w:rFonts w:eastAsia="Calibri"/>
          <w:iCs/>
        </w:rPr>
        <w:t xml:space="preserve"> de 100 mil ligações de esgoto.</w:t>
      </w:r>
    </w:p>
    <w:p w:rsidR="003E6588" w:rsidRDefault="003E6588">
      <w:pPr>
        <w:autoSpaceDE w:val="0"/>
        <w:autoSpaceDN w:val="0"/>
        <w:adjustRightInd w:val="0"/>
        <w:jc w:val="both"/>
        <w:rPr>
          <w:rFonts w:eastAsia="Calibri"/>
          <w:iCs/>
        </w:rPr>
      </w:pPr>
    </w:p>
    <w:p w:rsidR="003E6588" w:rsidRDefault="003E6588">
      <w:pPr>
        <w:tabs>
          <w:tab w:val="left" w:pos="1134"/>
        </w:tabs>
        <w:autoSpaceDE w:val="0"/>
        <w:autoSpaceDN w:val="0"/>
        <w:adjustRightInd w:val="0"/>
        <w:ind w:firstLine="1134"/>
        <w:jc w:val="both"/>
        <w:rPr>
          <w:rFonts w:eastAsia="Calibri"/>
          <w:iCs/>
        </w:rPr>
      </w:pPr>
      <w:r>
        <w:rPr>
          <w:rFonts w:eastAsia="Calibri"/>
          <w:b/>
          <w:bCs/>
        </w:rPr>
        <w:t xml:space="preserve">Onda Limpa - </w:t>
      </w:r>
      <w:r>
        <w:rPr>
          <w:rFonts w:eastAsia="Calibri"/>
          <w:iCs/>
        </w:rPr>
        <w:t>Trata-se do maior programa de saneamento do litoral brasileiro, estendendo-se da Baixada Santista ao Litoral Norte. Iniciado em 2007, teve sua primeira fase de obras concentrada na expansão da capacidade de tratamento dos municípios da Baixada, com término em 2010.</w:t>
      </w:r>
    </w:p>
    <w:p w:rsidR="003E6588" w:rsidRDefault="003E6588">
      <w:pPr>
        <w:tabs>
          <w:tab w:val="left" w:pos="1134"/>
        </w:tabs>
        <w:autoSpaceDE w:val="0"/>
        <w:autoSpaceDN w:val="0"/>
        <w:adjustRightInd w:val="0"/>
        <w:ind w:firstLine="1134"/>
        <w:jc w:val="both"/>
        <w:rPr>
          <w:rFonts w:eastAsia="Calibri"/>
          <w:iCs/>
        </w:rPr>
      </w:pPr>
    </w:p>
    <w:p w:rsidR="003E6588" w:rsidRDefault="003E6588">
      <w:pPr>
        <w:autoSpaceDE w:val="0"/>
        <w:autoSpaceDN w:val="0"/>
        <w:adjustRightInd w:val="0"/>
        <w:ind w:firstLine="1134"/>
        <w:jc w:val="both"/>
        <w:rPr>
          <w:rFonts w:eastAsia="Calibri"/>
          <w:iCs/>
        </w:rPr>
      </w:pPr>
      <w:r>
        <w:rPr>
          <w:rFonts w:eastAsia="Calibri"/>
          <w:iCs/>
        </w:rPr>
        <w:t>Desde 2011, a Sabesp vem se dedicando a etapa complementar: a ampliação do número de usuários conectados ao sistema de esgotamento na Baixada. De um total de 171 mil ligações previstas, foram executadas 87 mil. A meta é elevar os índices de atendimento na região para 88% até 2018. As intervenções previstas na fase atual contemplam a implantação das EPCs e reforma dos emissários submarinos dos Sistemas 1 e 2, obra estimada em R$ 343 milhões.</w:t>
      </w:r>
    </w:p>
    <w:p w:rsidR="003E6588" w:rsidRDefault="003E6588">
      <w:pPr>
        <w:autoSpaceDE w:val="0"/>
        <w:autoSpaceDN w:val="0"/>
        <w:adjustRightInd w:val="0"/>
        <w:ind w:left="284"/>
        <w:jc w:val="both"/>
        <w:rPr>
          <w:rFonts w:eastAsia="Calibri"/>
          <w:iCs/>
        </w:rPr>
      </w:pPr>
    </w:p>
    <w:p w:rsidR="003E6588" w:rsidRDefault="003E6588">
      <w:pPr>
        <w:tabs>
          <w:tab w:val="left" w:pos="1134"/>
        </w:tabs>
        <w:autoSpaceDE w:val="0"/>
        <w:autoSpaceDN w:val="0"/>
        <w:adjustRightInd w:val="0"/>
        <w:ind w:firstLine="1134"/>
        <w:jc w:val="both"/>
      </w:pPr>
      <w:r>
        <w:rPr>
          <w:rFonts w:eastAsia="Calibri"/>
          <w:b/>
          <w:bCs/>
        </w:rPr>
        <w:t xml:space="preserve">Se Liga na Rede - </w:t>
      </w:r>
      <w:r>
        <w:rPr>
          <w:rFonts w:eastAsia="Calibri"/>
          <w:bCs/>
        </w:rPr>
        <w:t>P</w:t>
      </w:r>
      <w:r>
        <w:t xml:space="preserve">rograma teve início com objetivo de subsidiar os custos de ligações intradomiciliares de esgoto para famílias de baixa renda. Trata-se de forma de incentivar a interligação de mais pessoas à rede pública de esgoto, com consequente aumento dos volumes encaminhados para tratamento e diminuição dos dejetos jogados </w:t>
      </w:r>
      <w:r>
        <w:rPr>
          <w:i/>
        </w:rPr>
        <w:t>in natura</w:t>
      </w:r>
      <w:r>
        <w:t xml:space="preserve"> nos corpos d’água.</w:t>
      </w:r>
    </w:p>
    <w:p w:rsidR="003E6588" w:rsidRDefault="003E6588">
      <w:pPr>
        <w:tabs>
          <w:tab w:val="left" w:pos="1134"/>
        </w:tabs>
        <w:autoSpaceDE w:val="0"/>
        <w:autoSpaceDN w:val="0"/>
        <w:adjustRightInd w:val="0"/>
        <w:ind w:firstLine="1134"/>
        <w:jc w:val="both"/>
      </w:pPr>
    </w:p>
    <w:p w:rsidR="003E6588" w:rsidRDefault="003E6588">
      <w:pPr>
        <w:autoSpaceDE w:val="0"/>
        <w:autoSpaceDN w:val="0"/>
        <w:adjustRightInd w:val="0"/>
        <w:ind w:firstLine="1134"/>
        <w:jc w:val="both"/>
      </w:pPr>
      <w:r>
        <w:t>Em oito anos, a meta é realizar as adequações intradomiciliares e conectar 192 mil residências de famílias com renda de até três salários mínimos, com investimento total de R$ 349 milhões.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 xml:space="preserve">Foram realizadas 21,1 mil ligações em 98 municípios paulistas, com investimento de R$ 50,8 milhões. 96 milhões de litros de esgotos deixaram de ser lançados por mês </w:t>
      </w:r>
      <w:r>
        <w:rPr>
          <w:i/>
        </w:rPr>
        <w:t>in natura</w:t>
      </w:r>
      <w:r>
        <w:t xml:space="preserve"> em rios e córregos.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Estima-se que, com as ações do Se Liga na Rede, ao final do programa 800 mil pessoas serão diretamente contempladas e cerca de 40 milhões de paulistas serão indiretamente beneficiados com rios, córregos e mananciais mais limpos.</w:t>
      </w:r>
    </w:p>
    <w:p w:rsidR="003E6588" w:rsidRDefault="003E6588">
      <w:pPr>
        <w:autoSpaceDE w:val="0"/>
        <w:autoSpaceDN w:val="0"/>
        <w:adjustRightInd w:val="0"/>
        <w:jc w:val="both"/>
      </w:pPr>
    </w:p>
    <w:p w:rsidR="003E6588" w:rsidRDefault="003E6588">
      <w:pPr>
        <w:tabs>
          <w:tab w:val="left" w:pos="1134"/>
        </w:tabs>
        <w:autoSpaceDE w:val="0"/>
        <w:autoSpaceDN w:val="0"/>
        <w:adjustRightInd w:val="0"/>
        <w:ind w:firstLine="1134"/>
        <w:jc w:val="both"/>
      </w:pPr>
      <w:r>
        <w:rPr>
          <w:rFonts w:eastAsia="Calibri"/>
          <w:b/>
          <w:bCs/>
        </w:rPr>
        <w:t xml:space="preserve">Água no Litoral - </w:t>
      </w:r>
      <w:r>
        <w:t>Além das ações na Região Metropolitana de São Paulo, área reconhecidamente de baixa disponibilidade hídrica, a Companhia também dedicou atenção ao abastecimento de água nos municípios da Região Metropolitana da Baixada Santista e do Litoral Sul do Estado.</w:t>
      </w:r>
    </w:p>
    <w:p w:rsidR="003E6588" w:rsidRDefault="003E6588">
      <w:pPr>
        <w:tabs>
          <w:tab w:val="left" w:pos="1134"/>
        </w:tabs>
        <w:autoSpaceDE w:val="0"/>
        <w:autoSpaceDN w:val="0"/>
        <w:adjustRightInd w:val="0"/>
        <w:ind w:firstLine="1134"/>
        <w:jc w:val="both"/>
      </w:pPr>
    </w:p>
    <w:p w:rsidR="003E6588" w:rsidRDefault="003E6588">
      <w:pPr>
        <w:autoSpaceDE w:val="0"/>
        <w:autoSpaceDN w:val="0"/>
        <w:adjustRightInd w:val="0"/>
        <w:ind w:firstLine="1134"/>
        <w:jc w:val="both"/>
      </w:pPr>
      <w:r>
        <w:t>Trata-se de região de alta complexidade para o abastecimento, principalmente em períodos de alta temporada, quando são registrados picos de temperatura e presença muito elevada de turistas.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lastRenderedPageBreak/>
        <w:t>Neste sentido, as obras mais relevantes executadas desde 2011 foram a implantação da primeira etapa do Sistema Produtor Mambu/Branco, com capacidade para tratar 1,6 m³/s, 40 km de adutoras e reservação, beneficiando a porção do litoral, desde Peruíbe até São Vicente Continental; e a construção da ETA Jurubatuba, com capacidade de tratamento de 2 m³/s e reservatório de 10 mil m³ em Guarujá, proporcionando melhoria na qualidade da água tratada. Ambas começaram a operar em 2012.</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O programa beneficia 3 milhões de pessoas, incluindo moradores e turistas que acorrem à região. Almeja aumentar o nível de confiabilidade dos sistemas locais, eliminando deficiências e irregularidades existentes e potenciais no abastecimento de água da Baixada.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Com as ações em marcha, a Sabesp caminha para alcançar a universalização dos serviços de abastecimento na região, além de melhorar a qualidade da água disponibilizada à população do litoral. O investimento total deve somar R$ 1,6 bilhão.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Na Baixada, as ações incluíram a construção da ETA Itu, em São Vicente, da ETA Antas, em Mongaguá, e de outras duas ETAs em Bertioga, adutora de interligação Melvi a Humaitá em S. Vicente, além de reservatório Melvi de 20 mil m³ em Praia Grande. No Litoral Sul, foi feita a duplicação do sistema integrado Iguape-Ilha Comprida, visando aumentar a confiabilidade do abastecimento no período de temporada.</w:t>
      </w:r>
    </w:p>
    <w:p w:rsidR="003E6588" w:rsidRDefault="003E6588">
      <w:pPr>
        <w:autoSpaceDE w:val="0"/>
        <w:autoSpaceDN w:val="0"/>
        <w:adjustRightInd w:val="0"/>
        <w:jc w:val="both"/>
      </w:pPr>
    </w:p>
    <w:p w:rsidR="003E6588" w:rsidRDefault="003E6588">
      <w:pPr>
        <w:autoSpaceDE w:val="0"/>
        <w:autoSpaceDN w:val="0"/>
        <w:adjustRightInd w:val="0"/>
        <w:ind w:firstLine="1134"/>
        <w:jc w:val="both"/>
      </w:pPr>
      <w:r>
        <w:rPr>
          <w:b/>
          <w:bCs/>
        </w:rPr>
        <w:t xml:space="preserve">Programa de Água e Esgotos do Interior - </w:t>
      </w:r>
      <w:r>
        <w:rPr>
          <w:bCs/>
        </w:rPr>
        <w:t>Este programa visa o atendimento da meta</w:t>
      </w:r>
      <w:r>
        <w:rPr>
          <w:color w:val="000000"/>
        </w:rPr>
        <w:t xml:space="preserve"> empresarial de universalização dos serviços de saneamento nos </w:t>
      </w:r>
      <w:r>
        <w:t>munic</w:t>
      </w:r>
      <w:r>
        <w:rPr>
          <w:color w:val="000000"/>
        </w:rPr>
        <w:t xml:space="preserve">ípios do Interior do Estado atendidos pela Sabesp. Entre as principais obras concluídas, </w:t>
      </w:r>
      <w:r w:rsidRPr="00E54467">
        <w:t>destacam-se</w:t>
      </w:r>
      <w:r>
        <w:t>:</w:t>
      </w:r>
    </w:p>
    <w:p w:rsidR="003E6588" w:rsidRDefault="003E6588">
      <w:pPr>
        <w:autoSpaceDE w:val="0"/>
        <w:autoSpaceDN w:val="0"/>
        <w:adjustRightInd w:val="0"/>
        <w:jc w:val="both"/>
      </w:pPr>
    </w:p>
    <w:tbl>
      <w:tblPr>
        <w:tblW w:w="9734" w:type="dxa"/>
        <w:jc w:val="center"/>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3214"/>
        <w:gridCol w:w="6520"/>
      </w:tblGrid>
      <w:tr w:rsidR="003E6588" w:rsidTr="0016096F">
        <w:trPr>
          <w:trHeight w:val="103"/>
          <w:jc w:val="center"/>
        </w:trPr>
        <w:tc>
          <w:tcPr>
            <w:tcW w:w="9734" w:type="dxa"/>
            <w:gridSpan w:val="2"/>
            <w:shd w:val="clear" w:color="auto" w:fill="auto"/>
            <w:vAlign w:val="center"/>
            <w:hideMark/>
          </w:tcPr>
          <w:p w:rsidR="003E6588" w:rsidRDefault="003E6588">
            <w:pPr>
              <w:rPr>
                <w:b/>
                <w:bCs/>
                <w:color w:val="000000"/>
                <w:sz w:val="20"/>
                <w:szCs w:val="20"/>
              </w:rPr>
            </w:pPr>
            <w:r>
              <w:rPr>
                <w:b/>
                <w:bCs/>
                <w:color w:val="000000"/>
                <w:sz w:val="20"/>
                <w:szCs w:val="20"/>
              </w:rPr>
              <w:t>Água</w:t>
            </w:r>
          </w:p>
        </w:tc>
      </w:tr>
      <w:tr w:rsidR="003E6588" w:rsidTr="0016096F">
        <w:trPr>
          <w:trHeight w:val="122"/>
          <w:jc w:val="center"/>
        </w:trPr>
        <w:tc>
          <w:tcPr>
            <w:tcW w:w="3214" w:type="dxa"/>
            <w:shd w:val="clear" w:color="auto" w:fill="auto"/>
            <w:vAlign w:val="center"/>
            <w:hideMark/>
          </w:tcPr>
          <w:p w:rsidR="003E6588" w:rsidRDefault="003E6588">
            <w:pPr>
              <w:rPr>
                <w:b/>
                <w:bCs/>
                <w:color w:val="000000"/>
                <w:sz w:val="20"/>
                <w:szCs w:val="20"/>
              </w:rPr>
            </w:pPr>
            <w:r>
              <w:rPr>
                <w:b/>
                <w:bCs/>
                <w:color w:val="000000"/>
                <w:sz w:val="20"/>
                <w:szCs w:val="20"/>
              </w:rPr>
              <w:t>Município</w:t>
            </w:r>
          </w:p>
        </w:tc>
        <w:tc>
          <w:tcPr>
            <w:tcW w:w="6520" w:type="dxa"/>
            <w:shd w:val="clear" w:color="auto" w:fill="auto"/>
            <w:vAlign w:val="center"/>
            <w:hideMark/>
          </w:tcPr>
          <w:p w:rsidR="003E6588" w:rsidRDefault="003E6588">
            <w:pPr>
              <w:rPr>
                <w:b/>
                <w:bCs/>
                <w:color w:val="000000"/>
                <w:sz w:val="20"/>
                <w:szCs w:val="20"/>
              </w:rPr>
            </w:pPr>
            <w:r>
              <w:rPr>
                <w:b/>
                <w:bCs/>
                <w:color w:val="000000"/>
                <w:sz w:val="20"/>
                <w:szCs w:val="20"/>
              </w:rPr>
              <w:t>Obra</w:t>
            </w:r>
          </w:p>
        </w:tc>
      </w:tr>
      <w:tr w:rsidR="003E6588" w:rsidTr="0016096F">
        <w:trPr>
          <w:trHeight w:val="437"/>
          <w:jc w:val="center"/>
        </w:trPr>
        <w:tc>
          <w:tcPr>
            <w:tcW w:w="3214" w:type="dxa"/>
            <w:shd w:val="clear" w:color="auto" w:fill="auto"/>
            <w:vAlign w:val="center"/>
            <w:hideMark/>
          </w:tcPr>
          <w:p w:rsidR="003E6588" w:rsidRDefault="003E6588">
            <w:pPr>
              <w:jc w:val="left"/>
              <w:rPr>
                <w:color w:val="000000"/>
                <w:sz w:val="20"/>
                <w:szCs w:val="20"/>
              </w:rPr>
            </w:pPr>
            <w:r>
              <w:rPr>
                <w:color w:val="000000"/>
                <w:sz w:val="20"/>
                <w:szCs w:val="20"/>
              </w:rPr>
              <w:t>Álvares Machado/Lucélia/Narandiba/ Pirapozinho/Regente Feijó</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Implantação de reservatórios metálicos.</w:t>
            </w:r>
          </w:p>
        </w:tc>
      </w:tr>
      <w:tr w:rsidR="003E6588" w:rsidTr="0016096F">
        <w:trPr>
          <w:trHeight w:val="117"/>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Apiaí</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ETA Compacta 5m³/H no Bairro Caximba.</w:t>
            </w:r>
          </w:p>
        </w:tc>
      </w:tr>
      <w:tr w:rsidR="003E6588" w:rsidTr="0016096F">
        <w:trPr>
          <w:trHeight w:val="40"/>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Barra do Chapéu</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ETA Compacta 5m³/H no Bairro Morro Agudo.</w:t>
            </w:r>
          </w:p>
        </w:tc>
      </w:tr>
      <w:tr w:rsidR="003E6588" w:rsidTr="0016096F">
        <w:trPr>
          <w:trHeight w:val="322"/>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Franca</w:t>
            </w:r>
          </w:p>
        </w:tc>
        <w:tc>
          <w:tcPr>
            <w:tcW w:w="6520" w:type="dxa"/>
            <w:tcBorders>
              <w:bottom w:val="single" w:sz="8" w:space="0" w:color="auto"/>
            </w:tcBorders>
            <w:shd w:val="clear" w:color="auto" w:fill="auto"/>
            <w:vAlign w:val="center"/>
            <w:hideMark/>
          </w:tcPr>
          <w:p w:rsidR="003E6588" w:rsidRDefault="003E6588">
            <w:pPr>
              <w:jc w:val="both"/>
              <w:rPr>
                <w:color w:val="000000"/>
                <w:sz w:val="20"/>
                <w:szCs w:val="20"/>
              </w:rPr>
            </w:pPr>
            <w:r>
              <w:rPr>
                <w:color w:val="000000"/>
                <w:sz w:val="20"/>
                <w:szCs w:val="20"/>
              </w:rPr>
              <w:t>Execução de adutora de água tratada (4,9 km) e interligação dos poços P1 e P2 para atendimento ao Município de Restinga.</w:t>
            </w:r>
          </w:p>
        </w:tc>
      </w:tr>
      <w:tr w:rsidR="003E6588" w:rsidTr="0016096F">
        <w:trPr>
          <w:trHeight w:val="531"/>
          <w:jc w:val="center"/>
        </w:trPr>
        <w:tc>
          <w:tcPr>
            <w:tcW w:w="3214" w:type="dxa"/>
            <w:vMerge w:val="restart"/>
            <w:shd w:val="clear" w:color="auto" w:fill="auto"/>
            <w:vAlign w:val="center"/>
            <w:hideMark/>
          </w:tcPr>
          <w:p w:rsidR="003E6588" w:rsidRDefault="003E6588">
            <w:pPr>
              <w:jc w:val="both"/>
              <w:rPr>
                <w:color w:val="000000"/>
                <w:sz w:val="20"/>
                <w:szCs w:val="20"/>
              </w:rPr>
            </w:pPr>
            <w:r>
              <w:rPr>
                <w:color w:val="000000"/>
                <w:sz w:val="20"/>
                <w:szCs w:val="20"/>
              </w:rPr>
              <w:t>Franca</w:t>
            </w:r>
          </w:p>
        </w:tc>
        <w:tc>
          <w:tcPr>
            <w:tcW w:w="6520" w:type="dxa"/>
            <w:tcBorders>
              <w:bottom w:val="nil"/>
            </w:tcBorders>
            <w:shd w:val="clear" w:color="auto" w:fill="auto"/>
            <w:vAlign w:val="center"/>
            <w:hideMark/>
          </w:tcPr>
          <w:p w:rsidR="003E6588" w:rsidRDefault="003E6588" w:rsidP="00161D23">
            <w:pPr>
              <w:jc w:val="both"/>
              <w:rPr>
                <w:sz w:val="20"/>
                <w:szCs w:val="20"/>
              </w:rPr>
            </w:pPr>
            <w:r>
              <w:rPr>
                <w:sz w:val="20"/>
                <w:szCs w:val="20"/>
              </w:rPr>
              <w:t>Execução de obras no Sistema de Abastecimento de Água do Município de Franca, compreendendo: Estações Elevatórias de Água, Adutoras e Urbanização de poços;</w:t>
            </w:r>
          </w:p>
        </w:tc>
      </w:tr>
      <w:tr w:rsidR="003E6588" w:rsidTr="0016096F">
        <w:trPr>
          <w:trHeight w:val="551"/>
          <w:jc w:val="center"/>
        </w:trPr>
        <w:tc>
          <w:tcPr>
            <w:tcW w:w="3214" w:type="dxa"/>
            <w:vMerge/>
            <w:shd w:val="clear" w:color="auto" w:fill="auto"/>
            <w:vAlign w:val="center"/>
            <w:hideMark/>
          </w:tcPr>
          <w:p w:rsidR="003E6588" w:rsidRDefault="003E6588">
            <w:pPr>
              <w:jc w:val="both"/>
              <w:rPr>
                <w:color w:val="000000"/>
                <w:sz w:val="20"/>
                <w:szCs w:val="20"/>
              </w:rPr>
            </w:pPr>
          </w:p>
        </w:tc>
        <w:tc>
          <w:tcPr>
            <w:tcW w:w="6520" w:type="dxa"/>
            <w:tcBorders>
              <w:top w:val="nil"/>
              <w:bottom w:val="nil"/>
            </w:tcBorders>
            <w:shd w:val="clear" w:color="auto" w:fill="auto"/>
            <w:vAlign w:val="center"/>
            <w:hideMark/>
          </w:tcPr>
          <w:p w:rsidR="003E6588" w:rsidRDefault="003E6588" w:rsidP="00161D23">
            <w:pPr>
              <w:jc w:val="both"/>
              <w:rPr>
                <w:sz w:val="20"/>
                <w:szCs w:val="20"/>
              </w:rPr>
            </w:pPr>
            <w:r>
              <w:rPr>
                <w:sz w:val="20"/>
                <w:szCs w:val="20"/>
              </w:rPr>
              <w:t>Execução de obras do SAA do Município de Franca, compreendendo: execução de posto de transformação e medição, com fornecimento de equipamentos e instalçãoes, para poços e EEA;</w:t>
            </w:r>
          </w:p>
        </w:tc>
      </w:tr>
      <w:tr w:rsidR="003E6588" w:rsidTr="0016096F">
        <w:trPr>
          <w:trHeight w:val="40"/>
          <w:jc w:val="center"/>
        </w:trPr>
        <w:tc>
          <w:tcPr>
            <w:tcW w:w="3214" w:type="dxa"/>
            <w:vMerge/>
            <w:shd w:val="clear" w:color="auto" w:fill="auto"/>
            <w:vAlign w:val="center"/>
            <w:hideMark/>
          </w:tcPr>
          <w:p w:rsidR="003E6588" w:rsidRDefault="003E6588">
            <w:pPr>
              <w:jc w:val="both"/>
              <w:rPr>
                <w:color w:val="000000"/>
                <w:sz w:val="20"/>
                <w:szCs w:val="20"/>
              </w:rPr>
            </w:pPr>
          </w:p>
        </w:tc>
        <w:tc>
          <w:tcPr>
            <w:tcW w:w="6520" w:type="dxa"/>
            <w:tcBorders>
              <w:top w:val="nil"/>
            </w:tcBorders>
            <w:shd w:val="clear" w:color="auto" w:fill="auto"/>
            <w:vAlign w:val="center"/>
            <w:hideMark/>
          </w:tcPr>
          <w:p w:rsidR="003E6588" w:rsidRDefault="003E6588" w:rsidP="00161D23">
            <w:pPr>
              <w:jc w:val="both"/>
              <w:rPr>
                <w:sz w:val="20"/>
                <w:szCs w:val="20"/>
              </w:rPr>
            </w:pPr>
            <w:r>
              <w:rPr>
                <w:sz w:val="20"/>
                <w:szCs w:val="20"/>
              </w:rPr>
              <w:t>Execução de obras do SAA do Município de Franca, compreendendo: Duplicação da adutora de água tratada R5/Ana Dorothéa.</w:t>
            </w:r>
          </w:p>
        </w:tc>
      </w:tr>
      <w:tr w:rsidR="003E6588" w:rsidTr="0016096F">
        <w:trPr>
          <w:trHeight w:val="356"/>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Iguape</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Remanejamento de redes de distribuição e ligações prediais de água nos Bairros do Rocio, Jardim Sinho Rollo e Centro.</w:t>
            </w:r>
          </w:p>
        </w:tc>
      </w:tr>
      <w:tr w:rsidR="003E6588" w:rsidTr="0016096F">
        <w:trPr>
          <w:trHeight w:val="306"/>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Itaóca</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Setorização e integração da rede de distribuição de água e de ligações dos bairros Pavão/Sede e remanejamento da adutora de água tratada.</w:t>
            </w:r>
          </w:p>
        </w:tc>
      </w:tr>
      <w:tr w:rsidR="003E6588" w:rsidTr="0016096F">
        <w:trPr>
          <w:trHeight w:val="100"/>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Itariri</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Implantação de reservatório 200 m³ Ana Dias.</w:t>
            </w:r>
          </w:p>
        </w:tc>
      </w:tr>
      <w:tr w:rsidR="003E6588" w:rsidTr="0016096F">
        <w:trPr>
          <w:trHeight w:val="146"/>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lastRenderedPageBreak/>
              <w:t>Miracatu</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Implantação de reservatório no Bairro Oliveira Barros (50 m³).</w:t>
            </w:r>
          </w:p>
        </w:tc>
      </w:tr>
      <w:tr w:rsidR="003E6588" w:rsidTr="0016096F">
        <w:trPr>
          <w:cantSplit/>
          <w:trHeight w:val="177"/>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Pedro de Toledo</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Substituição da Estação Elevatória de Esgotos da Vila Batista.</w:t>
            </w:r>
          </w:p>
        </w:tc>
      </w:tr>
      <w:tr w:rsidR="003E6588" w:rsidTr="0016096F">
        <w:trPr>
          <w:cantSplit/>
          <w:trHeight w:val="352"/>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Presidente Prudente</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Execução das obras do Sistema de Abastecimento de Água (2,7 km subadutora) do Conjunto Habitacional João D. Neto (2368 unid. hab.).</w:t>
            </w:r>
          </w:p>
        </w:tc>
      </w:tr>
      <w:tr w:rsidR="003E6588" w:rsidTr="0016096F">
        <w:trPr>
          <w:cantSplit/>
          <w:trHeight w:val="146"/>
          <w:jc w:val="center"/>
        </w:trPr>
        <w:tc>
          <w:tcPr>
            <w:tcW w:w="3214" w:type="dxa"/>
            <w:vMerge w:val="restart"/>
            <w:shd w:val="clear" w:color="auto" w:fill="auto"/>
            <w:vAlign w:val="center"/>
            <w:hideMark/>
          </w:tcPr>
          <w:p w:rsidR="003E6588" w:rsidRDefault="003E6588">
            <w:pPr>
              <w:jc w:val="both"/>
              <w:rPr>
                <w:color w:val="000000"/>
                <w:sz w:val="20"/>
                <w:szCs w:val="20"/>
              </w:rPr>
            </w:pPr>
            <w:r>
              <w:rPr>
                <w:color w:val="000000"/>
                <w:sz w:val="20"/>
                <w:szCs w:val="20"/>
              </w:rPr>
              <w:t>Registro</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Implantação de reservatório no Bairro Arapongal (100m³).</w:t>
            </w:r>
          </w:p>
        </w:tc>
      </w:tr>
      <w:tr w:rsidR="003E6588" w:rsidTr="0016096F">
        <w:trPr>
          <w:trHeight w:val="40"/>
          <w:jc w:val="center"/>
        </w:trPr>
        <w:tc>
          <w:tcPr>
            <w:tcW w:w="3214" w:type="dxa"/>
            <w:vMerge/>
            <w:shd w:val="clear" w:color="auto" w:fill="auto"/>
            <w:vAlign w:val="center"/>
            <w:hideMark/>
          </w:tcPr>
          <w:p w:rsidR="003E6588" w:rsidRDefault="003E6588">
            <w:pPr>
              <w:jc w:val="both"/>
              <w:rPr>
                <w:color w:val="000000"/>
                <w:sz w:val="20"/>
                <w:szCs w:val="20"/>
              </w:rPr>
            </w:pP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Implantação de reservatório no Bairro Serrote (50m³).</w:t>
            </w:r>
          </w:p>
        </w:tc>
      </w:tr>
      <w:tr w:rsidR="003E6588" w:rsidTr="0016096F">
        <w:trPr>
          <w:cantSplit/>
          <w:trHeight w:val="82"/>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Ribeira</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Interligação do Bairro Catas Altas a Sede do Município.</w:t>
            </w:r>
          </w:p>
        </w:tc>
      </w:tr>
      <w:tr w:rsidR="003E6588" w:rsidTr="0016096F">
        <w:trPr>
          <w:cantSplit/>
          <w:trHeight w:val="114"/>
          <w:jc w:val="center"/>
        </w:trPr>
        <w:tc>
          <w:tcPr>
            <w:tcW w:w="3214" w:type="dxa"/>
            <w:vMerge w:val="restart"/>
            <w:shd w:val="clear" w:color="auto" w:fill="auto"/>
            <w:vAlign w:val="center"/>
            <w:hideMark/>
          </w:tcPr>
          <w:p w:rsidR="003E6588" w:rsidRDefault="003E6588">
            <w:pPr>
              <w:jc w:val="both"/>
              <w:rPr>
                <w:color w:val="000000"/>
                <w:sz w:val="20"/>
                <w:szCs w:val="20"/>
              </w:rPr>
            </w:pPr>
            <w:r>
              <w:rPr>
                <w:color w:val="000000"/>
                <w:sz w:val="20"/>
                <w:szCs w:val="20"/>
              </w:rPr>
              <w:t>São Lourenço da Serra</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Implantação de reservatório no Bairro Queiroz (150 m³).</w:t>
            </w:r>
          </w:p>
        </w:tc>
      </w:tr>
      <w:tr w:rsidR="003E6588" w:rsidTr="0016096F">
        <w:trPr>
          <w:trHeight w:val="145"/>
          <w:jc w:val="center"/>
        </w:trPr>
        <w:tc>
          <w:tcPr>
            <w:tcW w:w="3214" w:type="dxa"/>
            <w:vMerge/>
            <w:shd w:val="clear" w:color="auto" w:fill="auto"/>
            <w:vAlign w:val="center"/>
            <w:hideMark/>
          </w:tcPr>
          <w:p w:rsidR="003E6588" w:rsidRDefault="003E6588">
            <w:pPr>
              <w:jc w:val="both"/>
              <w:rPr>
                <w:color w:val="000000"/>
                <w:sz w:val="20"/>
                <w:szCs w:val="20"/>
              </w:rPr>
            </w:pP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Remanejamento de rede de distribuição.</w:t>
            </w:r>
          </w:p>
        </w:tc>
      </w:tr>
      <w:tr w:rsidR="003E6588" w:rsidTr="0016096F">
        <w:trPr>
          <w:cantSplit/>
          <w:trHeight w:val="178"/>
          <w:jc w:val="center"/>
        </w:trPr>
        <w:tc>
          <w:tcPr>
            <w:tcW w:w="9734" w:type="dxa"/>
            <w:gridSpan w:val="2"/>
            <w:shd w:val="clear" w:color="auto" w:fill="auto"/>
            <w:vAlign w:val="center"/>
            <w:hideMark/>
          </w:tcPr>
          <w:p w:rsidR="003E6588" w:rsidRDefault="003E6588">
            <w:pPr>
              <w:rPr>
                <w:b/>
                <w:bCs/>
                <w:color w:val="000000"/>
                <w:sz w:val="20"/>
                <w:szCs w:val="20"/>
              </w:rPr>
            </w:pPr>
            <w:r>
              <w:rPr>
                <w:b/>
                <w:bCs/>
                <w:color w:val="000000"/>
                <w:sz w:val="20"/>
                <w:szCs w:val="20"/>
              </w:rPr>
              <w:t>Esgoto</w:t>
            </w:r>
          </w:p>
        </w:tc>
      </w:tr>
      <w:tr w:rsidR="003E6588" w:rsidTr="0016096F">
        <w:trPr>
          <w:cantSplit/>
          <w:trHeight w:val="209"/>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Apiaí</w:t>
            </w:r>
          </w:p>
        </w:tc>
        <w:tc>
          <w:tcPr>
            <w:tcW w:w="6520" w:type="dxa"/>
            <w:tcBorders>
              <w:bottom w:val="single" w:sz="8" w:space="0" w:color="auto"/>
            </w:tcBorders>
            <w:shd w:val="clear" w:color="auto" w:fill="auto"/>
            <w:vAlign w:val="center"/>
            <w:hideMark/>
          </w:tcPr>
          <w:p w:rsidR="003E6588" w:rsidRDefault="003E6588">
            <w:pPr>
              <w:jc w:val="both"/>
              <w:rPr>
                <w:color w:val="000000"/>
                <w:sz w:val="20"/>
                <w:szCs w:val="20"/>
              </w:rPr>
            </w:pPr>
            <w:r>
              <w:rPr>
                <w:color w:val="000000"/>
                <w:sz w:val="20"/>
                <w:szCs w:val="20"/>
              </w:rPr>
              <w:t>Remanejamento de coletor tronco.</w:t>
            </w:r>
          </w:p>
        </w:tc>
      </w:tr>
      <w:tr w:rsidR="003E6588" w:rsidTr="0016096F">
        <w:trPr>
          <w:cantSplit/>
          <w:trHeight w:val="525"/>
          <w:jc w:val="center"/>
        </w:trPr>
        <w:tc>
          <w:tcPr>
            <w:tcW w:w="3214" w:type="dxa"/>
            <w:vMerge w:val="restart"/>
            <w:shd w:val="clear" w:color="auto" w:fill="auto"/>
            <w:vAlign w:val="center"/>
            <w:hideMark/>
          </w:tcPr>
          <w:p w:rsidR="003E6588" w:rsidRDefault="003E6588">
            <w:pPr>
              <w:jc w:val="both"/>
              <w:rPr>
                <w:color w:val="000000"/>
                <w:sz w:val="20"/>
                <w:szCs w:val="20"/>
              </w:rPr>
            </w:pPr>
            <w:r>
              <w:rPr>
                <w:color w:val="000000"/>
                <w:sz w:val="20"/>
                <w:szCs w:val="20"/>
              </w:rPr>
              <w:t>Bragança Paulista</w:t>
            </w:r>
          </w:p>
        </w:tc>
        <w:tc>
          <w:tcPr>
            <w:tcW w:w="6520" w:type="dxa"/>
            <w:tcBorders>
              <w:bottom w:val="nil"/>
            </w:tcBorders>
            <w:shd w:val="clear" w:color="auto" w:fill="auto"/>
            <w:vAlign w:val="center"/>
            <w:hideMark/>
          </w:tcPr>
          <w:p w:rsidR="003E6588" w:rsidRDefault="003E6588">
            <w:pPr>
              <w:jc w:val="both"/>
              <w:rPr>
                <w:color w:val="000000"/>
                <w:sz w:val="20"/>
                <w:szCs w:val="20"/>
              </w:rPr>
            </w:pPr>
            <w:r>
              <w:rPr>
                <w:color w:val="000000"/>
                <w:sz w:val="20"/>
                <w:szCs w:val="20"/>
              </w:rPr>
              <w:t xml:space="preserve">Ampliação do Sistema de Esgotamento Sanitário </w:t>
            </w:r>
            <w:r>
              <w:rPr>
                <w:sz w:val="20"/>
                <w:szCs w:val="20"/>
              </w:rPr>
              <w:t>do Município</w:t>
            </w:r>
            <w:r>
              <w:rPr>
                <w:color w:val="000000"/>
                <w:sz w:val="20"/>
                <w:szCs w:val="20"/>
              </w:rPr>
              <w:t xml:space="preserve"> de Bragança Paulista: Estação Elevatória de Esgotos, Interceptores, Coletores e Interligações (32 km).</w:t>
            </w:r>
          </w:p>
        </w:tc>
      </w:tr>
      <w:tr w:rsidR="003E6588" w:rsidTr="0016096F">
        <w:trPr>
          <w:trHeight w:val="379"/>
          <w:jc w:val="center"/>
        </w:trPr>
        <w:tc>
          <w:tcPr>
            <w:tcW w:w="3214" w:type="dxa"/>
            <w:vMerge/>
            <w:shd w:val="clear" w:color="auto" w:fill="auto"/>
            <w:vAlign w:val="center"/>
            <w:hideMark/>
          </w:tcPr>
          <w:p w:rsidR="003E6588" w:rsidRDefault="003E6588">
            <w:pPr>
              <w:jc w:val="both"/>
              <w:rPr>
                <w:color w:val="000000"/>
                <w:sz w:val="20"/>
                <w:szCs w:val="20"/>
              </w:rPr>
            </w:pPr>
          </w:p>
        </w:tc>
        <w:tc>
          <w:tcPr>
            <w:tcW w:w="6520" w:type="dxa"/>
            <w:tcBorders>
              <w:top w:val="nil"/>
            </w:tcBorders>
            <w:shd w:val="clear" w:color="auto" w:fill="auto"/>
            <w:vAlign w:val="center"/>
            <w:hideMark/>
          </w:tcPr>
          <w:p w:rsidR="003E6588" w:rsidRDefault="003E6588">
            <w:pPr>
              <w:jc w:val="both"/>
              <w:rPr>
                <w:color w:val="000000"/>
                <w:sz w:val="20"/>
                <w:szCs w:val="20"/>
              </w:rPr>
            </w:pPr>
            <w:r>
              <w:rPr>
                <w:color w:val="000000"/>
                <w:sz w:val="20"/>
                <w:szCs w:val="20"/>
              </w:rPr>
              <w:t>Construção da Estação Tratamento de Esgotos (Sede), Estação Elevatória Final e Coletores (2,3km).</w:t>
            </w:r>
          </w:p>
        </w:tc>
      </w:tr>
      <w:tr w:rsidR="003E6588" w:rsidTr="0016096F">
        <w:trPr>
          <w:cantSplit/>
          <w:trHeight w:val="613"/>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Campo Limpo Paulista</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 xml:space="preserve">Execução das Obras do SES </w:t>
            </w:r>
            <w:r>
              <w:rPr>
                <w:sz w:val="20"/>
                <w:szCs w:val="20"/>
              </w:rPr>
              <w:t>do Município</w:t>
            </w:r>
            <w:r>
              <w:rPr>
                <w:color w:val="000000"/>
                <w:sz w:val="20"/>
                <w:szCs w:val="20"/>
              </w:rPr>
              <w:t xml:space="preserve"> de Campo Limpo Paulista, compreendendo redes coletoras, estação elevatória, travessia e recuperação de redes do Parque Internacional.</w:t>
            </w:r>
          </w:p>
        </w:tc>
      </w:tr>
      <w:tr w:rsidR="003E6588" w:rsidTr="0016096F">
        <w:trPr>
          <w:cantSplit/>
          <w:trHeight w:val="750"/>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Campos do Jordão</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Construção da Estação de Tratamento de Esgotos (214 L/s) e Implantação de Sistema de Afastamento: Coletor Tronco (9.098 m), Interceptor e Emissários (10.335 m), Linhas de Recalque (1.635 m), Elevatórias de Esgoto (3 un.).</w:t>
            </w:r>
          </w:p>
        </w:tc>
      </w:tr>
      <w:tr w:rsidR="003E6588" w:rsidTr="0016096F">
        <w:trPr>
          <w:cantSplit/>
          <w:trHeight w:val="665"/>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Capela do Alto</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Execução das Obras do SES do Município de Capela do Alto, compreendendo a implantação dos Coletores Tronco I e II, Emissário e Obras para Implantação da ETE Compacta.</w:t>
            </w:r>
          </w:p>
        </w:tc>
      </w:tr>
      <w:tr w:rsidR="003E6588" w:rsidTr="0016096F">
        <w:trPr>
          <w:cantSplit/>
          <w:trHeight w:val="519"/>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Cruzália</w:t>
            </w:r>
          </w:p>
        </w:tc>
        <w:tc>
          <w:tcPr>
            <w:tcW w:w="6520" w:type="dxa"/>
            <w:tcBorders>
              <w:bottom w:val="single" w:sz="8" w:space="0" w:color="auto"/>
            </w:tcBorders>
            <w:shd w:val="clear" w:color="auto" w:fill="auto"/>
            <w:vAlign w:val="center"/>
            <w:hideMark/>
          </w:tcPr>
          <w:p w:rsidR="003E6588" w:rsidRDefault="003E6588">
            <w:pPr>
              <w:jc w:val="both"/>
              <w:rPr>
                <w:color w:val="000000"/>
                <w:sz w:val="20"/>
                <w:szCs w:val="20"/>
              </w:rPr>
            </w:pPr>
            <w:r>
              <w:rPr>
                <w:color w:val="000000"/>
                <w:sz w:val="20"/>
                <w:szCs w:val="20"/>
              </w:rPr>
              <w:t xml:space="preserve">Implantação do SES do Bairro do </w:t>
            </w:r>
            <w:r>
              <w:rPr>
                <w:sz w:val="20"/>
                <w:szCs w:val="20"/>
              </w:rPr>
              <w:t>Cateto, Municipio</w:t>
            </w:r>
            <w:r>
              <w:rPr>
                <w:color w:val="000000"/>
                <w:sz w:val="20"/>
                <w:szCs w:val="20"/>
              </w:rPr>
              <w:t xml:space="preserve"> de Cruzália, compreendendo: rede coletora (2224m), lig. domiciliares (115un), ETE e emissário (937m).</w:t>
            </w:r>
          </w:p>
        </w:tc>
      </w:tr>
      <w:tr w:rsidR="003E6588" w:rsidTr="0016096F">
        <w:trPr>
          <w:cantSplit/>
          <w:trHeight w:val="231"/>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Dourado</w:t>
            </w:r>
          </w:p>
        </w:tc>
        <w:tc>
          <w:tcPr>
            <w:tcW w:w="6520" w:type="dxa"/>
            <w:tcBorders>
              <w:bottom w:val="nil"/>
            </w:tcBorders>
            <w:shd w:val="clear" w:color="auto" w:fill="auto"/>
            <w:vAlign w:val="center"/>
            <w:hideMark/>
          </w:tcPr>
          <w:p w:rsidR="003E6588" w:rsidRDefault="003E6588">
            <w:pPr>
              <w:jc w:val="both"/>
              <w:rPr>
                <w:color w:val="000000"/>
                <w:sz w:val="20"/>
                <w:szCs w:val="20"/>
              </w:rPr>
            </w:pPr>
            <w:r>
              <w:rPr>
                <w:color w:val="000000"/>
                <w:sz w:val="20"/>
                <w:szCs w:val="20"/>
              </w:rPr>
              <w:t>Construção da Estação de Tratamento de Esgotos (23 L/s) - Sede</w:t>
            </w:r>
          </w:p>
        </w:tc>
      </w:tr>
      <w:tr w:rsidR="003E6588" w:rsidTr="0016096F">
        <w:trPr>
          <w:cantSplit/>
          <w:trHeight w:val="309"/>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Duartina</w:t>
            </w:r>
          </w:p>
        </w:tc>
        <w:tc>
          <w:tcPr>
            <w:tcW w:w="6520" w:type="dxa"/>
            <w:tcBorders>
              <w:bottom w:val="single" w:sz="8" w:space="0" w:color="auto"/>
            </w:tcBorders>
            <w:shd w:val="clear" w:color="auto" w:fill="auto"/>
            <w:vAlign w:val="center"/>
            <w:hideMark/>
          </w:tcPr>
          <w:p w:rsidR="003E6588" w:rsidRDefault="003E6588">
            <w:pPr>
              <w:jc w:val="both"/>
              <w:rPr>
                <w:color w:val="000000"/>
                <w:sz w:val="20"/>
                <w:szCs w:val="20"/>
              </w:rPr>
            </w:pPr>
            <w:r>
              <w:rPr>
                <w:color w:val="000000"/>
                <w:sz w:val="20"/>
                <w:szCs w:val="20"/>
              </w:rPr>
              <w:t>Implantação de Coletores Tronco Planur I, Planur II e Sta Luzia, rede coletora e ligações prediais.</w:t>
            </w:r>
          </w:p>
        </w:tc>
      </w:tr>
      <w:tr w:rsidR="003E6588" w:rsidTr="0016096F">
        <w:trPr>
          <w:cantSplit/>
          <w:trHeight w:val="387"/>
          <w:jc w:val="center"/>
        </w:trPr>
        <w:tc>
          <w:tcPr>
            <w:tcW w:w="3214" w:type="dxa"/>
            <w:vMerge w:val="restart"/>
            <w:shd w:val="clear" w:color="auto" w:fill="auto"/>
            <w:vAlign w:val="center"/>
            <w:hideMark/>
          </w:tcPr>
          <w:p w:rsidR="003E6588" w:rsidRDefault="003E6588">
            <w:pPr>
              <w:jc w:val="both"/>
              <w:rPr>
                <w:color w:val="000000"/>
                <w:sz w:val="20"/>
                <w:szCs w:val="20"/>
              </w:rPr>
            </w:pPr>
            <w:r>
              <w:rPr>
                <w:color w:val="000000"/>
                <w:sz w:val="20"/>
                <w:szCs w:val="20"/>
              </w:rPr>
              <w:t>Eldorado</w:t>
            </w:r>
          </w:p>
        </w:tc>
        <w:tc>
          <w:tcPr>
            <w:tcW w:w="6520" w:type="dxa"/>
            <w:tcBorders>
              <w:bottom w:val="nil"/>
            </w:tcBorders>
            <w:shd w:val="clear" w:color="auto" w:fill="auto"/>
            <w:vAlign w:val="center"/>
            <w:hideMark/>
          </w:tcPr>
          <w:p w:rsidR="003E6588" w:rsidRDefault="003E6588">
            <w:pPr>
              <w:jc w:val="both"/>
              <w:rPr>
                <w:color w:val="000000"/>
                <w:sz w:val="20"/>
                <w:szCs w:val="20"/>
              </w:rPr>
            </w:pPr>
            <w:r>
              <w:rPr>
                <w:color w:val="000000"/>
                <w:sz w:val="20"/>
                <w:szCs w:val="20"/>
              </w:rPr>
              <w:t>Implantação da Estação Compacta de Tratamento de Esgoto, no Bairro de Barra do Braço;</w:t>
            </w:r>
          </w:p>
        </w:tc>
      </w:tr>
      <w:tr w:rsidR="003E6588" w:rsidTr="0016096F">
        <w:trPr>
          <w:trHeight w:val="268"/>
          <w:jc w:val="center"/>
        </w:trPr>
        <w:tc>
          <w:tcPr>
            <w:tcW w:w="3214" w:type="dxa"/>
            <w:vMerge/>
            <w:shd w:val="clear" w:color="auto" w:fill="auto"/>
            <w:vAlign w:val="center"/>
            <w:hideMark/>
          </w:tcPr>
          <w:p w:rsidR="003E6588" w:rsidRDefault="003E6588">
            <w:pPr>
              <w:jc w:val="both"/>
              <w:rPr>
                <w:color w:val="000000"/>
                <w:sz w:val="20"/>
                <w:szCs w:val="20"/>
              </w:rPr>
            </w:pPr>
          </w:p>
        </w:tc>
        <w:tc>
          <w:tcPr>
            <w:tcW w:w="6520" w:type="dxa"/>
            <w:tcBorders>
              <w:top w:val="nil"/>
            </w:tcBorders>
            <w:shd w:val="clear" w:color="auto" w:fill="auto"/>
            <w:vAlign w:val="center"/>
            <w:hideMark/>
          </w:tcPr>
          <w:p w:rsidR="003E6588" w:rsidRDefault="003E6588">
            <w:pPr>
              <w:jc w:val="both"/>
              <w:rPr>
                <w:color w:val="000000"/>
                <w:sz w:val="20"/>
                <w:szCs w:val="20"/>
              </w:rPr>
            </w:pPr>
            <w:r>
              <w:rPr>
                <w:color w:val="000000"/>
                <w:sz w:val="20"/>
                <w:szCs w:val="20"/>
              </w:rPr>
              <w:t>Construção da Estação Elevatória de Esgotos Nova Eldorado.</w:t>
            </w:r>
          </w:p>
        </w:tc>
      </w:tr>
      <w:tr w:rsidR="003E6588" w:rsidTr="0016096F">
        <w:trPr>
          <w:cantSplit/>
          <w:trHeight w:val="542"/>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Espírito Santo do Pinhal</w:t>
            </w:r>
          </w:p>
        </w:tc>
        <w:tc>
          <w:tcPr>
            <w:tcW w:w="6520" w:type="dxa"/>
            <w:shd w:val="clear" w:color="auto" w:fill="auto"/>
            <w:vAlign w:val="center"/>
            <w:hideMark/>
          </w:tcPr>
          <w:p w:rsidR="003E6588" w:rsidRDefault="003E6588">
            <w:pPr>
              <w:jc w:val="both"/>
              <w:rPr>
                <w:sz w:val="20"/>
                <w:szCs w:val="20"/>
              </w:rPr>
            </w:pPr>
            <w:r>
              <w:rPr>
                <w:sz w:val="20"/>
                <w:szCs w:val="20"/>
              </w:rPr>
              <w:t>Execução das obras do SES do Município de Espírito Santo do Pinhal, compreendendo: construção de ponte de acesso e tratamento preliminar na ETE.</w:t>
            </w:r>
          </w:p>
        </w:tc>
      </w:tr>
      <w:tr w:rsidR="003E6588" w:rsidTr="0016096F">
        <w:trPr>
          <w:cantSplit/>
          <w:trHeight w:val="396"/>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Fernandópolis</w:t>
            </w:r>
          </w:p>
        </w:tc>
        <w:tc>
          <w:tcPr>
            <w:tcW w:w="6520" w:type="dxa"/>
            <w:shd w:val="clear" w:color="auto" w:fill="auto"/>
            <w:vAlign w:val="center"/>
            <w:hideMark/>
          </w:tcPr>
          <w:p w:rsidR="003E6588" w:rsidRDefault="003E6588">
            <w:pPr>
              <w:jc w:val="both"/>
              <w:rPr>
                <w:sz w:val="20"/>
                <w:szCs w:val="20"/>
              </w:rPr>
            </w:pPr>
            <w:r>
              <w:rPr>
                <w:sz w:val="20"/>
                <w:szCs w:val="20"/>
              </w:rPr>
              <w:t>Execução de obras do SES do Município de Fernandópolis, compreendendo: Construção de Emissário para desativação da EEE Toshio Massuda.</w:t>
            </w:r>
          </w:p>
        </w:tc>
      </w:tr>
      <w:tr w:rsidR="003E6588" w:rsidTr="0016096F">
        <w:trPr>
          <w:cantSplit/>
          <w:trHeight w:val="250"/>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Guararema</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Complementação do Sistema de Esgoto: Rede Coletora (5,9 km), Ligações (469 un.), Estações Elevatórias (11 un.), Linhas de Recalque (1.362 m) e Estação de Tratamento de Esgoto de Parateí.</w:t>
            </w:r>
          </w:p>
        </w:tc>
      </w:tr>
      <w:tr w:rsidR="003E6588" w:rsidTr="0016096F">
        <w:trPr>
          <w:cantSplit/>
          <w:trHeight w:val="260"/>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Miracatu</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Execução de prolongamento de rede coletora e ligações nos Bairros Jardim Yolanda, Jardim Miracatu, Vila Kamaiti e Vila Ubirajara.</w:t>
            </w:r>
          </w:p>
        </w:tc>
      </w:tr>
      <w:tr w:rsidR="003E6588" w:rsidTr="0016096F">
        <w:trPr>
          <w:cantSplit/>
          <w:trHeight w:val="196"/>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Mococa</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Execução de emissário (1,0 km).</w:t>
            </w:r>
          </w:p>
        </w:tc>
      </w:tr>
      <w:tr w:rsidR="003E6588" w:rsidTr="0016096F">
        <w:trPr>
          <w:cantSplit/>
          <w:trHeight w:val="794"/>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Monteiro Lobato</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Ampliação do Sistema de Esgotamento Sanitário nos bairros São Benedito e Souzas: Estações de Tratamento de Esgotos (1,29 L/s), Estação Elevatória, Linhas de Recalque (495 m), Redes Coletoras (576 m) e Ligações (193 un).</w:t>
            </w:r>
          </w:p>
        </w:tc>
      </w:tr>
      <w:tr w:rsidR="003E6588" w:rsidTr="0016096F">
        <w:trPr>
          <w:cantSplit/>
          <w:trHeight w:val="567"/>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lastRenderedPageBreak/>
              <w:t>Pedranópolis</w:t>
            </w:r>
          </w:p>
        </w:tc>
        <w:tc>
          <w:tcPr>
            <w:tcW w:w="6520" w:type="dxa"/>
            <w:shd w:val="clear" w:color="auto" w:fill="auto"/>
            <w:vAlign w:val="center"/>
            <w:hideMark/>
          </w:tcPr>
          <w:p w:rsidR="003E6588" w:rsidRDefault="003E6588">
            <w:pPr>
              <w:jc w:val="both"/>
              <w:rPr>
                <w:sz w:val="20"/>
                <w:szCs w:val="20"/>
              </w:rPr>
            </w:pPr>
            <w:r>
              <w:rPr>
                <w:sz w:val="20"/>
                <w:szCs w:val="20"/>
              </w:rPr>
              <w:t>Execução das Obras Civis, do Emissario Final, da Urbanização da Estação Compacta de Tratamento de Esgoto - Distrito de Santa Isabel do Marinheiro, Município de Pedranópolis.</w:t>
            </w:r>
          </w:p>
        </w:tc>
      </w:tr>
      <w:tr w:rsidR="003E6588" w:rsidTr="0016096F">
        <w:trPr>
          <w:cantSplit/>
          <w:trHeight w:val="421"/>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Platina</w:t>
            </w:r>
          </w:p>
        </w:tc>
        <w:tc>
          <w:tcPr>
            <w:tcW w:w="6520" w:type="dxa"/>
            <w:tcBorders>
              <w:bottom w:val="single" w:sz="8" w:space="0" w:color="auto"/>
            </w:tcBorders>
            <w:shd w:val="clear" w:color="auto" w:fill="auto"/>
            <w:vAlign w:val="center"/>
            <w:hideMark/>
          </w:tcPr>
          <w:p w:rsidR="003E6588" w:rsidRDefault="003E6588">
            <w:pPr>
              <w:jc w:val="both"/>
              <w:rPr>
                <w:sz w:val="20"/>
                <w:szCs w:val="20"/>
              </w:rPr>
            </w:pPr>
            <w:r>
              <w:rPr>
                <w:sz w:val="20"/>
                <w:szCs w:val="20"/>
              </w:rPr>
              <w:t>Sistema de Esgotos Sanitários: Interceptor, Estação Elevatória de Esgotos, Linha de Recalque, Estação de Tratamento de Esgoto e Emissário Final – Sede.</w:t>
            </w:r>
          </w:p>
        </w:tc>
      </w:tr>
      <w:tr w:rsidR="003E6588" w:rsidTr="0016096F">
        <w:trPr>
          <w:cantSplit/>
          <w:trHeight w:val="289"/>
          <w:jc w:val="center"/>
        </w:trPr>
        <w:tc>
          <w:tcPr>
            <w:tcW w:w="3214" w:type="dxa"/>
            <w:vMerge w:val="restart"/>
            <w:shd w:val="clear" w:color="auto" w:fill="auto"/>
            <w:vAlign w:val="center"/>
            <w:hideMark/>
          </w:tcPr>
          <w:p w:rsidR="003E6588" w:rsidRDefault="003E6588">
            <w:pPr>
              <w:jc w:val="both"/>
              <w:rPr>
                <w:color w:val="000000"/>
                <w:sz w:val="20"/>
                <w:szCs w:val="20"/>
              </w:rPr>
            </w:pPr>
            <w:r>
              <w:rPr>
                <w:color w:val="000000"/>
                <w:sz w:val="20"/>
                <w:szCs w:val="20"/>
              </w:rPr>
              <w:t>Registro</w:t>
            </w:r>
          </w:p>
        </w:tc>
        <w:tc>
          <w:tcPr>
            <w:tcW w:w="6520" w:type="dxa"/>
            <w:tcBorders>
              <w:bottom w:val="nil"/>
            </w:tcBorders>
            <w:shd w:val="clear" w:color="auto" w:fill="auto"/>
            <w:vAlign w:val="center"/>
            <w:hideMark/>
          </w:tcPr>
          <w:p w:rsidR="003E6588" w:rsidRDefault="003E6588">
            <w:pPr>
              <w:jc w:val="both"/>
              <w:rPr>
                <w:sz w:val="20"/>
                <w:szCs w:val="20"/>
              </w:rPr>
            </w:pPr>
            <w:r>
              <w:rPr>
                <w:sz w:val="20"/>
                <w:szCs w:val="20"/>
              </w:rPr>
              <w:t>Execução de rede coletora, ligações, Estação Elevatória de Esgotos e Linha de Recalque no Bairro Alay Correa e no Jardim Ipanema.</w:t>
            </w:r>
          </w:p>
        </w:tc>
      </w:tr>
      <w:tr w:rsidR="003E6588" w:rsidTr="0016096F">
        <w:trPr>
          <w:trHeight w:val="216"/>
          <w:jc w:val="center"/>
        </w:trPr>
        <w:tc>
          <w:tcPr>
            <w:tcW w:w="3214" w:type="dxa"/>
            <w:vMerge/>
            <w:shd w:val="clear" w:color="auto" w:fill="auto"/>
            <w:vAlign w:val="center"/>
            <w:hideMark/>
          </w:tcPr>
          <w:p w:rsidR="003E6588" w:rsidRDefault="003E6588">
            <w:pPr>
              <w:jc w:val="both"/>
              <w:rPr>
                <w:color w:val="000000"/>
                <w:sz w:val="20"/>
                <w:szCs w:val="20"/>
              </w:rPr>
            </w:pPr>
          </w:p>
        </w:tc>
        <w:tc>
          <w:tcPr>
            <w:tcW w:w="6520" w:type="dxa"/>
            <w:tcBorders>
              <w:top w:val="nil"/>
            </w:tcBorders>
            <w:shd w:val="clear" w:color="auto" w:fill="auto"/>
            <w:vAlign w:val="center"/>
            <w:hideMark/>
          </w:tcPr>
          <w:p w:rsidR="003E6588" w:rsidRDefault="003E6588">
            <w:pPr>
              <w:jc w:val="both"/>
              <w:rPr>
                <w:sz w:val="20"/>
                <w:szCs w:val="20"/>
              </w:rPr>
            </w:pPr>
            <w:r>
              <w:rPr>
                <w:sz w:val="20"/>
                <w:szCs w:val="20"/>
              </w:rPr>
              <w:t>Remanejamento de rede coletora de esgotos e ligações prediais, nas Ruas Getulio Vargas, Amapá e Eric Verhulst, no Bairro Vila Cabral.</w:t>
            </w:r>
          </w:p>
        </w:tc>
      </w:tr>
      <w:tr w:rsidR="003E6588" w:rsidTr="0016096F">
        <w:trPr>
          <w:cantSplit/>
          <w:trHeight w:val="318"/>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São José dos Campos</w:t>
            </w:r>
          </w:p>
        </w:tc>
        <w:tc>
          <w:tcPr>
            <w:tcW w:w="6520" w:type="dxa"/>
            <w:shd w:val="clear" w:color="auto" w:fill="auto"/>
            <w:vAlign w:val="center"/>
            <w:hideMark/>
          </w:tcPr>
          <w:p w:rsidR="003E6588" w:rsidRDefault="003E6588">
            <w:pPr>
              <w:jc w:val="both"/>
              <w:rPr>
                <w:sz w:val="20"/>
                <w:szCs w:val="20"/>
              </w:rPr>
            </w:pPr>
            <w:r>
              <w:rPr>
                <w:sz w:val="20"/>
                <w:szCs w:val="20"/>
              </w:rPr>
              <w:t>Ampliação da Estação de Tratamento de Esgotos Lavapés (de 585 para 1.109 L/s).</w:t>
            </w:r>
          </w:p>
        </w:tc>
      </w:tr>
      <w:tr w:rsidR="003E6588" w:rsidTr="0016096F">
        <w:trPr>
          <w:cantSplit/>
          <w:trHeight w:val="396"/>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Socorro</w:t>
            </w:r>
          </w:p>
        </w:tc>
        <w:tc>
          <w:tcPr>
            <w:tcW w:w="6520" w:type="dxa"/>
            <w:shd w:val="clear" w:color="auto" w:fill="auto"/>
            <w:vAlign w:val="center"/>
            <w:hideMark/>
          </w:tcPr>
          <w:p w:rsidR="003E6588" w:rsidRDefault="003E6588">
            <w:pPr>
              <w:jc w:val="both"/>
              <w:rPr>
                <w:sz w:val="20"/>
                <w:szCs w:val="20"/>
              </w:rPr>
            </w:pPr>
            <w:r>
              <w:rPr>
                <w:sz w:val="20"/>
                <w:szCs w:val="20"/>
              </w:rPr>
              <w:t>Construção da Estação Tratamento de Esgoto, Estações Elevatórias (08 un), Interceptores, Coletores e Interligações (12 km) - Sede.</w:t>
            </w:r>
          </w:p>
        </w:tc>
      </w:tr>
      <w:tr w:rsidR="003E6588" w:rsidTr="0016096F">
        <w:trPr>
          <w:cantSplit/>
          <w:trHeight w:val="346"/>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Tapiraí</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Execução de rede coletora, ligações, Estação Elevatória de Esgotos e Linha de Recalque nos Bairros Turvo, Quaresmal e Sede.</w:t>
            </w:r>
          </w:p>
        </w:tc>
      </w:tr>
      <w:tr w:rsidR="003E6588" w:rsidTr="0016096F">
        <w:trPr>
          <w:cantSplit/>
          <w:trHeight w:val="437"/>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Tatuí</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Sistema de Coleta de Esgoto do Bairro Santa Rita: Estação Elevatória de Esgotos, Linha de Recalque (842 m) e Emissário (1.200 m).</w:t>
            </w:r>
          </w:p>
        </w:tc>
      </w:tr>
      <w:tr w:rsidR="003E6588" w:rsidTr="0016096F">
        <w:trPr>
          <w:cantSplit/>
          <w:trHeight w:val="657"/>
          <w:jc w:val="center"/>
        </w:trPr>
        <w:tc>
          <w:tcPr>
            <w:tcW w:w="3214" w:type="dxa"/>
            <w:shd w:val="clear" w:color="auto" w:fill="auto"/>
            <w:vAlign w:val="center"/>
            <w:hideMark/>
          </w:tcPr>
          <w:p w:rsidR="003E6588" w:rsidRDefault="003E6588">
            <w:pPr>
              <w:jc w:val="both"/>
              <w:rPr>
                <w:color w:val="000000"/>
                <w:sz w:val="20"/>
                <w:szCs w:val="20"/>
              </w:rPr>
            </w:pPr>
            <w:r>
              <w:rPr>
                <w:color w:val="000000"/>
                <w:sz w:val="20"/>
                <w:szCs w:val="20"/>
              </w:rPr>
              <w:t>Valentim Gentil</w:t>
            </w:r>
          </w:p>
        </w:tc>
        <w:tc>
          <w:tcPr>
            <w:tcW w:w="6520" w:type="dxa"/>
            <w:shd w:val="clear" w:color="auto" w:fill="auto"/>
            <w:vAlign w:val="center"/>
            <w:hideMark/>
          </w:tcPr>
          <w:p w:rsidR="003E6588" w:rsidRDefault="003E6588">
            <w:pPr>
              <w:jc w:val="both"/>
              <w:rPr>
                <w:color w:val="000000"/>
                <w:sz w:val="20"/>
                <w:szCs w:val="20"/>
              </w:rPr>
            </w:pPr>
            <w:r>
              <w:rPr>
                <w:color w:val="000000"/>
                <w:sz w:val="20"/>
                <w:szCs w:val="20"/>
              </w:rPr>
              <w:t>Sistema de Esgotos Sanitários: Emissário (3,45 km), Estação de Tratamento de Esgotos (lagoas), Remanejamento de Adutora (0,33 km) e Emissário Final (0,16 km) - Sede.</w:t>
            </w:r>
          </w:p>
        </w:tc>
      </w:tr>
    </w:tbl>
    <w:p w:rsidR="003E6588" w:rsidRDefault="003E6588">
      <w:pPr>
        <w:autoSpaceDE w:val="0"/>
        <w:autoSpaceDN w:val="0"/>
        <w:adjustRightInd w:val="0"/>
        <w:rPr>
          <w:rFonts w:cs="Arial"/>
          <w:sz w:val="20"/>
          <w:szCs w:val="20"/>
        </w:rPr>
      </w:pPr>
    </w:p>
    <w:p w:rsidR="003E6588" w:rsidRDefault="003E6588">
      <w:pPr>
        <w:autoSpaceDE w:val="0"/>
        <w:autoSpaceDN w:val="0"/>
        <w:adjustRightInd w:val="0"/>
        <w:ind w:firstLine="1134"/>
        <w:jc w:val="both"/>
      </w:pPr>
      <w:r>
        <w:rPr>
          <w:b/>
        </w:rPr>
        <w:t xml:space="preserve">Córrego Limpo - </w:t>
      </w:r>
      <w:r>
        <w:t>O programa é promovido desde 2007 em parceria com a Prefeitura do Município de São Paulo e consiste em ações voltadas a despoluir córregos e corpos d’água da Capital, contribuindo para os esforços da Sabesp para recuperação dos Rios Tietê e Pinheiros. O objetivo é coibir o despejo de esgotos em córregos e evitar a ocupação irregular de suas margens.</w:t>
      </w:r>
    </w:p>
    <w:p w:rsidR="003E6588" w:rsidRDefault="003E6588">
      <w:pPr>
        <w:autoSpaceDE w:val="0"/>
        <w:autoSpaceDN w:val="0"/>
        <w:adjustRightInd w:val="0"/>
        <w:ind w:firstLine="992"/>
        <w:jc w:val="both"/>
      </w:pPr>
    </w:p>
    <w:p w:rsidR="003E6588" w:rsidRDefault="003E6588">
      <w:pPr>
        <w:autoSpaceDE w:val="0"/>
        <w:autoSpaceDN w:val="0"/>
        <w:adjustRightInd w:val="0"/>
        <w:ind w:firstLine="1134"/>
        <w:jc w:val="both"/>
      </w:pPr>
      <w:r>
        <w:t>Entre 2011 e 2014, 51 córregos foram despoluídos e evitaram que 423 l/s de esgotos fossem lançados nos corpos d’água. Neste período, cerca de 384 mil pessoas foram diretamente beneficiadas com as ações, que também colaboram para a melhoria das condições de saúde da população ao minimizar contaminações por doenças de veiculação hídrica.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Quando se consideram os resultados obtidos desde o início do programa, em 2007, o Córrego Limpo já conseguiu despoluir 147 córregos, evitar o despejo de 1,4 mil l/s de esgotos nos corpos d’água e beneficiar 1,9 milhão de habitantes no Município de São Paulo. Mais 25 córregos têm obras em andamento e deverão ser contemplados até 2015.</w:t>
      </w:r>
    </w:p>
    <w:p w:rsidR="003E6588" w:rsidRDefault="003E6588">
      <w:pPr>
        <w:autoSpaceDE w:val="0"/>
        <w:autoSpaceDN w:val="0"/>
        <w:adjustRightInd w:val="0"/>
        <w:ind w:left="426"/>
        <w:jc w:val="both"/>
      </w:pPr>
    </w:p>
    <w:p w:rsidR="003E6588" w:rsidRDefault="003E6588">
      <w:pPr>
        <w:autoSpaceDE w:val="0"/>
        <w:autoSpaceDN w:val="0"/>
        <w:adjustRightInd w:val="0"/>
        <w:ind w:firstLine="1134"/>
        <w:jc w:val="both"/>
      </w:pPr>
      <w:r>
        <w:rPr>
          <w:b/>
          <w:bCs/>
        </w:rPr>
        <w:t xml:space="preserve">Programa Metropolitano de Água - </w:t>
      </w:r>
      <w:r>
        <w:t>As ações do programa se iniciaram na década de 1990, diante da necessidade de enfrentar e superar o problema de falta d’água que afetava parte dos clientes da empresa na Região Metropolitana de São Paulo, então sujeitos a abastecimento em sistema de rodízio. O problema foi sanado em 1998, mas as iniciativas foram mantidas, a fim de que a demanda fosse seguramente suprida.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Desde 2011, as ações empreendidas pela Sabesp como parte da segunda etapa do programa permitiram aumento de 4,1 m³/s nos mananciais operados pela Companhia na Grande São Paulo.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lastRenderedPageBreak/>
        <w:t>A capacidade de produção dos oito sistemas da empresa na Região Metropolitana cresceu 6,6 m³/s. Nestes últimos quatro anos, as capacidades de adução e reservação foram aumentadas em 74 km e 86 mil m³, respectivamente.</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Principais iniciativas: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rPr>
          <w:b/>
        </w:rPr>
      </w:pPr>
      <w:r>
        <w:rPr>
          <w:b/>
        </w:rPr>
        <w:t>Aumento de Mananciais</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Ampliação da disponibilidade hídrica do Sistema Alto Tietê - complementação da represa Taiaçupeba;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Ampliação da disponibilidade hídrica do Sistema Produtor Rio Grande - ampliação da outorga do braço do Rio Grande;</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Captações da reserva técnica do Sistema Cantareira: represa Jacareí (1ª etapa) e represa Atibainha (2ª etapa).</w:t>
      </w:r>
    </w:p>
    <w:p w:rsidR="003E6588" w:rsidRDefault="003E6588" w:rsidP="00161D23">
      <w:pPr>
        <w:autoSpaceDE w:val="0"/>
        <w:autoSpaceDN w:val="0"/>
        <w:adjustRightInd w:val="0"/>
        <w:jc w:val="both"/>
      </w:pPr>
    </w:p>
    <w:p w:rsidR="003E6588" w:rsidRDefault="003E6588">
      <w:pPr>
        <w:autoSpaceDE w:val="0"/>
        <w:autoSpaceDN w:val="0"/>
        <w:adjustRightInd w:val="0"/>
        <w:ind w:firstLine="1134"/>
        <w:jc w:val="both"/>
        <w:rPr>
          <w:b/>
        </w:rPr>
      </w:pPr>
      <w:r>
        <w:rPr>
          <w:b/>
        </w:rPr>
        <w:t>Aumento de capacidade de produção</w:t>
      </w:r>
    </w:p>
    <w:p w:rsidR="003E6588" w:rsidRDefault="003E6588">
      <w:pPr>
        <w:autoSpaceDE w:val="0"/>
        <w:autoSpaceDN w:val="0"/>
        <w:adjustRightInd w:val="0"/>
        <w:ind w:left="709"/>
        <w:jc w:val="both"/>
      </w:pPr>
    </w:p>
    <w:p w:rsidR="003E6588" w:rsidRDefault="003E6588">
      <w:pPr>
        <w:autoSpaceDE w:val="0"/>
        <w:autoSpaceDN w:val="0"/>
        <w:adjustRightInd w:val="0"/>
        <w:ind w:firstLine="1134"/>
        <w:jc w:val="both"/>
      </w:pPr>
      <w:r>
        <w:t>Ampliação do Sistema Produtor Alto Tietê;</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Reforma e ampliação da ETA Rio Grande - Sistema Produtor Rio Grande;</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Ampliação do Sistema Produtor Guarapiranga - adequação da ETA ABV;</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Implantação da ETA Embu-Guaçu.</w:t>
      </w:r>
    </w:p>
    <w:p w:rsidR="003E6588" w:rsidRDefault="003E6588">
      <w:pPr>
        <w:autoSpaceDE w:val="0"/>
        <w:autoSpaceDN w:val="0"/>
        <w:adjustRightInd w:val="0"/>
        <w:ind w:left="1560"/>
        <w:jc w:val="both"/>
      </w:pPr>
    </w:p>
    <w:p w:rsidR="003E6588" w:rsidRDefault="003E6588">
      <w:pPr>
        <w:autoSpaceDE w:val="0"/>
        <w:autoSpaceDN w:val="0"/>
        <w:adjustRightInd w:val="0"/>
        <w:ind w:firstLine="1134"/>
        <w:jc w:val="both"/>
        <w:rPr>
          <w:b/>
        </w:rPr>
      </w:pPr>
      <w:r>
        <w:rPr>
          <w:b/>
        </w:rPr>
        <w:t>Ampliação de capacidade de transporte (adução)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Adutoras do sistema Alto Tietê;</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Adutora e elevatória Guaraú-Jaraguá (Jd. Damasceno) para Jaraguá, Perus, Caieiras, Franco da Rocha e Francisco Morato;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Adutora Mutinga-Vila Iracema - Região Oeste (Osasco, Barueri, Jandira e Itapevi);</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Elevatória e reservatório da ETA Baixo Cotia: Barueri, Jandira e Itapevi;</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rPr>
          <w:i/>
        </w:rPr>
        <w:t xml:space="preserve">Booster </w:t>
      </w:r>
      <w:r>
        <w:t>João XXIII - Região Oeste;</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Adutoras, elevatória e booster Jd. São Luiz-Jd. Ângela na Região Sul;</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Duplicação da adutora Vargem Grande Paulista - Região Oeste;</w:t>
      </w:r>
    </w:p>
    <w:p w:rsidR="003E6588" w:rsidRDefault="003E6588">
      <w:pPr>
        <w:autoSpaceDE w:val="0"/>
        <w:autoSpaceDN w:val="0"/>
        <w:adjustRightInd w:val="0"/>
        <w:ind w:firstLine="1134"/>
        <w:jc w:val="both"/>
      </w:pPr>
      <w:r>
        <w:lastRenderedPageBreak/>
        <w:t>Adutoras Parque Seleta-Jd. Silvina e São Pedro - São Bernardo do Campo;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Subadutora Sacomã - Região Centro-Sul;</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Elevatória e adutora Grajaú-Parelheiros - Região Sul.</w:t>
      </w:r>
    </w:p>
    <w:p w:rsidR="003E6588" w:rsidRDefault="003E6588">
      <w:pPr>
        <w:autoSpaceDE w:val="0"/>
        <w:autoSpaceDN w:val="0"/>
        <w:adjustRightInd w:val="0"/>
        <w:ind w:left="1560"/>
        <w:jc w:val="both"/>
      </w:pPr>
    </w:p>
    <w:p w:rsidR="003E6588" w:rsidRDefault="003E6588">
      <w:pPr>
        <w:autoSpaceDE w:val="0"/>
        <w:autoSpaceDN w:val="0"/>
        <w:adjustRightInd w:val="0"/>
        <w:ind w:firstLine="1134"/>
        <w:jc w:val="both"/>
        <w:rPr>
          <w:b/>
        </w:rPr>
      </w:pPr>
      <w:r>
        <w:rPr>
          <w:b/>
        </w:rPr>
        <w:t>Aumento de capacidade de reservação</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Reservação para regularização das ETAs Baixo Cotia e Taiaçupeba;</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Reservatórios do Sistema Alto Tietê: Anchieta, P</w:t>
      </w:r>
      <w:r w:rsidR="00161D23">
        <w:t>ar</w:t>
      </w:r>
      <w:r>
        <w:t>q</w:t>
      </w:r>
      <w:r w:rsidR="00161D23">
        <w:t>ue</w:t>
      </w:r>
      <w:r>
        <w:t xml:space="preserve"> do Carmo e P</w:t>
      </w:r>
      <w:r w:rsidR="00161D23">
        <w:t>ar</w:t>
      </w:r>
      <w:r>
        <w:t>q</w:t>
      </w:r>
      <w:r w:rsidR="00161D23">
        <w:t>ue</w:t>
      </w:r>
      <w:r>
        <w:t xml:space="preserve"> Savoy.</w:t>
      </w:r>
    </w:p>
    <w:p w:rsidR="003E6588" w:rsidRDefault="003E6588">
      <w:pPr>
        <w:autoSpaceDE w:val="0"/>
        <w:autoSpaceDN w:val="0"/>
        <w:adjustRightInd w:val="0"/>
        <w:ind w:left="2552"/>
      </w:pPr>
    </w:p>
    <w:p w:rsidR="003E6588" w:rsidRDefault="003E6588">
      <w:pPr>
        <w:autoSpaceDE w:val="0"/>
        <w:autoSpaceDN w:val="0"/>
        <w:adjustRightInd w:val="0"/>
        <w:ind w:firstLine="1134"/>
        <w:jc w:val="both"/>
      </w:pPr>
      <w:r>
        <w:t>Estas ações, bem como medidas de ordem operacional e a instituição de programa de concessão de bônus para clientes que reduziram o consumo, estão permitindo à Companhia enfrentar a maior crise hídrica de sua história, consubstanciada na maior seca registrada nos últimos 84 anos na região da Bacia do Alto Tietê.</w:t>
      </w:r>
    </w:p>
    <w:p w:rsidR="003E6588" w:rsidRDefault="003E6588">
      <w:pPr>
        <w:autoSpaceDE w:val="0"/>
        <w:autoSpaceDN w:val="0"/>
        <w:adjustRightInd w:val="0"/>
        <w:ind w:firstLine="992"/>
        <w:jc w:val="both"/>
      </w:pPr>
    </w:p>
    <w:p w:rsidR="003E6588" w:rsidRDefault="003E6588">
      <w:pPr>
        <w:autoSpaceDE w:val="0"/>
        <w:autoSpaceDN w:val="0"/>
        <w:adjustRightInd w:val="0"/>
        <w:ind w:firstLine="1134"/>
        <w:jc w:val="both"/>
      </w:pPr>
      <w:r>
        <w:t>Em 2013, os objetivos do Programa Metropolitano de Água foram revisados, dando início à terceira fase. O objetivo é aumentar em 9,5 m³/s a capacidade de produção de água na Região Metropolitana de São Paulo até 2018, incluindo a implantação do novo sistema produtor São Lourenço.</w:t>
      </w:r>
    </w:p>
    <w:p w:rsidR="003E6588" w:rsidRDefault="003E6588">
      <w:pPr>
        <w:autoSpaceDE w:val="0"/>
        <w:autoSpaceDN w:val="0"/>
        <w:adjustRightInd w:val="0"/>
        <w:ind w:left="1418"/>
        <w:jc w:val="both"/>
      </w:pPr>
    </w:p>
    <w:p w:rsidR="003E6588" w:rsidRDefault="003E6588">
      <w:pPr>
        <w:tabs>
          <w:tab w:val="left" w:pos="851"/>
        </w:tabs>
        <w:autoSpaceDE w:val="0"/>
        <w:autoSpaceDN w:val="0"/>
        <w:adjustRightInd w:val="0"/>
        <w:ind w:firstLine="1134"/>
        <w:jc w:val="both"/>
      </w:pPr>
      <w:r>
        <w:rPr>
          <w:b/>
        </w:rPr>
        <w:t xml:space="preserve">Programa Corporativo de Redução de Perdas de Água - </w:t>
      </w:r>
      <w:r>
        <w:t xml:space="preserve">Os esforços da Sabesp para garantir a segurança no abastecimento de água em sua área de atuação incidem também sobre a demanda. A Companhia busca promover o consumo consciente da água, deixando claro para seus clientes que se está lidando com bem cada vez mais escasso. A empresa investe na redução de perdas que ocorrem </w:t>
      </w:r>
      <w:bookmarkStart w:id="18" w:name="OLE_LINK1"/>
      <w:bookmarkStart w:id="19" w:name="OLE_LINK2"/>
      <w:r>
        <w:t>por meio de vazamentos (as chamadas “perdas físicas”) e desvios, fraudes e falhas em hidrômetros (as “perdas aparentes”)</w:t>
      </w:r>
      <w:bookmarkEnd w:id="18"/>
      <w:bookmarkEnd w:id="19"/>
      <w:r>
        <w:t>.</w:t>
      </w:r>
    </w:p>
    <w:p w:rsidR="003E6588" w:rsidRDefault="003E6588">
      <w:pPr>
        <w:tabs>
          <w:tab w:val="left" w:pos="851"/>
        </w:tabs>
        <w:autoSpaceDE w:val="0"/>
        <w:autoSpaceDN w:val="0"/>
        <w:adjustRightInd w:val="0"/>
        <w:ind w:firstLine="1134"/>
        <w:jc w:val="both"/>
      </w:pPr>
    </w:p>
    <w:p w:rsidR="003E6588" w:rsidRDefault="003E6588">
      <w:pPr>
        <w:tabs>
          <w:tab w:val="left" w:pos="851"/>
        </w:tabs>
        <w:autoSpaceDE w:val="0"/>
        <w:autoSpaceDN w:val="0"/>
        <w:adjustRightInd w:val="0"/>
        <w:ind w:firstLine="1134"/>
        <w:jc w:val="both"/>
      </w:pPr>
      <w:r>
        <w:t xml:space="preserve">Neste sentido, desde 2009 a Sabesp pôs em marcha o Programa Corporativo de Redução de Perdas, cujo objetivo é diminuir sensivelmente o percentual de água perdida </w:t>
      </w:r>
      <w:r w:rsidR="00163A80">
        <w:t>-</w:t>
      </w:r>
      <w:r>
        <w:t xml:space="preserve"> àquela época, o índice de perdas relativo à micromedição estava em 34,1%.</w:t>
      </w:r>
    </w:p>
    <w:p w:rsidR="003E6588" w:rsidRDefault="003E6588">
      <w:pPr>
        <w:tabs>
          <w:tab w:val="left" w:pos="851"/>
        </w:tabs>
        <w:autoSpaceDE w:val="0"/>
        <w:autoSpaceDN w:val="0"/>
        <w:adjustRightInd w:val="0"/>
        <w:ind w:firstLine="1134"/>
        <w:jc w:val="both"/>
      </w:pPr>
    </w:p>
    <w:p w:rsidR="003E6588" w:rsidRDefault="003E6588">
      <w:pPr>
        <w:tabs>
          <w:tab w:val="left" w:pos="851"/>
        </w:tabs>
        <w:autoSpaceDE w:val="0"/>
        <w:autoSpaceDN w:val="0"/>
        <w:adjustRightInd w:val="0"/>
        <w:ind w:firstLine="1134"/>
        <w:jc w:val="both"/>
      </w:pPr>
      <w:r>
        <w:t>Até agora, a Companhia conseguiu reduzir as perdas para 30,5%. Em litros por ligação/dia, a redução foi de 430 para 345.</w:t>
      </w:r>
    </w:p>
    <w:p w:rsidR="003E6588" w:rsidRDefault="003E6588">
      <w:pPr>
        <w:tabs>
          <w:tab w:val="left" w:pos="851"/>
        </w:tabs>
        <w:autoSpaceDE w:val="0"/>
        <w:autoSpaceDN w:val="0"/>
        <w:adjustRightInd w:val="0"/>
        <w:ind w:firstLine="1134"/>
        <w:jc w:val="both"/>
      </w:pPr>
    </w:p>
    <w:p w:rsidR="003E6588" w:rsidRDefault="003E6588">
      <w:pPr>
        <w:tabs>
          <w:tab w:val="left" w:pos="851"/>
        </w:tabs>
        <w:autoSpaceDE w:val="0"/>
        <w:autoSpaceDN w:val="0"/>
        <w:adjustRightInd w:val="0"/>
        <w:ind w:firstLine="1134"/>
        <w:jc w:val="both"/>
      </w:pPr>
      <w:r>
        <w:t>O volume recuperado desde 2007 soma 218 milhões de m³, suficientes para abastecer em torno de 4 milhões de pessoas durante um ano. Estima-se que atualmente cada ponto percentual de queda nas perdas representa volume de água suficiente para fazer frente ao consumo de 300 mil pessoas.</w:t>
      </w:r>
    </w:p>
    <w:p w:rsidR="003E6588" w:rsidRDefault="003E6588">
      <w:pPr>
        <w:tabs>
          <w:tab w:val="left" w:pos="851"/>
        </w:tabs>
        <w:autoSpaceDE w:val="0"/>
        <w:autoSpaceDN w:val="0"/>
        <w:adjustRightInd w:val="0"/>
        <w:ind w:firstLine="1134"/>
        <w:jc w:val="both"/>
      </w:pPr>
    </w:p>
    <w:p w:rsidR="003E6588" w:rsidRDefault="003E6588">
      <w:pPr>
        <w:tabs>
          <w:tab w:val="left" w:pos="851"/>
        </w:tabs>
        <w:autoSpaceDE w:val="0"/>
        <w:autoSpaceDN w:val="0"/>
        <w:adjustRightInd w:val="0"/>
        <w:ind w:firstLine="1134"/>
        <w:jc w:val="both"/>
      </w:pPr>
      <w:r>
        <w:t>O Programa Corporativo de Redução de Perdas visa aproximar o desempenho da Sabesp neste quesito - no qual a média das empresas de saneamento brasileiras situa-se em torno de 37% - do padrão internacional.</w:t>
      </w:r>
    </w:p>
    <w:p w:rsidR="003E6588" w:rsidRDefault="003E6588">
      <w:pPr>
        <w:tabs>
          <w:tab w:val="left" w:pos="851"/>
        </w:tabs>
        <w:autoSpaceDE w:val="0"/>
        <w:autoSpaceDN w:val="0"/>
        <w:adjustRightInd w:val="0"/>
        <w:ind w:firstLine="1134"/>
        <w:jc w:val="both"/>
      </w:pPr>
      <w:r>
        <w:lastRenderedPageBreak/>
        <w:t>A meta é chegar a 25,9% em fins de 2020. As principais ações de combate a perdas são substituição de redes, ramais e hidrômetros, implantação de obras de setorização e distritos de medição e controle nos sistemas de abastecimento, além do combate a ligações irregulares (fraudes) e varredura de vazamentos não visíveis.</w:t>
      </w:r>
    </w:p>
    <w:p w:rsidR="003E6588" w:rsidRDefault="003E6588">
      <w:pPr>
        <w:tabs>
          <w:tab w:val="left" w:pos="851"/>
        </w:tabs>
        <w:autoSpaceDE w:val="0"/>
        <w:autoSpaceDN w:val="0"/>
        <w:adjustRightInd w:val="0"/>
        <w:ind w:firstLine="1134"/>
        <w:jc w:val="both"/>
      </w:pPr>
    </w:p>
    <w:p w:rsidR="003E6588" w:rsidRDefault="003E6588">
      <w:pPr>
        <w:tabs>
          <w:tab w:val="left" w:pos="851"/>
        </w:tabs>
        <w:autoSpaceDE w:val="0"/>
        <w:autoSpaceDN w:val="0"/>
        <w:adjustRightInd w:val="0"/>
        <w:ind w:firstLine="1134"/>
        <w:jc w:val="both"/>
      </w:pPr>
      <w:r>
        <w:t>Entre 2011 e 2014, foram substituídos 956 mil ramais e 1,9 milhão de hidrômetros. Além disso, em 122 mil km de redes e em 3,1 milhões de unidades foram feitas pesquisas de vazamentos. Os investimentos nestas ações somaram R$ 1,9 bilhão.</w:t>
      </w:r>
    </w:p>
    <w:p w:rsidR="003E6588" w:rsidRDefault="003E6588">
      <w:pPr>
        <w:tabs>
          <w:tab w:val="left" w:pos="851"/>
        </w:tabs>
        <w:autoSpaceDE w:val="0"/>
        <w:autoSpaceDN w:val="0"/>
        <w:adjustRightInd w:val="0"/>
        <w:ind w:firstLine="1134"/>
        <w:jc w:val="both"/>
      </w:pPr>
    </w:p>
    <w:p w:rsidR="003E6588" w:rsidRDefault="003E6588">
      <w:pPr>
        <w:tabs>
          <w:tab w:val="left" w:pos="851"/>
        </w:tabs>
        <w:autoSpaceDE w:val="0"/>
        <w:autoSpaceDN w:val="0"/>
        <w:adjustRightInd w:val="0"/>
        <w:ind w:firstLine="1134"/>
        <w:jc w:val="both"/>
      </w:pPr>
      <w:r>
        <w:t xml:space="preserve">O programa conta com financiamento da </w:t>
      </w:r>
      <w:r>
        <w:rPr>
          <w:i/>
        </w:rPr>
        <w:t>Jica (Japan International Cooperation Agency)</w:t>
      </w:r>
      <w:r>
        <w:t>, da Caixa e do BNDES, além de recursos próprios, e tem previsão de investimento de R$ 6,7 bilhões. Deste total, R$ 2,4 bilhões foram aplicados desde 2009, quando as ações tiveram início.</w:t>
      </w:r>
    </w:p>
    <w:p w:rsidR="003E6588" w:rsidRDefault="003E6588">
      <w:pPr>
        <w:ind w:firstLine="1134"/>
        <w:jc w:val="both"/>
        <w:rPr>
          <w:rFonts w:cs="Arial"/>
          <w:bCs/>
          <w:sz w:val="20"/>
          <w:szCs w:val="20"/>
        </w:rPr>
      </w:pPr>
    </w:p>
    <w:p w:rsidR="003E6588" w:rsidRDefault="003E6588"/>
    <w:p w:rsidR="003E6588" w:rsidRDefault="003E6588">
      <w:pPr>
        <w:rPr>
          <w:b/>
          <w:bCs/>
        </w:rPr>
      </w:pPr>
      <w:r>
        <w:br w:type="page"/>
      </w:r>
      <w:r>
        <w:rPr>
          <w:b/>
          <w:bCs/>
        </w:rPr>
        <w:lastRenderedPageBreak/>
        <w:t>SECRETARIA DA SAÚDE</w:t>
      </w:r>
    </w:p>
    <w:p w:rsidR="003E6588" w:rsidRDefault="003E6588"/>
    <w:p w:rsidR="003E6588" w:rsidRDefault="003E6588"/>
    <w:p w:rsidR="003E6588" w:rsidRDefault="003E6588">
      <w:pPr>
        <w:ind w:firstLine="1134"/>
        <w:jc w:val="both"/>
      </w:pPr>
      <w:r>
        <w:t>No atual desenho do SUS, resultado das diretrizes nacionais do sistema, a Secretaria da Saúde tem a responsabilidade geral de formulação e coordenação da política do SUS no Estado. As funções da SS podem ser resumidas em cinco dimensões:</w:t>
      </w:r>
    </w:p>
    <w:p w:rsidR="003E6588" w:rsidRDefault="003E6588">
      <w:pPr>
        <w:ind w:firstLine="1134"/>
        <w:jc w:val="both"/>
      </w:pPr>
    </w:p>
    <w:p w:rsidR="003E6588" w:rsidRDefault="003E6588">
      <w:pPr>
        <w:ind w:firstLine="1134"/>
        <w:jc w:val="both"/>
      </w:pPr>
      <w:r>
        <w:rPr>
          <w:b/>
        </w:rPr>
        <w:t>Manter a rede assistencial própria do Governo do Estado</w:t>
      </w:r>
      <w:r>
        <w:t xml:space="preserve"> - São os serviços próprios estaduais de saúde, hospitalares ou ambulatoriais da administração direta, indireta (fundações e autarquias) e de Organizações Sociais de Saúde - OSS, que são referência regional, especializada ou de alta complexidade do sistema. Saliente-se que a rede inclui grandes hospitais universitários, como os Hospitais de Clínicas da Faculdade de Medicina de São Paulo e da Faculdade de Medicina de Ribeirão Preto da Universidade de São Paulo - USP, da Faculdade de Medicina da Universidade de Campinas - UNICAMP e da Faculdade de Medicina da Universidade Paulista - UNESP, o Instituto do Coração - INCOR/USP e o Instituto Dante Pazzanese de Cardiologia.</w:t>
      </w:r>
    </w:p>
    <w:p w:rsidR="003E6588" w:rsidRDefault="003E6588">
      <w:pPr>
        <w:ind w:firstLine="1134"/>
        <w:jc w:val="both"/>
      </w:pPr>
    </w:p>
    <w:p w:rsidR="003E6588" w:rsidRDefault="003E6588">
      <w:pPr>
        <w:ind w:firstLine="1134"/>
        <w:jc w:val="both"/>
      </w:pPr>
      <w:r>
        <w:rPr>
          <w:b/>
        </w:rPr>
        <w:t>Gerir, planejar e regular a rede assistencial vinculada ao SUS</w:t>
      </w:r>
      <w:r>
        <w:t xml:space="preserve"> - São os serviços de assistência médica de maior complexidade vinculados ao SUS, de caráter estadual ou regional, que permanecem sob gestão da SS (rede de Santas Casas e hospitais filantrópicos, Hospitais de Ensino, serviços especializados de oncologia, nefrologia, hemorrede).</w:t>
      </w:r>
    </w:p>
    <w:p w:rsidR="003E6588" w:rsidRDefault="003E6588">
      <w:pPr>
        <w:ind w:firstLine="1134"/>
        <w:jc w:val="both"/>
      </w:pPr>
    </w:p>
    <w:p w:rsidR="003E6588" w:rsidRDefault="003E6588">
      <w:pPr>
        <w:ind w:firstLine="1134"/>
        <w:jc w:val="both"/>
      </w:pPr>
      <w:r>
        <w:rPr>
          <w:b/>
        </w:rPr>
        <w:t xml:space="preserve">Manter os órgãos estaduais de apoio às ações da Secretaria </w:t>
      </w:r>
      <w:r>
        <w:t>- São os institutos e fundações com funções específicas na saúde estadual, como a Fundação para o Remédio Popular - FURP, Fundação Pró-Sangue Hemocentro de São Paulo, Fundação Oncocentro - FOSP, Instituto Emílio Ribas, Centro de Referência e Treinamento de Doenças Sexualmente Transmissíveis - DST/Aids, institutos de pesquisa (Instituto Butantan, Adolfo Lutz, Instituto de Saúde, Instituto Pasteur e Instituto Lauro de Souza Lima).</w:t>
      </w:r>
    </w:p>
    <w:p w:rsidR="003E6588" w:rsidRDefault="003E6588">
      <w:pPr>
        <w:ind w:firstLine="1134"/>
        <w:jc w:val="both"/>
      </w:pPr>
    </w:p>
    <w:p w:rsidR="003E6588" w:rsidRDefault="003E6588">
      <w:pPr>
        <w:ind w:firstLine="1134"/>
        <w:jc w:val="both"/>
      </w:pPr>
      <w:r>
        <w:rPr>
          <w:b/>
        </w:rPr>
        <w:t>Realizar, coordenar e planejar as ações de saúde coletiva no Estado</w:t>
      </w:r>
      <w:r>
        <w:t xml:space="preserve"> - </w:t>
      </w:r>
      <w:r w:rsidR="00913F79">
        <w:t xml:space="preserve">Estabelecer </w:t>
      </w:r>
      <w:r>
        <w:t>as normas estaduais e realizar ações de vigilância epidemiológica e sanitária, de combate aos vetores e outras ações de interesse para a saúde coletiva, por meio de seus órgãos centrais e regionais, como o Centro de Vigilância Epidemiológica - CVE, o Centro de Vigilância Sanitária - CVS, o Centro de Distribuição e Logística e a Superintendência de Controle de Endemias - SUCEN.</w:t>
      </w:r>
    </w:p>
    <w:p w:rsidR="003E6588" w:rsidRDefault="003E6588">
      <w:pPr>
        <w:ind w:firstLine="1134"/>
        <w:jc w:val="both"/>
      </w:pPr>
    </w:p>
    <w:p w:rsidR="003E6588" w:rsidRDefault="003E6588">
      <w:pPr>
        <w:ind w:firstLine="1134"/>
        <w:jc w:val="both"/>
      </w:pPr>
      <w:r>
        <w:rPr>
          <w:b/>
        </w:rPr>
        <w:t>Desenvolver ações de supervisão, capacitação, acompanhamento, avaliação e apoio aos sistemas de saúde municipais</w:t>
      </w:r>
      <w:r>
        <w:t xml:space="preserve"> - </w:t>
      </w:r>
      <w:r w:rsidR="00913F79">
        <w:t xml:space="preserve">Por </w:t>
      </w:r>
      <w:r>
        <w:t>meio de seus órgãos centrais e regionais (17 Departamentos Regionais de Saúde - DRS), a SS participa dos 63 colegiados regionais de saúde (em conjunto com os representantes municipais), prestando auxílio aos sistemas municipais de saúde e formulando estratégias de aperfeiçoamento do sistema.</w:t>
      </w:r>
    </w:p>
    <w:p w:rsidR="003E6588" w:rsidRDefault="003E6588">
      <w:pPr>
        <w:ind w:firstLine="1134"/>
        <w:jc w:val="both"/>
        <w:rPr>
          <w:b/>
        </w:rPr>
      </w:pPr>
    </w:p>
    <w:p w:rsidR="003E6588" w:rsidRDefault="003E6588">
      <w:pPr>
        <w:ind w:firstLine="1134"/>
        <w:jc w:val="both"/>
      </w:pPr>
      <w:r>
        <w:rPr>
          <w:b/>
        </w:rPr>
        <w:t xml:space="preserve">Dimensão Geral do SUS e da Rede Estadual Própria de Saúde - </w:t>
      </w:r>
      <w:r>
        <w:t>O SUS no Estado manteve 570 hospitais,</w:t>
      </w:r>
      <w:r>
        <w:rPr>
          <w:color w:val="FF0000"/>
        </w:rPr>
        <w:t xml:space="preserve"> </w:t>
      </w:r>
      <w:r>
        <w:t>com 58,8 mil leitos de internação e 6,6 mil leitos complementares (terapia intensiva e unidades intermediárias),</w:t>
      </w:r>
      <w:r>
        <w:rPr>
          <w:color w:val="FF0000"/>
        </w:rPr>
        <w:t xml:space="preserve"> </w:t>
      </w:r>
      <w:r>
        <w:t>que realizam 2,37 milhões de internações/ano.</w:t>
      </w:r>
      <w:r>
        <w:rPr>
          <w:color w:val="FF0000"/>
        </w:rPr>
        <w:t xml:space="preserve"> </w:t>
      </w:r>
      <w:r>
        <w:t xml:space="preserve">A rede hospitalar </w:t>
      </w:r>
      <w:r>
        <w:lastRenderedPageBreak/>
        <w:t>própria da Secretaria da Saúde possui 95 hospitais, 17,7 mil leitos de internação e 2,9 mil leitos complementares (terapia intensiva, cuidados intermediários) da Administração Direta, Administração Indireta - autarquias e fundações e aqueles contratualizados pelas Organizações Sociais de Saúde,</w:t>
      </w:r>
      <w:r>
        <w:rPr>
          <w:color w:val="FF0000"/>
        </w:rPr>
        <w:t xml:space="preserve"> </w:t>
      </w:r>
      <w:r>
        <w:t>que realizaram 742 mil internações (representando 31% do total de internações do SUS) e 274,3 mil cirurgias, que representam 35% das cirurgias no SUS</w:t>
      </w:r>
      <w:r w:rsidRPr="00EF5E6B">
        <w:t>. A</w:t>
      </w:r>
      <w:r>
        <w:t xml:space="preserve"> Secretaria da Saúde também possui rede ambulatorial própria, que inclui Ambulatórios de Especialidade Médica - AMES e Centro de Referência de Idoso - CRI (reabilitação, tuberculose, saúde mental), que são referência em suas respectivas regiões. Os procedimentos ambulatoriais (consultas, exames laboratoriais, procedimentos terapêuticos) produzidos pelos serviços estaduais próprios, são da ordem de</w:t>
      </w:r>
      <w:r>
        <w:rPr>
          <w:color w:val="FF0000"/>
        </w:rPr>
        <w:t xml:space="preserve"> </w:t>
      </w:r>
      <w:r>
        <w:t>441 milhões, representando 40% da produção total do SUS, incluindo a dispensação de medicamentos de alto custo e procedimentos diagnósticos de maior complexidade. Por outro lado, a gestão da atenção básica de saúde (unidades básicas de saúde ambulatoriais e equipes de saúde da família) é municipal, com apoio financeiro e técnico estadual.</w:t>
      </w:r>
    </w:p>
    <w:p w:rsidR="003E6588" w:rsidRDefault="003E6588">
      <w:pPr>
        <w:ind w:firstLine="1134"/>
        <w:jc w:val="both"/>
      </w:pPr>
    </w:p>
    <w:p w:rsidR="003E6588" w:rsidRDefault="003E6588">
      <w:pPr>
        <w:ind w:firstLine="1134"/>
        <w:jc w:val="both"/>
        <w:rPr>
          <w:b/>
        </w:rPr>
      </w:pPr>
      <w:r>
        <w:rPr>
          <w:b/>
        </w:rPr>
        <w:t>Ações de Planejamento e Aperfeiçoamento da Gestão Estadual e da Rede SUS</w:t>
      </w:r>
    </w:p>
    <w:p w:rsidR="003E6588" w:rsidRDefault="003E6588">
      <w:pPr>
        <w:ind w:firstLine="1134"/>
        <w:jc w:val="both"/>
      </w:pPr>
    </w:p>
    <w:p w:rsidR="003E6588" w:rsidRDefault="003E6588">
      <w:pPr>
        <w:ind w:firstLine="1134"/>
        <w:jc w:val="both"/>
      </w:pPr>
      <w:r>
        <w:rPr>
          <w:b/>
        </w:rPr>
        <w:t>Projeto BID</w:t>
      </w:r>
      <w:r>
        <w:t xml:space="preserve"> - Dada continuidade ao projeto de parceria com o Banco Interamericano de Desenvolvimento - BID (Lei nº 14.807/2012), “Fortalecimento da Gestão Estadual de Saúde”, que prevê investimentos na rede do SUS, atendendo às necessidades regionais e específicas de saúde, investimento e aperfeiçoamento dos órgãos regionais da SS e dos mecanismos de controle e regulação da assistência, incorporação de ferramentas de </w:t>
      </w:r>
      <w:r w:rsidRPr="00EF5E6B">
        <w:t>informação, informática</w:t>
      </w:r>
      <w:r>
        <w:t xml:space="preserve"> e capacitação de recursos humanos.</w:t>
      </w:r>
      <w:r>
        <w:rPr>
          <w:color w:val="FF0000"/>
        </w:rPr>
        <w:t xml:space="preserve"> </w:t>
      </w:r>
      <w:r>
        <w:t>O contrato foi celebrado (Contrato de Empréstimo nº 3051/OC-BR). Foram designados os representantes para a Unidade de Coordenação do Projeto - UCP (Resolução SS nº 10/2014). Foram celebrados os contratos para execução de obras de reforma do Departamento Regional de Saúde de Campinas - DRS; execução do Projeto Executivo e Obras do Hospital Regional do Município de Registro; elaboração do Projeto Executivo do Hospital Regional de Caraguatatuba; Contratação do consórcio REDE SAÚDE - GESAWORLD/FIPE/VASSERMAN para apoio a UCP (Assessoria Técnica, Administrativo-Financeira, de Gerenciamento, Monitoramento e Avaliação e de Supervisão de Obras). Conclusão da elaboração de projetos executivos completos para reforma da Sede do DRS de Taubaté e da Sede do DRS de Sorocaba.</w:t>
      </w:r>
    </w:p>
    <w:p w:rsidR="003E6588" w:rsidRDefault="003E6588">
      <w:pPr>
        <w:ind w:firstLine="1134"/>
        <w:jc w:val="both"/>
        <w:rPr>
          <w:b/>
        </w:rPr>
      </w:pPr>
    </w:p>
    <w:p w:rsidR="003E6588" w:rsidRDefault="003E6588">
      <w:pPr>
        <w:ind w:firstLine="1134"/>
        <w:jc w:val="both"/>
        <w:rPr>
          <w:b/>
        </w:rPr>
      </w:pPr>
      <w:r>
        <w:rPr>
          <w:b/>
        </w:rPr>
        <w:t>Ampliação do acesso e melhoria da organização e qualidade da Assistência de Média e Alta Complexidade Ambulatorial e Hospitalar</w:t>
      </w:r>
    </w:p>
    <w:p w:rsidR="003E6588" w:rsidRDefault="003E6588">
      <w:pPr>
        <w:ind w:firstLine="1134"/>
        <w:jc w:val="both"/>
        <w:rPr>
          <w:b/>
        </w:rPr>
      </w:pPr>
    </w:p>
    <w:p w:rsidR="003E6588" w:rsidRDefault="003E6588">
      <w:pPr>
        <w:tabs>
          <w:tab w:val="left" w:pos="284"/>
        </w:tabs>
        <w:ind w:firstLine="1134"/>
        <w:jc w:val="both"/>
      </w:pPr>
      <w:r>
        <w:rPr>
          <w:b/>
        </w:rPr>
        <w:t>Aprovação na Comissão Intergestores Bipartite - CIB do Plano de Ação da Rede -</w:t>
      </w:r>
      <w:r>
        <w:t xml:space="preserve"> Cegonha (quinze RRAS); de Urgência/Emergência (três RRAS); de Atenção Psicossocial (estas redes são aprovadas por região de saúde); dos Portadores de Deficiência Física: (sete RRAS); e do Plano da Linha de Cuidado do Sobrepeso e Obesidade nas 17 RRAS.</w:t>
      </w:r>
    </w:p>
    <w:p w:rsidR="003E6588" w:rsidRDefault="003E6588">
      <w:pPr>
        <w:tabs>
          <w:tab w:val="left" w:pos="284"/>
        </w:tabs>
        <w:ind w:firstLine="1134"/>
        <w:jc w:val="both"/>
      </w:pPr>
    </w:p>
    <w:p w:rsidR="003E6588" w:rsidRDefault="003E6588">
      <w:pPr>
        <w:tabs>
          <w:tab w:val="left" w:pos="284"/>
        </w:tabs>
        <w:ind w:firstLine="1134"/>
        <w:jc w:val="both"/>
      </w:pPr>
      <w:r>
        <w:rPr>
          <w:b/>
        </w:rPr>
        <w:t>Programa de auxílio financeiro às entidades filantrópicas do Estado - Pró Santa Casa -</w:t>
      </w:r>
      <w:r>
        <w:t xml:space="preserve"> 100% das instituições participantes foram avaliadas e monitoradas. Foram contempladas 119 instituições, com o valor anual previsto da parcela estadual de R$ 248 milhões, correspondendo à média mensal de R$ 20,6 milhões.</w:t>
      </w:r>
    </w:p>
    <w:p w:rsidR="003E6588" w:rsidRDefault="003E6588">
      <w:pPr>
        <w:tabs>
          <w:tab w:val="left" w:pos="284"/>
        </w:tabs>
        <w:ind w:firstLine="1134"/>
        <w:jc w:val="both"/>
      </w:pPr>
      <w:r>
        <w:rPr>
          <w:b/>
        </w:rPr>
        <w:lastRenderedPageBreak/>
        <w:t xml:space="preserve">“Santa Casa SUStentável” - </w:t>
      </w:r>
      <w:r>
        <w:t>Programa de auxílio financeiro aos hospitais filantrópicos. Classificação das instituições como hospitais estruturantes, estratégicos e de apoio, considerando-se o papel regional, resolubilidade, complexidade, porte, abrangência e hospital de ensino. Contempladas 124 instituições, com valor anual previsto de R$ 400,9 milhões, correspondendo à média mensal de R$ 33,4 milhões.</w:t>
      </w:r>
    </w:p>
    <w:p w:rsidR="003E6588" w:rsidRDefault="003E6588">
      <w:pPr>
        <w:tabs>
          <w:tab w:val="left" w:pos="284"/>
        </w:tabs>
        <w:ind w:firstLine="1134"/>
        <w:jc w:val="both"/>
      </w:pPr>
    </w:p>
    <w:p w:rsidR="003E6588" w:rsidRDefault="003E6588">
      <w:pPr>
        <w:tabs>
          <w:tab w:val="left" w:pos="284"/>
        </w:tabs>
        <w:ind w:firstLine="1134"/>
        <w:jc w:val="both"/>
      </w:pPr>
      <w:r>
        <w:rPr>
          <w:b/>
        </w:rPr>
        <w:t>Enfrentamento da crise na Santa Casa de São Paulo -</w:t>
      </w:r>
      <w:r>
        <w:t xml:space="preserve"> a Irmandade da Santa Casa de São Paulo é o maior parceiro filantrópico no SUS e essencial na assistência de saúde hospitalar da região metropolitana da Capital, razão pela qual sempre recebeu auxílio financeiro da SS. Apresentando dificuldades financeiras para manutenção de seus serviços assistenciais (com fechamento momentâneo do pronto-socorro) ao SUS, a entidade foi objeto de iniciativas da SS no sentido de equacionar seus problemas. Foi criada Comissão Técnica Interinstitucional composta por representantes da própria SS, do Ministério da Saúde, da Secretaria Municipal de Saúde, do Ministério Público do Estado de São Paulo, da Irmandade e do Conselho Estadual de Saúde, e foi contratada auditoria externa independente (BDO), para análise gerencial, econômico-financeira e assistencial. Foram constatados inúmeros problemas administrativos e ineficiências na gestão entidade. A SS continuará a auxiliar a entidade, buscando sua sustentabilidade, por meio da indicação de medidas que melhorem sua eficiência administrativa e saúde financeira, garantindo a manutenção das atividades assistenciais para população paulista.</w:t>
      </w:r>
    </w:p>
    <w:p w:rsidR="003E6588" w:rsidRDefault="003E6588">
      <w:pPr>
        <w:tabs>
          <w:tab w:val="left" w:pos="284"/>
        </w:tabs>
        <w:ind w:left="1418"/>
        <w:jc w:val="both"/>
      </w:pPr>
    </w:p>
    <w:p w:rsidR="003E6588" w:rsidRPr="00EF5E6B" w:rsidRDefault="003E6588">
      <w:pPr>
        <w:ind w:firstLine="1134"/>
        <w:jc w:val="both"/>
      </w:pPr>
      <w:r>
        <w:rPr>
          <w:b/>
        </w:rPr>
        <w:t>Informatização da Rede Própria SS</w:t>
      </w:r>
      <w:r>
        <w:t xml:space="preserve"> - Atualização do Datacenter da SS com ampliação da capacidade de armazenamento e de ferramental para gerenciamento. Em andamento a ampliação e melhoria da eficiência dos </w:t>
      </w:r>
      <w:r>
        <w:rPr>
          <w:i/>
        </w:rPr>
        <w:t xml:space="preserve">links </w:t>
      </w:r>
      <w:r>
        <w:t xml:space="preserve">de acesso à </w:t>
      </w:r>
      <w:r>
        <w:rPr>
          <w:i/>
        </w:rPr>
        <w:t>internet</w:t>
      </w:r>
      <w:r>
        <w:t xml:space="preserve">, bem como dos serviços de </w:t>
      </w:r>
      <w:r>
        <w:rPr>
          <w:i/>
        </w:rPr>
        <w:t>e-mail</w:t>
      </w:r>
      <w:r>
        <w:t xml:space="preserve"> e da ferramenta de segurança. Em fase de implantação em unidades hospitalares da SS, o </w:t>
      </w:r>
      <w:r>
        <w:rPr>
          <w:i/>
        </w:rPr>
        <w:t>Software</w:t>
      </w:r>
      <w:r>
        <w:t xml:space="preserve"> “S4SP”, Prodesp/Incor, sistema de gestão hospitalar, cujas principal finalidade é integrar informações assistenciais individualizadas e informações gerenciais</w:t>
      </w:r>
      <w:r w:rsidRPr="00EF5E6B">
        <w:t>.</w:t>
      </w:r>
    </w:p>
    <w:p w:rsidR="003E6588" w:rsidRDefault="003E6588">
      <w:pPr>
        <w:ind w:firstLine="1134"/>
        <w:jc w:val="both"/>
        <w:rPr>
          <w:b/>
        </w:rPr>
      </w:pPr>
    </w:p>
    <w:p w:rsidR="003E6588" w:rsidRDefault="003E6588">
      <w:pPr>
        <w:ind w:firstLine="1134"/>
        <w:jc w:val="both"/>
      </w:pPr>
      <w:r>
        <w:rPr>
          <w:b/>
        </w:rPr>
        <w:t xml:space="preserve">Matriz de Indicadores de Saúde do Estado </w:t>
      </w:r>
      <w:r>
        <w:t xml:space="preserve">- Elaborada matriz abrangendo dados demográficos, sócio-econômicos, condições de vida e saúde, rede de serviços e financiamento por região de saúde e para o Estado, no sentido de auxiliar o planejamento de saúde. Distribuição de 3.500 exemplares (versão impressa) aos diversos órgãos e coordenadorias da SS, Departamentos Regionais de Saúde (DRS), gestores municipais e com versão eletrônica disponível no </w:t>
      </w:r>
      <w:r>
        <w:rPr>
          <w:i/>
        </w:rPr>
        <w:t>site</w:t>
      </w:r>
      <w:r>
        <w:t xml:space="preserve"> da Secretaria da Saúde.</w:t>
      </w:r>
    </w:p>
    <w:p w:rsidR="003E6588" w:rsidRDefault="003E6588">
      <w:pPr>
        <w:ind w:firstLine="1134"/>
        <w:jc w:val="both"/>
      </w:pPr>
    </w:p>
    <w:p w:rsidR="003E6588" w:rsidRDefault="003E6588">
      <w:pPr>
        <w:ind w:firstLine="1134"/>
        <w:jc w:val="both"/>
      </w:pPr>
      <w:r>
        <w:rPr>
          <w:b/>
        </w:rPr>
        <w:t xml:space="preserve">Pactuação das metas dos indicadores do SISPACTO - </w:t>
      </w:r>
      <w:r>
        <w:t>Com o intuito de fortalecer o Planejamento em Saúde do SUS, a Secretaria da Saúde auxiliou os municípios no processo de pactuação das metas dos indicadores do SISPACTO e concluiu a pactuação das metas para o Estado.</w:t>
      </w:r>
    </w:p>
    <w:p w:rsidR="003E6588" w:rsidRDefault="003E6588">
      <w:pPr>
        <w:ind w:firstLine="1134"/>
        <w:jc w:val="both"/>
      </w:pPr>
    </w:p>
    <w:p w:rsidR="003E6588" w:rsidRDefault="003E6588">
      <w:pPr>
        <w:ind w:firstLine="1134"/>
        <w:jc w:val="both"/>
      </w:pPr>
      <w:r>
        <w:rPr>
          <w:b/>
        </w:rPr>
        <w:t>Conjunto de indicadores de monitoramento</w:t>
      </w:r>
      <w:r>
        <w:t xml:space="preserve"> (Indicadores, objetivos e metas 2013-2015) - Foi disponibilizado no portal da SS o conjunto de 61 indicadores de monitoramento estabelecido pela Resolução CIT nº 5/2013.</w:t>
      </w:r>
    </w:p>
    <w:p w:rsidR="003E6588" w:rsidRDefault="003E6588">
      <w:pPr>
        <w:ind w:firstLine="1134"/>
        <w:jc w:val="both"/>
      </w:pPr>
    </w:p>
    <w:p w:rsidR="003E6588" w:rsidRDefault="003E6588">
      <w:pPr>
        <w:ind w:firstLine="1134"/>
        <w:jc w:val="both"/>
      </w:pPr>
      <w:r>
        <w:rPr>
          <w:b/>
        </w:rPr>
        <w:t>Sistema Estadual de Auditorias</w:t>
      </w:r>
      <w:r>
        <w:t xml:space="preserve"> - Foram auditados serviços SUS e realizados monitoramentos em 208 instituições, sendo destes 143 novas auditorias, uma vez que foram </w:t>
      </w:r>
      <w:r>
        <w:lastRenderedPageBreak/>
        <w:t>apresentadas 65 demandas externas para auditoria de serviços. Foram também realizadas 119 auditorias/monitoramentos de Gestão em Municípios do Estado, por demanda externa (Ministério Público Estadual, DENASUS) em 72% delas.</w:t>
      </w:r>
    </w:p>
    <w:p w:rsidR="003E6588" w:rsidRDefault="003E6588">
      <w:pPr>
        <w:ind w:firstLine="1134"/>
        <w:jc w:val="both"/>
      </w:pPr>
    </w:p>
    <w:p w:rsidR="003E6588" w:rsidRDefault="003E6588">
      <w:pPr>
        <w:ind w:firstLine="1134"/>
        <w:jc w:val="both"/>
      </w:pPr>
      <w:r>
        <w:rPr>
          <w:b/>
        </w:rPr>
        <w:t xml:space="preserve">Sistema de Regulação - </w:t>
      </w:r>
      <w:r>
        <w:t>Regulação de 111.956 casos de Urgências e Emergências absolutas, média mensal de 11.196 solicitações. Regulação de 6.772 casos de urgências médicas relativas, com média mensal de 677 casos regulados. Regulação das solicitações para cirurgia cardíaca infantil decorrente das cardiopatias congênitas. Regulação de 332 solicitações para cirurgia cardíaca infantil, com média mensal de 33 solicitações. Regulação da Rede Hebe Camargo de Combate ao Câncer - 1.291 casos, sendo 700 solicitações de consultas e 591 solicitações de radioterapia. Regulação de transporte inter-hospitalar (média mensal de 195 solicitações). Regulação de terapia renal substitutiva móvel (46 solicitações).</w:t>
      </w:r>
    </w:p>
    <w:p w:rsidR="003E6588" w:rsidRDefault="003E6588">
      <w:pPr>
        <w:ind w:firstLine="1134"/>
        <w:jc w:val="both"/>
      </w:pPr>
    </w:p>
    <w:p w:rsidR="003E6588" w:rsidRDefault="003E6588">
      <w:pPr>
        <w:ind w:firstLine="1134"/>
        <w:jc w:val="both"/>
      </w:pPr>
      <w:r>
        <w:rPr>
          <w:b/>
        </w:rPr>
        <w:t>Telemedicina</w:t>
      </w:r>
      <w:r>
        <w:t xml:space="preserve"> - O serviço iniciou as atividades, com objetivo de dar suporte às unidades de pronto atendimentos e prontos-socorros, por meio de vídeo conferência entre equipe médica da central de regulação, e quando necessário, de hospitais universitários. O projeto inicial contempla o atendimento a 28 unidades na região da Baixada Santista.</w:t>
      </w:r>
    </w:p>
    <w:p w:rsidR="003E6588" w:rsidRDefault="003E6588">
      <w:pPr>
        <w:ind w:firstLine="1134"/>
        <w:jc w:val="both"/>
        <w:rPr>
          <w:b/>
        </w:rPr>
      </w:pPr>
    </w:p>
    <w:p w:rsidR="003E6588" w:rsidRDefault="003E6588">
      <w:pPr>
        <w:ind w:firstLine="1134"/>
        <w:jc w:val="both"/>
      </w:pPr>
      <w:r>
        <w:rPr>
          <w:b/>
        </w:rPr>
        <w:t xml:space="preserve">Política Estadual de Humanização - PEH - </w:t>
      </w:r>
      <w:r>
        <w:t>As principais estratégias e ações desenvolvidas pelo Núcleo Técnico de Humanização para a implementação da PEH foram:</w:t>
      </w:r>
    </w:p>
    <w:p w:rsidR="003E6588" w:rsidRDefault="003E6588">
      <w:pPr>
        <w:ind w:firstLine="1134"/>
        <w:jc w:val="both"/>
      </w:pPr>
    </w:p>
    <w:p w:rsidR="003E6588" w:rsidRDefault="003E6588">
      <w:pPr>
        <w:tabs>
          <w:tab w:val="left" w:pos="284"/>
        </w:tabs>
        <w:ind w:firstLine="1134"/>
        <w:jc w:val="both"/>
      </w:pPr>
      <w:r>
        <w:t>- Apoio às equipes técnicas dos DRS para desenvolvimento de planos regionais de Humanização e acompanhamento do processo de regionalização e implementação das Redes Temáticas, por meio de estímulo à inclusão da metodologia e dos dispositivos da Humanização, do exercício de ações de integração entre áreas técnicas e do fortalecimento da articulação entre municípios e unidades de saúde de cada região;</w:t>
      </w:r>
    </w:p>
    <w:p w:rsidR="003E6588" w:rsidRDefault="003E6588">
      <w:pPr>
        <w:tabs>
          <w:tab w:val="left" w:pos="284"/>
        </w:tabs>
        <w:ind w:firstLine="1134"/>
        <w:jc w:val="both"/>
      </w:pPr>
    </w:p>
    <w:p w:rsidR="003E6588" w:rsidRDefault="003E6588">
      <w:pPr>
        <w:tabs>
          <w:tab w:val="left" w:pos="284"/>
        </w:tabs>
        <w:ind w:firstLine="1134"/>
        <w:jc w:val="both"/>
      </w:pPr>
      <w:r>
        <w:t>- Continuidade do apoio ao desenvolvimento de estratégias de fortalecimento da integração entre a PEH, coordenadorias SS e áreas técnicas SS/DRS: Atenção Básica, Regulação Regional, Saúde Mental (RAPS), Saúde do Idoso, Saúde da Mulher (Rede Cegonha), Urgência/Emergência (RUE), População Privada de Liberdade (Sistema Penal), População LGBT.</w:t>
      </w:r>
    </w:p>
    <w:p w:rsidR="003E6588" w:rsidRDefault="003E6588">
      <w:pPr>
        <w:tabs>
          <w:tab w:val="left" w:pos="284"/>
        </w:tabs>
        <w:ind w:firstLine="1134"/>
        <w:jc w:val="both"/>
      </w:pPr>
    </w:p>
    <w:p w:rsidR="003E6588" w:rsidRDefault="003E6588">
      <w:pPr>
        <w:tabs>
          <w:tab w:val="left" w:pos="284"/>
        </w:tabs>
        <w:ind w:firstLine="1134"/>
        <w:jc w:val="both"/>
      </w:pPr>
      <w:r>
        <w:t>- Apoio e Formação para implementação da PEH, qualificação do cuidado e inclusão do usuário nos processos de atenção à saúde, por meio da realização de oficinas macrorregionais e visitas técnicas às unidades de saúde sob gestão do Estado;</w:t>
      </w:r>
    </w:p>
    <w:p w:rsidR="003E6588" w:rsidRDefault="003E6588">
      <w:pPr>
        <w:tabs>
          <w:tab w:val="left" w:pos="284"/>
        </w:tabs>
        <w:ind w:firstLine="1134"/>
        <w:jc w:val="both"/>
      </w:pPr>
    </w:p>
    <w:p w:rsidR="003E6588" w:rsidRDefault="003E6588">
      <w:pPr>
        <w:tabs>
          <w:tab w:val="left" w:pos="284"/>
        </w:tabs>
        <w:ind w:firstLine="1134"/>
        <w:jc w:val="both"/>
      </w:pPr>
      <w:r>
        <w:t>- Qualificação do trabalho nos Hospitais de Referência em Humanização, com objetivo de oferecer apoio intensivo às unidades e disseminar a PEH para as demais unidades de saúde SS;</w:t>
      </w:r>
    </w:p>
    <w:p w:rsidR="003E6588" w:rsidRDefault="003E6588">
      <w:pPr>
        <w:tabs>
          <w:tab w:val="left" w:pos="284"/>
        </w:tabs>
        <w:ind w:firstLine="1134"/>
        <w:jc w:val="both"/>
      </w:pPr>
    </w:p>
    <w:p w:rsidR="003E6588" w:rsidRDefault="003E6588">
      <w:pPr>
        <w:tabs>
          <w:tab w:val="left" w:pos="284"/>
        </w:tabs>
        <w:ind w:firstLine="1134"/>
        <w:jc w:val="both"/>
      </w:pPr>
      <w:r>
        <w:t>- Desenvolvimento do “Programa de Apoio à Humanização nos Hospitais: a inserção da Rede Social e Afetiva do Usuário no Cuidado” em 23 maternidades estaduais da Região Metropolitana de São Paulo, com objetivo de desenvolver e aprimorar, por meio de planejamento participativo, ações que favoreçam maior inserção da Rede;</w:t>
      </w:r>
    </w:p>
    <w:p w:rsidR="003E6588" w:rsidRDefault="003E6588">
      <w:pPr>
        <w:tabs>
          <w:tab w:val="left" w:pos="284"/>
        </w:tabs>
        <w:ind w:firstLine="1134"/>
        <w:jc w:val="both"/>
      </w:pPr>
      <w:r>
        <w:lastRenderedPageBreak/>
        <w:t>- Proposição de critérios de ambiência orientadores dos projetos de reforma e construção das unidades de saúde SS;</w:t>
      </w:r>
    </w:p>
    <w:p w:rsidR="003E6588" w:rsidRDefault="003E6588">
      <w:pPr>
        <w:tabs>
          <w:tab w:val="left" w:pos="284"/>
        </w:tabs>
        <w:ind w:firstLine="1134"/>
        <w:jc w:val="both"/>
      </w:pPr>
    </w:p>
    <w:p w:rsidR="003E6588" w:rsidRDefault="003E6588">
      <w:pPr>
        <w:tabs>
          <w:tab w:val="left" w:pos="284"/>
        </w:tabs>
        <w:ind w:firstLine="1134"/>
        <w:jc w:val="both"/>
      </w:pPr>
      <w:r>
        <w:t>- Apoio para implementação e monitoramento dos indicadores de humanização nos Contratos de Gestão dos hospitais e AMES sob gestão de organizações sociais, Contratos Programa dos hospitais de administração direta, e contratos e convênios com hospitais integrantes do Programa Santas Casas SUStentáveis;</w:t>
      </w:r>
    </w:p>
    <w:p w:rsidR="003E6588" w:rsidRDefault="003E6588">
      <w:pPr>
        <w:tabs>
          <w:tab w:val="left" w:pos="284"/>
        </w:tabs>
        <w:ind w:firstLine="1134"/>
        <w:jc w:val="both"/>
      </w:pPr>
    </w:p>
    <w:p w:rsidR="003E6588" w:rsidRDefault="003E6588">
      <w:pPr>
        <w:tabs>
          <w:tab w:val="left" w:pos="284"/>
        </w:tabs>
        <w:ind w:firstLine="1134"/>
        <w:jc w:val="both"/>
      </w:pPr>
      <w:r>
        <w:t>- Continuidade do processo de formação e capacitação dos Articuladores de Humanização para acompanhamento e desenvolvimento do trabalho regional;</w:t>
      </w:r>
    </w:p>
    <w:p w:rsidR="003E6588" w:rsidRDefault="003E6588">
      <w:pPr>
        <w:tabs>
          <w:tab w:val="left" w:pos="284"/>
        </w:tabs>
        <w:ind w:firstLine="1134"/>
        <w:jc w:val="both"/>
      </w:pPr>
    </w:p>
    <w:p w:rsidR="003E6588" w:rsidRDefault="003E6588">
      <w:pPr>
        <w:tabs>
          <w:tab w:val="left" w:pos="284"/>
        </w:tabs>
        <w:ind w:firstLine="1134"/>
        <w:jc w:val="both"/>
      </w:pPr>
      <w:r>
        <w:t>Pesquisa de Satisfação dos Usuários nas unidades de saúde SS, com suporte de banco de dados da Prodesp e acompanhamento sistemático dos resultados.</w:t>
      </w:r>
    </w:p>
    <w:p w:rsidR="003E6588" w:rsidRDefault="003E6588">
      <w:pPr>
        <w:ind w:firstLine="1134"/>
        <w:jc w:val="both"/>
      </w:pPr>
    </w:p>
    <w:p w:rsidR="003E6588" w:rsidRDefault="003E6588">
      <w:pPr>
        <w:ind w:firstLine="1134"/>
        <w:jc w:val="both"/>
      </w:pPr>
      <w:r>
        <w:rPr>
          <w:b/>
        </w:rPr>
        <w:t xml:space="preserve">Ações de Apoio aos Parceiros - </w:t>
      </w:r>
      <w:r>
        <w:t xml:space="preserve">A manutenção e ampliação do acesso e do atendimento de qualidade de saúde da população do Estado são asseguradas pelo apoio financeiro dado pelo Governo do Estado às entidades filantrópicas e municípios, que são os parceiros da SS no SUS. </w:t>
      </w:r>
      <w:r w:rsidRPr="00A655AF">
        <w:t>Fora</w:t>
      </w:r>
      <w:r>
        <w:t>m repassados R$ 2,037 bilhões de auxílio, sendo R$ 1,395 bilhão para os filantrópicos (incluído o Pró Santas Casas, Santa Casa SUStentável e outros repasses de auxílio por meio de convênios) e R$ 641,7 milhões para os municípios (incluídos os programas de auxílio à atenção básica em saúde e assistência farmacêutica básica).</w:t>
      </w:r>
    </w:p>
    <w:p w:rsidR="003E6588" w:rsidRDefault="003E6588">
      <w:pPr>
        <w:ind w:firstLine="1134"/>
        <w:jc w:val="both"/>
      </w:pPr>
    </w:p>
    <w:p w:rsidR="003E6588" w:rsidRDefault="003E6588">
      <w:pPr>
        <w:ind w:firstLine="1134"/>
        <w:jc w:val="both"/>
      </w:pPr>
      <w:r>
        <w:t>O Governo Estadual garantiu recursos para fornecer, aos municípios, 239 ambulâncias, no valor de R$ 23,1 milhões, e 224 veículos para transporte de pacientes (</w:t>
      </w:r>
      <w:r>
        <w:rPr>
          <w:i/>
        </w:rPr>
        <w:t>vans</w:t>
      </w:r>
      <w:r>
        <w:t>), no valor de R$ 16,6 milhões.</w:t>
      </w:r>
    </w:p>
    <w:p w:rsidR="003E6588" w:rsidRDefault="003E6588">
      <w:pPr>
        <w:ind w:firstLine="1134"/>
        <w:jc w:val="both"/>
      </w:pPr>
    </w:p>
    <w:p w:rsidR="003E6588" w:rsidRDefault="003E6588">
      <w:pPr>
        <w:ind w:firstLine="1134"/>
        <w:jc w:val="both"/>
        <w:rPr>
          <w:b/>
        </w:rPr>
      </w:pPr>
      <w:r>
        <w:rPr>
          <w:b/>
        </w:rPr>
        <w:t>Ações Estratégicas e Programas Prioritários</w:t>
      </w:r>
    </w:p>
    <w:p w:rsidR="003E6588" w:rsidRDefault="003E6588">
      <w:pPr>
        <w:ind w:firstLine="1134"/>
        <w:jc w:val="both"/>
        <w:rPr>
          <w:b/>
        </w:rPr>
      </w:pPr>
    </w:p>
    <w:p w:rsidR="003E6588" w:rsidRDefault="003E6588">
      <w:pPr>
        <w:ind w:firstLine="1134"/>
        <w:jc w:val="both"/>
      </w:pPr>
      <w:r>
        <w:rPr>
          <w:b/>
        </w:rPr>
        <w:t xml:space="preserve">Saúde da Criança - Programa São Paulo pela Primeiríssima Infância - </w:t>
      </w:r>
      <w:r>
        <w:t>Em parceria com a Fundação Maria Cecilia Souto Vidigal, foi elaborado para enfrentar e superar os agravos em crianças de 0 a 3 anos, por meio de conjunto de ações, procedimentos e reorganização do processo de trabalho centrado na criança. Participam 28 municípios, contemplando ações de saúde, desenvolvimento social e educação, e assinados os termos de compromisso pelas prefeituras envolvidas. Elaborada e em revisão a Linha de Cuidado da Criança de 0 a 3 anos, em parceria com a UNICAMP.</w:t>
      </w:r>
    </w:p>
    <w:p w:rsidR="003E6588" w:rsidRDefault="003E6588">
      <w:pPr>
        <w:ind w:firstLine="1134"/>
        <w:jc w:val="both"/>
      </w:pPr>
    </w:p>
    <w:p w:rsidR="003E6588" w:rsidRDefault="003E6588">
      <w:pPr>
        <w:ind w:firstLine="1134"/>
        <w:jc w:val="both"/>
      </w:pPr>
      <w:r>
        <w:rPr>
          <w:b/>
        </w:rPr>
        <w:t>Programa Visão do Futuro</w:t>
      </w:r>
      <w:r>
        <w:t xml:space="preserve"> - Destinado à prevenção e recuperação da saúde ocular em crianças de 6 a 8 anos, matriculadas na 1ª série do ensino fundamental das escolas públicas do Município de São Paulo. Foram atendidas 10.795 crianças, sendo prescritos e confeccionados 7.050 óculos, com valor de R$ 2,1 milhões.</w:t>
      </w:r>
    </w:p>
    <w:p w:rsidR="003E6588" w:rsidRDefault="003E6588">
      <w:pPr>
        <w:ind w:firstLine="1134"/>
        <w:jc w:val="both"/>
      </w:pPr>
    </w:p>
    <w:p w:rsidR="003E6588" w:rsidRDefault="003E6588">
      <w:pPr>
        <w:ind w:firstLine="1134"/>
        <w:jc w:val="both"/>
      </w:pPr>
      <w:r>
        <w:rPr>
          <w:b/>
        </w:rPr>
        <w:t>Programa Nacional de Universalização da Triagem Neonatal</w:t>
      </w:r>
      <w:r>
        <w:t xml:space="preserve"> - Organizado o Programa de Prevenção da Cegueira na Infância - Linha de Cuidado do Reflexo Vermelho - Triagem Visual </w:t>
      </w:r>
      <w:r>
        <w:lastRenderedPageBreak/>
        <w:t>Neonatal, ou prevenção das sequelas visuais da Catarata congênita/Retinoblastoma/Retinopatia da prematuridade/Glaucoma Congênito. Serão triados os cerca de 600 mil nascidos vivos do Estado. Expectativa de operar entre 100 e 150 crianças com Catarata Congênita entre a 6º a 8º semana de vida, na perspectiva de preservar a visão integral de 80% e de evitar a cegueira total em 100%.</w:t>
      </w:r>
    </w:p>
    <w:p w:rsidR="003E6588" w:rsidRDefault="003E6588">
      <w:pPr>
        <w:ind w:firstLine="1134"/>
        <w:jc w:val="both"/>
      </w:pPr>
    </w:p>
    <w:p w:rsidR="003E6588" w:rsidRPr="00A655AF" w:rsidRDefault="003E6588">
      <w:pPr>
        <w:ind w:firstLine="1134"/>
        <w:jc w:val="both"/>
      </w:pPr>
      <w:r>
        <w:rPr>
          <w:b/>
        </w:rPr>
        <w:t xml:space="preserve">Doenças Raras - </w:t>
      </w:r>
      <w:r>
        <w:t xml:space="preserve">Em consonância com Política Nacional de Atenção Integral às Pessoas com Doenças Raras, foi organizada a Rede de Doenças Raras no âmbito do Estado de São Paulo, a partir da publicação da Resolução SS nº 76/2014, que designa representantes para compor Grupo de Trabalho para implantação do Programa de Atenção Integral às Pessoas com Doenças Raras - DORA. Efetivada parceria com Universidade de São Paulo - Escola Politécnica, para o desenvolvimento de plataforma informatizada para cadastro e regulação de pacientes com DORA, que permitirá ao profissional de saúde, a partir da hipótese diagnóstica, a obtenção de segunda opinião de especialista e, nos casos positivos, referenciar o paciente para o serviço especializado mais </w:t>
      </w:r>
      <w:r w:rsidRPr="00A655AF">
        <w:t>próximo.</w:t>
      </w:r>
    </w:p>
    <w:p w:rsidR="003E6588" w:rsidRDefault="003E6588">
      <w:pPr>
        <w:ind w:firstLine="1134"/>
        <w:jc w:val="both"/>
        <w:rPr>
          <w:b/>
        </w:rPr>
      </w:pPr>
    </w:p>
    <w:p w:rsidR="003E6588" w:rsidRDefault="003E6588">
      <w:pPr>
        <w:ind w:firstLine="1134"/>
        <w:jc w:val="both"/>
      </w:pPr>
      <w:r>
        <w:rPr>
          <w:b/>
        </w:rPr>
        <w:t>Saúde da Mulher - Programa Mulheres de Peito -</w:t>
      </w:r>
      <w:r>
        <w:t xml:space="preserve"> Programa permanente de rastreamento de câncer de mama em todo o Estado. Prevê exames de mamografia e complementares para elucidação diagnóstica, além da garantia de tratamento em serviços especializados em mulheres na faixa etária dos 50 aos 69 anos. Os exames são realizados nas Unidades Móveis e por agendamento nas unidades de saúde por meio de um </w:t>
      </w:r>
      <w:r>
        <w:rPr>
          <w:i/>
        </w:rPr>
        <w:t>call center</w:t>
      </w:r>
      <w:r>
        <w:t>. O agendamento do exame de mamografia por telefone recebeu 27.730 ligações, agendando 13.129 exames (índice de eficiência de 47%). As 4 unidades móveis produziram 25.663 exames de mamografia.</w:t>
      </w:r>
    </w:p>
    <w:p w:rsidR="003E6588" w:rsidRDefault="003E6588">
      <w:pPr>
        <w:ind w:firstLine="1134"/>
        <w:jc w:val="both"/>
      </w:pPr>
    </w:p>
    <w:p w:rsidR="003E6588" w:rsidRDefault="003E6588">
      <w:pPr>
        <w:ind w:firstLine="1134"/>
        <w:jc w:val="both"/>
      </w:pPr>
      <w:r>
        <w:rPr>
          <w:b/>
        </w:rPr>
        <w:t xml:space="preserve">Outras iniciativas </w:t>
      </w:r>
      <w:r>
        <w:t>- Foram realizadas ações que visaram ampliar o acesso das mulheres aos serviços que assistem vítimas de violência doméstica e sexual; ampliar o acesso das mulheres às ações de prevenção, detecção precoce e tratamento do câncer de colo do útero; ações educacionais nas regiões identificadas como detentoras dos maiores coeficientes de mortalidade materna; ampliar os direitos reprodutivos, entre outras.</w:t>
      </w:r>
    </w:p>
    <w:p w:rsidR="003E6588" w:rsidRDefault="003E6588">
      <w:pPr>
        <w:ind w:firstLine="1134"/>
        <w:jc w:val="both"/>
        <w:rPr>
          <w:b/>
        </w:rPr>
      </w:pPr>
    </w:p>
    <w:p w:rsidR="003E6588" w:rsidRDefault="003E6588">
      <w:pPr>
        <w:ind w:firstLine="1134"/>
        <w:jc w:val="both"/>
      </w:pPr>
      <w:r>
        <w:rPr>
          <w:b/>
        </w:rPr>
        <w:t>Saúde do Homem</w:t>
      </w:r>
      <w:r>
        <w:t xml:space="preserve"> -</w:t>
      </w:r>
      <w:r>
        <w:rPr>
          <w:b/>
        </w:rPr>
        <w:t xml:space="preserve"> </w:t>
      </w:r>
      <w:r>
        <w:t xml:space="preserve">Capacitados mais de 300 profissionais na área da Saúde do Homem. Impressão de 50.000 cartilhas de Prevenção de Riscos Cardiovasculares para a população e elaboração de material didático para treinamento. </w:t>
      </w:r>
      <w:r>
        <w:rPr>
          <w:b/>
        </w:rPr>
        <w:t>Programa “Filho que Ama Leva o Pai ao AME”,</w:t>
      </w:r>
      <w:r>
        <w:t xml:space="preserve"> na perspectiva de promover a detecção precoce e tratamento de dois principais agravos - Câncer de Próstata e Doenças Cardiovasculares, para a população masculina a partir dos 50 anos, em 21 unidades dos Ambulatórios Médicos de Especialidades - AME, com ampliação do atendimento, inclusive aos sábados.</w:t>
      </w:r>
    </w:p>
    <w:p w:rsidR="003E6588" w:rsidRDefault="003E6588">
      <w:pPr>
        <w:ind w:firstLine="1134"/>
        <w:jc w:val="both"/>
      </w:pPr>
    </w:p>
    <w:p w:rsidR="003E6588" w:rsidRDefault="003E6588">
      <w:pPr>
        <w:ind w:firstLine="1134"/>
        <w:jc w:val="both"/>
      </w:pPr>
      <w:r>
        <w:rPr>
          <w:b/>
        </w:rPr>
        <w:t xml:space="preserve">Saúde Bucal - </w:t>
      </w:r>
      <w:r>
        <w:t>Odontologia Hospitalar com objetivo de garantir a manutenção da saúde bucal de pacientes internados e de portadores de doenças crônicas atendidos regularmente nas unidades assistenciais, foi finalizada a implantação desse serviço nos seguintes locais: Conjunto Hospitalar do Mandaqui, Conjunto Hospitalar de Sorocaba, Instituto do Coração</w:t>
      </w:r>
      <w:r w:rsidR="008F3652">
        <w:t xml:space="preserve"> </w:t>
      </w:r>
      <w:r>
        <w:t>-</w:t>
      </w:r>
      <w:r w:rsidR="008F3652">
        <w:t xml:space="preserve"> </w:t>
      </w:r>
      <w:r>
        <w:t>INCOR, Hospital das Clínicas de SP, Instituto do Câncer de SP-ICESP, Hospital Heliópolis, Hospital de Transplante de Órgãos, Hospital das Clínicas Luzia de Pinho Melo e Hospital Infantil Darcy Vargas. Os hospitais de Base de São José do Rio Preto, João Paulo II e Instituto de Infectologia Em</w:t>
      </w:r>
      <w:r w:rsidR="008F3652">
        <w:t>í</w:t>
      </w:r>
      <w:r>
        <w:t>lio Ribas estão em processo de implantação.</w:t>
      </w:r>
    </w:p>
    <w:p w:rsidR="003E6588" w:rsidRDefault="003E6588">
      <w:pPr>
        <w:ind w:firstLine="1134"/>
        <w:jc w:val="both"/>
      </w:pPr>
      <w:r>
        <w:rPr>
          <w:b/>
        </w:rPr>
        <w:lastRenderedPageBreak/>
        <w:t xml:space="preserve">“Sorria São Paulo” - </w:t>
      </w:r>
      <w:r>
        <w:t>Ampliação do programa com custeio anual para 411 municípios</w:t>
      </w:r>
      <w:r>
        <w:rPr>
          <w:color w:val="FF0000"/>
        </w:rPr>
        <w:t>,</w:t>
      </w:r>
      <w:r>
        <w:t xml:space="preserve"> totalizando R$ 14 milhões/ano - repasses do Fundo Estadual de Saúde para os Fundos Municipais de Saúde. Os objetivos do programa: ampliação do acesso à saúde bucal na Atenção Básica, melhora e ampliação do atendimento e realização de tratamentos curativos, melhora nos índices e condições de saúde bucal.</w:t>
      </w:r>
    </w:p>
    <w:p w:rsidR="003E6588" w:rsidRDefault="003E6588">
      <w:pPr>
        <w:ind w:firstLine="1134"/>
        <w:jc w:val="both"/>
      </w:pPr>
    </w:p>
    <w:p w:rsidR="003E6588" w:rsidRDefault="003E6588">
      <w:pPr>
        <w:ind w:firstLine="1134"/>
        <w:jc w:val="both"/>
      </w:pPr>
      <w:r>
        <w:rPr>
          <w:b/>
        </w:rPr>
        <w:t>Saúde Mental</w:t>
      </w:r>
      <w:r>
        <w:t xml:space="preserve"> - Aprovação de 15 Redes de Atenção Psicossocial - RAPS. Continuidade no processo de desinstitucionalização de moradores dos hospitais psiquiátricos. Continuidade do Programa Recomeço, que realiza ações de prevenção, tratamento, reinserção social, acesso à justiça e cidadania e de redução de situações de vulnerabilidade social e de saúde aos usuários de substâncias psicoativas, especialmente o </w:t>
      </w:r>
      <w:r>
        <w:rPr>
          <w:i/>
        </w:rPr>
        <w:t>crack</w:t>
      </w:r>
      <w:r>
        <w:t xml:space="preserve">. Foi inaugurada em Botucatu, clínica pública para dependentes de </w:t>
      </w:r>
      <w:r>
        <w:rPr>
          <w:i/>
        </w:rPr>
        <w:t>crack</w:t>
      </w:r>
      <w:r>
        <w:t>, com 76 leitos e investimento de R$ 15,4 milhões. São 2.500 leitos para dependentes químicos no Estado. O CRATOD (Centro de Referência de Álcool, Tabaco e Outras Drogas) passou a fazer atendimento 24h, contando com unidade de pronto atendimento psiquiátrico e abordagem de rua na “cracolândia”.</w:t>
      </w:r>
    </w:p>
    <w:p w:rsidR="003E6588" w:rsidRDefault="003E6588">
      <w:pPr>
        <w:ind w:firstLine="1134"/>
        <w:jc w:val="both"/>
      </w:pPr>
    </w:p>
    <w:p w:rsidR="003E6588" w:rsidRDefault="003E6588">
      <w:pPr>
        <w:ind w:firstLine="1134"/>
        <w:jc w:val="both"/>
      </w:pPr>
      <w:r>
        <w:rPr>
          <w:b/>
        </w:rPr>
        <w:t xml:space="preserve">Saúde da População do Sistema Penitenciário - </w:t>
      </w:r>
      <w:r>
        <w:t xml:space="preserve">De acordo com as diretrizes propostas pela Deliberação CIB </w:t>
      </w:r>
      <w:r w:rsidR="00303C71">
        <w:t xml:space="preserve">nº </w:t>
      </w:r>
      <w:r>
        <w:t>62/2012, 35 municípios aderiram à proposta e assumiram a responsabilidade de prestar atenção básica nas unidades prisionais, mediante transferência de recursos do Fundo Estadual para os Fundos Municipais, da ordem de R$ 23 milhões.</w:t>
      </w:r>
    </w:p>
    <w:p w:rsidR="003E6588" w:rsidRDefault="003E6588">
      <w:pPr>
        <w:ind w:firstLine="1134"/>
        <w:jc w:val="both"/>
        <w:rPr>
          <w:b/>
        </w:rPr>
      </w:pPr>
    </w:p>
    <w:p w:rsidR="003E6588" w:rsidRDefault="003E6588">
      <w:pPr>
        <w:ind w:firstLine="1134"/>
        <w:jc w:val="both"/>
      </w:pPr>
      <w:r>
        <w:rPr>
          <w:b/>
        </w:rPr>
        <w:t>Atenção básica</w:t>
      </w:r>
      <w:r>
        <w:t xml:space="preserve"> - Continuidade da execução do </w:t>
      </w:r>
      <w:r>
        <w:rPr>
          <w:b/>
        </w:rPr>
        <w:t>Qualis UBS 1ª Fase,</w:t>
      </w:r>
      <w:r>
        <w:t xml:space="preserve"> com recursos destinados à aquisição de equipamentos, mobiliários e instrumentais para AB - dos 625 municípios que aderiram ao programa (R$ 76,2 milhões), nove estavam impossibilitados de receber o repasse (pendências no CADIN) e 167 municípios não utilizaram integralmente o recurso e restituíram o saldo. Foi realizado novo Termo Aditivo para estes Municípios, para aquisição de equipamentos, mobiliários e instrumentais, conforme projeto apresentado pelo beneficiário.</w:t>
      </w:r>
    </w:p>
    <w:p w:rsidR="003E6588" w:rsidRDefault="003E6588">
      <w:pPr>
        <w:ind w:firstLine="1134"/>
        <w:jc w:val="both"/>
      </w:pPr>
    </w:p>
    <w:p w:rsidR="003E6588" w:rsidRDefault="003E6588">
      <w:pPr>
        <w:ind w:firstLine="1134"/>
        <w:jc w:val="both"/>
      </w:pPr>
      <w:r>
        <w:rPr>
          <w:b/>
        </w:rPr>
        <w:t xml:space="preserve">Qualis UBS - 2ª fase - </w:t>
      </w:r>
      <w:r>
        <w:t>Com recursos destinados à Reforma e/ou Ampliação das Unidades Básicas de Saúde, com objetivo de contribuir para a readequação física. O valor disponibilizado foi de R$140 milhões. O valor máximo transferido a cada município foi de R$ 217 mil reais. 578 municípios aderiram ao programa e foram habilitados, totalizando R$ 115,4 milhões. Foram transferidos R$ 57,9 milhões.</w:t>
      </w:r>
    </w:p>
    <w:p w:rsidR="003E6588" w:rsidRDefault="003E6588">
      <w:pPr>
        <w:ind w:firstLine="1134"/>
        <w:jc w:val="both"/>
        <w:rPr>
          <w:b/>
        </w:rPr>
      </w:pPr>
    </w:p>
    <w:p w:rsidR="003E6588" w:rsidRDefault="003E6588">
      <w:pPr>
        <w:ind w:firstLine="1134"/>
        <w:jc w:val="both"/>
      </w:pPr>
      <w:r>
        <w:rPr>
          <w:b/>
        </w:rPr>
        <w:t>Piso de Atenção Básica Estadual/PAB Estadual -</w:t>
      </w:r>
      <w:r>
        <w:t xml:space="preserve"> Os recursos devem ser aplicados pelos gestores municipais no custeio das ações de atenção básica de saúde. Os recursos financeiros são transferidos trimestralmente do Fundo Estadual de Saúde aos Fundos Municipais de Saúde e têm como base de cálculo o valor de R$ 3,00 hab/ano.O total de recursos financeiros repassados foi de R$</w:t>
      </w:r>
      <w:r w:rsidR="00DA5935">
        <w:t xml:space="preserve"> </w:t>
      </w:r>
      <w:r>
        <w:t>130,9 milhões.</w:t>
      </w:r>
    </w:p>
    <w:p w:rsidR="003E6588" w:rsidRDefault="003E6588">
      <w:pPr>
        <w:ind w:firstLine="1134"/>
        <w:jc w:val="both"/>
      </w:pPr>
    </w:p>
    <w:p w:rsidR="003E6588" w:rsidRDefault="003E6588">
      <w:pPr>
        <w:ind w:firstLine="1134"/>
        <w:jc w:val="both"/>
      </w:pPr>
      <w:r>
        <w:rPr>
          <w:b/>
        </w:rPr>
        <w:t>Programa QUALIS MAIS</w:t>
      </w:r>
      <w:r>
        <w:t xml:space="preserve"> - Continuidade do programa, que contempla 425 </w:t>
      </w:r>
      <w:r w:rsidRPr="00DA5935">
        <w:t>munic</w:t>
      </w:r>
      <w:r>
        <w:t>ípios com repasse de auxílio mensal de R$ 3.102.461,00.</w:t>
      </w:r>
    </w:p>
    <w:p w:rsidR="003E6588" w:rsidRDefault="003E6588">
      <w:pPr>
        <w:ind w:firstLine="1134"/>
        <w:jc w:val="both"/>
      </w:pPr>
    </w:p>
    <w:p w:rsidR="003E6588" w:rsidRDefault="003E6588">
      <w:pPr>
        <w:ind w:firstLine="1134"/>
        <w:jc w:val="both"/>
      </w:pPr>
      <w:r>
        <w:rPr>
          <w:b/>
        </w:rPr>
        <w:lastRenderedPageBreak/>
        <w:t xml:space="preserve">Saúde do Idoso - </w:t>
      </w:r>
      <w:r>
        <w:t>Implantação de seis novos Centros de Referência do Idoso - CRI - projeto em andamento. Curso interativo para capacitar profissionais de saúde no cuidado do Idoso</w:t>
      </w:r>
      <w:r>
        <w:rPr>
          <w:b/>
        </w:rPr>
        <w:t xml:space="preserve"> </w:t>
      </w:r>
      <w:r>
        <w:t>- Elencados dezoito temas, considerados indispensáveis para a abordagem do idoso e distribuídos em dezoito semanas. O curso teve 3.454 inscritos no primeiro módulo, 1.900 no segundo e 545 no terceiro.</w:t>
      </w:r>
    </w:p>
    <w:p w:rsidR="003E6588" w:rsidRDefault="003E6588">
      <w:pPr>
        <w:ind w:firstLine="1134"/>
        <w:jc w:val="both"/>
      </w:pPr>
    </w:p>
    <w:p w:rsidR="003E6588" w:rsidRDefault="003E6588">
      <w:pPr>
        <w:ind w:firstLine="1134"/>
        <w:jc w:val="both"/>
      </w:pPr>
      <w:r>
        <w:rPr>
          <w:b/>
        </w:rPr>
        <w:t>Programa Vale a Pena Ver de Novo -</w:t>
      </w:r>
      <w:r>
        <w:t xml:space="preserve"> Em fase de implantação, prevê fornecimento de óculos, como complemento assistencial, no pós-cirúrgico de facectomia por facoemulsificação (Catarata), para usuários do SUS com 60 anos ou </w:t>
      </w:r>
      <w:r w:rsidRPr="00DA5935">
        <w:t>mais, no</w:t>
      </w:r>
      <w:r>
        <w:t xml:space="preserve"> valor de R$ 900 mil, com previsão de dispensação de 9 mil óculos, que serão entregues na residência do paciente.</w:t>
      </w:r>
    </w:p>
    <w:p w:rsidR="003E6588" w:rsidRDefault="003E6588">
      <w:pPr>
        <w:ind w:firstLine="1134"/>
        <w:jc w:val="both"/>
      </w:pPr>
    </w:p>
    <w:p w:rsidR="003E6588" w:rsidRDefault="003E6588">
      <w:pPr>
        <w:ind w:firstLine="1134"/>
        <w:jc w:val="both"/>
      </w:pPr>
      <w:r>
        <w:rPr>
          <w:b/>
        </w:rPr>
        <w:t xml:space="preserve">Aperfeiçoamento Assistencial e Investimentos nos Serviços Estaduais de Saúde - </w:t>
      </w:r>
      <w:r>
        <w:t>A rede estadual de hospitais e ambulatórios da Secretaria da Saúde exige contínuo processo de investimentos de ampliação do atendimento, modernização e reformas, para garantir a qualidade do atendimento à população. Os principais investimentos (obras e equipamentos) foram de R$ 147,3 milhões em obras (concluídas, em andamento ou elaboração de projetos) e R$ 80,7 milhões nas ações rotineiras de manutenção dos hospitais.</w:t>
      </w:r>
    </w:p>
    <w:p w:rsidR="003E6588" w:rsidRDefault="003E6588">
      <w:pPr>
        <w:ind w:firstLine="1134"/>
        <w:jc w:val="both"/>
      </w:pPr>
    </w:p>
    <w:p w:rsidR="003E6588" w:rsidRDefault="003E6588">
      <w:pPr>
        <w:ind w:firstLine="1134"/>
        <w:jc w:val="both"/>
      </w:pPr>
      <w:r>
        <w:t>Entre as principais obras e serviços, pode-se salientar:</w:t>
      </w:r>
    </w:p>
    <w:p w:rsidR="003E6588" w:rsidRDefault="003E6588">
      <w:pPr>
        <w:ind w:firstLine="1134"/>
        <w:jc w:val="both"/>
      </w:pPr>
    </w:p>
    <w:p w:rsidR="003E6588" w:rsidRDefault="003E6588">
      <w:pPr>
        <w:tabs>
          <w:tab w:val="left" w:pos="284"/>
        </w:tabs>
        <w:ind w:firstLine="1134"/>
        <w:jc w:val="both"/>
      </w:pPr>
      <w:r>
        <w:t>- Hospital Regional Dr. Vivaldo Martins Simões - Osasco: R$ 487 mil; Hospital Regional de Jundiaí: R$ 7,7 milhões; Fazenda São Roque: R$ 5 milhões; Edifício Sede: R$ 480 mil; Hospital Geral de Taipas: R$ 255 mil; Complexo Hospitalar de Sorocaba: R$ 1,2 milhões; Hospital Geral de Vila Nova Cachoeirinha: R$ 2,3 milhões; Hospital São Mateus: R$ 5,0 milhões; Hospital Heliópolis: R$ 1,8 milhões; Hospital Regional Sul: R$ 1,6 milhões;</w:t>
      </w:r>
      <w:bookmarkStart w:id="20" w:name="_Toc280863664"/>
      <w:r>
        <w:t xml:space="preserve"> Conjunto Hospitalar de Sorocaba: R$ 4,2 milhões; Hospital Ipiranga: R$ 6,9 milhões; Hospital Regional de Itanhaém: R$ 15,1 milhões; Centro Especializado em Reabilitação Dr. Arnaldo Pezzuti Cavalcante: R$ 7,4 milhões; AME e Rede Lucy Montoro: R$ 4,7 milhões; Conjunto Hospitalar do Mandaqui: R$ 7,9 milhões; CRI Lapa: R$ 5,5 milhões; CRI Vila Mariana: R$ 7,4 milhões; Instituto Dante Pazzanese de Cardiologia: R$ 8,9 milhões; Hospital e Maternidade Interlagos "Waldemar Seyssel Arrelia": R$ 2,4 milhões; Edifício Sede I: R$ 1,6 milhões; Hospital Dr. Oswaldo Brandi Faria - Mirandópolis: R$ 3,9 milhões; Hospital e Maternidade Santa Izabel - Bauru: R$ 3,6 milhões; DRS VII - Campinas: R$ 1,0 milhão; Hospital Regional Dr. Leopoldo Bevilacqua - Pariquera Açu: R$ 600 mil; Hospital Luzia de Pinho Melo: R$ 5,2 milhões; DRS XIII - Departamento Regional de Saúde de Ribeirão Preto: R$ 300 mil; Hospital Estadual de Bebedouro: R$ 1,2 milhões;Complexo Hospitalar</w:t>
      </w:r>
      <w:r>
        <w:rPr>
          <w:b/>
        </w:rPr>
        <w:t xml:space="preserve"> </w:t>
      </w:r>
      <w:r>
        <w:t>Padre Bento: R$ 1,2 milhões; Centro de Reabilitação de Casa Branca: R$ 2,2 milhões; Hospital Regional de Registro: R$ 3,2 milhões; Hospital e Maternidade Leonor Mendes de Barros: R$ 2,2 milhões; Hospital Regional de Osasco: R$ 4,9 milhões; CAISM Philippe Pinel: R$ 1,4 milhões; Instituto de Infectologia Emílio Ribas: R$ 5,8 milhões; Centro de Referência da Saúde da Mulher - CRSM, Hospital Pérola Byington: R$ 400 mil; AME Taquaritinga: R$ 1,1 milhões.</w:t>
      </w:r>
    </w:p>
    <w:p w:rsidR="003E6588" w:rsidRDefault="003E6588">
      <w:pPr>
        <w:tabs>
          <w:tab w:val="left" w:pos="284"/>
        </w:tabs>
        <w:ind w:firstLine="1134"/>
        <w:jc w:val="both"/>
      </w:pPr>
    </w:p>
    <w:bookmarkEnd w:id="20"/>
    <w:p w:rsidR="003E6588" w:rsidRDefault="003E6588">
      <w:pPr>
        <w:ind w:firstLine="1134"/>
        <w:jc w:val="both"/>
      </w:pPr>
      <w:r>
        <w:rPr>
          <w:b/>
        </w:rPr>
        <w:t xml:space="preserve">Contratualização com Organizações Sociais de Saúde - OSS - </w:t>
      </w:r>
      <w:r>
        <w:t xml:space="preserve">A SS mantém a realização de atendimentos de saúde para a população por meio de rede de serviços gerenciados por parceiros, como Organizações Sociais de Saúde e outras entidades. Todos os serviços são </w:t>
      </w:r>
      <w:r>
        <w:lastRenderedPageBreak/>
        <w:t>contratualizados (totalizando R$ 3,9 bilhões) e a SS realiza acompanhamento, avaliação e controle destes serviços:</w:t>
      </w:r>
    </w:p>
    <w:p w:rsidR="003E6588" w:rsidRDefault="003E6588">
      <w:pPr>
        <w:ind w:firstLine="1134"/>
        <w:jc w:val="both"/>
      </w:pPr>
    </w:p>
    <w:p w:rsidR="003E6588" w:rsidRDefault="003E6588">
      <w:pPr>
        <w:ind w:firstLine="1134"/>
        <w:jc w:val="both"/>
      </w:pPr>
      <w:r>
        <w:t xml:space="preserve">- 91 Contratos de Gestão estabelecidos com Organizações Sociais de Saúde - OSS e Entidades Parceiras para gestão de Hospitais, Ambulatórios Médicos de Especialidades - AME, Unidades de Reabilitação da Rede Lucy Montoro e outros serviços de saúde, tais como laboratórios (CEAC), </w:t>
      </w:r>
      <w:r w:rsidR="00171996">
        <w:t xml:space="preserve">Centrais </w:t>
      </w:r>
      <w:r>
        <w:t xml:space="preserve">de </w:t>
      </w:r>
      <w:r w:rsidR="00171996">
        <w:t xml:space="preserve">Exames Diagnósticos </w:t>
      </w:r>
      <w:r>
        <w:t xml:space="preserve">por </w:t>
      </w:r>
      <w:r w:rsidR="00171996">
        <w:t>Imagem - C</w:t>
      </w:r>
      <w:r>
        <w:t xml:space="preserve">EDI, </w:t>
      </w:r>
      <w:r w:rsidR="00171996">
        <w:t xml:space="preserve">Central </w:t>
      </w:r>
      <w:r>
        <w:t xml:space="preserve">de </w:t>
      </w:r>
      <w:r w:rsidR="00171996">
        <w:t xml:space="preserve">Regulação </w:t>
      </w:r>
      <w:r>
        <w:t xml:space="preserve">da </w:t>
      </w:r>
      <w:r w:rsidR="00171996">
        <w:t xml:space="preserve">Oferta </w:t>
      </w:r>
      <w:r>
        <w:t xml:space="preserve">de </w:t>
      </w:r>
      <w:r w:rsidR="00171996">
        <w:t xml:space="preserve">Serviços </w:t>
      </w:r>
      <w:r>
        <w:t xml:space="preserve">de </w:t>
      </w:r>
      <w:r w:rsidR="00171996">
        <w:t xml:space="preserve">Saúde - </w:t>
      </w:r>
      <w:r>
        <w:t>CROSS e plataforma logística de guarda e distribuição de insumos de saúde (CEADIS);</w:t>
      </w:r>
    </w:p>
    <w:p w:rsidR="003E6588" w:rsidRDefault="003E6588">
      <w:pPr>
        <w:ind w:firstLine="1134"/>
        <w:jc w:val="both"/>
      </w:pPr>
    </w:p>
    <w:p w:rsidR="003E6588" w:rsidRDefault="003E6588">
      <w:pPr>
        <w:ind w:firstLine="1134"/>
        <w:jc w:val="both"/>
      </w:pPr>
      <w:r>
        <w:t>- 11 Convênios para gestão de Hospitais, AME e Unidade de Reabilitação da Rede Lucy Montoro;</w:t>
      </w:r>
    </w:p>
    <w:p w:rsidR="003E6588" w:rsidRDefault="003E6588">
      <w:pPr>
        <w:ind w:firstLine="1134"/>
        <w:jc w:val="both"/>
      </w:pPr>
    </w:p>
    <w:p w:rsidR="003E6588" w:rsidRDefault="003E6588">
      <w:pPr>
        <w:ind w:firstLine="1134"/>
        <w:jc w:val="both"/>
      </w:pPr>
      <w:r>
        <w:t>- 3 Convênios com Consórcios Intermunicipais de Saúde para gestão de Hospitais e AME;</w:t>
      </w:r>
    </w:p>
    <w:p w:rsidR="003E6588" w:rsidRDefault="003E6588">
      <w:pPr>
        <w:ind w:firstLine="1134"/>
        <w:jc w:val="both"/>
      </w:pPr>
    </w:p>
    <w:p w:rsidR="003E6588" w:rsidRDefault="003E6588">
      <w:pPr>
        <w:ind w:firstLine="1134"/>
        <w:jc w:val="both"/>
      </w:pPr>
      <w:r>
        <w:rPr>
          <w:b/>
        </w:rPr>
        <w:t>Produção de unidades sob gerência das OSS</w:t>
      </w:r>
      <w:r>
        <w:t>:</w:t>
      </w:r>
    </w:p>
    <w:p w:rsidR="003E6588" w:rsidRDefault="003E6588">
      <w:pPr>
        <w:ind w:firstLine="1134"/>
        <w:jc w:val="both"/>
      </w:pPr>
    </w:p>
    <w:p w:rsidR="003E6588" w:rsidRDefault="003E6588">
      <w:pPr>
        <w:ind w:firstLine="1134"/>
        <w:jc w:val="both"/>
      </w:pPr>
      <w:r>
        <w:t>- 52 Unidades Ambulatoriais - (AMES e CRI) - Consulta Médica: 4.129.300; Consulta não Médica: 1.304.115; Cirurgia: 214.278; Odontologia: 13.877; SADT: 912.881; Tratamentos Clínicos: 2.377;</w:t>
      </w:r>
    </w:p>
    <w:p w:rsidR="003E6588" w:rsidRDefault="003E6588">
      <w:pPr>
        <w:ind w:firstLine="1134"/>
        <w:jc w:val="both"/>
      </w:pPr>
    </w:p>
    <w:p w:rsidR="003E6588" w:rsidRDefault="003E6588">
      <w:pPr>
        <w:ind w:firstLine="1134"/>
        <w:jc w:val="both"/>
      </w:pPr>
      <w:r>
        <w:t>- 31 hospitais gerais - Saídas Hospitalares: 323.920; Hospital Dia/Cirurgias ambulatoriais: 76.384; Urgência: 2.185.544; Atendimento Ambulatorial: 1.867.892; SADT Externo: 1.929.073; Quimioterapia: 56.529; Radioterapia: 115.053; Diálise: 92.871; Litotripsia: 11.799; tratamento aparelho de visão: 12.666.</w:t>
      </w:r>
    </w:p>
    <w:p w:rsidR="003E6588" w:rsidRDefault="003E6588">
      <w:pPr>
        <w:ind w:firstLine="1134"/>
        <w:jc w:val="both"/>
        <w:rPr>
          <w:b/>
        </w:rPr>
      </w:pPr>
    </w:p>
    <w:p w:rsidR="003E6588" w:rsidRDefault="003E6588">
      <w:pPr>
        <w:ind w:firstLine="1134"/>
        <w:jc w:val="both"/>
      </w:pPr>
      <w:r>
        <w:rPr>
          <w:b/>
        </w:rPr>
        <w:t xml:space="preserve">Ambulatórios Médicos de Especialidades - AMEs </w:t>
      </w:r>
      <w:r w:rsidRPr="00171996">
        <w:rPr>
          <w:b/>
        </w:rPr>
        <w:t xml:space="preserve">- </w:t>
      </w:r>
      <w:r w:rsidRPr="00171996">
        <w:t>Foi</w:t>
      </w:r>
      <w:r>
        <w:t xml:space="preserve"> dada continuidade ao programa de criação dos AMEs, com dois novos AMEs.</w:t>
      </w:r>
    </w:p>
    <w:p w:rsidR="003E6588" w:rsidRDefault="003E6588">
      <w:pPr>
        <w:ind w:firstLine="1134"/>
        <w:jc w:val="both"/>
      </w:pPr>
    </w:p>
    <w:p w:rsidR="003E6588" w:rsidRDefault="003E6588">
      <w:pPr>
        <w:ind w:firstLine="1134"/>
        <w:jc w:val="both"/>
      </w:pPr>
      <w:r>
        <w:rPr>
          <w:b/>
        </w:rPr>
        <w:t xml:space="preserve">Coordenação do Sistema Estadual de Transplantes - </w:t>
      </w:r>
      <w:r w:rsidRPr="00171996">
        <w:t>Fora</w:t>
      </w:r>
      <w:r>
        <w:t>m realizados 1.569 transplantes de rins, 549 de fígado, 133 de coração, 75 de pâncreas, 55 de pulmão e 5.200 de córnea.</w:t>
      </w:r>
    </w:p>
    <w:p w:rsidR="003E6588" w:rsidRDefault="003E6588">
      <w:pPr>
        <w:ind w:firstLine="1134"/>
        <w:jc w:val="both"/>
      </w:pPr>
    </w:p>
    <w:p w:rsidR="003E6588" w:rsidRDefault="003E6588">
      <w:pPr>
        <w:ind w:firstLine="1134"/>
        <w:jc w:val="both"/>
      </w:pPr>
      <w:r>
        <w:rPr>
          <w:b/>
        </w:rPr>
        <w:t xml:space="preserve">Ações de Assistência Farmacêutica - </w:t>
      </w:r>
      <w:r>
        <w:t>A SS tem como responsabilidade a implementação da Política Nacional de Medicamentos em âmbito estadual, por meio da estruturação da Assistência Farmacêutica, da garantia do acesso da população aos medicamentos essenciais de forma pactuada com as demais esferas de governo, e da promoção do Uso Racional de Medicamentos, observada a legislação sanitária vigente.</w:t>
      </w:r>
    </w:p>
    <w:p w:rsidR="003E6588" w:rsidRDefault="003E6588">
      <w:pPr>
        <w:ind w:firstLine="1134"/>
        <w:jc w:val="both"/>
      </w:pPr>
    </w:p>
    <w:p w:rsidR="003E6588" w:rsidRDefault="003E6588">
      <w:pPr>
        <w:ind w:firstLine="1134"/>
        <w:jc w:val="both"/>
      </w:pPr>
      <w:r>
        <w:rPr>
          <w:b/>
        </w:rPr>
        <w:t>Manutenção do Componente Básico da Assistência Farmacêutica</w:t>
      </w:r>
      <w:r>
        <w:t xml:space="preserve"> - pactuação com os municípios dos valores financeiros estaduais a serem transferidos à gestão municipal, para financiamento da Assistência Farmacêutica na Atenção Básica do SUS:</w:t>
      </w:r>
    </w:p>
    <w:p w:rsidR="003E6588" w:rsidRDefault="003E6588">
      <w:pPr>
        <w:ind w:firstLine="1134"/>
        <w:jc w:val="both"/>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lastRenderedPageBreak/>
        <w:t>- Para os 28 municípios &gt; 250.000 habitantes e 28 &lt; 250.000 habitantes, que não aderiram ao Programa Dose Certa: R$ 62.257.748,72, sendo R$ 49.067.547,72 para financiamento de medicamentos e R$ 13.190.201,00 para aquisição de insumos para diabéticos insulinodependentes;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Para os 589 municípios &lt; 250.000 habitantes, que aderiram ao Programa Dose Certa: R$ 7.900.085,00, para aquisição de insumos para diabéticos insulinodependentes.</w:t>
      </w:r>
    </w:p>
    <w:p w:rsidR="003E6588" w:rsidRDefault="003E6588">
      <w:pPr>
        <w:ind w:firstLine="1134"/>
        <w:jc w:val="both"/>
        <w:rPr>
          <w:b/>
        </w:rPr>
      </w:pPr>
    </w:p>
    <w:p w:rsidR="003E6588" w:rsidRDefault="003E6588">
      <w:pPr>
        <w:ind w:firstLine="1134"/>
        <w:jc w:val="both"/>
      </w:pPr>
      <w:r>
        <w:rPr>
          <w:b/>
        </w:rPr>
        <w:t>Distribuição de medicamentos do Componente Básico da Assistência Farmacêutica -</w:t>
      </w:r>
      <w:r>
        <w:t xml:space="preserve"> 944 mil unidades farmacêuticas pelo “Programa Dose Certa” (valor de R$ 72,7 milhões); dispensação de 11,9 milhões de unidades farmacêuticas (185 mil prescrições médicas), nas 16 Farmácias Dose Certa do Município de São Paulo; 5,4 milhões de frascos de insulina humana NPH 100UI/mL (R$ 62,6 milhões) e 394 mil frascos de insulina humana regular 100UI/10mL (R$ 4,4 milhões), adquiridas de forma centralizada pelo Ministério da Saúde; 17 milhões de unidades de contraceptivos (R$ 27,6 milhões) do Programa Saúde da Mulher, adquiridos de forma centralizada pelo Ministério da Saúde (aos municípios &lt; 500 mil habitantes) e complementar pela Secretaria da Saúde (municípios aderentes ao Programa Dose Certa).</w:t>
      </w:r>
    </w:p>
    <w:p w:rsidR="003E6588" w:rsidRDefault="003E6588">
      <w:pPr>
        <w:ind w:firstLine="1134"/>
        <w:jc w:val="both"/>
        <w:rPr>
          <w:b/>
        </w:rPr>
      </w:pPr>
    </w:p>
    <w:p w:rsidR="003E6588" w:rsidRDefault="003E6588">
      <w:pPr>
        <w:ind w:firstLine="1134"/>
        <w:jc w:val="both"/>
      </w:pPr>
      <w:r>
        <w:rPr>
          <w:b/>
        </w:rPr>
        <w:t xml:space="preserve">Manutenção do Componente Especializado da Assistência Farmacêutica </w:t>
      </w:r>
      <w:r w:rsidR="00171996">
        <w:rPr>
          <w:b/>
        </w:rPr>
        <w:t xml:space="preserve">- </w:t>
      </w:r>
      <w:r>
        <w:rPr>
          <w:b/>
        </w:rPr>
        <w:t xml:space="preserve">CEAF e Protocolos Clínicos de Tratamento Estaduais - </w:t>
      </w:r>
      <w:r>
        <w:t>587.560 pacientes/mês nas 38 Farmácias de Medicamentos Especializados, com dispensação de 39.386.801 unidades farmacêuticas/mês de 281 medicamentos, (231 do Componente Especializado da Assistência Farmacêutica e 50 de Protocolos Clínicos de Tratamento Estaduais e Fibrose Cística). Investimento de 462 milhões.</w:t>
      </w:r>
    </w:p>
    <w:p w:rsidR="003E6588" w:rsidRDefault="003E6588">
      <w:pPr>
        <w:ind w:firstLine="1134"/>
        <w:jc w:val="both"/>
      </w:pPr>
    </w:p>
    <w:p w:rsidR="003E6588" w:rsidRDefault="003E6588">
      <w:pPr>
        <w:ind w:firstLine="1134"/>
        <w:jc w:val="both"/>
      </w:pPr>
      <w:r>
        <w:rPr>
          <w:b/>
        </w:rPr>
        <w:t>Manutenção do CEAF/Medicamentos Oncológicos</w:t>
      </w:r>
      <w:r>
        <w:t xml:space="preserve"> – Distribuição de 783.700 unidades de 4 medicamentos oncológicos (R$ 76.438.764,64), adquiridos de forma centralizada pelo Ministério da Saúde, à Rede de Atenção Oncológica de Alta Complexidade do Estado de São Paulo.</w:t>
      </w:r>
    </w:p>
    <w:p w:rsidR="003E6588" w:rsidRDefault="003E6588">
      <w:pPr>
        <w:ind w:firstLine="1134"/>
        <w:jc w:val="both"/>
      </w:pPr>
    </w:p>
    <w:p w:rsidR="003E6588" w:rsidRDefault="003E6588">
      <w:pPr>
        <w:ind w:firstLine="1134"/>
        <w:jc w:val="both"/>
      </w:pPr>
      <w:r>
        <w:rPr>
          <w:b/>
        </w:rPr>
        <w:t>Fornecimento de medicamentos de ações judiciais e solicitações administrativas -</w:t>
      </w:r>
      <w:r>
        <w:t xml:space="preserve"> Atendimento de 37.282 pacientes/mês nas 24 Farmácias de Demandas Judiciais e Administrativas, correspondendo a R$ 345 milhões em medicamentos, dietas enterais e produtos nutricionais. Realização de intervenções com análise crítica das ações judiciais e solicitações administrativas de medicamentos e nutrições enterais, que resultaram em economia de R$ 20,2 milhões: inativação de 9.917 demandas de pacientes que não retiram seus medicamentos (evitando perda de medicamentos por validade); transferência de 52 pacientes atendidos por ação judicial para emissão de APAC’s na FME Várzea do Carmo; realização do processo de dose compartilhada do ácido zoledrônico 4mg no tratamento da osteoporose em 215 pacientes atendidos por solicitação administrativa; utilização de doses fracionadas de </w:t>
      </w:r>
      <w:r>
        <w:rPr>
          <w:i/>
        </w:rPr>
        <w:t>bevacizumabe</w:t>
      </w:r>
      <w:r>
        <w:t xml:space="preserve"> e </w:t>
      </w:r>
      <w:r>
        <w:rPr>
          <w:i/>
        </w:rPr>
        <w:t>ranibizumabe</w:t>
      </w:r>
      <w:r>
        <w:t xml:space="preserve"> para tratamento da Degeneração Macular Relacionada à Idade, em 734 pacientes atendidos por solicitação administrativa;</w:t>
      </w:r>
    </w:p>
    <w:p w:rsidR="003E6588" w:rsidRDefault="003E6588">
      <w:pPr>
        <w:ind w:firstLine="1134"/>
        <w:jc w:val="both"/>
      </w:pPr>
    </w:p>
    <w:p w:rsidR="003E6588" w:rsidRDefault="003E6588">
      <w:pPr>
        <w:ind w:firstLine="1134"/>
        <w:jc w:val="both"/>
      </w:pPr>
      <w:r>
        <w:rPr>
          <w:b/>
        </w:rPr>
        <w:t>Manutenção dos Programas MedCasa e PMC -</w:t>
      </w:r>
      <w:r>
        <w:t xml:space="preserve"> Realização de 929 mil entregas de medicamentos em domicílios de pacientes e captação de 26 mil novos pacientes.</w:t>
      </w:r>
    </w:p>
    <w:p w:rsidR="003E6588" w:rsidRDefault="003E6588">
      <w:pPr>
        <w:ind w:firstLine="1134"/>
        <w:jc w:val="both"/>
      </w:pPr>
    </w:p>
    <w:p w:rsidR="003E6588" w:rsidRDefault="003E6588">
      <w:pPr>
        <w:ind w:firstLine="1134"/>
        <w:jc w:val="both"/>
      </w:pPr>
      <w:r>
        <w:rPr>
          <w:b/>
        </w:rPr>
        <w:lastRenderedPageBreak/>
        <w:t xml:space="preserve">Programa Desperdício Zero - </w:t>
      </w:r>
      <w:r>
        <w:t>Remanejamento de medicamentos entre as farmácias SS, a fim de evitar a perda por validade, refletindo economia de R$ 2.110.849,51; economia acumulada de R$ 300 milhões decorrente da negociação de preços de medicamentos com fornecedores pela Corregedoria Geral da Administração.</w:t>
      </w:r>
    </w:p>
    <w:p w:rsidR="003E6588" w:rsidRDefault="003E6588">
      <w:pPr>
        <w:ind w:firstLine="1134"/>
        <w:jc w:val="both"/>
        <w:rPr>
          <w:b/>
        </w:rPr>
      </w:pPr>
    </w:p>
    <w:p w:rsidR="003E6588" w:rsidRDefault="003E6588">
      <w:pPr>
        <w:ind w:firstLine="1134"/>
        <w:jc w:val="both"/>
        <w:rPr>
          <w:b/>
        </w:rPr>
      </w:pPr>
      <w:r>
        <w:rPr>
          <w:b/>
        </w:rPr>
        <w:t>Outras ações de Planejamento, Administração e Aperfeiçoamento da Assistência Farmacêutica Estadual</w:t>
      </w:r>
    </w:p>
    <w:p w:rsidR="003E6588" w:rsidRDefault="003E6588">
      <w:pPr>
        <w:ind w:firstLine="1134"/>
        <w:jc w:val="both"/>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Desenvolvimento do projeto de Parceria Público-Privada - PPP de Reorganização, Estruturação, Implantação e Operação dos processos logísticos da Assistência Farmacêutica, Imunização e Outros Insumos do Estado, com realização de consulta pública do edital de licitação;</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xml:space="preserve">Aperfeiçoamentos - Realização do Projeto “Farmacêuticos Lado a Lado”, para adequação de 78 Farmácias e Almoxarifados SS; Adequação do fluxo de atendimento de pacientes na Grande São Paulo, com integração dos pacientes das FME Ambulatório Regional Sul e Hospital Geral de Pedreira às FME Maria Zélia e Vila Mariana. Inauguração das novas instalações da Farmácia de Medicamentos Especializados do DRS XVI </w:t>
      </w:r>
      <w:r w:rsidR="00171996">
        <w:rPr>
          <w:rFonts w:ascii="Times New Roman" w:hAnsi="Times New Roman"/>
          <w:sz w:val="24"/>
          <w:szCs w:val="24"/>
        </w:rPr>
        <w:t>-</w:t>
      </w:r>
      <w:r>
        <w:rPr>
          <w:rFonts w:ascii="Times New Roman" w:hAnsi="Times New Roman"/>
          <w:sz w:val="24"/>
          <w:szCs w:val="24"/>
        </w:rPr>
        <w:t xml:space="preserve"> Sorocaba. Publicação de 9 notas técnicas. Desenvolvimento de Programas de Capacitação para Assistência Farmacêutica. Informação: implementação da interoperabilidade dos sistemas informatizados para Gestão da Assistência Farmacêutica; aperfeiçoamento da disponibilização de informações relativas a medicamentos aos usuários do SUS;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Estruturação da Comissão de Farmacologia do Estado - 10 comitês técnicos; 9 pareceres técnico-científicos; 3 protocolos clínicos de tratamento; publicação do “Guia de Orientações sobre Medicamentos - Recebi meu medicamento, e agora?”; desenvolvimento de dois projetos de pesquisa PPSUS em parceria com a Universidade de São Paulo, visando ao desenvolvimento e implantação de novo modelo de Assistência Farmacêutica Integrada na Farmácia Universitária da Faculdade de Ciências Farmacêuticas - USP.</w:t>
      </w:r>
    </w:p>
    <w:p w:rsidR="003E6588" w:rsidRDefault="003E6588">
      <w:pPr>
        <w:ind w:firstLine="1134"/>
        <w:jc w:val="both"/>
      </w:pPr>
    </w:p>
    <w:p w:rsidR="003E6588" w:rsidRDefault="003E6588">
      <w:pPr>
        <w:ind w:firstLine="1134"/>
        <w:jc w:val="both"/>
        <w:rPr>
          <w:b/>
        </w:rPr>
      </w:pPr>
      <w:r>
        <w:rPr>
          <w:b/>
        </w:rPr>
        <w:t>Recursos Humanos na Saúde</w:t>
      </w:r>
    </w:p>
    <w:p w:rsidR="003E6588" w:rsidRDefault="003E6588">
      <w:pPr>
        <w:ind w:firstLine="1134"/>
        <w:jc w:val="both"/>
      </w:pPr>
    </w:p>
    <w:p w:rsidR="003E6588" w:rsidRDefault="003E6588">
      <w:pPr>
        <w:ind w:firstLine="1134"/>
        <w:jc w:val="both"/>
      </w:pPr>
      <w:r>
        <w:rPr>
          <w:b/>
        </w:rPr>
        <w:t>Residência Médica</w:t>
      </w:r>
      <w:r>
        <w:t xml:space="preserve"> - Programa de Bolsas de Residência Médica do Governo do Estado de São Paulo foi ampliado com a concessão de 600 bolsas de estudo para médicos residentes, em especialidades prioritárias para o - </w:t>
      </w:r>
      <w:r w:rsidRPr="00171996">
        <w:t>SUS, financiando</w:t>
      </w:r>
      <w:r>
        <w:t xml:space="preserve"> 6.140 bolsistas</w:t>
      </w:r>
      <w:r>
        <w:rPr>
          <w:color w:val="FF0000"/>
        </w:rPr>
        <w:t>,</w:t>
      </w:r>
      <w:r>
        <w:t xml:space="preserve"> em 59 instituições de diferentes naturezas jurídicas - universidades estaduais, instituições públicas estaduais, OSSs e instituições privadas conveniadas com a Secretaria da Saúde. O programa de Gratificação de Preceptoria foi mantido, distribuindo 810 gratificações em 19 instituições. Gratificação mensal recebida pelos profissionais médicos que supervisionam o ensino dos médicos residentes e com vínculo funcional com a Secretaria da Saúde.</w:t>
      </w:r>
    </w:p>
    <w:p w:rsidR="003E6588" w:rsidRDefault="003E6588">
      <w:pPr>
        <w:ind w:firstLine="1134"/>
        <w:jc w:val="both"/>
      </w:pPr>
    </w:p>
    <w:p w:rsidR="003E6588" w:rsidRDefault="003E6588">
      <w:pPr>
        <w:ind w:firstLine="1134"/>
        <w:jc w:val="both"/>
      </w:pPr>
      <w:r>
        <w:rPr>
          <w:b/>
        </w:rPr>
        <w:t xml:space="preserve">Aprimoramento </w:t>
      </w:r>
      <w:r w:rsidRPr="00171996">
        <w:rPr>
          <w:b/>
        </w:rPr>
        <w:t>Profissional</w:t>
      </w:r>
      <w:r w:rsidRPr="00171996">
        <w:t xml:space="preserve"> - Programa</w:t>
      </w:r>
      <w:r>
        <w:t xml:space="preserve"> de Aprimoramento Profissional da Secretaria da Saúde capacita profissionais recém-formados em diversas áreas de saúde e afins, exceto médicos, para atender demanda de pessoal qualificado para atuar em diversas áreas do SUS. A SS disponibilizou 1176 bolsas de estudos, distribuídas em 380 programas nas 43 instituições credenciadas e distribuídas </w:t>
      </w:r>
      <w:r>
        <w:lastRenderedPageBreak/>
        <w:t>em 19 hospitais, 14 instituições de ensino, 3 centros de referência, 4 instituições de pesquisa e 3 outras instituições.</w:t>
      </w:r>
    </w:p>
    <w:p w:rsidR="003E6588" w:rsidRDefault="003E6588">
      <w:pPr>
        <w:ind w:firstLine="1134"/>
        <w:jc w:val="both"/>
        <w:rPr>
          <w:b/>
        </w:rPr>
      </w:pPr>
    </w:p>
    <w:p w:rsidR="003E6588" w:rsidRDefault="003E6588">
      <w:pPr>
        <w:ind w:firstLine="1134"/>
        <w:jc w:val="both"/>
      </w:pPr>
      <w:r>
        <w:rPr>
          <w:b/>
        </w:rPr>
        <w:t xml:space="preserve">Treinamentos e capacitações realizados - </w:t>
      </w:r>
      <w:r>
        <w:t>Para o público interno e externo foram oferecidos cursos presenciais e por ensino a distância - EAD, voltados para Integração dos Servidores, Avaliação de Desempenho Individual, Indicadores de Gestão de Pessoas, Formação de Tutores para EAD, Curso Básico de Processo Administrativo Sanitário, A Conquista da cidadania LGBT, Inclusão digital dos servidores da SS</w:t>
      </w:r>
      <w:r>
        <w:rPr>
          <w:b/>
        </w:rPr>
        <w:t xml:space="preserve"> -</w:t>
      </w:r>
      <w:r>
        <w:t xml:space="preserve"> cursos de informática, com 4.085 participantes.</w:t>
      </w:r>
    </w:p>
    <w:p w:rsidR="003E6588" w:rsidRDefault="003E6588">
      <w:pPr>
        <w:ind w:firstLine="1134"/>
        <w:jc w:val="both"/>
      </w:pPr>
    </w:p>
    <w:p w:rsidR="003E6588" w:rsidRDefault="003E6588">
      <w:pPr>
        <w:ind w:firstLine="1134"/>
        <w:jc w:val="both"/>
      </w:pPr>
      <w:r>
        <w:rPr>
          <w:b/>
        </w:rPr>
        <w:t>Cursos oferecidos para área de enfermagem, para atender capacitações previstas no estágio probatório</w:t>
      </w:r>
      <w:r w:rsidRPr="00171996">
        <w:t xml:space="preserve"> </w:t>
      </w:r>
      <w:r w:rsidR="00171996">
        <w:rPr>
          <w:b/>
        </w:rPr>
        <w:t>-</w:t>
      </w:r>
      <w:r>
        <w:t xml:space="preserve"> “Prevenindo não conformidades na Administração de medicamentos”; “Promovendo a Segurança do Paciente”; “Introdutório à SAE”; “NR32”.</w:t>
      </w:r>
    </w:p>
    <w:p w:rsidR="003E6588" w:rsidRDefault="003E6588">
      <w:pPr>
        <w:ind w:firstLine="1134"/>
        <w:jc w:val="both"/>
      </w:pPr>
    </w:p>
    <w:p w:rsidR="003E6588" w:rsidRDefault="003E6588">
      <w:pPr>
        <w:ind w:firstLine="1134"/>
        <w:jc w:val="both"/>
        <w:rPr>
          <w:strike/>
        </w:rPr>
      </w:pPr>
      <w:r>
        <w:rPr>
          <w:b/>
        </w:rPr>
        <w:t xml:space="preserve">Outras ações com foco na área de RH - </w:t>
      </w:r>
      <w:r>
        <w:t>Curso de Técnicas Didáticas para Introdutores e Monitores de Treinamento e Capacitação das Unidades da SS para 35 participantes, e Curso de Especialização em Gestão do Trabalho e Educação em Saúde para 35 participantes.</w:t>
      </w:r>
    </w:p>
    <w:p w:rsidR="003E6588" w:rsidRDefault="003E6588">
      <w:pPr>
        <w:ind w:firstLine="1134"/>
        <w:jc w:val="both"/>
      </w:pPr>
    </w:p>
    <w:p w:rsidR="003E6588" w:rsidRDefault="003E6588">
      <w:pPr>
        <w:ind w:firstLine="1134"/>
        <w:jc w:val="both"/>
      </w:pPr>
      <w:r>
        <w:rPr>
          <w:b/>
        </w:rPr>
        <w:t>Desenvolvimento da formação técnica de nível médio no SUS</w:t>
      </w:r>
      <w:r>
        <w:t xml:space="preserve"> - Para formação de agentes comunitários da saúde, técnicos de enfermagem (urgência e emergência, oncologia, curso técnico em enfermagem, saúde mental), auxiliar de saúde bucal, hemoterapia, abrangendo 14 mil profissionais.</w:t>
      </w:r>
    </w:p>
    <w:p w:rsidR="003E6588" w:rsidRDefault="003E6588">
      <w:pPr>
        <w:ind w:firstLine="1134"/>
        <w:jc w:val="both"/>
      </w:pPr>
    </w:p>
    <w:p w:rsidR="003E6588" w:rsidRDefault="003E6588">
      <w:pPr>
        <w:ind w:firstLine="1134"/>
        <w:jc w:val="both"/>
      </w:pPr>
      <w:r>
        <w:rPr>
          <w:b/>
        </w:rPr>
        <w:t>Contratações por categoria</w:t>
      </w:r>
      <w:r>
        <w:t xml:space="preserve"> - Para garantir adequado funcionamento dos serviços de saúde, foram realizadas 3.124 nomeações de profissionais para a Saúde, em suas diferentes unidades.</w:t>
      </w:r>
    </w:p>
    <w:p w:rsidR="003E6588" w:rsidRDefault="003E6588">
      <w:pPr>
        <w:ind w:firstLine="1134"/>
        <w:jc w:val="both"/>
      </w:pPr>
    </w:p>
    <w:p w:rsidR="003E6588" w:rsidRDefault="003E6588">
      <w:pPr>
        <w:ind w:firstLine="1134"/>
        <w:jc w:val="both"/>
        <w:rPr>
          <w:b/>
        </w:rPr>
      </w:pPr>
      <w:r>
        <w:rPr>
          <w:b/>
        </w:rPr>
        <w:t>Ações de Saúde Coletiva</w:t>
      </w:r>
    </w:p>
    <w:p w:rsidR="003E6588" w:rsidRDefault="003E6588">
      <w:pPr>
        <w:ind w:firstLine="1134"/>
        <w:jc w:val="both"/>
        <w:rPr>
          <w:b/>
        </w:rPr>
      </w:pPr>
    </w:p>
    <w:p w:rsidR="003E6588" w:rsidRDefault="003E6588">
      <w:pPr>
        <w:ind w:firstLine="1134"/>
        <w:jc w:val="both"/>
      </w:pPr>
      <w:r>
        <w:rPr>
          <w:b/>
        </w:rPr>
        <w:t>Material de Comunicação e divulgação</w:t>
      </w:r>
      <w:r>
        <w:t xml:space="preserve"> - 12 edições do Boletim Epidemiológico Paulista – BEPA. Edição do Manual do Gestor para a Dengue 2014. Editoração de cinco edições do Boletim GAIS Informa, do Grupo Técnico de Avaliação e Informação de Saúde (CPS/SS); 16 edições do CCD Notícias, jornal eletrônico de divulgação e integração da coordenadoria. Cinco edições do “Café com Saúde” e Encontro - “Velhos e novos desafios: o Estado de São Paulo prepara ações para o enfrentamento da dengue e </w:t>
      </w:r>
      <w:r>
        <w:rPr>
          <w:i/>
        </w:rPr>
        <w:t>chikungunya”</w:t>
      </w:r>
      <w:r>
        <w:t>.</w:t>
      </w:r>
    </w:p>
    <w:p w:rsidR="003E6588" w:rsidRDefault="003E6588">
      <w:pPr>
        <w:ind w:firstLine="1134"/>
        <w:jc w:val="both"/>
        <w:rPr>
          <w:b/>
        </w:rPr>
      </w:pPr>
    </w:p>
    <w:p w:rsidR="003E6588" w:rsidRDefault="003E6588">
      <w:pPr>
        <w:ind w:firstLine="1134"/>
        <w:jc w:val="both"/>
      </w:pPr>
      <w:r>
        <w:rPr>
          <w:b/>
        </w:rPr>
        <w:t>Programa de Pós Graduação em Ciência</w:t>
      </w:r>
      <w:r>
        <w:t xml:space="preserve">s - Participaram 90 discentes, sendo 52 no mestrado, 35 no doutorado e 3 pós-doutorado. Realizadas 7 defesas de mestrado e 5 de doutorado. Apoio da CAPES, com 26 bolsas (10 Doutorados, 15 mestrados e 1 de pós-doutorado) e 1 do CNPq.  Ministradas 16 disciplinas e um </w:t>
      </w:r>
      <w:r>
        <w:rPr>
          <w:i/>
        </w:rPr>
        <w:t>workshop</w:t>
      </w:r>
      <w:r>
        <w:t>. 103 projetos em 22 linhas de pesquisa em infectologia e laboratório de saúde pública.</w:t>
      </w:r>
    </w:p>
    <w:p w:rsidR="003E6588" w:rsidRDefault="003E6588">
      <w:pPr>
        <w:ind w:firstLine="1134"/>
        <w:jc w:val="both"/>
      </w:pPr>
    </w:p>
    <w:p w:rsidR="003E6588" w:rsidRDefault="003E6588">
      <w:pPr>
        <w:ind w:firstLine="1134"/>
        <w:jc w:val="both"/>
      </w:pPr>
      <w:r>
        <w:rPr>
          <w:b/>
        </w:rPr>
        <w:t xml:space="preserve">Organização e disseminação da produção científica e técnica de âmbito institucional </w:t>
      </w:r>
      <w:r>
        <w:t xml:space="preserve">- Principais ações - Coordenação e administração da BVS Rede de Informação e Conhecimento. Coordenação e administração do Portal de Revistas Saúde SP. Gestão dos acervos da Biblioteca do </w:t>
      </w:r>
      <w:r>
        <w:lastRenderedPageBreak/>
        <w:t xml:space="preserve">Instituto Adolfo Lutz, do Centro de Vigilância Sanitária e do Centro de Documentação. Elaboração do Guia do Centro de Documentação para o Usuário. Processo de </w:t>
      </w:r>
      <w:r>
        <w:rPr>
          <w:bCs/>
        </w:rPr>
        <w:t>institucionalização dos Núcleos de Inovação Tecnológica da SS</w:t>
      </w:r>
      <w:r>
        <w:t xml:space="preserve"> (atuando no suporte de informações, legislação, diagnósticos, cursos e reuniões).</w:t>
      </w:r>
    </w:p>
    <w:p w:rsidR="003E6588" w:rsidRDefault="003E6588">
      <w:pPr>
        <w:ind w:firstLine="1134"/>
        <w:jc w:val="both"/>
      </w:pPr>
    </w:p>
    <w:p w:rsidR="003E6588" w:rsidRDefault="003E6588">
      <w:pPr>
        <w:ind w:firstLine="1134"/>
        <w:jc w:val="both"/>
      </w:pPr>
      <w:r>
        <w:rPr>
          <w:b/>
        </w:rPr>
        <w:t>Sistemas de Informações de Mortalidade - SIM e de Nascidos Vivos - SINASC</w:t>
      </w:r>
      <w:r>
        <w:t xml:space="preserve"> - Coordenação e aperfeiçoamento dos sistemas de informações de estatísticas vitais. Principais ações - Distribuição da Declaração de Nascido Vivo - DNV e da Declaração de óbito - DO aos Municípios, trabalhando com 635.00 nascimentos e 280.000 óbitos, no âmbito do Estado. Capacitação de Codificação em seleção da </w:t>
      </w:r>
      <w:r>
        <w:rPr>
          <w:i/>
        </w:rPr>
        <w:t>causa mortis</w:t>
      </w:r>
      <w:r>
        <w:t xml:space="preserve">, no uso da CID-10 - 155 técnicos municipais e estaduais e 10 Monitores (151 municípios). Encontro Regional SIM SINASC para os Municípios - 50 participantes. Elaboração e realização de aprimoramento de codificação de </w:t>
      </w:r>
      <w:r>
        <w:rPr>
          <w:i/>
        </w:rPr>
        <w:t>causa mortis</w:t>
      </w:r>
      <w:r>
        <w:t xml:space="preserve"> aos Municípios e GVE - 320 participantes (300 municípios e 20 GVE). </w:t>
      </w:r>
      <w:r>
        <w:rPr>
          <w:bCs/>
        </w:rPr>
        <w:t xml:space="preserve">Oficinas de Aprimoramento com os GVEs e municípios de grande porte - 105 participantes - 28 GVEs e 10 municípios. Premiação SINASC - Região Piracicaba, 26 municípios da região - 50 participantes. </w:t>
      </w:r>
      <w:r>
        <w:t xml:space="preserve">Realização Curso de SIM E SINASC, módulo de </w:t>
      </w:r>
      <w:r>
        <w:rPr>
          <w:i/>
        </w:rPr>
        <w:t>web</w:t>
      </w:r>
      <w:r>
        <w:t xml:space="preserve"> de investigação e uso da ferramenta - 43 participantes (24 GVEs).</w:t>
      </w:r>
    </w:p>
    <w:p w:rsidR="003E6588" w:rsidRDefault="003E6588">
      <w:pPr>
        <w:ind w:firstLine="1134"/>
        <w:jc w:val="both"/>
      </w:pPr>
    </w:p>
    <w:p w:rsidR="003E6588" w:rsidRDefault="003E6588">
      <w:pPr>
        <w:ind w:firstLine="1134"/>
        <w:jc w:val="both"/>
        <w:rPr>
          <w:bCs/>
        </w:rPr>
      </w:pPr>
      <w:r>
        <w:rPr>
          <w:b/>
        </w:rPr>
        <w:t>Ações de Vigilância Sanitária -</w:t>
      </w:r>
      <w:r>
        <w:t xml:space="preserve"> A SS, por meio do Centro de Vigilância Sanitária, coordena o Sistema Estadual de Vigilância Sanitária, constituído por 28 equipes regionais de vigilância sanitária estadual (GVS), 645 equipes municipais (VISA-M), com a função de proteger a população dos fatores que implicam ameaças e riscos à saúde. Todos estes serviços realizam ações, conforme pactos estabelecidos na Comissão Intergestores Bipartite de São Paulo (CIB-SP). </w:t>
      </w:r>
      <w:r>
        <w:rPr>
          <w:bCs/>
        </w:rPr>
        <w:t>Destacam-se:</w:t>
      </w:r>
    </w:p>
    <w:p w:rsidR="003E6588" w:rsidRDefault="003E6588">
      <w:pPr>
        <w:pStyle w:val="PargrafodaLista"/>
        <w:ind w:left="0" w:firstLine="1134"/>
        <w:contextualSpacing w:val="0"/>
        <w:rPr>
          <w:rFonts w:ascii="Times New Roman" w:hAnsi="Times New Roman"/>
          <w:b/>
          <w:bCs/>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sz w:val="24"/>
          <w:szCs w:val="24"/>
        </w:rPr>
        <w:t>Evento de Massa -</w:t>
      </w:r>
      <w:r>
        <w:rPr>
          <w:rFonts w:ascii="Times New Roman" w:hAnsi="Times New Roman"/>
          <w:sz w:val="24"/>
          <w:szCs w:val="24"/>
        </w:rPr>
        <w:t xml:space="preserve"> Copa do Mundo</w:t>
      </w:r>
      <w:r>
        <w:rPr>
          <w:rFonts w:ascii="Times New Roman" w:hAnsi="Times New Roman"/>
          <w:b/>
          <w:sz w:val="24"/>
          <w:szCs w:val="24"/>
        </w:rPr>
        <w:t xml:space="preserve"> </w:t>
      </w:r>
      <w:r>
        <w:rPr>
          <w:rFonts w:ascii="Times New Roman" w:hAnsi="Times New Roman"/>
          <w:sz w:val="24"/>
          <w:szCs w:val="24"/>
        </w:rPr>
        <w:t>- Organização e avaliação das atividades referentes às ações pré, durante e pós-evento.</w:t>
      </w:r>
    </w:p>
    <w:p w:rsidR="003E6588" w:rsidRDefault="003E6588">
      <w:pPr>
        <w:pStyle w:val="PargrafodaLista"/>
        <w:ind w:left="0" w:firstLine="1134"/>
        <w:contextualSpacing w:val="0"/>
        <w:rPr>
          <w:rFonts w:ascii="Times New Roman" w:hAnsi="Times New Roman"/>
          <w:b/>
          <w:bCs/>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bCs/>
          <w:sz w:val="24"/>
          <w:szCs w:val="24"/>
        </w:rPr>
        <w:t>Área de alimentos</w:t>
      </w:r>
      <w:r>
        <w:rPr>
          <w:rFonts w:ascii="Times New Roman" w:hAnsi="Times New Roman"/>
          <w:bCs/>
          <w:sz w:val="24"/>
          <w:szCs w:val="24"/>
        </w:rPr>
        <w:t xml:space="preserve"> - </w:t>
      </w:r>
      <w:r>
        <w:rPr>
          <w:rFonts w:ascii="Times New Roman" w:hAnsi="Times New Roman"/>
          <w:sz w:val="24"/>
          <w:szCs w:val="24"/>
        </w:rPr>
        <w:t>Inspecionados 20.339 Serviços de Alimentação, que totalizaram 27.518 inspeções, resultando em 1.284 autuações sanitárias; além destes, 140 indústrias de água mineral receberam 172 inspeções, gerando 22 autuações. Elaboração e divulgação do Informe Técnico: “Vigilância Sanitária em Serviços de Alimentação: um olhar para os trabalhadores”, com a finalidade de subsidiar inspeções da referida atividade econômica.</w:t>
      </w:r>
    </w:p>
    <w:p w:rsidR="003E6588" w:rsidRDefault="003E6588">
      <w:pPr>
        <w:pStyle w:val="PargrafodaLista"/>
        <w:ind w:left="0" w:firstLine="1134"/>
        <w:contextualSpacing w:val="0"/>
        <w:rPr>
          <w:rFonts w:ascii="Times New Roman" w:hAnsi="Times New Roman"/>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sz w:val="24"/>
          <w:szCs w:val="24"/>
        </w:rPr>
        <w:t>Serviços de Saúde de referência</w:t>
      </w:r>
      <w:r>
        <w:rPr>
          <w:rFonts w:ascii="Times New Roman" w:hAnsi="Times New Roman"/>
          <w:sz w:val="24"/>
          <w:szCs w:val="24"/>
        </w:rPr>
        <w:t xml:space="preserve"> - Inspecionados 617 Hospitais, 35 referência para a Copa 2014, 6 Hemocentros e 17 Hemonúcleos. Monitoradas seis Unidades Móveis pertencentes a dois serviços de Remoção cadastrados pela FIFA, participação no Centro Integrado de Operações Conjuntas da Saúde (Ciocs). Monitorados 93% (124) dos eventos sentinelas relacionados à transfusão sanguínea recebidos (133 = 100%). Monitorados 75% (136) dos Serviços de Terapia Renal Substitutiva </w:t>
      </w:r>
      <w:r w:rsidR="00171996">
        <w:rPr>
          <w:rFonts w:ascii="Times New Roman" w:hAnsi="Times New Roman"/>
          <w:sz w:val="24"/>
          <w:szCs w:val="24"/>
        </w:rPr>
        <w:t xml:space="preserve">- </w:t>
      </w:r>
      <w:r w:rsidRPr="00171996">
        <w:rPr>
          <w:rFonts w:ascii="Times New Roman" w:hAnsi="Times New Roman"/>
          <w:sz w:val="24"/>
          <w:szCs w:val="24"/>
        </w:rPr>
        <w:t>TRS</w:t>
      </w:r>
      <w:r>
        <w:rPr>
          <w:rFonts w:ascii="Times New Roman" w:hAnsi="Times New Roman"/>
          <w:sz w:val="24"/>
          <w:szCs w:val="24"/>
        </w:rPr>
        <w:t xml:space="preserve"> e de Hemoterapia existentes (182=100%). Controle do risco sanitário dos Serviços de Radioterapia - serviços fonte de Cobalto-60, operação 33 fontes, 82% das referidas fontes já foram substituídas. Investigação de 100% (13) das novas ocorrências de exposição a doses elevadas de Radiações Ionizantes e concluídos 37 casos ocorridos em anos anteriores; Unidades de Queimados - UQ - Análise inspeções 2013, 13 unidades para monitoramento das não conformidades constatadas.</w:t>
      </w:r>
    </w:p>
    <w:p w:rsidR="003E6588" w:rsidRDefault="003E6588">
      <w:pPr>
        <w:pStyle w:val="PargrafodaLista"/>
        <w:ind w:left="0" w:firstLine="1134"/>
        <w:contextualSpacing w:val="0"/>
        <w:rPr>
          <w:rFonts w:ascii="Times New Roman" w:hAnsi="Times New Roman"/>
          <w:b/>
          <w:sz w:val="24"/>
          <w:szCs w:val="24"/>
        </w:rPr>
      </w:pPr>
    </w:p>
    <w:p w:rsidR="003E6588" w:rsidRDefault="003E6588">
      <w:pPr>
        <w:pStyle w:val="PargrafodaLista"/>
        <w:ind w:left="0" w:firstLine="1134"/>
        <w:contextualSpacing w:val="0"/>
        <w:rPr>
          <w:rFonts w:ascii="Times New Roman" w:hAnsi="Times New Roman"/>
          <w:sz w:val="24"/>
          <w:szCs w:val="24"/>
        </w:rPr>
      </w:pPr>
      <w:r>
        <w:rPr>
          <w:rFonts w:ascii="Times New Roman" w:hAnsi="Times New Roman"/>
          <w:b/>
          <w:sz w:val="24"/>
          <w:szCs w:val="24"/>
        </w:rPr>
        <w:lastRenderedPageBreak/>
        <w:t xml:space="preserve">Sistema de Informação em Vigilância Sanitária - </w:t>
      </w:r>
      <w:r w:rsidRPr="00171996">
        <w:rPr>
          <w:rFonts w:ascii="Times New Roman" w:hAnsi="Times New Roman"/>
          <w:b/>
          <w:sz w:val="24"/>
          <w:szCs w:val="24"/>
        </w:rPr>
        <w:t>Sivisa</w:t>
      </w:r>
      <w:r>
        <w:rPr>
          <w:rFonts w:ascii="Times New Roman" w:hAnsi="Times New Roman"/>
          <w:sz w:val="24"/>
          <w:szCs w:val="24"/>
        </w:rPr>
        <w:t xml:space="preserve"> - Realizados dez treinamentos, capacitando 560 profissionais das Vigilâncias Sanitárias municipais e regionais. Apresentação do </w:t>
      </w:r>
      <w:r w:rsidRPr="00171996">
        <w:rPr>
          <w:rFonts w:ascii="Times New Roman" w:hAnsi="Times New Roman"/>
          <w:sz w:val="24"/>
          <w:szCs w:val="24"/>
        </w:rPr>
        <w:t xml:space="preserve">Sivisa </w:t>
      </w:r>
      <w:r>
        <w:rPr>
          <w:rFonts w:ascii="Times New Roman" w:hAnsi="Times New Roman"/>
          <w:sz w:val="24"/>
          <w:szCs w:val="24"/>
        </w:rPr>
        <w:t xml:space="preserve">para outros Estados, para disseminá-lo ao </w:t>
      </w:r>
      <w:r w:rsidR="00957E14">
        <w:rPr>
          <w:rFonts w:ascii="Times New Roman" w:hAnsi="Times New Roman"/>
          <w:sz w:val="24"/>
          <w:szCs w:val="24"/>
        </w:rPr>
        <w:t>País</w:t>
      </w:r>
      <w:r>
        <w:rPr>
          <w:rFonts w:ascii="Times New Roman" w:hAnsi="Times New Roman"/>
          <w:sz w:val="24"/>
          <w:szCs w:val="24"/>
        </w:rPr>
        <w:t>. Assessoramento na proposta de Descentralização das Ações de Vigilância Sanitária, juntamente com a Agência Nacional de Vigilância Sanitária utilizando o Sivisa. Ouvidoria - 2.315 manifestações, 2.151 (92,9%) encaminhadas a outros órgãos; das 164 da Vigilância Sanitária, 85 (52%) foram solucionadas.</w:t>
      </w:r>
    </w:p>
    <w:p w:rsidR="003E6588" w:rsidRDefault="003E6588">
      <w:pPr>
        <w:pStyle w:val="PargrafodaLista"/>
        <w:ind w:left="0" w:firstLine="1134"/>
        <w:contextualSpacing w:val="0"/>
        <w:rPr>
          <w:rFonts w:ascii="Times New Roman" w:hAnsi="Times New Roman"/>
          <w:sz w:val="24"/>
          <w:szCs w:val="24"/>
        </w:rPr>
      </w:pPr>
    </w:p>
    <w:p w:rsidR="003E6588" w:rsidRDefault="003E6588">
      <w:pPr>
        <w:ind w:firstLine="1134"/>
        <w:jc w:val="both"/>
      </w:pPr>
      <w:r>
        <w:rPr>
          <w:b/>
        </w:rPr>
        <w:t>P</w:t>
      </w:r>
      <w:r>
        <w:rPr>
          <w:b/>
          <w:bCs/>
        </w:rPr>
        <w:t xml:space="preserve">rograma de Vigilância da Qualidade da Água para Consumo Humano - PRO ÁGUA - </w:t>
      </w:r>
      <w:r>
        <w:rPr>
          <w:bCs/>
        </w:rPr>
        <w:t>4</w:t>
      </w:r>
      <w:r>
        <w:t>00 mil análises laboratoriais, 98% resultaram satisfatórias. Seminário Água e Saúde</w:t>
      </w:r>
      <w:r>
        <w:rPr>
          <w:b/>
        </w:rPr>
        <w:t xml:space="preserve"> -</w:t>
      </w:r>
      <w:r>
        <w:t xml:space="preserve"> 260 profissionais e palestrantes internacionais (USA), abordando a “Crise Hídrica e a Segurança da Água”. - </w:t>
      </w:r>
      <w:r>
        <w:rPr>
          <w:i/>
        </w:rPr>
        <w:t>Workshop</w:t>
      </w:r>
      <w:r>
        <w:t xml:space="preserve"> “Água e Saúde” - 40 especialistas da Academia e do Serviço</w:t>
      </w:r>
      <w:r w:rsidRPr="00171996">
        <w:t>, para discutir e elaborar estratégias conjuntas. Seminário Áreas Contaminadas e Saúde</w:t>
      </w:r>
      <w:r w:rsidRPr="00171996">
        <w:rPr>
          <w:b/>
        </w:rPr>
        <w:t xml:space="preserve"> -</w:t>
      </w:r>
      <w:r w:rsidRPr="00171996">
        <w:t xml:space="preserve"> tema principal “Contextos Hidrológicos Críticos e Incremento da Exploração de Aquíferos”, público de 250 pessoas, com transmissão da IPTV/USP. </w:t>
      </w:r>
      <w:r w:rsidRPr="00171996">
        <w:rPr>
          <w:bCs/>
        </w:rPr>
        <w:t>Seminário Hospitais Saudáveis</w:t>
      </w:r>
      <w:r w:rsidRPr="00171996">
        <w:rPr>
          <w:b/>
          <w:bCs/>
        </w:rPr>
        <w:t xml:space="preserve"> -</w:t>
      </w:r>
      <w:r w:rsidRPr="00171996">
        <w:rPr>
          <w:bCs/>
        </w:rPr>
        <w:t xml:space="preserve"> sétima edição, </w:t>
      </w:r>
      <w:r w:rsidRPr="00171996">
        <w:t xml:space="preserve">600 participantes e premiação de 15 projetos. </w:t>
      </w:r>
      <w:r w:rsidRPr="00171996">
        <w:rPr>
          <w:bCs/>
        </w:rPr>
        <w:t>Ambientes Saudáveis e Livres do Tabaco e Álcool para Menores</w:t>
      </w:r>
      <w:r>
        <w:rPr>
          <w:bCs/>
        </w:rPr>
        <w:t xml:space="preserve"> é Proibido -</w:t>
      </w:r>
      <w:r>
        <w:rPr>
          <w:b/>
          <w:bCs/>
        </w:rPr>
        <w:t xml:space="preserve"> </w:t>
      </w:r>
      <w:r>
        <w:rPr>
          <w:bCs/>
        </w:rPr>
        <w:t>realizadas</w:t>
      </w:r>
      <w:r>
        <w:t xml:space="preserve">190 mil inspeções, </w:t>
      </w:r>
      <w:r>
        <w:rPr>
          <w:color w:val="000000"/>
        </w:rPr>
        <w:t>registradas 415 autuações para infrações de tabaco e 371 para as infrações do álcool. S</w:t>
      </w:r>
      <w:r>
        <w:t>eminário “120 Anos de Legislação Sanitária: Os muitos percursos do desenvolvimento paulista - 1894 a 2014”.</w:t>
      </w:r>
    </w:p>
    <w:p w:rsidR="003E6588" w:rsidRDefault="003E6588">
      <w:pPr>
        <w:ind w:firstLine="1134"/>
        <w:jc w:val="both"/>
        <w:rPr>
          <w:bCs/>
        </w:rPr>
      </w:pPr>
    </w:p>
    <w:p w:rsidR="003E6588" w:rsidRDefault="003E6588">
      <w:pPr>
        <w:pStyle w:val="PargrafodaLista"/>
        <w:ind w:left="0" w:firstLine="1134"/>
        <w:contextualSpacing w:val="0"/>
        <w:rPr>
          <w:rFonts w:ascii="Times New Roman" w:hAnsi="Times New Roman"/>
          <w:bCs/>
          <w:sz w:val="24"/>
          <w:szCs w:val="24"/>
        </w:rPr>
      </w:pPr>
      <w:r>
        <w:rPr>
          <w:rFonts w:ascii="Times New Roman" w:hAnsi="Times New Roman"/>
          <w:b/>
          <w:sz w:val="24"/>
          <w:szCs w:val="24"/>
        </w:rPr>
        <w:t xml:space="preserve">Publicações </w:t>
      </w:r>
      <w:r w:rsidR="00171996">
        <w:rPr>
          <w:rFonts w:ascii="Times New Roman" w:hAnsi="Times New Roman"/>
          <w:b/>
          <w:sz w:val="24"/>
          <w:szCs w:val="24"/>
        </w:rPr>
        <w:t>-</w:t>
      </w:r>
      <w:r>
        <w:rPr>
          <w:rFonts w:ascii="Times New Roman" w:hAnsi="Times New Roman"/>
          <w:b/>
          <w:sz w:val="24"/>
          <w:szCs w:val="24"/>
        </w:rPr>
        <w:t xml:space="preserve"> </w:t>
      </w:r>
      <w:r w:rsidRPr="00171996">
        <w:rPr>
          <w:rFonts w:ascii="Times New Roman" w:hAnsi="Times New Roman"/>
          <w:sz w:val="24"/>
          <w:szCs w:val="24"/>
        </w:rPr>
        <w:t>“</w:t>
      </w:r>
      <w:r>
        <w:rPr>
          <w:rFonts w:ascii="Times New Roman" w:hAnsi="Times New Roman"/>
          <w:sz w:val="24"/>
          <w:szCs w:val="24"/>
        </w:rPr>
        <w:t>Vigilância de Fatores Ambientais de Risco à Saúde Associados aos Eventos de Massa no ESP: O caso da água para consumo humano”.</w:t>
      </w:r>
      <w:r>
        <w:rPr>
          <w:rFonts w:ascii="Times New Roman" w:hAnsi="Times New Roman"/>
          <w:b/>
          <w:sz w:val="24"/>
          <w:szCs w:val="24"/>
        </w:rPr>
        <w:t xml:space="preserve"> </w:t>
      </w:r>
      <w:r>
        <w:rPr>
          <w:rFonts w:ascii="Times New Roman" w:hAnsi="Times New Roman"/>
          <w:sz w:val="24"/>
          <w:szCs w:val="24"/>
        </w:rPr>
        <w:t>Artigo publicado BEPA 2014. Comunicado CVS nº 23/2014 - Orienta a Vigilância da qualidade da água para consumo humano em situações de estiagem: ações preventivas de saúde para estiagens e em eventuais situações de racionamento de água. “Manual de Orientação para o Funcionamento dos Serviços de Embelezamento sem Responsabilidade Médica”. Tiragem inicial, 10.000 exemplares</w:t>
      </w:r>
      <w:r>
        <w:rPr>
          <w:rFonts w:ascii="Times New Roman" w:hAnsi="Times New Roman"/>
          <w:i/>
          <w:sz w:val="24"/>
          <w:szCs w:val="24"/>
        </w:rPr>
        <w:t>.</w:t>
      </w:r>
    </w:p>
    <w:p w:rsidR="003E6588" w:rsidRDefault="003E6588">
      <w:pPr>
        <w:ind w:firstLine="1134"/>
        <w:jc w:val="both"/>
        <w:rPr>
          <w:b/>
        </w:rPr>
      </w:pPr>
    </w:p>
    <w:p w:rsidR="003E6588" w:rsidRDefault="003E6588">
      <w:pPr>
        <w:ind w:firstLine="1134"/>
        <w:jc w:val="both"/>
      </w:pPr>
      <w:r>
        <w:rPr>
          <w:b/>
        </w:rPr>
        <w:t xml:space="preserve">Produtos de interesse da saúde - </w:t>
      </w:r>
      <w:r>
        <w:t>Programa de Monitoramento de Produtos de Higiene Pessoal e Saneantes de Uso em Estabelecimentos de Assistência à Saúde - analisados 17 produtos. Farmacovigilância - 25.137 notificações de suspeitas de reações adversas (RAM) e 3.188 de queixas técnicas (QT), 100% analisadas. Tecnovigilância - implantação da Ficha de Notificação específica para o “módulo piloto de monitoramento e avaliação de queixas técnicas de seringas e agulhas”, em conjunto com o Centro de Vigilância Epidemiológica da SS; foram recebidas e analisadas 2.459 notificações de QT.</w:t>
      </w:r>
    </w:p>
    <w:p w:rsidR="003E6588" w:rsidRDefault="003E6588">
      <w:pPr>
        <w:ind w:firstLine="1134"/>
        <w:jc w:val="both"/>
      </w:pPr>
    </w:p>
    <w:p w:rsidR="003E6588" w:rsidRDefault="003E6588">
      <w:pPr>
        <w:pStyle w:val="PargrafodaLista"/>
        <w:ind w:left="0" w:firstLine="1134"/>
        <w:contextualSpacing w:val="0"/>
        <w:rPr>
          <w:rFonts w:ascii="Times New Roman" w:hAnsi="Times New Roman"/>
          <w:bCs/>
          <w:sz w:val="24"/>
          <w:szCs w:val="24"/>
        </w:rPr>
      </w:pPr>
      <w:r>
        <w:rPr>
          <w:rFonts w:ascii="Times New Roman" w:hAnsi="Times New Roman"/>
          <w:b/>
          <w:sz w:val="24"/>
          <w:szCs w:val="24"/>
        </w:rPr>
        <w:t xml:space="preserve">Capacitações - </w:t>
      </w:r>
      <w:r>
        <w:rPr>
          <w:rFonts w:ascii="Times New Roman" w:hAnsi="Times New Roman"/>
          <w:sz w:val="24"/>
          <w:szCs w:val="24"/>
        </w:rPr>
        <w:t>240 profissionais capacitados. Temas:</w:t>
      </w:r>
      <w:r>
        <w:rPr>
          <w:rFonts w:ascii="Times New Roman" w:hAnsi="Times New Roman"/>
          <w:bCs/>
          <w:sz w:val="24"/>
          <w:szCs w:val="24"/>
        </w:rPr>
        <w:t xml:space="preserve"> “Fortalecendo o sistema de farmacovigilância para a introdução de novos medicamentos para a tuberculose no Brasil”; Seminário “Como melhorar a qualidade das notificações em farmacovigilância nos serviços de saúde?”.</w:t>
      </w:r>
    </w:p>
    <w:p w:rsidR="003E6588" w:rsidRDefault="003E6588">
      <w:pPr>
        <w:ind w:firstLine="1134"/>
        <w:jc w:val="both"/>
        <w:rPr>
          <w:b/>
        </w:rPr>
      </w:pPr>
    </w:p>
    <w:p w:rsidR="003E6588" w:rsidRDefault="003E6588">
      <w:pPr>
        <w:ind w:firstLine="1134"/>
        <w:jc w:val="both"/>
        <w:rPr>
          <w:bCs/>
          <w:i/>
        </w:rPr>
      </w:pPr>
      <w:r>
        <w:rPr>
          <w:b/>
        </w:rPr>
        <w:t>Saúde do Trabalhador</w:t>
      </w:r>
      <w:r>
        <w:rPr>
          <w:color w:val="FF0000"/>
        </w:rPr>
        <w:t xml:space="preserve"> </w:t>
      </w:r>
      <w:r>
        <w:t>-</w:t>
      </w:r>
      <w:r>
        <w:rPr>
          <w:color w:val="FF0000"/>
        </w:rPr>
        <w:t xml:space="preserve"> </w:t>
      </w:r>
      <w:r>
        <w:rPr>
          <w:bCs/>
        </w:rPr>
        <w:t xml:space="preserve">Oficina, seminário e atividade educativa do Programa de Vigilância dos Acidentes de Trabalho (recursos de R$ 177,7 mil); Projeto de Educação Permanente em Saúde do Trabalhador - dois seminários; Programa de Vigilância à Saúde do Trabalhador Exposto ao Amianto - Ações simultâneas - 4.614 lojas de materiais de construção, espalhadas em 454 (70%) </w:t>
      </w:r>
      <w:r w:rsidRPr="00171996">
        <w:rPr>
          <w:bCs/>
        </w:rPr>
        <w:t>mun</w:t>
      </w:r>
      <w:r>
        <w:rPr>
          <w:bCs/>
        </w:rPr>
        <w:t xml:space="preserve">icípios paulistas, foram inspecionadas desde 2012. Capacitações, campanha e encontros do </w:t>
      </w:r>
      <w:r>
        <w:rPr>
          <w:bCs/>
        </w:rPr>
        <w:lastRenderedPageBreak/>
        <w:t>Programa de Vigilância em Saúde do Trabalhador Exposto ao Benzeno (recursos no valor R$ 217,5 mil). Monitoramento das notificações das doenças e dos acidentes relacionados ao trabalho - 22.737 acidentes de trabalho graves, fatais e com menores de 18 anos.</w:t>
      </w:r>
    </w:p>
    <w:p w:rsidR="003E6588" w:rsidRDefault="003E6588">
      <w:pPr>
        <w:ind w:firstLine="1134"/>
        <w:jc w:val="both"/>
        <w:rPr>
          <w:bCs/>
        </w:rPr>
      </w:pPr>
    </w:p>
    <w:p w:rsidR="003E6588" w:rsidRPr="00171996" w:rsidRDefault="003E6588">
      <w:pPr>
        <w:ind w:firstLine="1134"/>
        <w:jc w:val="both"/>
      </w:pPr>
      <w:r>
        <w:rPr>
          <w:b/>
        </w:rPr>
        <w:t>Programa de Doenças Sexualmente Transmissíveis - DST/AIDS do Estado de São Paulo</w:t>
      </w:r>
    </w:p>
    <w:p w:rsidR="003E6588" w:rsidRPr="00171996" w:rsidRDefault="003E6588">
      <w:pPr>
        <w:tabs>
          <w:tab w:val="left" w:pos="284"/>
          <w:tab w:val="left" w:pos="426"/>
        </w:tabs>
        <w:ind w:firstLine="1134"/>
        <w:jc w:val="both"/>
      </w:pPr>
      <w:r w:rsidRPr="00171996">
        <w:rPr>
          <w:b/>
        </w:rPr>
        <w:t>Recursos de auxílio e incentivo -</w:t>
      </w:r>
      <w:r w:rsidRPr="00171996">
        <w:t xml:space="preserve"> Construção da Rede de Cuidado em DST/HIV/Aids e Hepatites Virais (com recursos estaduais de incentivo de R$ 30 milhões), destinada ao fortalecimento dos serviços especializados e à qualificação de atenção básica. Criação do Incentivo Estadual para as Casas de Apoio Tipo II, complementando os recursos federais para abrigar Pessoas Vivendo com HIV/aids (R$ 1.144.800,00/ano). Financiados 15 projetos de ONG/OSC, Fóruns e Redes e Casa de Apoio, no valor de R$ 1.798.769,88;</w:t>
      </w:r>
    </w:p>
    <w:p w:rsidR="003E6588" w:rsidRDefault="003E6588">
      <w:pPr>
        <w:tabs>
          <w:tab w:val="left" w:pos="284"/>
          <w:tab w:val="left" w:pos="426"/>
        </w:tabs>
        <w:ind w:firstLine="1134"/>
        <w:jc w:val="both"/>
      </w:pPr>
    </w:p>
    <w:p w:rsidR="003E6588" w:rsidRDefault="003E6588">
      <w:pPr>
        <w:tabs>
          <w:tab w:val="left" w:pos="284"/>
          <w:tab w:val="left" w:pos="426"/>
        </w:tabs>
        <w:ind w:firstLine="1134"/>
        <w:jc w:val="both"/>
      </w:pPr>
      <w:r>
        <w:rPr>
          <w:b/>
        </w:rPr>
        <w:t>Insumos -</w:t>
      </w:r>
      <w:r>
        <w:rPr>
          <w:bCs/>
        </w:rPr>
        <w:t xml:space="preserve"> Aquisição e distribuição de 7.000 unidades de Fórmula Láctea. </w:t>
      </w:r>
      <w:r>
        <w:t>Distribuição de 51.525.424 preservativos masculinos, 597.500 preservativos femininos e 2.050.000 géis lubrificantes;</w:t>
      </w:r>
    </w:p>
    <w:p w:rsidR="003E6588" w:rsidRDefault="003E6588">
      <w:pPr>
        <w:tabs>
          <w:tab w:val="left" w:pos="284"/>
          <w:tab w:val="left" w:pos="426"/>
        </w:tabs>
        <w:ind w:firstLine="1134"/>
        <w:jc w:val="both"/>
      </w:pPr>
    </w:p>
    <w:p w:rsidR="003E6588" w:rsidRDefault="003E6588">
      <w:pPr>
        <w:tabs>
          <w:tab w:val="left" w:pos="284"/>
          <w:tab w:val="left" w:pos="426"/>
        </w:tabs>
        <w:ind w:firstLine="1134"/>
        <w:jc w:val="both"/>
      </w:pPr>
      <w:r>
        <w:rPr>
          <w:b/>
        </w:rPr>
        <w:t>Cursos, capacitações e encontros -</w:t>
      </w:r>
      <w:r>
        <w:t xml:space="preserve"> Capacitação para 70 profissionais da rede especializada e parceiros estratégicos com o tema “Testagem para HIV”. Curso de Planejamento Estratégico a gestores da política contra HIV/Aids de Moçambique.</w:t>
      </w:r>
      <w:r>
        <w:rPr>
          <w:bCs/>
        </w:rPr>
        <w:t xml:space="preserve"> Implantação do curso EAD (Educação à Distância), em parceria com a Secretaria da Justiça e da Defesa da Cidadania (Coordenação de Políticas para Diversidade Sexual).</w:t>
      </w:r>
      <w:r>
        <w:t xml:space="preserve"> Fórum de dirigentes de DST/Aids do Estado - 200 participantes. 3 encontros regionais para o monitoramento da implantação dos TR no Estado nos Municípios de São Paulo, Bauru e Araçatuba, Sorocaba, São José dos Campos e Barretos (300 pessoas).</w:t>
      </w:r>
      <w:r>
        <w:rPr>
          <w:bCs/>
        </w:rPr>
        <w:t xml:space="preserve"> Fórum Regional de Prevenção às DST/Aids para Populações Vulneráveis.</w:t>
      </w:r>
      <w:r>
        <w:t xml:space="preserve"> Organização do seminário “Reflexão sobre problemas relacionados ao uso do </w:t>
      </w:r>
      <w:r>
        <w:rPr>
          <w:i/>
        </w:rPr>
        <w:t>crack</w:t>
      </w:r>
      <w:r>
        <w:t xml:space="preserve"> e a interface com a prevenção da transmissão vertical da sífilis e do HIV”;</w:t>
      </w:r>
    </w:p>
    <w:p w:rsidR="003E6588" w:rsidRDefault="003E6588">
      <w:pPr>
        <w:tabs>
          <w:tab w:val="left" w:pos="284"/>
          <w:tab w:val="left" w:pos="426"/>
        </w:tabs>
        <w:jc w:val="both"/>
      </w:pPr>
    </w:p>
    <w:p w:rsidR="003E6588" w:rsidRDefault="003E6588">
      <w:pPr>
        <w:tabs>
          <w:tab w:val="left" w:pos="284"/>
        </w:tabs>
        <w:ind w:firstLine="1134"/>
        <w:jc w:val="both"/>
        <w:rPr>
          <w:bCs/>
        </w:rPr>
      </w:pPr>
      <w:r>
        <w:rPr>
          <w:b/>
        </w:rPr>
        <w:t>Campanhas e testagens -</w:t>
      </w:r>
      <w:r>
        <w:t xml:space="preserve"> 3 campanhas de TR/HIV/Sífilis/Hepatites B e C (população feminina privada de liberdade e população em geral). Testagem (TRD/HIV - fluido oral) na “Semana da Parada do Orgulho LGBT de São Paulo” e ações de prevenção e cidadania na Feira da Diversidade. Campanha de Testagem “Fique Sabendo” - 2014, envolvendo cerca de 545 municípios. Ampliação da testagem voluntária de HIV para jovens gays, travestis e outros homens que fazem sexo com homens (HSH), no Largo do Arouche: “Projeto Quero Fazer”, em parceria com o Município de São Paulo;</w:t>
      </w:r>
    </w:p>
    <w:p w:rsidR="003E6588" w:rsidRDefault="003E6588">
      <w:pPr>
        <w:tabs>
          <w:tab w:val="left" w:pos="284"/>
        </w:tabs>
        <w:ind w:firstLine="1134"/>
        <w:jc w:val="both"/>
        <w:rPr>
          <w:bCs/>
        </w:rPr>
      </w:pPr>
    </w:p>
    <w:p w:rsidR="003E6588" w:rsidRDefault="003E6588">
      <w:pPr>
        <w:tabs>
          <w:tab w:val="left" w:pos="284"/>
          <w:tab w:val="left" w:pos="426"/>
        </w:tabs>
        <w:ind w:firstLine="1134"/>
        <w:jc w:val="both"/>
      </w:pPr>
      <w:r>
        <w:rPr>
          <w:b/>
        </w:rPr>
        <w:t>Outras ações -</w:t>
      </w:r>
      <w:r>
        <w:t xml:space="preserve"> </w:t>
      </w:r>
      <w:r w:rsidRPr="00171996">
        <w:t>Elaboração de propostas e apoio às ações municipais para redução da mortalidade por Aids (em municípios com TM acima da média do Estado de 6,6 óbitos/100mil habitantes/ano). Atualização, impressão e distribuição da segunda edição do “Guia de referências técnicas e programáticas para ações do plano de eliminação da transmissão vertical da sífilis congênita - Guia de Bolso”. Realizados 557.524 procedimentos multiprofissionais</w:t>
      </w:r>
      <w:r>
        <w:t xml:space="preserve"> para Pessoas Vivendo com HIV/aids, portadores de hepatites virais, travestis e transexuais, portadores de DST e demais populações que acessam o CTA.</w:t>
      </w:r>
    </w:p>
    <w:p w:rsidR="003E6588" w:rsidRDefault="003E6588">
      <w:pPr>
        <w:ind w:firstLine="1134"/>
        <w:jc w:val="both"/>
      </w:pPr>
    </w:p>
    <w:p w:rsidR="003E6588" w:rsidRDefault="003E6588">
      <w:pPr>
        <w:ind w:firstLine="1134"/>
        <w:jc w:val="both"/>
        <w:rPr>
          <w:bCs/>
        </w:rPr>
      </w:pPr>
      <w:r>
        <w:rPr>
          <w:b/>
        </w:rPr>
        <w:lastRenderedPageBreak/>
        <w:t xml:space="preserve">Centro de Vigilância Epidemiológica “Professor Alexandre Vranjac” - CVE - </w:t>
      </w:r>
      <w:r>
        <w:rPr>
          <w:bCs/>
        </w:rPr>
        <w:t>Responsável pela Vigilância Epidemiológica do Estado, apresentou um total de 244.484 profissionais capacitados.</w:t>
      </w:r>
    </w:p>
    <w:p w:rsidR="003E6588" w:rsidRDefault="003E6588">
      <w:pPr>
        <w:ind w:firstLine="1134"/>
        <w:jc w:val="both"/>
        <w:rPr>
          <w:bCs/>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b/>
          <w:sz w:val="24"/>
          <w:szCs w:val="24"/>
        </w:rPr>
        <w:t>Cursos, capacitações e encontros -</w:t>
      </w:r>
      <w:r>
        <w:rPr>
          <w:rFonts w:ascii="Times New Roman" w:hAnsi="Times New Roman"/>
          <w:sz w:val="24"/>
          <w:szCs w:val="24"/>
        </w:rPr>
        <w:t xml:space="preserve"> Café com Saúde - “Estratégias paulistas para manutenção da erradicação da poliomielite no Estado de São Paulo em Tempos de Alerta Mundial” (160 participantes); Cinco Capacitações Macrorregionais - RRAS (633 participantes) e duas Videoconferências (283 participantes) - Conteúdo temático</w:t>
      </w:r>
      <w:r>
        <w:rPr>
          <w:rFonts w:ascii="Times New Roman" w:hAnsi="Times New Roman"/>
          <w:bCs/>
          <w:sz w:val="24"/>
          <w:szCs w:val="24"/>
        </w:rPr>
        <w:t>: Doenças de transmissão respiratórias e os Eventos de massa, 2014;</w:t>
      </w:r>
      <w:r>
        <w:rPr>
          <w:rFonts w:ascii="Times New Roman" w:hAnsi="Times New Roman"/>
          <w:sz w:val="24"/>
          <w:szCs w:val="24"/>
        </w:rPr>
        <w:t xml:space="preserve"> Evento Estadual - Atualização da Dengue/</w:t>
      </w:r>
      <w:r>
        <w:rPr>
          <w:rFonts w:ascii="Times New Roman" w:hAnsi="Times New Roman"/>
          <w:i/>
          <w:sz w:val="24"/>
          <w:szCs w:val="24"/>
        </w:rPr>
        <w:t>Chikungunya</w:t>
      </w:r>
      <w:r>
        <w:rPr>
          <w:rFonts w:ascii="Times New Roman" w:hAnsi="Times New Roman"/>
          <w:sz w:val="24"/>
          <w:szCs w:val="24"/>
        </w:rPr>
        <w:t>;</w:t>
      </w:r>
      <w:r>
        <w:rPr>
          <w:rFonts w:ascii="Times New Roman" w:hAnsi="Times New Roman"/>
          <w:bCs/>
          <w:sz w:val="24"/>
          <w:szCs w:val="24"/>
        </w:rPr>
        <w:t xml:space="preserve"> Fórum de </w:t>
      </w:r>
      <w:r>
        <w:rPr>
          <w:rFonts w:ascii="Times New Roman" w:hAnsi="Times New Roman"/>
          <w:bCs/>
          <w:i/>
          <w:sz w:val="24"/>
          <w:szCs w:val="24"/>
        </w:rPr>
        <w:t>leishmaniose</w:t>
      </w:r>
      <w:r>
        <w:rPr>
          <w:rFonts w:ascii="Times New Roman" w:hAnsi="Times New Roman"/>
          <w:bCs/>
          <w:sz w:val="24"/>
          <w:szCs w:val="24"/>
        </w:rPr>
        <w:t xml:space="preserve"> visceral -</w:t>
      </w:r>
      <w:r>
        <w:rPr>
          <w:rFonts w:ascii="Times New Roman" w:hAnsi="Times New Roman"/>
          <w:sz w:val="24"/>
          <w:szCs w:val="24"/>
        </w:rPr>
        <w:t xml:space="preserve"> participação de 173 profissionais e </w:t>
      </w:r>
      <w:r>
        <w:rPr>
          <w:rFonts w:ascii="Times New Roman" w:hAnsi="Times New Roman"/>
          <w:bCs/>
          <w:sz w:val="24"/>
          <w:szCs w:val="24"/>
        </w:rPr>
        <w:t xml:space="preserve">Simpósio de </w:t>
      </w:r>
      <w:r>
        <w:rPr>
          <w:rFonts w:ascii="Times New Roman" w:hAnsi="Times New Roman"/>
          <w:bCs/>
          <w:i/>
          <w:sz w:val="24"/>
          <w:szCs w:val="24"/>
        </w:rPr>
        <w:t>leishmaniose</w:t>
      </w:r>
      <w:r>
        <w:rPr>
          <w:rFonts w:ascii="Times New Roman" w:hAnsi="Times New Roman"/>
          <w:bCs/>
          <w:sz w:val="24"/>
          <w:szCs w:val="24"/>
        </w:rPr>
        <w:t xml:space="preserve"> visceral -</w:t>
      </w:r>
      <w:r>
        <w:rPr>
          <w:rFonts w:ascii="Times New Roman" w:hAnsi="Times New Roman"/>
          <w:sz w:val="24"/>
          <w:szCs w:val="24"/>
        </w:rPr>
        <w:t xml:space="preserve"> participação de 167 profissionais; “XV Curso de Aperfeiçoamento em Vigilância Epidemiológica Hospitalar” - 35 alunos dos Estados de SP, MG, PR, SC, RS, MT, MS, TO, ES e BA; Fórum Estadual de Tuberculose - 870 profissionais. Premiação: 45 municípios, 20 laboratórios, 6 Grupos de Vigilância Epidemiológica , 39 unidades prisionais e Supervisão em Vigilância do Município de São Paulo pela</w:t>
      </w:r>
      <w:r>
        <w:rPr>
          <w:rFonts w:ascii="Times New Roman" w:hAnsi="Times New Roman"/>
          <w:i/>
          <w:sz w:val="24"/>
          <w:szCs w:val="24"/>
        </w:rPr>
        <w:t xml:space="preserve"> </w:t>
      </w:r>
      <w:r>
        <w:rPr>
          <w:rFonts w:ascii="Times New Roman" w:hAnsi="Times New Roman"/>
          <w:sz w:val="24"/>
          <w:szCs w:val="24"/>
        </w:rPr>
        <w:t>“</w:t>
      </w:r>
      <w:r>
        <w:rPr>
          <w:rFonts w:ascii="Times New Roman" w:hAnsi="Times New Roman"/>
          <w:bCs/>
          <w:iCs/>
          <w:sz w:val="24"/>
          <w:szCs w:val="24"/>
        </w:rPr>
        <w:t>Qualidade nas Ações de Controle da Tuberculose</w:t>
      </w:r>
      <w:r>
        <w:rPr>
          <w:rFonts w:ascii="Times New Roman" w:hAnsi="Times New Roman"/>
          <w:sz w:val="24"/>
          <w:szCs w:val="24"/>
        </w:rPr>
        <w:t>”; “VI Fórum de Promoção da Saúde” e “III Encontro de Experiências bem sucedidas em Promoção da Alimentação Saudável”.</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b/>
          <w:sz w:val="24"/>
          <w:szCs w:val="24"/>
        </w:rPr>
        <w:t>Programa Estadual de Imunização</w:t>
      </w:r>
      <w:r>
        <w:rPr>
          <w:rFonts w:ascii="Times New Roman" w:hAnsi="Times New Roman"/>
          <w:sz w:val="24"/>
          <w:szCs w:val="24"/>
        </w:rPr>
        <w:t xml:space="preserve"> - Introdução das vacinas HPV, Hepatite A e dTpa;</w:t>
      </w:r>
      <w:r>
        <w:rPr>
          <w:rFonts w:ascii="Times New Roman" w:hAnsi="Times New Roman"/>
          <w:bCs/>
          <w:sz w:val="24"/>
          <w:szCs w:val="24"/>
        </w:rPr>
        <w:t xml:space="preserve"> </w:t>
      </w:r>
      <w:r>
        <w:rPr>
          <w:rFonts w:ascii="Times New Roman" w:hAnsi="Times New Roman"/>
          <w:sz w:val="24"/>
          <w:szCs w:val="24"/>
        </w:rPr>
        <w:t>Vacinação de rotina (20.287.121 doses aplicadas); Campanha Influenza - (9.396.273 doses aplicadas); Campanha Poliomielite (1.686.252 doses aplicadas); Campanha de Seguimento contra o Sarampo (1.480.050 doses aplicadas).</w:t>
      </w:r>
    </w:p>
    <w:p w:rsidR="003E6588" w:rsidRDefault="003E6588">
      <w:pPr>
        <w:pStyle w:val="PargrafodaLista"/>
        <w:tabs>
          <w:tab w:val="left" w:pos="284"/>
        </w:tabs>
        <w:ind w:left="0" w:firstLine="1134"/>
        <w:rPr>
          <w:rFonts w:ascii="Times New Roman" w:hAnsi="Times New Roman"/>
          <w:bCs/>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b/>
          <w:sz w:val="24"/>
          <w:szCs w:val="24"/>
        </w:rPr>
        <w:t>Outras -</w:t>
      </w:r>
      <w:r>
        <w:rPr>
          <w:rFonts w:ascii="Times New Roman" w:hAnsi="Times New Roman"/>
          <w:sz w:val="24"/>
          <w:szCs w:val="24"/>
        </w:rPr>
        <w:t xml:space="preserve"> </w:t>
      </w:r>
      <w:r>
        <w:rPr>
          <w:rFonts w:ascii="Times New Roman" w:hAnsi="Times New Roman"/>
          <w:bCs/>
          <w:sz w:val="24"/>
          <w:szCs w:val="24"/>
        </w:rPr>
        <w:t xml:space="preserve">Copa do Mundo - elaboração dos Planos de Contingência para cada uma das doenças e </w:t>
      </w:r>
      <w:r>
        <w:rPr>
          <w:rFonts w:ascii="Times New Roman" w:hAnsi="Times New Roman"/>
          <w:sz w:val="24"/>
          <w:szCs w:val="24"/>
        </w:rPr>
        <w:t xml:space="preserve">do Guia Saúde na Copa do Mundo 2014. Elaboração de Alerta considerando-se a Declaração de Emergência Internacional da Pólio. Notas Informativas de achados de Poliovírus vacinal 1 (PW1), no Aeroporto de Viracopos, em Campinas, e Poliovírus derivado vacinal 2 (PDV2), no Porto de São Sebastião, em trabalho conjunto com a CETESB e FIOCRUZ. Central/CIEVS - 4.957 notificações por telefone e 4.094 através do </w:t>
      </w:r>
      <w:r>
        <w:rPr>
          <w:rFonts w:ascii="Times New Roman" w:hAnsi="Times New Roman"/>
          <w:i/>
          <w:sz w:val="24"/>
          <w:szCs w:val="24"/>
        </w:rPr>
        <w:t>e-mail</w:t>
      </w:r>
      <w:r>
        <w:rPr>
          <w:rFonts w:ascii="Times New Roman" w:hAnsi="Times New Roman"/>
          <w:sz w:val="24"/>
          <w:szCs w:val="24"/>
        </w:rPr>
        <w:t>, registrou 638 ocorrências, sendo 18 (2,8%) encaminhadas ao CIEVS Nacional. Do total das ocorrências, foram investigados 322 eventos e 47 classificadas como surtos.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tabs>
          <w:tab w:val="left" w:pos="540"/>
        </w:tabs>
        <w:ind w:right="-57" w:firstLine="1134"/>
        <w:jc w:val="both"/>
        <w:outlineLvl w:val="0"/>
        <w:rPr>
          <w:b/>
        </w:rPr>
      </w:pPr>
      <w:r>
        <w:rPr>
          <w:b/>
        </w:rPr>
        <w:t xml:space="preserve">Centro de Distribuição e Logística “Profº Edmundo Juarez” - CDL - </w:t>
      </w:r>
      <w:r>
        <w:t>Responsável pelo armazenamento e distribuição de vacinas de rotina, campanhas humanas e contra raiva canino-felina, insumos estratégicos e armazenamento e distribuição de PALIVIZUMABE e outros materiais e insumos para a Coordenadoria de Controle de Doenças, fundamentais para as ações de Vigilância em Saúde. Principais ações - Visitas Técnicas Monitoradas - Treinamentos realizados para Escolas e funcionários da área da saúde/logística da rede pública e privada, total de 331 visitantes; distribuição de 70,5 milhões de doses de vacinas, no valor de R$ 466,6 milhões, e insumos, no valor de R$ 2,3 milhões.</w:t>
      </w:r>
    </w:p>
    <w:p w:rsidR="003E6588" w:rsidRDefault="003E6588">
      <w:pPr>
        <w:tabs>
          <w:tab w:val="left" w:pos="540"/>
        </w:tabs>
        <w:ind w:right="-57" w:firstLine="1134"/>
        <w:jc w:val="both"/>
        <w:outlineLvl w:val="0"/>
        <w:rPr>
          <w:b/>
        </w:rPr>
      </w:pPr>
    </w:p>
    <w:p w:rsidR="003E6588" w:rsidRDefault="003E6588">
      <w:pPr>
        <w:tabs>
          <w:tab w:val="left" w:pos="540"/>
        </w:tabs>
        <w:ind w:right="-57" w:firstLine="1134"/>
        <w:jc w:val="both"/>
        <w:outlineLvl w:val="0"/>
        <w:rPr>
          <w:bCs/>
          <w:iCs/>
        </w:rPr>
      </w:pPr>
      <w:r>
        <w:rPr>
          <w:b/>
          <w:bCs/>
          <w:iCs/>
        </w:rPr>
        <w:t xml:space="preserve">Instituto Adolfo Lutz - IAL - </w:t>
      </w:r>
      <w:r>
        <w:rPr>
          <w:bCs/>
          <w:iCs/>
        </w:rPr>
        <w:t xml:space="preserve">Realiza diversidade de exames e análises (1.000 tipos de exames/ensaios) para as áreas da Vigilância em Saúde e Programas Interlaboratoriais de Qualidade. Integra o Programa de Imunização do Estado, realizando testes para definir efeitos adversos de vacinas e testes de vacinas produzidas no Instituto Butantã. Mantém 43 Programas em parceria com órgãos </w:t>
      </w:r>
      <w:r>
        <w:rPr>
          <w:bCs/>
          <w:iCs/>
        </w:rPr>
        <w:lastRenderedPageBreak/>
        <w:t xml:space="preserve">diversos. </w:t>
      </w:r>
      <w:r w:rsidRPr="000C6A98">
        <w:rPr>
          <w:bCs/>
          <w:iCs/>
        </w:rPr>
        <w:t>Des</w:t>
      </w:r>
      <w:r>
        <w:rPr>
          <w:bCs/>
          <w:iCs/>
        </w:rPr>
        <w:t>taque atribuído à reorganização dos laboratórios em sub-redes por agravos e programas com a participação dos Centros do IAL.</w:t>
      </w:r>
    </w:p>
    <w:p w:rsidR="003E6588" w:rsidRDefault="003E6588">
      <w:pPr>
        <w:tabs>
          <w:tab w:val="left" w:pos="540"/>
        </w:tabs>
        <w:ind w:right="-57" w:firstLine="1134"/>
        <w:jc w:val="both"/>
        <w:outlineLvl w:val="0"/>
        <w:rPr>
          <w:bCs/>
          <w:iCs/>
        </w:rPr>
      </w:pPr>
    </w:p>
    <w:p w:rsidR="003E6588" w:rsidRDefault="003E6588">
      <w:pPr>
        <w:ind w:firstLine="1134"/>
        <w:jc w:val="both"/>
        <w:rPr>
          <w:b/>
          <w:bCs/>
          <w:iCs/>
        </w:rPr>
      </w:pPr>
      <w:r>
        <w:rPr>
          <w:b/>
          <w:bCs/>
          <w:iCs/>
        </w:rPr>
        <w:t>Principais ações</w:t>
      </w:r>
    </w:p>
    <w:p w:rsidR="003E6588" w:rsidRDefault="003E6588">
      <w:pPr>
        <w:ind w:firstLine="1134"/>
        <w:jc w:val="both"/>
        <w:rPr>
          <w:b/>
          <w:bCs/>
          <w:iCs/>
        </w:rPr>
      </w:pPr>
    </w:p>
    <w:p w:rsidR="003E6588" w:rsidRDefault="003E6588">
      <w:pPr>
        <w:tabs>
          <w:tab w:val="left" w:pos="284"/>
        </w:tabs>
        <w:ind w:firstLine="1134"/>
        <w:jc w:val="both"/>
        <w:rPr>
          <w:bCs/>
          <w:iCs/>
        </w:rPr>
      </w:pPr>
      <w:r>
        <w:rPr>
          <w:b/>
          <w:bCs/>
          <w:iCs/>
        </w:rPr>
        <w:t>Produção de Exames</w:t>
      </w:r>
      <w:r>
        <w:rPr>
          <w:bCs/>
          <w:iCs/>
        </w:rPr>
        <w:t xml:space="preserve"> - 711.174.</w:t>
      </w:r>
    </w:p>
    <w:p w:rsidR="003E6588" w:rsidRDefault="003E6588">
      <w:pPr>
        <w:tabs>
          <w:tab w:val="left" w:pos="284"/>
        </w:tabs>
        <w:ind w:firstLine="1134"/>
        <w:jc w:val="both"/>
        <w:rPr>
          <w:bCs/>
          <w:iCs/>
        </w:rPr>
      </w:pPr>
    </w:p>
    <w:p w:rsidR="003E6588" w:rsidRDefault="003E6588">
      <w:pPr>
        <w:tabs>
          <w:tab w:val="left" w:pos="284"/>
        </w:tabs>
        <w:ind w:firstLine="1134"/>
        <w:jc w:val="both"/>
        <w:rPr>
          <w:bCs/>
          <w:iCs/>
        </w:rPr>
      </w:pPr>
      <w:r>
        <w:rPr>
          <w:b/>
          <w:bCs/>
          <w:iCs/>
        </w:rPr>
        <w:t xml:space="preserve">Projetos - </w:t>
      </w:r>
      <w:r>
        <w:rPr>
          <w:bCs/>
          <w:iCs/>
        </w:rPr>
        <w:t>77 projetos de pesquisa científica encontram-se desenvolvimento e/ou em fase de aprovação, na captação de recursos de R$ 21.074.724,21.</w:t>
      </w:r>
    </w:p>
    <w:p w:rsidR="003E6588" w:rsidRDefault="003E6588">
      <w:pPr>
        <w:tabs>
          <w:tab w:val="left" w:pos="284"/>
        </w:tabs>
        <w:ind w:firstLine="1134"/>
        <w:jc w:val="both"/>
        <w:rPr>
          <w:bCs/>
          <w:iCs/>
        </w:rPr>
      </w:pPr>
    </w:p>
    <w:p w:rsidR="003E6588" w:rsidRDefault="003E6588">
      <w:pPr>
        <w:tabs>
          <w:tab w:val="left" w:pos="284"/>
        </w:tabs>
        <w:ind w:firstLine="1134"/>
        <w:jc w:val="both"/>
        <w:rPr>
          <w:b/>
          <w:bCs/>
          <w:iCs/>
        </w:rPr>
      </w:pPr>
      <w:r>
        <w:rPr>
          <w:b/>
          <w:bCs/>
          <w:iCs/>
        </w:rPr>
        <w:t xml:space="preserve">Treinamentos - </w:t>
      </w:r>
      <w:r>
        <w:rPr>
          <w:bCs/>
          <w:iCs/>
        </w:rPr>
        <w:t>Realizados 94 eventos voltados ao desenvolvimento, treinamento e capacitação de 4.596 profissionais, com despesas de R$ 280.752,11.</w:t>
      </w:r>
    </w:p>
    <w:p w:rsidR="003E6588" w:rsidRDefault="003E6588">
      <w:pPr>
        <w:tabs>
          <w:tab w:val="left" w:pos="284"/>
        </w:tabs>
        <w:ind w:firstLine="1134"/>
        <w:jc w:val="both"/>
        <w:rPr>
          <w:b/>
          <w:bCs/>
          <w:iCs/>
        </w:rPr>
      </w:pPr>
    </w:p>
    <w:p w:rsidR="003E6588" w:rsidRDefault="003E6588">
      <w:pPr>
        <w:tabs>
          <w:tab w:val="left" w:pos="284"/>
        </w:tabs>
        <w:ind w:firstLine="1134"/>
        <w:jc w:val="both"/>
      </w:pPr>
      <w:r>
        <w:rPr>
          <w:b/>
          <w:bCs/>
          <w:iCs/>
        </w:rPr>
        <w:t xml:space="preserve">Obras/reformas e equipamentos de apoio ao diagnóstico - </w:t>
      </w:r>
      <w:r>
        <w:rPr>
          <w:bCs/>
          <w:iCs/>
        </w:rPr>
        <w:t>Reformas das instalações, 19 contratos</w:t>
      </w:r>
      <w:r w:rsidRPr="000C6A98">
        <w:rPr>
          <w:bCs/>
          <w:iCs/>
        </w:rPr>
        <w:t>: R$ 4.565</w:t>
      </w:r>
      <w:r>
        <w:rPr>
          <w:bCs/>
          <w:iCs/>
        </w:rPr>
        <w:t>.614,11</w:t>
      </w:r>
      <w:r>
        <w:rPr>
          <w:bCs/>
          <w:iCs/>
          <w:color w:val="FF0000"/>
        </w:rPr>
        <w:t>;</w:t>
      </w:r>
      <w:r>
        <w:rPr>
          <w:bCs/>
          <w:iCs/>
        </w:rPr>
        <w:t xml:space="preserve"> adquiridos 306 equipamentos</w:t>
      </w:r>
      <w:r>
        <w:rPr>
          <w:bCs/>
          <w:iCs/>
          <w:color w:val="FF0000"/>
        </w:rPr>
        <w:t>,</w:t>
      </w:r>
      <w:r>
        <w:rPr>
          <w:bCs/>
          <w:iCs/>
        </w:rPr>
        <w:t xml:space="preserve"> no valor de R$ 516.045,65.</w:t>
      </w:r>
    </w:p>
    <w:p w:rsidR="003E6588" w:rsidRDefault="003E6588">
      <w:pPr>
        <w:tabs>
          <w:tab w:val="left" w:pos="284"/>
        </w:tabs>
        <w:ind w:firstLine="1134"/>
        <w:jc w:val="both"/>
        <w:rPr>
          <w:b/>
          <w:bCs/>
          <w:iCs/>
        </w:rPr>
      </w:pPr>
    </w:p>
    <w:p w:rsidR="003E6588" w:rsidRDefault="003E6588">
      <w:pPr>
        <w:tabs>
          <w:tab w:val="left" w:pos="284"/>
        </w:tabs>
        <w:ind w:firstLine="1134"/>
        <w:jc w:val="both"/>
        <w:rPr>
          <w:bCs/>
          <w:iCs/>
        </w:rPr>
      </w:pPr>
      <w:r>
        <w:rPr>
          <w:b/>
          <w:bCs/>
          <w:iCs/>
        </w:rPr>
        <w:t>Excelência técnico-</w:t>
      </w:r>
      <w:r w:rsidRPr="000C6A98">
        <w:rPr>
          <w:b/>
          <w:bCs/>
          <w:iCs/>
        </w:rPr>
        <w:t>científica</w:t>
      </w:r>
      <w:r w:rsidRPr="000C6A98">
        <w:rPr>
          <w:bCs/>
          <w:iCs/>
        </w:rPr>
        <w:t xml:space="preserve"> - Trabalhos premiados em encontros e eventos científicos, premiações por atividades e produções científicas. Intercâmbios internacionais para troca de experiências, com cientistas do CDC Atlanta/EUA, </w:t>
      </w:r>
      <w:r w:rsidRPr="000C6A98">
        <w:rPr>
          <w:bCs/>
          <w:i/>
          <w:iCs/>
        </w:rPr>
        <w:t>University Of Berlin</w:t>
      </w:r>
      <w:r w:rsidRPr="000C6A98">
        <w:rPr>
          <w:bCs/>
          <w:iCs/>
        </w:rPr>
        <w:t xml:space="preserve"> - Alemanha, </w:t>
      </w:r>
      <w:r w:rsidRPr="000C6A98">
        <w:rPr>
          <w:bCs/>
          <w:i/>
          <w:iCs/>
        </w:rPr>
        <w:t>Mcgill University</w:t>
      </w:r>
      <w:r w:rsidRPr="000C6A98">
        <w:rPr>
          <w:bCs/>
          <w:iCs/>
        </w:rPr>
        <w:t xml:space="preserve">, do Canadá, </w:t>
      </w:r>
      <w:r w:rsidRPr="000C6A98">
        <w:rPr>
          <w:bCs/>
          <w:i/>
          <w:iCs/>
        </w:rPr>
        <w:t>Central Bureau Of Schimmellcultures</w:t>
      </w:r>
      <w:r w:rsidRPr="000C6A98">
        <w:rPr>
          <w:bCs/>
          <w:iCs/>
        </w:rPr>
        <w:t xml:space="preserve"> - </w:t>
      </w:r>
      <w:r w:rsidRPr="000C6A98">
        <w:rPr>
          <w:bCs/>
          <w:i/>
          <w:iCs/>
        </w:rPr>
        <w:t>CBS</w:t>
      </w:r>
      <w:r w:rsidRPr="000C6A98">
        <w:rPr>
          <w:bCs/>
          <w:iCs/>
        </w:rPr>
        <w:t xml:space="preserve">, da Holanda, Universidade de Ohio, dos EUA e Instituto Evandro Chagas, do Pará, bem como participação em cursos no exterior. Publicação do Livro “Incerteza de medição em ensaios físico-químicos: uma abordagem prática, 2014”. Instituto Adolfo Lutz, CCD/SS. Eventos técnicos científicos: “X Encontro do Instituto Adolfo Lutz” </w:t>
      </w:r>
      <w:r w:rsidR="000C6A98">
        <w:rPr>
          <w:bCs/>
          <w:iCs/>
        </w:rPr>
        <w:t>-</w:t>
      </w:r>
      <w:r w:rsidRPr="000C6A98">
        <w:rPr>
          <w:bCs/>
          <w:iCs/>
        </w:rPr>
        <w:t xml:space="preserve"> “II Simpósio Internacional de Vigilância e Resposta</w:t>
      </w:r>
      <w:r>
        <w:rPr>
          <w:bCs/>
          <w:iCs/>
        </w:rPr>
        <w:t xml:space="preserve"> Rápida”.</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Cs/>
          <w:sz w:val="24"/>
          <w:szCs w:val="24"/>
        </w:rPr>
      </w:pPr>
      <w:r>
        <w:rPr>
          <w:rFonts w:ascii="Times New Roman" w:hAnsi="Times New Roman"/>
          <w:b/>
          <w:sz w:val="24"/>
          <w:szCs w:val="24"/>
        </w:rPr>
        <w:t xml:space="preserve">Instituto Pasteur - </w:t>
      </w:r>
      <w:r>
        <w:rPr>
          <w:rFonts w:ascii="Times New Roman" w:hAnsi="Times New Roman"/>
          <w:bCs/>
          <w:sz w:val="24"/>
          <w:szCs w:val="24"/>
        </w:rPr>
        <w:t>Vigilância epidemiológica, controle de risco e programas de capacitação e desenvolvimento relativos à raiva e outras encefalites virais, abrangendo atividades laboratoriais, de pesquisa e inovação, a coordenação do programa estadual de controle da raiva, a profilaxia da raiva humana e o suporte aos municípios.</w:t>
      </w:r>
    </w:p>
    <w:p w:rsidR="003E6588" w:rsidRDefault="003E6588">
      <w:pPr>
        <w:pStyle w:val="PargrafodaLista"/>
        <w:ind w:left="0" w:firstLine="1134"/>
        <w:rPr>
          <w:rFonts w:ascii="Times New Roman" w:hAnsi="Times New Roman"/>
          <w:bCs/>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Principais Atividades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tabs>
          <w:tab w:val="left" w:pos="284"/>
        </w:tabs>
        <w:ind w:left="0" w:firstLine="1134"/>
        <w:rPr>
          <w:rFonts w:ascii="Times New Roman" w:hAnsi="Times New Roman"/>
          <w:bCs/>
          <w:sz w:val="24"/>
          <w:szCs w:val="24"/>
        </w:rPr>
      </w:pPr>
      <w:r>
        <w:rPr>
          <w:rFonts w:ascii="Times New Roman" w:hAnsi="Times New Roman"/>
          <w:b/>
          <w:sz w:val="24"/>
          <w:szCs w:val="24"/>
        </w:rPr>
        <w:t>Campanha contra Raiva Animal -</w:t>
      </w:r>
      <w:r>
        <w:rPr>
          <w:rFonts w:ascii="Times New Roman" w:hAnsi="Times New Roman"/>
          <w:sz w:val="24"/>
          <w:szCs w:val="24"/>
        </w:rPr>
        <w:t xml:space="preserve"> Foram vacinados 707.858 </w:t>
      </w:r>
      <w:r>
        <w:rPr>
          <w:rFonts w:ascii="Times New Roman" w:hAnsi="Times New Roman"/>
          <w:bCs/>
          <w:sz w:val="24"/>
          <w:szCs w:val="24"/>
        </w:rPr>
        <w:t>cães e 114.646 gatos. Apoio técnico e logístico aos municípios.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b/>
          <w:sz w:val="24"/>
          <w:szCs w:val="24"/>
        </w:rPr>
        <w:t>Procedimentos e atendimentos -</w:t>
      </w:r>
      <w:r>
        <w:rPr>
          <w:rFonts w:ascii="Times New Roman" w:hAnsi="Times New Roman"/>
          <w:sz w:val="24"/>
          <w:szCs w:val="24"/>
        </w:rPr>
        <w:t xml:space="preserve"> Administradas 4.526 doses de vacinas contra a raiva Humana, 928 contra tétano e difteria (dupla adulto), 105 indicações de imunoglobulina antirrábica, 1055 de soro antirrábico, 932 pesquisas de anticorpos para pré-exposição. </w:t>
      </w:r>
      <w:r>
        <w:rPr>
          <w:rFonts w:ascii="Times New Roman" w:hAnsi="Times New Roman"/>
          <w:bCs/>
          <w:sz w:val="24"/>
          <w:szCs w:val="24"/>
        </w:rPr>
        <w:t>Diagnósticos realizados</w:t>
      </w:r>
      <w:r>
        <w:rPr>
          <w:rFonts w:ascii="Times New Roman" w:hAnsi="Times New Roman"/>
          <w:sz w:val="24"/>
          <w:szCs w:val="24"/>
        </w:rPr>
        <w:t>: processadas 24.813 amostras, realizando-se 38.110 procedimentos técnicos.</w:t>
      </w:r>
      <w:r>
        <w:rPr>
          <w:rFonts w:ascii="Times New Roman" w:hAnsi="Times New Roman"/>
          <w:b/>
          <w:bCs/>
          <w:sz w:val="24"/>
          <w:szCs w:val="24"/>
        </w:rPr>
        <w:t xml:space="preserve"> </w:t>
      </w:r>
      <w:r>
        <w:rPr>
          <w:rFonts w:ascii="Times New Roman" w:hAnsi="Times New Roman"/>
          <w:bCs/>
          <w:sz w:val="24"/>
          <w:szCs w:val="24"/>
        </w:rPr>
        <w:t>Insumos: produção</w:t>
      </w:r>
      <w:r>
        <w:rPr>
          <w:rFonts w:ascii="Times New Roman" w:hAnsi="Times New Roman"/>
          <w:sz w:val="24"/>
          <w:szCs w:val="24"/>
        </w:rPr>
        <w:t xml:space="preserve"> de 150 L de conjugado anti-vírus da raiva, para distribuição para laboratórios do Estado e do Brasil.</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b/>
          <w:sz w:val="24"/>
          <w:szCs w:val="24"/>
        </w:rPr>
        <w:t>Treinamentos/Capacitações -</w:t>
      </w:r>
      <w:r>
        <w:rPr>
          <w:rFonts w:ascii="Times New Roman" w:hAnsi="Times New Roman"/>
          <w:sz w:val="24"/>
          <w:szCs w:val="24"/>
        </w:rPr>
        <w:t xml:space="preserve"> </w:t>
      </w:r>
      <w:r>
        <w:rPr>
          <w:rFonts w:ascii="Times New Roman" w:hAnsi="Times New Roman"/>
          <w:bCs/>
          <w:sz w:val="24"/>
          <w:szCs w:val="24"/>
        </w:rPr>
        <w:t>Oficinas Regionais de Controle e Vigilância da Raiva: 5 oficinas regionais (191 municípios e 547 participantes). “II Curso Imunologia”: 20 participantes;</w:t>
      </w:r>
      <w:r>
        <w:rPr>
          <w:rFonts w:ascii="Times New Roman" w:hAnsi="Times New Roman"/>
          <w:sz w:val="24"/>
          <w:szCs w:val="24"/>
        </w:rPr>
        <w:t xml:space="preserve"> “VII </w:t>
      </w:r>
      <w:r>
        <w:rPr>
          <w:rFonts w:ascii="Times New Roman" w:hAnsi="Times New Roman"/>
          <w:sz w:val="24"/>
          <w:szCs w:val="24"/>
        </w:rPr>
        <w:lastRenderedPageBreak/>
        <w:t>Seminário do Dia Mundial contra a Raiva”: participação de 365 profissionais do programa de raiva. Capacitação de profissionais dos municípios para coleta de material de Sistema Nervoso Central, para o diagnóstico da raiva.</w:t>
      </w:r>
    </w:p>
    <w:p w:rsidR="003E6588" w:rsidRDefault="003E6588">
      <w:pPr>
        <w:pStyle w:val="PargrafodaLista"/>
        <w:tabs>
          <w:tab w:val="left" w:pos="284"/>
        </w:tabs>
        <w:ind w:left="0" w:firstLine="1134"/>
        <w:rPr>
          <w:rFonts w:ascii="Times New Roman" w:hAnsi="Times New Roman"/>
          <w:bCs/>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b/>
          <w:sz w:val="24"/>
          <w:szCs w:val="24"/>
        </w:rPr>
        <w:t>Pesquisa -</w:t>
      </w:r>
      <w:r>
        <w:rPr>
          <w:rFonts w:ascii="Times New Roman" w:hAnsi="Times New Roman"/>
          <w:sz w:val="24"/>
          <w:szCs w:val="24"/>
        </w:rPr>
        <w:t xml:space="preserve"> 40 projetos de pesquisa científica em desenvolvimento, sendo que dois contam com captação de recursos externos no valor de R$ 120.000,00.</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bCs/>
          <w:sz w:val="24"/>
          <w:szCs w:val="24"/>
        </w:rPr>
      </w:pPr>
      <w:r>
        <w:rPr>
          <w:rFonts w:ascii="Times New Roman" w:hAnsi="Times New Roman"/>
          <w:b/>
          <w:sz w:val="24"/>
          <w:szCs w:val="24"/>
        </w:rPr>
        <w:t>Outros -</w:t>
      </w:r>
      <w:r>
        <w:rPr>
          <w:rFonts w:ascii="Times New Roman" w:hAnsi="Times New Roman"/>
          <w:sz w:val="24"/>
          <w:szCs w:val="24"/>
        </w:rPr>
        <w:t xml:space="preserve"> </w:t>
      </w:r>
      <w:r>
        <w:rPr>
          <w:rFonts w:ascii="Times New Roman" w:hAnsi="Times New Roman"/>
          <w:bCs/>
          <w:sz w:val="24"/>
          <w:szCs w:val="24"/>
        </w:rPr>
        <w:t xml:space="preserve">Técnicas </w:t>
      </w:r>
      <w:r>
        <w:rPr>
          <w:rFonts w:ascii="Times New Roman" w:hAnsi="Times New Roman"/>
          <w:sz w:val="24"/>
          <w:szCs w:val="24"/>
        </w:rPr>
        <w:t xml:space="preserve">de Diagnóstico Virológico da Raiva - 4 treinamentos para profissionais de outros Estados. Nas técnicas de Diagnóstico Sorológico - dois para profissionais do Brasil e dois para profissionais da Argentina. </w:t>
      </w:r>
      <w:r>
        <w:rPr>
          <w:rFonts w:ascii="Times New Roman" w:hAnsi="Times New Roman"/>
          <w:bCs/>
          <w:sz w:val="24"/>
          <w:szCs w:val="24"/>
        </w:rPr>
        <w:t>Programa de Aprimoramento Profissional: 4 profissionais da área de saúde. Residentes em Medicina Veterinária FMVZ/USP: 6 médicos veterinários da FMVZ-USP. Estágio Curricular: na área de Virologia - 4 alunos.</w:t>
      </w:r>
    </w:p>
    <w:p w:rsidR="003E6588" w:rsidRDefault="003E6588">
      <w:pPr>
        <w:ind w:firstLine="1134"/>
        <w:jc w:val="both"/>
        <w:rPr>
          <w:b/>
        </w:rPr>
      </w:pPr>
    </w:p>
    <w:p w:rsidR="003E6588" w:rsidRDefault="003E6588">
      <w:pPr>
        <w:ind w:firstLine="1134"/>
        <w:jc w:val="both"/>
        <w:rPr>
          <w:rStyle w:val="nfase"/>
          <w:i w:val="0"/>
        </w:rPr>
      </w:pPr>
      <w:r>
        <w:rPr>
          <w:b/>
        </w:rPr>
        <w:t>Instituto de Saúde</w:t>
      </w:r>
      <w:r>
        <w:t xml:space="preserve"> -</w:t>
      </w:r>
      <w:r>
        <w:rPr>
          <w:color w:val="FF0000"/>
        </w:rPr>
        <w:t xml:space="preserve"> </w:t>
      </w:r>
      <w:r>
        <w:rPr>
          <w:rStyle w:val="nfase"/>
          <w:i w:val="0"/>
        </w:rPr>
        <w:t>O Instituto de Saúde tem como missão o desenvolvimento de pesquisa científica e tecnológica, assessoria e formação no campo da Saúde Coletiva, de forma articulada com as diferentes instâncias de gestão do SUS, buscando sua consolidação e melhoria da qualidade de vida da população.</w:t>
      </w:r>
    </w:p>
    <w:p w:rsidR="003E6588" w:rsidRDefault="003E6588">
      <w:pPr>
        <w:ind w:firstLine="1134"/>
        <w:jc w:val="both"/>
        <w:rPr>
          <w:rStyle w:val="nfase"/>
          <w:i w:val="0"/>
        </w:rPr>
      </w:pPr>
    </w:p>
    <w:p w:rsidR="003E6588" w:rsidRDefault="003E6588">
      <w:pPr>
        <w:ind w:firstLine="1134"/>
        <w:jc w:val="both"/>
        <w:rPr>
          <w:rStyle w:val="nfase"/>
          <w:i w:val="0"/>
        </w:rPr>
      </w:pPr>
      <w:r>
        <w:rPr>
          <w:rStyle w:val="nfase"/>
          <w:b/>
          <w:i w:val="0"/>
        </w:rPr>
        <w:t>Pesquisa -</w:t>
      </w:r>
      <w:r>
        <w:rPr>
          <w:rStyle w:val="nfase"/>
          <w:i w:val="0"/>
        </w:rPr>
        <w:t xml:space="preserve"> conclusão de 8 projetos de pesquisa, com destaque para “Internações por abuso de substâncias psicoativas em duas regiões do Estado de São Paulo” e “Nascimentos Prematuros em São Paulo, uma abordagem espacial” (em parceria com a Fundação </w:t>
      </w:r>
      <w:r>
        <w:rPr>
          <w:rStyle w:val="nfase"/>
        </w:rPr>
        <w:t>Bill</w:t>
      </w:r>
      <w:r>
        <w:rPr>
          <w:rStyle w:val="nfase"/>
          <w:i w:val="0"/>
        </w:rPr>
        <w:t xml:space="preserve"> e </w:t>
      </w:r>
      <w:r>
        <w:rPr>
          <w:rStyle w:val="nfase"/>
        </w:rPr>
        <w:t>Melinda Gates</w:t>
      </w:r>
      <w:r>
        <w:rPr>
          <w:rStyle w:val="nfase"/>
          <w:i w:val="0"/>
        </w:rPr>
        <w:t>). Atualmente, 23</w:t>
      </w:r>
      <w:r>
        <w:rPr>
          <w:rStyle w:val="nfase"/>
          <w:b/>
          <w:i w:val="0"/>
        </w:rPr>
        <w:t xml:space="preserve"> </w:t>
      </w:r>
      <w:r>
        <w:rPr>
          <w:rStyle w:val="nfase"/>
          <w:i w:val="0"/>
        </w:rPr>
        <w:t>projetos estão em andamento.</w:t>
      </w:r>
    </w:p>
    <w:p w:rsidR="003E6588" w:rsidRDefault="003E6588">
      <w:pPr>
        <w:ind w:firstLine="1134"/>
        <w:jc w:val="both"/>
        <w:rPr>
          <w:rStyle w:val="nfase"/>
          <w:i w:val="0"/>
        </w:rPr>
      </w:pPr>
    </w:p>
    <w:p w:rsidR="003E6588" w:rsidRDefault="003E6588">
      <w:pPr>
        <w:ind w:firstLine="1134"/>
        <w:jc w:val="both"/>
        <w:rPr>
          <w:rStyle w:val="nfase"/>
          <w:i w:val="0"/>
        </w:rPr>
      </w:pPr>
      <w:r>
        <w:rPr>
          <w:rStyle w:val="nfase"/>
          <w:b/>
          <w:i w:val="0"/>
        </w:rPr>
        <w:t>Produção científica -</w:t>
      </w:r>
      <w:r>
        <w:rPr>
          <w:rStyle w:val="nfase"/>
          <w:i w:val="0"/>
        </w:rPr>
        <w:t xml:space="preserve"> 25 artigos científicos; 13 apresentações em Congressos; 4 capítulos de livro; 4 livros organizados por pesquisadores da instituição; três números do Boletim do Instituto de Saúde, periódico científico mantido pela Comissão Editorial do IS</w:t>
      </w:r>
      <w:r>
        <w:rPr>
          <w:rStyle w:val="nfase"/>
          <w:i w:val="0"/>
          <w:color w:val="FF0000"/>
        </w:rPr>
        <w:t>,</w:t>
      </w:r>
      <w:r>
        <w:rPr>
          <w:rStyle w:val="nfase"/>
          <w:i w:val="0"/>
        </w:rPr>
        <w:t xml:space="preserve"> além de número suplementar com os trabalhos do Programa de Mestrado Profissional em Saúde Coletiva; três Pareceres Técnico-Científicos (PTC) demandados pela CCTIES-SS e um PTC aprovado pela Chamada Decit/HAOC nº 01/2013.</w:t>
      </w:r>
    </w:p>
    <w:p w:rsidR="003E6588" w:rsidRDefault="003E6588">
      <w:pPr>
        <w:ind w:firstLine="1134"/>
        <w:jc w:val="both"/>
        <w:rPr>
          <w:rStyle w:val="nfase"/>
          <w:i w:val="0"/>
        </w:rPr>
      </w:pPr>
    </w:p>
    <w:p w:rsidR="003E6588" w:rsidRDefault="003E6588">
      <w:pPr>
        <w:ind w:firstLine="1134"/>
        <w:jc w:val="both"/>
        <w:rPr>
          <w:rStyle w:val="nfase"/>
          <w:i w:val="0"/>
        </w:rPr>
      </w:pPr>
      <w:r>
        <w:rPr>
          <w:rStyle w:val="nfase"/>
          <w:b/>
          <w:i w:val="0"/>
        </w:rPr>
        <w:t>Eventos técnico-científicos -</w:t>
      </w:r>
      <w:r>
        <w:rPr>
          <w:rStyle w:val="nfase"/>
          <w:i w:val="0"/>
        </w:rPr>
        <w:t xml:space="preserve"> Seminário </w:t>
      </w:r>
      <w:r>
        <w:rPr>
          <w:rStyle w:val="nfase"/>
        </w:rPr>
        <w:t>World Breastfeeding Trends Iniciative</w:t>
      </w:r>
      <w:r>
        <w:rPr>
          <w:rStyle w:val="nfase"/>
          <w:i w:val="0"/>
        </w:rPr>
        <w:t xml:space="preserve"> e Assembleia IBFAN Brasil; a Oficina “Atenção Nutricional à Desnutrição Infantil” - ANDI; a Oficina EVIPNet Brasil; a realização de dois eventos Marco Zero, do Programa de Pesquisas para o SUS - PPSUS; o Seminário preparatório para a Semana Mundial de Amamentação 2014, “Amamentação “Uma vitória para toda vida!”; reunião dos Consultores do Brasil do Ministério da Saúde para o Método Canguru; seminários “Promovendo Saúde Sexual e Reprodutiva entre Homens Heterossexuais”, “Legislação e Atenção em Saúde e Reprodutiva de Adolescente” e “Saúde Sexual e Reprodutiva do Homem”.</w:t>
      </w:r>
    </w:p>
    <w:p w:rsidR="003E6588" w:rsidRDefault="003E6588">
      <w:pPr>
        <w:ind w:firstLine="1134"/>
        <w:jc w:val="both"/>
        <w:rPr>
          <w:rStyle w:val="nfase"/>
          <w:i w:val="0"/>
        </w:rPr>
      </w:pPr>
    </w:p>
    <w:p w:rsidR="003E6588" w:rsidRDefault="003E6588">
      <w:pPr>
        <w:ind w:firstLine="1134"/>
        <w:jc w:val="both"/>
        <w:rPr>
          <w:rStyle w:val="nfase"/>
          <w:i w:val="0"/>
        </w:rPr>
      </w:pPr>
      <w:r>
        <w:rPr>
          <w:rStyle w:val="nfase"/>
          <w:b/>
          <w:i w:val="0"/>
        </w:rPr>
        <w:t>Formação -</w:t>
      </w:r>
      <w:r>
        <w:rPr>
          <w:rStyle w:val="nfase"/>
          <w:i w:val="0"/>
        </w:rPr>
        <w:t xml:space="preserve"> Programa de Aprimoramento Profissional - PAP, com quinze profissionais de diversas áreas; CurSUS, para profissionais do SUS, capacitou 372 profissionais em nove diferentes cursos, além de organizar sete cursos em cinco cidades paulistas, capacitando 239 profissionais.</w:t>
      </w:r>
    </w:p>
    <w:p w:rsidR="003E6588" w:rsidRDefault="003E6588">
      <w:pPr>
        <w:ind w:firstLine="1134"/>
        <w:jc w:val="both"/>
        <w:rPr>
          <w:b/>
        </w:rPr>
      </w:pPr>
    </w:p>
    <w:p w:rsidR="003E6588" w:rsidRDefault="003E6588">
      <w:pPr>
        <w:rPr>
          <w:b/>
        </w:rPr>
      </w:pPr>
      <w:r>
        <w:rPr>
          <w:b/>
        </w:rPr>
        <w:lastRenderedPageBreak/>
        <w:t>SUPERINTENDÊNCIA DE CONTROLE DE ENDEMIAS - SUCEN</w:t>
      </w:r>
    </w:p>
    <w:p w:rsidR="003E6588" w:rsidRDefault="003E6588">
      <w:pPr>
        <w:ind w:firstLine="1134"/>
        <w:jc w:val="both"/>
        <w:rPr>
          <w:b/>
        </w:rPr>
      </w:pPr>
    </w:p>
    <w:p w:rsidR="003E6588" w:rsidRDefault="003E6588">
      <w:pPr>
        <w:ind w:firstLine="1134"/>
        <w:jc w:val="both"/>
        <w:rPr>
          <w:b/>
        </w:rPr>
      </w:pPr>
    </w:p>
    <w:p w:rsidR="003E6588" w:rsidRDefault="003E6588">
      <w:pPr>
        <w:ind w:firstLine="1134"/>
        <w:jc w:val="both"/>
      </w:pPr>
      <w:r>
        <w:t>A SUCEN tem como finalidade promover o controle de vetores e hospedeiros intermediários invertebrados de doenças no Estado, realizando pesquisas e atividades necessárias ao avanço dos conhecimentos científicos e tecnológicos, além de cooperar com os governos municipais como executores das ações locais de controle e prestar assessoria para o controle de artrópodes, peçonhentos e incômodos.</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sz w:val="24"/>
          <w:szCs w:val="24"/>
        </w:rPr>
        <w:t xml:space="preserve">As ações de vigilância e controle desenvolvidas pelo Departamento de Controle de Vetores - DCV referem-se aos vetores da Dengue, </w:t>
      </w:r>
      <w:r>
        <w:rPr>
          <w:rFonts w:ascii="Times New Roman" w:hAnsi="Times New Roman"/>
          <w:i/>
          <w:sz w:val="24"/>
          <w:szCs w:val="24"/>
        </w:rPr>
        <w:t>Leishmaniose</w:t>
      </w:r>
      <w:r>
        <w:rPr>
          <w:rFonts w:ascii="Times New Roman" w:hAnsi="Times New Roman"/>
          <w:sz w:val="24"/>
          <w:szCs w:val="24"/>
        </w:rPr>
        <w:t xml:space="preserve"> Visceral Americana - LVA e </w:t>
      </w:r>
      <w:r>
        <w:rPr>
          <w:rFonts w:ascii="Times New Roman" w:hAnsi="Times New Roman"/>
          <w:i/>
          <w:sz w:val="24"/>
          <w:szCs w:val="24"/>
        </w:rPr>
        <w:t xml:space="preserve">Leishmaniose </w:t>
      </w:r>
      <w:r>
        <w:rPr>
          <w:rFonts w:ascii="Times New Roman" w:hAnsi="Times New Roman"/>
          <w:sz w:val="24"/>
          <w:szCs w:val="24"/>
        </w:rPr>
        <w:t>Tegumentar Americana - LTA, Malária, Febre Maculosa Brasileira - FMB, Febre Amarela e Doença de Chagas e aos hospedeiros intermediários da Esquistossomose:</w:t>
      </w:r>
    </w:p>
    <w:p w:rsidR="003E6588" w:rsidRDefault="003E6588">
      <w:pPr>
        <w:pStyle w:val="PargrafodaLista"/>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xml:space="preserve">- Ações suplementar e complementar aos municípios - controle do mosquito </w:t>
      </w:r>
      <w:r>
        <w:rPr>
          <w:rFonts w:ascii="Times New Roman" w:hAnsi="Times New Roman"/>
          <w:i/>
          <w:iCs/>
          <w:sz w:val="24"/>
          <w:szCs w:val="24"/>
        </w:rPr>
        <w:t xml:space="preserve">Aedes aegypti </w:t>
      </w:r>
      <w:r>
        <w:rPr>
          <w:rFonts w:ascii="Times New Roman" w:hAnsi="Times New Roman"/>
          <w:sz w:val="24"/>
          <w:szCs w:val="24"/>
        </w:rPr>
        <w:t>(vetor da dengue)</w:t>
      </w:r>
      <w:r>
        <w:rPr>
          <w:rFonts w:ascii="Times New Roman" w:hAnsi="Times New Roman"/>
          <w:i/>
          <w:iCs/>
          <w:sz w:val="24"/>
          <w:szCs w:val="24"/>
        </w:rPr>
        <w:t>,</w:t>
      </w:r>
      <w:r>
        <w:rPr>
          <w:rFonts w:ascii="Times New Roman" w:hAnsi="Times New Roman"/>
          <w:sz w:val="24"/>
          <w:szCs w:val="24"/>
        </w:rPr>
        <w:t xml:space="preserve"> 429.989 imóveis trabalhados, e do vetor da Leishmaniose Visceral Americana, 160 imóveis;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Vigilância e controle de triatomíneos transmissores da doença de Chagas e LTA: 1.821 imóveis;</w:t>
      </w:r>
    </w:p>
    <w:p w:rsidR="003E6588" w:rsidRDefault="003E6588">
      <w:pPr>
        <w:pStyle w:val="PargrafodaLista"/>
        <w:tabs>
          <w:tab w:val="left" w:pos="284"/>
        </w:tabs>
        <w:ind w:left="0"/>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Controle de LVA e FMB em áreas urbanas e periurbanas: 25.795 imóveis; pesquisas malacológicas para a vigilância e controle de planorbídeos hospedeiros intermediários da esquistossomose: 657 localidades;</w:t>
      </w:r>
    </w:p>
    <w:p w:rsidR="003E6588" w:rsidRDefault="003E6588">
      <w:pPr>
        <w:pStyle w:val="PargrafodaLista"/>
        <w:tabs>
          <w:tab w:val="left" w:pos="284"/>
        </w:tabs>
        <w:ind w:left="0" w:firstLine="1134"/>
        <w:rPr>
          <w:rFonts w:ascii="Times New Roman" w:hAnsi="Times New Roman"/>
          <w:sz w:val="24"/>
          <w:szCs w:val="24"/>
        </w:rPr>
      </w:pPr>
    </w:p>
    <w:p w:rsidR="003E6588" w:rsidRDefault="003C177E">
      <w:pPr>
        <w:pStyle w:val="PargrafodaLista"/>
        <w:tabs>
          <w:tab w:val="left" w:pos="284"/>
        </w:tabs>
        <w:ind w:left="0" w:firstLine="1134"/>
        <w:rPr>
          <w:rFonts w:ascii="Times New Roman" w:hAnsi="Times New Roman"/>
          <w:sz w:val="24"/>
          <w:szCs w:val="24"/>
        </w:rPr>
      </w:pPr>
      <w:r>
        <w:rPr>
          <w:rFonts w:ascii="Times New Roman" w:hAnsi="Times New Roman"/>
          <w:sz w:val="24"/>
          <w:szCs w:val="24"/>
        </w:rPr>
        <w:t xml:space="preserve">- </w:t>
      </w:r>
      <w:r w:rsidR="003E6588">
        <w:rPr>
          <w:rFonts w:ascii="Times New Roman" w:hAnsi="Times New Roman"/>
          <w:sz w:val="24"/>
          <w:szCs w:val="24"/>
        </w:rPr>
        <w:t>Ações voltadas para controle de animais peçonhentos e insetos: 40 imóveis;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xml:space="preserve">- Atividades complementares de monitoramento e acompanhamento da infestação por </w:t>
      </w:r>
      <w:r>
        <w:rPr>
          <w:rFonts w:ascii="Times New Roman" w:hAnsi="Times New Roman"/>
          <w:i/>
          <w:iCs/>
          <w:sz w:val="24"/>
          <w:szCs w:val="24"/>
        </w:rPr>
        <w:t>Aedes aegypti</w:t>
      </w:r>
      <w:r>
        <w:rPr>
          <w:rFonts w:ascii="Times New Roman" w:hAnsi="Times New Roman"/>
          <w:sz w:val="24"/>
          <w:szCs w:val="24"/>
        </w:rPr>
        <w:t xml:space="preserve"> em imóveis domiciliares e de risco para o estabelecimento desse vetor: 363.219 imóveis;</w:t>
      </w:r>
    </w:p>
    <w:p w:rsidR="003E6588" w:rsidRDefault="003E6588">
      <w:pPr>
        <w:pStyle w:val="PargrafodaLista"/>
        <w:tabs>
          <w:tab w:val="left" w:pos="284"/>
        </w:tabs>
        <w:ind w:left="0"/>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xml:space="preserve">Assessoria </w:t>
      </w:r>
      <w:r w:rsidRPr="003C177E">
        <w:rPr>
          <w:rFonts w:ascii="Times New Roman" w:hAnsi="Times New Roman"/>
          <w:sz w:val="24"/>
          <w:szCs w:val="24"/>
        </w:rPr>
        <w:t xml:space="preserve">aos municípios - 17.122 orientações técnicas e supervisões aos agentes municipais. Foram capacitados 8.554 profissionais de saúde dos municípios sobre Programa de Controle do </w:t>
      </w:r>
      <w:r w:rsidRPr="003C177E">
        <w:rPr>
          <w:rFonts w:ascii="Times New Roman" w:hAnsi="Times New Roman"/>
          <w:i/>
          <w:iCs/>
          <w:sz w:val="24"/>
          <w:szCs w:val="24"/>
        </w:rPr>
        <w:t>Aedes aegypti</w:t>
      </w:r>
      <w:r w:rsidRPr="003C177E">
        <w:rPr>
          <w:rFonts w:ascii="Times New Roman" w:hAnsi="Times New Roman"/>
          <w:sz w:val="24"/>
          <w:szCs w:val="24"/>
        </w:rPr>
        <w:t>; iniciado programa de orientação para alunos da Faculdade</w:t>
      </w:r>
      <w:r>
        <w:rPr>
          <w:rFonts w:ascii="Times New Roman" w:hAnsi="Times New Roman"/>
          <w:sz w:val="24"/>
          <w:szCs w:val="24"/>
        </w:rPr>
        <w:t xml:space="preserve"> de Medicina Veterinária da USP em vigilância e controle de vetores. Destacam-se:</w:t>
      </w:r>
    </w:p>
    <w:p w:rsidR="003E6588" w:rsidRDefault="003E6588">
      <w:pPr>
        <w:pStyle w:val="PargrafodaLista"/>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Eliminação do  Triatoma infestans (principal vetor da Doença de Chagas) no Estado, certificada pela OPAS e homologada pelos delegados dos países do Cone Sul da América Latina;</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Estruturação de salas de educação permanentes nas unidades regionais;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A SUCEN - Secretaria Executiva do Comitê Estadual de Mobilização contra Dengue - Foi realizada a “Semana Estadual de mobilização para Ações de Combate a Dengue”, em parceria com os municípios.</w:t>
      </w: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lastRenderedPageBreak/>
        <w:t>Atividades desenvolvidas pela Coordenação dos Laboratórios de Referência e Desenvolvimento Científico - CLRDC:</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Coleta e realização de exames para identificação de espécies vetoras e de hospedeiros intermediários das endemias. Diagnóstico da malária humana contabilizou 2.340 exames e 734 revisões daqueles realizados em outras u</w:t>
      </w:r>
      <w:r w:rsidR="003C177E">
        <w:rPr>
          <w:rFonts w:ascii="Times New Roman" w:hAnsi="Times New Roman"/>
          <w:sz w:val="24"/>
          <w:szCs w:val="24"/>
        </w:rPr>
        <w:t>nidades laboratoriais do Estado;</w:t>
      </w:r>
    </w:p>
    <w:p w:rsidR="003E6588" w:rsidRDefault="003E6588">
      <w:pPr>
        <w:pStyle w:val="PargrafodaLista"/>
        <w:tabs>
          <w:tab w:val="left" w:pos="284"/>
        </w:tabs>
        <w:ind w:left="0" w:firstLine="1418"/>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Monitoramento da resistência dos vetores da dengue aos produtos utilizados para seu controle, avaliando a suscetibilidad</w:t>
      </w:r>
      <w:r w:rsidR="003C177E">
        <w:rPr>
          <w:rFonts w:ascii="Times New Roman" w:hAnsi="Times New Roman"/>
          <w:sz w:val="24"/>
          <w:szCs w:val="24"/>
        </w:rPr>
        <w:t>e e efetividade dos inseticidas;</w:t>
      </w:r>
    </w:p>
    <w:p w:rsidR="003E6588" w:rsidRDefault="003E6588">
      <w:pPr>
        <w:pStyle w:val="PargrafodaLista"/>
        <w:tabs>
          <w:tab w:val="left" w:pos="284"/>
        </w:tabs>
        <w:ind w:left="0" w:firstLine="1418"/>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Treinamento, capacitação e especialização: aprimoramento da FUNDAP e de pesquisas da FAPESP - 6 residentes de medicina veterinária e 13 em fase de especialização, conclusão de mestrado e doutorado;</w:t>
      </w:r>
    </w:p>
    <w:p w:rsidR="003E6588" w:rsidRDefault="003E6588">
      <w:pPr>
        <w:pStyle w:val="PargrafodaLista"/>
        <w:tabs>
          <w:tab w:val="left" w:pos="284"/>
        </w:tabs>
        <w:ind w:left="0" w:firstLine="1418"/>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Pesquisa científica e tecnológica - 12 estudos e pesquisas em revistas de circulação nacional e internacional. Por meio de fonte FAPESP, os laboratórios especializados ampliaram suas estruturas em equipamentos em R$ 90.721,48</w:t>
      </w:r>
      <w:r w:rsidR="003C177E">
        <w:rPr>
          <w:rFonts w:ascii="Times New Roman" w:hAnsi="Times New Roman"/>
          <w:sz w:val="24"/>
          <w:szCs w:val="24"/>
        </w:rPr>
        <w:t>;</w:t>
      </w:r>
    </w:p>
    <w:p w:rsidR="003E6588" w:rsidRDefault="003E6588">
      <w:pPr>
        <w:pStyle w:val="PargrafodaLista"/>
        <w:tabs>
          <w:tab w:val="left" w:pos="284"/>
        </w:tabs>
        <w:ind w:left="0" w:firstLine="1418"/>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Investimentos: R$ 1,5 milhão para nova rede elétrica e rede de proteção a incêndio na Sede da SUCEN e reforma e adaptaçã</w:t>
      </w:r>
      <w:r w:rsidR="003C177E">
        <w:rPr>
          <w:rFonts w:ascii="Times New Roman" w:hAnsi="Times New Roman"/>
          <w:sz w:val="24"/>
          <w:szCs w:val="24"/>
        </w:rPr>
        <w:t>o do prédio da sede em Campinas;</w:t>
      </w:r>
    </w:p>
    <w:p w:rsidR="003E6588" w:rsidRDefault="003E6588">
      <w:pPr>
        <w:pStyle w:val="PargrafodaLista"/>
        <w:tabs>
          <w:tab w:val="left" w:pos="284"/>
        </w:tabs>
        <w:ind w:left="0" w:firstLine="1134"/>
        <w:rPr>
          <w:rFonts w:ascii="Times New Roman" w:hAnsi="Times New Roman"/>
          <w:sz w:val="24"/>
          <w:szCs w:val="24"/>
        </w:rPr>
      </w:pPr>
    </w:p>
    <w:p w:rsidR="003E6588" w:rsidRDefault="003E6588">
      <w:pPr>
        <w:pStyle w:val="PargrafodaLista"/>
        <w:tabs>
          <w:tab w:val="left" w:pos="284"/>
        </w:tabs>
        <w:ind w:left="0" w:firstLine="1134"/>
        <w:rPr>
          <w:rFonts w:ascii="Times New Roman" w:hAnsi="Times New Roman"/>
          <w:sz w:val="24"/>
          <w:szCs w:val="24"/>
        </w:rPr>
      </w:pPr>
      <w:r>
        <w:rPr>
          <w:rFonts w:ascii="Times New Roman" w:hAnsi="Times New Roman"/>
          <w:sz w:val="24"/>
          <w:szCs w:val="24"/>
        </w:rPr>
        <w:t>- Equipamentos: R$ 393 mil em aquisição de equipamentos de informática para as unidades, inclusive regionais. R$ 236 mil para aquisição de equipamentos de proteção individual para servidores de campo e laboratório.</w:t>
      </w:r>
    </w:p>
    <w:p w:rsidR="003E6588" w:rsidRDefault="003E6588">
      <w:pPr>
        <w:pStyle w:val="PargrafodaLista"/>
        <w:tabs>
          <w:tab w:val="left" w:pos="284"/>
        </w:tabs>
        <w:ind w:firstLine="1134"/>
        <w:rPr>
          <w:rFonts w:ascii="Times New Roman" w:hAnsi="Times New Roman"/>
          <w:sz w:val="24"/>
          <w:szCs w:val="24"/>
        </w:rPr>
      </w:pPr>
    </w:p>
    <w:p w:rsidR="003E6588" w:rsidRDefault="003E6588">
      <w:pPr>
        <w:pStyle w:val="PargrafodaLista"/>
        <w:tabs>
          <w:tab w:val="left" w:pos="284"/>
        </w:tabs>
        <w:ind w:firstLine="1134"/>
        <w:rPr>
          <w:rFonts w:ascii="Times New Roman" w:hAnsi="Times New Roman"/>
          <w:sz w:val="24"/>
          <w:szCs w:val="24"/>
        </w:rPr>
      </w:pPr>
    </w:p>
    <w:p w:rsidR="003E6588" w:rsidRDefault="003E6588">
      <w:pPr>
        <w:rPr>
          <w:b/>
        </w:rPr>
      </w:pPr>
      <w:r>
        <w:rPr>
          <w:b/>
        </w:rPr>
        <w:t>INSTITUTO BUTANTAN</w:t>
      </w:r>
    </w:p>
    <w:p w:rsidR="003E6588" w:rsidRDefault="003E6588">
      <w:pPr>
        <w:ind w:firstLine="1134"/>
        <w:jc w:val="both"/>
      </w:pPr>
    </w:p>
    <w:p w:rsidR="003E6588" w:rsidRDefault="003E6588">
      <w:pPr>
        <w:ind w:firstLine="1134"/>
        <w:jc w:val="both"/>
      </w:pPr>
    </w:p>
    <w:p w:rsidR="003E6588" w:rsidRDefault="003E6588">
      <w:pPr>
        <w:ind w:firstLine="1134"/>
        <w:jc w:val="both"/>
      </w:pPr>
      <w:r>
        <w:rPr>
          <w:b/>
        </w:rPr>
        <w:t>Novas Vacinas e Produtos</w:t>
      </w:r>
      <w:r>
        <w:t xml:space="preserve"> - </w:t>
      </w:r>
      <w:r>
        <w:rPr>
          <w:b/>
        </w:rPr>
        <w:t xml:space="preserve">Transferência de tecnologia - </w:t>
      </w:r>
      <w:r>
        <w:t xml:space="preserve">O Ministério da Saúde tem apoiado Parcerias para o Desenvolvimento Produtivo - PDP entre o Instituto Butantan e </w:t>
      </w:r>
      <w:r w:rsidRPr="00C373A0">
        <w:t>empresas e</w:t>
      </w:r>
      <w:r>
        <w:rPr>
          <w:color w:val="FF0000"/>
        </w:rPr>
        <w:t xml:space="preserve"> </w:t>
      </w:r>
      <w:r>
        <w:t xml:space="preserve">laboratórios </w:t>
      </w:r>
      <w:r w:rsidRPr="00C373A0">
        <w:t>privados, para produção</w:t>
      </w:r>
      <w:r>
        <w:t xml:space="preserve"> de vacinas a serem incluídas no calendário nacional. Estão em andamento PDP para produção de vacina contra Hepatite A, vacina contra HPV, vacina dTpa (difteria, tétano e pertussis acelular) e anticorpos monoclonais (cetuximabe) para tratamento de câncer e doenças autoimunes. Há projetos em andamento com os Institutos Nacionais de Saúde dos Estados Unidos (</w:t>
      </w:r>
      <w:r>
        <w:rPr>
          <w:i/>
        </w:rPr>
        <w:t xml:space="preserve">NIH - National Institutes of </w:t>
      </w:r>
      <w:r w:rsidRPr="00C373A0">
        <w:rPr>
          <w:i/>
        </w:rPr>
        <w:t>Health</w:t>
      </w:r>
      <w:r w:rsidRPr="00C373A0">
        <w:t>), para</w:t>
      </w:r>
      <w:r>
        <w:t xml:space="preserve"> produção da vacina tetravalente contra Dengue e da vacina pentavalente contra Rotavírus.</w:t>
      </w:r>
    </w:p>
    <w:p w:rsidR="003E6588" w:rsidRDefault="003E6588">
      <w:pPr>
        <w:ind w:firstLine="1134"/>
        <w:jc w:val="both"/>
      </w:pPr>
    </w:p>
    <w:p w:rsidR="003E6588" w:rsidRDefault="003E6588">
      <w:pPr>
        <w:ind w:firstLine="1134"/>
        <w:jc w:val="both"/>
      </w:pPr>
      <w:r>
        <w:rPr>
          <w:b/>
        </w:rPr>
        <w:t>Atividades de Pesquisa Científica e Tecnológica</w:t>
      </w:r>
      <w:r>
        <w:t xml:space="preserve"> - 204 publicações em revistas indexadas de nível internacional (ISI). Recursos extraorçamentários obtidos: FAPESP/CNPq - R$ 2,8 milhões e U$ 704 mil; R$ 7,6 milhões em bolsas e R$ 10,8 milhões de variadas agências de fomento.</w:t>
      </w:r>
    </w:p>
    <w:p w:rsidR="003E6588" w:rsidRDefault="003E6588">
      <w:pPr>
        <w:ind w:firstLine="1134"/>
        <w:jc w:val="both"/>
        <w:rPr>
          <w:b/>
        </w:rPr>
      </w:pPr>
    </w:p>
    <w:p w:rsidR="003E6588" w:rsidRDefault="003E6588">
      <w:pPr>
        <w:ind w:firstLine="1134"/>
        <w:jc w:val="both"/>
      </w:pPr>
      <w:r>
        <w:rPr>
          <w:b/>
        </w:rPr>
        <w:lastRenderedPageBreak/>
        <w:t>Formação de recursos humanos na área científica</w:t>
      </w:r>
      <w:r>
        <w:t xml:space="preserve"> - 503 estagiários, em diferentes níveis; 67 bolsas pelo Programa de Aprimoramento Profissional (PAP-SS-IBU); 68 bolsas pelo Programa de Iniciação Científica (PIBIC-CNPq); 3 bolsas pelo Programa de Iniciação Tecnológica; 10 bolsas pelo Programa de Iniciação Científica Junior; 14 alunos de mestrado, 20 alunos de doutorado e 11 defesas de mestrado e dois de doutorado; 151 alunos do Programa de Pós-Graduação Interunidades em Biotecnologia; ministrados 24 cursos de extensão em diversos níveis, para a divulgação do conhecimento técnico-científico nas áreas de atuação do Instituto, com 447 participantes e 33 cursos de divulgação, voltados às atividades inerentes à missão institucional, de curta duração, que receberam 1.178 alunos; MBA “Gestão da Inovação em Saúde”, com 35 alunos.</w:t>
      </w:r>
    </w:p>
    <w:p w:rsidR="003E6588" w:rsidRDefault="003E6588">
      <w:pPr>
        <w:ind w:firstLine="1134"/>
        <w:jc w:val="both"/>
        <w:rPr>
          <w:b/>
        </w:rPr>
      </w:pPr>
    </w:p>
    <w:p w:rsidR="003E6588" w:rsidRDefault="003E6588">
      <w:pPr>
        <w:ind w:firstLine="1134"/>
        <w:jc w:val="both"/>
      </w:pPr>
      <w:r>
        <w:rPr>
          <w:b/>
        </w:rPr>
        <w:t>Produção de Imunobiológicos</w:t>
      </w:r>
      <w:r>
        <w:t xml:space="preserve"> - O Instituto Butantan forneceu os seguintes soros e vacinas ao Programa Nacional de Imunizações - PNI: soro antiaracnídico (10.920 ampolas); vacina influenza trivalente (54 milhões de doses); vacina hepatite B recombinante (18.918.720 doses); vacina HPV quadrivalente (15.005.080 doses); vacina hepatite A recombinante (5.600.079 doses); e vacina raiva Vero (115.338 doses). Foi outorgada pelo INPI patente para produção da vacina da raiva, com participação de pesquisadores da DDTP/IB.</w:t>
      </w:r>
    </w:p>
    <w:p w:rsidR="003E6588" w:rsidRDefault="003E6588">
      <w:pPr>
        <w:ind w:firstLine="1134"/>
        <w:jc w:val="both"/>
      </w:pPr>
    </w:p>
    <w:p w:rsidR="003E6588" w:rsidRDefault="003E6588">
      <w:pPr>
        <w:ind w:firstLine="1134"/>
        <w:jc w:val="both"/>
      </w:pPr>
      <w:r>
        <w:rPr>
          <w:b/>
        </w:rPr>
        <w:t>Atividades Culturais e de Educação -</w:t>
      </w:r>
      <w:r>
        <w:t xml:space="preserve"> Visitação aos museus (Biológico, Microbiológico e Histórico) - 236 mil visitantes e 848 grupos escolares e não escolares, totalizando 27,5 mil visitantes. O parque recebeu 139 mil visitantes.</w:t>
      </w:r>
    </w:p>
    <w:p w:rsidR="003E6588" w:rsidRDefault="003E6588">
      <w:pPr>
        <w:ind w:firstLine="1134"/>
        <w:jc w:val="both"/>
      </w:pPr>
    </w:p>
    <w:p w:rsidR="003E6588" w:rsidRPr="00C373A0" w:rsidRDefault="003E6588">
      <w:pPr>
        <w:ind w:firstLine="1134"/>
        <w:jc w:val="both"/>
      </w:pPr>
      <w:r>
        <w:t xml:space="preserve">Foram realizadas </w:t>
      </w:r>
      <w:r w:rsidRPr="00C373A0">
        <w:t xml:space="preserve">atividades como as exposições temporárias “Experimentação Arte e Ciência”; “Centenário do Prédio Central: o novo Edifício Vital Brazil”, bem como atividades didáticas e cursos oferecidos, além da produção de </w:t>
      </w:r>
      <w:r w:rsidRPr="00C373A0">
        <w:rPr>
          <w:i/>
        </w:rPr>
        <w:t>folders</w:t>
      </w:r>
      <w:r w:rsidRPr="00C373A0">
        <w:t>, certificados, cartazes, crachás, livretos, manuais e revistas.</w:t>
      </w:r>
    </w:p>
    <w:p w:rsidR="003E6588" w:rsidRDefault="003E6588">
      <w:pPr>
        <w:ind w:firstLine="1134"/>
        <w:jc w:val="both"/>
        <w:rPr>
          <w:b/>
        </w:rPr>
      </w:pPr>
    </w:p>
    <w:p w:rsidR="003E6588" w:rsidRDefault="003E6588">
      <w:pPr>
        <w:ind w:firstLine="1134"/>
        <w:jc w:val="both"/>
        <w:rPr>
          <w:b/>
        </w:rPr>
      </w:pPr>
    </w:p>
    <w:p w:rsidR="003E6588" w:rsidRDefault="003E6588">
      <w:pPr>
        <w:ind w:firstLine="142"/>
        <w:rPr>
          <w:b/>
        </w:rPr>
      </w:pPr>
      <w:r>
        <w:rPr>
          <w:b/>
        </w:rPr>
        <w:t>FUNDAÇÃO ONCOCENTRO DE SÃO PAULO - FOSP</w:t>
      </w:r>
    </w:p>
    <w:p w:rsidR="003E6588" w:rsidRDefault="003E6588">
      <w:pPr>
        <w:ind w:firstLine="1134"/>
        <w:jc w:val="both"/>
      </w:pPr>
    </w:p>
    <w:p w:rsidR="003E6588" w:rsidRDefault="003E6588">
      <w:pPr>
        <w:ind w:firstLine="1134"/>
        <w:jc w:val="both"/>
      </w:pPr>
    </w:p>
    <w:p w:rsidR="003E6588" w:rsidRDefault="003E6588">
      <w:pPr>
        <w:ind w:firstLine="1134"/>
        <w:jc w:val="both"/>
      </w:pPr>
      <w:r>
        <w:rPr>
          <w:b/>
        </w:rPr>
        <w:t xml:space="preserve">Treinamentos e Capacitações - </w:t>
      </w:r>
      <w:r>
        <w:t>Foram realizados treinamentos teórico-práticos para profissionais de saúde em Coleta do Papanicolaou e Rastreamento do Câncer de Mama. Com objetivos de uniformizar e aprimorar os procedimentos realizados na rede pública de saúde, relacionados às ações que compõem o Programa Estadual de Prevenção do Câncer do Colo Uterino e Mama foram capacitados 604 enfermeiros e 87 multiplicadores.</w:t>
      </w:r>
    </w:p>
    <w:p w:rsidR="003E6588" w:rsidRDefault="003E6588">
      <w:pPr>
        <w:ind w:firstLine="1134"/>
        <w:jc w:val="both"/>
      </w:pPr>
    </w:p>
    <w:p w:rsidR="003E6588" w:rsidRDefault="003E6588">
      <w:pPr>
        <w:ind w:firstLine="1134"/>
        <w:jc w:val="both"/>
      </w:pPr>
      <w:r>
        <w:t>Foi retomado o Curso Técnico em Citopatologia.</w:t>
      </w:r>
    </w:p>
    <w:p w:rsidR="003E6588" w:rsidRDefault="003E6588">
      <w:pPr>
        <w:ind w:firstLine="1134"/>
        <w:jc w:val="both"/>
        <w:rPr>
          <w:b/>
        </w:rPr>
      </w:pPr>
    </w:p>
    <w:p w:rsidR="003E6588" w:rsidRDefault="003E6588">
      <w:pPr>
        <w:ind w:firstLine="1134"/>
        <w:jc w:val="both"/>
      </w:pPr>
      <w:r>
        <w:rPr>
          <w:b/>
        </w:rPr>
        <w:t xml:space="preserve">Informação e Epidemiologia - Registro Hospitalar de Câncer - RHC - </w:t>
      </w:r>
      <w:r>
        <w:t xml:space="preserve">Instrumento de levantamento de informações sobre casos de câncer atendidos nos hospitais de oncologia, coordenado pela FOSP, o Registro Hospitalar de Câncer está implantado em 72 hospitais da Rede de Atenção Oncológica e em outras 5 instituições com atendimento em câncer (voluntárias), que são avaliados e cujas equipes recebem treinamento quando necessário. A base de dados estadual conta com 575.852 </w:t>
      </w:r>
      <w:r>
        <w:lastRenderedPageBreak/>
        <w:t>casos novos. Produziu 17 Boletins, um para cada RRAS, de Caracterização da Assistência Oncológica nas RRAS. O material foi distribuído para gestores de hospitais, SS, DRSs e Comitê de Oncologia e tem ajudado no planejamento das ações de oncologia.</w:t>
      </w:r>
    </w:p>
    <w:p w:rsidR="003E6588" w:rsidRDefault="003E6588">
      <w:pPr>
        <w:ind w:firstLine="1134"/>
        <w:jc w:val="both"/>
        <w:rPr>
          <w:b/>
        </w:rPr>
      </w:pPr>
    </w:p>
    <w:p w:rsidR="003E6588" w:rsidRDefault="003E6588">
      <w:pPr>
        <w:ind w:firstLine="1134"/>
        <w:jc w:val="both"/>
      </w:pPr>
      <w:r>
        <w:rPr>
          <w:b/>
        </w:rPr>
        <w:t xml:space="preserve">Reabilitação - </w:t>
      </w:r>
      <w:r>
        <w:t>Foram realizadas 3.912 consultas em 819 pacientes. Foram admitidos 110 pacientes novos e entregues 474 próteses.</w:t>
      </w:r>
    </w:p>
    <w:p w:rsidR="003E6588" w:rsidRDefault="003E6588">
      <w:pPr>
        <w:ind w:firstLine="1134"/>
        <w:jc w:val="both"/>
      </w:pPr>
    </w:p>
    <w:p w:rsidR="003E6588" w:rsidRDefault="003E6588">
      <w:pPr>
        <w:ind w:firstLine="1134"/>
        <w:jc w:val="both"/>
      </w:pPr>
      <w:r>
        <w:rPr>
          <w:b/>
        </w:rPr>
        <w:t xml:space="preserve">Laboratório - </w:t>
      </w:r>
      <w:r>
        <w:t>Laboratório de Anatomia Patológica da FOSP realizou 215.643 exames, assim distribuídos: citologia cervico-vaginal, 196.643 (91%), histopatológicos, 10.557 (5%) e imunohistoquímicos 8.443 (4%). Foram adquiridos novos equipamentos: corador de lâminas de Papanicolaou, Processador de tecidos, Micrótomo, Central de inclusão de parafina, Montador de lâminas e Impressora de cassetes. Houve aumento no número de exames processados e melhoria na qualidade. O investimento foi de 760 mil reais.</w:t>
      </w:r>
    </w:p>
    <w:p w:rsidR="003E6588" w:rsidRDefault="003E6588">
      <w:pPr>
        <w:ind w:firstLine="1134"/>
        <w:jc w:val="both"/>
        <w:rPr>
          <w:b/>
        </w:rPr>
      </w:pPr>
    </w:p>
    <w:p w:rsidR="003E6588" w:rsidRDefault="003E6588">
      <w:pPr>
        <w:ind w:firstLine="1134"/>
        <w:jc w:val="both"/>
      </w:pPr>
      <w:r>
        <w:rPr>
          <w:b/>
        </w:rPr>
        <w:t xml:space="preserve">Administração e Finanças - </w:t>
      </w:r>
      <w:r>
        <w:t>A utilização da Bolsa Eletrônica de Compras - BEC tem papel fundamental para a Fundação. O valor estimado e reservado para as despesas foi de R$ 3.313.759,46, sendo que o valor final negociado foi de R$ 2.641.915,83, gerando economia de R$ 671.843,63.</w:t>
      </w:r>
    </w:p>
    <w:p w:rsidR="003E6588" w:rsidRDefault="003E6588">
      <w:pPr>
        <w:ind w:firstLine="1134"/>
        <w:jc w:val="both"/>
        <w:rPr>
          <w:b/>
        </w:rPr>
      </w:pPr>
    </w:p>
    <w:p w:rsidR="003E6588" w:rsidRDefault="003E6588">
      <w:pPr>
        <w:ind w:firstLine="1134"/>
        <w:jc w:val="both"/>
        <w:rPr>
          <w:b/>
        </w:rPr>
      </w:pPr>
    </w:p>
    <w:p w:rsidR="003E6588" w:rsidRDefault="003E6588">
      <w:pPr>
        <w:rPr>
          <w:b/>
        </w:rPr>
      </w:pPr>
      <w:r>
        <w:rPr>
          <w:b/>
        </w:rPr>
        <w:t>FUNDAÇÃO PARA O REMÉDIO POPULAR - FURP</w:t>
      </w:r>
    </w:p>
    <w:p w:rsidR="003E6588" w:rsidRDefault="003E6588">
      <w:pPr>
        <w:ind w:firstLine="1134"/>
        <w:jc w:val="both"/>
      </w:pPr>
    </w:p>
    <w:p w:rsidR="003E6588" w:rsidRDefault="003E6588">
      <w:pPr>
        <w:ind w:firstLine="1134"/>
        <w:jc w:val="both"/>
      </w:pPr>
    </w:p>
    <w:p w:rsidR="003E6588" w:rsidRDefault="003E6588">
      <w:pPr>
        <w:ind w:firstLine="1134"/>
        <w:jc w:val="both"/>
      </w:pPr>
      <w:r>
        <w:rPr>
          <w:b/>
        </w:rPr>
        <w:t>Produção</w:t>
      </w:r>
      <w:r>
        <w:t xml:space="preserve"> - Foram produzidas 930 milhões de unidades farmacotécnicas.</w:t>
      </w:r>
    </w:p>
    <w:p w:rsidR="003E6588" w:rsidRDefault="003E6588">
      <w:pPr>
        <w:ind w:firstLine="1134"/>
        <w:jc w:val="both"/>
      </w:pPr>
    </w:p>
    <w:p w:rsidR="003E6588" w:rsidRDefault="003E6588">
      <w:pPr>
        <w:ind w:firstLine="1134"/>
        <w:jc w:val="both"/>
      </w:pPr>
      <w:r>
        <w:rPr>
          <w:b/>
        </w:rPr>
        <w:t>Programa Dose Certa</w:t>
      </w:r>
      <w:r>
        <w:t xml:space="preserve"> - Desde o seu início foram distribuídas mais de 23 bilhões de unidades farmacotécnicas para a população paulista.</w:t>
      </w:r>
    </w:p>
    <w:p w:rsidR="003E6588" w:rsidRDefault="003E6588">
      <w:pPr>
        <w:ind w:firstLine="1134"/>
        <w:jc w:val="both"/>
        <w:rPr>
          <w:b/>
        </w:rPr>
      </w:pPr>
    </w:p>
    <w:p w:rsidR="003E6588" w:rsidRDefault="003E6588">
      <w:pPr>
        <w:ind w:firstLine="1134"/>
        <w:jc w:val="both"/>
      </w:pPr>
      <w:r>
        <w:rPr>
          <w:b/>
        </w:rPr>
        <w:t>Parceria Público-Privada - PPP</w:t>
      </w:r>
      <w:r>
        <w:t xml:space="preserve"> - Indústria Farmacêutica de Américo Brasiliense - IFAB - A empresa Concessionária Paulista de Medicamentos - CPM, responsável pela gestão, operação e manutenção, com fornecimento de bens (medicamentos genéricos) e realização de obras para adequação da infraestrutura existente obteve 6 registros sanitários de medicamentos. A produção de medicamentos deverá ser antecipada em um ano em relação à programação inicial.</w:t>
      </w:r>
    </w:p>
    <w:p w:rsidR="003E6588" w:rsidRDefault="003E6588">
      <w:pPr>
        <w:ind w:firstLine="1134"/>
        <w:jc w:val="both"/>
      </w:pPr>
    </w:p>
    <w:p w:rsidR="003E6588" w:rsidRDefault="003E6588">
      <w:pPr>
        <w:ind w:firstLine="1134"/>
        <w:jc w:val="both"/>
      </w:pPr>
      <w:r>
        <w:rPr>
          <w:b/>
        </w:rPr>
        <w:t>Recursos Humanos</w:t>
      </w:r>
      <w:r>
        <w:t xml:space="preserve"> - 28 funcionários aprovados no Concurso Público começaram a trabalhar em diversas áreas da unidade de Guarulhos.</w:t>
      </w:r>
    </w:p>
    <w:p w:rsidR="003E6588" w:rsidRDefault="003E6588">
      <w:pPr>
        <w:ind w:firstLine="1134"/>
        <w:jc w:val="both"/>
        <w:rPr>
          <w:b/>
        </w:rPr>
      </w:pPr>
    </w:p>
    <w:p w:rsidR="003E6588" w:rsidRDefault="003E6588">
      <w:pPr>
        <w:ind w:firstLine="1134"/>
        <w:jc w:val="both"/>
        <w:rPr>
          <w:b/>
        </w:rPr>
      </w:pPr>
      <w:r>
        <w:rPr>
          <w:b/>
        </w:rPr>
        <w:t>Convênios e Parcerias</w:t>
      </w:r>
    </w:p>
    <w:p w:rsidR="003E6588" w:rsidRDefault="003E6588">
      <w:pPr>
        <w:ind w:firstLine="1134"/>
        <w:jc w:val="both"/>
        <w:rPr>
          <w:b/>
        </w:rPr>
      </w:pPr>
    </w:p>
    <w:p w:rsidR="003E6588" w:rsidRDefault="003E6588">
      <w:pPr>
        <w:ind w:firstLine="1134"/>
        <w:jc w:val="both"/>
        <w:rPr>
          <w:strike/>
        </w:rPr>
      </w:pPr>
      <w:r>
        <w:rPr>
          <w:b/>
        </w:rPr>
        <w:t>Ampliações, reformas e adequações das instalações da unidade de Guarulhos</w:t>
      </w:r>
      <w:r>
        <w:t xml:space="preserve"> - Em andamento convênio firmado com o Ministério da Saúde, destinando R$ 34 milhões para ampliação e modernização da unidade de Guarulhos. Os projetos são para execução de obras, reforma e ampliação da linha de fabricação de líquidos e penicilínicos, ampliação e adequação do almoxarifado de produtos </w:t>
      </w:r>
      <w:r>
        <w:lastRenderedPageBreak/>
        <w:t>acabados para produtos termolábeis e adequações das instalações prediais das áreas de apoio, produtivas e administrativas. A FURP recebeu do Ministério da Saúde parte dos recursos do projeto dos termolábeis, no valor de R$ 2,31 milhões.</w:t>
      </w:r>
    </w:p>
    <w:p w:rsidR="003E6588" w:rsidRDefault="003E6588">
      <w:pPr>
        <w:ind w:firstLine="1134"/>
        <w:jc w:val="both"/>
        <w:rPr>
          <w:strike/>
        </w:rPr>
      </w:pPr>
    </w:p>
    <w:p w:rsidR="003E6588" w:rsidRDefault="003E6588">
      <w:pPr>
        <w:ind w:firstLine="1134"/>
        <w:jc w:val="both"/>
        <w:rPr>
          <w:strike/>
        </w:rPr>
      </w:pPr>
      <w:r>
        <w:rPr>
          <w:b/>
        </w:rPr>
        <w:t>Transferência de Tecnologia</w:t>
      </w:r>
      <w:r>
        <w:t xml:space="preserve"> -</w:t>
      </w:r>
      <w:r>
        <w:rPr>
          <w:color w:val="FF0000"/>
        </w:rPr>
        <w:t xml:space="preserve"> </w:t>
      </w:r>
      <w:r>
        <w:t>Parcerias para o Desenvolvimento Produtivo - PDPs, com o Ministério da Saúde. A FURP obteve registro do produto Micofenolato de Sódio 180 mg e 360 mg, imunossupressor, utilizado em pacientes transplantados, cujo parceiro privado é a Novartis. Após a celebração do contrato de fornecimento entre a FURP e o Ministério da Saúde, o medicamento começou a ser distribuído ao Sistema Único de Saúde - SUS.</w:t>
      </w:r>
    </w:p>
    <w:p w:rsidR="003E6588" w:rsidRDefault="003E6588">
      <w:pPr>
        <w:ind w:firstLine="1134"/>
        <w:jc w:val="both"/>
        <w:rPr>
          <w:strike/>
        </w:rPr>
      </w:pPr>
    </w:p>
    <w:p w:rsidR="003E6588" w:rsidRDefault="003E6588">
      <w:pPr>
        <w:ind w:firstLine="1134"/>
        <w:jc w:val="both"/>
      </w:pPr>
      <w:r>
        <w:rPr>
          <w:b/>
        </w:rPr>
        <w:t xml:space="preserve">Contrato de fornecimento de medicamentos para Osasco - </w:t>
      </w:r>
      <w:r>
        <w:t>A Fundação assinou contrato com o Município de Osasco</w:t>
      </w:r>
      <w:r>
        <w:rPr>
          <w:color w:val="FF0000"/>
        </w:rPr>
        <w:t>,</w:t>
      </w:r>
      <w:r>
        <w:t xml:space="preserve"> para fornecimento de medicamentos. Serão fornecidos 35 itens entre antibióticos, anti-hipertensivos, dermatológicos, diuréticos e medicamentos para transplantados e controle da diabete, além de medicamentos para tratamento de transtornos mentais e polivitamínico.</w:t>
      </w:r>
    </w:p>
    <w:p w:rsidR="003E6588" w:rsidRDefault="003E6588">
      <w:pPr>
        <w:ind w:firstLine="1134"/>
        <w:jc w:val="both"/>
      </w:pPr>
    </w:p>
    <w:p w:rsidR="003E6588" w:rsidRDefault="003E6588">
      <w:pPr>
        <w:ind w:firstLine="1134"/>
        <w:jc w:val="both"/>
        <w:rPr>
          <w:b/>
        </w:rPr>
      </w:pPr>
      <w:r>
        <w:rPr>
          <w:b/>
        </w:rPr>
        <w:t>Ações Sociais - Projetos realizados</w:t>
      </w:r>
    </w:p>
    <w:p w:rsidR="003E6588" w:rsidRDefault="003E6588">
      <w:pPr>
        <w:ind w:firstLine="1134"/>
        <w:jc w:val="both"/>
        <w:rPr>
          <w:b/>
        </w:rPr>
      </w:pPr>
    </w:p>
    <w:p w:rsidR="003E6588" w:rsidRDefault="003E6588">
      <w:pPr>
        <w:ind w:firstLine="1134"/>
        <w:jc w:val="both"/>
      </w:pPr>
      <w:r>
        <w:rPr>
          <w:b/>
        </w:rPr>
        <w:t>40 anos da FURP</w:t>
      </w:r>
      <w:r>
        <w:t xml:space="preserve"> - Atividades e lançamento do filme - “FURP - Retrospectiva 40 anos”; “Carnaval com Saúde e Prudência”, distribuiu mais de 2 mil preservativos, 600 folhetos informativos e 500 leques para alertar mil funcionários sobre doenças sexualmente transmissíveis e cuidados com a saúde; </w:t>
      </w:r>
      <w:r>
        <w:rPr>
          <w:b/>
        </w:rPr>
        <w:t xml:space="preserve">Combate à Dengue </w:t>
      </w:r>
      <w:r>
        <w:t xml:space="preserve">nas áreas da Fundação; </w:t>
      </w:r>
      <w:r>
        <w:rPr>
          <w:b/>
        </w:rPr>
        <w:t>Prêmio Amigo do Meio Ambiente:</w:t>
      </w:r>
      <w:r>
        <w:t xml:space="preserve"> a FURP recebeu o Prêmio “Amigo do Meio Ambiente - Prêmio AMA 2014”, na categoria Menção Honrosa, pela Secretaria da Saúde.</w:t>
      </w:r>
    </w:p>
    <w:p w:rsidR="003E6588" w:rsidRDefault="003E6588">
      <w:pPr>
        <w:ind w:firstLine="1134"/>
        <w:jc w:val="both"/>
        <w:rPr>
          <w:b/>
        </w:rPr>
      </w:pPr>
    </w:p>
    <w:p w:rsidR="003E6588" w:rsidRDefault="003E6588">
      <w:pPr>
        <w:ind w:firstLine="1134"/>
        <w:jc w:val="both"/>
        <w:rPr>
          <w:b/>
        </w:rPr>
      </w:pPr>
    </w:p>
    <w:p w:rsidR="003E6588" w:rsidRDefault="003E6588">
      <w:pPr>
        <w:ind w:firstLine="142"/>
        <w:rPr>
          <w:b/>
        </w:rPr>
      </w:pPr>
      <w:r>
        <w:rPr>
          <w:b/>
        </w:rPr>
        <w:t>HOSPITAL DAS CLÍNICAS DA FACULDADE DE MEDICINA DE BOTUCATU</w:t>
      </w:r>
    </w:p>
    <w:p w:rsidR="003E6588" w:rsidRDefault="003E6588">
      <w:pPr>
        <w:ind w:firstLine="1134"/>
        <w:jc w:val="both"/>
        <w:rPr>
          <w:b/>
        </w:rPr>
      </w:pPr>
    </w:p>
    <w:p w:rsidR="003E6588" w:rsidRDefault="003E6588">
      <w:pPr>
        <w:ind w:firstLine="1134"/>
        <w:jc w:val="both"/>
        <w:rPr>
          <w:b/>
        </w:rPr>
      </w:pPr>
    </w:p>
    <w:p w:rsidR="003E6588" w:rsidRPr="00C373A0" w:rsidRDefault="003E6588">
      <w:pPr>
        <w:ind w:firstLine="1134"/>
        <w:jc w:val="both"/>
        <w:rPr>
          <w:b/>
        </w:rPr>
      </w:pPr>
      <w:r>
        <w:rPr>
          <w:b/>
        </w:rPr>
        <w:t xml:space="preserve">Perfil Institucional - </w:t>
      </w:r>
      <w:r>
        <w:t xml:space="preserve">Hospital de referência </w:t>
      </w:r>
      <w:r w:rsidRPr="00C373A0">
        <w:t>especializada (terciária e quaternária para sua região), com 385 leitos instalados; 52 leitos instalados de UTI (30 adultos, 15 neonatal e 7 pediátricos) e 30 leitos cirúrgicos do Hospital Estadual Botucatu, para retaguarda do HC.</w:t>
      </w:r>
    </w:p>
    <w:p w:rsidR="003E6588" w:rsidRPr="00C373A0" w:rsidRDefault="003E6588">
      <w:pPr>
        <w:ind w:firstLine="1134"/>
        <w:jc w:val="both"/>
        <w:rPr>
          <w:b/>
        </w:rPr>
      </w:pPr>
    </w:p>
    <w:p w:rsidR="003E6588" w:rsidRDefault="003E6588">
      <w:pPr>
        <w:ind w:firstLine="1134"/>
        <w:jc w:val="both"/>
      </w:pPr>
      <w:r>
        <w:rPr>
          <w:b/>
        </w:rPr>
        <w:t xml:space="preserve">Produção - </w:t>
      </w:r>
      <w:r>
        <w:t>Os serviços prestados aos pacientes que necessitam de assistência no Hospital das Clínicas foram: 2.356.959 exames diagnósticos; 396.069 consultas médicas; 484.044 consultas multiprofissionais; 182.188 atendimentos de urgência e emergência; 21.986 internações; 2.865 procedimentos cirúrgicos ambulatoriais; 7.470 procedimentos cirúrgicos eletivos e de urgência e emergência; 2.263 partos e outros procedimentos no Centro Obstétrico; 26.787 sessões de hemodiálise; 14.563 sessões de quimioterapia; 30.376 procedimentos de radioterapia; 16.997 procedimentos hemoterápicos; 2.</w:t>
      </w:r>
      <w:r w:rsidRPr="006077C4">
        <w:t>434 procedimentos hemodinâmicos; 155 transplantes</w:t>
      </w:r>
      <w:r>
        <w:t>.</w:t>
      </w:r>
    </w:p>
    <w:p w:rsidR="003E6588" w:rsidRDefault="003E6588">
      <w:pPr>
        <w:ind w:firstLine="1134"/>
        <w:jc w:val="both"/>
        <w:rPr>
          <w:b/>
        </w:rPr>
      </w:pPr>
    </w:p>
    <w:p w:rsidR="003E6588" w:rsidRDefault="003E6588">
      <w:pPr>
        <w:ind w:firstLine="1134"/>
        <w:jc w:val="both"/>
      </w:pPr>
      <w:r>
        <w:rPr>
          <w:b/>
        </w:rPr>
        <w:t xml:space="preserve">Obras concluídas - </w:t>
      </w:r>
      <w:r>
        <w:t>Pavimento Mecânico do Centro Cirúrgico (valor pago: R$ 557.476,01); Enfermaria de Vascular (valor pago: R$ 887.424,83); Reforma nas Coberturas em Telha Cerâmica (valor pago: R$ 1.237.296,94).</w:t>
      </w:r>
    </w:p>
    <w:p w:rsidR="003E6588" w:rsidRDefault="003E6588">
      <w:pPr>
        <w:ind w:firstLine="1134"/>
        <w:jc w:val="both"/>
      </w:pPr>
      <w:r>
        <w:rPr>
          <w:b/>
        </w:rPr>
        <w:lastRenderedPageBreak/>
        <w:t xml:space="preserve">Obras em Andamento - </w:t>
      </w:r>
      <w:r>
        <w:t>Laboratório de Reprodução Humana Assistida (valor pago: R$ 99.665,00); Laboratório de Distúrbios do Sono (valor pago: R$ 114.278,44); Reforma e Ampliação da UTI Neo Natal (valor pago: R$ 701.121,49); Reforma do Prédio do Núcleo de Educação a Distancia - NEAD (valor pago: R$ 86.134,12); Construção do Ambulatório de Especialidades (valor pago: R$ 12.676.571,63); Reforma da Sala da Hemodinâmica e Angiografia Digital (valor pago: R$ 71.475,65).</w:t>
      </w:r>
    </w:p>
    <w:p w:rsidR="003E6588" w:rsidRDefault="003E6588">
      <w:pPr>
        <w:ind w:firstLine="1134"/>
        <w:jc w:val="both"/>
      </w:pPr>
    </w:p>
    <w:p w:rsidR="003E6588" w:rsidRDefault="003E6588">
      <w:pPr>
        <w:ind w:firstLine="1134"/>
        <w:jc w:val="both"/>
      </w:pPr>
      <w:r w:rsidRPr="006077C4">
        <w:rPr>
          <w:b/>
        </w:rPr>
        <w:t xml:space="preserve">Equipamentos - </w:t>
      </w:r>
      <w:r w:rsidRPr="006077C4">
        <w:t>Foram</w:t>
      </w:r>
      <w:r>
        <w:t xml:space="preserve"> adquiridos novos equipamentos médicos no valor de R$ 4.852.838,96.</w:t>
      </w:r>
    </w:p>
    <w:p w:rsidR="003E6588" w:rsidRDefault="003E6588">
      <w:pPr>
        <w:ind w:firstLine="1134"/>
        <w:jc w:val="both"/>
        <w:rPr>
          <w:b/>
        </w:rPr>
      </w:pPr>
    </w:p>
    <w:p w:rsidR="003E6588" w:rsidRDefault="003E6588">
      <w:pPr>
        <w:ind w:firstLine="1134"/>
        <w:jc w:val="both"/>
      </w:pPr>
      <w:r>
        <w:rPr>
          <w:b/>
        </w:rPr>
        <w:t>Produção Científica</w:t>
      </w:r>
      <w:r>
        <w:t xml:space="preserve"> - Foram publicados 397 trabalhos.</w:t>
      </w:r>
    </w:p>
    <w:p w:rsidR="003E6588" w:rsidRDefault="003E6588">
      <w:pPr>
        <w:ind w:firstLine="1134"/>
        <w:jc w:val="both"/>
      </w:pPr>
    </w:p>
    <w:p w:rsidR="003E6588" w:rsidRDefault="003E6588">
      <w:pPr>
        <w:ind w:firstLine="1134"/>
        <w:jc w:val="both"/>
      </w:pPr>
      <w:r>
        <w:rPr>
          <w:b/>
        </w:rPr>
        <w:t xml:space="preserve">Contratações - </w:t>
      </w:r>
      <w:r>
        <w:t>Concursos públicos realizados para 604 vagas para funções variadas no hospital, com contratação de 400 profissionais em regime CLT. Realizados 6.1261 atendimentos no ambulatório dos funcionários.</w:t>
      </w:r>
    </w:p>
    <w:p w:rsidR="003E6588" w:rsidRDefault="003E6588">
      <w:pPr>
        <w:ind w:firstLine="1134"/>
        <w:jc w:val="both"/>
      </w:pPr>
    </w:p>
    <w:p w:rsidR="003E6588" w:rsidRDefault="003E6588">
      <w:pPr>
        <w:ind w:firstLine="1134"/>
        <w:jc w:val="both"/>
      </w:pPr>
      <w:r>
        <w:rPr>
          <w:b/>
        </w:rPr>
        <w:t xml:space="preserve">Ensino e Capacitação de Funcionários que atuam no Hospital - </w:t>
      </w:r>
      <w:r>
        <w:t>Foram realizados 102 cursos, com 2.984 mil participantes.</w:t>
      </w:r>
    </w:p>
    <w:p w:rsidR="003E6588" w:rsidRDefault="003E6588">
      <w:pPr>
        <w:ind w:firstLine="1134"/>
        <w:jc w:val="both"/>
      </w:pPr>
    </w:p>
    <w:p w:rsidR="003E6588" w:rsidRDefault="003E6588">
      <w:pPr>
        <w:ind w:firstLine="1134"/>
        <w:jc w:val="both"/>
      </w:pPr>
      <w:r>
        <w:rPr>
          <w:b/>
        </w:rPr>
        <w:t>Ensino e Capacitação para a Rede Básica de Saúde</w:t>
      </w:r>
      <w:r>
        <w:t xml:space="preserve"> - Foram 32 cursos, para 5.304 profissionais na rede básica de saúde.</w:t>
      </w:r>
    </w:p>
    <w:p w:rsidR="003E6588" w:rsidRDefault="003E6588">
      <w:pPr>
        <w:ind w:firstLine="1134"/>
        <w:jc w:val="both"/>
      </w:pPr>
    </w:p>
    <w:p w:rsidR="003E6588" w:rsidRDefault="003E6588">
      <w:pPr>
        <w:ind w:firstLine="1134"/>
        <w:jc w:val="both"/>
      </w:pPr>
    </w:p>
    <w:p w:rsidR="003E6588" w:rsidRDefault="003E6588">
      <w:pPr>
        <w:rPr>
          <w:b/>
        </w:rPr>
      </w:pPr>
      <w:r>
        <w:rPr>
          <w:b/>
        </w:rPr>
        <w:t>HOSPITAL DAS CLÍNICAS DA FACULDADE DE MEDICINA DA UNIVERSIDADE DE SÃO PAULO - FMUSP</w:t>
      </w:r>
    </w:p>
    <w:p w:rsidR="003E6588" w:rsidRDefault="003E6588">
      <w:pPr>
        <w:ind w:firstLine="1134"/>
        <w:jc w:val="both"/>
        <w:rPr>
          <w:b/>
        </w:rPr>
      </w:pPr>
    </w:p>
    <w:p w:rsidR="003E6588" w:rsidRDefault="003E6588">
      <w:pPr>
        <w:ind w:firstLine="1134"/>
        <w:jc w:val="both"/>
        <w:rPr>
          <w:b/>
        </w:rPr>
      </w:pPr>
    </w:p>
    <w:p w:rsidR="003E6588" w:rsidRDefault="003E6588">
      <w:pPr>
        <w:ind w:firstLine="1134"/>
        <w:jc w:val="both"/>
        <w:rPr>
          <w:b/>
        </w:rPr>
      </w:pPr>
      <w:r>
        <w:t>O HCFMUSP é composto pelo Instituto Central, Instituto de Ortopedia e Traumatologia, Instituto de Psiquiatria, Hospital Auxiliar de Suzano, Hospital Auxiliar de Cotoxó, Instituto de Medicina Física e Reabilitação, Instituto da Criança, Instituto do Coração, Instituto de Radiologia e Instituto do Câncer do Estado, que oferecem referência terciária ao SUS, nas suas respectivas especialidades</w:t>
      </w:r>
      <w:r>
        <w:rPr>
          <w:b/>
        </w:rPr>
        <w:t>.</w:t>
      </w:r>
    </w:p>
    <w:p w:rsidR="003E6588" w:rsidRDefault="003E6588">
      <w:pPr>
        <w:ind w:firstLine="1134"/>
        <w:jc w:val="both"/>
        <w:rPr>
          <w:b/>
        </w:rPr>
      </w:pPr>
    </w:p>
    <w:p w:rsidR="003E6588" w:rsidRDefault="003E6588">
      <w:pPr>
        <w:ind w:firstLine="1134"/>
        <w:jc w:val="both"/>
      </w:pPr>
      <w:r>
        <w:rPr>
          <w:b/>
        </w:rPr>
        <w:t xml:space="preserve">Investimentos nas unidades do Complexo HCFMUSP </w:t>
      </w:r>
      <w:r>
        <w:t>- Houve</w:t>
      </w:r>
      <w:r>
        <w:rPr>
          <w:b/>
          <w:color w:val="FF0000"/>
        </w:rPr>
        <w:t xml:space="preserve"> </w:t>
      </w:r>
      <w:r>
        <w:rPr>
          <w:color w:val="000000"/>
        </w:rPr>
        <w:t>previsão de recursos da ordem de R$ 138 milhões para a ampliação e adequação das diversas unidades que compõem o HCFMUSP</w:t>
      </w:r>
      <w:r>
        <w:t>.</w:t>
      </w:r>
    </w:p>
    <w:p w:rsidR="003E6588" w:rsidRDefault="003E6588">
      <w:pPr>
        <w:ind w:firstLine="1134"/>
        <w:jc w:val="both"/>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Hospitalar e ambulatorial - </w:t>
      </w:r>
      <w:r>
        <w:rPr>
          <w:rFonts w:ascii="Times New Roman" w:hAnsi="Times New Roman"/>
          <w:sz w:val="24"/>
          <w:szCs w:val="24"/>
        </w:rPr>
        <w:t>O HCFMUSP possui 2.350 leitos instalados. Constatou-se 54.969 saídas hospitalares, sendo contabilizadas 840.383 consultas ambulatoriais, 22.833 cirurgias e 550 transplantes, sendo eles: coração infantil (14), córnea (77), fígado adulto (73), fígado infantil (28), medula óssea (99), ósteo-fascio-ligamentoso (59), pâncreas (1), pâncreas e rim (5), pulmões (16), rim (178). A taxa de ocupação operacional atingiu a porcentagem de 85,70%, sendo avaliada a média de permanência de aproximadamente 7,96 dias.</w:t>
      </w:r>
    </w:p>
    <w:p w:rsidR="003E6588" w:rsidRDefault="003E6588">
      <w:pPr>
        <w:pStyle w:val="PargrafodaLista"/>
        <w:ind w:left="0" w:firstLine="1134"/>
        <w:rPr>
          <w:rFonts w:ascii="Times New Roman" w:hAnsi="Times New Roman"/>
          <w:sz w:val="24"/>
          <w:szCs w:val="24"/>
        </w:rPr>
      </w:pPr>
    </w:p>
    <w:p w:rsidR="003E6588" w:rsidRDefault="003E6588">
      <w:pPr>
        <w:ind w:firstLine="1134"/>
        <w:jc w:val="both"/>
      </w:pPr>
      <w:r>
        <w:rPr>
          <w:b/>
        </w:rPr>
        <w:lastRenderedPageBreak/>
        <w:t>Assistência farmacêutica</w:t>
      </w:r>
      <w:r>
        <w:t xml:space="preserve"> - Foram produzidas pela Unidade de Farmacotécnica Hospitalar 5.228.300 unidades de medicamentos.</w:t>
      </w:r>
    </w:p>
    <w:p w:rsidR="003E6588" w:rsidRDefault="003E6588">
      <w:pPr>
        <w:ind w:firstLine="1134"/>
        <w:jc w:val="both"/>
      </w:pPr>
    </w:p>
    <w:p w:rsidR="003E6588" w:rsidRDefault="003E6588">
      <w:pPr>
        <w:ind w:firstLine="1134"/>
        <w:jc w:val="both"/>
      </w:pPr>
      <w:r>
        <w:rPr>
          <w:b/>
        </w:rPr>
        <w:t>Gestão de Pessoas</w:t>
      </w:r>
      <w:r>
        <w:t xml:space="preserve"> - Foram realizados 73 concursos, contratação de 504 funcionários e realizadas mais de 19 mil horas de treinamentos corporativos.</w:t>
      </w:r>
    </w:p>
    <w:p w:rsidR="003E6588" w:rsidRPr="003B67EB" w:rsidRDefault="003E6588">
      <w:pPr>
        <w:ind w:firstLine="1134"/>
        <w:jc w:val="both"/>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Projetos e Melhorias por Instituto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Instituto Central</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Projetos - </w:t>
      </w:r>
      <w:r>
        <w:rPr>
          <w:rFonts w:ascii="Times New Roman" w:hAnsi="Times New Roman"/>
          <w:sz w:val="24"/>
          <w:szCs w:val="24"/>
        </w:rPr>
        <w:t>Reorganização dos processos do pronto-socorro. O projeto de gestão de leitos. Reorganização dos processos do centro cirúrgico. O Programa Medicamentos em Casa. Projeto vencedor do prêmio Mario Covas na categoria “Inovação na Gestão Pública”. Criação do Subcomitê de Segurança do Paciente. Criação do Time de Resposta Rápida e Implementação do Código Azul e Código Amarelo. Projeto Piloto na Geriatria; Criação do Centro de Avaliação Perioperatória.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Pesquisa - </w:t>
      </w:r>
      <w:r>
        <w:rPr>
          <w:rFonts w:ascii="Times New Roman" w:hAnsi="Times New Roman"/>
          <w:sz w:val="24"/>
          <w:szCs w:val="24"/>
        </w:rPr>
        <w:t>Identificação de nova superbactéria. Avaliação da eficácia e a segurança da vacina contra o vírus H1N1 em pacientes imunossuprimidos com doenças reumáticas auto-imunes. Identificação de alterações nos níveis dos autoanticorpos em pacientes com neuromielite. Constatação que neonatos prematuros de alto risco sofrem maior incidência de forma rara de perda auditiva, com perda seletiva de células sensoriais</w:t>
      </w:r>
      <w:r>
        <w:rPr>
          <w:rFonts w:ascii="Times New Roman" w:hAnsi="Times New Roman"/>
          <w:color w:val="FF0000"/>
          <w:sz w:val="24"/>
          <w:szCs w:val="24"/>
        </w:rPr>
        <w:t>,</w:t>
      </w:r>
      <w:r>
        <w:rPr>
          <w:rFonts w:ascii="Times New Roman" w:hAnsi="Times New Roman"/>
          <w:sz w:val="24"/>
          <w:szCs w:val="24"/>
        </w:rPr>
        <w:t xml:space="preserve"> como possível sinal de neuropatia. Benefício do </w:t>
      </w:r>
      <w:r>
        <w:rPr>
          <w:rFonts w:ascii="Times New Roman" w:hAnsi="Times New Roman"/>
          <w:i/>
          <w:sz w:val="24"/>
          <w:szCs w:val="24"/>
        </w:rPr>
        <w:t>Tai Chi Chuan</w:t>
      </w:r>
      <w:r>
        <w:rPr>
          <w:rFonts w:ascii="Times New Roman" w:hAnsi="Times New Roman"/>
          <w:sz w:val="24"/>
          <w:szCs w:val="24"/>
        </w:rPr>
        <w:t xml:space="preserve"> para a memória do idoso. Eficácia da Musicoterapia no combate à dor crônica.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Desenvolvimento de Técnicas </w:t>
      </w:r>
      <w:r>
        <w:rPr>
          <w:rFonts w:ascii="Times New Roman" w:hAnsi="Times New Roman"/>
          <w:sz w:val="24"/>
          <w:szCs w:val="24"/>
        </w:rPr>
        <w:t>- Transplante multivisceral pioneiro no SUS. Novo método de cirurgia de retirada de cisto de ovário gigante. Nova técnica de embolização para o tratamento de doença prostática;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Humanização - </w:t>
      </w:r>
      <w:r>
        <w:rPr>
          <w:rFonts w:ascii="Times New Roman" w:hAnsi="Times New Roman"/>
          <w:sz w:val="24"/>
          <w:szCs w:val="24"/>
        </w:rPr>
        <w:t>Programa de acolhimento no pronto-socorro, ambulatório e internação. Programa de responsabilidade socioambiental referente ao descarte responsável de chapas de Raio-X, pilhas e baterias, óleo de cozinha e isopor.</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Ensino - </w:t>
      </w:r>
      <w:r>
        <w:rPr>
          <w:rFonts w:ascii="Times New Roman" w:hAnsi="Times New Roman"/>
          <w:sz w:val="24"/>
          <w:szCs w:val="24"/>
        </w:rPr>
        <w:t xml:space="preserve">Treinamento dos residentes na Unidade de Simulação Cirúrgica. Programa pioneiro no </w:t>
      </w:r>
      <w:r w:rsidRPr="003B67EB">
        <w:rPr>
          <w:rFonts w:ascii="Times New Roman" w:hAnsi="Times New Roman"/>
          <w:sz w:val="24"/>
          <w:szCs w:val="24"/>
        </w:rPr>
        <w:t>Brasil, utiliza manequins</w:t>
      </w:r>
      <w:r>
        <w:rPr>
          <w:rFonts w:ascii="Times New Roman" w:hAnsi="Times New Roman"/>
          <w:sz w:val="24"/>
          <w:szCs w:val="24"/>
        </w:rPr>
        <w:t xml:space="preserve"> </w:t>
      </w:r>
      <w:r>
        <w:rPr>
          <w:rFonts w:ascii="Times New Roman" w:hAnsi="Times New Roman"/>
          <w:i/>
          <w:sz w:val="24"/>
          <w:szCs w:val="24"/>
        </w:rPr>
        <w:t>high tech</w:t>
      </w:r>
      <w:r>
        <w:rPr>
          <w:rFonts w:ascii="Times New Roman" w:hAnsi="Times New Roman"/>
          <w:sz w:val="24"/>
          <w:szCs w:val="24"/>
        </w:rPr>
        <w:t xml:space="preserve"> para treinamento multiprofissional de colaboradores e alunos baseado em simulação realística. “Fórum Internacional de Transplantes do Aparelho Digestivo”. “Simpósio Internacional de Assistência ao Paciente Politraumatizado”; “Congresso Interamericano de Psicologia da Saúde”. Gastrão: “Curso de Atualização em Cirurgia do Aparelho Digestivo, Coloproctologia, Transplantes de Órgãos do Aparelho Digestivo e Endoscopia”.</w:t>
      </w:r>
    </w:p>
    <w:p w:rsidR="003E6588" w:rsidRDefault="003E6588">
      <w:pPr>
        <w:pStyle w:val="PargrafodaLista"/>
        <w:ind w:left="1854"/>
        <w:rPr>
          <w:rFonts w:ascii="Times New Roman" w:hAnsi="Times New Roman"/>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Instituto do Câncer do Estado de São Paulo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Projetos - </w:t>
      </w:r>
      <w:r>
        <w:rPr>
          <w:rFonts w:ascii="Times New Roman" w:hAnsi="Times New Roman"/>
          <w:sz w:val="24"/>
          <w:szCs w:val="24"/>
        </w:rPr>
        <w:t xml:space="preserve">Implantado o Protocolo Clínico da Dor. Acreditação do instituto pela </w:t>
      </w:r>
      <w:r>
        <w:rPr>
          <w:rFonts w:ascii="Times New Roman" w:hAnsi="Times New Roman"/>
          <w:i/>
          <w:sz w:val="24"/>
          <w:szCs w:val="24"/>
        </w:rPr>
        <w:t xml:space="preserve">Joint Commission International </w:t>
      </w:r>
      <w:r w:rsidR="003B67EB">
        <w:rPr>
          <w:rFonts w:ascii="Times New Roman" w:hAnsi="Times New Roman"/>
          <w:i/>
          <w:sz w:val="24"/>
          <w:szCs w:val="24"/>
        </w:rPr>
        <w:t xml:space="preserve">- </w:t>
      </w:r>
      <w:r w:rsidRPr="003B67EB">
        <w:rPr>
          <w:rFonts w:ascii="Times New Roman" w:hAnsi="Times New Roman"/>
          <w:i/>
          <w:sz w:val="24"/>
          <w:szCs w:val="24"/>
        </w:rPr>
        <w:t>JCI</w:t>
      </w:r>
      <w:r>
        <w:rPr>
          <w:rFonts w:ascii="Times New Roman" w:hAnsi="Times New Roman"/>
          <w:sz w:val="24"/>
          <w:szCs w:val="24"/>
        </w:rPr>
        <w:t>. Abertura da unidade satélite no Município de Osasco.</w:t>
      </w: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 xml:space="preserve">Pesquisa - </w:t>
      </w:r>
      <w:r>
        <w:rPr>
          <w:rFonts w:ascii="Times New Roman" w:hAnsi="Times New Roman"/>
          <w:sz w:val="24"/>
          <w:szCs w:val="24"/>
        </w:rPr>
        <w:t>O Centro de Investigação Translacional em Oncologia conta com 60 estudos clínicos em andamento e 180 pacientes em monitoramento em pesquisa patrocinada. Cerca de 100 pesquisadores participam dos diferentes grupos de pesquisa; O Prêmio “Octávio Frias de Oliveira” busca incentivar e premiar a produção de conhecimento nacional na prevenção e combate ao câncer. Estruturação do Biobanco, compondo a Rede Premium da Faculdade de Medicina, disponibilizando serviços de sequenciamento e expressão gênica.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Humanização - </w:t>
      </w:r>
      <w:r>
        <w:rPr>
          <w:rFonts w:ascii="Times New Roman" w:hAnsi="Times New Roman"/>
          <w:sz w:val="24"/>
          <w:szCs w:val="24"/>
        </w:rPr>
        <w:t xml:space="preserve">Desenvolvimento do Programa de Melhoria da Assistência ao Idoso e adesão ao Selo Hospital Amigo do Idoso. </w:t>
      </w:r>
      <w:r w:rsidRPr="003B67EB">
        <w:rPr>
          <w:rFonts w:ascii="Times New Roman" w:hAnsi="Times New Roman"/>
          <w:sz w:val="24"/>
          <w:szCs w:val="24"/>
        </w:rPr>
        <w:t>Divulgação do Manual de</w:t>
      </w:r>
      <w:r>
        <w:rPr>
          <w:rFonts w:ascii="Times New Roman" w:hAnsi="Times New Roman"/>
          <w:sz w:val="24"/>
          <w:szCs w:val="24"/>
        </w:rPr>
        <w:t xml:space="preserve"> Direito e Deveres dos Usuários do SUS. Cartilha de Prevenção de Queda; Manual de Gastrostomia, Colostomia, Ileostomia, Jejunostomia, Urostomia, garantindo o acesso à informação a pacientes e familiares. Programas de humanização: práticas de cuidado com visitas com horário ampliado e flexibilizado; acolhimento com a valorização das relações interpessoais entre os diferentes atores; ações educativas nas salas de espera, desenvolvidas pela equipe multiprofissional; programa de arte e cultura, que fortalece o canal de comunicação informal e direto entre pacientes e colaboradores.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Ensino - </w:t>
      </w:r>
      <w:r>
        <w:rPr>
          <w:rFonts w:ascii="Times New Roman" w:hAnsi="Times New Roman"/>
          <w:sz w:val="24"/>
          <w:szCs w:val="24"/>
        </w:rPr>
        <w:t>Publicados o “Manual de Condutas em Oncologia Cirúrgicas” e “Manual de Reabilitação: a visão de cuidado integrado e interdisciplinar no processo de reabilitação do paciente”. Realizado o “1º Simpósio Paulista de Oncologia”.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Instituto do Coração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Ações - </w:t>
      </w:r>
      <w:r>
        <w:rPr>
          <w:rFonts w:ascii="Times New Roman" w:hAnsi="Times New Roman"/>
          <w:sz w:val="24"/>
          <w:szCs w:val="24"/>
        </w:rPr>
        <w:t>Certificação Digital no atendimento ambulatorial SUS. Foram certificados 250 profissionais médicos, com a redução em 50% na impressão de documentos no ambulatório. Implantação do Núcleo de Transplantes: houve aumento de 30% de utilização de corações doados, aumento de 30% nos transplantes cardíacos adulto e infantil, 20% pulmonar, redução da mortalidade em 40% e aumento de 50% dos transplantes realizados com doadores à distância. Ativação de 11 leitos da UTI pediátrica e neonatal, resultando aumento de 78% dos pacientes por dia nas UTI pediátrica e neonatal.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Pesquisa -</w:t>
      </w:r>
      <w:r>
        <w:rPr>
          <w:rFonts w:ascii="Times New Roman" w:hAnsi="Times New Roman"/>
          <w:sz w:val="24"/>
          <w:szCs w:val="24"/>
        </w:rPr>
        <w:t xml:space="preserve"> Implantação do Centro de Pesquisa Clínica e Translacional. Estudo clínico prospectivo, com recondicionamento de pulmões limítrofes em sistema de perfusão pulmonar ex vivo, como protocolo descrito pelo grupo de transplante pulmonar de Toronto. Estudo clínico multicêntrico com Dispositivo de Assistência Ventricular </w:t>
      </w:r>
      <w:r w:rsidR="003B67EB">
        <w:rPr>
          <w:rFonts w:ascii="Times New Roman" w:hAnsi="Times New Roman"/>
          <w:sz w:val="24"/>
          <w:szCs w:val="24"/>
        </w:rPr>
        <w:t xml:space="preserve">- </w:t>
      </w:r>
      <w:r>
        <w:rPr>
          <w:rFonts w:ascii="Times New Roman" w:hAnsi="Times New Roman"/>
          <w:sz w:val="24"/>
          <w:szCs w:val="24"/>
        </w:rPr>
        <w:t>DAV.</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Humanização -</w:t>
      </w:r>
      <w:r>
        <w:rPr>
          <w:rFonts w:ascii="Times New Roman" w:hAnsi="Times New Roman"/>
          <w:sz w:val="24"/>
          <w:szCs w:val="24"/>
        </w:rPr>
        <w:t xml:space="preserve"> Orientação de alta hospitalar. Curso de “contação” de histórias e humanização hospitalar para os colaboradores.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Ensino -</w:t>
      </w:r>
      <w:r>
        <w:rPr>
          <w:rFonts w:ascii="Times New Roman" w:hAnsi="Times New Roman"/>
          <w:sz w:val="24"/>
          <w:szCs w:val="24"/>
        </w:rPr>
        <w:t xml:space="preserve"> Início da Residência Multiprofissional Prevenção e Terapêutica Cardiova</w:t>
      </w:r>
      <w:r w:rsidRPr="003B67EB">
        <w:rPr>
          <w:rFonts w:ascii="Times New Roman" w:hAnsi="Times New Roman"/>
          <w:sz w:val="24"/>
          <w:szCs w:val="24"/>
        </w:rPr>
        <w:t>scul</w:t>
      </w:r>
      <w:r>
        <w:rPr>
          <w:rFonts w:ascii="Times New Roman" w:hAnsi="Times New Roman"/>
          <w:sz w:val="24"/>
          <w:szCs w:val="24"/>
        </w:rPr>
        <w:t>ar e da Residência em Nutrição em Cardiopneumologia; Reestruturação do Centro Incor de Telemedicina e Telessaúde</w:t>
      </w:r>
      <w:r>
        <w:rPr>
          <w:rFonts w:ascii="Times New Roman" w:hAnsi="Times New Roman"/>
          <w:color w:val="FF0000"/>
          <w:sz w:val="24"/>
          <w:szCs w:val="24"/>
        </w:rPr>
        <w:t>,</w:t>
      </w:r>
      <w:r>
        <w:rPr>
          <w:rFonts w:ascii="Times New Roman" w:hAnsi="Times New Roman"/>
          <w:sz w:val="24"/>
          <w:szCs w:val="24"/>
        </w:rPr>
        <w:t xml:space="preserve"> como Unidade de Apoio Educacional. Curso teórico-prático de imunologia em escolas públicas da cidade de São Paulo, ministrado por alunos de pós-graduação, vinculados ao Laboratório Imunologia do InCor.</w:t>
      </w: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lastRenderedPageBreak/>
        <w:t>Instituto de Ortopedia e Traumatologia</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Projetos - </w:t>
      </w:r>
      <w:r>
        <w:rPr>
          <w:rFonts w:ascii="Times New Roman" w:hAnsi="Times New Roman"/>
          <w:sz w:val="24"/>
          <w:szCs w:val="24"/>
        </w:rPr>
        <w:t>Rastreamento de prontuários inativos (ganho de 300 m</w:t>
      </w:r>
      <w:r>
        <w:rPr>
          <w:rFonts w:ascii="Times New Roman" w:hAnsi="Times New Roman"/>
          <w:sz w:val="24"/>
          <w:szCs w:val="24"/>
          <w:vertAlign w:val="superscript"/>
        </w:rPr>
        <w:t>2</w:t>
      </w:r>
      <w:r>
        <w:rPr>
          <w:rFonts w:ascii="Times New Roman" w:hAnsi="Times New Roman"/>
          <w:sz w:val="24"/>
          <w:szCs w:val="24"/>
        </w:rPr>
        <w:t xml:space="preserve"> área física). Automação do aviso de cirurgias. Reestruturação do agendamento ambulatorial. Atividades esportivas com pacientes portadores de paralisia cerebral. Projeto “Artrose: recuperando a qualidade de vida”.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Pesquisa - </w:t>
      </w:r>
      <w:r>
        <w:rPr>
          <w:rFonts w:ascii="Times New Roman" w:hAnsi="Times New Roman"/>
          <w:sz w:val="24"/>
          <w:szCs w:val="24"/>
        </w:rPr>
        <w:t>Mudança da técnica de passagem de Cateter Central de Inserção Periférica (PICC).</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Humanização - </w:t>
      </w:r>
      <w:r>
        <w:rPr>
          <w:rFonts w:ascii="Times New Roman" w:hAnsi="Times New Roman"/>
          <w:sz w:val="24"/>
          <w:szCs w:val="24"/>
        </w:rPr>
        <w:t>Criada Comissão de Apoio ao Serviço de Nutrição e Dietética. Projeto SMILE: realizou pesquisa de clima organizacional nas unidades do IOT.</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Ensino - </w:t>
      </w:r>
      <w:r>
        <w:rPr>
          <w:rFonts w:ascii="Times New Roman" w:hAnsi="Times New Roman"/>
          <w:sz w:val="24"/>
          <w:szCs w:val="24"/>
        </w:rPr>
        <w:t>Publicado o “Manual de Procedimentos de Enfermagem Operacionais Padrão”. Curso de Aperfeiçoamento para Trabalhadores das Oficinas de Órtese e Prótese. Curso de Especialização em Fisioterapia Hospitalar - Traumato-Ortopedia. Curso de Especialização em Terapia da Mão. Realização de cursos de Especialização em Acupuntura. Programa de Capacitação para Médico Estrangeiro. Programa de Cooperação Internacional para Profissionais da Saúde.</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Instituto da Criança</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Projetos - </w:t>
      </w:r>
      <w:r>
        <w:rPr>
          <w:rFonts w:ascii="Times New Roman" w:hAnsi="Times New Roman"/>
          <w:sz w:val="24"/>
          <w:szCs w:val="24"/>
        </w:rPr>
        <w:t>Programa de Qualidade e Segurança Hospitalar. Aprimoramento do Modelo de Gestão. Implantação de ferramenta específica para registros de evolução médica e multiprofissional.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Pesquisa - </w:t>
      </w:r>
      <w:r>
        <w:rPr>
          <w:rFonts w:ascii="Times New Roman" w:hAnsi="Times New Roman"/>
          <w:sz w:val="24"/>
          <w:szCs w:val="24"/>
        </w:rPr>
        <w:t>Tomografia computadorizada em crianças padrão. Com a Rede Dora (Doenças Raras</w:t>
      </w:r>
      <w:r w:rsidRPr="003B67EB">
        <w:rPr>
          <w:rFonts w:ascii="Times New Roman" w:hAnsi="Times New Roman"/>
          <w:sz w:val="24"/>
          <w:szCs w:val="24"/>
        </w:rPr>
        <w:t>), foi implantado ambulatório específico para atendimento dos pacientes com Síndrome de DiGeorge, na Unidade de Imunologia. Transplante hepático na criança. Transplante de células hematopoiéticas</w:t>
      </w:r>
      <w:r>
        <w:rPr>
          <w:rFonts w:ascii="Times New Roman" w:hAnsi="Times New Roman"/>
          <w:sz w:val="24"/>
          <w:szCs w:val="24"/>
        </w:rPr>
        <w:t xml:space="preserve"> para doenças não-neoplásicas.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Humanização - </w:t>
      </w:r>
      <w:r>
        <w:rPr>
          <w:rFonts w:ascii="Times New Roman" w:hAnsi="Times New Roman"/>
          <w:sz w:val="24"/>
          <w:szCs w:val="24"/>
        </w:rPr>
        <w:t>Diagnóstico Amigo da Criança. Portal ABC da Saúde infanto-juvenil. Projeto de melhoria de ambiência. Implantação do portal do paciente.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Ensino - </w:t>
      </w:r>
      <w:r>
        <w:rPr>
          <w:rFonts w:ascii="Times New Roman" w:hAnsi="Times New Roman"/>
          <w:sz w:val="24"/>
          <w:szCs w:val="24"/>
        </w:rPr>
        <w:t>Jornada de Qualidade. Programa de Treinamento e Desenvolvimento.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Instituto de Psiquiatria</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w:t>
      </w:r>
      <w:r>
        <w:rPr>
          <w:rFonts w:ascii="Times New Roman" w:hAnsi="Times New Roman"/>
          <w:sz w:val="24"/>
          <w:szCs w:val="24"/>
        </w:rPr>
        <w:t>Projeto de acreditação hospitalar: o instituto manteve o nível 1 da acreditação ONA. Campanha para melhor uso de medicamentos. Otimização do tempo de consulta ambulatorial. Redução do tempo de emissão de laudo, de dez para três dias.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Pesquisa - </w:t>
      </w:r>
      <w:r>
        <w:rPr>
          <w:rFonts w:ascii="Times New Roman" w:hAnsi="Times New Roman"/>
          <w:sz w:val="24"/>
          <w:szCs w:val="24"/>
        </w:rPr>
        <w:t xml:space="preserve">Tele-Assistência em Psiquiatria. Técnicas não invasivas para tratamento das depressões unipolar e bipolar. Estimulação magnética transcraniana no tratamento de dependentes de </w:t>
      </w:r>
      <w:r>
        <w:rPr>
          <w:rFonts w:ascii="Times New Roman" w:hAnsi="Times New Roman"/>
          <w:sz w:val="24"/>
          <w:szCs w:val="24"/>
        </w:rPr>
        <w:lastRenderedPageBreak/>
        <w:t xml:space="preserve">cocaína. Projeto São Paulo </w:t>
      </w:r>
      <w:r>
        <w:rPr>
          <w:rFonts w:ascii="Times New Roman" w:hAnsi="Times New Roman"/>
          <w:i/>
          <w:sz w:val="24"/>
          <w:szCs w:val="24"/>
        </w:rPr>
        <w:t>Megacity</w:t>
      </w:r>
      <w:r>
        <w:rPr>
          <w:rFonts w:ascii="Times New Roman" w:hAnsi="Times New Roman"/>
          <w:sz w:val="24"/>
          <w:szCs w:val="24"/>
        </w:rPr>
        <w:t xml:space="preserve"> - mapear doenças mentais em áreas urbanas. Transições de uso de drogas entre universitários. Pesquisa finalista do Prêmio Saúde categoria "Saúde mental e emocional".</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Humanização - </w:t>
      </w:r>
      <w:r>
        <w:rPr>
          <w:rFonts w:ascii="Times New Roman" w:hAnsi="Times New Roman"/>
          <w:sz w:val="24"/>
          <w:szCs w:val="24"/>
        </w:rPr>
        <w:t xml:space="preserve">O “IPq Portas Abertas” oferece uma série de palestras, encontros e </w:t>
      </w:r>
      <w:r>
        <w:rPr>
          <w:rFonts w:ascii="Times New Roman" w:hAnsi="Times New Roman"/>
          <w:i/>
          <w:sz w:val="24"/>
          <w:szCs w:val="24"/>
        </w:rPr>
        <w:t>workshops</w:t>
      </w:r>
      <w:r>
        <w:rPr>
          <w:rFonts w:ascii="Times New Roman" w:hAnsi="Times New Roman"/>
          <w:sz w:val="24"/>
          <w:szCs w:val="24"/>
        </w:rPr>
        <w:t xml:space="preserve"> com temas em neuropsiquiatria e saúde mental de forma gratuita para a população. Concurso de fotos “Olhares do IPq”; O totem eletrônico interativo. Programa Equilíbrio (para adolescentes de rua). Xadrez motivacional: nova abordagem de estimulação das funções executivas em dependentes de </w:t>
      </w:r>
      <w:r w:rsidRPr="003B67EB">
        <w:rPr>
          <w:rFonts w:ascii="Times New Roman" w:hAnsi="Times New Roman"/>
          <w:sz w:val="24"/>
          <w:szCs w:val="24"/>
        </w:rPr>
        <w:t xml:space="preserve">cocaína e </w:t>
      </w:r>
      <w:r w:rsidRPr="003B67EB">
        <w:rPr>
          <w:rFonts w:ascii="Times New Roman" w:hAnsi="Times New Roman"/>
          <w:i/>
          <w:sz w:val="24"/>
          <w:szCs w:val="24"/>
        </w:rPr>
        <w:t>crack</w:t>
      </w:r>
      <w:r>
        <w:rPr>
          <w:rFonts w:ascii="Times New Roman" w:hAnsi="Times New Roman"/>
          <w:sz w:val="24"/>
          <w:szCs w:val="24"/>
        </w:rPr>
        <w:t>.</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Ensino - </w:t>
      </w:r>
      <w:r>
        <w:rPr>
          <w:rFonts w:ascii="Times New Roman" w:hAnsi="Times New Roman"/>
          <w:sz w:val="24"/>
          <w:szCs w:val="24"/>
        </w:rPr>
        <w:t>Residência Multiprofissional na área de Psiquiatria e Saúde Mental. Curso de capacitação em gerenciamento de enfermagem. Aprimoramento Profissional na área de Psiquiatria e Saúde Mental.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Instituto de Radiologia</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w:t>
      </w:r>
      <w:r>
        <w:rPr>
          <w:rFonts w:ascii="Times New Roman" w:hAnsi="Times New Roman"/>
          <w:sz w:val="24"/>
          <w:szCs w:val="24"/>
        </w:rPr>
        <w:t>Projeto de acreditação hospitalar - instituto manteve o nível 1 da acreditação ONA. Realizado Treinamento de atendimento ao cliente.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Pesquisa - </w:t>
      </w:r>
      <w:r>
        <w:rPr>
          <w:rFonts w:ascii="Times New Roman" w:hAnsi="Times New Roman"/>
          <w:sz w:val="24"/>
          <w:szCs w:val="24"/>
        </w:rPr>
        <w:t>Programa Rede de Equipamentos Multiusuários (PREMiUM) - acesso a modernas tecnologias de pesquisa biomédica.</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Humanização - </w:t>
      </w:r>
      <w:r>
        <w:rPr>
          <w:rFonts w:ascii="Times New Roman" w:hAnsi="Times New Roman"/>
          <w:sz w:val="24"/>
          <w:szCs w:val="24"/>
        </w:rPr>
        <w:t>InRad Voluntário. Programa Humaniza InRad. Projeto AcolhInRad. Campanha de Conscientização para garantir a Privacidade dos Pacientes.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Ensino - </w:t>
      </w:r>
      <w:r>
        <w:rPr>
          <w:rFonts w:ascii="Times New Roman" w:hAnsi="Times New Roman"/>
          <w:sz w:val="24"/>
          <w:szCs w:val="24"/>
        </w:rPr>
        <w:t>Cursos de Especialização para profissionais não-médicos. Ressonância Magnética para Tecnólogos em Radiologia e Biomédicos. Radioterapia para Tecnólogos em Radiologia e Enfermagem em Radiologia. Curso de Emergências Cardiovasculares. Implantação da estrutura de Casos Didáticos, como parte do Arquivo Didático Digital, tem por finalidade tornar disponível e acessível uma base de dados sobre imagens médicas de diferentes modalidades e complementadas com informações clínicas.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Instituto de Medicina Física e Reabilitação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Projetos - </w:t>
      </w:r>
      <w:r>
        <w:rPr>
          <w:rFonts w:ascii="Times New Roman" w:hAnsi="Times New Roman"/>
          <w:sz w:val="24"/>
          <w:szCs w:val="24"/>
        </w:rPr>
        <w:t xml:space="preserve">Uso de robótica associada às terapias convencionais. Ambulatório de Atendimento de Pacientes com Dor Crônica Incapacitante. Ambulatório de Desenvolvimento e Cuidado Integral à Pessoa com Síndrome de </w:t>
      </w:r>
      <w:r>
        <w:rPr>
          <w:rFonts w:ascii="Times New Roman" w:hAnsi="Times New Roman"/>
          <w:i/>
          <w:sz w:val="24"/>
          <w:szCs w:val="24"/>
        </w:rPr>
        <w:t>Down</w:t>
      </w:r>
      <w:r>
        <w:rPr>
          <w:rFonts w:ascii="Times New Roman" w:hAnsi="Times New Roman"/>
          <w:sz w:val="24"/>
          <w:szCs w:val="24"/>
        </w:rPr>
        <w:t>.</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Pesquisa - </w:t>
      </w:r>
      <w:r>
        <w:rPr>
          <w:rFonts w:ascii="Times New Roman" w:hAnsi="Times New Roman"/>
          <w:sz w:val="24"/>
          <w:szCs w:val="24"/>
        </w:rPr>
        <w:t>Projeto NARLE I. Projeto NARLE II. Estudo da Eficácia das Ondas de Choque Radiais no Tratamento da Úlcera Plantar em Pacientes Diabéticos. Osteoporose em pacientes com lesão medular: Prevalência e análise de fatores associados.</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lastRenderedPageBreak/>
        <w:t xml:space="preserve">Humanização - </w:t>
      </w:r>
      <w:r>
        <w:rPr>
          <w:rFonts w:ascii="Times New Roman" w:hAnsi="Times New Roman"/>
          <w:sz w:val="24"/>
          <w:szCs w:val="24"/>
        </w:rPr>
        <w:t>Otimização dos processos administrativos e assistenciais de dispensação de Órteses, Próteses e Meios Auxiliares, por meio da unidade móvel. Grupo de Acolhimento busca inserir pacientes e familiares e cuidadores no programa de reabilitação.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Ensino - </w:t>
      </w:r>
      <w:r>
        <w:rPr>
          <w:rFonts w:ascii="Times New Roman" w:hAnsi="Times New Roman"/>
          <w:sz w:val="24"/>
          <w:szCs w:val="24"/>
        </w:rPr>
        <w:t>Treinamento e atualização em terapia Robótica e Neuromodulação. Pacote de Treinamento em Cadeira de Rodas para Serviços de Saúde. Criação do Programa de Residência Multiprofissional em Reabilitação de Pessoas com Deficiência Física Incapacitante.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b/>
          <w:sz w:val="24"/>
          <w:szCs w:val="24"/>
        </w:rPr>
        <w:t>Hospital Auxiliar de Suzano</w:t>
      </w:r>
    </w:p>
    <w:p w:rsidR="003E6588" w:rsidRDefault="003E6588">
      <w:pPr>
        <w:pStyle w:val="PargrafodaLista"/>
        <w:ind w:left="0" w:firstLine="1134"/>
        <w:rPr>
          <w:rFonts w:ascii="Times New Roman" w:hAnsi="Times New Roman"/>
          <w:b/>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Assistência - Projetos - </w:t>
      </w:r>
      <w:r>
        <w:rPr>
          <w:rFonts w:ascii="Times New Roman" w:hAnsi="Times New Roman"/>
          <w:sz w:val="24"/>
          <w:szCs w:val="24"/>
        </w:rPr>
        <w:t>Implantação da Rotina de Liberação de Vagas. Implantação do protocolo de tratamento de úlceras por pressão. Elaboração de plano conjunto de tratamento pela equipe multiprofissional.</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Pesquisa - </w:t>
      </w:r>
      <w:r>
        <w:rPr>
          <w:rFonts w:ascii="Times New Roman" w:hAnsi="Times New Roman"/>
          <w:sz w:val="24"/>
          <w:szCs w:val="24"/>
        </w:rPr>
        <w:t>Programa de assistência ventilatória (redução do tempo de internação para pacientes pediátricos com ventilação mecânica crônica, após estabilização clínica, e articulando a alta com serviços de saúde no local de destino do paciente).</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 xml:space="preserve">Humanização - </w:t>
      </w:r>
      <w:r>
        <w:rPr>
          <w:rFonts w:ascii="Times New Roman" w:hAnsi="Times New Roman"/>
          <w:sz w:val="24"/>
          <w:szCs w:val="24"/>
        </w:rPr>
        <w:t>Programa de Qualidade de Vida do Colaborador. Projeto Visita Aberta. Projeto Plateias Hospitalares. Revitalização da área externa do HAS com uso de recicláveis.</w:t>
      </w:r>
    </w:p>
    <w:p w:rsidR="003E6588" w:rsidRDefault="003E6588">
      <w:pPr>
        <w:pStyle w:val="PargrafodaLista"/>
        <w:ind w:left="0" w:firstLine="1134"/>
        <w:rPr>
          <w:rFonts w:ascii="Times New Roman" w:hAnsi="Times New Roman"/>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sz w:val="24"/>
          <w:szCs w:val="24"/>
        </w:rPr>
        <w:t>Ensino - “</w:t>
      </w:r>
      <w:r>
        <w:rPr>
          <w:rFonts w:ascii="Times New Roman" w:hAnsi="Times New Roman"/>
          <w:sz w:val="24"/>
          <w:szCs w:val="24"/>
        </w:rPr>
        <w:t>1ª Jornada de Cuidados Prolongados “Uma Prática em Construção”.</w:t>
      </w:r>
    </w:p>
    <w:p w:rsidR="003E6588" w:rsidRDefault="003E6588">
      <w:pPr>
        <w:ind w:firstLine="1134"/>
        <w:jc w:val="both"/>
        <w:rPr>
          <w:b/>
        </w:rPr>
      </w:pPr>
    </w:p>
    <w:p w:rsidR="003E6588" w:rsidRDefault="003E6588">
      <w:pPr>
        <w:ind w:firstLine="1134"/>
        <w:jc w:val="both"/>
        <w:rPr>
          <w:b/>
        </w:rPr>
      </w:pPr>
    </w:p>
    <w:p w:rsidR="003E6588" w:rsidRDefault="003E6588">
      <w:pPr>
        <w:rPr>
          <w:b/>
        </w:rPr>
      </w:pPr>
      <w:r>
        <w:rPr>
          <w:b/>
        </w:rPr>
        <w:t>HOSPITAL DAS CLÍNICAS DA FACULDADE DE MEDICINA DE RIBEIRÃO PRETO DA UNIVERSIDADE DE SÃO PAULO - FMRPUSP</w:t>
      </w:r>
    </w:p>
    <w:p w:rsidR="003E6588" w:rsidRDefault="003E6588">
      <w:pPr>
        <w:ind w:firstLine="1134"/>
        <w:jc w:val="both"/>
      </w:pPr>
    </w:p>
    <w:p w:rsidR="003E6588" w:rsidRDefault="003E6588">
      <w:pPr>
        <w:ind w:firstLine="1134"/>
        <w:jc w:val="both"/>
      </w:pPr>
    </w:p>
    <w:p w:rsidR="003E6588" w:rsidRDefault="003E6588">
      <w:pPr>
        <w:ind w:firstLine="1134"/>
        <w:jc w:val="both"/>
      </w:pPr>
      <w:r>
        <w:t>O Hospital das Clínicas da Faculdade de Medicina de Ribeirão Preto - USP é destinado ao atendimento dos usuários do SUS e à formação de profissionais na área da saúde como referência terciária e quaternária para diversas regiões do Estado.</w:t>
      </w:r>
    </w:p>
    <w:p w:rsidR="003E6588" w:rsidRPr="003B67EB" w:rsidRDefault="003E6588">
      <w:pPr>
        <w:jc w:val="both"/>
      </w:pPr>
    </w:p>
    <w:p w:rsidR="003E6588" w:rsidRDefault="003E6588">
      <w:pPr>
        <w:ind w:firstLine="1134"/>
        <w:jc w:val="both"/>
        <w:rPr>
          <w:b/>
        </w:rPr>
      </w:pPr>
      <w:r>
        <w:rPr>
          <w:b/>
        </w:rPr>
        <w:t>Principais Indicadores de Assistência</w:t>
      </w:r>
    </w:p>
    <w:p w:rsidR="003E6588" w:rsidRDefault="003E6588">
      <w:pPr>
        <w:jc w:val="both"/>
        <w:rPr>
          <w:b/>
        </w:rPr>
      </w:pPr>
    </w:p>
    <w:tbl>
      <w:tblPr>
        <w:tblW w:w="0" w:type="auto"/>
        <w:jc w:val="center"/>
        <w:tblInd w:w="70" w:type="dxa"/>
        <w:tblLayout w:type="fixed"/>
        <w:tblCellMar>
          <w:left w:w="70" w:type="dxa"/>
          <w:right w:w="70" w:type="dxa"/>
        </w:tblCellMar>
        <w:tblLook w:val="0000"/>
      </w:tblPr>
      <w:tblGrid>
        <w:gridCol w:w="3969"/>
        <w:gridCol w:w="1654"/>
        <w:gridCol w:w="141"/>
        <w:gridCol w:w="1513"/>
        <w:gridCol w:w="283"/>
        <w:gridCol w:w="1796"/>
      </w:tblGrid>
      <w:tr w:rsidR="003E6588">
        <w:trPr>
          <w:jc w:val="center"/>
        </w:trPr>
        <w:tc>
          <w:tcPr>
            <w:tcW w:w="3969" w:type="dxa"/>
            <w:tcBorders>
              <w:top w:val="single" w:sz="6" w:space="0" w:color="auto"/>
              <w:bottom w:val="single" w:sz="6" w:space="0" w:color="auto"/>
              <w:right w:val="single" w:sz="6" w:space="0" w:color="auto"/>
            </w:tcBorders>
            <w:shd w:val="clear" w:color="auto" w:fill="auto"/>
          </w:tcPr>
          <w:p w:rsidR="003E6588" w:rsidRDefault="003E6588">
            <w:pPr>
              <w:autoSpaceDE w:val="0"/>
              <w:autoSpaceDN w:val="0"/>
              <w:adjustRightInd w:val="0"/>
              <w:rPr>
                <w:b/>
                <w:bCs/>
                <w:sz w:val="20"/>
                <w:szCs w:val="20"/>
              </w:rPr>
            </w:pPr>
            <w:r>
              <w:rPr>
                <w:b/>
                <w:bCs/>
                <w:sz w:val="20"/>
                <w:szCs w:val="20"/>
              </w:rPr>
              <w:t>Indicadores</w:t>
            </w:r>
          </w:p>
        </w:tc>
        <w:tc>
          <w:tcPr>
            <w:tcW w:w="1795" w:type="dxa"/>
            <w:gridSpan w:val="2"/>
            <w:tcBorders>
              <w:top w:val="single" w:sz="6" w:space="0" w:color="auto"/>
              <w:left w:val="single" w:sz="6" w:space="0" w:color="auto"/>
              <w:bottom w:val="single" w:sz="6" w:space="0" w:color="auto"/>
              <w:right w:val="single" w:sz="6" w:space="0" w:color="auto"/>
            </w:tcBorders>
            <w:shd w:val="clear" w:color="auto" w:fill="auto"/>
          </w:tcPr>
          <w:p w:rsidR="003E6588" w:rsidRDefault="003E6588">
            <w:pPr>
              <w:autoSpaceDE w:val="0"/>
              <w:autoSpaceDN w:val="0"/>
              <w:adjustRightInd w:val="0"/>
              <w:rPr>
                <w:b/>
                <w:bCs/>
                <w:i/>
                <w:sz w:val="20"/>
                <w:szCs w:val="20"/>
              </w:rPr>
            </w:pPr>
            <w:r>
              <w:rPr>
                <w:b/>
                <w:bCs/>
                <w:i/>
                <w:sz w:val="20"/>
                <w:szCs w:val="20"/>
              </w:rPr>
              <w:t>Campus</w:t>
            </w:r>
          </w:p>
        </w:tc>
        <w:tc>
          <w:tcPr>
            <w:tcW w:w="1796" w:type="dxa"/>
            <w:gridSpan w:val="2"/>
            <w:tcBorders>
              <w:top w:val="single" w:sz="6" w:space="0" w:color="auto"/>
              <w:left w:val="single" w:sz="6" w:space="0" w:color="auto"/>
              <w:bottom w:val="single" w:sz="6" w:space="0" w:color="auto"/>
              <w:right w:val="single" w:sz="6" w:space="0" w:color="auto"/>
            </w:tcBorders>
            <w:shd w:val="clear" w:color="auto" w:fill="auto"/>
          </w:tcPr>
          <w:p w:rsidR="003E6588" w:rsidRDefault="003E6588">
            <w:pPr>
              <w:autoSpaceDE w:val="0"/>
              <w:autoSpaceDN w:val="0"/>
              <w:adjustRightInd w:val="0"/>
              <w:rPr>
                <w:b/>
                <w:bCs/>
                <w:sz w:val="20"/>
                <w:szCs w:val="20"/>
              </w:rPr>
            </w:pPr>
            <w:r>
              <w:rPr>
                <w:b/>
                <w:bCs/>
                <w:sz w:val="20"/>
                <w:szCs w:val="20"/>
              </w:rPr>
              <w:t>U.Emergência</w:t>
            </w:r>
          </w:p>
        </w:tc>
        <w:tc>
          <w:tcPr>
            <w:tcW w:w="1796" w:type="dxa"/>
            <w:tcBorders>
              <w:top w:val="single" w:sz="6" w:space="0" w:color="auto"/>
              <w:left w:val="single" w:sz="6" w:space="0" w:color="auto"/>
              <w:bottom w:val="single" w:sz="6" w:space="0" w:color="auto"/>
            </w:tcBorders>
            <w:shd w:val="clear" w:color="auto" w:fill="auto"/>
          </w:tcPr>
          <w:p w:rsidR="003E6588" w:rsidRDefault="003E6588">
            <w:pPr>
              <w:autoSpaceDE w:val="0"/>
              <w:autoSpaceDN w:val="0"/>
              <w:adjustRightInd w:val="0"/>
              <w:rPr>
                <w:b/>
                <w:bCs/>
                <w:sz w:val="20"/>
                <w:szCs w:val="20"/>
              </w:rPr>
            </w:pPr>
            <w:r>
              <w:rPr>
                <w:b/>
                <w:bCs/>
                <w:sz w:val="20"/>
                <w:szCs w:val="20"/>
              </w:rPr>
              <w:t>Total</w:t>
            </w:r>
          </w:p>
        </w:tc>
      </w:tr>
      <w:tr w:rsidR="003E6588">
        <w:trPr>
          <w:jc w:val="center"/>
        </w:trPr>
        <w:tc>
          <w:tcPr>
            <w:tcW w:w="3969" w:type="dxa"/>
            <w:tcBorders>
              <w:top w:val="single" w:sz="6" w:space="0" w:color="auto"/>
            </w:tcBorders>
          </w:tcPr>
          <w:p w:rsidR="003E6588" w:rsidRPr="008124C5" w:rsidRDefault="003E6588">
            <w:pPr>
              <w:pStyle w:val="Rodap"/>
              <w:jc w:val="both"/>
              <w:rPr>
                <w:sz w:val="20"/>
                <w:szCs w:val="20"/>
              </w:rPr>
            </w:pPr>
            <w:r w:rsidRPr="008124C5">
              <w:rPr>
                <w:sz w:val="20"/>
                <w:szCs w:val="20"/>
              </w:rPr>
              <w:t>Consultas e Procedimentos</w:t>
            </w:r>
          </w:p>
        </w:tc>
        <w:tc>
          <w:tcPr>
            <w:tcW w:w="1795" w:type="dxa"/>
            <w:gridSpan w:val="2"/>
            <w:tcBorders>
              <w:top w:val="single" w:sz="6" w:space="0" w:color="auto"/>
            </w:tcBorders>
          </w:tcPr>
          <w:p w:rsidR="003E6588" w:rsidRPr="008124C5" w:rsidRDefault="003E6588">
            <w:pPr>
              <w:pStyle w:val="Rodap"/>
              <w:rPr>
                <w:sz w:val="20"/>
                <w:szCs w:val="20"/>
              </w:rPr>
            </w:pPr>
            <w:r w:rsidRPr="008124C5">
              <w:rPr>
                <w:sz w:val="20"/>
                <w:szCs w:val="20"/>
              </w:rPr>
              <w:t>535.458</w:t>
            </w:r>
          </w:p>
        </w:tc>
        <w:tc>
          <w:tcPr>
            <w:tcW w:w="1796" w:type="dxa"/>
            <w:gridSpan w:val="2"/>
            <w:tcBorders>
              <w:top w:val="single" w:sz="6" w:space="0" w:color="auto"/>
            </w:tcBorders>
          </w:tcPr>
          <w:p w:rsidR="003E6588" w:rsidRPr="008124C5" w:rsidRDefault="003E6588">
            <w:pPr>
              <w:pStyle w:val="Rodap"/>
              <w:rPr>
                <w:sz w:val="20"/>
                <w:szCs w:val="20"/>
              </w:rPr>
            </w:pPr>
            <w:r w:rsidRPr="008124C5">
              <w:rPr>
                <w:sz w:val="20"/>
                <w:szCs w:val="20"/>
              </w:rPr>
              <w:t>37.525</w:t>
            </w:r>
          </w:p>
        </w:tc>
        <w:tc>
          <w:tcPr>
            <w:tcW w:w="1796" w:type="dxa"/>
            <w:tcBorders>
              <w:top w:val="single" w:sz="6" w:space="0" w:color="auto"/>
            </w:tcBorders>
          </w:tcPr>
          <w:p w:rsidR="003E6588" w:rsidRPr="008124C5" w:rsidRDefault="003E6588">
            <w:pPr>
              <w:pStyle w:val="Rodap"/>
              <w:rPr>
                <w:sz w:val="20"/>
                <w:szCs w:val="20"/>
              </w:rPr>
            </w:pPr>
            <w:r w:rsidRPr="008124C5">
              <w:rPr>
                <w:sz w:val="20"/>
                <w:szCs w:val="20"/>
              </w:rPr>
              <w:t>572.983</w:t>
            </w:r>
          </w:p>
        </w:tc>
      </w:tr>
      <w:tr w:rsidR="003E6588">
        <w:trPr>
          <w:jc w:val="center"/>
        </w:trPr>
        <w:tc>
          <w:tcPr>
            <w:tcW w:w="3969" w:type="dxa"/>
          </w:tcPr>
          <w:p w:rsidR="003E6588" w:rsidRPr="008124C5" w:rsidRDefault="003E6588">
            <w:pPr>
              <w:pStyle w:val="Rodap"/>
              <w:jc w:val="both"/>
              <w:rPr>
                <w:sz w:val="20"/>
                <w:szCs w:val="20"/>
              </w:rPr>
            </w:pPr>
            <w:r w:rsidRPr="008124C5">
              <w:rPr>
                <w:sz w:val="20"/>
                <w:szCs w:val="20"/>
              </w:rPr>
              <w:t>Internações</w:t>
            </w:r>
          </w:p>
        </w:tc>
        <w:tc>
          <w:tcPr>
            <w:tcW w:w="1795" w:type="dxa"/>
            <w:gridSpan w:val="2"/>
          </w:tcPr>
          <w:p w:rsidR="003E6588" w:rsidRPr="008124C5" w:rsidRDefault="003E6588">
            <w:pPr>
              <w:pStyle w:val="Rodap"/>
              <w:rPr>
                <w:sz w:val="20"/>
                <w:szCs w:val="20"/>
              </w:rPr>
            </w:pPr>
            <w:r w:rsidRPr="008124C5">
              <w:rPr>
                <w:sz w:val="20"/>
                <w:szCs w:val="20"/>
              </w:rPr>
              <w:t>24.245</w:t>
            </w:r>
          </w:p>
        </w:tc>
        <w:tc>
          <w:tcPr>
            <w:tcW w:w="1796" w:type="dxa"/>
            <w:gridSpan w:val="2"/>
          </w:tcPr>
          <w:p w:rsidR="003E6588" w:rsidRPr="008124C5" w:rsidRDefault="003E6588">
            <w:pPr>
              <w:pStyle w:val="Rodap"/>
              <w:rPr>
                <w:sz w:val="20"/>
                <w:szCs w:val="20"/>
              </w:rPr>
            </w:pPr>
            <w:r w:rsidRPr="008124C5">
              <w:rPr>
                <w:sz w:val="20"/>
                <w:szCs w:val="20"/>
              </w:rPr>
              <w:t>8.897</w:t>
            </w:r>
          </w:p>
        </w:tc>
        <w:tc>
          <w:tcPr>
            <w:tcW w:w="1796" w:type="dxa"/>
          </w:tcPr>
          <w:p w:rsidR="003E6588" w:rsidRPr="008124C5" w:rsidRDefault="003E6588">
            <w:pPr>
              <w:pStyle w:val="Rodap"/>
              <w:rPr>
                <w:sz w:val="20"/>
                <w:szCs w:val="20"/>
              </w:rPr>
            </w:pPr>
            <w:r w:rsidRPr="008124C5">
              <w:rPr>
                <w:sz w:val="20"/>
                <w:szCs w:val="20"/>
              </w:rPr>
              <w:t>33.142</w:t>
            </w:r>
          </w:p>
        </w:tc>
      </w:tr>
      <w:tr w:rsidR="003E6588">
        <w:trPr>
          <w:jc w:val="center"/>
        </w:trPr>
        <w:tc>
          <w:tcPr>
            <w:tcW w:w="3969" w:type="dxa"/>
          </w:tcPr>
          <w:p w:rsidR="003E6588" w:rsidRDefault="003E6588">
            <w:pPr>
              <w:jc w:val="both"/>
              <w:rPr>
                <w:sz w:val="20"/>
                <w:szCs w:val="20"/>
              </w:rPr>
            </w:pPr>
            <w:r>
              <w:rPr>
                <w:sz w:val="20"/>
                <w:szCs w:val="20"/>
              </w:rPr>
              <w:t>Porcentagem de Ocupação</w:t>
            </w:r>
          </w:p>
        </w:tc>
        <w:tc>
          <w:tcPr>
            <w:tcW w:w="1795" w:type="dxa"/>
            <w:gridSpan w:val="2"/>
          </w:tcPr>
          <w:p w:rsidR="003E6588" w:rsidRPr="008124C5" w:rsidRDefault="003E6588">
            <w:pPr>
              <w:pStyle w:val="Rodap"/>
              <w:rPr>
                <w:sz w:val="20"/>
                <w:szCs w:val="20"/>
              </w:rPr>
            </w:pPr>
            <w:r w:rsidRPr="008124C5">
              <w:rPr>
                <w:sz w:val="20"/>
                <w:szCs w:val="20"/>
              </w:rPr>
              <w:t>74,4</w:t>
            </w:r>
          </w:p>
        </w:tc>
        <w:tc>
          <w:tcPr>
            <w:tcW w:w="1796" w:type="dxa"/>
            <w:gridSpan w:val="2"/>
          </w:tcPr>
          <w:p w:rsidR="003E6588" w:rsidRPr="008124C5" w:rsidRDefault="003E6588">
            <w:pPr>
              <w:pStyle w:val="Rodap"/>
              <w:rPr>
                <w:sz w:val="20"/>
                <w:szCs w:val="20"/>
              </w:rPr>
            </w:pPr>
            <w:r w:rsidRPr="008124C5">
              <w:rPr>
                <w:sz w:val="20"/>
                <w:szCs w:val="20"/>
              </w:rPr>
              <w:t>102,0</w:t>
            </w:r>
          </w:p>
        </w:tc>
        <w:tc>
          <w:tcPr>
            <w:tcW w:w="1796" w:type="dxa"/>
          </w:tcPr>
          <w:p w:rsidR="003E6588" w:rsidRPr="008124C5" w:rsidRDefault="003E6588">
            <w:pPr>
              <w:pStyle w:val="Rodap"/>
              <w:rPr>
                <w:sz w:val="20"/>
                <w:szCs w:val="20"/>
              </w:rPr>
            </w:pPr>
            <w:r w:rsidRPr="008124C5">
              <w:rPr>
                <w:sz w:val="20"/>
                <w:szCs w:val="20"/>
              </w:rPr>
              <w:t>80,1</w:t>
            </w:r>
          </w:p>
        </w:tc>
      </w:tr>
      <w:tr w:rsidR="003E6588">
        <w:trPr>
          <w:jc w:val="center"/>
        </w:trPr>
        <w:tc>
          <w:tcPr>
            <w:tcW w:w="3969" w:type="dxa"/>
          </w:tcPr>
          <w:p w:rsidR="003E6588" w:rsidRDefault="003E6588">
            <w:pPr>
              <w:jc w:val="both"/>
              <w:rPr>
                <w:sz w:val="20"/>
                <w:szCs w:val="20"/>
              </w:rPr>
            </w:pPr>
            <w:r>
              <w:rPr>
                <w:sz w:val="20"/>
                <w:szCs w:val="20"/>
              </w:rPr>
              <w:t>Duração Média de Internação</w:t>
            </w:r>
          </w:p>
        </w:tc>
        <w:tc>
          <w:tcPr>
            <w:tcW w:w="1795" w:type="dxa"/>
            <w:gridSpan w:val="2"/>
          </w:tcPr>
          <w:p w:rsidR="003E6588" w:rsidRPr="008124C5" w:rsidRDefault="003E6588">
            <w:pPr>
              <w:pStyle w:val="Rodap"/>
              <w:rPr>
                <w:sz w:val="20"/>
                <w:szCs w:val="20"/>
              </w:rPr>
            </w:pPr>
            <w:r w:rsidRPr="008124C5">
              <w:rPr>
                <w:sz w:val="20"/>
                <w:szCs w:val="20"/>
              </w:rPr>
              <w:t>6,8</w:t>
            </w:r>
          </w:p>
        </w:tc>
        <w:tc>
          <w:tcPr>
            <w:tcW w:w="1796" w:type="dxa"/>
            <w:gridSpan w:val="2"/>
          </w:tcPr>
          <w:p w:rsidR="003E6588" w:rsidRPr="008124C5" w:rsidRDefault="003E6588">
            <w:pPr>
              <w:pStyle w:val="Rodap"/>
              <w:rPr>
                <w:sz w:val="20"/>
                <w:szCs w:val="20"/>
              </w:rPr>
            </w:pPr>
            <w:r w:rsidRPr="008124C5">
              <w:rPr>
                <w:sz w:val="20"/>
                <w:szCs w:val="20"/>
              </w:rPr>
              <w:t>7,1</w:t>
            </w:r>
          </w:p>
        </w:tc>
        <w:tc>
          <w:tcPr>
            <w:tcW w:w="1796" w:type="dxa"/>
          </w:tcPr>
          <w:p w:rsidR="003E6588" w:rsidRPr="008124C5" w:rsidRDefault="003E6588">
            <w:pPr>
              <w:pStyle w:val="Rodap"/>
              <w:rPr>
                <w:sz w:val="20"/>
                <w:szCs w:val="20"/>
              </w:rPr>
            </w:pPr>
            <w:r w:rsidRPr="008124C5">
              <w:rPr>
                <w:sz w:val="20"/>
                <w:szCs w:val="20"/>
              </w:rPr>
              <w:t>7,1</w:t>
            </w:r>
          </w:p>
        </w:tc>
      </w:tr>
      <w:tr w:rsidR="003E6588">
        <w:trPr>
          <w:jc w:val="center"/>
        </w:trPr>
        <w:tc>
          <w:tcPr>
            <w:tcW w:w="3969" w:type="dxa"/>
          </w:tcPr>
          <w:p w:rsidR="003E6588" w:rsidRDefault="003E6588">
            <w:pPr>
              <w:jc w:val="both"/>
              <w:rPr>
                <w:sz w:val="20"/>
                <w:szCs w:val="20"/>
              </w:rPr>
            </w:pPr>
            <w:r>
              <w:rPr>
                <w:sz w:val="20"/>
                <w:szCs w:val="20"/>
              </w:rPr>
              <w:t>Taxa de Mortalidade</w:t>
            </w:r>
          </w:p>
        </w:tc>
        <w:tc>
          <w:tcPr>
            <w:tcW w:w="1795" w:type="dxa"/>
            <w:gridSpan w:val="2"/>
          </w:tcPr>
          <w:p w:rsidR="003E6588" w:rsidRPr="008124C5" w:rsidRDefault="003E6588">
            <w:pPr>
              <w:pStyle w:val="Rodap"/>
              <w:rPr>
                <w:sz w:val="20"/>
                <w:szCs w:val="20"/>
              </w:rPr>
            </w:pPr>
            <w:r w:rsidRPr="008124C5">
              <w:rPr>
                <w:sz w:val="20"/>
                <w:szCs w:val="20"/>
              </w:rPr>
              <w:t>2,7</w:t>
            </w:r>
          </w:p>
        </w:tc>
        <w:tc>
          <w:tcPr>
            <w:tcW w:w="1796" w:type="dxa"/>
            <w:gridSpan w:val="2"/>
          </w:tcPr>
          <w:p w:rsidR="003E6588" w:rsidRPr="008124C5" w:rsidRDefault="003E6588">
            <w:pPr>
              <w:pStyle w:val="Rodap"/>
              <w:rPr>
                <w:sz w:val="20"/>
                <w:szCs w:val="20"/>
              </w:rPr>
            </w:pPr>
            <w:r w:rsidRPr="008124C5">
              <w:rPr>
                <w:sz w:val="20"/>
                <w:szCs w:val="20"/>
              </w:rPr>
              <w:t>7,5</w:t>
            </w:r>
          </w:p>
        </w:tc>
        <w:tc>
          <w:tcPr>
            <w:tcW w:w="1796" w:type="dxa"/>
          </w:tcPr>
          <w:p w:rsidR="003E6588" w:rsidRPr="008124C5" w:rsidRDefault="003E6588">
            <w:pPr>
              <w:pStyle w:val="Rodap"/>
              <w:rPr>
                <w:sz w:val="20"/>
                <w:szCs w:val="20"/>
              </w:rPr>
            </w:pPr>
            <w:r w:rsidRPr="008124C5">
              <w:rPr>
                <w:sz w:val="20"/>
                <w:szCs w:val="20"/>
              </w:rPr>
              <w:t>4,1</w:t>
            </w:r>
          </w:p>
        </w:tc>
      </w:tr>
      <w:tr w:rsidR="003E6588">
        <w:trPr>
          <w:jc w:val="center"/>
        </w:trPr>
        <w:tc>
          <w:tcPr>
            <w:tcW w:w="3969" w:type="dxa"/>
            <w:shd w:val="clear" w:color="auto" w:fill="auto"/>
          </w:tcPr>
          <w:p w:rsidR="003E6588" w:rsidRDefault="003E6588">
            <w:pPr>
              <w:jc w:val="both"/>
              <w:rPr>
                <w:sz w:val="20"/>
                <w:szCs w:val="20"/>
              </w:rPr>
            </w:pPr>
            <w:r>
              <w:rPr>
                <w:sz w:val="20"/>
                <w:szCs w:val="20"/>
              </w:rPr>
              <w:t>Taxa de Infecção Hospitalar</w:t>
            </w:r>
          </w:p>
        </w:tc>
        <w:tc>
          <w:tcPr>
            <w:tcW w:w="1795" w:type="dxa"/>
            <w:gridSpan w:val="2"/>
            <w:shd w:val="clear" w:color="auto" w:fill="auto"/>
          </w:tcPr>
          <w:p w:rsidR="003E6588" w:rsidRPr="008124C5" w:rsidRDefault="003E6588">
            <w:pPr>
              <w:pStyle w:val="Rodap"/>
              <w:rPr>
                <w:sz w:val="20"/>
                <w:szCs w:val="20"/>
              </w:rPr>
            </w:pPr>
            <w:r w:rsidRPr="008124C5">
              <w:rPr>
                <w:sz w:val="20"/>
                <w:szCs w:val="20"/>
              </w:rPr>
              <w:t>3,06</w:t>
            </w:r>
          </w:p>
        </w:tc>
        <w:tc>
          <w:tcPr>
            <w:tcW w:w="1796" w:type="dxa"/>
            <w:gridSpan w:val="2"/>
            <w:shd w:val="clear" w:color="auto" w:fill="auto"/>
          </w:tcPr>
          <w:p w:rsidR="003E6588" w:rsidRPr="008124C5" w:rsidRDefault="003E6588">
            <w:pPr>
              <w:pStyle w:val="Rodap"/>
              <w:rPr>
                <w:sz w:val="20"/>
                <w:szCs w:val="20"/>
              </w:rPr>
            </w:pPr>
            <w:r w:rsidRPr="008124C5">
              <w:rPr>
                <w:sz w:val="20"/>
                <w:szCs w:val="20"/>
              </w:rPr>
              <w:t>2,96</w:t>
            </w:r>
          </w:p>
        </w:tc>
        <w:tc>
          <w:tcPr>
            <w:tcW w:w="1796" w:type="dxa"/>
            <w:shd w:val="clear" w:color="auto" w:fill="auto"/>
          </w:tcPr>
          <w:p w:rsidR="003E6588" w:rsidRPr="008124C5" w:rsidRDefault="003E6588">
            <w:pPr>
              <w:pStyle w:val="Rodap"/>
              <w:rPr>
                <w:sz w:val="20"/>
                <w:szCs w:val="20"/>
              </w:rPr>
            </w:pPr>
            <w:r w:rsidRPr="008124C5">
              <w:rPr>
                <w:sz w:val="20"/>
                <w:szCs w:val="20"/>
              </w:rPr>
              <w:t>3,03</w:t>
            </w:r>
          </w:p>
        </w:tc>
      </w:tr>
      <w:tr w:rsidR="003E6588">
        <w:trPr>
          <w:jc w:val="center"/>
        </w:trPr>
        <w:tc>
          <w:tcPr>
            <w:tcW w:w="3969" w:type="dxa"/>
          </w:tcPr>
          <w:p w:rsidR="003E6588" w:rsidRDefault="003E6588">
            <w:pPr>
              <w:jc w:val="both"/>
              <w:rPr>
                <w:sz w:val="20"/>
                <w:szCs w:val="20"/>
              </w:rPr>
            </w:pPr>
            <w:r>
              <w:rPr>
                <w:sz w:val="20"/>
                <w:szCs w:val="20"/>
              </w:rPr>
              <w:t>Índice de Intervalo de Substituição</w:t>
            </w:r>
          </w:p>
        </w:tc>
        <w:tc>
          <w:tcPr>
            <w:tcW w:w="1795" w:type="dxa"/>
            <w:gridSpan w:val="2"/>
          </w:tcPr>
          <w:p w:rsidR="003E6588" w:rsidRPr="008124C5" w:rsidRDefault="003E6588">
            <w:pPr>
              <w:pStyle w:val="Rodap"/>
              <w:rPr>
                <w:sz w:val="20"/>
                <w:szCs w:val="20"/>
              </w:rPr>
            </w:pPr>
            <w:r w:rsidRPr="008124C5">
              <w:rPr>
                <w:sz w:val="20"/>
                <w:szCs w:val="20"/>
              </w:rPr>
              <w:t>2,3</w:t>
            </w:r>
          </w:p>
        </w:tc>
        <w:tc>
          <w:tcPr>
            <w:tcW w:w="1796" w:type="dxa"/>
            <w:gridSpan w:val="2"/>
          </w:tcPr>
          <w:p w:rsidR="003E6588" w:rsidRPr="008124C5" w:rsidRDefault="003E6588">
            <w:pPr>
              <w:pStyle w:val="Rodap"/>
              <w:rPr>
                <w:sz w:val="20"/>
                <w:szCs w:val="20"/>
              </w:rPr>
            </w:pPr>
            <w:r w:rsidRPr="008124C5">
              <w:rPr>
                <w:sz w:val="20"/>
                <w:szCs w:val="20"/>
              </w:rPr>
              <w:t>0,0</w:t>
            </w:r>
          </w:p>
        </w:tc>
        <w:tc>
          <w:tcPr>
            <w:tcW w:w="1796" w:type="dxa"/>
          </w:tcPr>
          <w:p w:rsidR="003E6588" w:rsidRPr="008124C5" w:rsidRDefault="003E6588">
            <w:pPr>
              <w:pStyle w:val="Rodap"/>
              <w:rPr>
                <w:sz w:val="20"/>
                <w:szCs w:val="20"/>
              </w:rPr>
            </w:pPr>
            <w:r w:rsidRPr="008124C5">
              <w:rPr>
                <w:sz w:val="20"/>
                <w:szCs w:val="20"/>
              </w:rPr>
              <w:t>1,8</w:t>
            </w:r>
          </w:p>
        </w:tc>
      </w:tr>
      <w:tr w:rsidR="003E6588">
        <w:trPr>
          <w:jc w:val="center"/>
        </w:trPr>
        <w:tc>
          <w:tcPr>
            <w:tcW w:w="3969" w:type="dxa"/>
            <w:shd w:val="clear" w:color="auto" w:fill="auto"/>
          </w:tcPr>
          <w:p w:rsidR="003E6588" w:rsidRDefault="003E6588">
            <w:pPr>
              <w:jc w:val="both"/>
              <w:rPr>
                <w:sz w:val="20"/>
                <w:szCs w:val="20"/>
              </w:rPr>
            </w:pPr>
            <w:r>
              <w:rPr>
                <w:sz w:val="20"/>
                <w:szCs w:val="20"/>
              </w:rPr>
              <w:t>Cirurgias</w:t>
            </w:r>
          </w:p>
        </w:tc>
        <w:tc>
          <w:tcPr>
            <w:tcW w:w="1795" w:type="dxa"/>
            <w:gridSpan w:val="2"/>
            <w:shd w:val="clear" w:color="auto" w:fill="auto"/>
          </w:tcPr>
          <w:p w:rsidR="003E6588" w:rsidRPr="008124C5" w:rsidRDefault="003E6588">
            <w:pPr>
              <w:pStyle w:val="Rodap"/>
              <w:rPr>
                <w:sz w:val="20"/>
                <w:szCs w:val="20"/>
              </w:rPr>
            </w:pPr>
            <w:r w:rsidRPr="008124C5">
              <w:rPr>
                <w:sz w:val="20"/>
                <w:szCs w:val="20"/>
              </w:rPr>
              <w:t>26.693</w:t>
            </w:r>
          </w:p>
        </w:tc>
        <w:tc>
          <w:tcPr>
            <w:tcW w:w="1796" w:type="dxa"/>
            <w:gridSpan w:val="2"/>
            <w:shd w:val="clear" w:color="auto" w:fill="auto"/>
          </w:tcPr>
          <w:p w:rsidR="003E6588" w:rsidRPr="008124C5" w:rsidRDefault="003E6588">
            <w:pPr>
              <w:pStyle w:val="Rodap"/>
              <w:rPr>
                <w:sz w:val="20"/>
                <w:szCs w:val="20"/>
              </w:rPr>
            </w:pPr>
            <w:r w:rsidRPr="008124C5">
              <w:rPr>
                <w:sz w:val="20"/>
                <w:szCs w:val="20"/>
              </w:rPr>
              <w:t>4.124</w:t>
            </w:r>
          </w:p>
        </w:tc>
        <w:tc>
          <w:tcPr>
            <w:tcW w:w="1796" w:type="dxa"/>
            <w:shd w:val="clear" w:color="auto" w:fill="auto"/>
          </w:tcPr>
          <w:p w:rsidR="003E6588" w:rsidRPr="008124C5" w:rsidRDefault="003E6588">
            <w:pPr>
              <w:pStyle w:val="Rodap"/>
              <w:rPr>
                <w:sz w:val="20"/>
                <w:szCs w:val="20"/>
              </w:rPr>
            </w:pPr>
            <w:r w:rsidRPr="008124C5">
              <w:rPr>
                <w:sz w:val="20"/>
                <w:szCs w:val="20"/>
              </w:rPr>
              <w:t>30.817</w:t>
            </w:r>
          </w:p>
        </w:tc>
      </w:tr>
      <w:tr w:rsidR="003E6588">
        <w:trPr>
          <w:jc w:val="center"/>
        </w:trPr>
        <w:tc>
          <w:tcPr>
            <w:tcW w:w="3969" w:type="dxa"/>
          </w:tcPr>
          <w:p w:rsidR="003E6588" w:rsidRDefault="003E6588">
            <w:pPr>
              <w:jc w:val="both"/>
              <w:rPr>
                <w:sz w:val="20"/>
                <w:szCs w:val="20"/>
              </w:rPr>
            </w:pPr>
            <w:r>
              <w:rPr>
                <w:sz w:val="20"/>
                <w:szCs w:val="20"/>
              </w:rPr>
              <w:t>Partos</w:t>
            </w:r>
          </w:p>
        </w:tc>
        <w:tc>
          <w:tcPr>
            <w:tcW w:w="1795" w:type="dxa"/>
            <w:gridSpan w:val="2"/>
          </w:tcPr>
          <w:p w:rsidR="003E6588" w:rsidRPr="008124C5" w:rsidRDefault="003E6588">
            <w:pPr>
              <w:pStyle w:val="Rodap"/>
              <w:rPr>
                <w:sz w:val="20"/>
                <w:szCs w:val="20"/>
              </w:rPr>
            </w:pPr>
            <w:r w:rsidRPr="008124C5">
              <w:rPr>
                <w:sz w:val="20"/>
                <w:szCs w:val="20"/>
              </w:rPr>
              <w:t>1.766</w:t>
            </w:r>
          </w:p>
        </w:tc>
        <w:tc>
          <w:tcPr>
            <w:tcW w:w="1796" w:type="dxa"/>
            <w:gridSpan w:val="2"/>
          </w:tcPr>
          <w:p w:rsidR="003E6588" w:rsidRPr="008124C5" w:rsidRDefault="003E6588">
            <w:pPr>
              <w:pStyle w:val="Rodap"/>
              <w:rPr>
                <w:sz w:val="20"/>
                <w:szCs w:val="20"/>
              </w:rPr>
            </w:pPr>
            <w:r w:rsidRPr="008124C5">
              <w:rPr>
                <w:sz w:val="20"/>
                <w:szCs w:val="20"/>
              </w:rPr>
              <w:t>1</w:t>
            </w:r>
          </w:p>
        </w:tc>
        <w:tc>
          <w:tcPr>
            <w:tcW w:w="1796" w:type="dxa"/>
          </w:tcPr>
          <w:p w:rsidR="003E6588" w:rsidRPr="008124C5" w:rsidRDefault="003E6588">
            <w:pPr>
              <w:pStyle w:val="Rodap"/>
              <w:rPr>
                <w:sz w:val="20"/>
                <w:szCs w:val="20"/>
              </w:rPr>
            </w:pPr>
            <w:r w:rsidRPr="008124C5">
              <w:rPr>
                <w:sz w:val="20"/>
                <w:szCs w:val="20"/>
              </w:rPr>
              <w:t>1.777</w:t>
            </w:r>
          </w:p>
        </w:tc>
      </w:tr>
      <w:tr w:rsidR="003E6588">
        <w:trPr>
          <w:jc w:val="center"/>
        </w:trPr>
        <w:tc>
          <w:tcPr>
            <w:tcW w:w="3969" w:type="dxa"/>
          </w:tcPr>
          <w:p w:rsidR="003E6588" w:rsidRDefault="003E6588">
            <w:pPr>
              <w:jc w:val="both"/>
              <w:rPr>
                <w:sz w:val="20"/>
                <w:szCs w:val="20"/>
              </w:rPr>
            </w:pPr>
            <w:r>
              <w:rPr>
                <w:sz w:val="20"/>
                <w:szCs w:val="20"/>
              </w:rPr>
              <w:lastRenderedPageBreak/>
              <w:t>Taxa de Cesárea</w:t>
            </w:r>
          </w:p>
        </w:tc>
        <w:tc>
          <w:tcPr>
            <w:tcW w:w="1795" w:type="dxa"/>
            <w:gridSpan w:val="2"/>
          </w:tcPr>
          <w:p w:rsidR="003E6588" w:rsidRPr="008124C5" w:rsidRDefault="003E6588">
            <w:pPr>
              <w:pStyle w:val="Rodap"/>
              <w:rPr>
                <w:sz w:val="20"/>
                <w:szCs w:val="20"/>
              </w:rPr>
            </w:pPr>
            <w:r w:rsidRPr="008124C5">
              <w:rPr>
                <w:sz w:val="20"/>
                <w:szCs w:val="20"/>
              </w:rPr>
              <w:t>42,6</w:t>
            </w:r>
          </w:p>
        </w:tc>
        <w:tc>
          <w:tcPr>
            <w:tcW w:w="1796" w:type="dxa"/>
            <w:gridSpan w:val="2"/>
          </w:tcPr>
          <w:p w:rsidR="003E6588" w:rsidRPr="008124C5" w:rsidRDefault="003E6588">
            <w:pPr>
              <w:pStyle w:val="Rodap"/>
              <w:rPr>
                <w:sz w:val="20"/>
                <w:szCs w:val="20"/>
              </w:rPr>
            </w:pPr>
          </w:p>
        </w:tc>
        <w:tc>
          <w:tcPr>
            <w:tcW w:w="1796" w:type="dxa"/>
          </w:tcPr>
          <w:p w:rsidR="003E6588" w:rsidRPr="008124C5" w:rsidRDefault="003E6588">
            <w:pPr>
              <w:pStyle w:val="Rodap"/>
              <w:rPr>
                <w:sz w:val="20"/>
                <w:szCs w:val="20"/>
              </w:rPr>
            </w:pPr>
            <w:r w:rsidRPr="008124C5">
              <w:rPr>
                <w:sz w:val="20"/>
                <w:szCs w:val="20"/>
              </w:rPr>
              <w:t>42,6</w:t>
            </w:r>
          </w:p>
        </w:tc>
      </w:tr>
      <w:tr w:rsidR="003E6588">
        <w:trPr>
          <w:jc w:val="center"/>
        </w:trPr>
        <w:tc>
          <w:tcPr>
            <w:tcW w:w="3969" w:type="dxa"/>
          </w:tcPr>
          <w:p w:rsidR="003E6588" w:rsidRDefault="003E6588">
            <w:pPr>
              <w:jc w:val="both"/>
              <w:rPr>
                <w:sz w:val="20"/>
                <w:szCs w:val="20"/>
              </w:rPr>
            </w:pPr>
            <w:r>
              <w:rPr>
                <w:sz w:val="20"/>
                <w:szCs w:val="20"/>
              </w:rPr>
              <w:t>Exames Laboratoriais</w:t>
            </w:r>
          </w:p>
        </w:tc>
        <w:tc>
          <w:tcPr>
            <w:tcW w:w="1795" w:type="dxa"/>
            <w:gridSpan w:val="2"/>
          </w:tcPr>
          <w:p w:rsidR="003E6588" w:rsidRPr="008124C5" w:rsidRDefault="003E6588">
            <w:pPr>
              <w:pStyle w:val="Rodap"/>
              <w:rPr>
                <w:sz w:val="20"/>
                <w:szCs w:val="20"/>
              </w:rPr>
            </w:pPr>
            <w:r w:rsidRPr="008124C5">
              <w:rPr>
                <w:sz w:val="20"/>
                <w:szCs w:val="20"/>
              </w:rPr>
              <w:t>2.491.061</w:t>
            </w:r>
          </w:p>
        </w:tc>
        <w:tc>
          <w:tcPr>
            <w:tcW w:w="1796" w:type="dxa"/>
            <w:gridSpan w:val="2"/>
          </w:tcPr>
          <w:p w:rsidR="003E6588" w:rsidRPr="008124C5" w:rsidRDefault="003E6588">
            <w:pPr>
              <w:pStyle w:val="Rodap"/>
              <w:rPr>
                <w:sz w:val="20"/>
                <w:szCs w:val="20"/>
              </w:rPr>
            </w:pPr>
            <w:r w:rsidRPr="008124C5">
              <w:rPr>
                <w:sz w:val="20"/>
                <w:szCs w:val="20"/>
              </w:rPr>
              <w:t>453.959</w:t>
            </w:r>
          </w:p>
        </w:tc>
        <w:tc>
          <w:tcPr>
            <w:tcW w:w="1796" w:type="dxa"/>
          </w:tcPr>
          <w:p w:rsidR="003E6588" w:rsidRPr="008124C5" w:rsidRDefault="003E6588">
            <w:pPr>
              <w:pStyle w:val="Rodap"/>
              <w:rPr>
                <w:sz w:val="20"/>
                <w:szCs w:val="20"/>
              </w:rPr>
            </w:pPr>
            <w:r w:rsidRPr="008124C5">
              <w:rPr>
                <w:sz w:val="20"/>
                <w:szCs w:val="20"/>
              </w:rPr>
              <w:t>2.945.020</w:t>
            </w:r>
          </w:p>
        </w:tc>
      </w:tr>
      <w:tr w:rsidR="003E6588">
        <w:trPr>
          <w:jc w:val="center"/>
        </w:trPr>
        <w:tc>
          <w:tcPr>
            <w:tcW w:w="3969" w:type="dxa"/>
          </w:tcPr>
          <w:p w:rsidR="003E6588" w:rsidRDefault="003E6588">
            <w:pPr>
              <w:jc w:val="both"/>
              <w:rPr>
                <w:sz w:val="20"/>
                <w:szCs w:val="20"/>
              </w:rPr>
            </w:pPr>
            <w:r>
              <w:rPr>
                <w:sz w:val="20"/>
                <w:szCs w:val="20"/>
              </w:rPr>
              <w:t>Exames Especializados</w:t>
            </w:r>
          </w:p>
        </w:tc>
        <w:tc>
          <w:tcPr>
            <w:tcW w:w="1795" w:type="dxa"/>
            <w:gridSpan w:val="2"/>
          </w:tcPr>
          <w:p w:rsidR="003E6588" w:rsidRPr="008124C5" w:rsidRDefault="003E6588">
            <w:pPr>
              <w:pStyle w:val="Rodap"/>
              <w:rPr>
                <w:sz w:val="20"/>
                <w:szCs w:val="20"/>
              </w:rPr>
            </w:pPr>
            <w:r w:rsidRPr="008124C5">
              <w:rPr>
                <w:sz w:val="20"/>
                <w:szCs w:val="20"/>
              </w:rPr>
              <w:t>341.119</w:t>
            </w:r>
          </w:p>
        </w:tc>
        <w:tc>
          <w:tcPr>
            <w:tcW w:w="1796" w:type="dxa"/>
            <w:gridSpan w:val="2"/>
          </w:tcPr>
          <w:p w:rsidR="003E6588" w:rsidRPr="008124C5" w:rsidRDefault="003E6588">
            <w:pPr>
              <w:pStyle w:val="Rodap"/>
              <w:rPr>
                <w:sz w:val="20"/>
                <w:szCs w:val="20"/>
              </w:rPr>
            </w:pPr>
            <w:r w:rsidRPr="008124C5">
              <w:rPr>
                <w:sz w:val="20"/>
                <w:szCs w:val="20"/>
              </w:rPr>
              <w:t>60.835</w:t>
            </w:r>
          </w:p>
        </w:tc>
        <w:tc>
          <w:tcPr>
            <w:tcW w:w="1796" w:type="dxa"/>
          </w:tcPr>
          <w:p w:rsidR="003E6588" w:rsidRPr="008124C5" w:rsidRDefault="003E6588">
            <w:pPr>
              <w:pStyle w:val="Rodap"/>
              <w:rPr>
                <w:sz w:val="20"/>
                <w:szCs w:val="20"/>
              </w:rPr>
            </w:pPr>
            <w:r w:rsidRPr="008124C5">
              <w:rPr>
                <w:sz w:val="20"/>
                <w:szCs w:val="20"/>
              </w:rPr>
              <w:t>401.954</w:t>
            </w:r>
          </w:p>
        </w:tc>
      </w:tr>
      <w:tr w:rsidR="003E6588" w:rsidTr="003B67EB">
        <w:trPr>
          <w:trHeight w:val="225"/>
          <w:jc w:val="center"/>
        </w:trPr>
        <w:tc>
          <w:tcPr>
            <w:tcW w:w="3969" w:type="dxa"/>
            <w:tcBorders>
              <w:bottom w:val="single" w:sz="8" w:space="0" w:color="auto"/>
            </w:tcBorders>
          </w:tcPr>
          <w:p w:rsidR="003E6588" w:rsidRDefault="003E6588">
            <w:pPr>
              <w:jc w:val="both"/>
              <w:rPr>
                <w:sz w:val="20"/>
                <w:szCs w:val="20"/>
              </w:rPr>
            </w:pPr>
            <w:r>
              <w:rPr>
                <w:sz w:val="20"/>
                <w:szCs w:val="20"/>
              </w:rPr>
              <w:t>Procedimentos</w:t>
            </w:r>
          </w:p>
        </w:tc>
        <w:tc>
          <w:tcPr>
            <w:tcW w:w="1795" w:type="dxa"/>
            <w:gridSpan w:val="2"/>
            <w:tcBorders>
              <w:bottom w:val="single" w:sz="8" w:space="0" w:color="auto"/>
            </w:tcBorders>
          </w:tcPr>
          <w:p w:rsidR="003E6588" w:rsidRPr="008124C5" w:rsidRDefault="003E6588">
            <w:pPr>
              <w:pStyle w:val="Rodap"/>
              <w:rPr>
                <w:sz w:val="20"/>
                <w:szCs w:val="20"/>
              </w:rPr>
            </w:pPr>
            <w:r w:rsidRPr="008124C5">
              <w:rPr>
                <w:sz w:val="20"/>
                <w:szCs w:val="20"/>
              </w:rPr>
              <w:t>245.689</w:t>
            </w:r>
          </w:p>
        </w:tc>
        <w:tc>
          <w:tcPr>
            <w:tcW w:w="1796" w:type="dxa"/>
            <w:gridSpan w:val="2"/>
            <w:tcBorders>
              <w:bottom w:val="single" w:sz="8" w:space="0" w:color="auto"/>
            </w:tcBorders>
          </w:tcPr>
          <w:p w:rsidR="003E6588" w:rsidRPr="008124C5" w:rsidRDefault="003E6588">
            <w:pPr>
              <w:pStyle w:val="Rodap"/>
              <w:rPr>
                <w:sz w:val="20"/>
                <w:szCs w:val="20"/>
              </w:rPr>
            </w:pPr>
            <w:r w:rsidRPr="008124C5">
              <w:rPr>
                <w:sz w:val="20"/>
                <w:szCs w:val="20"/>
              </w:rPr>
              <w:t>42.763</w:t>
            </w:r>
          </w:p>
        </w:tc>
        <w:tc>
          <w:tcPr>
            <w:tcW w:w="1796" w:type="dxa"/>
            <w:tcBorders>
              <w:bottom w:val="single" w:sz="8" w:space="0" w:color="auto"/>
            </w:tcBorders>
          </w:tcPr>
          <w:p w:rsidR="003E6588" w:rsidRPr="008124C5" w:rsidRDefault="003E6588">
            <w:pPr>
              <w:pStyle w:val="Rodap"/>
              <w:rPr>
                <w:sz w:val="20"/>
                <w:szCs w:val="20"/>
              </w:rPr>
            </w:pPr>
            <w:r w:rsidRPr="008124C5">
              <w:rPr>
                <w:sz w:val="20"/>
                <w:szCs w:val="20"/>
              </w:rPr>
              <w:t>288.452</w:t>
            </w:r>
          </w:p>
        </w:tc>
      </w:tr>
      <w:tr w:rsidR="003E6588" w:rsidTr="003B67EB">
        <w:trPr>
          <w:cantSplit/>
          <w:jc w:val="center"/>
        </w:trPr>
        <w:tc>
          <w:tcPr>
            <w:tcW w:w="3969" w:type="dxa"/>
            <w:tcBorders>
              <w:top w:val="single" w:sz="8" w:space="0" w:color="auto"/>
              <w:bottom w:val="single" w:sz="8" w:space="0" w:color="auto"/>
            </w:tcBorders>
          </w:tcPr>
          <w:p w:rsidR="003E6588" w:rsidRDefault="003E6588">
            <w:pPr>
              <w:pStyle w:val="Ttulo9"/>
              <w:spacing w:before="0" w:after="0"/>
              <w:jc w:val="both"/>
              <w:rPr>
                <w:rFonts w:ascii="Times New Roman" w:hAnsi="Times New Roman"/>
                <w:b/>
                <w:sz w:val="20"/>
                <w:szCs w:val="20"/>
                <w:lang w:val="pt-BR"/>
              </w:rPr>
            </w:pPr>
            <w:r>
              <w:rPr>
                <w:rFonts w:ascii="Times New Roman" w:hAnsi="Times New Roman"/>
                <w:b/>
                <w:sz w:val="20"/>
                <w:szCs w:val="20"/>
                <w:lang w:val="pt-BR"/>
              </w:rPr>
              <w:t>Centro Regional de Hemoterapia</w:t>
            </w:r>
          </w:p>
        </w:tc>
        <w:tc>
          <w:tcPr>
            <w:tcW w:w="5387" w:type="dxa"/>
            <w:gridSpan w:val="5"/>
            <w:tcBorders>
              <w:top w:val="single" w:sz="8" w:space="0" w:color="auto"/>
              <w:bottom w:val="single" w:sz="8" w:space="0" w:color="auto"/>
            </w:tcBorders>
          </w:tcPr>
          <w:p w:rsidR="003E6588" w:rsidRDefault="003E6588">
            <w:pPr>
              <w:rPr>
                <w:color w:val="FF0000"/>
                <w:sz w:val="20"/>
                <w:szCs w:val="20"/>
                <w:highlight w:val="yellow"/>
              </w:rPr>
            </w:pPr>
          </w:p>
        </w:tc>
      </w:tr>
      <w:tr w:rsidR="003E6588" w:rsidTr="003B67EB">
        <w:trPr>
          <w:cantSplit/>
          <w:jc w:val="center"/>
        </w:trPr>
        <w:tc>
          <w:tcPr>
            <w:tcW w:w="3969" w:type="dxa"/>
            <w:tcBorders>
              <w:top w:val="single" w:sz="8" w:space="0" w:color="auto"/>
            </w:tcBorders>
          </w:tcPr>
          <w:p w:rsidR="003E6588" w:rsidRDefault="003E6588">
            <w:pPr>
              <w:ind w:firstLine="214"/>
              <w:jc w:val="both"/>
              <w:rPr>
                <w:sz w:val="20"/>
                <w:szCs w:val="20"/>
              </w:rPr>
            </w:pPr>
            <w:r>
              <w:rPr>
                <w:sz w:val="20"/>
                <w:szCs w:val="20"/>
              </w:rPr>
              <w:t>Exames Laboratoriais</w:t>
            </w:r>
          </w:p>
        </w:tc>
        <w:tc>
          <w:tcPr>
            <w:tcW w:w="1654" w:type="dxa"/>
            <w:tcBorders>
              <w:top w:val="single" w:sz="8" w:space="0" w:color="auto"/>
            </w:tcBorders>
          </w:tcPr>
          <w:p w:rsidR="003E6588" w:rsidRPr="008124C5" w:rsidRDefault="003E6588">
            <w:pPr>
              <w:pStyle w:val="Rodap"/>
              <w:rPr>
                <w:sz w:val="20"/>
                <w:szCs w:val="20"/>
              </w:rPr>
            </w:pPr>
            <w:r w:rsidRPr="008124C5">
              <w:rPr>
                <w:sz w:val="20"/>
                <w:szCs w:val="20"/>
              </w:rPr>
              <w:t>1.180.963</w:t>
            </w:r>
          </w:p>
        </w:tc>
        <w:tc>
          <w:tcPr>
            <w:tcW w:w="1654" w:type="dxa"/>
            <w:gridSpan w:val="2"/>
            <w:tcBorders>
              <w:top w:val="single" w:sz="8" w:space="0" w:color="auto"/>
            </w:tcBorders>
          </w:tcPr>
          <w:p w:rsidR="003E6588" w:rsidRPr="008124C5" w:rsidRDefault="003E6588">
            <w:pPr>
              <w:pStyle w:val="Rodap"/>
              <w:rPr>
                <w:sz w:val="20"/>
                <w:szCs w:val="20"/>
              </w:rPr>
            </w:pPr>
            <w:r w:rsidRPr="008124C5">
              <w:rPr>
                <w:sz w:val="20"/>
                <w:szCs w:val="20"/>
              </w:rPr>
              <w:t>41.997</w:t>
            </w:r>
          </w:p>
        </w:tc>
        <w:tc>
          <w:tcPr>
            <w:tcW w:w="2079" w:type="dxa"/>
            <w:gridSpan w:val="2"/>
            <w:tcBorders>
              <w:top w:val="single" w:sz="8" w:space="0" w:color="auto"/>
            </w:tcBorders>
          </w:tcPr>
          <w:p w:rsidR="003E6588" w:rsidRPr="008124C5" w:rsidRDefault="003E6588">
            <w:pPr>
              <w:pStyle w:val="Rodap"/>
              <w:rPr>
                <w:sz w:val="20"/>
                <w:szCs w:val="20"/>
              </w:rPr>
            </w:pPr>
            <w:r w:rsidRPr="008124C5">
              <w:rPr>
                <w:sz w:val="20"/>
                <w:szCs w:val="20"/>
              </w:rPr>
              <w:t>1.222.960</w:t>
            </w:r>
          </w:p>
        </w:tc>
      </w:tr>
      <w:tr w:rsidR="003E6588" w:rsidTr="003B67EB">
        <w:trPr>
          <w:cantSplit/>
          <w:jc w:val="center"/>
        </w:trPr>
        <w:tc>
          <w:tcPr>
            <w:tcW w:w="3969" w:type="dxa"/>
            <w:tcBorders>
              <w:bottom w:val="single" w:sz="8" w:space="0" w:color="auto"/>
            </w:tcBorders>
          </w:tcPr>
          <w:p w:rsidR="003E6588" w:rsidRDefault="003E6588">
            <w:pPr>
              <w:ind w:firstLine="214"/>
              <w:jc w:val="both"/>
              <w:rPr>
                <w:sz w:val="20"/>
                <w:szCs w:val="20"/>
              </w:rPr>
            </w:pPr>
            <w:r>
              <w:rPr>
                <w:sz w:val="20"/>
                <w:szCs w:val="20"/>
              </w:rPr>
              <w:t>Doadores</w:t>
            </w:r>
          </w:p>
        </w:tc>
        <w:tc>
          <w:tcPr>
            <w:tcW w:w="1654" w:type="dxa"/>
            <w:tcBorders>
              <w:bottom w:val="single" w:sz="8" w:space="0" w:color="auto"/>
            </w:tcBorders>
          </w:tcPr>
          <w:p w:rsidR="003E6588" w:rsidRPr="008124C5" w:rsidRDefault="003E6588">
            <w:pPr>
              <w:pStyle w:val="Rodap"/>
              <w:rPr>
                <w:sz w:val="20"/>
                <w:szCs w:val="20"/>
              </w:rPr>
            </w:pPr>
            <w:r w:rsidRPr="008124C5">
              <w:rPr>
                <w:sz w:val="20"/>
                <w:szCs w:val="20"/>
              </w:rPr>
              <w:t>42.844</w:t>
            </w:r>
          </w:p>
        </w:tc>
        <w:tc>
          <w:tcPr>
            <w:tcW w:w="1654" w:type="dxa"/>
            <w:gridSpan w:val="2"/>
            <w:tcBorders>
              <w:bottom w:val="single" w:sz="8" w:space="0" w:color="auto"/>
            </w:tcBorders>
          </w:tcPr>
          <w:p w:rsidR="003E6588" w:rsidRPr="008124C5" w:rsidRDefault="003E6588">
            <w:pPr>
              <w:pStyle w:val="Rodap"/>
              <w:rPr>
                <w:sz w:val="20"/>
                <w:szCs w:val="20"/>
              </w:rPr>
            </w:pPr>
            <w:r w:rsidRPr="008124C5">
              <w:rPr>
                <w:sz w:val="20"/>
                <w:szCs w:val="20"/>
              </w:rPr>
              <w:t>-</w:t>
            </w:r>
          </w:p>
        </w:tc>
        <w:tc>
          <w:tcPr>
            <w:tcW w:w="2079" w:type="dxa"/>
            <w:gridSpan w:val="2"/>
            <w:tcBorders>
              <w:bottom w:val="single" w:sz="8" w:space="0" w:color="auto"/>
            </w:tcBorders>
          </w:tcPr>
          <w:p w:rsidR="003E6588" w:rsidRPr="008124C5" w:rsidRDefault="003E6588">
            <w:pPr>
              <w:pStyle w:val="Rodap"/>
              <w:rPr>
                <w:sz w:val="20"/>
                <w:szCs w:val="20"/>
              </w:rPr>
            </w:pPr>
            <w:r w:rsidRPr="008124C5">
              <w:rPr>
                <w:sz w:val="20"/>
                <w:szCs w:val="20"/>
              </w:rPr>
              <w:t>42.844</w:t>
            </w:r>
          </w:p>
        </w:tc>
      </w:tr>
    </w:tbl>
    <w:p w:rsidR="003E6588" w:rsidRDefault="003E6588">
      <w:pPr>
        <w:jc w:val="both"/>
        <w:rPr>
          <w:b/>
        </w:rPr>
      </w:pPr>
    </w:p>
    <w:p w:rsidR="003E6588" w:rsidRDefault="003E6588">
      <w:pPr>
        <w:ind w:firstLine="1134"/>
        <w:jc w:val="both"/>
        <w:rPr>
          <w:b/>
        </w:rPr>
      </w:pPr>
      <w:r>
        <w:rPr>
          <w:b/>
        </w:rPr>
        <w:t xml:space="preserve">Transplantes - </w:t>
      </w:r>
      <w:r>
        <w:t>Realização de 323 transplantes, sendo 55 de rim, 36 de fígado, 60 de medula óssea e 168 de córnea e 4 de pâncreas e rim</w:t>
      </w:r>
      <w:r>
        <w:rPr>
          <w:b/>
        </w:rPr>
        <w:t>.</w:t>
      </w:r>
    </w:p>
    <w:p w:rsidR="003E6588" w:rsidRDefault="003E6588">
      <w:pPr>
        <w:ind w:firstLine="1134"/>
        <w:jc w:val="both"/>
        <w:rPr>
          <w:b/>
        </w:rPr>
      </w:pPr>
    </w:p>
    <w:p w:rsidR="003E6588" w:rsidRDefault="003E6588">
      <w:pPr>
        <w:ind w:firstLine="1134"/>
        <w:jc w:val="both"/>
      </w:pPr>
      <w:r>
        <w:rPr>
          <w:b/>
        </w:rPr>
        <w:t>Ensino</w:t>
      </w:r>
      <w:r>
        <w:t xml:space="preserve"> - O HCFMRP-USP é campo de atividades de Ensino para alunos dos cursos de Medicina, Enfermagem, Terapia Ocupacional, Fisioterapia, Nutrição, Fonoaudiologia e Informática Biomédica da USP de Ribeirão Preto. Oferece Residência Médica em diversas especialidades, Residência Multiprofissional, além de cursos de especialização e aprimoramento em áreas não médicas.</w:t>
      </w:r>
    </w:p>
    <w:p w:rsidR="003E6588" w:rsidRDefault="003E6588">
      <w:pPr>
        <w:ind w:firstLine="1134"/>
        <w:jc w:val="both"/>
      </w:pPr>
    </w:p>
    <w:p w:rsidR="003E6588" w:rsidRDefault="003E6588">
      <w:pPr>
        <w:ind w:firstLine="1134"/>
        <w:jc w:val="both"/>
      </w:pPr>
      <w:r>
        <w:t>Foram 73 Programas de Residência Médica, 24 de aprimoramento e 8 de residência multiprofissional, com 704 médicos residentes, 30 residentes multiprofissionais e 82 aprimorandos.</w:t>
      </w:r>
    </w:p>
    <w:p w:rsidR="003E6588" w:rsidRDefault="003E6588">
      <w:pPr>
        <w:ind w:firstLine="1134"/>
        <w:jc w:val="both"/>
        <w:rPr>
          <w:b/>
        </w:rPr>
      </w:pPr>
    </w:p>
    <w:p w:rsidR="003E6588" w:rsidRDefault="003E6588">
      <w:pPr>
        <w:ind w:firstLine="1134"/>
        <w:jc w:val="both"/>
      </w:pPr>
      <w:r>
        <w:rPr>
          <w:b/>
        </w:rPr>
        <w:t>Centro Interescolar -</w:t>
      </w:r>
      <w:r>
        <w:t xml:space="preserve"> Foram realizados cursos de Qualificação Profissional Técnico de Enfermagem módulos I e II com 145 alunos, e Técnico em Farmácia com 19 alunos.</w:t>
      </w:r>
    </w:p>
    <w:p w:rsidR="003E6588" w:rsidRDefault="003E6588">
      <w:pPr>
        <w:ind w:firstLine="1134"/>
        <w:jc w:val="both"/>
      </w:pPr>
    </w:p>
    <w:p w:rsidR="003E6588" w:rsidRDefault="003E6588">
      <w:pPr>
        <w:ind w:firstLine="1134"/>
        <w:jc w:val="both"/>
      </w:pPr>
      <w:r>
        <w:rPr>
          <w:b/>
        </w:rPr>
        <w:t xml:space="preserve">Pesquisa </w:t>
      </w:r>
      <w:r>
        <w:t>- Foram analisados 397 projetos pelo Comitê de Ética em Pesquisa do HCRP-USP.</w:t>
      </w:r>
    </w:p>
    <w:p w:rsidR="003E6588" w:rsidRDefault="003E6588">
      <w:pPr>
        <w:ind w:firstLine="1134"/>
        <w:jc w:val="both"/>
        <w:rPr>
          <w:b/>
        </w:rPr>
      </w:pPr>
    </w:p>
    <w:p w:rsidR="003E6588" w:rsidRDefault="003E6588">
      <w:pPr>
        <w:ind w:firstLine="1134"/>
        <w:jc w:val="both"/>
      </w:pPr>
      <w:r>
        <w:rPr>
          <w:b/>
        </w:rPr>
        <w:t xml:space="preserve">Investimentos e Gestão Administrativa - </w:t>
      </w:r>
      <w:r>
        <w:t>O HCFMRP-USP deu continuidade à execução do plano de expansão. Os projetos, financiados pelo Governo do Estado, prevêem equipamentos e infraestrutura em sintonia com a atenção hospitalar terciária e quaternária prestada pelo Hospital.</w:t>
      </w:r>
    </w:p>
    <w:p w:rsidR="003E6588" w:rsidRDefault="003E6588">
      <w:pPr>
        <w:ind w:firstLine="1134"/>
        <w:jc w:val="both"/>
      </w:pPr>
    </w:p>
    <w:p w:rsidR="003E6588" w:rsidRDefault="003E6588">
      <w:pPr>
        <w:ind w:firstLine="1134"/>
        <w:jc w:val="both"/>
      </w:pPr>
      <w:r>
        <w:rPr>
          <w:b/>
        </w:rPr>
        <w:t>Obras -</w:t>
      </w:r>
      <w:r>
        <w:t xml:space="preserve"> Foram investidos R$ 48,9 milhões (sendo R$ 45,3 milhões do Tesouro do Estado e R$ 3,6 milhões da FAEPA). Destacam-se: término do prédio do HC Criança (234 leitos); ampliação da Central de Hemodiálise; reformas em diversas áreas hospitalares e da unidade de emergência, tanto clínicas como administrativas.</w:t>
      </w:r>
    </w:p>
    <w:p w:rsidR="003E6588" w:rsidRDefault="003E6588">
      <w:pPr>
        <w:ind w:firstLine="1134"/>
        <w:jc w:val="both"/>
      </w:pPr>
    </w:p>
    <w:p w:rsidR="003E6588" w:rsidRDefault="003E6588">
      <w:pPr>
        <w:ind w:firstLine="1134"/>
        <w:jc w:val="both"/>
      </w:pPr>
      <w:r>
        <w:rPr>
          <w:b/>
        </w:rPr>
        <w:t xml:space="preserve">Equipamentos - </w:t>
      </w:r>
      <w:r>
        <w:t>Foram investidos, para aquisição de diversos tipos de equipamentos, R$ 15,1 milhões (sendo R$ 11,0 do Tesouro e 4,1 milhões da FAEPA), como forma de atualizar e incorporar novas tecnologias, necessárias à prestação da assistência à saúde, aos pacientes da área de abrangência do HCRP.</w:t>
      </w:r>
    </w:p>
    <w:p w:rsidR="003E6588" w:rsidRDefault="003E6588">
      <w:pPr>
        <w:ind w:firstLine="1134"/>
        <w:jc w:val="both"/>
      </w:pPr>
    </w:p>
    <w:p w:rsidR="003E6588" w:rsidRDefault="003E6588">
      <w:pPr>
        <w:ind w:firstLine="1134"/>
        <w:jc w:val="both"/>
        <w:rPr>
          <w:b/>
        </w:rPr>
      </w:pPr>
      <w:r>
        <w:rPr>
          <w:b/>
        </w:rPr>
        <w:t>Principais atividades e campanhas</w:t>
      </w:r>
    </w:p>
    <w:p w:rsidR="003E6588" w:rsidRDefault="003E6588">
      <w:pPr>
        <w:ind w:firstLine="1134"/>
        <w:jc w:val="both"/>
        <w:rPr>
          <w:b/>
        </w:rPr>
      </w:pPr>
    </w:p>
    <w:p w:rsidR="003E6588" w:rsidRDefault="003E6588">
      <w:pPr>
        <w:ind w:firstLine="1134"/>
        <w:jc w:val="both"/>
      </w:pPr>
      <w:r>
        <w:rPr>
          <w:b/>
        </w:rPr>
        <w:t xml:space="preserve">Ações de Atenção Hospitalar - Destaques - </w:t>
      </w:r>
      <w:r>
        <w:t xml:space="preserve">Grupo de Trabalho para prevenção e tratamento de Feridas. Serviço de Odontologia e Estomatologia (para doentes graves internados). </w:t>
      </w:r>
      <w:r w:rsidRPr="003B67EB">
        <w:t>La</w:t>
      </w:r>
      <w:r>
        <w:t xml:space="preserve">nçamento do livro “Casos Clínicos em Terapia Intensiva”. Inaugurado Ambulatório Pré-Anestésico, </w:t>
      </w:r>
      <w:r>
        <w:lastRenderedPageBreak/>
        <w:t xml:space="preserve">Unidade de Terapia Intensiva Pós-Operatória e Unidade de Pesquisa Clínica. Primeiro curso de cirurgia da mão aos médicos residentes. Oficina Terapêutica de Gosto (para pacientes quimioterápicos). Canal de informações no HC </w:t>
      </w:r>
      <w:r>
        <w:rPr>
          <w:i/>
        </w:rPr>
        <w:t>Campus</w:t>
      </w:r>
      <w:r>
        <w:t xml:space="preserve"> e na Unidade de Emergência.</w:t>
      </w:r>
    </w:p>
    <w:p w:rsidR="003E6588" w:rsidRDefault="003E6588">
      <w:pPr>
        <w:ind w:firstLine="1134"/>
        <w:jc w:val="both"/>
        <w:rPr>
          <w:b/>
        </w:rPr>
      </w:pPr>
    </w:p>
    <w:p w:rsidR="003E6588" w:rsidRDefault="003E6588">
      <w:pPr>
        <w:ind w:firstLine="1134"/>
        <w:jc w:val="both"/>
      </w:pPr>
      <w:r>
        <w:rPr>
          <w:b/>
        </w:rPr>
        <w:t>Mutirão de cirurgias pediátricas no Hospital Estadual de Ribeirão Preto - HER</w:t>
      </w:r>
      <w:r>
        <w:t xml:space="preserve"> </w:t>
      </w:r>
      <w:r w:rsidRPr="003B67EB">
        <w:t>- D</w:t>
      </w:r>
      <w:r>
        <w:t>ois mutirões para atender crianças que necessitavam de cirurgias eletivas - hérnias inguinais e umbilicais, lesões císticas na pele, de hidrocele, de fimose e de criptorquidia - beneficiando 353 crianças.</w:t>
      </w:r>
    </w:p>
    <w:p w:rsidR="003E6588" w:rsidRDefault="003E6588">
      <w:pPr>
        <w:ind w:firstLine="1134"/>
        <w:jc w:val="both"/>
        <w:rPr>
          <w:b/>
        </w:rPr>
      </w:pPr>
    </w:p>
    <w:p w:rsidR="003E6588" w:rsidRDefault="003E6588">
      <w:pPr>
        <w:ind w:firstLine="1134"/>
        <w:jc w:val="both"/>
      </w:pPr>
      <w:r>
        <w:rPr>
          <w:b/>
        </w:rPr>
        <w:t xml:space="preserve">Campanhas Preventivas - </w:t>
      </w:r>
      <w:r>
        <w:t>Destinadas</w:t>
      </w:r>
      <w:r>
        <w:rPr>
          <w:b/>
        </w:rPr>
        <w:t xml:space="preserve"> </w:t>
      </w:r>
      <w:r>
        <w:t>aos funcionários, profissionais e público em geral, foram realizados: “Curso de Manejo de Lactação” (Banco de Leite); Campanha da Voz (saúde vocal); Campanha de vacinação contra a gripe H1N1; Dia Mundial sem Tabaco; Semana de Combate ao AVC; Dia Nacional do Doador de Sangue;</w:t>
      </w:r>
    </w:p>
    <w:p w:rsidR="003E6588" w:rsidRDefault="003E6588">
      <w:pPr>
        <w:ind w:firstLine="1134"/>
        <w:jc w:val="both"/>
        <w:rPr>
          <w:b/>
        </w:rPr>
      </w:pPr>
    </w:p>
    <w:p w:rsidR="003E6588" w:rsidRDefault="003E6588">
      <w:pPr>
        <w:ind w:firstLine="1134"/>
        <w:jc w:val="both"/>
        <w:rPr>
          <w:b/>
        </w:rPr>
      </w:pPr>
      <w:r>
        <w:rPr>
          <w:b/>
        </w:rPr>
        <w:t>Ações de ensino e pesquisa</w:t>
      </w:r>
    </w:p>
    <w:p w:rsidR="003E6588" w:rsidRDefault="003E6588">
      <w:pPr>
        <w:ind w:firstLine="1134"/>
        <w:jc w:val="both"/>
        <w:rPr>
          <w:b/>
        </w:rPr>
      </w:pPr>
    </w:p>
    <w:p w:rsidR="003E6588" w:rsidRDefault="003E6588">
      <w:pPr>
        <w:ind w:firstLine="1134"/>
        <w:jc w:val="both"/>
      </w:pPr>
      <w:r>
        <w:rPr>
          <w:b/>
        </w:rPr>
        <w:t xml:space="preserve">Pesquisas e Cursos promovidos para médicos, técnicos e funcionários - </w:t>
      </w:r>
      <w:r>
        <w:t>Jornada de Fibrose Cística. Pesquisa sobre obstrução biliopancreática. Uso de células-tronco para tratamento de diabéticos. Pesquisa sobre Idosos com depressão. Pesquisa sobre neuromielite óptica.</w:t>
      </w:r>
    </w:p>
    <w:p w:rsidR="003E6588" w:rsidRDefault="003E6588">
      <w:pPr>
        <w:ind w:firstLine="1134"/>
        <w:jc w:val="both"/>
        <w:rPr>
          <w:b/>
        </w:rPr>
      </w:pPr>
    </w:p>
    <w:p w:rsidR="003E6588" w:rsidRDefault="003E6588">
      <w:pPr>
        <w:ind w:firstLine="1134"/>
        <w:jc w:val="both"/>
      </w:pPr>
      <w:r>
        <w:rPr>
          <w:b/>
        </w:rPr>
        <w:t xml:space="preserve">Gestão de Pessoas - </w:t>
      </w:r>
      <w:r>
        <w:t>Diversas iniciativas foram promovidas para os colaboradores do HCRP, como: Pesquisa de Clima Organizacional; Ações de humanização de colaboradores - ginástica laboral; Instituição do Código de ética Organizacional; Curso Habilidade de Vida no Trabalho, Módulo I e II.</w:t>
      </w:r>
    </w:p>
    <w:p w:rsidR="003E6588" w:rsidRDefault="003E6588">
      <w:pPr>
        <w:ind w:firstLine="1134"/>
        <w:jc w:val="both"/>
      </w:pPr>
    </w:p>
    <w:p w:rsidR="003E6588" w:rsidRDefault="003E6588">
      <w:pPr>
        <w:ind w:firstLine="1134"/>
        <w:jc w:val="both"/>
      </w:pPr>
      <w:r>
        <w:rPr>
          <w:b/>
        </w:rPr>
        <w:t>Gestão de qualidade</w:t>
      </w:r>
      <w:r>
        <w:t xml:space="preserve"> - A instituição manteve o Programa CQH (Compromisso com a Qualidade Hospitalar) e visitas dos Subcomitês da Qualidade aos diferentes setores da Instituição. Pesquisa de Satisfação dos Pacientes.</w:t>
      </w:r>
    </w:p>
    <w:p w:rsidR="003E6588" w:rsidRDefault="003E6588">
      <w:pPr>
        <w:ind w:firstLine="1134"/>
        <w:jc w:val="both"/>
      </w:pPr>
    </w:p>
    <w:p w:rsidR="003E6588" w:rsidRDefault="003E6588">
      <w:pPr>
        <w:ind w:firstLine="1134"/>
        <w:jc w:val="both"/>
      </w:pPr>
      <w:r>
        <w:rPr>
          <w:b/>
        </w:rPr>
        <w:t>Gerenciamento da Qualidade nos Laboratórios</w:t>
      </w:r>
      <w:r>
        <w:t xml:space="preserve"> - O programa visa atender ao roteiro do Programa de Qualidade - Compromisso com Qualidade Hospitalar - CQH e dar suporte às atividades do projeto de pesquisa do </w:t>
      </w:r>
      <w:r>
        <w:rPr>
          <w:i/>
        </w:rPr>
        <w:t>NIH - National Institutes of Health</w:t>
      </w:r>
      <w:r>
        <w:t xml:space="preserve"> </w:t>
      </w:r>
      <w:r>
        <w:rPr>
          <w:i/>
        </w:rPr>
        <w:t>(USA)</w:t>
      </w:r>
      <w:r>
        <w:t>, sendo auditados os seguintes Laboratórios: Central de Patologia Clínica, Pediatria, Sorologia, Ginecologia e Obstetrícia, Hematologia e Citometria de Fluxo (Hemocentro).</w:t>
      </w:r>
    </w:p>
    <w:p w:rsidR="003E6588" w:rsidRDefault="003E6588">
      <w:pPr>
        <w:ind w:firstLine="1134"/>
        <w:jc w:val="both"/>
        <w:rPr>
          <w:b/>
        </w:rPr>
      </w:pPr>
    </w:p>
    <w:p w:rsidR="003E6588" w:rsidRDefault="003E6588">
      <w:pPr>
        <w:ind w:firstLine="1134"/>
        <w:jc w:val="both"/>
      </w:pPr>
      <w:r>
        <w:rPr>
          <w:b/>
        </w:rPr>
        <w:t>Gerenciamento de Riscos</w:t>
      </w:r>
      <w:r>
        <w:t xml:space="preserve"> - Possui sistema de notificação eletrônica implantado, para diferentes tipos de risco.</w:t>
      </w:r>
    </w:p>
    <w:p w:rsidR="003E6588" w:rsidRDefault="003E6588">
      <w:pPr>
        <w:ind w:firstLine="1134"/>
        <w:jc w:val="both"/>
      </w:pPr>
    </w:p>
    <w:p w:rsidR="003E6588" w:rsidRDefault="003E6588">
      <w:pPr>
        <w:ind w:firstLine="1134"/>
        <w:jc w:val="both"/>
      </w:pPr>
      <w:r>
        <w:rPr>
          <w:b/>
        </w:rPr>
        <w:t>Gerenciamento Ambiental</w:t>
      </w:r>
      <w:r>
        <w:t xml:space="preserve"> - São manejados 4.000 quilos de resíduos por dia. A Central comporta área para armazenamento externo de resíduos químicos e armazenamento externo de rejeitos radioativos. Central de Triagem de Resíduos Recicláveis e Depósito Externo de Resíduos Infectantes e Armazenamento Externo de Resíduos Comuns, além da nova área de Processamento de Resíduos Recicláveis, Armazenamento Externo de Resíduos Químicos Sólidos.</w:t>
      </w:r>
    </w:p>
    <w:p w:rsidR="003E6588" w:rsidRDefault="003E6588">
      <w:pPr>
        <w:ind w:firstLine="1134"/>
        <w:jc w:val="both"/>
        <w:rPr>
          <w:b/>
        </w:rPr>
      </w:pPr>
    </w:p>
    <w:p w:rsidR="003E6588" w:rsidRDefault="003E6588">
      <w:pPr>
        <w:ind w:firstLine="1134"/>
        <w:jc w:val="both"/>
      </w:pPr>
      <w:r>
        <w:rPr>
          <w:b/>
        </w:rPr>
        <w:lastRenderedPageBreak/>
        <w:t>Humanização e Responsabilidade Social</w:t>
      </w:r>
      <w:r>
        <w:t xml:space="preserve"> - Arte, Cultura e Lazer no Hospital (todas as datas comemorativas são marcadas com festividades). Classe Hospitalar (acompanhamento educacional para crianças e jovens internados de 6 a 14 anos), atendidos 78 alunos por mês. Reinserção Escolar (informação sobre câncer infantil nas escolas, média de 446 alunos por mês. Biblioteca Viva em Hospitais (33 crianças por mês). Voluntariado 201 voluntários distribuídos em diversos grupos), projetos - Projeto Brincar. Felizidade (idosos) e Em busca do Riso Perdido.</w:t>
      </w:r>
    </w:p>
    <w:p w:rsidR="003E6588" w:rsidRDefault="003E6588">
      <w:pPr>
        <w:ind w:firstLine="1134"/>
        <w:jc w:val="both"/>
      </w:pPr>
    </w:p>
    <w:p w:rsidR="003E6588" w:rsidRDefault="003E6588">
      <w:pPr>
        <w:ind w:firstLine="1134"/>
        <w:jc w:val="both"/>
      </w:pPr>
    </w:p>
    <w:p w:rsidR="003E6588" w:rsidRDefault="003E6588">
      <w:pPr>
        <w:rPr>
          <w:b/>
        </w:rPr>
      </w:pPr>
      <w:bookmarkStart w:id="21" w:name="_Toc218310675"/>
      <w:bookmarkStart w:id="22" w:name="_Toc311643862"/>
      <w:bookmarkStart w:id="23" w:name="_Toc312076667"/>
      <w:r>
        <w:rPr>
          <w:b/>
        </w:rPr>
        <w:t>FUNDAÇÃO PRÓ-SANGUE - HEMOCENTRO DE SÃO PAULO</w:t>
      </w:r>
      <w:bookmarkEnd w:id="21"/>
      <w:bookmarkEnd w:id="22"/>
      <w:bookmarkEnd w:id="23"/>
    </w:p>
    <w:p w:rsidR="003E6588" w:rsidRDefault="003E6588">
      <w:pPr>
        <w:ind w:firstLine="1134"/>
        <w:jc w:val="both"/>
        <w:rPr>
          <w:b/>
        </w:rPr>
      </w:pPr>
    </w:p>
    <w:p w:rsidR="003E6588" w:rsidRDefault="003E6588">
      <w:pPr>
        <w:ind w:firstLine="1134"/>
        <w:jc w:val="both"/>
        <w:rPr>
          <w:b/>
        </w:rPr>
      </w:pPr>
    </w:p>
    <w:p w:rsidR="003E6588" w:rsidRDefault="003E6588">
      <w:pPr>
        <w:ind w:firstLine="1134"/>
        <w:jc w:val="both"/>
      </w:pPr>
      <w:r>
        <w:t>A instituição realizou a seguinte produção de serviços</w:t>
      </w:r>
      <w:r>
        <w:rPr>
          <w:color w:val="FF0000"/>
        </w:rPr>
        <w:t>,</w:t>
      </w:r>
      <w:r>
        <w:t xml:space="preserve"> com objetivo de fornecer hemocomponentes e serviços hemoterápicos para as entidades de saúde:</w:t>
      </w:r>
    </w:p>
    <w:p w:rsidR="003E6588" w:rsidRDefault="003E6588">
      <w:pPr>
        <w:jc w:val="both"/>
        <w:rPr>
          <w:highlight w:val="yellow"/>
        </w:rPr>
      </w:pPr>
    </w:p>
    <w:p w:rsidR="003E6588" w:rsidRDefault="003E6588">
      <w:pPr>
        <w:jc w:val="both"/>
        <w:rPr>
          <w:highlight w:val="yellow"/>
        </w:rPr>
      </w:pPr>
    </w:p>
    <w:tbl>
      <w:tblPr>
        <w:tblW w:w="5621" w:type="dxa"/>
        <w:jc w:val="center"/>
        <w:tblInd w:w="19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tblPr>
      <w:tblGrid>
        <w:gridCol w:w="3779"/>
        <w:gridCol w:w="1842"/>
      </w:tblGrid>
      <w:tr w:rsidR="003E6588" w:rsidTr="003B67EB">
        <w:trPr>
          <w:jc w:val="center"/>
        </w:trPr>
        <w:tc>
          <w:tcPr>
            <w:tcW w:w="3779" w:type="dxa"/>
            <w:hideMark/>
          </w:tcPr>
          <w:p w:rsidR="003E6588" w:rsidRDefault="003E6588">
            <w:pPr>
              <w:rPr>
                <w:b/>
                <w:sz w:val="20"/>
                <w:szCs w:val="20"/>
              </w:rPr>
            </w:pPr>
            <w:r>
              <w:rPr>
                <w:b/>
                <w:sz w:val="20"/>
                <w:szCs w:val="20"/>
              </w:rPr>
              <w:t>Produção e Serviços Hemoterápicos</w:t>
            </w:r>
          </w:p>
        </w:tc>
        <w:tc>
          <w:tcPr>
            <w:tcW w:w="1842" w:type="dxa"/>
            <w:hideMark/>
          </w:tcPr>
          <w:p w:rsidR="003E6588" w:rsidRDefault="003E6588">
            <w:pPr>
              <w:rPr>
                <w:b/>
                <w:sz w:val="20"/>
                <w:szCs w:val="20"/>
              </w:rPr>
            </w:pPr>
            <w:r>
              <w:rPr>
                <w:b/>
                <w:sz w:val="20"/>
                <w:szCs w:val="20"/>
              </w:rPr>
              <w:t>Quantidade</w:t>
            </w:r>
          </w:p>
        </w:tc>
      </w:tr>
      <w:tr w:rsidR="003E6588" w:rsidTr="003B67EB">
        <w:trPr>
          <w:jc w:val="center"/>
        </w:trPr>
        <w:tc>
          <w:tcPr>
            <w:tcW w:w="3779" w:type="dxa"/>
            <w:hideMark/>
          </w:tcPr>
          <w:p w:rsidR="003E6588" w:rsidRDefault="003E6588" w:rsidP="003B67EB">
            <w:pPr>
              <w:jc w:val="left"/>
              <w:rPr>
                <w:sz w:val="20"/>
                <w:szCs w:val="20"/>
              </w:rPr>
            </w:pPr>
            <w:r>
              <w:rPr>
                <w:sz w:val="20"/>
                <w:szCs w:val="20"/>
              </w:rPr>
              <w:t>Candidatos à Doação</w:t>
            </w:r>
          </w:p>
        </w:tc>
        <w:tc>
          <w:tcPr>
            <w:tcW w:w="1842" w:type="dxa"/>
            <w:hideMark/>
          </w:tcPr>
          <w:p w:rsidR="003E6588" w:rsidRDefault="003E6588">
            <w:pPr>
              <w:rPr>
                <w:sz w:val="20"/>
                <w:szCs w:val="20"/>
              </w:rPr>
            </w:pPr>
            <w:r>
              <w:rPr>
                <w:sz w:val="20"/>
                <w:szCs w:val="20"/>
              </w:rPr>
              <w:t>159.395</w:t>
            </w:r>
          </w:p>
        </w:tc>
      </w:tr>
      <w:tr w:rsidR="003E6588" w:rsidTr="003B67EB">
        <w:trPr>
          <w:jc w:val="center"/>
        </w:trPr>
        <w:tc>
          <w:tcPr>
            <w:tcW w:w="3779" w:type="dxa"/>
            <w:hideMark/>
          </w:tcPr>
          <w:p w:rsidR="003E6588" w:rsidRDefault="003E6588" w:rsidP="003B67EB">
            <w:pPr>
              <w:jc w:val="left"/>
              <w:rPr>
                <w:sz w:val="20"/>
                <w:szCs w:val="20"/>
              </w:rPr>
            </w:pPr>
            <w:r>
              <w:rPr>
                <w:sz w:val="20"/>
                <w:szCs w:val="20"/>
              </w:rPr>
              <w:t>Bolsas Coletadas</w:t>
            </w:r>
          </w:p>
        </w:tc>
        <w:tc>
          <w:tcPr>
            <w:tcW w:w="1842" w:type="dxa"/>
            <w:hideMark/>
          </w:tcPr>
          <w:p w:rsidR="003E6588" w:rsidRDefault="003E6588">
            <w:pPr>
              <w:rPr>
                <w:sz w:val="20"/>
                <w:szCs w:val="20"/>
              </w:rPr>
            </w:pPr>
            <w:r>
              <w:rPr>
                <w:sz w:val="20"/>
                <w:szCs w:val="20"/>
              </w:rPr>
              <w:t>126.810</w:t>
            </w:r>
          </w:p>
        </w:tc>
      </w:tr>
      <w:tr w:rsidR="003E6588" w:rsidTr="003B67EB">
        <w:trPr>
          <w:jc w:val="center"/>
        </w:trPr>
        <w:tc>
          <w:tcPr>
            <w:tcW w:w="3779" w:type="dxa"/>
            <w:hideMark/>
          </w:tcPr>
          <w:p w:rsidR="003E6588" w:rsidRDefault="003E6588" w:rsidP="003B67EB">
            <w:pPr>
              <w:jc w:val="left"/>
              <w:rPr>
                <w:sz w:val="20"/>
                <w:szCs w:val="20"/>
              </w:rPr>
            </w:pPr>
            <w:r>
              <w:rPr>
                <w:sz w:val="20"/>
                <w:szCs w:val="20"/>
              </w:rPr>
              <w:t>Bolsas Fracionadas</w:t>
            </w:r>
          </w:p>
        </w:tc>
        <w:tc>
          <w:tcPr>
            <w:tcW w:w="1842" w:type="dxa"/>
            <w:hideMark/>
          </w:tcPr>
          <w:p w:rsidR="003E6588" w:rsidRDefault="003E6588">
            <w:pPr>
              <w:rPr>
                <w:sz w:val="20"/>
                <w:szCs w:val="20"/>
              </w:rPr>
            </w:pPr>
            <w:r>
              <w:rPr>
                <w:sz w:val="20"/>
                <w:szCs w:val="20"/>
              </w:rPr>
              <w:t>308.538</w:t>
            </w:r>
          </w:p>
        </w:tc>
      </w:tr>
      <w:tr w:rsidR="003E6588" w:rsidTr="003B67EB">
        <w:trPr>
          <w:jc w:val="center"/>
        </w:trPr>
        <w:tc>
          <w:tcPr>
            <w:tcW w:w="3779" w:type="dxa"/>
            <w:hideMark/>
          </w:tcPr>
          <w:p w:rsidR="003E6588" w:rsidRDefault="003E6588" w:rsidP="003B67EB">
            <w:pPr>
              <w:jc w:val="left"/>
              <w:rPr>
                <w:sz w:val="20"/>
                <w:szCs w:val="20"/>
              </w:rPr>
            </w:pPr>
            <w:r>
              <w:rPr>
                <w:sz w:val="20"/>
                <w:szCs w:val="20"/>
              </w:rPr>
              <w:t>Exames Imunematológicos</w:t>
            </w:r>
          </w:p>
        </w:tc>
        <w:tc>
          <w:tcPr>
            <w:tcW w:w="1842" w:type="dxa"/>
            <w:hideMark/>
          </w:tcPr>
          <w:p w:rsidR="003E6588" w:rsidRDefault="003E6588">
            <w:pPr>
              <w:rPr>
                <w:sz w:val="20"/>
                <w:szCs w:val="20"/>
              </w:rPr>
            </w:pPr>
            <w:r>
              <w:rPr>
                <w:sz w:val="20"/>
                <w:szCs w:val="20"/>
              </w:rPr>
              <w:t>1.839.427</w:t>
            </w:r>
          </w:p>
        </w:tc>
      </w:tr>
      <w:tr w:rsidR="003E6588" w:rsidTr="003B67EB">
        <w:trPr>
          <w:jc w:val="center"/>
        </w:trPr>
        <w:tc>
          <w:tcPr>
            <w:tcW w:w="3779" w:type="dxa"/>
            <w:hideMark/>
          </w:tcPr>
          <w:p w:rsidR="003E6588" w:rsidRDefault="003E6588" w:rsidP="003B67EB">
            <w:pPr>
              <w:jc w:val="left"/>
              <w:rPr>
                <w:sz w:val="20"/>
                <w:szCs w:val="20"/>
              </w:rPr>
            </w:pPr>
            <w:r>
              <w:rPr>
                <w:sz w:val="20"/>
                <w:szCs w:val="20"/>
              </w:rPr>
              <w:t>Exames Sorológicos</w:t>
            </w:r>
          </w:p>
        </w:tc>
        <w:tc>
          <w:tcPr>
            <w:tcW w:w="1842" w:type="dxa"/>
            <w:hideMark/>
          </w:tcPr>
          <w:p w:rsidR="003E6588" w:rsidRDefault="003E6588">
            <w:pPr>
              <w:rPr>
                <w:sz w:val="20"/>
                <w:szCs w:val="20"/>
              </w:rPr>
            </w:pPr>
            <w:r>
              <w:rPr>
                <w:sz w:val="20"/>
                <w:szCs w:val="20"/>
              </w:rPr>
              <w:t>1.243.069</w:t>
            </w:r>
          </w:p>
        </w:tc>
      </w:tr>
      <w:tr w:rsidR="003E6588" w:rsidTr="003B67EB">
        <w:trPr>
          <w:jc w:val="center"/>
        </w:trPr>
        <w:tc>
          <w:tcPr>
            <w:tcW w:w="3779" w:type="dxa"/>
            <w:hideMark/>
          </w:tcPr>
          <w:p w:rsidR="003E6588" w:rsidRDefault="003E6588" w:rsidP="003B67EB">
            <w:pPr>
              <w:jc w:val="left"/>
              <w:rPr>
                <w:sz w:val="20"/>
                <w:szCs w:val="20"/>
              </w:rPr>
            </w:pPr>
            <w:r>
              <w:rPr>
                <w:sz w:val="20"/>
                <w:szCs w:val="20"/>
              </w:rPr>
              <w:t>Exames NAT</w:t>
            </w:r>
          </w:p>
        </w:tc>
        <w:tc>
          <w:tcPr>
            <w:tcW w:w="1842" w:type="dxa"/>
            <w:hideMark/>
          </w:tcPr>
          <w:p w:rsidR="003E6588" w:rsidRDefault="003E6588">
            <w:pPr>
              <w:rPr>
                <w:sz w:val="20"/>
                <w:szCs w:val="20"/>
              </w:rPr>
            </w:pPr>
            <w:r>
              <w:rPr>
                <w:sz w:val="20"/>
                <w:szCs w:val="20"/>
              </w:rPr>
              <w:t>423.599</w:t>
            </w:r>
          </w:p>
        </w:tc>
      </w:tr>
      <w:tr w:rsidR="003E6588" w:rsidTr="003B67EB">
        <w:trPr>
          <w:jc w:val="center"/>
        </w:trPr>
        <w:tc>
          <w:tcPr>
            <w:tcW w:w="3779" w:type="dxa"/>
            <w:hideMark/>
          </w:tcPr>
          <w:p w:rsidR="003E6588" w:rsidRDefault="003E6588" w:rsidP="003B67EB">
            <w:pPr>
              <w:jc w:val="left"/>
              <w:rPr>
                <w:sz w:val="20"/>
                <w:szCs w:val="20"/>
              </w:rPr>
            </w:pPr>
            <w:r>
              <w:rPr>
                <w:sz w:val="20"/>
                <w:szCs w:val="20"/>
              </w:rPr>
              <w:t>Bolsas - Hemocomponentes Distribuídos</w:t>
            </w:r>
          </w:p>
        </w:tc>
        <w:tc>
          <w:tcPr>
            <w:tcW w:w="1842" w:type="dxa"/>
            <w:hideMark/>
          </w:tcPr>
          <w:p w:rsidR="003E6588" w:rsidRDefault="003E6588">
            <w:pPr>
              <w:rPr>
                <w:sz w:val="20"/>
                <w:szCs w:val="20"/>
              </w:rPr>
            </w:pPr>
            <w:r>
              <w:rPr>
                <w:sz w:val="20"/>
                <w:szCs w:val="20"/>
              </w:rPr>
              <w:t>306.058</w:t>
            </w:r>
          </w:p>
        </w:tc>
      </w:tr>
    </w:tbl>
    <w:p w:rsidR="003E6588" w:rsidRDefault="003E6588">
      <w:pPr>
        <w:ind w:firstLine="1134"/>
        <w:jc w:val="both"/>
      </w:pPr>
    </w:p>
    <w:p w:rsidR="003E6588" w:rsidRDefault="003E6588">
      <w:pPr>
        <w:ind w:firstLine="1134"/>
        <w:jc w:val="both"/>
      </w:pPr>
      <w:r>
        <w:t>A Fundação Pró-Sangue forneceu 26.330 hemocomponentes por mês aos clientes cadastrados, além de serviços sorológicos e imunematológicos e controle de qualidade.</w:t>
      </w:r>
    </w:p>
    <w:p w:rsidR="003E6588" w:rsidRDefault="003E6588">
      <w:pPr>
        <w:ind w:firstLine="1134"/>
        <w:jc w:val="both"/>
        <w:rPr>
          <w:b/>
        </w:rPr>
      </w:pPr>
    </w:p>
    <w:p w:rsidR="003E6588" w:rsidRDefault="003E6588">
      <w:pPr>
        <w:ind w:firstLine="1134"/>
        <w:jc w:val="both"/>
      </w:pPr>
      <w:r>
        <w:rPr>
          <w:b/>
        </w:rPr>
        <w:t>Investimentos -</w:t>
      </w:r>
      <w:r>
        <w:t xml:space="preserve"> Foram investidos R$ 604.000,00 na aquisição de novos equipamentos a serem utilizados na produção da Divisão Técnico-Científica. </w:t>
      </w:r>
      <w:r w:rsidR="003B67EB">
        <w:t>e</w:t>
      </w:r>
      <w:r>
        <w:t>stá em andamento a reforma das áreas da coleta do PAMB, com investimento de R$180.000,00.</w:t>
      </w:r>
    </w:p>
    <w:p w:rsidR="003E6588" w:rsidRDefault="003E6588">
      <w:pPr>
        <w:ind w:firstLine="1134"/>
        <w:jc w:val="both"/>
        <w:rPr>
          <w:b/>
        </w:rPr>
      </w:pPr>
    </w:p>
    <w:p w:rsidR="003E6588" w:rsidRDefault="003E6588">
      <w:pPr>
        <w:ind w:firstLine="1134"/>
        <w:jc w:val="both"/>
      </w:pPr>
      <w:r>
        <w:rPr>
          <w:b/>
        </w:rPr>
        <w:t xml:space="preserve">Contratações </w:t>
      </w:r>
      <w:r>
        <w:t>- Com a realização do concurso público, foram contratados 114 novos funcionários.</w:t>
      </w:r>
    </w:p>
    <w:p w:rsidR="003E6588" w:rsidRDefault="003E6588">
      <w:pPr>
        <w:ind w:firstLine="1134"/>
        <w:jc w:val="both"/>
        <w:rPr>
          <w:b/>
        </w:rPr>
      </w:pPr>
      <w:bookmarkStart w:id="24" w:name="_Toc311643863"/>
      <w:bookmarkStart w:id="25" w:name="_Toc312076668"/>
    </w:p>
    <w:p w:rsidR="003E6588" w:rsidRDefault="003E6588" w:rsidP="003B67EB">
      <w:pPr>
        <w:ind w:firstLine="1134"/>
        <w:jc w:val="both"/>
      </w:pPr>
      <w:r>
        <w:rPr>
          <w:b/>
        </w:rPr>
        <w:t>Ações de Captação de Doadores</w:t>
      </w:r>
      <w:bookmarkEnd w:id="24"/>
      <w:bookmarkEnd w:id="25"/>
      <w:r w:rsidR="003B67EB">
        <w:rPr>
          <w:b/>
        </w:rPr>
        <w:t xml:space="preserve"> - </w:t>
      </w:r>
      <w:r>
        <w:t>140 grupos e campanhas cadastradas, tais como: “Salvamos Vidas – O Boticário”, “Escola da Família”, “Estrela Solidária”, “Quem doa sangue salva vida”, “Embaixada: Ativistas pela Paz”, “Amigos do Dr. Pompeu”, “Maria Sangue Bom”, “Sangue Vermelho, Branco e Preto”, “Sangue Rubro Negro”, “Unip Secretariado”, “Sangue Corinthiano”, “Sangue Alvinegro”, “Motociclista Sangue Bom”, “Campanha Marilú”, “Rádio 89 FM”, “RCell Doe Sangue. Salve Vida”, “Porto Seguro”, “Grupo Rossi”, “Drogaria São Paulo”, “Mercado Livre”, “Escoteiros”, “Vidas por Vidas” da Igreja Adventista, entre outras ações realizadas por associações religiosas, empresas e comunidades. Essas campanhas corresponderam a 4.000 bolsas coletadas.</w:t>
      </w:r>
    </w:p>
    <w:p w:rsidR="003E6588" w:rsidRDefault="003E6588">
      <w:pPr>
        <w:tabs>
          <w:tab w:val="left" w:pos="284"/>
        </w:tabs>
        <w:ind w:firstLine="1134"/>
        <w:jc w:val="both"/>
      </w:pPr>
      <w:r>
        <w:lastRenderedPageBreak/>
        <w:t xml:space="preserve">O programa de Coleta </w:t>
      </w:r>
      <w:r w:rsidRPr="003B67EB">
        <w:t>Externa, realizado</w:t>
      </w:r>
      <w:r>
        <w:t xml:space="preserve"> em empresas, universidades, escolas e comunidades foi responsável por 4% das bolsas coletadas.</w:t>
      </w:r>
    </w:p>
    <w:p w:rsidR="003E6588" w:rsidRDefault="003E6588">
      <w:pPr>
        <w:tabs>
          <w:tab w:val="left" w:pos="284"/>
        </w:tabs>
        <w:ind w:firstLine="1134"/>
        <w:jc w:val="both"/>
      </w:pPr>
    </w:p>
    <w:p w:rsidR="003E6588" w:rsidRDefault="003E6588">
      <w:pPr>
        <w:tabs>
          <w:tab w:val="left" w:pos="284"/>
        </w:tabs>
        <w:ind w:firstLine="1134"/>
        <w:jc w:val="both"/>
      </w:pPr>
      <w:r>
        <w:t xml:space="preserve">O serviço de </w:t>
      </w:r>
      <w:r>
        <w:rPr>
          <w:i/>
        </w:rPr>
        <w:t>van</w:t>
      </w:r>
      <w:r>
        <w:t xml:space="preserve"> atendeu cerca de 1.500 doadores. Grupos de 10 a 15 doadores podem solicitar o veículo pelo Alô Pró-Sangue. </w:t>
      </w:r>
    </w:p>
    <w:p w:rsidR="003E6588" w:rsidRDefault="003E6588">
      <w:pPr>
        <w:tabs>
          <w:tab w:val="left" w:pos="284"/>
        </w:tabs>
        <w:ind w:firstLine="1134"/>
        <w:jc w:val="both"/>
      </w:pPr>
    </w:p>
    <w:p w:rsidR="003E6588" w:rsidRDefault="003E6588">
      <w:pPr>
        <w:tabs>
          <w:tab w:val="left" w:pos="284"/>
        </w:tabs>
        <w:ind w:firstLine="1134"/>
        <w:jc w:val="both"/>
      </w:pPr>
      <w:r>
        <w:t>A Campanha “</w:t>
      </w:r>
      <w:r>
        <w:rPr>
          <w:b/>
        </w:rPr>
        <w:t>Doe sangue e passe a bola para um amigo</w:t>
      </w:r>
      <w:r>
        <w:t>” contou com apoio de personalidades. A ação já reúne 40 celebridades entre artistas, músicos, jornalistas, jogadores consagrados, artistas plásticos da arte contemporânea.</w:t>
      </w:r>
    </w:p>
    <w:p w:rsidR="003E6588" w:rsidRDefault="003E6588">
      <w:pPr>
        <w:tabs>
          <w:tab w:val="left" w:pos="284"/>
        </w:tabs>
        <w:ind w:firstLine="1134"/>
        <w:jc w:val="both"/>
      </w:pPr>
    </w:p>
    <w:p w:rsidR="003E6588" w:rsidRDefault="003E6588">
      <w:pPr>
        <w:tabs>
          <w:tab w:val="left" w:pos="284"/>
        </w:tabs>
        <w:ind w:firstLine="1134"/>
        <w:jc w:val="both"/>
      </w:pPr>
      <w:r>
        <w:t xml:space="preserve">Dia Internacional do Doador e Dia Nacional do Doador Voluntário de Sangue: a Pró-Sangue organizou eventos que homenageiam as pessoas que abraçam a causa da doação. Aconteceu a </w:t>
      </w:r>
      <w:r>
        <w:rPr>
          <w:i/>
        </w:rPr>
        <w:t>Donation Week</w:t>
      </w:r>
      <w:r>
        <w:t xml:space="preserve">, evento que contou com a colaboração de </w:t>
      </w:r>
      <w:r>
        <w:rPr>
          <w:i/>
        </w:rPr>
        <w:t>chefs</w:t>
      </w:r>
      <w:r>
        <w:t xml:space="preserve"> famosos que doaram lanches especialmente produzidos para distribuição nos postos de coleta. Foram atendidos 5.000 candidatos à doação.</w:t>
      </w:r>
    </w:p>
    <w:p w:rsidR="003E6588" w:rsidRDefault="003E6588">
      <w:pPr>
        <w:tabs>
          <w:tab w:val="left" w:pos="284"/>
        </w:tabs>
        <w:ind w:firstLine="1134"/>
        <w:jc w:val="both"/>
      </w:pPr>
    </w:p>
    <w:p w:rsidR="003E6588" w:rsidRDefault="003E6588">
      <w:pPr>
        <w:tabs>
          <w:tab w:val="left" w:pos="284"/>
        </w:tabs>
        <w:ind w:firstLine="1134"/>
        <w:jc w:val="both"/>
      </w:pPr>
      <w:r>
        <w:t>O Clube Irmãos de Sangue, que reúne doadores com 10 doações voluntárias, alcançou a marca de 8.000 associados.</w:t>
      </w:r>
    </w:p>
    <w:p w:rsidR="003E6588" w:rsidRDefault="003E6588">
      <w:pPr>
        <w:tabs>
          <w:tab w:val="left" w:pos="284"/>
        </w:tabs>
        <w:ind w:firstLine="1134"/>
        <w:jc w:val="both"/>
      </w:pPr>
    </w:p>
    <w:p w:rsidR="003E6588" w:rsidRDefault="003E6588">
      <w:pPr>
        <w:tabs>
          <w:tab w:val="left" w:pos="284"/>
        </w:tabs>
        <w:ind w:firstLine="1134"/>
        <w:jc w:val="both"/>
      </w:pPr>
      <w:r>
        <w:t xml:space="preserve">Nas ações de </w:t>
      </w:r>
      <w:r>
        <w:rPr>
          <w:i/>
        </w:rPr>
        <w:t>marketing,</w:t>
      </w:r>
      <w:r>
        <w:t xml:space="preserve"> destaca-se a convocação de doadores por telefone (36 mil), </w:t>
      </w:r>
      <w:r>
        <w:rPr>
          <w:i/>
        </w:rPr>
        <w:t xml:space="preserve">e-mails </w:t>
      </w:r>
      <w:r>
        <w:t xml:space="preserve">(600 mil), malas-diretas (300 mil) e </w:t>
      </w:r>
      <w:r>
        <w:rPr>
          <w:i/>
        </w:rPr>
        <w:t>SMS</w:t>
      </w:r>
      <w:r>
        <w:t xml:space="preserve"> (500 mil). Pelo Alô Pró-Sangue 0800-550300, recebidas cerca de 20.000 ligações de pessoas buscando informações sobre a doação de sangue, endereços de postos de coletas e agendamento de doação. Inserções na mídia impressa e eletrônica totalizaram 2.000 espaços gratuitos.</w:t>
      </w:r>
    </w:p>
    <w:p w:rsidR="003E6588" w:rsidRDefault="003E6588">
      <w:pPr>
        <w:tabs>
          <w:tab w:val="left" w:pos="284"/>
        </w:tabs>
        <w:ind w:firstLine="1134"/>
        <w:jc w:val="both"/>
      </w:pPr>
    </w:p>
    <w:p w:rsidR="003E6588" w:rsidRDefault="003E6588">
      <w:pPr>
        <w:tabs>
          <w:tab w:val="left" w:pos="284"/>
        </w:tabs>
        <w:ind w:firstLine="1134"/>
        <w:jc w:val="both"/>
        <w:rPr>
          <w:snapToGrid w:val="0"/>
          <w:color w:val="000000"/>
        </w:rPr>
      </w:pPr>
      <w:r>
        <w:t xml:space="preserve">Pelo </w:t>
      </w:r>
      <w:r w:rsidRPr="003B67EB">
        <w:rPr>
          <w:i/>
        </w:rPr>
        <w:t>site</w:t>
      </w:r>
      <w:r w:rsidRPr="003B67EB">
        <w:t>, foram registrados</w:t>
      </w:r>
      <w:r>
        <w:t xml:space="preserve"> 600.000 acessos</w:t>
      </w:r>
      <w:r>
        <w:rPr>
          <w:color w:val="FF0000"/>
        </w:rPr>
        <w:t>;</w:t>
      </w:r>
      <w:r>
        <w:t xml:space="preserve"> aumento anual de 50%. Fale Conosco, r</w:t>
      </w:r>
      <w:r>
        <w:rPr>
          <w:snapToGrid w:val="0"/>
        </w:rPr>
        <w:t>espondidos</w:t>
      </w:r>
      <w:r>
        <w:rPr>
          <w:snapToGrid w:val="0"/>
          <w:color w:val="000000"/>
        </w:rPr>
        <w:t xml:space="preserve"> 1.602 </w:t>
      </w:r>
      <w:r>
        <w:rPr>
          <w:i/>
          <w:snapToGrid w:val="0"/>
          <w:color w:val="000000"/>
        </w:rPr>
        <w:t>e-mails</w:t>
      </w:r>
      <w:r>
        <w:rPr>
          <w:snapToGrid w:val="0"/>
          <w:color w:val="000000"/>
        </w:rPr>
        <w:t>.</w:t>
      </w:r>
    </w:p>
    <w:p w:rsidR="003E6588" w:rsidRDefault="003E6588">
      <w:pPr>
        <w:pStyle w:val="PargrafodaLista"/>
        <w:tabs>
          <w:tab w:val="left" w:pos="284"/>
        </w:tabs>
        <w:ind w:left="0" w:firstLine="1134"/>
        <w:contextualSpacing w:val="0"/>
        <w:rPr>
          <w:rFonts w:ascii="Times New Roman" w:hAnsi="Times New Roman"/>
          <w:strike/>
          <w:sz w:val="24"/>
          <w:szCs w:val="24"/>
        </w:rPr>
      </w:pPr>
    </w:p>
    <w:p w:rsidR="003E6588" w:rsidRDefault="003E6588">
      <w:pPr>
        <w:pStyle w:val="PargrafodaLista"/>
        <w:tabs>
          <w:tab w:val="left" w:pos="284"/>
        </w:tabs>
        <w:ind w:left="0" w:firstLine="1134"/>
        <w:contextualSpacing w:val="0"/>
        <w:rPr>
          <w:rFonts w:ascii="Times New Roman" w:hAnsi="Times New Roman"/>
          <w:sz w:val="24"/>
          <w:szCs w:val="24"/>
        </w:rPr>
      </w:pPr>
      <w:r>
        <w:rPr>
          <w:rFonts w:ascii="Times New Roman" w:hAnsi="Times New Roman"/>
          <w:sz w:val="24"/>
          <w:szCs w:val="24"/>
        </w:rPr>
        <w:t>Ocorreu aumento no número de doadores do sexo feminino, 42%. A Pró-Sangue vem concentrando ações de convocação para o sexo feminino, devido ao índice histórico de baixa alteração sorológica nesse público. Aumentos significativos foram nos percentuais de doadores de repetição: 40%, e na faixa etária de 18 a 29 anos 34%.</w:t>
      </w:r>
    </w:p>
    <w:p w:rsidR="003E6588" w:rsidRDefault="003E6588">
      <w:pPr>
        <w:pStyle w:val="PargrafodaLista"/>
        <w:tabs>
          <w:tab w:val="left" w:pos="284"/>
        </w:tabs>
        <w:ind w:left="0" w:firstLine="1134"/>
        <w:contextualSpacing w:val="0"/>
        <w:rPr>
          <w:rFonts w:ascii="Times New Roman" w:hAnsi="Times New Roman"/>
          <w:sz w:val="24"/>
          <w:szCs w:val="24"/>
        </w:rPr>
      </w:pPr>
    </w:p>
    <w:p w:rsidR="003E6588" w:rsidRDefault="003E6588">
      <w:pPr>
        <w:pStyle w:val="PargrafodaLista"/>
        <w:tabs>
          <w:tab w:val="left" w:pos="284"/>
        </w:tabs>
        <w:ind w:left="0" w:firstLine="1134"/>
        <w:contextualSpacing w:val="0"/>
        <w:rPr>
          <w:rFonts w:ascii="Times New Roman" w:hAnsi="Times New Roman"/>
          <w:sz w:val="24"/>
          <w:szCs w:val="24"/>
        </w:rPr>
      </w:pPr>
      <w:r>
        <w:rPr>
          <w:rFonts w:ascii="Times New Roman" w:hAnsi="Times New Roman"/>
          <w:sz w:val="24"/>
          <w:szCs w:val="24"/>
        </w:rPr>
        <w:t xml:space="preserve">Produzidas 138 peças de comunicação entre </w:t>
      </w:r>
      <w:r>
        <w:rPr>
          <w:rFonts w:ascii="Times New Roman" w:hAnsi="Times New Roman"/>
          <w:i/>
          <w:sz w:val="24"/>
          <w:szCs w:val="24"/>
        </w:rPr>
        <w:t>banners</w:t>
      </w:r>
      <w:r>
        <w:rPr>
          <w:rFonts w:ascii="Times New Roman" w:hAnsi="Times New Roman"/>
          <w:sz w:val="24"/>
          <w:szCs w:val="24"/>
        </w:rPr>
        <w:t xml:space="preserve">, cartões, cartazes, folhetos, adesivos, </w:t>
      </w:r>
      <w:r>
        <w:rPr>
          <w:rFonts w:ascii="Times New Roman" w:hAnsi="Times New Roman"/>
          <w:i/>
          <w:sz w:val="24"/>
          <w:szCs w:val="24"/>
        </w:rPr>
        <w:t>backdrop</w:t>
      </w:r>
      <w:r>
        <w:rPr>
          <w:rFonts w:ascii="Times New Roman" w:hAnsi="Times New Roman"/>
          <w:sz w:val="24"/>
          <w:szCs w:val="24"/>
        </w:rPr>
        <w:t>, malas diretas, placas, painéis, jornal impresso, para chamar a atenção da população para este importante gesto; distribuídos 200.000 folhetos a empresas, comunidades, universidades e igrejas.</w:t>
      </w:r>
    </w:p>
    <w:p w:rsidR="003E6588" w:rsidRDefault="003E6588"/>
    <w:p w:rsidR="003E6588" w:rsidRDefault="003E6588">
      <w:pPr>
        <w:rPr>
          <w:b/>
          <w:bCs/>
        </w:rPr>
      </w:pPr>
      <w:r>
        <w:br w:type="page"/>
      </w:r>
      <w:r>
        <w:rPr>
          <w:b/>
          <w:bCs/>
        </w:rPr>
        <w:lastRenderedPageBreak/>
        <w:t>SECRETARIA DA SEGURANÇA PÚBLICA</w:t>
      </w:r>
    </w:p>
    <w:p w:rsidR="003E6588" w:rsidRDefault="003E6588"/>
    <w:p w:rsidR="003E6588" w:rsidRDefault="003E6588"/>
    <w:p w:rsidR="003E6588" w:rsidRDefault="003E6588">
      <w:pPr>
        <w:ind w:firstLine="1134"/>
        <w:jc w:val="both"/>
        <w:rPr>
          <w:bCs/>
        </w:rPr>
      </w:pPr>
      <w:r>
        <w:rPr>
          <w:b/>
          <w:bCs/>
        </w:rPr>
        <w:t xml:space="preserve">Legislação - </w:t>
      </w:r>
      <w:r>
        <w:rPr>
          <w:bCs/>
        </w:rPr>
        <w:t>Por meio de diversos atos legislativos, foram implementadas mudanças estruturais, funcionais e de gestão da política de segurança pública paulista, com foco na redução dos crimes contra o patrimônio, integração e valorização das polícias.</w:t>
      </w:r>
    </w:p>
    <w:p w:rsidR="003E6588" w:rsidRDefault="003E6588">
      <w:pPr>
        <w:ind w:firstLine="1134"/>
        <w:jc w:val="both"/>
        <w:rPr>
          <w:bCs/>
        </w:rPr>
      </w:pPr>
    </w:p>
    <w:p w:rsidR="003E6588" w:rsidRDefault="003E6588">
      <w:pPr>
        <w:ind w:firstLine="1134"/>
        <w:jc w:val="both"/>
        <w:rPr>
          <w:bCs/>
        </w:rPr>
      </w:pPr>
      <w:r>
        <w:rPr>
          <w:bCs/>
        </w:rPr>
        <w:t>Foram promulgadas leis regulamentando a destinação de veículos em fim de vida útil (Lei do Desmanche) e estabelecendo a bonificação por resultados para as polícias estaduais.</w:t>
      </w:r>
    </w:p>
    <w:p w:rsidR="003E6588" w:rsidRDefault="003E6588">
      <w:pPr>
        <w:ind w:firstLine="1134"/>
        <w:jc w:val="both"/>
        <w:rPr>
          <w:bCs/>
        </w:rPr>
      </w:pPr>
    </w:p>
    <w:p w:rsidR="003E6588" w:rsidRDefault="003E6588">
      <w:pPr>
        <w:ind w:firstLine="1134"/>
        <w:jc w:val="both"/>
        <w:rPr>
          <w:b/>
          <w:bCs/>
        </w:rPr>
      </w:pPr>
      <w:r>
        <w:rPr>
          <w:b/>
          <w:bCs/>
        </w:rPr>
        <w:t>Leis Complementares</w:t>
      </w:r>
    </w:p>
    <w:p w:rsidR="003E6588" w:rsidRDefault="003E6588">
      <w:pPr>
        <w:ind w:firstLine="1134"/>
        <w:jc w:val="both"/>
        <w:rPr>
          <w:strike/>
          <w:szCs w:val="32"/>
        </w:rPr>
      </w:pPr>
    </w:p>
    <w:p w:rsidR="003E6588" w:rsidRDefault="003E6588">
      <w:pPr>
        <w:autoSpaceDE w:val="0"/>
        <w:autoSpaceDN w:val="0"/>
        <w:adjustRightInd w:val="0"/>
        <w:ind w:firstLine="1134"/>
        <w:jc w:val="both"/>
      </w:pPr>
      <w:r>
        <w:t>Lei Complementar nº 1.245/2014 - Institui a Bonificação por resultados - BR aos integrantes das Polícias Civil, Técnico-Científica e Militar.</w:t>
      </w:r>
    </w:p>
    <w:p w:rsidR="003E6588" w:rsidRDefault="003E6588">
      <w:pPr>
        <w:autoSpaceDE w:val="0"/>
        <w:autoSpaceDN w:val="0"/>
        <w:adjustRightInd w:val="0"/>
        <w:ind w:firstLine="1134"/>
        <w:jc w:val="both"/>
      </w:pPr>
    </w:p>
    <w:p w:rsidR="003E6588" w:rsidRDefault="003E6588">
      <w:pPr>
        <w:autoSpaceDE w:val="0"/>
        <w:autoSpaceDN w:val="0"/>
        <w:adjustRightInd w:val="0"/>
        <w:ind w:firstLine="1134"/>
        <w:jc w:val="both"/>
      </w:pPr>
      <w:r>
        <w:t>Lei Complementar nº 1.249/2014 -</w:t>
      </w:r>
      <w:r w:rsidR="00CE42F3" w:rsidRPr="00CE42F3">
        <w:t xml:space="preserve"> </w:t>
      </w:r>
      <w:r>
        <w:t>D</w:t>
      </w:r>
      <w:r w:rsidR="00CE42F3" w:rsidRPr="00CE42F3">
        <w:t>ispõe sobre a reclassificação dos vencimentos dos integrantes das carreiras policiais civis e militares da Secretaria d</w:t>
      </w:r>
      <w:r>
        <w:t>a</w:t>
      </w:r>
      <w:r w:rsidR="00CE42F3" w:rsidRPr="00CE42F3">
        <w:t xml:space="preserve"> Segurança</w:t>
      </w:r>
      <w:r w:rsidR="00CE42F3" w:rsidRPr="00CE42F3">
        <w:rPr>
          <w:color w:val="000000"/>
        </w:rPr>
        <w:t xml:space="preserve"> Pública, bem como da carreira e classe que especifica da Secretaria da Administração Penitenciária</w:t>
      </w:r>
      <w:r>
        <w:rPr>
          <w:color w:val="000000"/>
        </w:rPr>
        <w:t>.</w:t>
      </w:r>
    </w:p>
    <w:p w:rsidR="003E6588" w:rsidRDefault="003E6588">
      <w:pPr>
        <w:ind w:firstLine="1134"/>
        <w:jc w:val="both"/>
        <w:rPr>
          <w:shd w:val="clear" w:color="auto" w:fill="FFFFFF"/>
        </w:rPr>
      </w:pPr>
    </w:p>
    <w:p w:rsidR="003E6588" w:rsidRDefault="003E6588">
      <w:pPr>
        <w:ind w:firstLine="1134"/>
        <w:jc w:val="both"/>
        <w:rPr>
          <w:shd w:val="clear" w:color="auto" w:fill="FFFFFF"/>
        </w:rPr>
      </w:pPr>
      <w:r>
        <w:rPr>
          <w:shd w:val="clear" w:color="auto" w:fill="FFFFFF"/>
        </w:rPr>
        <w:t>Lei Complementar nº 1.257/2015 - institui o Código Estadual de Proteção contra Incêndios e Emergências</w:t>
      </w:r>
    </w:p>
    <w:p w:rsidR="003E6588" w:rsidRDefault="003E6588">
      <w:pPr>
        <w:ind w:firstLine="1134"/>
        <w:jc w:val="both"/>
        <w:rPr>
          <w:strike/>
          <w:shd w:val="clear" w:color="auto" w:fill="FFFFFF"/>
        </w:rPr>
      </w:pPr>
    </w:p>
    <w:p w:rsidR="003E6588" w:rsidRDefault="003E6588" w:rsidP="00642F9B">
      <w:pPr>
        <w:ind w:firstLine="1134"/>
        <w:jc w:val="both"/>
        <w:rPr>
          <w:b/>
          <w:bCs/>
        </w:rPr>
      </w:pPr>
      <w:r>
        <w:rPr>
          <w:b/>
          <w:bCs/>
        </w:rPr>
        <w:t>Leis Ordinárias</w:t>
      </w:r>
    </w:p>
    <w:p w:rsidR="003E6588" w:rsidRDefault="003E6588">
      <w:pPr>
        <w:ind w:firstLine="1134"/>
        <w:jc w:val="both"/>
        <w:rPr>
          <w:iCs/>
        </w:rPr>
      </w:pPr>
    </w:p>
    <w:p w:rsidR="00CB0DF8" w:rsidRDefault="003E6588">
      <w:pPr>
        <w:ind w:firstLine="1134"/>
        <w:jc w:val="both"/>
      </w:pPr>
      <w:r>
        <w:rPr>
          <w:iCs/>
        </w:rPr>
        <w:t>Lei nº 15.276/2014 - D</w:t>
      </w:r>
      <w:r w:rsidR="00CE42F3" w:rsidRPr="00CE42F3">
        <w:rPr>
          <w:iCs/>
        </w:rPr>
        <w:t xml:space="preserve">ispõe sobre a destinação de veículos em fim de vida útil e dá outras </w:t>
      </w:r>
      <w:r>
        <w:rPr>
          <w:iCs/>
        </w:rPr>
        <w:t>providências.</w:t>
      </w:r>
    </w:p>
    <w:p w:rsidR="003E6588" w:rsidRDefault="003E6588">
      <w:pPr>
        <w:ind w:firstLine="1134"/>
        <w:jc w:val="both"/>
        <w:rPr>
          <w:bCs/>
          <w:u w:val="single"/>
        </w:rPr>
      </w:pPr>
    </w:p>
    <w:p w:rsidR="003E6588" w:rsidRDefault="003E6588" w:rsidP="00642F9B">
      <w:pPr>
        <w:ind w:firstLine="1134"/>
        <w:jc w:val="both"/>
      </w:pPr>
      <w:r>
        <w:t>Lei nº 15.518//2014 - Dispõe sobre instalação de câmeras de monitoramento e vigilância em áreas com incidência de ocorrências policiais.</w:t>
      </w:r>
    </w:p>
    <w:p w:rsidR="003E6588" w:rsidRDefault="003E6588">
      <w:pPr>
        <w:ind w:firstLine="1134"/>
        <w:jc w:val="both"/>
      </w:pPr>
    </w:p>
    <w:p w:rsidR="003E6588" w:rsidRDefault="003E6588" w:rsidP="00642F9B">
      <w:pPr>
        <w:ind w:firstLine="1134"/>
        <w:jc w:val="both"/>
        <w:rPr>
          <w:strike/>
        </w:rPr>
      </w:pPr>
      <w:r>
        <w:t>Lei nº 15.556/2014 - Restringe o uso de máscaras ou qualquer paramento que oculte o rosto da pessoa em manifestações e reuniões.</w:t>
      </w:r>
    </w:p>
    <w:p w:rsidR="003E6588" w:rsidRDefault="003E6588">
      <w:pPr>
        <w:ind w:firstLine="1134"/>
        <w:jc w:val="both"/>
        <w:rPr>
          <w:bCs/>
          <w:u w:val="single"/>
        </w:rPr>
      </w:pPr>
    </w:p>
    <w:p w:rsidR="003E6588" w:rsidRDefault="003E6588" w:rsidP="00642F9B">
      <w:pPr>
        <w:ind w:firstLine="1134"/>
        <w:jc w:val="both"/>
        <w:rPr>
          <w:b/>
          <w:bCs/>
        </w:rPr>
      </w:pPr>
      <w:r>
        <w:rPr>
          <w:b/>
          <w:bCs/>
        </w:rPr>
        <w:t>Decretos</w:t>
      </w:r>
    </w:p>
    <w:p w:rsidR="003E6588" w:rsidRDefault="003E6588">
      <w:pPr>
        <w:tabs>
          <w:tab w:val="center" w:pos="5352"/>
        </w:tabs>
        <w:ind w:firstLine="1134"/>
        <w:jc w:val="both"/>
        <w:rPr>
          <w:bCs/>
          <w:u w:val="single"/>
        </w:rPr>
      </w:pPr>
    </w:p>
    <w:p w:rsidR="003E6588" w:rsidRDefault="003E6588" w:rsidP="00642F9B">
      <w:pPr>
        <w:tabs>
          <w:tab w:val="center" w:pos="5352"/>
        </w:tabs>
        <w:ind w:firstLine="1134"/>
        <w:jc w:val="both"/>
      </w:pPr>
      <w:r>
        <w:t>Decreto nº 60.028/2014 - Cria a 1ª Delegacia de Polícia da Pessoa com Deficiência, na 1ª Delegacia Seccional de Polícia do Departamento de Polícia Judiciária da Capital - DECAP.</w:t>
      </w:r>
    </w:p>
    <w:p w:rsidR="003E6588" w:rsidRDefault="003E6588">
      <w:pPr>
        <w:tabs>
          <w:tab w:val="center" w:pos="5352"/>
        </w:tabs>
        <w:ind w:firstLine="1134"/>
        <w:jc w:val="both"/>
      </w:pPr>
    </w:p>
    <w:p w:rsidR="003E6588" w:rsidRDefault="003E6588">
      <w:pPr>
        <w:tabs>
          <w:tab w:val="center" w:pos="5352"/>
        </w:tabs>
        <w:ind w:firstLine="1134"/>
        <w:jc w:val="both"/>
      </w:pPr>
      <w:r>
        <w:t>Decreto nº 60.034/2014 - Cria o 1º Batalhão de Ações Especiais de Polícia (1º BAEP), sediado em Campinas.</w:t>
      </w:r>
    </w:p>
    <w:p w:rsidR="003E6588" w:rsidRDefault="003E6588">
      <w:pPr>
        <w:tabs>
          <w:tab w:val="center" w:pos="5352"/>
        </w:tabs>
        <w:ind w:firstLine="1134"/>
        <w:jc w:val="both"/>
      </w:pPr>
    </w:p>
    <w:p w:rsidR="003E6588" w:rsidRDefault="003E6588" w:rsidP="00642F9B">
      <w:pPr>
        <w:tabs>
          <w:tab w:val="center" w:pos="5352"/>
        </w:tabs>
        <w:ind w:firstLine="1134"/>
        <w:jc w:val="both"/>
      </w:pPr>
      <w:r>
        <w:lastRenderedPageBreak/>
        <w:t>Decreto nº 60.353/2014 - Cria a 5ª Delegacia de Polícia de Repressão e Análise aos Delitos de Intolerância Esportiva - DRADE, na Divisão de Proteção à Pessoa do Departamento Estadual de Homicídios e de Proteção à Pessoa - DHPP.</w:t>
      </w:r>
    </w:p>
    <w:p w:rsidR="00642F9B" w:rsidRDefault="00642F9B" w:rsidP="00642F9B">
      <w:pPr>
        <w:tabs>
          <w:tab w:val="center" w:pos="5352"/>
        </w:tabs>
        <w:ind w:firstLine="1134"/>
        <w:jc w:val="both"/>
      </w:pPr>
    </w:p>
    <w:p w:rsidR="003E6588" w:rsidRPr="00642F9B" w:rsidRDefault="003E6588" w:rsidP="00642F9B">
      <w:pPr>
        <w:tabs>
          <w:tab w:val="center" w:pos="5352"/>
        </w:tabs>
        <w:ind w:firstLine="1134"/>
        <w:jc w:val="both"/>
      </w:pPr>
      <w:r>
        <w:t>Decreto nº 60.</w:t>
      </w:r>
      <w:r w:rsidRPr="00642F9B">
        <w:t xml:space="preserve">512/2014 - Instala as Delegacias de Polícia de Defesa da Mulher de Itapevi e de Santana de Parnaíba no Departamento de Polícia Judiciária da Macro São Paulo </w:t>
      </w:r>
      <w:r w:rsidR="00642F9B">
        <w:t>-</w:t>
      </w:r>
      <w:r w:rsidRPr="00642F9B">
        <w:t xml:space="preserve"> DEMACRO.</w:t>
      </w:r>
    </w:p>
    <w:p w:rsidR="003E6588" w:rsidRPr="00642F9B" w:rsidRDefault="003E6588">
      <w:pPr>
        <w:tabs>
          <w:tab w:val="center" w:pos="5352"/>
        </w:tabs>
        <w:ind w:firstLine="1134"/>
        <w:jc w:val="both"/>
      </w:pPr>
    </w:p>
    <w:p w:rsidR="003E6588" w:rsidRPr="00642F9B" w:rsidRDefault="003E6588">
      <w:pPr>
        <w:tabs>
          <w:tab w:val="center" w:pos="5352"/>
        </w:tabs>
        <w:ind w:firstLine="1134"/>
        <w:jc w:val="both"/>
      </w:pPr>
      <w:r w:rsidRPr="00642F9B">
        <w:t>Decreto nº 60.657/2014 - Cria o 2º Batalhão de Ações Especiais de Polícia (2º BAEP), sediado em Santos.</w:t>
      </w:r>
    </w:p>
    <w:p w:rsidR="003E6588" w:rsidRDefault="003E6588">
      <w:pPr>
        <w:tabs>
          <w:tab w:val="center" w:pos="5352"/>
        </w:tabs>
        <w:ind w:firstLine="1134"/>
        <w:jc w:val="both"/>
      </w:pPr>
    </w:p>
    <w:p w:rsidR="003E6588" w:rsidRDefault="003E6588">
      <w:pPr>
        <w:tabs>
          <w:tab w:val="center" w:pos="5352"/>
        </w:tabs>
        <w:ind w:firstLine="1134"/>
        <w:jc w:val="both"/>
      </w:pPr>
      <w:r>
        <w:t>Decreto nº 60.715/2014 - Cria o 3° Batalhão de Ações Especiais de Polícia (3° BAEP), sediado em São José dos Campos.</w:t>
      </w:r>
    </w:p>
    <w:p w:rsidR="003E6588" w:rsidRDefault="003E6588">
      <w:pPr>
        <w:ind w:firstLine="1134"/>
        <w:jc w:val="both"/>
        <w:rPr>
          <w:bCs/>
        </w:rPr>
      </w:pPr>
    </w:p>
    <w:p w:rsidR="003E6588" w:rsidRDefault="003E6588" w:rsidP="00642F9B">
      <w:pPr>
        <w:ind w:firstLine="1134"/>
        <w:jc w:val="both"/>
        <w:rPr>
          <w:bCs/>
        </w:rPr>
      </w:pPr>
      <w:r>
        <w:rPr>
          <w:bCs/>
        </w:rPr>
        <w:t>Decreto nº 60.717</w:t>
      </w:r>
      <w:r>
        <w:t>/2014</w:t>
      </w:r>
      <w:r>
        <w:rPr>
          <w:bCs/>
        </w:rPr>
        <w:t>, dispõe sobre a fixação de valor máximo anual para fins de pagamento da Bonificação por Resultados - BR, para o exercício de 2014.</w:t>
      </w:r>
    </w:p>
    <w:p w:rsidR="003E6588" w:rsidRDefault="003E6588">
      <w:pPr>
        <w:tabs>
          <w:tab w:val="center" w:pos="5352"/>
        </w:tabs>
        <w:ind w:firstLine="1134"/>
        <w:jc w:val="both"/>
        <w:rPr>
          <w:bCs/>
        </w:rPr>
      </w:pPr>
    </w:p>
    <w:p w:rsidR="003E6588" w:rsidRDefault="003E6588" w:rsidP="00642F9B">
      <w:pPr>
        <w:tabs>
          <w:tab w:val="center" w:pos="5352"/>
        </w:tabs>
        <w:ind w:firstLine="1134"/>
        <w:jc w:val="both"/>
        <w:rPr>
          <w:bCs/>
          <w:iCs/>
        </w:rPr>
      </w:pPr>
      <w:r>
        <w:rPr>
          <w:bCs/>
        </w:rPr>
        <w:t>Decreto nº 60.922</w:t>
      </w:r>
      <w:r>
        <w:t xml:space="preserve">/2014 </w:t>
      </w:r>
      <w:r>
        <w:rPr>
          <w:bCs/>
        </w:rPr>
        <w:t>- D</w:t>
      </w:r>
      <w:r>
        <w:rPr>
          <w:bCs/>
          <w:iCs/>
        </w:rPr>
        <w:t>ispõe sobre a extinção da Cadeia Pública de São José do Rio Preto.</w:t>
      </w:r>
    </w:p>
    <w:p w:rsidR="00642F9B" w:rsidRDefault="00642F9B" w:rsidP="00642F9B">
      <w:pPr>
        <w:tabs>
          <w:tab w:val="center" w:pos="5352"/>
        </w:tabs>
        <w:ind w:firstLine="1134"/>
        <w:jc w:val="both"/>
        <w:rPr>
          <w:bCs/>
          <w:iCs/>
        </w:rPr>
      </w:pPr>
    </w:p>
    <w:p w:rsidR="00CB0DF8" w:rsidRDefault="003E6588">
      <w:pPr>
        <w:tabs>
          <w:tab w:val="center" w:pos="5352"/>
        </w:tabs>
        <w:ind w:firstLine="1134"/>
        <w:jc w:val="both"/>
      </w:pPr>
      <w:r>
        <w:t>Decreto nº 60.761/2014 - Dispõe sobre o compartilhamento de imagens e sistema de imagens pelos órgãos da administração pública direta, indireta e fundacional do Estado.</w:t>
      </w:r>
    </w:p>
    <w:p w:rsidR="003E6588" w:rsidRDefault="003E6588">
      <w:pPr>
        <w:ind w:firstLine="1134"/>
        <w:jc w:val="both"/>
        <w:rPr>
          <w:bCs/>
        </w:rPr>
      </w:pPr>
    </w:p>
    <w:p w:rsidR="003E6588" w:rsidRDefault="003E6588">
      <w:pPr>
        <w:ind w:firstLine="1134"/>
        <w:jc w:val="both"/>
        <w:rPr>
          <w:b/>
        </w:rPr>
      </w:pPr>
      <w:r>
        <w:rPr>
          <w:b/>
        </w:rPr>
        <w:t>Resoluções Conjuntas</w:t>
      </w:r>
    </w:p>
    <w:p w:rsidR="00CB0DF8" w:rsidRDefault="00CB0DF8">
      <w:pPr>
        <w:jc w:val="both"/>
        <w:rPr>
          <w:u w:val="single"/>
        </w:rPr>
      </w:pPr>
    </w:p>
    <w:p w:rsidR="003E6588" w:rsidRDefault="003E6588">
      <w:pPr>
        <w:ind w:firstLine="1134"/>
        <w:jc w:val="both"/>
      </w:pPr>
      <w:r>
        <w:t>Resolução Conjunta SSP/SPDR/SGP/SDECTI nº 1/2014 - Cria Grupo de Trabalho para operacionalizar o ambiente virtual de participação comunitária, denominado CONSEG Virtual;</w:t>
      </w:r>
    </w:p>
    <w:p w:rsidR="003E6588" w:rsidRDefault="003E6588">
      <w:pPr>
        <w:ind w:firstLine="1134"/>
        <w:jc w:val="both"/>
        <w:rPr>
          <w:u w:val="single"/>
        </w:rPr>
      </w:pPr>
    </w:p>
    <w:p w:rsidR="003E6588" w:rsidRDefault="003E6588">
      <w:pPr>
        <w:ind w:firstLine="1134"/>
        <w:jc w:val="both"/>
      </w:pPr>
      <w:r>
        <w:t>Resolução Conjunta SSP/CC nº 1/2014 - Dispõe sobre a criação do gabinete Metropolitano de Gestão Estratégica de Segurança Pública da região Metropolitana de Sorocaba.</w:t>
      </w:r>
    </w:p>
    <w:p w:rsidR="003E6588" w:rsidRDefault="003E6588">
      <w:pPr>
        <w:ind w:firstLine="1134"/>
        <w:jc w:val="both"/>
      </w:pPr>
    </w:p>
    <w:p w:rsidR="003E6588" w:rsidRDefault="003E6588">
      <w:pPr>
        <w:ind w:firstLine="1134"/>
        <w:jc w:val="both"/>
        <w:rPr>
          <w:b/>
        </w:rPr>
      </w:pPr>
      <w:r>
        <w:rPr>
          <w:b/>
        </w:rPr>
        <w:t>Resoluções</w:t>
      </w:r>
    </w:p>
    <w:p w:rsidR="003E6588" w:rsidRDefault="003E6588">
      <w:pPr>
        <w:ind w:firstLine="1134"/>
        <w:jc w:val="both"/>
        <w:rPr>
          <w:u w:val="single"/>
        </w:rPr>
      </w:pPr>
    </w:p>
    <w:p w:rsidR="003E6588" w:rsidRDefault="003E6588">
      <w:pPr>
        <w:ind w:firstLine="1134"/>
        <w:jc w:val="both"/>
      </w:pPr>
      <w:r>
        <w:t xml:space="preserve">Resolução SSP nº </w:t>
      </w:r>
      <w:r w:rsidRPr="00642F9B">
        <w:t>175/2014 -</w:t>
      </w:r>
      <w:r>
        <w:t xml:space="preserve"> Aprova o regulamento dos Conselhos Comunitários de Segurança CONSEGs.</w:t>
      </w:r>
    </w:p>
    <w:p w:rsidR="003E6588" w:rsidRDefault="003E6588">
      <w:pPr>
        <w:ind w:firstLine="1134"/>
        <w:jc w:val="both"/>
      </w:pPr>
    </w:p>
    <w:p w:rsidR="003E6588" w:rsidRDefault="003E6588">
      <w:pPr>
        <w:ind w:firstLine="1134"/>
        <w:jc w:val="both"/>
      </w:pPr>
      <w:r>
        <w:t xml:space="preserve">Resolução SSP nº 157/2014 - Disciplina as ações de controle e acompanhamento do Programa de Bonificação por Resultados. </w:t>
      </w:r>
    </w:p>
    <w:p w:rsidR="003E6588" w:rsidRDefault="003E6588">
      <w:pPr>
        <w:ind w:firstLine="1134"/>
        <w:jc w:val="both"/>
      </w:pPr>
    </w:p>
    <w:p w:rsidR="00CB0DF8" w:rsidRDefault="003E6588">
      <w:pPr>
        <w:ind w:firstLine="1134"/>
        <w:jc w:val="both"/>
      </w:pPr>
      <w:r>
        <w:t>Resolução CC nº 60/2014 - Institui Grupo Técnico para promover estudos e propor medidas visando aprimorar a autonomia da Polícia Técnico-Científica.</w:t>
      </w:r>
    </w:p>
    <w:p w:rsidR="003E6588" w:rsidRDefault="003E6588">
      <w:pPr>
        <w:ind w:left="709" w:firstLine="707"/>
        <w:jc w:val="both"/>
      </w:pPr>
    </w:p>
    <w:p w:rsidR="00CB0DF8" w:rsidRDefault="003E6588">
      <w:pPr>
        <w:ind w:firstLine="1134"/>
        <w:jc w:val="both"/>
      </w:pPr>
      <w:r>
        <w:t>Resolução SSP nº 190/2014 - Disciplina os procedimentos para acionamento das equipes do IC e IML na Capital para pronta intervenção e liberação dos locais de crime;</w:t>
      </w:r>
    </w:p>
    <w:p w:rsidR="00CB0DF8" w:rsidRDefault="003E6588">
      <w:pPr>
        <w:ind w:firstLine="1134"/>
        <w:jc w:val="both"/>
      </w:pPr>
      <w:r>
        <w:lastRenderedPageBreak/>
        <w:t>Resolução SSP nº 191/2014 - Dispõe sobre o procedimento a ser adotado nas ocorrências policiais que envolvam a apreensão de máquinas de jogo de azar ou similares;</w:t>
      </w:r>
    </w:p>
    <w:p w:rsidR="003E6588" w:rsidRDefault="003E6588">
      <w:pPr>
        <w:ind w:firstLine="1134"/>
        <w:jc w:val="both"/>
      </w:pPr>
    </w:p>
    <w:p w:rsidR="003E6588" w:rsidRPr="00642F9B" w:rsidRDefault="003E6588">
      <w:pPr>
        <w:ind w:firstLine="1080"/>
        <w:jc w:val="both"/>
      </w:pPr>
      <w:r>
        <w:rPr>
          <w:b/>
        </w:rPr>
        <w:t xml:space="preserve">Indicadores Criminais e de Atividade Policial - </w:t>
      </w:r>
      <w:r>
        <w:t xml:space="preserve">Os indicadores criminais apresentaram redução dos crimes contra a pessoa (especialmente os homicídios) e aumento dos crimes contra o patrimônio (em especial os roubos e furto de veículos). Parte deste aumento dos crimes contra o patrimônio decorre da diminuição da subnotificação, graças à possibilidade do registro de roubo e furto de veículos e roubos diversos pela </w:t>
      </w:r>
      <w:r w:rsidRPr="00410EE0">
        <w:rPr>
          <w:i/>
        </w:rPr>
        <w:t>internet</w:t>
      </w:r>
      <w:r>
        <w:t>, através da Delegacia Eletrônica</w:t>
      </w:r>
      <w:r w:rsidRPr="00642F9B">
        <w:t>.</w:t>
      </w:r>
    </w:p>
    <w:p w:rsidR="003E6588" w:rsidRDefault="003E6588">
      <w:pPr>
        <w:ind w:firstLine="1080"/>
        <w:jc w:val="both"/>
      </w:pPr>
    </w:p>
    <w:tbl>
      <w:tblPr>
        <w:tblW w:w="5005" w:type="dxa"/>
        <w:jc w:val="center"/>
        <w:tblInd w:w="1012" w:type="dxa"/>
        <w:tblBorders>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5E0"/>
      </w:tblPr>
      <w:tblGrid>
        <w:gridCol w:w="3021"/>
        <w:gridCol w:w="1984"/>
      </w:tblGrid>
      <w:tr w:rsidR="003E6588" w:rsidTr="00642F9B">
        <w:trPr>
          <w:trHeight w:val="104"/>
          <w:jc w:val="center"/>
        </w:trPr>
        <w:tc>
          <w:tcPr>
            <w:tcW w:w="3016" w:type="dxa"/>
            <w:tcBorders>
              <w:top w:val="single" w:sz="8" w:space="0" w:color="auto"/>
            </w:tcBorders>
            <w:shd w:val="clear" w:color="auto" w:fill="auto"/>
            <w:vAlign w:val="center"/>
          </w:tcPr>
          <w:p w:rsidR="003E6588" w:rsidRDefault="003E6588">
            <w:pPr>
              <w:rPr>
                <w:b/>
                <w:sz w:val="20"/>
                <w:szCs w:val="20"/>
              </w:rPr>
            </w:pPr>
            <w:r>
              <w:rPr>
                <w:b/>
                <w:sz w:val="20"/>
                <w:szCs w:val="20"/>
              </w:rPr>
              <w:t>Modalidade Delituosa</w:t>
            </w:r>
          </w:p>
        </w:tc>
        <w:tc>
          <w:tcPr>
            <w:tcW w:w="1984" w:type="dxa"/>
            <w:tcBorders>
              <w:top w:val="single" w:sz="8" w:space="0" w:color="auto"/>
            </w:tcBorders>
            <w:shd w:val="clear" w:color="auto" w:fill="auto"/>
          </w:tcPr>
          <w:p w:rsidR="003E6588" w:rsidRDefault="003E6588">
            <w:pPr>
              <w:tabs>
                <w:tab w:val="left" w:pos="0"/>
              </w:tabs>
              <w:ind w:right="-70"/>
              <w:rPr>
                <w:b/>
                <w:color w:val="FF0000"/>
                <w:sz w:val="20"/>
                <w:szCs w:val="20"/>
              </w:rPr>
            </w:pPr>
            <w:r>
              <w:rPr>
                <w:b/>
                <w:sz w:val="20"/>
                <w:szCs w:val="20"/>
              </w:rPr>
              <w:t>Ocorrências</w:t>
            </w:r>
          </w:p>
        </w:tc>
      </w:tr>
      <w:tr w:rsidR="003E6588" w:rsidTr="00642F9B">
        <w:trPr>
          <w:trHeight w:val="188"/>
          <w:jc w:val="center"/>
        </w:trPr>
        <w:tc>
          <w:tcPr>
            <w:tcW w:w="3016" w:type="dxa"/>
            <w:vAlign w:val="center"/>
          </w:tcPr>
          <w:p w:rsidR="003E6588" w:rsidRDefault="003E6588" w:rsidP="00642F9B">
            <w:pPr>
              <w:jc w:val="left"/>
              <w:rPr>
                <w:sz w:val="20"/>
                <w:szCs w:val="20"/>
              </w:rPr>
            </w:pPr>
            <w:r>
              <w:rPr>
                <w:sz w:val="20"/>
                <w:szCs w:val="20"/>
              </w:rPr>
              <w:t>Homicídios Dolosos</w:t>
            </w:r>
          </w:p>
        </w:tc>
        <w:tc>
          <w:tcPr>
            <w:tcW w:w="1984" w:type="dxa"/>
            <w:shd w:val="clear" w:color="auto" w:fill="auto"/>
          </w:tcPr>
          <w:p w:rsidR="003E6588" w:rsidRDefault="003E6588">
            <w:pPr>
              <w:tabs>
                <w:tab w:val="left" w:pos="0"/>
              </w:tabs>
              <w:ind w:right="-70"/>
              <w:rPr>
                <w:sz w:val="20"/>
                <w:szCs w:val="20"/>
              </w:rPr>
            </w:pPr>
            <w:r>
              <w:rPr>
                <w:sz w:val="20"/>
                <w:szCs w:val="20"/>
              </w:rPr>
              <w:t>3.848</w:t>
            </w:r>
          </w:p>
        </w:tc>
      </w:tr>
      <w:tr w:rsidR="003E6588" w:rsidTr="00642F9B">
        <w:trPr>
          <w:trHeight w:val="92"/>
          <w:jc w:val="center"/>
        </w:trPr>
        <w:tc>
          <w:tcPr>
            <w:tcW w:w="3016" w:type="dxa"/>
            <w:shd w:val="clear" w:color="auto" w:fill="auto"/>
            <w:vAlign w:val="center"/>
          </w:tcPr>
          <w:p w:rsidR="003E6588" w:rsidRDefault="003E6588" w:rsidP="00642F9B">
            <w:pPr>
              <w:jc w:val="left"/>
              <w:rPr>
                <w:sz w:val="20"/>
                <w:szCs w:val="20"/>
              </w:rPr>
            </w:pPr>
            <w:r>
              <w:rPr>
                <w:sz w:val="20"/>
                <w:szCs w:val="20"/>
              </w:rPr>
              <w:t>Estupros</w:t>
            </w:r>
          </w:p>
        </w:tc>
        <w:tc>
          <w:tcPr>
            <w:tcW w:w="1984" w:type="dxa"/>
            <w:shd w:val="clear" w:color="auto" w:fill="auto"/>
          </w:tcPr>
          <w:p w:rsidR="003E6588" w:rsidRDefault="003E6588">
            <w:pPr>
              <w:tabs>
                <w:tab w:val="left" w:pos="0"/>
              </w:tabs>
              <w:ind w:right="-70"/>
              <w:rPr>
                <w:sz w:val="20"/>
                <w:szCs w:val="20"/>
              </w:rPr>
            </w:pPr>
            <w:r>
              <w:rPr>
                <w:sz w:val="20"/>
                <w:szCs w:val="20"/>
              </w:rPr>
              <w:t>9.293</w:t>
            </w:r>
          </w:p>
        </w:tc>
      </w:tr>
      <w:tr w:rsidR="003E6588" w:rsidTr="00642F9B">
        <w:trPr>
          <w:trHeight w:val="44"/>
          <w:jc w:val="center"/>
        </w:trPr>
        <w:tc>
          <w:tcPr>
            <w:tcW w:w="3016" w:type="dxa"/>
            <w:vAlign w:val="center"/>
          </w:tcPr>
          <w:p w:rsidR="003E6588" w:rsidRDefault="003E6588" w:rsidP="00642F9B">
            <w:pPr>
              <w:jc w:val="left"/>
              <w:rPr>
                <w:sz w:val="20"/>
                <w:szCs w:val="20"/>
              </w:rPr>
            </w:pPr>
            <w:r>
              <w:rPr>
                <w:sz w:val="20"/>
                <w:szCs w:val="20"/>
              </w:rPr>
              <w:t>Furtos</w:t>
            </w:r>
          </w:p>
        </w:tc>
        <w:tc>
          <w:tcPr>
            <w:tcW w:w="1984" w:type="dxa"/>
            <w:shd w:val="clear" w:color="auto" w:fill="auto"/>
          </w:tcPr>
          <w:p w:rsidR="003E6588" w:rsidRDefault="003E6588">
            <w:pPr>
              <w:tabs>
                <w:tab w:val="left" w:pos="0"/>
              </w:tabs>
              <w:ind w:right="-70"/>
              <w:rPr>
                <w:sz w:val="20"/>
                <w:szCs w:val="20"/>
              </w:rPr>
            </w:pPr>
            <w:r>
              <w:rPr>
                <w:sz w:val="20"/>
                <w:szCs w:val="20"/>
              </w:rPr>
              <w:t>475.198</w:t>
            </w:r>
          </w:p>
        </w:tc>
      </w:tr>
      <w:tr w:rsidR="003E6588" w:rsidTr="00642F9B">
        <w:trPr>
          <w:trHeight w:val="44"/>
          <w:jc w:val="center"/>
        </w:trPr>
        <w:tc>
          <w:tcPr>
            <w:tcW w:w="3021" w:type="dxa"/>
            <w:vAlign w:val="center"/>
          </w:tcPr>
          <w:p w:rsidR="003E6588" w:rsidRDefault="003E6588" w:rsidP="00642F9B">
            <w:pPr>
              <w:jc w:val="left"/>
              <w:rPr>
                <w:sz w:val="20"/>
                <w:szCs w:val="20"/>
              </w:rPr>
            </w:pPr>
            <w:r>
              <w:rPr>
                <w:sz w:val="20"/>
                <w:szCs w:val="20"/>
              </w:rPr>
              <w:t>Roubos</w:t>
            </w:r>
          </w:p>
        </w:tc>
        <w:tc>
          <w:tcPr>
            <w:tcW w:w="1984" w:type="dxa"/>
            <w:shd w:val="clear" w:color="auto" w:fill="auto"/>
          </w:tcPr>
          <w:p w:rsidR="003E6588" w:rsidRDefault="003E6588">
            <w:pPr>
              <w:tabs>
                <w:tab w:val="left" w:pos="0"/>
              </w:tabs>
              <w:ind w:right="-70"/>
              <w:rPr>
                <w:sz w:val="20"/>
                <w:szCs w:val="20"/>
              </w:rPr>
            </w:pPr>
            <w:r>
              <w:rPr>
                <w:sz w:val="20"/>
                <w:szCs w:val="20"/>
              </w:rPr>
              <w:t>278.654</w:t>
            </w:r>
          </w:p>
        </w:tc>
      </w:tr>
      <w:tr w:rsidR="003E6588" w:rsidTr="00642F9B">
        <w:trPr>
          <w:trHeight w:val="88"/>
          <w:jc w:val="center"/>
        </w:trPr>
        <w:tc>
          <w:tcPr>
            <w:tcW w:w="3016" w:type="dxa"/>
            <w:vAlign w:val="center"/>
          </w:tcPr>
          <w:p w:rsidR="003E6588" w:rsidRDefault="003E6588" w:rsidP="00642F9B">
            <w:pPr>
              <w:jc w:val="left"/>
              <w:rPr>
                <w:sz w:val="20"/>
                <w:szCs w:val="20"/>
              </w:rPr>
            </w:pPr>
            <w:r>
              <w:rPr>
                <w:sz w:val="20"/>
                <w:szCs w:val="20"/>
              </w:rPr>
              <w:t>Furtos de Veículos</w:t>
            </w:r>
          </w:p>
        </w:tc>
        <w:tc>
          <w:tcPr>
            <w:tcW w:w="1984" w:type="dxa"/>
            <w:shd w:val="clear" w:color="auto" w:fill="auto"/>
          </w:tcPr>
          <w:p w:rsidR="003E6588" w:rsidRDefault="003E6588">
            <w:pPr>
              <w:tabs>
                <w:tab w:val="left" w:pos="0"/>
              </w:tabs>
              <w:ind w:right="-70"/>
              <w:rPr>
                <w:sz w:val="20"/>
                <w:szCs w:val="20"/>
              </w:rPr>
            </w:pPr>
            <w:r>
              <w:rPr>
                <w:sz w:val="20"/>
                <w:szCs w:val="20"/>
              </w:rPr>
              <w:t>114.695</w:t>
            </w:r>
          </w:p>
        </w:tc>
      </w:tr>
      <w:tr w:rsidR="003E6588" w:rsidTr="00642F9B">
        <w:trPr>
          <w:trHeight w:val="44"/>
          <w:jc w:val="center"/>
        </w:trPr>
        <w:tc>
          <w:tcPr>
            <w:tcW w:w="3016" w:type="dxa"/>
            <w:vAlign w:val="center"/>
          </w:tcPr>
          <w:p w:rsidR="003E6588" w:rsidRDefault="003E6588" w:rsidP="00642F9B">
            <w:pPr>
              <w:jc w:val="left"/>
              <w:rPr>
                <w:sz w:val="20"/>
                <w:szCs w:val="20"/>
              </w:rPr>
            </w:pPr>
            <w:r>
              <w:rPr>
                <w:sz w:val="20"/>
                <w:szCs w:val="20"/>
              </w:rPr>
              <w:t>Roubos de Veículos</w:t>
            </w:r>
          </w:p>
        </w:tc>
        <w:tc>
          <w:tcPr>
            <w:tcW w:w="1984" w:type="dxa"/>
            <w:shd w:val="clear" w:color="auto" w:fill="auto"/>
          </w:tcPr>
          <w:p w:rsidR="003E6588" w:rsidRDefault="003E6588">
            <w:pPr>
              <w:tabs>
                <w:tab w:val="left" w:pos="0"/>
              </w:tabs>
              <w:ind w:right="-70"/>
              <w:rPr>
                <w:sz w:val="20"/>
                <w:szCs w:val="20"/>
              </w:rPr>
            </w:pPr>
            <w:r>
              <w:rPr>
                <w:sz w:val="20"/>
                <w:szCs w:val="20"/>
              </w:rPr>
              <w:t>90.239</w:t>
            </w:r>
          </w:p>
        </w:tc>
      </w:tr>
      <w:tr w:rsidR="003E6588" w:rsidTr="00642F9B">
        <w:trPr>
          <w:trHeight w:val="44"/>
          <w:jc w:val="center"/>
        </w:trPr>
        <w:tc>
          <w:tcPr>
            <w:tcW w:w="3016" w:type="dxa"/>
            <w:vAlign w:val="center"/>
          </w:tcPr>
          <w:p w:rsidR="003E6588" w:rsidRDefault="003E6588" w:rsidP="00642F9B">
            <w:pPr>
              <w:jc w:val="left"/>
              <w:rPr>
                <w:sz w:val="20"/>
                <w:szCs w:val="20"/>
              </w:rPr>
            </w:pPr>
            <w:r>
              <w:rPr>
                <w:sz w:val="20"/>
                <w:szCs w:val="20"/>
              </w:rPr>
              <w:t>Roubos de cargas</w:t>
            </w:r>
          </w:p>
        </w:tc>
        <w:tc>
          <w:tcPr>
            <w:tcW w:w="1984" w:type="dxa"/>
            <w:shd w:val="clear" w:color="auto" w:fill="auto"/>
          </w:tcPr>
          <w:p w:rsidR="003E6588" w:rsidRDefault="003E6588">
            <w:pPr>
              <w:tabs>
                <w:tab w:val="left" w:pos="0"/>
              </w:tabs>
              <w:ind w:right="-70"/>
              <w:rPr>
                <w:sz w:val="20"/>
                <w:szCs w:val="20"/>
              </w:rPr>
            </w:pPr>
            <w:r>
              <w:rPr>
                <w:sz w:val="20"/>
                <w:szCs w:val="20"/>
              </w:rPr>
              <w:t>7.739</w:t>
            </w:r>
          </w:p>
        </w:tc>
      </w:tr>
      <w:tr w:rsidR="003E6588" w:rsidTr="00642F9B">
        <w:trPr>
          <w:trHeight w:val="70"/>
          <w:jc w:val="center"/>
        </w:trPr>
        <w:tc>
          <w:tcPr>
            <w:tcW w:w="3016" w:type="dxa"/>
            <w:shd w:val="clear" w:color="auto" w:fill="auto"/>
            <w:vAlign w:val="center"/>
          </w:tcPr>
          <w:p w:rsidR="003E6588" w:rsidRDefault="003E6588" w:rsidP="00642F9B">
            <w:pPr>
              <w:jc w:val="left"/>
              <w:rPr>
                <w:sz w:val="20"/>
                <w:szCs w:val="20"/>
              </w:rPr>
            </w:pPr>
            <w:r>
              <w:rPr>
                <w:sz w:val="20"/>
                <w:szCs w:val="20"/>
              </w:rPr>
              <w:t>Roubos a Bancos</w:t>
            </w:r>
          </w:p>
        </w:tc>
        <w:tc>
          <w:tcPr>
            <w:tcW w:w="1984" w:type="dxa"/>
            <w:shd w:val="clear" w:color="auto" w:fill="auto"/>
          </w:tcPr>
          <w:p w:rsidR="003E6588" w:rsidRDefault="003E6588">
            <w:pPr>
              <w:tabs>
                <w:tab w:val="left" w:pos="0"/>
              </w:tabs>
              <w:ind w:right="-70"/>
              <w:rPr>
                <w:sz w:val="20"/>
                <w:szCs w:val="20"/>
              </w:rPr>
            </w:pPr>
            <w:r>
              <w:rPr>
                <w:sz w:val="20"/>
                <w:szCs w:val="20"/>
              </w:rPr>
              <w:t>151</w:t>
            </w:r>
          </w:p>
        </w:tc>
      </w:tr>
      <w:tr w:rsidR="003E6588" w:rsidTr="00642F9B">
        <w:trPr>
          <w:trHeight w:val="44"/>
          <w:jc w:val="center"/>
        </w:trPr>
        <w:tc>
          <w:tcPr>
            <w:tcW w:w="3016" w:type="dxa"/>
            <w:vAlign w:val="center"/>
          </w:tcPr>
          <w:p w:rsidR="003E6588" w:rsidRDefault="003E6588" w:rsidP="00642F9B">
            <w:pPr>
              <w:jc w:val="left"/>
              <w:rPr>
                <w:sz w:val="20"/>
                <w:szCs w:val="20"/>
              </w:rPr>
            </w:pPr>
            <w:r>
              <w:rPr>
                <w:sz w:val="20"/>
                <w:szCs w:val="20"/>
              </w:rPr>
              <w:t>Latrocínios</w:t>
            </w:r>
          </w:p>
        </w:tc>
        <w:tc>
          <w:tcPr>
            <w:tcW w:w="1984" w:type="dxa"/>
            <w:shd w:val="clear" w:color="auto" w:fill="auto"/>
          </w:tcPr>
          <w:p w:rsidR="003E6588" w:rsidRDefault="003E6588">
            <w:pPr>
              <w:tabs>
                <w:tab w:val="left" w:pos="0"/>
              </w:tabs>
              <w:ind w:right="-70"/>
              <w:rPr>
                <w:sz w:val="20"/>
                <w:szCs w:val="20"/>
              </w:rPr>
            </w:pPr>
            <w:r>
              <w:rPr>
                <w:sz w:val="20"/>
                <w:szCs w:val="20"/>
              </w:rPr>
              <w:t>342</w:t>
            </w:r>
          </w:p>
        </w:tc>
      </w:tr>
    </w:tbl>
    <w:p w:rsidR="003E6588" w:rsidRDefault="003E6588">
      <w:pPr>
        <w:ind w:firstLine="1134"/>
        <w:jc w:val="both"/>
      </w:pPr>
    </w:p>
    <w:p w:rsidR="003E6588" w:rsidRDefault="003E6588">
      <w:pPr>
        <w:ind w:firstLine="1080"/>
        <w:jc w:val="both"/>
      </w:pPr>
      <w:r>
        <w:t>Tanto os casos de Homicídio como de Estupro apresentaram tendência de redução; para Furtos, a variação positiva vem diminuindo e, para os demais crimes contra o patrimônio, houve elevação, especialmente no caso de Roubo de Veículo.</w:t>
      </w:r>
    </w:p>
    <w:p w:rsidR="003E6588" w:rsidRDefault="003E6588">
      <w:pPr>
        <w:ind w:firstLine="1080"/>
        <w:jc w:val="both"/>
      </w:pPr>
    </w:p>
    <w:p w:rsidR="003E6588" w:rsidRDefault="003E6588">
      <w:pPr>
        <w:ind w:firstLine="1080"/>
        <w:jc w:val="both"/>
      </w:pPr>
      <w:r>
        <w:t>Na Capital, verifica-se a redução mais acentuada dos casos de Homicídios (-11,1%) e redução em 8% dos casos de Estupro. Já no caso de Latrocínio, verifica-se na Capital a maior variação positiva (+33%).</w:t>
      </w:r>
    </w:p>
    <w:p w:rsidR="003E6588" w:rsidRDefault="003E6588">
      <w:pPr>
        <w:ind w:firstLine="1080"/>
        <w:jc w:val="both"/>
      </w:pPr>
    </w:p>
    <w:p w:rsidR="003E6588" w:rsidRDefault="003E6588">
      <w:pPr>
        <w:ind w:firstLine="1080"/>
        <w:jc w:val="both"/>
      </w:pPr>
      <w:r>
        <w:t>A Região Metropolitana de SP (exceto Capital) registrou redução dos casos de Homicídio Doloso em 7,5% e de Estupro em 3,4%. Os casos de Latrocínio sofreram elevação de 7,6%.</w:t>
      </w:r>
    </w:p>
    <w:p w:rsidR="003E6588" w:rsidRDefault="003E6588">
      <w:pPr>
        <w:ind w:firstLine="1080"/>
        <w:jc w:val="both"/>
      </w:pPr>
    </w:p>
    <w:tbl>
      <w:tblPr>
        <w:tblW w:w="6328" w:type="dxa"/>
        <w:jc w:val="center"/>
        <w:tblInd w:w="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5E0"/>
      </w:tblPr>
      <w:tblGrid>
        <w:gridCol w:w="4627"/>
        <w:gridCol w:w="1701"/>
      </w:tblGrid>
      <w:tr w:rsidR="003E6588" w:rsidTr="00642F9B">
        <w:trPr>
          <w:trHeight w:val="158"/>
          <w:jc w:val="center"/>
        </w:trPr>
        <w:tc>
          <w:tcPr>
            <w:tcW w:w="4627" w:type="dxa"/>
            <w:shd w:val="clear" w:color="auto" w:fill="auto"/>
            <w:vAlign w:val="center"/>
          </w:tcPr>
          <w:p w:rsidR="003E6588" w:rsidRDefault="003E6588">
            <w:pPr>
              <w:rPr>
                <w:b/>
                <w:sz w:val="20"/>
                <w:szCs w:val="20"/>
              </w:rPr>
            </w:pPr>
            <w:r>
              <w:rPr>
                <w:b/>
                <w:sz w:val="20"/>
                <w:szCs w:val="20"/>
              </w:rPr>
              <w:t>Modalidade de Ação</w:t>
            </w:r>
          </w:p>
        </w:tc>
        <w:tc>
          <w:tcPr>
            <w:tcW w:w="1701" w:type="dxa"/>
            <w:shd w:val="clear" w:color="auto" w:fill="auto"/>
          </w:tcPr>
          <w:p w:rsidR="003E6588" w:rsidRDefault="003E6588">
            <w:pPr>
              <w:tabs>
                <w:tab w:val="left" w:pos="0"/>
              </w:tabs>
              <w:ind w:right="-70"/>
              <w:rPr>
                <w:b/>
                <w:strike/>
                <w:color w:val="FF0000"/>
                <w:sz w:val="20"/>
                <w:szCs w:val="20"/>
              </w:rPr>
            </w:pPr>
            <w:r>
              <w:rPr>
                <w:b/>
                <w:sz w:val="20"/>
                <w:szCs w:val="20"/>
              </w:rPr>
              <w:t>Ocorrências</w:t>
            </w:r>
          </w:p>
        </w:tc>
      </w:tr>
      <w:tr w:rsidR="003E6588" w:rsidTr="00642F9B">
        <w:trPr>
          <w:trHeight w:val="158"/>
          <w:jc w:val="center"/>
        </w:trPr>
        <w:tc>
          <w:tcPr>
            <w:tcW w:w="4627" w:type="dxa"/>
            <w:vAlign w:val="center"/>
          </w:tcPr>
          <w:p w:rsidR="003E6588" w:rsidRDefault="003E6588" w:rsidP="00642F9B">
            <w:pPr>
              <w:jc w:val="left"/>
              <w:rPr>
                <w:sz w:val="20"/>
                <w:szCs w:val="20"/>
              </w:rPr>
            </w:pPr>
            <w:r>
              <w:rPr>
                <w:sz w:val="20"/>
                <w:szCs w:val="20"/>
              </w:rPr>
              <w:t>Porte de Entorpecentes</w:t>
            </w:r>
          </w:p>
        </w:tc>
        <w:tc>
          <w:tcPr>
            <w:tcW w:w="1701" w:type="dxa"/>
            <w:shd w:val="clear" w:color="auto" w:fill="auto"/>
          </w:tcPr>
          <w:p w:rsidR="003E6588" w:rsidRDefault="003E6588">
            <w:pPr>
              <w:tabs>
                <w:tab w:val="left" w:pos="0"/>
              </w:tabs>
              <w:ind w:right="-70"/>
              <w:rPr>
                <w:sz w:val="20"/>
                <w:szCs w:val="20"/>
              </w:rPr>
            </w:pPr>
            <w:r>
              <w:rPr>
                <w:sz w:val="20"/>
                <w:szCs w:val="20"/>
              </w:rPr>
              <w:t>24.689</w:t>
            </w:r>
          </w:p>
        </w:tc>
      </w:tr>
      <w:tr w:rsidR="003E6588" w:rsidTr="00642F9B">
        <w:trPr>
          <w:trHeight w:val="48"/>
          <w:jc w:val="center"/>
        </w:trPr>
        <w:tc>
          <w:tcPr>
            <w:tcW w:w="4627" w:type="dxa"/>
            <w:shd w:val="clear" w:color="auto" w:fill="auto"/>
            <w:vAlign w:val="center"/>
          </w:tcPr>
          <w:p w:rsidR="003E6588" w:rsidRDefault="003E6588" w:rsidP="00642F9B">
            <w:pPr>
              <w:jc w:val="left"/>
              <w:rPr>
                <w:sz w:val="20"/>
                <w:szCs w:val="20"/>
              </w:rPr>
            </w:pPr>
            <w:r>
              <w:rPr>
                <w:sz w:val="20"/>
                <w:szCs w:val="20"/>
              </w:rPr>
              <w:t>Tráfico de Entorpecentes</w:t>
            </w:r>
          </w:p>
        </w:tc>
        <w:tc>
          <w:tcPr>
            <w:tcW w:w="1701" w:type="dxa"/>
            <w:shd w:val="clear" w:color="auto" w:fill="auto"/>
          </w:tcPr>
          <w:p w:rsidR="003E6588" w:rsidRDefault="003E6588">
            <w:pPr>
              <w:tabs>
                <w:tab w:val="left" w:pos="0"/>
              </w:tabs>
              <w:ind w:right="-70"/>
              <w:rPr>
                <w:sz w:val="20"/>
                <w:szCs w:val="20"/>
              </w:rPr>
            </w:pPr>
            <w:r>
              <w:rPr>
                <w:sz w:val="20"/>
                <w:szCs w:val="20"/>
              </w:rPr>
              <w:t>38.554</w:t>
            </w:r>
          </w:p>
        </w:tc>
      </w:tr>
      <w:tr w:rsidR="003E6588" w:rsidTr="00642F9B">
        <w:trPr>
          <w:trHeight w:val="235"/>
          <w:jc w:val="center"/>
        </w:trPr>
        <w:tc>
          <w:tcPr>
            <w:tcW w:w="4627" w:type="dxa"/>
            <w:vAlign w:val="center"/>
          </w:tcPr>
          <w:p w:rsidR="003E6588" w:rsidRDefault="003E6588" w:rsidP="00642F9B">
            <w:pPr>
              <w:jc w:val="left"/>
              <w:rPr>
                <w:sz w:val="20"/>
                <w:szCs w:val="20"/>
              </w:rPr>
            </w:pPr>
            <w:r>
              <w:rPr>
                <w:sz w:val="20"/>
                <w:szCs w:val="20"/>
              </w:rPr>
              <w:t>Apreensão de Entorpecentes (sem pessoas envolvidas)</w:t>
            </w:r>
          </w:p>
        </w:tc>
        <w:tc>
          <w:tcPr>
            <w:tcW w:w="1701" w:type="dxa"/>
            <w:shd w:val="clear" w:color="auto" w:fill="auto"/>
          </w:tcPr>
          <w:p w:rsidR="003E6588" w:rsidRDefault="003E6588">
            <w:pPr>
              <w:tabs>
                <w:tab w:val="left" w:pos="0"/>
              </w:tabs>
              <w:ind w:right="-70"/>
              <w:rPr>
                <w:sz w:val="20"/>
                <w:szCs w:val="20"/>
              </w:rPr>
            </w:pPr>
            <w:r>
              <w:rPr>
                <w:sz w:val="20"/>
                <w:szCs w:val="20"/>
              </w:rPr>
              <w:t>3.673</w:t>
            </w:r>
          </w:p>
        </w:tc>
      </w:tr>
      <w:tr w:rsidR="003E6588" w:rsidTr="00642F9B">
        <w:trPr>
          <w:trHeight w:val="139"/>
          <w:jc w:val="center"/>
        </w:trPr>
        <w:tc>
          <w:tcPr>
            <w:tcW w:w="4627" w:type="dxa"/>
            <w:vAlign w:val="center"/>
          </w:tcPr>
          <w:p w:rsidR="003E6588" w:rsidRDefault="003E6588" w:rsidP="00642F9B">
            <w:pPr>
              <w:jc w:val="left"/>
              <w:rPr>
                <w:sz w:val="20"/>
                <w:szCs w:val="20"/>
              </w:rPr>
            </w:pPr>
            <w:r>
              <w:rPr>
                <w:sz w:val="20"/>
                <w:szCs w:val="20"/>
              </w:rPr>
              <w:t>Porte Ilegal de Arma</w:t>
            </w:r>
          </w:p>
        </w:tc>
        <w:tc>
          <w:tcPr>
            <w:tcW w:w="1701" w:type="dxa"/>
            <w:shd w:val="clear" w:color="auto" w:fill="auto"/>
          </w:tcPr>
          <w:p w:rsidR="003E6588" w:rsidRDefault="003E6588">
            <w:pPr>
              <w:tabs>
                <w:tab w:val="left" w:pos="0"/>
              </w:tabs>
              <w:ind w:right="-70"/>
              <w:rPr>
                <w:sz w:val="20"/>
                <w:szCs w:val="20"/>
              </w:rPr>
            </w:pPr>
            <w:r>
              <w:rPr>
                <w:sz w:val="20"/>
                <w:szCs w:val="20"/>
              </w:rPr>
              <w:t>5.995</w:t>
            </w:r>
          </w:p>
        </w:tc>
      </w:tr>
      <w:tr w:rsidR="003E6588" w:rsidTr="00642F9B">
        <w:trPr>
          <w:trHeight w:val="44"/>
          <w:jc w:val="center"/>
        </w:trPr>
        <w:tc>
          <w:tcPr>
            <w:tcW w:w="4627" w:type="dxa"/>
            <w:vAlign w:val="center"/>
          </w:tcPr>
          <w:p w:rsidR="003E6588" w:rsidRDefault="003E6588" w:rsidP="00642F9B">
            <w:pPr>
              <w:jc w:val="left"/>
              <w:rPr>
                <w:sz w:val="20"/>
                <w:szCs w:val="20"/>
              </w:rPr>
            </w:pPr>
            <w:r>
              <w:rPr>
                <w:sz w:val="20"/>
                <w:szCs w:val="20"/>
              </w:rPr>
              <w:t>Armas de Fogo Apreendidas</w:t>
            </w:r>
          </w:p>
        </w:tc>
        <w:tc>
          <w:tcPr>
            <w:tcW w:w="1701" w:type="dxa"/>
            <w:shd w:val="clear" w:color="auto" w:fill="auto"/>
          </w:tcPr>
          <w:p w:rsidR="003E6588" w:rsidRDefault="003E6588">
            <w:pPr>
              <w:tabs>
                <w:tab w:val="left" w:pos="0"/>
              </w:tabs>
              <w:ind w:right="-70"/>
              <w:rPr>
                <w:sz w:val="20"/>
                <w:szCs w:val="20"/>
              </w:rPr>
            </w:pPr>
            <w:r>
              <w:rPr>
                <w:sz w:val="20"/>
                <w:szCs w:val="20"/>
              </w:rPr>
              <w:t>16.459</w:t>
            </w:r>
          </w:p>
        </w:tc>
      </w:tr>
      <w:tr w:rsidR="003E6588" w:rsidTr="00642F9B">
        <w:trPr>
          <w:trHeight w:val="76"/>
          <w:jc w:val="center"/>
        </w:trPr>
        <w:tc>
          <w:tcPr>
            <w:tcW w:w="4627" w:type="dxa"/>
            <w:vAlign w:val="center"/>
          </w:tcPr>
          <w:p w:rsidR="003E6588" w:rsidRDefault="003E6588" w:rsidP="00642F9B">
            <w:pPr>
              <w:jc w:val="left"/>
              <w:rPr>
                <w:sz w:val="20"/>
                <w:szCs w:val="20"/>
              </w:rPr>
            </w:pPr>
            <w:r>
              <w:rPr>
                <w:sz w:val="20"/>
                <w:szCs w:val="20"/>
              </w:rPr>
              <w:t>Flagrantes Lavrados</w:t>
            </w:r>
          </w:p>
        </w:tc>
        <w:tc>
          <w:tcPr>
            <w:tcW w:w="1701" w:type="dxa"/>
            <w:shd w:val="clear" w:color="auto" w:fill="auto"/>
          </w:tcPr>
          <w:p w:rsidR="003E6588" w:rsidRDefault="003E6588">
            <w:pPr>
              <w:tabs>
                <w:tab w:val="left" w:pos="0"/>
              </w:tabs>
              <w:ind w:right="-70"/>
              <w:rPr>
                <w:sz w:val="20"/>
                <w:szCs w:val="20"/>
              </w:rPr>
            </w:pPr>
            <w:r>
              <w:rPr>
                <w:sz w:val="20"/>
                <w:szCs w:val="20"/>
              </w:rPr>
              <w:t>98.425</w:t>
            </w:r>
          </w:p>
        </w:tc>
      </w:tr>
      <w:tr w:rsidR="003E6588" w:rsidTr="00642F9B">
        <w:trPr>
          <w:trHeight w:val="122"/>
          <w:jc w:val="center"/>
        </w:trPr>
        <w:tc>
          <w:tcPr>
            <w:tcW w:w="4627" w:type="dxa"/>
            <w:vAlign w:val="center"/>
          </w:tcPr>
          <w:p w:rsidR="003E6588" w:rsidRDefault="003E6588" w:rsidP="00642F9B">
            <w:pPr>
              <w:jc w:val="left"/>
              <w:rPr>
                <w:sz w:val="20"/>
                <w:szCs w:val="20"/>
              </w:rPr>
            </w:pPr>
            <w:r>
              <w:rPr>
                <w:sz w:val="20"/>
                <w:szCs w:val="20"/>
              </w:rPr>
              <w:t>Infratores Apreendidos em Flagrante</w:t>
            </w:r>
          </w:p>
        </w:tc>
        <w:tc>
          <w:tcPr>
            <w:tcW w:w="1701" w:type="dxa"/>
            <w:shd w:val="clear" w:color="auto" w:fill="auto"/>
          </w:tcPr>
          <w:p w:rsidR="003E6588" w:rsidRDefault="003E6588">
            <w:pPr>
              <w:tabs>
                <w:tab w:val="left" w:pos="0"/>
                <w:tab w:val="left" w:pos="419"/>
                <w:tab w:val="center" w:pos="957"/>
              </w:tabs>
              <w:ind w:right="-70"/>
              <w:rPr>
                <w:sz w:val="20"/>
                <w:szCs w:val="20"/>
              </w:rPr>
            </w:pPr>
            <w:r>
              <w:rPr>
                <w:sz w:val="20"/>
                <w:szCs w:val="20"/>
              </w:rPr>
              <w:t>18.487</w:t>
            </w:r>
          </w:p>
        </w:tc>
      </w:tr>
      <w:tr w:rsidR="003E6588" w:rsidTr="00642F9B">
        <w:trPr>
          <w:trHeight w:val="44"/>
          <w:jc w:val="center"/>
        </w:trPr>
        <w:tc>
          <w:tcPr>
            <w:tcW w:w="4627" w:type="dxa"/>
            <w:shd w:val="clear" w:color="auto" w:fill="auto"/>
            <w:vAlign w:val="center"/>
          </w:tcPr>
          <w:p w:rsidR="003E6588" w:rsidRDefault="003E6588" w:rsidP="00642F9B">
            <w:pPr>
              <w:jc w:val="left"/>
              <w:rPr>
                <w:sz w:val="20"/>
                <w:szCs w:val="20"/>
              </w:rPr>
            </w:pPr>
            <w:r>
              <w:rPr>
                <w:sz w:val="20"/>
                <w:szCs w:val="20"/>
              </w:rPr>
              <w:t>Infratores Apreendidos por Mandado</w:t>
            </w:r>
          </w:p>
        </w:tc>
        <w:tc>
          <w:tcPr>
            <w:tcW w:w="1701" w:type="dxa"/>
            <w:shd w:val="clear" w:color="auto" w:fill="auto"/>
          </w:tcPr>
          <w:p w:rsidR="003E6588" w:rsidRDefault="003E6588">
            <w:pPr>
              <w:tabs>
                <w:tab w:val="left" w:pos="0"/>
              </w:tabs>
              <w:ind w:right="-70"/>
              <w:rPr>
                <w:sz w:val="20"/>
                <w:szCs w:val="20"/>
              </w:rPr>
            </w:pPr>
            <w:r>
              <w:rPr>
                <w:sz w:val="20"/>
                <w:szCs w:val="20"/>
              </w:rPr>
              <w:t>151</w:t>
            </w:r>
          </w:p>
        </w:tc>
      </w:tr>
      <w:tr w:rsidR="003E6588" w:rsidTr="00642F9B">
        <w:trPr>
          <w:trHeight w:val="72"/>
          <w:jc w:val="center"/>
        </w:trPr>
        <w:tc>
          <w:tcPr>
            <w:tcW w:w="4627" w:type="dxa"/>
            <w:vAlign w:val="center"/>
          </w:tcPr>
          <w:p w:rsidR="003E6588" w:rsidRDefault="003E6588" w:rsidP="00642F9B">
            <w:pPr>
              <w:jc w:val="left"/>
              <w:rPr>
                <w:sz w:val="20"/>
                <w:szCs w:val="20"/>
              </w:rPr>
            </w:pPr>
            <w:r>
              <w:rPr>
                <w:sz w:val="20"/>
                <w:szCs w:val="20"/>
              </w:rPr>
              <w:t>Presos em Flagrante</w:t>
            </w:r>
          </w:p>
        </w:tc>
        <w:tc>
          <w:tcPr>
            <w:tcW w:w="1701" w:type="dxa"/>
            <w:shd w:val="clear" w:color="auto" w:fill="auto"/>
          </w:tcPr>
          <w:p w:rsidR="003E6588" w:rsidRDefault="003E6588">
            <w:pPr>
              <w:tabs>
                <w:tab w:val="left" w:pos="0"/>
              </w:tabs>
              <w:ind w:right="-70"/>
              <w:rPr>
                <w:sz w:val="20"/>
                <w:szCs w:val="20"/>
              </w:rPr>
            </w:pPr>
            <w:r>
              <w:rPr>
                <w:sz w:val="20"/>
                <w:szCs w:val="20"/>
              </w:rPr>
              <w:t>119.102</w:t>
            </w:r>
          </w:p>
        </w:tc>
      </w:tr>
      <w:tr w:rsidR="003E6588" w:rsidTr="00642F9B">
        <w:trPr>
          <w:trHeight w:val="104"/>
          <w:jc w:val="center"/>
        </w:trPr>
        <w:tc>
          <w:tcPr>
            <w:tcW w:w="4627" w:type="dxa"/>
            <w:vAlign w:val="center"/>
          </w:tcPr>
          <w:p w:rsidR="003E6588" w:rsidRDefault="003E6588" w:rsidP="00642F9B">
            <w:pPr>
              <w:jc w:val="left"/>
              <w:rPr>
                <w:sz w:val="20"/>
                <w:szCs w:val="20"/>
              </w:rPr>
            </w:pPr>
            <w:r>
              <w:rPr>
                <w:sz w:val="20"/>
                <w:szCs w:val="20"/>
              </w:rPr>
              <w:t>Presos por Mandado</w:t>
            </w:r>
          </w:p>
        </w:tc>
        <w:tc>
          <w:tcPr>
            <w:tcW w:w="1701" w:type="dxa"/>
            <w:shd w:val="clear" w:color="auto" w:fill="auto"/>
          </w:tcPr>
          <w:p w:rsidR="003E6588" w:rsidRDefault="003E6588">
            <w:pPr>
              <w:tabs>
                <w:tab w:val="left" w:pos="0"/>
              </w:tabs>
              <w:ind w:right="-70"/>
              <w:rPr>
                <w:sz w:val="20"/>
                <w:szCs w:val="20"/>
              </w:rPr>
            </w:pPr>
            <w:r>
              <w:rPr>
                <w:sz w:val="20"/>
                <w:szCs w:val="20"/>
              </w:rPr>
              <w:t>45.271</w:t>
            </w:r>
          </w:p>
        </w:tc>
      </w:tr>
      <w:tr w:rsidR="003E6588" w:rsidTr="00642F9B">
        <w:trPr>
          <w:trHeight w:val="44"/>
          <w:jc w:val="center"/>
        </w:trPr>
        <w:tc>
          <w:tcPr>
            <w:tcW w:w="4627" w:type="dxa"/>
            <w:vAlign w:val="center"/>
          </w:tcPr>
          <w:p w:rsidR="003E6588" w:rsidRDefault="003E6588" w:rsidP="00642F9B">
            <w:pPr>
              <w:jc w:val="left"/>
              <w:rPr>
                <w:sz w:val="20"/>
                <w:szCs w:val="20"/>
              </w:rPr>
            </w:pPr>
            <w:r>
              <w:rPr>
                <w:sz w:val="20"/>
                <w:szCs w:val="20"/>
              </w:rPr>
              <w:t>Prisões Efetuadas</w:t>
            </w:r>
          </w:p>
        </w:tc>
        <w:tc>
          <w:tcPr>
            <w:tcW w:w="1701" w:type="dxa"/>
            <w:shd w:val="clear" w:color="auto" w:fill="auto"/>
          </w:tcPr>
          <w:p w:rsidR="003E6588" w:rsidRDefault="003E6588">
            <w:pPr>
              <w:tabs>
                <w:tab w:val="left" w:pos="0"/>
              </w:tabs>
              <w:ind w:right="-70"/>
              <w:rPr>
                <w:sz w:val="20"/>
                <w:szCs w:val="20"/>
              </w:rPr>
            </w:pPr>
            <w:r>
              <w:rPr>
                <w:sz w:val="20"/>
                <w:szCs w:val="20"/>
              </w:rPr>
              <w:t>139.447</w:t>
            </w:r>
          </w:p>
        </w:tc>
      </w:tr>
      <w:tr w:rsidR="003E6588" w:rsidTr="00642F9B">
        <w:trPr>
          <w:trHeight w:val="54"/>
          <w:jc w:val="center"/>
        </w:trPr>
        <w:tc>
          <w:tcPr>
            <w:tcW w:w="4627" w:type="dxa"/>
            <w:vAlign w:val="center"/>
          </w:tcPr>
          <w:p w:rsidR="003E6588" w:rsidRDefault="003E6588" w:rsidP="00642F9B">
            <w:pPr>
              <w:jc w:val="left"/>
              <w:rPr>
                <w:sz w:val="20"/>
                <w:szCs w:val="20"/>
              </w:rPr>
            </w:pPr>
            <w:r>
              <w:rPr>
                <w:sz w:val="20"/>
                <w:szCs w:val="20"/>
              </w:rPr>
              <w:t>Veículos Recuperados</w:t>
            </w:r>
          </w:p>
        </w:tc>
        <w:tc>
          <w:tcPr>
            <w:tcW w:w="1701" w:type="dxa"/>
            <w:shd w:val="clear" w:color="auto" w:fill="auto"/>
          </w:tcPr>
          <w:p w:rsidR="003E6588" w:rsidRDefault="003E6588">
            <w:pPr>
              <w:tabs>
                <w:tab w:val="left" w:pos="0"/>
              </w:tabs>
              <w:ind w:right="-70"/>
              <w:rPr>
                <w:sz w:val="20"/>
                <w:szCs w:val="20"/>
              </w:rPr>
            </w:pPr>
            <w:r>
              <w:rPr>
                <w:sz w:val="20"/>
                <w:szCs w:val="20"/>
              </w:rPr>
              <w:t>91.021</w:t>
            </w:r>
          </w:p>
        </w:tc>
      </w:tr>
      <w:tr w:rsidR="003E6588" w:rsidTr="00642F9B">
        <w:trPr>
          <w:trHeight w:val="100"/>
          <w:jc w:val="center"/>
        </w:trPr>
        <w:tc>
          <w:tcPr>
            <w:tcW w:w="4627" w:type="dxa"/>
            <w:vAlign w:val="center"/>
          </w:tcPr>
          <w:p w:rsidR="003E6588" w:rsidRDefault="003E6588" w:rsidP="00642F9B">
            <w:pPr>
              <w:jc w:val="left"/>
              <w:rPr>
                <w:sz w:val="20"/>
                <w:szCs w:val="20"/>
              </w:rPr>
            </w:pPr>
            <w:r>
              <w:rPr>
                <w:sz w:val="20"/>
                <w:szCs w:val="20"/>
              </w:rPr>
              <w:t>Inquéritos Policiais Instaurados</w:t>
            </w:r>
          </w:p>
        </w:tc>
        <w:tc>
          <w:tcPr>
            <w:tcW w:w="1701" w:type="dxa"/>
            <w:shd w:val="clear" w:color="auto" w:fill="auto"/>
          </w:tcPr>
          <w:p w:rsidR="003E6588" w:rsidRDefault="003E6588">
            <w:pPr>
              <w:tabs>
                <w:tab w:val="left" w:pos="0"/>
              </w:tabs>
              <w:ind w:right="-70"/>
              <w:rPr>
                <w:sz w:val="20"/>
                <w:szCs w:val="20"/>
              </w:rPr>
            </w:pPr>
            <w:r>
              <w:rPr>
                <w:sz w:val="20"/>
                <w:szCs w:val="20"/>
              </w:rPr>
              <w:t>383.324</w:t>
            </w:r>
          </w:p>
        </w:tc>
      </w:tr>
    </w:tbl>
    <w:p w:rsidR="003E6588" w:rsidRDefault="003E6588">
      <w:pPr>
        <w:ind w:firstLine="1134"/>
        <w:jc w:val="both"/>
      </w:pPr>
      <w:r>
        <w:rPr>
          <w:b/>
        </w:rPr>
        <w:lastRenderedPageBreak/>
        <w:t xml:space="preserve">Atendimento ao Cidadão - </w:t>
      </w:r>
      <w:r>
        <w:t xml:space="preserve">A Segurança Pública é acionada pelo cidadão em momentos críticos: desastres, acidentes, conflitos, ocorrência de crimes, vidas </w:t>
      </w:r>
      <w:smartTag w:uri="urn:schemas-microsoft-com:office:smarttags" w:element="PersonName">
        <w:smartTagPr>
          <w:attr w:name="ProductID" w:val="em risco. Para"/>
        </w:smartTagPr>
        <w:r>
          <w:t>em risco. Para</w:t>
        </w:r>
      </w:smartTag>
      <w:r>
        <w:t xml:space="preserve"> dar o devido suporte a tais ocorrências, as Polícias Civil e Militar, além do atendimento presencial realizado nas Delegacias de Polícia, Bases Comunitárias e por meio de milhares de viaturas que circulam diuturnamente pelo Estado, possuem dois grandes canais de comunicação: os Centros de Emergência da Polícia Militar (Telefones 190 e 193) e a Delegacia Eletrônica da Polícia Civil.</w:t>
      </w:r>
    </w:p>
    <w:p w:rsidR="003E6588" w:rsidRDefault="003E6588">
      <w:pPr>
        <w:ind w:firstLine="1134"/>
        <w:jc w:val="both"/>
      </w:pPr>
    </w:p>
    <w:p w:rsidR="003E6588" w:rsidRDefault="003E6588">
      <w:pPr>
        <w:ind w:firstLine="1134"/>
        <w:jc w:val="both"/>
        <w:rPr>
          <w:b/>
        </w:rPr>
      </w:pPr>
      <w:r>
        <w:rPr>
          <w:b/>
        </w:rPr>
        <w:t>COPOM (190) PM</w:t>
      </w:r>
    </w:p>
    <w:p w:rsidR="003E6588" w:rsidRDefault="003E6588">
      <w:pPr>
        <w:ind w:firstLine="1134"/>
        <w:jc w:val="both"/>
        <w:rPr>
          <w:u w:val="single"/>
        </w:rPr>
      </w:pPr>
    </w:p>
    <w:p w:rsidR="003E6588" w:rsidRDefault="003E6588">
      <w:pPr>
        <w:ind w:firstLine="1134"/>
        <w:jc w:val="both"/>
      </w:pPr>
      <w:r>
        <w:t>Total de atendimentos realizados - 24.785.913</w:t>
      </w:r>
    </w:p>
    <w:p w:rsidR="003E6588" w:rsidRDefault="003E6588">
      <w:pPr>
        <w:ind w:firstLine="1134"/>
        <w:jc w:val="both"/>
      </w:pPr>
    </w:p>
    <w:p w:rsidR="003E6588" w:rsidRDefault="003E6588">
      <w:pPr>
        <w:ind w:firstLine="1134"/>
        <w:jc w:val="both"/>
      </w:pPr>
      <w:r>
        <w:t>Total de ocorrências - 4.554.426</w:t>
      </w:r>
    </w:p>
    <w:p w:rsidR="003E6588" w:rsidRDefault="003E6588">
      <w:pPr>
        <w:ind w:firstLine="1134"/>
        <w:jc w:val="both"/>
        <w:rPr>
          <w:u w:val="single"/>
        </w:rPr>
      </w:pPr>
    </w:p>
    <w:p w:rsidR="003E6588" w:rsidRDefault="00B44B06">
      <w:pPr>
        <w:tabs>
          <w:tab w:val="left" w:pos="142"/>
          <w:tab w:val="left" w:pos="7938"/>
        </w:tabs>
        <w:rPr>
          <w:u w:val="single"/>
        </w:rPr>
      </w:pPr>
      <w:r>
        <w:rPr>
          <w:noProof/>
          <w:sz w:val="20"/>
          <w:szCs w:val="20"/>
        </w:rPr>
        <w:drawing>
          <wp:inline distT="0" distB="0" distL="0" distR="0">
            <wp:extent cx="5962650" cy="4514850"/>
            <wp:effectExtent l="1905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8" cstate="print"/>
                    <a:srcRect/>
                    <a:stretch>
                      <a:fillRect/>
                    </a:stretch>
                  </pic:blipFill>
                  <pic:spPr bwMode="auto">
                    <a:xfrm>
                      <a:off x="0" y="0"/>
                      <a:ext cx="5962650" cy="4514850"/>
                    </a:xfrm>
                    <a:prstGeom prst="rect">
                      <a:avLst/>
                    </a:prstGeom>
                    <a:noFill/>
                    <a:ln w="9525">
                      <a:noFill/>
                      <a:miter lim="800000"/>
                      <a:headEnd/>
                      <a:tailEnd/>
                    </a:ln>
                  </pic:spPr>
                </pic:pic>
              </a:graphicData>
            </a:graphic>
          </wp:inline>
        </w:drawing>
      </w:r>
    </w:p>
    <w:p w:rsidR="003E6588" w:rsidRDefault="003E6588">
      <w:pPr>
        <w:jc w:val="both"/>
      </w:pPr>
    </w:p>
    <w:p w:rsidR="003E6588" w:rsidRDefault="003E6588">
      <w:pPr>
        <w:ind w:firstLine="1134"/>
        <w:jc w:val="both"/>
      </w:pPr>
      <w:r>
        <w:rPr>
          <w:b/>
        </w:rPr>
        <w:t xml:space="preserve">Novo COPOM - Capital - </w:t>
      </w:r>
      <w:r>
        <w:t>A obra foi concluída, com investimentos de R$ 85,1 milhões, e a implantação das fases 1 e 2 do novo sistema digital de radiocomunicação em UHF, com previsão total de investimento de R$ 80,5 milhões.</w:t>
      </w:r>
    </w:p>
    <w:p w:rsidR="003E6588" w:rsidRDefault="003E6588">
      <w:pPr>
        <w:pStyle w:val="Paragrafo"/>
        <w:spacing w:after="0" w:line="240" w:lineRule="auto"/>
        <w:ind w:firstLine="1134"/>
        <w:rPr>
          <w:rFonts w:ascii="Times New Roman" w:hAnsi="Times New Roman"/>
          <w:b/>
          <w:szCs w:val="24"/>
        </w:rPr>
      </w:pPr>
      <w:r>
        <w:rPr>
          <w:rFonts w:ascii="Times New Roman" w:hAnsi="Times New Roman"/>
          <w:b/>
          <w:szCs w:val="24"/>
        </w:rPr>
        <w:lastRenderedPageBreak/>
        <w:t>Bombeiros</w:t>
      </w:r>
    </w:p>
    <w:p w:rsidR="003E6588" w:rsidRDefault="003E6588">
      <w:pPr>
        <w:pStyle w:val="Paragrafo"/>
        <w:spacing w:after="0" w:line="240" w:lineRule="auto"/>
        <w:ind w:firstLine="1134"/>
        <w:rPr>
          <w:rFonts w:ascii="Times New Roman" w:hAnsi="Times New Roman"/>
          <w:szCs w:val="24"/>
          <w:u w:val="single"/>
        </w:rPr>
      </w:pPr>
    </w:p>
    <w:tbl>
      <w:tblPr>
        <w:tblW w:w="8932" w:type="dxa"/>
        <w:jc w:val="center"/>
        <w:tblInd w:w="-471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15" w:type="dxa"/>
          <w:left w:w="15" w:type="dxa"/>
          <w:bottom w:w="15" w:type="dxa"/>
          <w:right w:w="15" w:type="dxa"/>
        </w:tblCellMar>
        <w:tblLook w:val="00BF"/>
      </w:tblPr>
      <w:tblGrid>
        <w:gridCol w:w="5717"/>
        <w:gridCol w:w="3215"/>
      </w:tblGrid>
      <w:tr w:rsidR="003E6588" w:rsidTr="00642F9B">
        <w:trPr>
          <w:trHeight w:val="31"/>
          <w:jc w:val="center"/>
        </w:trPr>
        <w:tc>
          <w:tcPr>
            <w:tcW w:w="5717" w:type="dxa"/>
            <w:shd w:val="clear" w:color="auto" w:fill="auto"/>
            <w:vAlign w:val="center"/>
          </w:tcPr>
          <w:p w:rsidR="003E6588" w:rsidRDefault="003E6588">
            <w:pPr>
              <w:keepNext/>
              <w:keepLines/>
              <w:autoSpaceDE w:val="0"/>
              <w:autoSpaceDN w:val="0"/>
              <w:adjustRightInd w:val="0"/>
              <w:ind w:left="15"/>
              <w:rPr>
                <w:b/>
                <w:bCs/>
                <w:color w:val="000000"/>
                <w:sz w:val="20"/>
                <w:szCs w:val="20"/>
              </w:rPr>
            </w:pPr>
            <w:r>
              <w:rPr>
                <w:b/>
                <w:bCs/>
                <w:color w:val="000000"/>
                <w:sz w:val="20"/>
                <w:szCs w:val="20"/>
              </w:rPr>
              <w:t>Tipo de Ação</w:t>
            </w:r>
          </w:p>
        </w:tc>
        <w:tc>
          <w:tcPr>
            <w:tcW w:w="3215" w:type="dxa"/>
            <w:shd w:val="clear" w:color="auto" w:fill="auto"/>
            <w:vAlign w:val="center"/>
          </w:tcPr>
          <w:p w:rsidR="003E6588" w:rsidRDefault="003E6588">
            <w:pPr>
              <w:keepNext/>
              <w:keepLines/>
              <w:autoSpaceDE w:val="0"/>
              <w:autoSpaceDN w:val="0"/>
              <w:adjustRightInd w:val="0"/>
              <w:ind w:left="15"/>
              <w:rPr>
                <w:b/>
                <w:bCs/>
                <w:color w:val="000000"/>
                <w:sz w:val="20"/>
                <w:szCs w:val="20"/>
              </w:rPr>
            </w:pPr>
            <w:r>
              <w:rPr>
                <w:b/>
                <w:bCs/>
                <w:color w:val="000000"/>
                <w:sz w:val="20"/>
                <w:szCs w:val="20"/>
              </w:rPr>
              <w:t>Ações em número absoluto</w:t>
            </w:r>
          </w:p>
        </w:tc>
      </w:tr>
      <w:tr w:rsidR="003E6588" w:rsidTr="00642F9B">
        <w:trPr>
          <w:trHeight w:val="177"/>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Atendimentos telefônicos - COBOM</w:t>
            </w:r>
          </w:p>
        </w:tc>
        <w:tc>
          <w:tcPr>
            <w:tcW w:w="3215" w:type="dxa"/>
            <w:shd w:val="clear" w:color="auto" w:fill="auto"/>
            <w:vAlign w:val="bottom"/>
          </w:tcPr>
          <w:p w:rsidR="003E6588" w:rsidRDefault="003E6588">
            <w:pPr>
              <w:keepNext/>
              <w:keepLines/>
              <w:autoSpaceDE w:val="0"/>
              <w:autoSpaceDN w:val="0"/>
              <w:adjustRightInd w:val="0"/>
              <w:ind w:left="15"/>
              <w:rPr>
                <w:color w:val="000000"/>
                <w:sz w:val="20"/>
                <w:szCs w:val="20"/>
              </w:rPr>
            </w:pPr>
            <w:r>
              <w:rPr>
                <w:sz w:val="20"/>
                <w:szCs w:val="20"/>
              </w:rPr>
              <w:t>6.593.985</w:t>
            </w:r>
          </w:p>
        </w:tc>
      </w:tr>
      <w:tr w:rsidR="003E6588" w:rsidTr="00642F9B">
        <w:trPr>
          <w:trHeight w:val="39"/>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Intervenções em incêndios</w:t>
            </w:r>
          </w:p>
        </w:tc>
        <w:tc>
          <w:tcPr>
            <w:tcW w:w="3215" w:type="dxa"/>
            <w:shd w:val="clear" w:color="auto" w:fill="auto"/>
            <w:vAlign w:val="bottom"/>
          </w:tcPr>
          <w:p w:rsidR="003E6588" w:rsidRDefault="003E6588">
            <w:pPr>
              <w:keepNext/>
              <w:keepLines/>
              <w:autoSpaceDE w:val="0"/>
              <w:autoSpaceDN w:val="0"/>
              <w:adjustRightInd w:val="0"/>
              <w:ind w:left="15"/>
              <w:rPr>
                <w:color w:val="000000"/>
                <w:sz w:val="20"/>
                <w:szCs w:val="20"/>
              </w:rPr>
            </w:pPr>
            <w:r>
              <w:rPr>
                <w:color w:val="000000"/>
                <w:sz w:val="20"/>
                <w:szCs w:val="20"/>
              </w:rPr>
              <w:t>89.828</w:t>
            </w:r>
          </w:p>
        </w:tc>
      </w:tr>
      <w:tr w:rsidR="003E6588" w:rsidTr="00642F9B">
        <w:trPr>
          <w:trHeight w:val="202"/>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Atividades de salvamento</w:t>
            </w:r>
          </w:p>
        </w:tc>
        <w:tc>
          <w:tcPr>
            <w:tcW w:w="3215" w:type="dxa"/>
            <w:shd w:val="clear" w:color="auto" w:fill="auto"/>
            <w:vAlign w:val="center"/>
          </w:tcPr>
          <w:p w:rsidR="003E6588" w:rsidRDefault="003E6588">
            <w:pPr>
              <w:keepNext/>
              <w:keepLines/>
              <w:autoSpaceDE w:val="0"/>
              <w:autoSpaceDN w:val="0"/>
              <w:adjustRightInd w:val="0"/>
              <w:ind w:left="15"/>
              <w:rPr>
                <w:color w:val="000000"/>
                <w:sz w:val="20"/>
                <w:szCs w:val="20"/>
              </w:rPr>
            </w:pPr>
            <w:r>
              <w:rPr>
                <w:color w:val="000000"/>
                <w:sz w:val="20"/>
                <w:szCs w:val="20"/>
              </w:rPr>
              <w:t>50.472</w:t>
            </w:r>
          </w:p>
        </w:tc>
      </w:tr>
      <w:tr w:rsidR="003E6588" w:rsidTr="00642F9B">
        <w:trPr>
          <w:trHeight w:val="88"/>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Salvamento marítimo</w:t>
            </w:r>
          </w:p>
        </w:tc>
        <w:tc>
          <w:tcPr>
            <w:tcW w:w="3215" w:type="dxa"/>
            <w:shd w:val="clear" w:color="auto" w:fill="auto"/>
            <w:vAlign w:val="center"/>
          </w:tcPr>
          <w:p w:rsidR="003E6588" w:rsidRDefault="003E6588">
            <w:pPr>
              <w:keepNext/>
              <w:keepLines/>
              <w:autoSpaceDE w:val="0"/>
              <w:autoSpaceDN w:val="0"/>
              <w:adjustRightInd w:val="0"/>
              <w:ind w:left="15"/>
              <w:rPr>
                <w:color w:val="000000"/>
                <w:sz w:val="20"/>
                <w:szCs w:val="20"/>
              </w:rPr>
            </w:pPr>
            <w:r>
              <w:rPr>
                <w:color w:val="000000"/>
                <w:sz w:val="20"/>
                <w:szCs w:val="20"/>
              </w:rPr>
              <w:t>2.948</w:t>
            </w:r>
          </w:p>
        </w:tc>
      </w:tr>
      <w:tr w:rsidR="003E6588" w:rsidTr="00642F9B">
        <w:trPr>
          <w:trHeight w:val="97"/>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Serviços de Resgate</w:t>
            </w:r>
          </w:p>
        </w:tc>
        <w:tc>
          <w:tcPr>
            <w:tcW w:w="3215" w:type="dxa"/>
            <w:shd w:val="clear" w:color="auto" w:fill="auto"/>
            <w:vAlign w:val="center"/>
          </w:tcPr>
          <w:p w:rsidR="003E6588" w:rsidRDefault="003E6588">
            <w:pPr>
              <w:keepNext/>
              <w:keepLines/>
              <w:autoSpaceDE w:val="0"/>
              <w:autoSpaceDN w:val="0"/>
              <w:adjustRightInd w:val="0"/>
              <w:ind w:left="15"/>
              <w:rPr>
                <w:color w:val="000000"/>
                <w:sz w:val="20"/>
                <w:szCs w:val="20"/>
              </w:rPr>
            </w:pPr>
            <w:r>
              <w:rPr>
                <w:color w:val="000000"/>
                <w:sz w:val="20"/>
                <w:szCs w:val="20"/>
              </w:rPr>
              <w:t>255.027</w:t>
            </w:r>
          </w:p>
        </w:tc>
      </w:tr>
      <w:tr w:rsidR="003E6588" w:rsidTr="00642F9B">
        <w:trPr>
          <w:trHeight w:val="97"/>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Trabalho de Auxílio à Comunidade – atendimentos diversos</w:t>
            </w:r>
          </w:p>
        </w:tc>
        <w:tc>
          <w:tcPr>
            <w:tcW w:w="3215" w:type="dxa"/>
            <w:shd w:val="clear" w:color="auto" w:fill="auto"/>
            <w:vAlign w:val="center"/>
          </w:tcPr>
          <w:p w:rsidR="003E6588" w:rsidRDefault="003E6588">
            <w:pPr>
              <w:keepNext/>
              <w:keepLines/>
              <w:autoSpaceDE w:val="0"/>
              <w:autoSpaceDN w:val="0"/>
              <w:adjustRightInd w:val="0"/>
              <w:ind w:left="15"/>
              <w:rPr>
                <w:color w:val="000000"/>
                <w:sz w:val="20"/>
                <w:szCs w:val="20"/>
              </w:rPr>
            </w:pPr>
            <w:r>
              <w:rPr>
                <w:color w:val="000000"/>
                <w:sz w:val="20"/>
                <w:szCs w:val="20"/>
              </w:rPr>
              <w:t>108.371</w:t>
            </w:r>
          </w:p>
        </w:tc>
      </w:tr>
      <w:tr w:rsidR="003E6588" w:rsidTr="00642F9B">
        <w:trPr>
          <w:trHeight w:val="97"/>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Vítimas feridas</w:t>
            </w:r>
          </w:p>
        </w:tc>
        <w:tc>
          <w:tcPr>
            <w:tcW w:w="3215" w:type="dxa"/>
            <w:shd w:val="clear" w:color="auto" w:fill="auto"/>
            <w:vAlign w:val="center"/>
          </w:tcPr>
          <w:p w:rsidR="003E6588" w:rsidRDefault="003E6588">
            <w:pPr>
              <w:keepNext/>
              <w:keepLines/>
              <w:autoSpaceDE w:val="0"/>
              <w:autoSpaceDN w:val="0"/>
              <w:adjustRightInd w:val="0"/>
              <w:ind w:left="15"/>
              <w:rPr>
                <w:color w:val="000000"/>
                <w:sz w:val="20"/>
                <w:szCs w:val="20"/>
              </w:rPr>
            </w:pPr>
            <w:r>
              <w:rPr>
                <w:color w:val="000000"/>
                <w:sz w:val="20"/>
                <w:szCs w:val="20"/>
              </w:rPr>
              <w:t>230.785</w:t>
            </w:r>
          </w:p>
        </w:tc>
      </w:tr>
      <w:tr w:rsidR="003E6588" w:rsidTr="00642F9B">
        <w:trPr>
          <w:trHeight w:val="97"/>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Vítimas fatais</w:t>
            </w:r>
          </w:p>
        </w:tc>
        <w:tc>
          <w:tcPr>
            <w:tcW w:w="3215" w:type="dxa"/>
            <w:shd w:val="clear" w:color="auto" w:fill="auto"/>
            <w:vAlign w:val="center"/>
          </w:tcPr>
          <w:p w:rsidR="003E6588" w:rsidRDefault="003E6588">
            <w:pPr>
              <w:keepNext/>
              <w:keepLines/>
              <w:autoSpaceDE w:val="0"/>
              <w:autoSpaceDN w:val="0"/>
              <w:adjustRightInd w:val="0"/>
              <w:ind w:left="15"/>
              <w:rPr>
                <w:color w:val="000000"/>
                <w:sz w:val="20"/>
                <w:szCs w:val="20"/>
              </w:rPr>
            </w:pPr>
            <w:r>
              <w:rPr>
                <w:color w:val="000000"/>
                <w:sz w:val="20"/>
                <w:szCs w:val="20"/>
              </w:rPr>
              <w:t>7.507</w:t>
            </w:r>
          </w:p>
        </w:tc>
      </w:tr>
      <w:tr w:rsidR="003E6588" w:rsidTr="00642F9B">
        <w:trPr>
          <w:trHeight w:val="162"/>
          <w:jc w:val="center"/>
        </w:trPr>
        <w:tc>
          <w:tcPr>
            <w:tcW w:w="5717" w:type="dxa"/>
            <w:shd w:val="clear" w:color="auto" w:fill="auto"/>
            <w:vAlign w:val="bottom"/>
          </w:tcPr>
          <w:p w:rsidR="003E6588" w:rsidRDefault="003E6588" w:rsidP="00642F9B">
            <w:pPr>
              <w:keepNext/>
              <w:keepLines/>
              <w:autoSpaceDE w:val="0"/>
              <w:autoSpaceDN w:val="0"/>
              <w:adjustRightInd w:val="0"/>
              <w:ind w:left="15"/>
              <w:jc w:val="left"/>
              <w:rPr>
                <w:color w:val="000000"/>
                <w:sz w:val="20"/>
                <w:szCs w:val="20"/>
              </w:rPr>
            </w:pPr>
            <w:r>
              <w:rPr>
                <w:color w:val="000000"/>
                <w:sz w:val="20"/>
                <w:szCs w:val="20"/>
              </w:rPr>
              <w:t>Atividades Prevencionistas (vistorias em locais de risco, emissão e cassação de Auto de vistoria, análises, consultas e esclarecimentos)</w:t>
            </w:r>
          </w:p>
        </w:tc>
        <w:tc>
          <w:tcPr>
            <w:tcW w:w="3215" w:type="dxa"/>
            <w:shd w:val="clear" w:color="auto" w:fill="auto"/>
            <w:vAlign w:val="center"/>
          </w:tcPr>
          <w:p w:rsidR="003E6588" w:rsidRDefault="003E6588">
            <w:pPr>
              <w:keepNext/>
              <w:keepLines/>
              <w:autoSpaceDE w:val="0"/>
              <w:autoSpaceDN w:val="0"/>
              <w:adjustRightInd w:val="0"/>
              <w:ind w:left="15"/>
              <w:rPr>
                <w:color w:val="000000"/>
                <w:sz w:val="20"/>
                <w:szCs w:val="20"/>
              </w:rPr>
            </w:pPr>
            <w:r>
              <w:rPr>
                <w:color w:val="000000"/>
                <w:sz w:val="20"/>
                <w:szCs w:val="20"/>
              </w:rPr>
              <w:t>450.381</w:t>
            </w:r>
          </w:p>
        </w:tc>
      </w:tr>
    </w:tbl>
    <w:p w:rsidR="003E6588" w:rsidRDefault="003E6588">
      <w:pPr>
        <w:pStyle w:val="Paragrafo"/>
        <w:spacing w:after="0" w:line="240" w:lineRule="auto"/>
        <w:ind w:firstLine="1134"/>
        <w:rPr>
          <w:rFonts w:ascii="Times New Roman" w:hAnsi="Times New Roman"/>
          <w:szCs w:val="24"/>
        </w:rPr>
      </w:pPr>
    </w:p>
    <w:p w:rsidR="003E6588" w:rsidRDefault="003E6588">
      <w:pPr>
        <w:ind w:firstLine="1134"/>
        <w:jc w:val="both"/>
        <w:rPr>
          <w:b/>
          <w:bCs/>
        </w:rPr>
      </w:pPr>
      <w:r>
        <w:rPr>
          <w:b/>
          <w:bCs/>
        </w:rPr>
        <w:t>Polícia Civil</w:t>
      </w:r>
    </w:p>
    <w:p w:rsidR="003E6588" w:rsidRDefault="003E6588">
      <w:pPr>
        <w:ind w:firstLine="1134"/>
        <w:jc w:val="both"/>
      </w:pPr>
    </w:p>
    <w:p w:rsidR="003E6588" w:rsidRDefault="003E6588">
      <w:pPr>
        <w:ind w:firstLine="1134"/>
        <w:jc w:val="both"/>
      </w:pPr>
      <w:r>
        <w:rPr>
          <w:b/>
        </w:rPr>
        <w:t xml:space="preserve">Delegacia Eletrônica - </w:t>
      </w:r>
      <w:r>
        <w:t>Foram registradas 1.563.190 solicitações, que, após análise policial, geraram 1.202.283 boletins de ocorrência, o que corresponde a média mensal de 100 mil registros por mês.</w:t>
      </w:r>
    </w:p>
    <w:p w:rsidR="003E6588" w:rsidRPr="00C70C5C" w:rsidRDefault="003E6588">
      <w:pPr>
        <w:ind w:firstLine="1134"/>
        <w:jc w:val="both"/>
      </w:pPr>
    </w:p>
    <w:tbl>
      <w:tblPr>
        <w:tblW w:w="7049" w:type="dxa"/>
        <w:jc w:val="center"/>
        <w:tblInd w:w="8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70" w:type="dxa"/>
          <w:right w:w="70" w:type="dxa"/>
        </w:tblCellMar>
        <w:tblLook w:val="04A0"/>
      </w:tblPr>
      <w:tblGrid>
        <w:gridCol w:w="3029"/>
        <w:gridCol w:w="1340"/>
        <w:gridCol w:w="1340"/>
        <w:gridCol w:w="1340"/>
      </w:tblGrid>
      <w:tr w:rsidR="003E6588" w:rsidTr="00C70C5C">
        <w:trPr>
          <w:trHeight w:val="145"/>
          <w:jc w:val="center"/>
        </w:trPr>
        <w:tc>
          <w:tcPr>
            <w:tcW w:w="3029" w:type="dxa"/>
            <w:shd w:val="clear" w:color="000000" w:fill="FFFFFF"/>
            <w:hideMark/>
          </w:tcPr>
          <w:p w:rsidR="003E6588" w:rsidRDefault="00CE42F3">
            <w:pPr>
              <w:rPr>
                <w:b/>
                <w:sz w:val="20"/>
                <w:szCs w:val="20"/>
              </w:rPr>
            </w:pPr>
            <w:r w:rsidRPr="00CE42F3">
              <w:rPr>
                <w:b/>
                <w:sz w:val="20"/>
                <w:szCs w:val="20"/>
              </w:rPr>
              <w:t>Tipo Ocorrência</w:t>
            </w:r>
          </w:p>
        </w:tc>
        <w:tc>
          <w:tcPr>
            <w:tcW w:w="1340" w:type="dxa"/>
            <w:shd w:val="clear" w:color="000000" w:fill="FFFFFF"/>
            <w:hideMark/>
          </w:tcPr>
          <w:p w:rsidR="003E6588" w:rsidRDefault="00CE42F3">
            <w:pPr>
              <w:rPr>
                <w:b/>
                <w:sz w:val="20"/>
                <w:szCs w:val="20"/>
              </w:rPr>
            </w:pPr>
            <w:r w:rsidRPr="00CE42F3">
              <w:rPr>
                <w:b/>
                <w:sz w:val="20"/>
                <w:szCs w:val="20"/>
              </w:rPr>
              <w:t>Aprovado</w:t>
            </w:r>
          </w:p>
        </w:tc>
        <w:tc>
          <w:tcPr>
            <w:tcW w:w="1340" w:type="dxa"/>
            <w:shd w:val="clear" w:color="000000" w:fill="FFFFFF"/>
            <w:hideMark/>
          </w:tcPr>
          <w:p w:rsidR="003E6588" w:rsidRDefault="00CE42F3">
            <w:pPr>
              <w:rPr>
                <w:b/>
                <w:sz w:val="20"/>
                <w:szCs w:val="20"/>
              </w:rPr>
            </w:pPr>
            <w:r w:rsidRPr="00CE42F3">
              <w:rPr>
                <w:b/>
                <w:sz w:val="20"/>
                <w:szCs w:val="20"/>
              </w:rPr>
              <w:t>Reprovado</w:t>
            </w:r>
          </w:p>
        </w:tc>
        <w:tc>
          <w:tcPr>
            <w:tcW w:w="1340" w:type="dxa"/>
            <w:shd w:val="clear" w:color="000000" w:fill="FFFFFF"/>
            <w:hideMark/>
          </w:tcPr>
          <w:p w:rsidR="003E6588" w:rsidRDefault="00CE42F3">
            <w:pPr>
              <w:rPr>
                <w:b/>
                <w:sz w:val="20"/>
                <w:szCs w:val="20"/>
              </w:rPr>
            </w:pPr>
            <w:r w:rsidRPr="00CE42F3">
              <w:rPr>
                <w:b/>
                <w:sz w:val="20"/>
                <w:szCs w:val="20"/>
              </w:rPr>
              <w:t>Recebidos</w:t>
            </w:r>
          </w:p>
        </w:tc>
      </w:tr>
      <w:tr w:rsidR="003E6588" w:rsidTr="00C70C5C">
        <w:trPr>
          <w:trHeight w:val="50"/>
          <w:jc w:val="center"/>
        </w:trPr>
        <w:tc>
          <w:tcPr>
            <w:tcW w:w="3029" w:type="dxa"/>
            <w:shd w:val="clear" w:color="auto" w:fill="auto"/>
            <w:hideMark/>
          </w:tcPr>
          <w:p w:rsidR="003E6588" w:rsidRDefault="00CE42F3" w:rsidP="00C70C5C">
            <w:pPr>
              <w:jc w:val="left"/>
              <w:rPr>
                <w:sz w:val="20"/>
                <w:szCs w:val="20"/>
              </w:rPr>
            </w:pPr>
            <w:r w:rsidRPr="00CE42F3">
              <w:rPr>
                <w:sz w:val="20"/>
                <w:szCs w:val="20"/>
              </w:rPr>
              <w:t xml:space="preserve">Acidente </w:t>
            </w:r>
            <w:r w:rsidR="003E6588" w:rsidRPr="00642F9B">
              <w:rPr>
                <w:sz w:val="20"/>
                <w:szCs w:val="20"/>
              </w:rPr>
              <w:t xml:space="preserve">de trânsito sem </w:t>
            </w:r>
            <w:r w:rsidRPr="00CE42F3">
              <w:rPr>
                <w:sz w:val="20"/>
                <w:szCs w:val="20"/>
              </w:rPr>
              <w:t>Ví</w:t>
            </w:r>
            <w:r w:rsidR="003E6588" w:rsidRPr="00642F9B">
              <w:rPr>
                <w:sz w:val="20"/>
                <w:szCs w:val="20"/>
              </w:rPr>
              <w:t>t</w:t>
            </w:r>
            <w:r w:rsidRPr="00CE42F3">
              <w:rPr>
                <w:sz w:val="20"/>
                <w:szCs w:val="20"/>
              </w:rPr>
              <w:t>ima</w:t>
            </w:r>
          </w:p>
        </w:tc>
        <w:tc>
          <w:tcPr>
            <w:tcW w:w="1340" w:type="dxa"/>
            <w:shd w:val="clear" w:color="auto" w:fill="auto"/>
            <w:hideMark/>
          </w:tcPr>
          <w:p w:rsidR="003E6588" w:rsidRDefault="00CE42F3">
            <w:pPr>
              <w:rPr>
                <w:sz w:val="20"/>
                <w:szCs w:val="20"/>
              </w:rPr>
            </w:pPr>
            <w:r w:rsidRPr="00CE42F3">
              <w:rPr>
                <w:sz w:val="20"/>
                <w:szCs w:val="20"/>
              </w:rPr>
              <w:t>236.441</w:t>
            </w:r>
          </w:p>
        </w:tc>
        <w:tc>
          <w:tcPr>
            <w:tcW w:w="1340" w:type="dxa"/>
            <w:shd w:val="clear" w:color="auto" w:fill="auto"/>
            <w:hideMark/>
          </w:tcPr>
          <w:p w:rsidR="003E6588" w:rsidRDefault="00CE42F3">
            <w:pPr>
              <w:rPr>
                <w:sz w:val="20"/>
                <w:szCs w:val="20"/>
              </w:rPr>
            </w:pPr>
            <w:r w:rsidRPr="00CE42F3">
              <w:rPr>
                <w:sz w:val="20"/>
                <w:szCs w:val="20"/>
              </w:rPr>
              <w:t>60.675</w:t>
            </w:r>
          </w:p>
        </w:tc>
        <w:tc>
          <w:tcPr>
            <w:tcW w:w="1340" w:type="dxa"/>
            <w:shd w:val="clear" w:color="auto" w:fill="auto"/>
            <w:hideMark/>
          </w:tcPr>
          <w:p w:rsidR="003E6588" w:rsidRDefault="00CE42F3">
            <w:pPr>
              <w:rPr>
                <w:sz w:val="20"/>
                <w:szCs w:val="20"/>
              </w:rPr>
            </w:pPr>
            <w:r w:rsidRPr="00CE42F3">
              <w:rPr>
                <w:sz w:val="20"/>
                <w:szCs w:val="20"/>
              </w:rPr>
              <w:t>297.414</w:t>
            </w:r>
          </w:p>
        </w:tc>
      </w:tr>
      <w:tr w:rsidR="003E6588" w:rsidTr="00C70C5C">
        <w:trPr>
          <w:trHeight w:val="96"/>
          <w:jc w:val="center"/>
        </w:trPr>
        <w:tc>
          <w:tcPr>
            <w:tcW w:w="3029" w:type="dxa"/>
            <w:shd w:val="clear" w:color="auto" w:fill="auto"/>
            <w:hideMark/>
          </w:tcPr>
          <w:p w:rsidR="003E6588" w:rsidRDefault="00CE42F3" w:rsidP="00C70C5C">
            <w:pPr>
              <w:jc w:val="left"/>
              <w:rPr>
                <w:sz w:val="20"/>
                <w:szCs w:val="20"/>
              </w:rPr>
            </w:pPr>
            <w:r w:rsidRPr="00CE42F3">
              <w:rPr>
                <w:sz w:val="20"/>
                <w:szCs w:val="20"/>
              </w:rPr>
              <w:t>Ameaça</w:t>
            </w:r>
          </w:p>
        </w:tc>
        <w:tc>
          <w:tcPr>
            <w:tcW w:w="1340" w:type="dxa"/>
            <w:shd w:val="clear" w:color="auto" w:fill="auto"/>
            <w:hideMark/>
          </w:tcPr>
          <w:p w:rsidR="003E6588" w:rsidRDefault="00CE42F3">
            <w:pPr>
              <w:rPr>
                <w:sz w:val="20"/>
                <w:szCs w:val="20"/>
              </w:rPr>
            </w:pPr>
            <w:r w:rsidRPr="00CE42F3">
              <w:rPr>
                <w:sz w:val="20"/>
                <w:szCs w:val="20"/>
              </w:rPr>
              <w:t>20.894</w:t>
            </w:r>
          </w:p>
        </w:tc>
        <w:tc>
          <w:tcPr>
            <w:tcW w:w="1340" w:type="dxa"/>
            <w:shd w:val="clear" w:color="auto" w:fill="auto"/>
            <w:hideMark/>
          </w:tcPr>
          <w:p w:rsidR="003E6588" w:rsidRDefault="00CE42F3">
            <w:pPr>
              <w:rPr>
                <w:sz w:val="20"/>
                <w:szCs w:val="20"/>
              </w:rPr>
            </w:pPr>
            <w:r w:rsidRPr="00CE42F3">
              <w:rPr>
                <w:sz w:val="20"/>
                <w:szCs w:val="20"/>
              </w:rPr>
              <w:t>20.515</w:t>
            </w:r>
          </w:p>
        </w:tc>
        <w:tc>
          <w:tcPr>
            <w:tcW w:w="1340" w:type="dxa"/>
            <w:shd w:val="clear" w:color="auto" w:fill="auto"/>
            <w:hideMark/>
          </w:tcPr>
          <w:p w:rsidR="003E6588" w:rsidRDefault="00CE42F3">
            <w:pPr>
              <w:rPr>
                <w:sz w:val="20"/>
                <w:szCs w:val="20"/>
              </w:rPr>
            </w:pPr>
            <w:r w:rsidRPr="00CE42F3">
              <w:rPr>
                <w:sz w:val="20"/>
                <w:szCs w:val="20"/>
              </w:rPr>
              <w:t>41.409</w:t>
            </w:r>
          </w:p>
        </w:tc>
      </w:tr>
      <w:tr w:rsidR="003E6588" w:rsidTr="00C70C5C">
        <w:trPr>
          <w:trHeight w:val="44"/>
          <w:jc w:val="center"/>
        </w:trPr>
        <w:tc>
          <w:tcPr>
            <w:tcW w:w="3029" w:type="dxa"/>
            <w:shd w:val="clear" w:color="auto" w:fill="auto"/>
            <w:hideMark/>
          </w:tcPr>
          <w:p w:rsidR="003E6588" w:rsidRDefault="00CE42F3" w:rsidP="00C70C5C">
            <w:pPr>
              <w:jc w:val="left"/>
              <w:rPr>
                <w:sz w:val="20"/>
                <w:szCs w:val="20"/>
              </w:rPr>
            </w:pPr>
            <w:r w:rsidRPr="00CE42F3">
              <w:rPr>
                <w:sz w:val="20"/>
                <w:szCs w:val="20"/>
              </w:rPr>
              <w:t>Calúnia</w:t>
            </w:r>
          </w:p>
        </w:tc>
        <w:tc>
          <w:tcPr>
            <w:tcW w:w="1340" w:type="dxa"/>
            <w:shd w:val="clear" w:color="auto" w:fill="auto"/>
            <w:hideMark/>
          </w:tcPr>
          <w:p w:rsidR="003E6588" w:rsidRDefault="00CE42F3">
            <w:pPr>
              <w:rPr>
                <w:sz w:val="20"/>
                <w:szCs w:val="20"/>
              </w:rPr>
            </w:pPr>
            <w:r w:rsidRPr="00CE42F3">
              <w:rPr>
                <w:sz w:val="20"/>
                <w:szCs w:val="20"/>
              </w:rPr>
              <w:t>5.367</w:t>
            </w:r>
          </w:p>
        </w:tc>
        <w:tc>
          <w:tcPr>
            <w:tcW w:w="1340" w:type="dxa"/>
            <w:shd w:val="clear" w:color="auto" w:fill="auto"/>
            <w:hideMark/>
          </w:tcPr>
          <w:p w:rsidR="003E6588" w:rsidRDefault="00CE42F3">
            <w:pPr>
              <w:rPr>
                <w:sz w:val="20"/>
                <w:szCs w:val="20"/>
              </w:rPr>
            </w:pPr>
            <w:r w:rsidRPr="00CE42F3">
              <w:rPr>
                <w:sz w:val="20"/>
                <w:szCs w:val="20"/>
              </w:rPr>
              <w:t>6.135</w:t>
            </w:r>
          </w:p>
        </w:tc>
        <w:tc>
          <w:tcPr>
            <w:tcW w:w="1340" w:type="dxa"/>
            <w:shd w:val="clear" w:color="auto" w:fill="auto"/>
            <w:hideMark/>
          </w:tcPr>
          <w:p w:rsidR="003E6588" w:rsidRDefault="00CE42F3">
            <w:pPr>
              <w:rPr>
                <w:sz w:val="20"/>
                <w:szCs w:val="20"/>
              </w:rPr>
            </w:pPr>
            <w:r w:rsidRPr="00CE42F3">
              <w:rPr>
                <w:sz w:val="20"/>
                <w:szCs w:val="20"/>
              </w:rPr>
              <w:t>11.512</w:t>
            </w:r>
          </w:p>
        </w:tc>
      </w:tr>
      <w:tr w:rsidR="003E6588" w:rsidTr="00C70C5C">
        <w:trPr>
          <w:trHeight w:val="44"/>
          <w:jc w:val="center"/>
        </w:trPr>
        <w:tc>
          <w:tcPr>
            <w:tcW w:w="3029" w:type="dxa"/>
            <w:shd w:val="clear" w:color="auto" w:fill="auto"/>
            <w:hideMark/>
          </w:tcPr>
          <w:p w:rsidR="003E6588" w:rsidRDefault="00CE42F3" w:rsidP="00C70C5C">
            <w:pPr>
              <w:jc w:val="left"/>
              <w:rPr>
                <w:sz w:val="20"/>
                <w:szCs w:val="20"/>
              </w:rPr>
            </w:pPr>
            <w:r w:rsidRPr="00CE42F3">
              <w:rPr>
                <w:sz w:val="20"/>
                <w:szCs w:val="20"/>
              </w:rPr>
              <w:t>Complemento</w:t>
            </w:r>
          </w:p>
        </w:tc>
        <w:tc>
          <w:tcPr>
            <w:tcW w:w="1340" w:type="dxa"/>
            <w:shd w:val="clear" w:color="auto" w:fill="auto"/>
            <w:hideMark/>
          </w:tcPr>
          <w:p w:rsidR="003E6588" w:rsidRDefault="00CE42F3">
            <w:pPr>
              <w:rPr>
                <w:sz w:val="20"/>
                <w:szCs w:val="20"/>
              </w:rPr>
            </w:pPr>
            <w:r w:rsidRPr="00CE42F3">
              <w:rPr>
                <w:sz w:val="20"/>
                <w:szCs w:val="20"/>
              </w:rPr>
              <w:t>19.693</w:t>
            </w:r>
          </w:p>
        </w:tc>
        <w:tc>
          <w:tcPr>
            <w:tcW w:w="1340" w:type="dxa"/>
            <w:shd w:val="clear" w:color="auto" w:fill="auto"/>
            <w:hideMark/>
          </w:tcPr>
          <w:p w:rsidR="003E6588" w:rsidRDefault="00CE42F3">
            <w:pPr>
              <w:rPr>
                <w:sz w:val="20"/>
                <w:szCs w:val="20"/>
              </w:rPr>
            </w:pPr>
            <w:r w:rsidRPr="00CE42F3">
              <w:rPr>
                <w:sz w:val="20"/>
                <w:szCs w:val="20"/>
              </w:rPr>
              <w:t>8.183</w:t>
            </w:r>
          </w:p>
        </w:tc>
        <w:tc>
          <w:tcPr>
            <w:tcW w:w="1340" w:type="dxa"/>
            <w:shd w:val="clear" w:color="auto" w:fill="auto"/>
            <w:hideMark/>
          </w:tcPr>
          <w:p w:rsidR="003E6588" w:rsidRDefault="00CE42F3">
            <w:pPr>
              <w:rPr>
                <w:sz w:val="20"/>
                <w:szCs w:val="20"/>
              </w:rPr>
            </w:pPr>
            <w:r w:rsidRPr="00CE42F3">
              <w:rPr>
                <w:sz w:val="20"/>
                <w:szCs w:val="20"/>
              </w:rPr>
              <w:t>27.898</w:t>
            </w:r>
          </w:p>
        </w:tc>
      </w:tr>
      <w:tr w:rsidR="003E6588" w:rsidTr="00C70C5C">
        <w:trPr>
          <w:trHeight w:val="44"/>
          <w:jc w:val="center"/>
        </w:trPr>
        <w:tc>
          <w:tcPr>
            <w:tcW w:w="3029" w:type="dxa"/>
            <w:shd w:val="clear" w:color="auto" w:fill="auto"/>
            <w:hideMark/>
          </w:tcPr>
          <w:p w:rsidR="003E6588" w:rsidRDefault="00CE42F3" w:rsidP="00C70C5C">
            <w:pPr>
              <w:jc w:val="left"/>
              <w:rPr>
                <w:sz w:val="20"/>
                <w:szCs w:val="20"/>
              </w:rPr>
            </w:pPr>
            <w:r w:rsidRPr="00CE42F3">
              <w:rPr>
                <w:sz w:val="20"/>
                <w:szCs w:val="20"/>
              </w:rPr>
              <w:t xml:space="preserve">Desaparecimento </w:t>
            </w:r>
            <w:r w:rsidR="003E6588" w:rsidRPr="00642F9B">
              <w:rPr>
                <w:sz w:val="20"/>
                <w:szCs w:val="20"/>
              </w:rPr>
              <w:t>de pessoa</w:t>
            </w:r>
          </w:p>
        </w:tc>
        <w:tc>
          <w:tcPr>
            <w:tcW w:w="1340" w:type="dxa"/>
            <w:shd w:val="clear" w:color="auto" w:fill="auto"/>
            <w:hideMark/>
          </w:tcPr>
          <w:p w:rsidR="003E6588" w:rsidRDefault="00CE42F3">
            <w:pPr>
              <w:rPr>
                <w:sz w:val="20"/>
                <w:szCs w:val="20"/>
              </w:rPr>
            </w:pPr>
            <w:r w:rsidRPr="00CE42F3">
              <w:rPr>
                <w:sz w:val="20"/>
                <w:szCs w:val="20"/>
              </w:rPr>
              <w:t>7.247</w:t>
            </w:r>
          </w:p>
        </w:tc>
        <w:tc>
          <w:tcPr>
            <w:tcW w:w="1340" w:type="dxa"/>
            <w:shd w:val="clear" w:color="auto" w:fill="auto"/>
            <w:hideMark/>
          </w:tcPr>
          <w:p w:rsidR="003E6588" w:rsidRDefault="00CE42F3">
            <w:pPr>
              <w:rPr>
                <w:sz w:val="20"/>
                <w:szCs w:val="20"/>
              </w:rPr>
            </w:pPr>
            <w:r w:rsidRPr="00CE42F3">
              <w:rPr>
                <w:sz w:val="20"/>
                <w:szCs w:val="20"/>
              </w:rPr>
              <w:t>2.148</w:t>
            </w:r>
          </w:p>
        </w:tc>
        <w:tc>
          <w:tcPr>
            <w:tcW w:w="1340" w:type="dxa"/>
            <w:shd w:val="clear" w:color="auto" w:fill="auto"/>
            <w:hideMark/>
          </w:tcPr>
          <w:p w:rsidR="003E6588" w:rsidRDefault="00CE42F3">
            <w:pPr>
              <w:rPr>
                <w:sz w:val="20"/>
                <w:szCs w:val="20"/>
              </w:rPr>
            </w:pPr>
            <w:r w:rsidRPr="00CE42F3">
              <w:rPr>
                <w:sz w:val="20"/>
                <w:szCs w:val="20"/>
              </w:rPr>
              <w:t>9.397</w:t>
            </w:r>
          </w:p>
        </w:tc>
      </w:tr>
      <w:tr w:rsidR="003E6588" w:rsidTr="00C70C5C">
        <w:trPr>
          <w:trHeight w:val="124"/>
          <w:jc w:val="center"/>
        </w:trPr>
        <w:tc>
          <w:tcPr>
            <w:tcW w:w="3029" w:type="dxa"/>
            <w:shd w:val="clear" w:color="auto" w:fill="auto"/>
            <w:hideMark/>
          </w:tcPr>
          <w:p w:rsidR="003E6588" w:rsidRDefault="00CE42F3" w:rsidP="00C70C5C">
            <w:pPr>
              <w:jc w:val="left"/>
              <w:rPr>
                <w:sz w:val="20"/>
                <w:szCs w:val="20"/>
              </w:rPr>
            </w:pPr>
            <w:r w:rsidRPr="00CE42F3">
              <w:rPr>
                <w:sz w:val="20"/>
                <w:szCs w:val="20"/>
              </w:rPr>
              <w:t>Difamação</w:t>
            </w:r>
          </w:p>
        </w:tc>
        <w:tc>
          <w:tcPr>
            <w:tcW w:w="1340" w:type="dxa"/>
            <w:shd w:val="clear" w:color="auto" w:fill="auto"/>
            <w:hideMark/>
          </w:tcPr>
          <w:p w:rsidR="003E6588" w:rsidRDefault="00CE42F3">
            <w:pPr>
              <w:rPr>
                <w:sz w:val="20"/>
                <w:szCs w:val="20"/>
              </w:rPr>
            </w:pPr>
            <w:r w:rsidRPr="00CE42F3">
              <w:rPr>
                <w:sz w:val="20"/>
                <w:szCs w:val="20"/>
              </w:rPr>
              <w:t>1.852</w:t>
            </w:r>
          </w:p>
        </w:tc>
        <w:tc>
          <w:tcPr>
            <w:tcW w:w="1340" w:type="dxa"/>
            <w:shd w:val="clear" w:color="auto" w:fill="auto"/>
            <w:hideMark/>
          </w:tcPr>
          <w:p w:rsidR="003E6588" w:rsidRDefault="00CE42F3">
            <w:pPr>
              <w:rPr>
                <w:sz w:val="20"/>
                <w:szCs w:val="20"/>
              </w:rPr>
            </w:pPr>
            <w:r w:rsidRPr="00CE42F3">
              <w:rPr>
                <w:sz w:val="20"/>
                <w:szCs w:val="20"/>
              </w:rPr>
              <w:t>2.487</w:t>
            </w:r>
          </w:p>
        </w:tc>
        <w:tc>
          <w:tcPr>
            <w:tcW w:w="1340" w:type="dxa"/>
            <w:shd w:val="clear" w:color="auto" w:fill="auto"/>
            <w:hideMark/>
          </w:tcPr>
          <w:p w:rsidR="003E6588" w:rsidRDefault="00CE42F3">
            <w:pPr>
              <w:rPr>
                <w:sz w:val="20"/>
                <w:szCs w:val="20"/>
              </w:rPr>
            </w:pPr>
            <w:r w:rsidRPr="00CE42F3">
              <w:rPr>
                <w:sz w:val="20"/>
                <w:szCs w:val="20"/>
              </w:rPr>
              <w:t>4.341</w:t>
            </w:r>
          </w:p>
        </w:tc>
      </w:tr>
      <w:tr w:rsidR="003E6588" w:rsidTr="00C70C5C">
        <w:trPr>
          <w:trHeight w:val="170"/>
          <w:jc w:val="center"/>
        </w:trPr>
        <w:tc>
          <w:tcPr>
            <w:tcW w:w="3029" w:type="dxa"/>
            <w:shd w:val="clear" w:color="auto" w:fill="auto"/>
            <w:hideMark/>
          </w:tcPr>
          <w:p w:rsidR="003E6588" w:rsidRDefault="00CE42F3" w:rsidP="00C70C5C">
            <w:pPr>
              <w:jc w:val="left"/>
              <w:rPr>
                <w:sz w:val="20"/>
                <w:szCs w:val="20"/>
              </w:rPr>
            </w:pPr>
            <w:r w:rsidRPr="00CE42F3">
              <w:rPr>
                <w:sz w:val="20"/>
                <w:szCs w:val="20"/>
              </w:rPr>
              <w:t xml:space="preserve">Encontro </w:t>
            </w:r>
            <w:r w:rsidR="003E6588" w:rsidRPr="00642F9B">
              <w:rPr>
                <w:sz w:val="20"/>
                <w:szCs w:val="20"/>
              </w:rPr>
              <w:t>de p</w:t>
            </w:r>
            <w:r w:rsidRPr="00CE42F3">
              <w:rPr>
                <w:sz w:val="20"/>
                <w:szCs w:val="20"/>
              </w:rPr>
              <w:t>essoa</w:t>
            </w:r>
          </w:p>
        </w:tc>
        <w:tc>
          <w:tcPr>
            <w:tcW w:w="1340" w:type="dxa"/>
            <w:shd w:val="clear" w:color="auto" w:fill="auto"/>
            <w:hideMark/>
          </w:tcPr>
          <w:p w:rsidR="003E6588" w:rsidRDefault="00CE42F3">
            <w:pPr>
              <w:rPr>
                <w:sz w:val="20"/>
                <w:szCs w:val="20"/>
              </w:rPr>
            </w:pPr>
            <w:r w:rsidRPr="00CE42F3">
              <w:rPr>
                <w:sz w:val="20"/>
                <w:szCs w:val="20"/>
              </w:rPr>
              <w:t>4.537</w:t>
            </w:r>
          </w:p>
        </w:tc>
        <w:tc>
          <w:tcPr>
            <w:tcW w:w="1340" w:type="dxa"/>
            <w:shd w:val="clear" w:color="auto" w:fill="auto"/>
            <w:hideMark/>
          </w:tcPr>
          <w:p w:rsidR="003E6588" w:rsidRDefault="00CE42F3">
            <w:pPr>
              <w:rPr>
                <w:sz w:val="20"/>
                <w:szCs w:val="20"/>
              </w:rPr>
            </w:pPr>
            <w:r w:rsidRPr="00CE42F3">
              <w:rPr>
                <w:sz w:val="20"/>
                <w:szCs w:val="20"/>
              </w:rPr>
              <w:t>1.448</w:t>
            </w:r>
          </w:p>
        </w:tc>
        <w:tc>
          <w:tcPr>
            <w:tcW w:w="1340" w:type="dxa"/>
            <w:shd w:val="clear" w:color="auto" w:fill="auto"/>
            <w:hideMark/>
          </w:tcPr>
          <w:p w:rsidR="003E6588" w:rsidRDefault="00CE42F3">
            <w:pPr>
              <w:rPr>
                <w:sz w:val="20"/>
                <w:szCs w:val="20"/>
              </w:rPr>
            </w:pPr>
            <w:r w:rsidRPr="00CE42F3">
              <w:rPr>
                <w:sz w:val="20"/>
                <w:szCs w:val="20"/>
              </w:rPr>
              <w:t>5.980</w:t>
            </w:r>
          </w:p>
        </w:tc>
      </w:tr>
      <w:tr w:rsidR="003E6588" w:rsidTr="00C70C5C">
        <w:trPr>
          <w:trHeight w:val="74"/>
          <w:jc w:val="center"/>
        </w:trPr>
        <w:tc>
          <w:tcPr>
            <w:tcW w:w="3029" w:type="dxa"/>
            <w:shd w:val="clear" w:color="auto" w:fill="auto"/>
            <w:hideMark/>
          </w:tcPr>
          <w:p w:rsidR="003E6588" w:rsidRDefault="00CE42F3" w:rsidP="00C70C5C">
            <w:pPr>
              <w:jc w:val="left"/>
              <w:rPr>
                <w:sz w:val="20"/>
                <w:szCs w:val="20"/>
              </w:rPr>
            </w:pPr>
            <w:r w:rsidRPr="00CE42F3">
              <w:rPr>
                <w:sz w:val="20"/>
                <w:szCs w:val="20"/>
              </w:rPr>
              <w:t>Furto</w:t>
            </w:r>
          </w:p>
        </w:tc>
        <w:tc>
          <w:tcPr>
            <w:tcW w:w="1340" w:type="dxa"/>
            <w:shd w:val="clear" w:color="auto" w:fill="auto"/>
            <w:hideMark/>
          </w:tcPr>
          <w:p w:rsidR="003E6588" w:rsidRDefault="00CE42F3">
            <w:pPr>
              <w:rPr>
                <w:sz w:val="20"/>
                <w:szCs w:val="20"/>
              </w:rPr>
            </w:pPr>
            <w:r w:rsidRPr="00CE42F3">
              <w:rPr>
                <w:sz w:val="20"/>
                <w:szCs w:val="20"/>
              </w:rPr>
              <w:t>148.514</w:t>
            </w:r>
          </w:p>
        </w:tc>
        <w:tc>
          <w:tcPr>
            <w:tcW w:w="1340" w:type="dxa"/>
            <w:shd w:val="clear" w:color="auto" w:fill="auto"/>
            <w:hideMark/>
          </w:tcPr>
          <w:p w:rsidR="003E6588" w:rsidRDefault="00CE42F3">
            <w:pPr>
              <w:rPr>
                <w:sz w:val="20"/>
                <w:szCs w:val="20"/>
              </w:rPr>
            </w:pPr>
            <w:r w:rsidRPr="00CE42F3">
              <w:rPr>
                <w:sz w:val="20"/>
                <w:szCs w:val="20"/>
              </w:rPr>
              <w:t>85.024</w:t>
            </w:r>
          </w:p>
        </w:tc>
        <w:tc>
          <w:tcPr>
            <w:tcW w:w="1340" w:type="dxa"/>
            <w:shd w:val="clear" w:color="auto" w:fill="auto"/>
            <w:hideMark/>
          </w:tcPr>
          <w:p w:rsidR="003E6588" w:rsidRDefault="00CE42F3">
            <w:pPr>
              <w:rPr>
                <w:sz w:val="20"/>
                <w:szCs w:val="20"/>
              </w:rPr>
            </w:pPr>
            <w:r w:rsidRPr="00CE42F3">
              <w:rPr>
                <w:sz w:val="20"/>
                <w:szCs w:val="20"/>
              </w:rPr>
              <w:t>233.736</w:t>
            </w:r>
          </w:p>
        </w:tc>
      </w:tr>
      <w:tr w:rsidR="003E6588" w:rsidTr="00C70C5C">
        <w:trPr>
          <w:trHeight w:val="106"/>
          <w:jc w:val="center"/>
        </w:trPr>
        <w:tc>
          <w:tcPr>
            <w:tcW w:w="3029" w:type="dxa"/>
            <w:shd w:val="clear" w:color="auto" w:fill="auto"/>
            <w:hideMark/>
          </w:tcPr>
          <w:p w:rsidR="003E6588" w:rsidRDefault="00CE42F3" w:rsidP="00C70C5C">
            <w:pPr>
              <w:jc w:val="left"/>
              <w:rPr>
                <w:sz w:val="20"/>
                <w:szCs w:val="20"/>
              </w:rPr>
            </w:pPr>
            <w:r w:rsidRPr="00CE42F3">
              <w:rPr>
                <w:sz w:val="20"/>
                <w:szCs w:val="20"/>
              </w:rPr>
              <w:t xml:space="preserve">Furto </w:t>
            </w:r>
            <w:r w:rsidR="003E6588" w:rsidRPr="00642F9B">
              <w:rPr>
                <w:sz w:val="20"/>
                <w:szCs w:val="20"/>
              </w:rPr>
              <w:t>veículo</w:t>
            </w:r>
          </w:p>
        </w:tc>
        <w:tc>
          <w:tcPr>
            <w:tcW w:w="1340" w:type="dxa"/>
            <w:shd w:val="clear" w:color="auto" w:fill="auto"/>
            <w:hideMark/>
          </w:tcPr>
          <w:p w:rsidR="003E6588" w:rsidRDefault="00CE42F3">
            <w:pPr>
              <w:rPr>
                <w:sz w:val="20"/>
                <w:szCs w:val="20"/>
              </w:rPr>
            </w:pPr>
            <w:r w:rsidRPr="00CE42F3">
              <w:rPr>
                <w:sz w:val="20"/>
                <w:szCs w:val="20"/>
              </w:rPr>
              <w:t>36.562</w:t>
            </w:r>
          </w:p>
        </w:tc>
        <w:tc>
          <w:tcPr>
            <w:tcW w:w="1340" w:type="dxa"/>
            <w:shd w:val="clear" w:color="auto" w:fill="auto"/>
            <w:hideMark/>
          </w:tcPr>
          <w:p w:rsidR="003E6588" w:rsidRDefault="00CE42F3">
            <w:pPr>
              <w:rPr>
                <w:sz w:val="20"/>
                <w:szCs w:val="20"/>
              </w:rPr>
            </w:pPr>
            <w:r w:rsidRPr="00CE42F3">
              <w:rPr>
                <w:sz w:val="20"/>
                <w:szCs w:val="20"/>
              </w:rPr>
              <w:t>24.665</w:t>
            </w:r>
          </w:p>
        </w:tc>
        <w:tc>
          <w:tcPr>
            <w:tcW w:w="1340" w:type="dxa"/>
            <w:shd w:val="clear" w:color="auto" w:fill="auto"/>
            <w:hideMark/>
          </w:tcPr>
          <w:p w:rsidR="003E6588" w:rsidRDefault="00CE42F3">
            <w:pPr>
              <w:rPr>
                <w:sz w:val="20"/>
                <w:szCs w:val="20"/>
              </w:rPr>
            </w:pPr>
            <w:r w:rsidRPr="00CE42F3">
              <w:rPr>
                <w:sz w:val="20"/>
                <w:szCs w:val="20"/>
              </w:rPr>
              <w:t>61.229</w:t>
            </w:r>
          </w:p>
        </w:tc>
      </w:tr>
      <w:tr w:rsidR="003E6588" w:rsidTr="00C70C5C">
        <w:trPr>
          <w:trHeight w:val="44"/>
          <w:jc w:val="center"/>
        </w:trPr>
        <w:tc>
          <w:tcPr>
            <w:tcW w:w="3029" w:type="dxa"/>
            <w:shd w:val="clear" w:color="auto" w:fill="auto"/>
            <w:hideMark/>
          </w:tcPr>
          <w:p w:rsidR="003E6588" w:rsidRDefault="00CE42F3" w:rsidP="00C70C5C">
            <w:pPr>
              <w:jc w:val="left"/>
              <w:rPr>
                <w:sz w:val="20"/>
                <w:szCs w:val="20"/>
              </w:rPr>
            </w:pPr>
            <w:r w:rsidRPr="00CE42F3">
              <w:rPr>
                <w:sz w:val="20"/>
                <w:szCs w:val="20"/>
              </w:rPr>
              <w:t>Injúria</w:t>
            </w:r>
          </w:p>
        </w:tc>
        <w:tc>
          <w:tcPr>
            <w:tcW w:w="1340" w:type="dxa"/>
            <w:shd w:val="clear" w:color="auto" w:fill="auto"/>
            <w:hideMark/>
          </w:tcPr>
          <w:p w:rsidR="003E6588" w:rsidRDefault="00CE42F3">
            <w:pPr>
              <w:rPr>
                <w:sz w:val="20"/>
                <w:szCs w:val="20"/>
              </w:rPr>
            </w:pPr>
            <w:r w:rsidRPr="00CE42F3">
              <w:rPr>
                <w:sz w:val="20"/>
                <w:szCs w:val="20"/>
              </w:rPr>
              <w:t>6.617</w:t>
            </w:r>
          </w:p>
        </w:tc>
        <w:tc>
          <w:tcPr>
            <w:tcW w:w="1340" w:type="dxa"/>
            <w:shd w:val="clear" w:color="auto" w:fill="auto"/>
            <w:hideMark/>
          </w:tcPr>
          <w:p w:rsidR="003E6588" w:rsidRDefault="00CE42F3">
            <w:pPr>
              <w:rPr>
                <w:sz w:val="20"/>
                <w:szCs w:val="20"/>
              </w:rPr>
            </w:pPr>
            <w:r w:rsidRPr="00CE42F3">
              <w:rPr>
                <w:sz w:val="20"/>
                <w:szCs w:val="20"/>
              </w:rPr>
              <w:t>7.794</w:t>
            </w:r>
          </w:p>
        </w:tc>
        <w:tc>
          <w:tcPr>
            <w:tcW w:w="1340" w:type="dxa"/>
            <w:shd w:val="clear" w:color="auto" w:fill="auto"/>
            <w:hideMark/>
          </w:tcPr>
          <w:p w:rsidR="003E6588" w:rsidRDefault="00CE42F3">
            <w:pPr>
              <w:rPr>
                <w:sz w:val="20"/>
                <w:szCs w:val="20"/>
              </w:rPr>
            </w:pPr>
            <w:r w:rsidRPr="00CE42F3">
              <w:rPr>
                <w:sz w:val="20"/>
                <w:szCs w:val="20"/>
              </w:rPr>
              <w:t>14.425</w:t>
            </w:r>
          </w:p>
        </w:tc>
      </w:tr>
      <w:tr w:rsidR="003E6588" w:rsidTr="00C70C5C">
        <w:trPr>
          <w:trHeight w:val="56"/>
          <w:jc w:val="center"/>
        </w:trPr>
        <w:tc>
          <w:tcPr>
            <w:tcW w:w="3029" w:type="dxa"/>
            <w:shd w:val="clear" w:color="auto" w:fill="auto"/>
            <w:hideMark/>
          </w:tcPr>
          <w:p w:rsidR="003E6588" w:rsidRDefault="00CE42F3" w:rsidP="00C70C5C">
            <w:pPr>
              <w:jc w:val="left"/>
              <w:rPr>
                <w:sz w:val="20"/>
                <w:szCs w:val="20"/>
              </w:rPr>
            </w:pPr>
            <w:r w:rsidRPr="00CE42F3">
              <w:rPr>
                <w:sz w:val="20"/>
                <w:szCs w:val="20"/>
              </w:rPr>
              <w:t>Perda</w:t>
            </w:r>
          </w:p>
        </w:tc>
        <w:tc>
          <w:tcPr>
            <w:tcW w:w="1340" w:type="dxa"/>
            <w:shd w:val="clear" w:color="auto" w:fill="auto"/>
            <w:hideMark/>
          </w:tcPr>
          <w:p w:rsidR="003E6588" w:rsidRDefault="00CE42F3">
            <w:pPr>
              <w:rPr>
                <w:sz w:val="20"/>
                <w:szCs w:val="20"/>
              </w:rPr>
            </w:pPr>
            <w:r w:rsidRPr="00CE42F3">
              <w:rPr>
                <w:sz w:val="20"/>
                <w:szCs w:val="20"/>
              </w:rPr>
              <w:t>578.349</w:t>
            </w:r>
          </w:p>
        </w:tc>
        <w:tc>
          <w:tcPr>
            <w:tcW w:w="1340" w:type="dxa"/>
            <w:shd w:val="clear" w:color="auto" w:fill="auto"/>
            <w:hideMark/>
          </w:tcPr>
          <w:p w:rsidR="003E6588" w:rsidRDefault="00CE42F3">
            <w:pPr>
              <w:rPr>
                <w:sz w:val="20"/>
                <w:szCs w:val="20"/>
              </w:rPr>
            </w:pPr>
            <w:r w:rsidRPr="00CE42F3">
              <w:rPr>
                <w:sz w:val="20"/>
                <w:szCs w:val="20"/>
              </w:rPr>
              <w:t>70.178</w:t>
            </w:r>
          </w:p>
        </w:tc>
        <w:tc>
          <w:tcPr>
            <w:tcW w:w="1340" w:type="dxa"/>
            <w:shd w:val="clear" w:color="auto" w:fill="auto"/>
            <w:hideMark/>
          </w:tcPr>
          <w:p w:rsidR="003E6588" w:rsidRDefault="00CE42F3">
            <w:pPr>
              <w:rPr>
                <w:sz w:val="20"/>
                <w:szCs w:val="20"/>
              </w:rPr>
            </w:pPr>
            <w:r w:rsidRPr="00CE42F3">
              <w:rPr>
                <w:sz w:val="20"/>
                <w:szCs w:val="20"/>
              </w:rPr>
              <w:t>649.018</w:t>
            </w:r>
          </w:p>
        </w:tc>
      </w:tr>
      <w:tr w:rsidR="003E6588" w:rsidTr="00C70C5C">
        <w:trPr>
          <w:trHeight w:val="102"/>
          <w:jc w:val="center"/>
        </w:trPr>
        <w:tc>
          <w:tcPr>
            <w:tcW w:w="3029" w:type="dxa"/>
            <w:shd w:val="clear" w:color="auto" w:fill="auto"/>
            <w:hideMark/>
          </w:tcPr>
          <w:p w:rsidR="003E6588" w:rsidRDefault="00CE42F3" w:rsidP="00C70C5C">
            <w:pPr>
              <w:jc w:val="left"/>
              <w:rPr>
                <w:sz w:val="20"/>
                <w:szCs w:val="20"/>
              </w:rPr>
            </w:pPr>
            <w:r w:rsidRPr="00CE42F3">
              <w:rPr>
                <w:sz w:val="20"/>
                <w:szCs w:val="20"/>
              </w:rPr>
              <w:t>Roubo</w:t>
            </w:r>
          </w:p>
        </w:tc>
        <w:tc>
          <w:tcPr>
            <w:tcW w:w="1340" w:type="dxa"/>
            <w:shd w:val="clear" w:color="auto" w:fill="auto"/>
            <w:hideMark/>
          </w:tcPr>
          <w:p w:rsidR="003E6588" w:rsidRDefault="00CE42F3">
            <w:pPr>
              <w:rPr>
                <w:sz w:val="20"/>
                <w:szCs w:val="20"/>
              </w:rPr>
            </w:pPr>
            <w:r w:rsidRPr="00CE42F3">
              <w:rPr>
                <w:sz w:val="20"/>
                <w:szCs w:val="20"/>
              </w:rPr>
              <w:t>119.508</w:t>
            </w:r>
          </w:p>
        </w:tc>
        <w:tc>
          <w:tcPr>
            <w:tcW w:w="1340" w:type="dxa"/>
            <w:shd w:val="clear" w:color="auto" w:fill="auto"/>
            <w:hideMark/>
          </w:tcPr>
          <w:p w:rsidR="003E6588" w:rsidRDefault="00CE42F3">
            <w:pPr>
              <w:rPr>
                <w:sz w:val="20"/>
                <w:szCs w:val="20"/>
              </w:rPr>
            </w:pPr>
            <w:r w:rsidRPr="00CE42F3">
              <w:rPr>
                <w:sz w:val="20"/>
                <w:szCs w:val="20"/>
              </w:rPr>
              <w:t>62.105</w:t>
            </w:r>
          </w:p>
        </w:tc>
        <w:tc>
          <w:tcPr>
            <w:tcW w:w="1340" w:type="dxa"/>
            <w:shd w:val="clear" w:color="auto" w:fill="auto"/>
            <w:hideMark/>
          </w:tcPr>
          <w:p w:rsidR="003E6588" w:rsidRDefault="00CE42F3">
            <w:pPr>
              <w:rPr>
                <w:sz w:val="20"/>
                <w:szCs w:val="20"/>
              </w:rPr>
            </w:pPr>
            <w:r w:rsidRPr="00CE42F3">
              <w:rPr>
                <w:sz w:val="20"/>
                <w:szCs w:val="20"/>
              </w:rPr>
              <w:t>181.629</w:t>
            </w:r>
          </w:p>
        </w:tc>
      </w:tr>
      <w:tr w:rsidR="003E6588" w:rsidTr="00C70C5C">
        <w:trPr>
          <w:trHeight w:val="148"/>
          <w:jc w:val="center"/>
        </w:trPr>
        <w:tc>
          <w:tcPr>
            <w:tcW w:w="3029" w:type="dxa"/>
            <w:shd w:val="clear" w:color="auto" w:fill="auto"/>
            <w:hideMark/>
          </w:tcPr>
          <w:p w:rsidR="003E6588" w:rsidRDefault="00CE42F3" w:rsidP="00C70C5C">
            <w:pPr>
              <w:jc w:val="left"/>
              <w:rPr>
                <w:sz w:val="20"/>
                <w:szCs w:val="20"/>
              </w:rPr>
            </w:pPr>
            <w:r w:rsidRPr="00CE42F3">
              <w:rPr>
                <w:sz w:val="20"/>
                <w:szCs w:val="20"/>
              </w:rPr>
              <w:t xml:space="preserve">Roubo </w:t>
            </w:r>
            <w:r w:rsidR="003E6588" w:rsidRPr="00642F9B">
              <w:rPr>
                <w:sz w:val="20"/>
                <w:szCs w:val="20"/>
              </w:rPr>
              <w:t>v</w:t>
            </w:r>
            <w:r w:rsidRPr="00CE42F3">
              <w:rPr>
                <w:sz w:val="20"/>
                <w:szCs w:val="20"/>
              </w:rPr>
              <w:t>eículo</w:t>
            </w:r>
          </w:p>
        </w:tc>
        <w:tc>
          <w:tcPr>
            <w:tcW w:w="1340" w:type="dxa"/>
            <w:shd w:val="clear" w:color="auto" w:fill="auto"/>
            <w:hideMark/>
          </w:tcPr>
          <w:p w:rsidR="003E6588" w:rsidRDefault="00CE42F3">
            <w:pPr>
              <w:rPr>
                <w:sz w:val="20"/>
                <w:szCs w:val="20"/>
              </w:rPr>
            </w:pPr>
            <w:r w:rsidRPr="00CE42F3">
              <w:rPr>
                <w:sz w:val="20"/>
                <w:szCs w:val="20"/>
              </w:rPr>
              <w:t>16.702</w:t>
            </w:r>
          </w:p>
        </w:tc>
        <w:tc>
          <w:tcPr>
            <w:tcW w:w="1340" w:type="dxa"/>
            <w:shd w:val="clear" w:color="auto" w:fill="auto"/>
            <w:hideMark/>
          </w:tcPr>
          <w:p w:rsidR="003E6588" w:rsidRDefault="00CE42F3">
            <w:pPr>
              <w:rPr>
                <w:sz w:val="20"/>
                <w:szCs w:val="20"/>
              </w:rPr>
            </w:pPr>
            <w:r w:rsidRPr="00CE42F3">
              <w:rPr>
                <w:sz w:val="20"/>
                <w:szCs w:val="20"/>
              </w:rPr>
              <w:t>8.506</w:t>
            </w:r>
          </w:p>
        </w:tc>
        <w:tc>
          <w:tcPr>
            <w:tcW w:w="1340" w:type="dxa"/>
            <w:shd w:val="clear" w:color="auto" w:fill="auto"/>
            <w:hideMark/>
          </w:tcPr>
          <w:p w:rsidR="003E6588" w:rsidRDefault="00CE42F3">
            <w:pPr>
              <w:rPr>
                <w:sz w:val="20"/>
                <w:szCs w:val="20"/>
              </w:rPr>
            </w:pPr>
            <w:r w:rsidRPr="00CE42F3">
              <w:rPr>
                <w:sz w:val="20"/>
                <w:szCs w:val="20"/>
              </w:rPr>
              <w:t>25.202</w:t>
            </w:r>
          </w:p>
        </w:tc>
      </w:tr>
      <w:tr w:rsidR="003E6588" w:rsidTr="00C70C5C">
        <w:trPr>
          <w:trHeight w:val="52"/>
          <w:jc w:val="center"/>
        </w:trPr>
        <w:tc>
          <w:tcPr>
            <w:tcW w:w="3029" w:type="dxa"/>
            <w:shd w:val="clear" w:color="auto" w:fill="auto"/>
            <w:hideMark/>
          </w:tcPr>
          <w:p w:rsidR="003E6588" w:rsidRDefault="00CE42F3" w:rsidP="00C70C5C">
            <w:pPr>
              <w:jc w:val="left"/>
              <w:rPr>
                <w:b/>
                <w:sz w:val="20"/>
                <w:szCs w:val="20"/>
              </w:rPr>
            </w:pPr>
            <w:r w:rsidRPr="00CE42F3">
              <w:rPr>
                <w:b/>
                <w:sz w:val="20"/>
                <w:szCs w:val="20"/>
              </w:rPr>
              <w:t>TOTAL</w:t>
            </w:r>
          </w:p>
        </w:tc>
        <w:tc>
          <w:tcPr>
            <w:tcW w:w="1340" w:type="dxa"/>
            <w:shd w:val="clear" w:color="auto" w:fill="auto"/>
            <w:hideMark/>
          </w:tcPr>
          <w:p w:rsidR="003E6588" w:rsidRDefault="00CE42F3">
            <w:pPr>
              <w:rPr>
                <w:b/>
                <w:sz w:val="20"/>
                <w:szCs w:val="20"/>
              </w:rPr>
            </w:pPr>
            <w:r w:rsidRPr="00CE42F3">
              <w:rPr>
                <w:b/>
                <w:sz w:val="20"/>
                <w:szCs w:val="20"/>
              </w:rPr>
              <w:t>1.202.283</w:t>
            </w:r>
          </w:p>
        </w:tc>
        <w:tc>
          <w:tcPr>
            <w:tcW w:w="1340" w:type="dxa"/>
            <w:shd w:val="clear" w:color="auto" w:fill="auto"/>
            <w:hideMark/>
          </w:tcPr>
          <w:p w:rsidR="003E6588" w:rsidRDefault="00CE42F3">
            <w:pPr>
              <w:rPr>
                <w:b/>
                <w:sz w:val="20"/>
                <w:szCs w:val="20"/>
              </w:rPr>
            </w:pPr>
            <w:r w:rsidRPr="00CE42F3">
              <w:rPr>
                <w:b/>
                <w:sz w:val="20"/>
                <w:szCs w:val="20"/>
              </w:rPr>
              <w:t>359.863</w:t>
            </w:r>
          </w:p>
        </w:tc>
        <w:tc>
          <w:tcPr>
            <w:tcW w:w="1340" w:type="dxa"/>
            <w:shd w:val="clear" w:color="auto" w:fill="auto"/>
            <w:hideMark/>
          </w:tcPr>
          <w:p w:rsidR="003E6588" w:rsidRDefault="00CE42F3">
            <w:pPr>
              <w:rPr>
                <w:b/>
                <w:sz w:val="20"/>
                <w:szCs w:val="20"/>
              </w:rPr>
            </w:pPr>
            <w:r w:rsidRPr="00CE42F3">
              <w:rPr>
                <w:b/>
                <w:sz w:val="20"/>
                <w:szCs w:val="20"/>
              </w:rPr>
              <w:t xml:space="preserve">1.563.190 </w:t>
            </w:r>
          </w:p>
        </w:tc>
      </w:tr>
    </w:tbl>
    <w:p w:rsidR="003E6588" w:rsidRPr="00C70C5C" w:rsidRDefault="003E6588">
      <w:pPr>
        <w:ind w:firstLine="1134"/>
        <w:jc w:val="both"/>
      </w:pPr>
    </w:p>
    <w:p w:rsidR="003E6588" w:rsidRDefault="003E6588">
      <w:pPr>
        <w:ind w:firstLine="1134"/>
        <w:jc w:val="both"/>
      </w:pPr>
      <w:r>
        <w:t>Além disso, o Disque-Denúncia e a Ouvidoria das Polícias continuam ativos, garantindo o aprimoramento e o controle social da atividade policial.</w:t>
      </w:r>
    </w:p>
    <w:p w:rsidR="003E6588" w:rsidRDefault="003E6588">
      <w:pPr>
        <w:ind w:firstLine="1134"/>
        <w:jc w:val="both"/>
        <w:rPr>
          <w:sz w:val="16"/>
          <w:szCs w:val="16"/>
        </w:rPr>
      </w:pPr>
    </w:p>
    <w:p w:rsidR="003E6588" w:rsidRDefault="003E6588">
      <w:pPr>
        <w:ind w:firstLine="1134"/>
        <w:jc w:val="both"/>
        <w:rPr>
          <w:b/>
          <w:bCs/>
          <w:lang w:eastAsia="en-US"/>
        </w:rPr>
      </w:pPr>
      <w:r>
        <w:rPr>
          <w:b/>
          <w:bCs/>
        </w:rPr>
        <w:t xml:space="preserve">Disque Denúncia + </w:t>
      </w:r>
      <w:r>
        <w:rPr>
          <w:b/>
          <w:bCs/>
          <w:i/>
        </w:rPr>
        <w:t>Web</w:t>
      </w:r>
      <w:r>
        <w:rPr>
          <w:b/>
          <w:bCs/>
        </w:rPr>
        <w:t xml:space="preserve"> denúncia</w:t>
      </w:r>
    </w:p>
    <w:p w:rsidR="003E6588" w:rsidRDefault="003E6588">
      <w:pPr>
        <w:ind w:firstLine="1134"/>
        <w:jc w:val="both"/>
        <w:rPr>
          <w:sz w:val="16"/>
          <w:szCs w:val="16"/>
        </w:rPr>
      </w:pPr>
    </w:p>
    <w:p w:rsidR="003E6588" w:rsidRDefault="003E6588">
      <w:pPr>
        <w:ind w:firstLine="1134"/>
        <w:jc w:val="both"/>
      </w:pPr>
      <w:r>
        <w:t>Foram recebidas 65.878 denúncias, assim divididas:</w:t>
      </w:r>
    </w:p>
    <w:p w:rsidR="003E6588" w:rsidRDefault="003E6588">
      <w:pPr>
        <w:ind w:firstLine="1134"/>
        <w:jc w:val="both"/>
        <w:rPr>
          <w:strike/>
          <w:sz w:val="20"/>
          <w:szCs w:val="20"/>
          <w:lang w:eastAsia="en-US"/>
        </w:rPr>
      </w:pPr>
    </w:p>
    <w:p w:rsidR="003E6588" w:rsidRDefault="003E6588">
      <w:pPr>
        <w:ind w:firstLine="1134"/>
        <w:jc w:val="both"/>
      </w:pPr>
      <w:r>
        <w:t>Capital - 21.909</w:t>
      </w:r>
    </w:p>
    <w:p w:rsidR="003E6588" w:rsidRDefault="003E6588">
      <w:pPr>
        <w:ind w:firstLine="1134"/>
        <w:jc w:val="both"/>
      </w:pPr>
      <w:r>
        <w:t>Região Metropolitana - 14.523</w:t>
      </w:r>
    </w:p>
    <w:p w:rsidR="003E6588" w:rsidRDefault="003E6588">
      <w:pPr>
        <w:ind w:firstLine="1134"/>
        <w:jc w:val="both"/>
      </w:pPr>
      <w:r>
        <w:lastRenderedPageBreak/>
        <w:t>Interior -</w:t>
      </w:r>
      <w:r>
        <w:rPr>
          <w:iCs/>
        </w:rPr>
        <w:t xml:space="preserve"> </w:t>
      </w:r>
      <w:r>
        <w:t>29.446</w:t>
      </w:r>
    </w:p>
    <w:p w:rsidR="00CB0DF8" w:rsidRDefault="003E6588">
      <w:pPr>
        <w:ind w:firstLine="1134"/>
        <w:jc w:val="both"/>
      </w:pPr>
      <w:r>
        <w:t>Denúncias solucionadas - 7.340</w:t>
      </w:r>
    </w:p>
    <w:p w:rsidR="003E6588" w:rsidRPr="00C70C5C" w:rsidRDefault="003E6588">
      <w:pPr>
        <w:ind w:left="990" w:firstLine="90"/>
        <w:jc w:val="both"/>
        <w:rPr>
          <w:u w:val="single"/>
        </w:rPr>
      </w:pPr>
    </w:p>
    <w:p w:rsidR="003E6588" w:rsidRDefault="003E6588">
      <w:pPr>
        <w:ind w:left="990" w:firstLine="90"/>
        <w:jc w:val="both"/>
        <w:rPr>
          <w:b/>
        </w:rPr>
      </w:pPr>
      <w:r>
        <w:rPr>
          <w:b/>
        </w:rPr>
        <w:t>Ouvidoria</w:t>
      </w:r>
    </w:p>
    <w:p w:rsidR="003E6588" w:rsidRPr="00C70C5C" w:rsidRDefault="003E6588">
      <w:pPr>
        <w:ind w:left="990" w:firstLine="90"/>
        <w:jc w:val="both"/>
        <w:rPr>
          <w:u w:val="single"/>
        </w:rPr>
      </w:pPr>
    </w:p>
    <w:tbl>
      <w:tblPr>
        <w:tblW w:w="0" w:type="auto"/>
        <w:jc w:val="center"/>
        <w:tblInd w:w="271" w:type="dxa"/>
        <w:tblLayout w:type="fixed"/>
        <w:tblCellMar>
          <w:left w:w="30" w:type="dxa"/>
          <w:right w:w="30" w:type="dxa"/>
        </w:tblCellMar>
        <w:tblLook w:val="0000"/>
      </w:tblPr>
      <w:tblGrid>
        <w:gridCol w:w="6040"/>
        <w:gridCol w:w="749"/>
        <w:gridCol w:w="14"/>
        <w:gridCol w:w="80"/>
        <w:gridCol w:w="1357"/>
      </w:tblGrid>
      <w:tr w:rsidR="003E6588" w:rsidTr="00C70C5C">
        <w:trPr>
          <w:cantSplit/>
          <w:trHeight w:val="39"/>
          <w:jc w:val="center"/>
        </w:trPr>
        <w:tc>
          <w:tcPr>
            <w:tcW w:w="6789" w:type="dxa"/>
            <w:gridSpan w:val="2"/>
            <w:tcBorders>
              <w:top w:val="single" w:sz="8" w:space="0" w:color="auto"/>
              <w:left w:val="single" w:sz="12" w:space="0" w:color="auto"/>
              <w:bottom w:val="single" w:sz="8" w:space="0" w:color="auto"/>
            </w:tcBorders>
            <w:shd w:val="clear" w:color="auto" w:fill="auto"/>
            <w:vAlign w:val="center"/>
          </w:tcPr>
          <w:p w:rsidR="003E6588" w:rsidRDefault="00CE42F3" w:rsidP="00C70C5C">
            <w:pPr>
              <w:jc w:val="left"/>
              <w:rPr>
                <w:snapToGrid w:val="0"/>
                <w:color w:val="000000"/>
                <w:sz w:val="20"/>
                <w:szCs w:val="20"/>
              </w:rPr>
            </w:pPr>
            <w:r w:rsidRPr="00CE42F3">
              <w:rPr>
                <w:snapToGrid w:val="0"/>
                <w:color w:val="000000"/>
                <w:sz w:val="20"/>
                <w:szCs w:val="20"/>
              </w:rPr>
              <w:t xml:space="preserve">Protocolos Registrados </w:t>
            </w:r>
          </w:p>
        </w:tc>
        <w:tc>
          <w:tcPr>
            <w:tcW w:w="1451" w:type="dxa"/>
            <w:gridSpan w:val="3"/>
            <w:tcBorders>
              <w:top w:val="single" w:sz="8" w:space="0" w:color="auto"/>
              <w:bottom w:val="single" w:sz="8" w:space="0" w:color="auto"/>
              <w:right w:val="single" w:sz="8" w:space="0" w:color="auto"/>
            </w:tcBorders>
            <w:shd w:val="clear" w:color="auto" w:fill="auto"/>
            <w:vAlign w:val="center"/>
          </w:tcPr>
          <w:p w:rsidR="003E6588" w:rsidRDefault="00CE42F3">
            <w:pPr>
              <w:jc w:val="right"/>
              <w:rPr>
                <w:snapToGrid w:val="0"/>
                <w:sz w:val="20"/>
                <w:szCs w:val="20"/>
              </w:rPr>
            </w:pPr>
            <w:r w:rsidRPr="00CE42F3">
              <w:rPr>
                <w:snapToGrid w:val="0"/>
                <w:sz w:val="20"/>
                <w:szCs w:val="20"/>
              </w:rPr>
              <w:t>7.737</w:t>
            </w:r>
          </w:p>
        </w:tc>
      </w:tr>
      <w:tr w:rsidR="003E6588" w:rsidTr="00C70C5C">
        <w:trPr>
          <w:cantSplit/>
          <w:trHeight w:val="39"/>
          <w:jc w:val="center"/>
        </w:trPr>
        <w:tc>
          <w:tcPr>
            <w:tcW w:w="6040" w:type="dxa"/>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Não Encaminhados (Aguardando complementação)</w:t>
            </w:r>
          </w:p>
        </w:tc>
        <w:tc>
          <w:tcPr>
            <w:tcW w:w="763" w:type="dxa"/>
            <w:gridSpan w:val="2"/>
            <w:tcBorders>
              <w:top w:val="single" w:sz="8" w:space="0" w:color="auto"/>
              <w:left w:val="single" w:sz="8" w:space="0" w:color="auto"/>
              <w:bottom w:val="single" w:sz="8" w:space="0" w:color="auto"/>
              <w:right w:val="single" w:sz="8" w:space="0" w:color="auto"/>
            </w:tcBorders>
            <w:vAlign w:val="center"/>
          </w:tcPr>
          <w:p w:rsidR="003E6588" w:rsidRDefault="00CE42F3">
            <w:pPr>
              <w:jc w:val="right"/>
              <w:rPr>
                <w:snapToGrid w:val="0"/>
                <w:color w:val="000000"/>
                <w:sz w:val="20"/>
                <w:szCs w:val="20"/>
              </w:rPr>
            </w:pPr>
            <w:r w:rsidRPr="00CE42F3">
              <w:rPr>
                <w:snapToGrid w:val="0"/>
                <w:color w:val="000000"/>
                <w:sz w:val="20"/>
                <w:szCs w:val="20"/>
              </w:rPr>
              <w:t>459</w:t>
            </w:r>
          </w:p>
        </w:tc>
        <w:tc>
          <w:tcPr>
            <w:tcW w:w="80" w:type="dxa"/>
            <w:vMerge w:val="restart"/>
            <w:tcBorders>
              <w:top w:val="single" w:sz="8" w:space="0" w:color="auto"/>
              <w:left w:val="single" w:sz="8" w:space="0" w:color="auto"/>
            </w:tcBorders>
            <w:vAlign w:val="center"/>
          </w:tcPr>
          <w:p w:rsidR="003E6588" w:rsidRDefault="003E6588">
            <w:pPr>
              <w:jc w:val="right"/>
              <w:rPr>
                <w:snapToGrid w:val="0"/>
                <w:color w:val="000000"/>
                <w:sz w:val="20"/>
                <w:szCs w:val="20"/>
              </w:rPr>
            </w:pPr>
          </w:p>
        </w:tc>
        <w:tc>
          <w:tcPr>
            <w:tcW w:w="1357" w:type="dxa"/>
            <w:vMerge w:val="restart"/>
            <w:tcBorders>
              <w:right w:val="single" w:sz="8" w:space="0" w:color="auto"/>
            </w:tcBorders>
            <w:vAlign w:val="center"/>
          </w:tcPr>
          <w:p w:rsidR="003E6588" w:rsidRDefault="00CE42F3">
            <w:pPr>
              <w:rPr>
                <w:snapToGrid w:val="0"/>
                <w:sz w:val="20"/>
                <w:szCs w:val="20"/>
              </w:rPr>
            </w:pPr>
            <w:r w:rsidRPr="00CE42F3">
              <w:rPr>
                <w:snapToGrid w:val="0"/>
                <w:sz w:val="20"/>
                <w:szCs w:val="20"/>
              </w:rPr>
              <w:t>↓</w:t>
            </w:r>
          </w:p>
        </w:tc>
      </w:tr>
      <w:tr w:rsidR="003E6588" w:rsidTr="00C70C5C">
        <w:trPr>
          <w:cantSplit/>
          <w:trHeight w:val="39"/>
          <w:jc w:val="center"/>
        </w:trPr>
        <w:tc>
          <w:tcPr>
            <w:tcW w:w="6040" w:type="dxa"/>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Elogios Policiais Militares</w:t>
            </w:r>
          </w:p>
        </w:tc>
        <w:tc>
          <w:tcPr>
            <w:tcW w:w="763" w:type="dxa"/>
            <w:gridSpan w:val="2"/>
            <w:tcBorders>
              <w:top w:val="single" w:sz="8" w:space="0" w:color="auto"/>
              <w:left w:val="single" w:sz="8" w:space="0" w:color="auto"/>
              <w:bottom w:val="single" w:sz="8" w:space="0" w:color="auto"/>
              <w:right w:val="single" w:sz="8" w:space="0" w:color="auto"/>
            </w:tcBorders>
            <w:vAlign w:val="center"/>
          </w:tcPr>
          <w:p w:rsidR="003E6588" w:rsidRDefault="00CE42F3">
            <w:pPr>
              <w:jc w:val="right"/>
              <w:rPr>
                <w:snapToGrid w:val="0"/>
                <w:color w:val="000000"/>
                <w:sz w:val="20"/>
                <w:szCs w:val="20"/>
              </w:rPr>
            </w:pPr>
            <w:r w:rsidRPr="00CE42F3">
              <w:rPr>
                <w:snapToGrid w:val="0"/>
                <w:color w:val="000000"/>
                <w:sz w:val="20"/>
                <w:szCs w:val="20"/>
              </w:rPr>
              <w:t>225</w:t>
            </w:r>
          </w:p>
        </w:tc>
        <w:tc>
          <w:tcPr>
            <w:tcW w:w="80" w:type="dxa"/>
            <w:vMerge/>
            <w:tcBorders>
              <w:left w:val="single" w:sz="8" w:space="0" w:color="auto"/>
            </w:tcBorders>
            <w:vAlign w:val="center"/>
          </w:tcPr>
          <w:p w:rsidR="003E6588" w:rsidRDefault="003E6588">
            <w:pPr>
              <w:jc w:val="right"/>
              <w:rPr>
                <w:snapToGrid w:val="0"/>
                <w:color w:val="000000"/>
                <w:sz w:val="20"/>
                <w:szCs w:val="20"/>
              </w:rPr>
            </w:pPr>
          </w:p>
        </w:tc>
        <w:tc>
          <w:tcPr>
            <w:tcW w:w="1357" w:type="dxa"/>
            <w:vMerge/>
            <w:tcBorders>
              <w:right w:val="single" w:sz="8" w:space="0" w:color="auto"/>
            </w:tcBorders>
            <w:vAlign w:val="center"/>
          </w:tcPr>
          <w:p w:rsidR="003E6588" w:rsidRDefault="003E6588">
            <w:pPr>
              <w:jc w:val="right"/>
              <w:rPr>
                <w:snapToGrid w:val="0"/>
                <w:sz w:val="20"/>
                <w:szCs w:val="20"/>
              </w:rPr>
            </w:pPr>
          </w:p>
        </w:tc>
      </w:tr>
      <w:tr w:rsidR="003E6588" w:rsidTr="00C70C5C">
        <w:trPr>
          <w:cantSplit/>
          <w:trHeight w:val="72"/>
          <w:jc w:val="center"/>
        </w:trPr>
        <w:tc>
          <w:tcPr>
            <w:tcW w:w="6040" w:type="dxa"/>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Elogios Policiais Civis</w:t>
            </w:r>
          </w:p>
        </w:tc>
        <w:tc>
          <w:tcPr>
            <w:tcW w:w="763" w:type="dxa"/>
            <w:gridSpan w:val="2"/>
            <w:tcBorders>
              <w:top w:val="single" w:sz="8" w:space="0" w:color="auto"/>
              <w:left w:val="single" w:sz="8" w:space="0" w:color="auto"/>
              <w:bottom w:val="single" w:sz="8" w:space="0" w:color="auto"/>
              <w:right w:val="single" w:sz="8" w:space="0" w:color="auto"/>
            </w:tcBorders>
            <w:vAlign w:val="center"/>
          </w:tcPr>
          <w:p w:rsidR="003E6588" w:rsidRDefault="00CE42F3">
            <w:pPr>
              <w:jc w:val="right"/>
              <w:rPr>
                <w:snapToGrid w:val="0"/>
                <w:color w:val="000000"/>
                <w:sz w:val="20"/>
                <w:szCs w:val="20"/>
              </w:rPr>
            </w:pPr>
            <w:r w:rsidRPr="00CE42F3">
              <w:rPr>
                <w:snapToGrid w:val="0"/>
                <w:color w:val="000000"/>
                <w:sz w:val="20"/>
                <w:szCs w:val="20"/>
              </w:rPr>
              <w:t>180</w:t>
            </w:r>
          </w:p>
        </w:tc>
        <w:tc>
          <w:tcPr>
            <w:tcW w:w="80" w:type="dxa"/>
            <w:vMerge/>
            <w:tcBorders>
              <w:left w:val="single" w:sz="8" w:space="0" w:color="auto"/>
            </w:tcBorders>
            <w:vAlign w:val="center"/>
          </w:tcPr>
          <w:p w:rsidR="003E6588" w:rsidRDefault="003E6588">
            <w:pPr>
              <w:jc w:val="right"/>
              <w:rPr>
                <w:snapToGrid w:val="0"/>
                <w:color w:val="000000"/>
                <w:sz w:val="20"/>
                <w:szCs w:val="20"/>
              </w:rPr>
            </w:pPr>
          </w:p>
        </w:tc>
        <w:tc>
          <w:tcPr>
            <w:tcW w:w="1357" w:type="dxa"/>
            <w:vMerge/>
            <w:tcBorders>
              <w:right w:val="single" w:sz="8" w:space="0" w:color="auto"/>
            </w:tcBorders>
            <w:vAlign w:val="center"/>
          </w:tcPr>
          <w:p w:rsidR="003E6588" w:rsidRDefault="003E6588">
            <w:pPr>
              <w:jc w:val="right"/>
              <w:rPr>
                <w:snapToGrid w:val="0"/>
                <w:sz w:val="20"/>
                <w:szCs w:val="20"/>
              </w:rPr>
            </w:pPr>
          </w:p>
        </w:tc>
      </w:tr>
      <w:tr w:rsidR="003E6588" w:rsidTr="00C70C5C">
        <w:trPr>
          <w:cantSplit/>
          <w:trHeight w:val="160"/>
          <w:jc w:val="center"/>
        </w:trPr>
        <w:tc>
          <w:tcPr>
            <w:tcW w:w="6040" w:type="dxa"/>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Sugestão</w:t>
            </w:r>
          </w:p>
        </w:tc>
        <w:tc>
          <w:tcPr>
            <w:tcW w:w="763" w:type="dxa"/>
            <w:gridSpan w:val="2"/>
            <w:tcBorders>
              <w:top w:val="single" w:sz="8" w:space="0" w:color="auto"/>
              <w:left w:val="single" w:sz="8" w:space="0" w:color="auto"/>
              <w:bottom w:val="single" w:sz="8" w:space="0" w:color="auto"/>
              <w:right w:val="single" w:sz="8" w:space="0" w:color="auto"/>
            </w:tcBorders>
            <w:vAlign w:val="center"/>
          </w:tcPr>
          <w:p w:rsidR="003E6588" w:rsidRDefault="00CE42F3">
            <w:pPr>
              <w:jc w:val="right"/>
              <w:rPr>
                <w:snapToGrid w:val="0"/>
                <w:color w:val="000000"/>
                <w:sz w:val="20"/>
                <w:szCs w:val="20"/>
              </w:rPr>
            </w:pPr>
            <w:r w:rsidRPr="00CE42F3">
              <w:rPr>
                <w:snapToGrid w:val="0"/>
                <w:color w:val="000000"/>
                <w:sz w:val="20"/>
                <w:szCs w:val="20"/>
              </w:rPr>
              <w:t>77</w:t>
            </w:r>
          </w:p>
        </w:tc>
        <w:tc>
          <w:tcPr>
            <w:tcW w:w="80" w:type="dxa"/>
            <w:vMerge/>
            <w:tcBorders>
              <w:left w:val="single" w:sz="8" w:space="0" w:color="auto"/>
              <w:bottom w:val="single" w:sz="8" w:space="0" w:color="auto"/>
            </w:tcBorders>
            <w:vAlign w:val="center"/>
          </w:tcPr>
          <w:p w:rsidR="003E6588" w:rsidRDefault="003E6588">
            <w:pPr>
              <w:jc w:val="right"/>
              <w:rPr>
                <w:snapToGrid w:val="0"/>
                <w:color w:val="000000"/>
                <w:sz w:val="20"/>
                <w:szCs w:val="20"/>
              </w:rPr>
            </w:pPr>
          </w:p>
        </w:tc>
        <w:tc>
          <w:tcPr>
            <w:tcW w:w="1357" w:type="dxa"/>
            <w:vMerge/>
            <w:tcBorders>
              <w:right w:val="single" w:sz="8" w:space="0" w:color="auto"/>
            </w:tcBorders>
            <w:vAlign w:val="center"/>
          </w:tcPr>
          <w:p w:rsidR="003E6588" w:rsidRDefault="003E6588">
            <w:pPr>
              <w:jc w:val="right"/>
              <w:rPr>
                <w:snapToGrid w:val="0"/>
                <w:sz w:val="20"/>
                <w:szCs w:val="20"/>
              </w:rPr>
            </w:pPr>
          </w:p>
        </w:tc>
      </w:tr>
      <w:tr w:rsidR="003E6588" w:rsidTr="00C70C5C">
        <w:trPr>
          <w:cantSplit/>
          <w:trHeight w:val="44"/>
          <w:jc w:val="center"/>
        </w:trPr>
        <w:tc>
          <w:tcPr>
            <w:tcW w:w="6789" w:type="dxa"/>
            <w:gridSpan w:val="2"/>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Atendimento orientações e informações</w:t>
            </w:r>
          </w:p>
        </w:tc>
        <w:tc>
          <w:tcPr>
            <w:tcW w:w="1451" w:type="dxa"/>
            <w:gridSpan w:val="3"/>
            <w:tcBorders>
              <w:top w:val="single" w:sz="8" w:space="0" w:color="auto"/>
              <w:left w:val="single" w:sz="8" w:space="0" w:color="auto"/>
              <w:bottom w:val="single" w:sz="8" w:space="0" w:color="auto"/>
              <w:right w:val="single" w:sz="8" w:space="0" w:color="auto"/>
            </w:tcBorders>
            <w:shd w:val="clear" w:color="auto" w:fill="auto"/>
            <w:vAlign w:val="center"/>
          </w:tcPr>
          <w:p w:rsidR="003E6588" w:rsidRDefault="00CE42F3">
            <w:pPr>
              <w:jc w:val="right"/>
              <w:rPr>
                <w:snapToGrid w:val="0"/>
                <w:sz w:val="20"/>
                <w:szCs w:val="20"/>
              </w:rPr>
            </w:pPr>
            <w:r w:rsidRPr="00CE42F3">
              <w:rPr>
                <w:snapToGrid w:val="0"/>
                <w:sz w:val="20"/>
                <w:szCs w:val="20"/>
              </w:rPr>
              <w:t>10.313</w:t>
            </w:r>
          </w:p>
        </w:tc>
      </w:tr>
      <w:tr w:rsidR="003E6588" w:rsidTr="00C70C5C">
        <w:trPr>
          <w:cantSplit/>
          <w:trHeight w:val="41"/>
          <w:jc w:val="center"/>
        </w:trPr>
        <w:tc>
          <w:tcPr>
            <w:tcW w:w="6789" w:type="dxa"/>
            <w:gridSpan w:val="2"/>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Total geral</w:t>
            </w:r>
          </w:p>
        </w:tc>
        <w:tc>
          <w:tcPr>
            <w:tcW w:w="1451" w:type="dxa"/>
            <w:gridSpan w:val="3"/>
            <w:tcBorders>
              <w:top w:val="single" w:sz="8" w:space="0" w:color="auto"/>
              <w:left w:val="single" w:sz="8" w:space="0" w:color="auto"/>
              <w:bottom w:val="single" w:sz="8" w:space="0" w:color="auto"/>
              <w:right w:val="single" w:sz="8" w:space="0" w:color="auto"/>
            </w:tcBorders>
            <w:shd w:val="clear" w:color="auto" w:fill="auto"/>
            <w:vAlign w:val="center"/>
          </w:tcPr>
          <w:p w:rsidR="003E6588" w:rsidRDefault="00CE42F3">
            <w:pPr>
              <w:jc w:val="right"/>
              <w:rPr>
                <w:snapToGrid w:val="0"/>
                <w:sz w:val="20"/>
                <w:szCs w:val="20"/>
              </w:rPr>
            </w:pPr>
            <w:r w:rsidRPr="00CE42F3">
              <w:rPr>
                <w:snapToGrid w:val="0"/>
                <w:sz w:val="20"/>
                <w:szCs w:val="20"/>
              </w:rPr>
              <w:t>18.050</w:t>
            </w:r>
          </w:p>
        </w:tc>
      </w:tr>
      <w:tr w:rsidR="003E6588" w:rsidTr="00C70C5C">
        <w:trPr>
          <w:gridAfter w:val="2"/>
          <w:wAfter w:w="1437" w:type="dxa"/>
          <w:cantSplit/>
          <w:trHeight w:val="87"/>
          <w:jc w:val="center"/>
        </w:trPr>
        <w:tc>
          <w:tcPr>
            <w:tcW w:w="6040" w:type="dxa"/>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Protocolos que encerram denúncias</w:t>
            </w:r>
          </w:p>
        </w:tc>
        <w:tc>
          <w:tcPr>
            <w:tcW w:w="763" w:type="dxa"/>
            <w:gridSpan w:val="2"/>
            <w:tcBorders>
              <w:top w:val="single" w:sz="8" w:space="0" w:color="auto"/>
              <w:left w:val="single" w:sz="8" w:space="0" w:color="auto"/>
              <w:bottom w:val="single" w:sz="8" w:space="0" w:color="auto"/>
              <w:right w:val="single" w:sz="8" w:space="0" w:color="auto"/>
            </w:tcBorders>
            <w:vAlign w:val="center"/>
          </w:tcPr>
          <w:p w:rsidR="003E6588" w:rsidRDefault="00CE42F3">
            <w:pPr>
              <w:jc w:val="right"/>
              <w:rPr>
                <w:snapToGrid w:val="0"/>
                <w:sz w:val="20"/>
                <w:szCs w:val="20"/>
              </w:rPr>
            </w:pPr>
            <w:r w:rsidRPr="00CE42F3">
              <w:rPr>
                <w:snapToGrid w:val="0"/>
                <w:sz w:val="20"/>
                <w:szCs w:val="20"/>
              </w:rPr>
              <w:t>6.796</w:t>
            </w:r>
          </w:p>
        </w:tc>
      </w:tr>
      <w:tr w:rsidR="003E6588" w:rsidTr="00C70C5C">
        <w:tblPrEx>
          <w:tblBorders>
            <w:top w:val="single" w:sz="4" w:space="0" w:color="auto"/>
            <w:left w:val="single" w:sz="4" w:space="0" w:color="auto"/>
            <w:bottom w:val="single" w:sz="4" w:space="0" w:color="auto"/>
            <w:right w:val="single" w:sz="4" w:space="0" w:color="auto"/>
          </w:tblBorders>
        </w:tblPrEx>
        <w:trPr>
          <w:gridAfter w:val="2"/>
          <w:wAfter w:w="1437" w:type="dxa"/>
          <w:cantSplit/>
          <w:trHeight w:val="124"/>
          <w:jc w:val="center"/>
        </w:trPr>
        <w:tc>
          <w:tcPr>
            <w:tcW w:w="6040" w:type="dxa"/>
            <w:tcBorders>
              <w:top w:val="single" w:sz="8" w:space="0" w:color="auto"/>
              <w:left w:val="single" w:sz="8" w:space="0" w:color="auto"/>
              <w:bottom w:val="single" w:sz="8" w:space="0" w:color="auto"/>
              <w:right w:val="single" w:sz="8" w:space="0" w:color="auto"/>
            </w:tcBorders>
            <w:shd w:val="clear" w:color="auto" w:fill="FFFFFF"/>
            <w:vAlign w:val="center"/>
          </w:tcPr>
          <w:p w:rsidR="003E6588" w:rsidRDefault="00CE42F3" w:rsidP="00C70C5C">
            <w:pPr>
              <w:jc w:val="left"/>
              <w:rPr>
                <w:snapToGrid w:val="0"/>
                <w:color w:val="000000"/>
                <w:sz w:val="20"/>
                <w:szCs w:val="20"/>
              </w:rPr>
            </w:pPr>
            <w:r w:rsidRPr="00CE42F3">
              <w:rPr>
                <w:snapToGrid w:val="0"/>
                <w:color w:val="000000"/>
                <w:sz w:val="20"/>
                <w:szCs w:val="20"/>
              </w:rPr>
              <w:t>Corresponde a casos que contenham mais de uma natureza na denúncia</w:t>
            </w:r>
          </w:p>
        </w:tc>
        <w:tc>
          <w:tcPr>
            <w:tcW w:w="763" w:type="dxa"/>
            <w:gridSpan w:val="2"/>
            <w:tcBorders>
              <w:top w:val="single" w:sz="8" w:space="0" w:color="auto"/>
              <w:left w:val="single" w:sz="8" w:space="0" w:color="auto"/>
              <w:bottom w:val="single" w:sz="8" w:space="0" w:color="auto"/>
              <w:right w:val="single" w:sz="8" w:space="0" w:color="auto"/>
            </w:tcBorders>
            <w:vAlign w:val="center"/>
          </w:tcPr>
          <w:p w:rsidR="003E6588" w:rsidRDefault="00CE42F3">
            <w:pPr>
              <w:jc w:val="right"/>
              <w:rPr>
                <w:snapToGrid w:val="0"/>
                <w:sz w:val="20"/>
                <w:szCs w:val="20"/>
              </w:rPr>
            </w:pPr>
            <w:r w:rsidRPr="00CE42F3">
              <w:rPr>
                <w:snapToGrid w:val="0"/>
                <w:sz w:val="20"/>
                <w:szCs w:val="20"/>
              </w:rPr>
              <w:t>7.589</w:t>
            </w:r>
          </w:p>
        </w:tc>
      </w:tr>
    </w:tbl>
    <w:p w:rsidR="003E6588" w:rsidRDefault="003E6588">
      <w:pPr>
        <w:autoSpaceDE w:val="0"/>
        <w:autoSpaceDN w:val="0"/>
        <w:adjustRightInd w:val="0"/>
        <w:ind w:firstLine="1134"/>
        <w:rPr>
          <w:b/>
          <w:color w:val="000000"/>
        </w:rPr>
      </w:pPr>
    </w:p>
    <w:p w:rsidR="00CB0DF8" w:rsidRDefault="003E6588">
      <w:pPr>
        <w:autoSpaceDE w:val="0"/>
        <w:autoSpaceDN w:val="0"/>
        <w:adjustRightInd w:val="0"/>
        <w:ind w:firstLine="1134"/>
        <w:jc w:val="both"/>
        <w:rPr>
          <w:b/>
          <w:color w:val="000000"/>
        </w:rPr>
      </w:pPr>
      <w:r>
        <w:rPr>
          <w:b/>
          <w:color w:val="000000"/>
        </w:rPr>
        <w:t xml:space="preserve">Serviço Estadual de Informações ao Cidadão - </w:t>
      </w:r>
      <w:r w:rsidR="00CE42F3" w:rsidRPr="00CE42F3">
        <w:rPr>
          <w:b/>
          <w:color w:val="000000"/>
        </w:rPr>
        <w:t>SIC</w:t>
      </w:r>
    </w:p>
    <w:p w:rsidR="003E6588" w:rsidRDefault="003E6588" w:rsidP="00C70C5C">
      <w:pPr>
        <w:autoSpaceDE w:val="0"/>
        <w:autoSpaceDN w:val="0"/>
        <w:adjustRightInd w:val="0"/>
        <w:ind w:firstLine="1134"/>
        <w:jc w:val="both"/>
        <w:rPr>
          <w:color w:val="000000"/>
        </w:rPr>
      </w:pPr>
    </w:p>
    <w:p w:rsidR="00CB0DF8" w:rsidRDefault="00CE42F3">
      <w:pPr>
        <w:autoSpaceDE w:val="0"/>
        <w:autoSpaceDN w:val="0"/>
        <w:adjustRightInd w:val="0"/>
        <w:ind w:firstLine="1134"/>
        <w:jc w:val="both"/>
        <w:rPr>
          <w:color w:val="000000"/>
        </w:rPr>
      </w:pPr>
      <w:r w:rsidRPr="00CE42F3">
        <w:rPr>
          <w:color w:val="000000"/>
        </w:rPr>
        <w:t>Secretaria da Segurança Pública - 384 demandas</w:t>
      </w:r>
    </w:p>
    <w:p w:rsidR="00CB0DF8" w:rsidRDefault="00CE42F3">
      <w:pPr>
        <w:autoSpaceDE w:val="0"/>
        <w:autoSpaceDN w:val="0"/>
        <w:adjustRightInd w:val="0"/>
        <w:ind w:firstLine="1134"/>
        <w:jc w:val="both"/>
        <w:rPr>
          <w:color w:val="000000"/>
        </w:rPr>
      </w:pPr>
      <w:r w:rsidRPr="00CE42F3">
        <w:rPr>
          <w:color w:val="000000"/>
        </w:rPr>
        <w:t>Delegacia Geral de Polícia - 1.321 demandas</w:t>
      </w:r>
    </w:p>
    <w:p w:rsidR="00CB0DF8" w:rsidRDefault="00CE42F3">
      <w:pPr>
        <w:autoSpaceDE w:val="0"/>
        <w:autoSpaceDN w:val="0"/>
        <w:adjustRightInd w:val="0"/>
        <w:ind w:firstLine="1134"/>
        <w:jc w:val="both"/>
        <w:rPr>
          <w:color w:val="000000"/>
        </w:rPr>
      </w:pPr>
      <w:r w:rsidRPr="00CE42F3">
        <w:rPr>
          <w:color w:val="000000"/>
        </w:rPr>
        <w:t>Corregedoria da Polícia Civil - 76 demanda</w:t>
      </w:r>
      <w:r w:rsidR="003E6588">
        <w:rPr>
          <w:color w:val="000000"/>
        </w:rPr>
        <w:t>s</w:t>
      </w:r>
    </w:p>
    <w:p w:rsidR="00CB0DF8" w:rsidRDefault="00CE42F3">
      <w:pPr>
        <w:autoSpaceDE w:val="0"/>
        <w:autoSpaceDN w:val="0"/>
        <w:adjustRightInd w:val="0"/>
        <w:ind w:firstLine="1134"/>
        <w:jc w:val="both"/>
        <w:rPr>
          <w:color w:val="000000"/>
        </w:rPr>
      </w:pPr>
      <w:r w:rsidRPr="00CE42F3">
        <w:rPr>
          <w:color w:val="000000"/>
        </w:rPr>
        <w:t>Comando Geral da PM - 701 demandas</w:t>
      </w:r>
    </w:p>
    <w:p w:rsidR="003E6588" w:rsidRDefault="00CE42F3" w:rsidP="00C70C5C">
      <w:pPr>
        <w:autoSpaceDE w:val="0"/>
        <w:autoSpaceDN w:val="0"/>
        <w:adjustRightInd w:val="0"/>
        <w:ind w:firstLine="1134"/>
        <w:jc w:val="both"/>
        <w:rPr>
          <w:color w:val="000000"/>
        </w:rPr>
      </w:pPr>
      <w:r w:rsidRPr="00CE42F3">
        <w:rPr>
          <w:color w:val="000000"/>
        </w:rPr>
        <w:t>Corregedoria da PM - 167 demandas</w:t>
      </w:r>
    </w:p>
    <w:p w:rsidR="00CB0DF8" w:rsidRDefault="00CE42F3">
      <w:pPr>
        <w:autoSpaceDE w:val="0"/>
        <w:autoSpaceDN w:val="0"/>
        <w:adjustRightInd w:val="0"/>
        <w:ind w:firstLine="1134"/>
        <w:jc w:val="both"/>
        <w:rPr>
          <w:color w:val="000000"/>
        </w:rPr>
      </w:pPr>
      <w:r w:rsidRPr="00CE42F3">
        <w:rPr>
          <w:color w:val="000000"/>
        </w:rPr>
        <w:t>Corpo de Bombeiros - 422 demandas</w:t>
      </w:r>
    </w:p>
    <w:p w:rsidR="003E6588" w:rsidRDefault="00CE42F3" w:rsidP="00C70C5C">
      <w:pPr>
        <w:ind w:firstLine="1134"/>
        <w:jc w:val="both"/>
        <w:rPr>
          <w:color w:val="000000"/>
        </w:rPr>
      </w:pPr>
      <w:r w:rsidRPr="00CE42F3">
        <w:rPr>
          <w:color w:val="000000"/>
        </w:rPr>
        <w:t>Superintendência da Polícia Técnico-Científica - 48 demandas</w:t>
      </w:r>
    </w:p>
    <w:p w:rsidR="003E6588" w:rsidRDefault="003E6588">
      <w:pPr>
        <w:ind w:left="709" w:firstLine="707"/>
        <w:jc w:val="both"/>
      </w:pPr>
    </w:p>
    <w:tbl>
      <w:tblPr>
        <w:tblW w:w="0" w:type="auto"/>
        <w:jc w:val="center"/>
        <w:tblInd w:w="23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798"/>
        <w:gridCol w:w="1746"/>
        <w:gridCol w:w="1804"/>
        <w:gridCol w:w="2277"/>
      </w:tblGrid>
      <w:tr w:rsidR="003E6588" w:rsidTr="00C70C5C">
        <w:trPr>
          <w:jc w:val="center"/>
        </w:trPr>
        <w:tc>
          <w:tcPr>
            <w:tcW w:w="1798" w:type="dxa"/>
            <w:shd w:val="clear" w:color="auto" w:fill="auto"/>
            <w:vAlign w:val="center"/>
          </w:tcPr>
          <w:p w:rsidR="003E6588" w:rsidRDefault="003E6588">
            <w:pPr>
              <w:rPr>
                <w:b/>
                <w:sz w:val="20"/>
                <w:szCs w:val="20"/>
              </w:rPr>
            </w:pPr>
            <w:r>
              <w:rPr>
                <w:b/>
                <w:sz w:val="20"/>
                <w:szCs w:val="20"/>
              </w:rPr>
              <w:t>Pedidos</w:t>
            </w:r>
          </w:p>
        </w:tc>
        <w:tc>
          <w:tcPr>
            <w:tcW w:w="1746" w:type="dxa"/>
            <w:shd w:val="clear" w:color="auto" w:fill="auto"/>
            <w:vAlign w:val="center"/>
          </w:tcPr>
          <w:p w:rsidR="003E6588" w:rsidRDefault="003E6588">
            <w:pPr>
              <w:rPr>
                <w:b/>
                <w:sz w:val="20"/>
                <w:szCs w:val="20"/>
              </w:rPr>
            </w:pPr>
            <w:r>
              <w:rPr>
                <w:b/>
                <w:sz w:val="20"/>
                <w:szCs w:val="20"/>
              </w:rPr>
              <w:t>Em análise</w:t>
            </w:r>
          </w:p>
        </w:tc>
        <w:tc>
          <w:tcPr>
            <w:tcW w:w="1804" w:type="dxa"/>
            <w:shd w:val="clear" w:color="auto" w:fill="auto"/>
            <w:vAlign w:val="center"/>
          </w:tcPr>
          <w:p w:rsidR="003E6588" w:rsidRDefault="003E6588">
            <w:pPr>
              <w:rPr>
                <w:b/>
                <w:sz w:val="20"/>
                <w:szCs w:val="20"/>
              </w:rPr>
            </w:pPr>
            <w:r>
              <w:rPr>
                <w:b/>
                <w:sz w:val="20"/>
                <w:szCs w:val="20"/>
              </w:rPr>
              <w:t>Atendidos</w:t>
            </w:r>
          </w:p>
        </w:tc>
        <w:tc>
          <w:tcPr>
            <w:tcW w:w="2277" w:type="dxa"/>
            <w:shd w:val="clear" w:color="auto" w:fill="auto"/>
            <w:vAlign w:val="center"/>
          </w:tcPr>
          <w:p w:rsidR="003E6588" w:rsidRDefault="003E6588">
            <w:pPr>
              <w:rPr>
                <w:b/>
                <w:sz w:val="20"/>
                <w:szCs w:val="20"/>
              </w:rPr>
            </w:pPr>
            <w:r>
              <w:rPr>
                <w:b/>
                <w:sz w:val="20"/>
                <w:szCs w:val="20"/>
              </w:rPr>
              <w:t>Atendidos parcialmente</w:t>
            </w:r>
          </w:p>
        </w:tc>
      </w:tr>
      <w:tr w:rsidR="003E6588" w:rsidTr="00C70C5C">
        <w:trPr>
          <w:jc w:val="center"/>
        </w:trPr>
        <w:tc>
          <w:tcPr>
            <w:tcW w:w="1798" w:type="dxa"/>
            <w:shd w:val="clear" w:color="auto" w:fill="auto"/>
            <w:vAlign w:val="center"/>
          </w:tcPr>
          <w:p w:rsidR="003E6588" w:rsidRDefault="003E6588">
            <w:pPr>
              <w:rPr>
                <w:sz w:val="20"/>
                <w:szCs w:val="20"/>
              </w:rPr>
            </w:pPr>
            <w:r>
              <w:rPr>
                <w:sz w:val="20"/>
                <w:szCs w:val="20"/>
              </w:rPr>
              <w:t>35.145</w:t>
            </w:r>
          </w:p>
        </w:tc>
        <w:tc>
          <w:tcPr>
            <w:tcW w:w="1746" w:type="dxa"/>
            <w:shd w:val="clear" w:color="auto" w:fill="auto"/>
            <w:vAlign w:val="center"/>
          </w:tcPr>
          <w:p w:rsidR="003E6588" w:rsidRDefault="003E6588">
            <w:pPr>
              <w:rPr>
                <w:sz w:val="20"/>
                <w:szCs w:val="20"/>
              </w:rPr>
            </w:pPr>
            <w:r>
              <w:rPr>
                <w:sz w:val="20"/>
                <w:szCs w:val="20"/>
              </w:rPr>
              <w:t>227</w:t>
            </w:r>
          </w:p>
        </w:tc>
        <w:tc>
          <w:tcPr>
            <w:tcW w:w="1804" w:type="dxa"/>
            <w:shd w:val="clear" w:color="auto" w:fill="auto"/>
            <w:vAlign w:val="center"/>
          </w:tcPr>
          <w:p w:rsidR="003E6588" w:rsidRDefault="003E6588">
            <w:pPr>
              <w:rPr>
                <w:sz w:val="20"/>
                <w:szCs w:val="20"/>
              </w:rPr>
            </w:pPr>
            <w:r>
              <w:rPr>
                <w:sz w:val="20"/>
                <w:szCs w:val="20"/>
              </w:rPr>
              <w:t>31.767</w:t>
            </w:r>
          </w:p>
        </w:tc>
        <w:tc>
          <w:tcPr>
            <w:tcW w:w="2277" w:type="dxa"/>
            <w:shd w:val="clear" w:color="auto" w:fill="auto"/>
            <w:vAlign w:val="center"/>
          </w:tcPr>
          <w:p w:rsidR="003E6588" w:rsidRDefault="003E6588">
            <w:pPr>
              <w:rPr>
                <w:sz w:val="20"/>
                <w:szCs w:val="20"/>
              </w:rPr>
            </w:pPr>
            <w:r>
              <w:rPr>
                <w:sz w:val="20"/>
                <w:szCs w:val="20"/>
              </w:rPr>
              <w:t>770</w:t>
            </w:r>
          </w:p>
        </w:tc>
      </w:tr>
    </w:tbl>
    <w:p w:rsidR="003E6588" w:rsidRDefault="003E6588">
      <w:pPr>
        <w:ind w:left="709" w:firstLine="707"/>
        <w:jc w:val="both"/>
      </w:pPr>
    </w:p>
    <w:p w:rsidR="003E6588" w:rsidRDefault="003E6588">
      <w:pPr>
        <w:ind w:firstLine="1134"/>
        <w:jc w:val="both"/>
        <w:rPr>
          <w:b/>
        </w:rPr>
      </w:pPr>
      <w:r>
        <w:rPr>
          <w:b/>
        </w:rPr>
        <w:t>Cursos e Concursos</w:t>
      </w:r>
    </w:p>
    <w:p w:rsidR="003E6588" w:rsidRDefault="003E6588">
      <w:pPr>
        <w:ind w:left="709" w:firstLine="707"/>
        <w:jc w:val="both"/>
      </w:pPr>
    </w:p>
    <w:p w:rsidR="003E6588" w:rsidRDefault="003E6588" w:rsidP="00C70C5C">
      <w:pPr>
        <w:ind w:firstLine="1134"/>
        <w:jc w:val="both"/>
      </w:pPr>
      <w:r>
        <w:rPr>
          <w:b/>
          <w:bCs/>
        </w:rPr>
        <w:t xml:space="preserve">Polícia Civil - </w:t>
      </w:r>
      <w:r w:rsidRPr="00642F9B">
        <w:t>Concursos Públicos para Ingresso nas Carreiras Policias</w:t>
      </w:r>
    </w:p>
    <w:p w:rsidR="00CB0DF8" w:rsidRDefault="00CB0DF8"/>
    <w:tbl>
      <w:tblPr>
        <w:tblW w:w="8919" w:type="dxa"/>
        <w:jc w:val="center"/>
        <w:tblInd w:w="-3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tblPr>
      <w:tblGrid>
        <w:gridCol w:w="2308"/>
        <w:gridCol w:w="1520"/>
        <w:gridCol w:w="1275"/>
        <w:gridCol w:w="1052"/>
        <w:gridCol w:w="1701"/>
        <w:gridCol w:w="1063"/>
      </w:tblGrid>
      <w:tr w:rsidR="003E6588" w:rsidTr="00C70C5C">
        <w:trPr>
          <w:trHeight w:val="334"/>
          <w:jc w:val="center"/>
        </w:trPr>
        <w:tc>
          <w:tcPr>
            <w:tcW w:w="2308" w:type="dxa"/>
            <w:shd w:val="clear" w:color="auto" w:fill="auto"/>
            <w:vAlign w:val="center"/>
          </w:tcPr>
          <w:p w:rsidR="00CB0DF8" w:rsidRDefault="003E6588">
            <w:pPr>
              <w:rPr>
                <w:b/>
                <w:bCs/>
                <w:sz w:val="20"/>
                <w:szCs w:val="20"/>
              </w:rPr>
            </w:pPr>
            <w:r w:rsidRPr="00C70C5C">
              <w:rPr>
                <w:b/>
                <w:bCs/>
                <w:sz w:val="20"/>
                <w:szCs w:val="20"/>
              </w:rPr>
              <w:t>Concurso</w:t>
            </w:r>
          </w:p>
        </w:tc>
        <w:tc>
          <w:tcPr>
            <w:tcW w:w="1520" w:type="dxa"/>
            <w:shd w:val="clear" w:color="auto" w:fill="auto"/>
            <w:vAlign w:val="center"/>
          </w:tcPr>
          <w:p w:rsidR="00CB0DF8" w:rsidRDefault="003E6588">
            <w:pPr>
              <w:rPr>
                <w:b/>
                <w:bCs/>
                <w:sz w:val="20"/>
                <w:szCs w:val="20"/>
              </w:rPr>
            </w:pPr>
            <w:r w:rsidRPr="00C70C5C">
              <w:rPr>
                <w:b/>
                <w:bCs/>
                <w:sz w:val="20"/>
                <w:szCs w:val="20"/>
              </w:rPr>
              <w:t>Edital D.0.E</w:t>
            </w:r>
          </w:p>
        </w:tc>
        <w:tc>
          <w:tcPr>
            <w:tcW w:w="1275" w:type="dxa"/>
            <w:shd w:val="clear" w:color="auto" w:fill="auto"/>
            <w:vAlign w:val="center"/>
          </w:tcPr>
          <w:p w:rsidR="00CB0DF8" w:rsidRDefault="003E6588">
            <w:pPr>
              <w:rPr>
                <w:b/>
                <w:bCs/>
                <w:sz w:val="20"/>
                <w:szCs w:val="20"/>
              </w:rPr>
            </w:pPr>
            <w:r w:rsidRPr="00C70C5C">
              <w:rPr>
                <w:b/>
                <w:bCs/>
                <w:sz w:val="20"/>
                <w:szCs w:val="20"/>
              </w:rPr>
              <w:t>Nº Inscritos</w:t>
            </w:r>
          </w:p>
        </w:tc>
        <w:tc>
          <w:tcPr>
            <w:tcW w:w="1052" w:type="dxa"/>
            <w:shd w:val="clear" w:color="auto" w:fill="auto"/>
            <w:vAlign w:val="center"/>
          </w:tcPr>
          <w:p w:rsidR="00CB0DF8" w:rsidRDefault="003E6588">
            <w:pPr>
              <w:rPr>
                <w:b/>
                <w:bCs/>
                <w:sz w:val="20"/>
                <w:szCs w:val="20"/>
              </w:rPr>
            </w:pPr>
            <w:r w:rsidRPr="00C70C5C">
              <w:rPr>
                <w:b/>
                <w:bCs/>
                <w:sz w:val="20"/>
                <w:szCs w:val="20"/>
              </w:rPr>
              <w:t>Vagas</w:t>
            </w:r>
          </w:p>
        </w:tc>
        <w:tc>
          <w:tcPr>
            <w:tcW w:w="1701" w:type="dxa"/>
            <w:shd w:val="clear" w:color="auto" w:fill="auto"/>
            <w:vAlign w:val="center"/>
          </w:tcPr>
          <w:p w:rsidR="00CB0DF8" w:rsidRDefault="003E6588">
            <w:pPr>
              <w:rPr>
                <w:b/>
                <w:bCs/>
                <w:sz w:val="20"/>
                <w:szCs w:val="20"/>
              </w:rPr>
            </w:pPr>
            <w:r w:rsidRPr="00C70C5C">
              <w:rPr>
                <w:b/>
                <w:bCs/>
                <w:sz w:val="20"/>
                <w:szCs w:val="20"/>
              </w:rPr>
              <w:t>Nº de Aprovados</w:t>
            </w:r>
          </w:p>
        </w:tc>
        <w:tc>
          <w:tcPr>
            <w:tcW w:w="1063" w:type="dxa"/>
            <w:shd w:val="clear" w:color="auto" w:fill="auto"/>
            <w:vAlign w:val="center"/>
          </w:tcPr>
          <w:p w:rsidR="00CB0DF8" w:rsidRDefault="003E6588">
            <w:pPr>
              <w:rPr>
                <w:b/>
                <w:bCs/>
                <w:sz w:val="20"/>
                <w:szCs w:val="20"/>
              </w:rPr>
            </w:pPr>
            <w:r w:rsidRPr="00C70C5C">
              <w:rPr>
                <w:b/>
                <w:bCs/>
                <w:sz w:val="20"/>
                <w:szCs w:val="20"/>
              </w:rPr>
              <w:t>Finalizado</w:t>
            </w:r>
          </w:p>
        </w:tc>
      </w:tr>
      <w:tr w:rsidR="003E6588" w:rsidRPr="00C70C5C" w:rsidTr="00C70C5C">
        <w:trPr>
          <w:trHeight w:hRule="exact" w:val="289"/>
          <w:jc w:val="center"/>
        </w:trPr>
        <w:tc>
          <w:tcPr>
            <w:tcW w:w="2308" w:type="dxa"/>
            <w:shd w:val="clear" w:color="auto" w:fill="auto"/>
            <w:vAlign w:val="center"/>
          </w:tcPr>
          <w:p w:rsidR="003E6588" w:rsidRPr="00C70C5C" w:rsidRDefault="003E6588" w:rsidP="00C70C5C">
            <w:pPr>
              <w:jc w:val="left"/>
              <w:rPr>
                <w:sz w:val="20"/>
                <w:szCs w:val="20"/>
              </w:rPr>
            </w:pPr>
            <w:r w:rsidRPr="00C70C5C">
              <w:rPr>
                <w:sz w:val="20"/>
                <w:szCs w:val="20"/>
              </w:rPr>
              <w:t>Atendente de Necrotério</w:t>
            </w:r>
          </w:p>
        </w:tc>
        <w:tc>
          <w:tcPr>
            <w:tcW w:w="1520" w:type="dxa"/>
            <w:shd w:val="clear" w:color="auto" w:fill="auto"/>
            <w:vAlign w:val="center"/>
          </w:tcPr>
          <w:p w:rsidR="003E6588" w:rsidRPr="00C70C5C" w:rsidRDefault="003E6588" w:rsidP="00642F9B">
            <w:pPr>
              <w:rPr>
                <w:sz w:val="20"/>
                <w:szCs w:val="20"/>
              </w:rPr>
            </w:pPr>
            <w:r w:rsidRPr="00C70C5C">
              <w:rPr>
                <w:sz w:val="20"/>
                <w:szCs w:val="20"/>
              </w:rPr>
              <w:t>27/3/2013</w:t>
            </w:r>
          </w:p>
        </w:tc>
        <w:tc>
          <w:tcPr>
            <w:tcW w:w="1275" w:type="dxa"/>
            <w:shd w:val="clear" w:color="auto" w:fill="auto"/>
            <w:vAlign w:val="center"/>
          </w:tcPr>
          <w:p w:rsidR="003E6588" w:rsidRPr="00C70C5C" w:rsidRDefault="003E6588" w:rsidP="00642F9B">
            <w:pPr>
              <w:rPr>
                <w:sz w:val="20"/>
                <w:szCs w:val="20"/>
              </w:rPr>
            </w:pPr>
            <w:r w:rsidRPr="00C70C5C">
              <w:rPr>
                <w:sz w:val="20"/>
                <w:szCs w:val="20"/>
              </w:rPr>
              <w:t>31.710</w:t>
            </w:r>
          </w:p>
        </w:tc>
        <w:tc>
          <w:tcPr>
            <w:tcW w:w="1052" w:type="dxa"/>
            <w:shd w:val="clear" w:color="auto" w:fill="auto"/>
            <w:vAlign w:val="center"/>
          </w:tcPr>
          <w:p w:rsidR="003E6588" w:rsidRPr="00C70C5C" w:rsidRDefault="003E6588" w:rsidP="001D4469">
            <w:pPr>
              <w:rPr>
                <w:sz w:val="20"/>
                <w:szCs w:val="20"/>
              </w:rPr>
            </w:pPr>
            <w:r w:rsidRPr="00C70C5C">
              <w:rPr>
                <w:sz w:val="20"/>
                <w:szCs w:val="20"/>
              </w:rPr>
              <w:t>22</w:t>
            </w:r>
          </w:p>
        </w:tc>
        <w:tc>
          <w:tcPr>
            <w:tcW w:w="1701" w:type="dxa"/>
            <w:shd w:val="clear" w:color="auto" w:fill="auto"/>
            <w:vAlign w:val="center"/>
          </w:tcPr>
          <w:p w:rsidR="003E6588" w:rsidRPr="00C70C5C" w:rsidRDefault="003E6588" w:rsidP="001D4469">
            <w:pPr>
              <w:rPr>
                <w:sz w:val="20"/>
                <w:szCs w:val="20"/>
              </w:rPr>
            </w:pPr>
            <w:r w:rsidRPr="00C70C5C">
              <w:rPr>
                <w:sz w:val="20"/>
                <w:szCs w:val="20"/>
              </w:rPr>
              <w:t>43</w:t>
            </w:r>
          </w:p>
        </w:tc>
        <w:tc>
          <w:tcPr>
            <w:tcW w:w="1063" w:type="dxa"/>
            <w:shd w:val="clear" w:color="auto" w:fill="auto"/>
            <w:vAlign w:val="center"/>
          </w:tcPr>
          <w:p w:rsidR="003E6588" w:rsidRPr="00C70C5C" w:rsidRDefault="003E6588" w:rsidP="001D4469">
            <w:pPr>
              <w:rPr>
                <w:sz w:val="20"/>
                <w:szCs w:val="20"/>
              </w:rPr>
            </w:pPr>
            <w:r w:rsidRPr="00C70C5C">
              <w:rPr>
                <w:sz w:val="20"/>
                <w:szCs w:val="20"/>
              </w:rPr>
              <w:t>7/1/2014</w:t>
            </w:r>
          </w:p>
        </w:tc>
      </w:tr>
      <w:tr w:rsidR="003E6588" w:rsidTr="00C70C5C">
        <w:trPr>
          <w:trHeight w:val="258"/>
          <w:jc w:val="center"/>
        </w:trPr>
        <w:tc>
          <w:tcPr>
            <w:tcW w:w="2308" w:type="dxa"/>
            <w:shd w:val="clear" w:color="auto" w:fill="auto"/>
            <w:vAlign w:val="center"/>
          </w:tcPr>
          <w:p w:rsidR="003E6588" w:rsidRDefault="003E6588" w:rsidP="00C70C5C">
            <w:pPr>
              <w:jc w:val="left"/>
              <w:rPr>
                <w:sz w:val="20"/>
                <w:szCs w:val="20"/>
              </w:rPr>
            </w:pPr>
            <w:r>
              <w:rPr>
                <w:sz w:val="20"/>
                <w:szCs w:val="20"/>
              </w:rPr>
              <w:t>Escrivão de Polícia</w:t>
            </w:r>
          </w:p>
        </w:tc>
        <w:tc>
          <w:tcPr>
            <w:tcW w:w="1520" w:type="dxa"/>
            <w:shd w:val="clear" w:color="auto" w:fill="auto"/>
            <w:vAlign w:val="center"/>
          </w:tcPr>
          <w:p w:rsidR="003E6588" w:rsidRDefault="003E6588" w:rsidP="00642F9B">
            <w:pPr>
              <w:rPr>
                <w:sz w:val="20"/>
                <w:szCs w:val="20"/>
              </w:rPr>
            </w:pPr>
            <w:r>
              <w:rPr>
                <w:sz w:val="20"/>
                <w:szCs w:val="20"/>
              </w:rPr>
              <w:t>6/12/2012</w:t>
            </w:r>
          </w:p>
        </w:tc>
        <w:tc>
          <w:tcPr>
            <w:tcW w:w="1275" w:type="dxa"/>
            <w:shd w:val="clear" w:color="auto" w:fill="auto"/>
            <w:vAlign w:val="center"/>
          </w:tcPr>
          <w:p w:rsidR="003E6588" w:rsidRDefault="003E6588" w:rsidP="00642F9B">
            <w:pPr>
              <w:rPr>
                <w:sz w:val="20"/>
                <w:szCs w:val="20"/>
              </w:rPr>
            </w:pPr>
            <w:r>
              <w:rPr>
                <w:sz w:val="20"/>
                <w:szCs w:val="20"/>
              </w:rPr>
              <w:t>11.714</w:t>
            </w:r>
          </w:p>
        </w:tc>
        <w:tc>
          <w:tcPr>
            <w:tcW w:w="1052" w:type="dxa"/>
            <w:shd w:val="clear" w:color="auto" w:fill="auto"/>
            <w:vAlign w:val="center"/>
          </w:tcPr>
          <w:p w:rsidR="003E6588" w:rsidRDefault="003E6588" w:rsidP="001D4469">
            <w:pPr>
              <w:rPr>
                <w:sz w:val="20"/>
                <w:szCs w:val="20"/>
              </w:rPr>
            </w:pPr>
            <w:r>
              <w:rPr>
                <w:sz w:val="20"/>
                <w:szCs w:val="20"/>
              </w:rPr>
              <w:t>244</w:t>
            </w:r>
          </w:p>
        </w:tc>
        <w:tc>
          <w:tcPr>
            <w:tcW w:w="1701" w:type="dxa"/>
            <w:shd w:val="clear" w:color="auto" w:fill="auto"/>
            <w:vAlign w:val="center"/>
          </w:tcPr>
          <w:p w:rsidR="003E6588" w:rsidRDefault="003E6588" w:rsidP="001D4469">
            <w:pPr>
              <w:rPr>
                <w:sz w:val="20"/>
                <w:szCs w:val="20"/>
              </w:rPr>
            </w:pPr>
            <w:r>
              <w:rPr>
                <w:sz w:val="20"/>
                <w:szCs w:val="20"/>
              </w:rPr>
              <w:t>525</w:t>
            </w:r>
          </w:p>
        </w:tc>
        <w:tc>
          <w:tcPr>
            <w:tcW w:w="1063" w:type="dxa"/>
            <w:shd w:val="clear" w:color="auto" w:fill="auto"/>
            <w:vAlign w:val="center"/>
          </w:tcPr>
          <w:p w:rsidR="003E6588" w:rsidRDefault="003E6588" w:rsidP="001D4469">
            <w:pPr>
              <w:rPr>
                <w:sz w:val="20"/>
                <w:szCs w:val="20"/>
              </w:rPr>
            </w:pPr>
            <w:r>
              <w:rPr>
                <w:sz w:val="20"/>
                <w:szCs w:val="20"/>
              </w:rPr>
              <w:t>17/2/2014</w:t>
            </w:r>
          </w:p>
        </w:tc>
      </w:tr>
      <w:tr w:rsidR="003E6588" w:rsidTr="00C70C5C">
        <w:trPr>
          <w:trHeight w:val="276"/>
          <w:jc w:val="center"/>
        </w:trPr>
        <w:tc>
          <w:tcPr>
            <w:tcW w:w="2308" w:type="dxa"/>
            <w:shd w:val="clear" w:color="auto" w:fill="auto"/>
            <w:vAlign w:val="center"/>
          </w:tcPr>
          <w:p w:rsidR="003E6588" w:rsidRDefault="003E6588" w:rsidP="00642F9B">
            <w:pPr>
              <w:rPr>
                <w:b/>
                <w:sz w:val="20"/>
                <w:szCs w:val="20"/>
              </w:rPr>
            </w:pPr>
            <w:r>
              <w:rPr>
                <w:b/>
                <w:sz w:val="20"/>
                <w:szCs w:val="20"/>
              </w:rPr>
              <w:t>Total</w:t>
            </w:r>
          </w:p>
        </w:tc>
        <w:tc>
          <w:tcPr>
            <w:tcW w:w="1520" w:type="dxa"/>
            <w:shd w:val="clear" w:color="auto" w:fill="auto"/>
            <w:vAlign w:val="center"/>
          </w:tcPr>
          <w:p w:rsidR="003E6588" w:rsidRDefault="003E6588" w:rsidP="00642F9B">
            <w:pPr>
              <w:rPr>
                <w:b/>
                <w:sz w:val="20"/>
                <w:szCs w:val="20"/>
              </w:rPr>
            </w:pPr>
            <w:r>
              <w:rPr>
                <w:b/>
                <w:sz w:val="20"/>
                <w:szCs w:val="20"/>
              </w:rPr>
              <w:t>----</w:t>
            </w:r>
          </w:p>
        </w:tc>
        <w:tc>
          <w:tcPr>
            <w:tcW w:w="1275" w:type="dxa"/>
            <w:shd w:val="clear" w:color="auto" w:fill="auto"/>
            <w:vAlign w:val="center"/>
          </w:tcPr>
          <w:p w:rsidR="003E6588" w:rsidRDefault="003E6588" w:rsidP="00642F9B">
            <w:pPr>
              <w:rPr>
                <w:b/>
                <w:sz w:val="20"/>
                <w:szCs w:val="20"/>
              </w:rPr>
            </w:pPr>
            <w:r>
              <w:rPr>
                <w:b/>
                <w:sz w:val="20"/>
                <w:szCs w:val="20"/>
              </w:rPr>
              <w:t>43.424</w:t>
            </w:r>
          </w:p>
        </w:tc>
        <w:tc>
          <w:tcPr>
            <w:tcW w:w="1052" w:type="dxa"/>
            <w:shd w:val="clear" w:color="auto" w:fill="auto"/>
            <w:vAlign w:val="center"/>
          </w:tcPr>
          <w:p w:rsidR="003E6588" w:rsidRDefault="003E6588" w:rsidP="001D4469">
            <w:pPr>
              <w:rPr>
                <w:b/>
                <w:sz w:val="20"/>
                <w:szCs w:val="20"/>
              </w:rPr>
            </w:pPr>
            <w:r>
              <w:rPr>
                <w:b/>
                <w:sz w:val="20"/>
                <w:szCs w:val="20"/>
              </w:rPr>
              <w:t>266</w:t>
            </w:r>
          </w:p>
        </w:tc>
        <w:tc>
          <w:tcPr>
            <w:tcW w:w="1701" w:type="dxa"/>
            <w:shd w:val="clear" w:color="auto" w:fill="auto"/>
            <w:vAlign w:val="center"/>
          </w:tcPr>
          <w:p w:rsidR="003E6588" w:rsidRDefault="003E6588" w:rsidP="001D4469">
            <w:pPr>
              <w:rPr>
                <w:b/>
                <w:sz w:val="20"/>
                <w:szCs w:val="20"/>
              </w:rPr>
            </w:pPr>
            <w:r>
              <w:rPr>
                <w:b/>
                <w:sz w:val="20"/>
                <w:szCs w:val="20"/>
              </w:rPr>
              <w:t>568</w:t>
            </w:r>
          </w:p>
        </w:tc>
        <w:tc>
          <w:tcPr>
            <w:tcW w:w="1063" w:type="dxa"/>
            <w:shd w:val="clear" w:color="auto" w:fill="auto"/>
            <w:vAlign w:val="center"/>
          </w:tcPr>
          <w:p w:rsidR="003E6588" w:rsidRDefault="003E6588" w:rsidP="001D4469">
            <w:pPr>
              <w:rPr>
                <w:b/>
                <w:sz w:val="20"/>
                <w:szCs w:val="20"/>
              </w:rPr>
            </w:pPr>
            <w:r>
              <w:rPr>
                <w:b/>
                <w:sz w:val="20"/>
                <w:szCs w:val="20"/>
              </w:rPr>
              <w:t>----</w:t>
            </w:r>
          </w:p>
        </w:tc>
      </w:tr>
    </w:tbl>
    <w:p w:rsidR="00CB0DF8" w:rsidRDefault="00CB0DF8"/>
    <w:p w:rsidR="003E6588" w:rsidRPr="00C70C5C" w:rsidRDefault="003E6588" w:rsidP="00C70C5C">
      <w:pPr>
        <w:ind w:firstLine="1134"/>
        <w:jc w:val="both"/>
        <w:rPr>
          <w:b/>
          <w:i/>
          <w:strike/>
        </w:rPr>
      </w:pPr>
      <w:r w:rsidRPr="00642F9B">
        <w:t>Concursos Públicos para Ingresso nas Carreiras Policias em andamento</w:t>
      </w:r>
    </w:p>
    <w:p w:rsidR="003E6588" w:rsidRDefault="003E6588">
      <w:pPr>
        <w:rPr>
          <w:lang w:eastAsia="en-US"/>
        </w:rPr>
      </w:pPr>
    </w:p>
    <w:tbl>
      <w:tblPr>
        <w:tblW w:w="10353" w:type="dxa"/>
        <w:jc w:val="center"/>
        <w:tblInd w:w="34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tblPr>
      <w:tblGrid>
        <w:gridCol w:w="2462"/>
        <w:gridCol w:w="1267"/>
        <w:gridCol w:w="710"/>
        <w:gridCol w:w="3969"/>
        <w:gridCol w:w="1945"/>
      </w:tblGrid>
      <w:tr w:rsidR="003E6588" w:rsidTr="00C70C5C">
        <w:trPr>
          <w:trHeight w:val="85"/>
          <w:tblHeader/>
          <w:jc w:val="center"/>
        </w:trPr>
        <w:tc>
          <w:tcPr>
            <w:tcW w:w="2462" w:type="dxa"/>
            <w:shd w:val="clear" w:color="auto" w:fill="auto"/>
            <w:vAlign w:val="center"/>
          </w:tcPr>
          <w:p w:rsidR="003E6588" w:rsidRDefault="003E6588">
            <w:pPr>
              <w:rPr>
                <w:b/>
                <w:bCs/>
                <w:sz w:val="20"/>
                <w:szCs w:val="20"/>
              </w:rPr>
            </w:pPr>
            <w:r>
              <w:rPr>
                <w:b/>
                <w:bCs/>
                <w:sz w:val="20"/>
                <w:szCs w:val="20"/>
              </w:rPr>
              <w:t>Concurso</w:t>
            </w:r>
          </w:p>
        </w:tc>
        <w:tc>
          <w:tcPr>
            <w:tcW w:w="1267" w:type="dxa"/>
            <w:shd w:val="clear" w:color="auto" w:fill="auto"/>
            <w:vAlign w:val="center"/>
          </w:tcPr>
          <w:p w:rsidR="003E6588" w:rsidRDefault="003E6588">
            <w:pPr>
              <w:rPr>
                <w:b/>
                <w:bCs/>
                <w:sz w:val="20"/>
                <w:szCs w:val="20"/>
              </w:rPr>
            </w:pPr>
            <w:r>
              <w:rPr>
                <w:b/>
                <w:bCs/>
                <w:sz w:val="20"/>
                <w:szCs w:val="20"/>
              </w:rPr>
              <w:t>Nº Inscritos</w:t>
            </w:r>
          </w:p>
        </w:tc>
        <w:tc>
          <w:tcPr>
            <w:tcW w:w="710" w:type="dxa"/>
            <w:shd w:val="clear" w:color="auto" w:fill="auto"/>
            <w:vAlign w:val="center"/>
          </w:tcPr>
          <w:p w:rsidR="003E6588" w:rsidRDefault="003E6588">
            <w:pPr>
              <w:rPr>
                <w:b/>
                <w:bCs/>
                <w:sz w:val="20"/>
                <w:szCs w:val="20"/>
              </w:rPr>
            </w:pPr>
            <w:r>
              <w:rPr>
                <w:b/>
                <w:bCs/>
                <w:sz w:val="20"/>
                <w:szCs w:val="20"/>
              </w:rPr>
              <w:t>Vagas</w:t>
            </w:r>
          </w:p>
        </w:tc>
        <w:tc>
          <w:tcPr>
            <w:tcW w:w="3969" w:type="dxa"/>
            <w:shd w:val="clear" w:color="auto" w:fill="auto"/>
            <w:vAlign w:val="center"/>
          </w:tcPr>
          <w:p w:rsidR="003E6588" w:rsidRDefault="003E6588">
            <w:pPr>
              <w:rPr>
                <w:b/>
                <w:bCs/>
                <w:sz w:val="20"/>
                <w:szCs w:val="20"/>
              </w:rPr>
            </w:pPr>
            <w:r>
              <w:rPr>
                <w:b/>
                <w:bCs/>
                <w:sz w:val="20"/>
                <w:szCs w:val="20"/>
              </w:rPr>
              <w:t>Fase atual</w:t>
            </w:r>
          </w:p>
        </w:tc>
        <w:tc>
          <w:tcPr>
            <w:tcW w:w="1945" w:type="dxa"/>
            <w:shd w:val="clear" w:color="auto" w:fill="auto"/>
            <w:vAlign w:val="center"/>
          </w:tcPr>
          <w:p w:rsidR="003E6588" w:rsidRDefault="003E6588">
            <w:pPr>
              <w:rPr>
                <w:b/>
                <w:bCs/>
                <w:sz w:val="20"/>
                <w:szCs w:val="20"/>
              </w:rPr>
            </w:pPr>
            <w:r>
              <w:rPr>
                <w:b/>
                <w:bCs/>
                <w:sz w:val="20"/>
                <w:szCs w:val="20"/>
              </w:rPr>
              <w:t>Aprovados classificação final</w:t>
            </w:r>
          </w:p>
        </w:tc>
      </w:tr>
      <w:tr w:rsidR="003E6588" w:rsidTr="00C70C5C">
        <w:trPr>
          <w:trHeight w:val="98"/>
          <w:tblHeader/>
          <w:jc w:val="center"/>
        </w:trPr>
        <w:tc>
          <w:tcPr>
            <w:tcW w:w="2462" w:type="dxa"/>
            <w:shd w:val="clear" w:color="auto" w:fill="auto"/>
            <w:vAlign w:val="center"/>
          </w:tcPr>
          <w:p w:rsidR="003E6588" w:rsidRDefault="003E6588" w:rsidP="00C70C5C">
            <w:pPr>
              <w:jc w:val="both"/>
              <w:rPr>
                <w:sz w:val="20"/>
                <w:szCs w:val="20"/>
              </w:rPr>
            </w:pPr>
            <w:r>
              <w:rPr>
                <w:sz w:val="20"/>
                <w:szCs w:val="20"/>
              </w:rPr>
              <w:t>Atendente de necrotério</w:t>
            </w:r>
          </w:p>
        </w:tc>
        <w:tc>
          <w:tcPr>
            <w:tcW w:w="1267" w:type="dxa"/>
            <w:shd w:val="clear" w:color="auto" w:fill="auto"/>
            <w:vAlign w:val="center"/>
          </w:tcPr>
          <w:p w:rsidR="003E6588" w:rsidRDefault="00CE42F3">
            <w:pPr>
              <w:rPr>
                <w:sz w:val="20"/>
                <w:szCs w:val="20"/>
              </w:rPr>
            </w:pPr>
            <w:r w:rsidRPr="00CE42F3">
              <w:rPr>
                <w:sz w:val="20"/>
                <w:szCs w:val="20"/>
              </w:rPr>
              <w:t>55</w:t>
            </w:r>
            <w:r w:rsidR="003E6588">
              <w:rPr>
                <w:sz w:val="20"/>
                <w:szCs w:val="20"/>
              </w:rPr>
              <w:t>.</w:t>
            </w:r>
            <w:r w:rsidRPr="00CE42F3">
              <w:rPr>
                <w:sz w:val="20"/>
                <w:szCs w:val="20"/>
              </w:rPr>
              <w:t>799</w:t>
            </w:r>
          </w:p>
        </w:tc>
        <w:tc>
          <w:tcPr>
            <w:tcW w:w="710" w:type="dxa"/>
            <w:shd w:val="clear" w:color="auto" w:fill="auto"/>
            <w:vAlign w:val="center"/>
          </w:tcPr>
          <w:p w:rsidR="003E6588" w:rsidRDefault="00CE42F3">
            <w:pPr>
              <w:rPr>
                <w:sz w:val="20"/>
                <w:szCs w:val="20"/>
              </w:rPr>
            </w:pPr>
            <w:r w:rsidRPr="00CE42F3">
              <w:rPr>
                <w:sz w:val="20"/>
                <w:szCs w:val="20"/>
              </w:rPr>
              <w:t>89</w:t>
            </w:r>
          </w:p>
        </w:tc>
        <w:tc>
          <w:tcPr>
            <w:tcW w:w="3969" w:type="dxa"/>
            <w:shd w:val="clear" w:color="auto" w:fill="auto"/>
            <w:vAlign w:val="center"/>
          </w:tcPr>
          <w:p w:rsidR="003E6588" w:rsidRDefault="00CE42F3" w:rsidP="00C70C5C">
            <w:pPr>
              <w:jc w:val="both"/>
              <w:rPr>
                <w:sz w:val="20"/>
                <w:szCs w:val="20"/>
              </w:rPr>
            </w:pPr>
            <w:r w:rsidRPr="00CE42F3">
              <w:rPr>
                <w:sz w:val="20"/>
                <w:szCs w:val="20"/>
              </w:rPr>
              <w:t>Recurso contra o resultado d</w:t>
            </w:r>
            <w:r w:rsidR="003E6588">
              <w:rPr>
                <w:sz w:val="20"/>
                <w:szCs w:val="20"/>
              </w:rPr>
              <w:t>e</w:t>
            </w:r>
            <w:r w:rsidRPr="00CE42F3">
              <w:rPr>
                <w:sz w:val="20"/>
                <w:szCs w:val="20"/>
              </w:rPr>
              <w:t xml:space="preserve"> prova</w:t>
            </w:r>
          </w:p>
        </w:tc>
        <w:tc>
          <w:tcPr>
            <w:tcW w:w="1945" w:type="dxa"/>
            <w:vAlign w:val="center"/>
          </w:tcPr>
          <w:p w:rsidR="003E6588" w:rsidRDefault="003E6588">
            <w:pPr>
              <w:rPr>
                <w:sz w:val="20"/>
                <w:szCs w:val="20"/>
              </w:rPr>
            </w:pPr>
            <w:r>
              <w:rPr>
                <w:sz w:val="20"/>
                <w:szCs w:val="20"/>
              </w:rPr>
              <w:t>Em andamento</w:t>
            </w:r>
          </w:p>
        </w:tc>
      </w:tr>
      <w:tr w:rsidR="003E6588" w:rsidTr="00C70C5C">
        <w:trPr>
          <w:trHeight w:val="101"/>
          <w:tblHeader/>
          <w:jc w:val="center"/>
        </w:trPr>
        <w:tc>
          <w:tcPr>
            <w:tcW w:w="2462" w:type="dxa"/>
            <w:shd w:val="clear" w:color="auto" w:fill="auto"/>
            <w:vAlign w:val="center"/>
          </w:tcPr>
          <w:p w:rsidR="003E6588" w:rsidRDefault="003E6588" w:rsidP="00C70C5C">
            <w:pPr>
              <w:jc w:val="both"/>
              <w:rPr>
                <w:sz w:val="20"/>
                <w:szCs w:val="20"/>
              </w:rPr>
            </w:pPr>
            <w:r>
              <w:rPr>
                <w:sz w:val="20"/>
                <w:szCs w:val="20"/>
              </w:rPr>
              <w:t>Auxiliar de necropsia</w:t>
            </w:r>
          </w:p>
        </w:tc>
        <w:tc>
          <w:tcPr>
            <w:tcW w:w="1267" w:type="dxa"/>
            <w:shd w:val="clear" w:color="auto" w:fill="auto"/>
            <w:vAlign w:val="center"/>
          </w:tcPr>
          <w:p w:rsidR="003E6588" w:rsidRDefault="00CE42F3">
            <w:pPr>
              <w:rPr>
                <w:sz w:val="20"/>
                <w:szCs w:val="20"/>
              </w:rPr>
            </w:pPr>
            <w:r w:rsidRPr="00CE42F3">
              <w:rPr>
                <w:sz w:val="20"/>
                <w:szCs w:val="20"/>
              </w:rPr>
              <w:t>32</w:t>
            </w:r>
            <w:r w:rsidR="003E6588">
              <w:rPr>
                <w:sz w:val="20"/>
                <w:szCs w:val="20"/>
              </w:rPr>
              <w:t>.</w:t>
            </w:r>
            <w:r w:rsidRPr="00CE42F3">
              <w:rPr>
                <w:sz w:val="20"/>
                <w:szCs w:val="20"/>
              </w:rPr>
              <w:t>606</w:t>
            </w:r>
          </w:p>
        </w:tc>
        <w:tc>
          <w:tcPr>
            <w:tcW w:w="710" w:type="dxa"/>
            <w:shd w:val="clear" w:color="auto" w:fill="auto"/>
            <w:vAlign w:val="center"/>
          </w:tcPr>
          <w:p w:rsidR="003E6588" w:rsidRDefault="00CE42F3">
            <w:pPr>
              <w:rPr>
                <w:sz w:val="20"/>
                <w:szCs w:val="20"/>
              </w:rPr>
            </w:pPr>
            <w:r w:rsidRPr="00CE42F3">
              <w:rPr>
                <w:sz w:val="20"/>
                <w:szCs w:val="20"/>
              </w:rPr>
              <w:t>145</w:t>
            </w:r>
          </w:p>
        </w:tc>
        <w:tc>
          <w:tcPr>
            <w:tcW w:w="3969" w:type="dxa"/>
            <w:shd w:val="clear" w:color="auto" w:fill="auto"/>
            <w:vAlign w:val="center"/>
          </w:tcPr>
          <w:p w:rsidR="003E6588" w:rsidRDefault="003E6588" w:rsidP="00C70C5C">
            <w:pPr>
              <w:jc w:val="both"/>
              <w:rPr>
                <w:sz w:val="20"/>
                <w:szCs w:val="20"/>
              </w:rPr>
            </w:pPr>
            <w:r>
              <w:rPr>
                <w:color w:val="000000"/>
                <w:sz w:val="20"/>
                <w:szCs w:val="20"/>
              </w:rPr>
              <w:t xml:space="preserve">Em análise de recursos contra prova de </w:t>
            </w:r>
            <w:r w:rsidR="00CE42F3" w:rsidRPr="00CE42F3">
              <w:rPr>
                <w:color w:val="000000"/>
                <w:sz w:val="20"/>
                <w:szCs w:val="20"/>
              </w:rPr>
              <w:t>aptidão</w:t>
            </w:r>
          </w:p>
        </w:tc>
        <w:tc>
          <w:tcPr>
            <w:tcW w:w="1945" w:type="dxa"/>
            <w:vAlign w:val="center"/>
          </w:tcPr>
          <w:p w:rsidR="003E6588" w:rsidRDefault="003E6588">
            <w:pPr>
              <w:rPr>
                <w:sz w:val="20"/>
                <w:szCs w:val="20"/>
              </w:rPr>
            </w:pPr>
            <w:r w:rsidRPr="00642F9B">
              <w:rPr>
                <w:sz w:val="20"/>
                <w:szCs w:val="20"/>
              </w:rPr>
              <w:t xml:space="preserve">Em </w:t>
            </w:r>
            <w:r w:rsidR="00CE42F3" w:rsidRPr="00CE42F3">
              <w:rPr>
                <w:sz w:val="20"/>
                <w:szCs w:val="20"/>
              </w:rPr>
              <w:t xml:space="preserve">andamento </w:t>
            </w:r>
          </w:p>
        </w:tc>
      </w:tr>
      <w:tr w:rsidR="003E6588" w:rsidTr="00C70C5C">
        <w:trPr>
          <w:trHeight w:val="99"/>
          <w:tblHeader/>
          <w:jc w:val="center"/>
        </w:trPr>
        <w:tc>
          <w:tcPr>
            <w:tcW w:w="2462" w:type="dxa"/>
            <w:shd w:val="clear" w:color="auto" w:fill="auto"/>
            <w:vAlign w:val="center"/>
          </w:tcPr>
          <w:p w:rsidR="003E6588" w:rsidRDefault="003E6588" w:rsidP="00C70C5C">
            <w:pPr>
              <w:jc w:val="both"/>
              <w:rPr>
                <w:sz w:val="20"/>
                <w:szCs w:val="20"/>
              </w:rPr>
            </w:pPr>
            <w:r>
              <w:rPr>
                <w:sz w:val="20"/>
                <w:szCs w:val="20"/>
              </w:rPr>
              <w:t>Delegado de polícia</w:t>
            </w:r>
          </w:p>
        </w:tc>
        <w:tc>
          <w:tcPr>
            <w:tcW w:w="1267" w:type="dxa"/>
            <w:shd w:val="clear" w:color="auto" w:fill="auto"/>
            <w:vAlign w:val="center"/>
          </w:tcPr>
          <w:p w:rsidR="003E6588" w:rsidRDefault="00CE42F3">
            <w:pPr>
              <w:rPr>
                <w:sz w:val="20"/>
                <w:szCs w:val="20"/>
              </w:rPr>
            </w:pPr>
            <w:r w:rsidRPr="00CE42F3">
              <w:rPr>
                <w:sz w:val="20"/>
                <w:szCs w:val="20"/>
              </w:rPr>
              <w:t>13</w:t>
            </w:r>
            <w:r w:rsidR="003E6588">
              <w:rPr>
                <w:sz w:val="20"/>
                <w:szCs w:val="20"/>
              </w:rPr>
              <w:t>.</w:t>
            </w:r>
            <w:r w:rsidRPr="00CE42F3">
              <w:rPr>
                <w:sz w:val="20"/>
                <w:szCs w:val="20"/>
              </w:rPr>
              <w:t>205</w:t>
            </w:r>
          </w:p>
        </w:tc>
        <w:tc>
          <w:tcPr>
            <w:tcW w:w="710" w:type="dxa"/>
            <w:shd w:val="clear" w:color="auto" w:fill="auto"/>
            <w:vAlign w:val="center"/>
          </w:tcPr>
          <w:p w:rsidR="003E6588" w:rsidRDefault="00CE42F3">
            <w:pPr>
              <w:rPr>
                <w:sz w:val="20"/>
                <w:szCs w:val="20"/>
              </w:rPr>
            </w:pPr>
            <w:r w:rsidRPr="00CE42F3">
              <w:rPr>
                <w:sz w:val="20"/>
                <w:szCs w:val="20"/>
              </w:rPr>
              <w:t>129</w:t>
            </w:r>
          </w:p>
        </w:tc>
        <w:tc>
          <w:tcPr>
            <w:tcW w:w="3969" w:type="dxa"/>
            <w:shd w:val="clear" w:color="auto" w:fill="auto"/>
            <w:vAlign w:val="center"/>
          </w:tcPr>
          <w:p w:rsidR="003E6588" w:rsidRDefault="00CE42F3" w:rsidP="00C70C5C">
            <w:pPr>
              <w:jc w:val="both"/>
              <w:rPr>
                <w:color w:val="FF0000"/>
                <w:sz w:val="20"/>
                <w:szCs w:val="20"/>
              </w:rPr>
            </w:pPr>
            <w:r w:rsidRPr="00CE42F3">
              <w:rPr>
                <w:color w:val="000000"/>
                <w:sz w:val="20"/>
                <w:szCs w:val="20"/>
              </w:rPr>
              <w:t>Análise dos</w:t>
            </w:r>
            <w:r w:rsidRPr="00CE42F3">
              <w:rPr>
                <w:bCs/>
                <w:color w:val="000000"/>
                <w:sz w:val="20"/>
                <w:szCs w:val="20"/>
              </w:rPr>
              <w:t xml:space="preserve"> </w:t>
            </w:r>
            <w:r w:rsidRPr="00CE42F3">
              <w:rPr>
                <w:color w:val="000000"/>
                <w:sz w:val="20"/>
                <w:szCs w:val="20"/>
              </w:rPr>
              <w:t>recursos contra a prova escrita</w:t>
            </w:r>
          </w:p>
        </w:tc>
        <w:tc>
          <w:tcPr>
            <w:tcW w:w="1945" w:type="dxa"/>
            <w:vAlign w:val="center"/>
          </w:tcPr>
          <w:p w:rsidR="003E6588" w:rsidRDefault="003E6588">
            <w:pPr>
              <w:rPr>
                <w:sz w:val="20"/>
                <w:szCs w:val="20"/>
              </w:rPr>
            </w:pPr>
            <w:r w:rsidRPr="00642F9B">
              <w:rPr>
                <w:sz w:val="20"/>
                <w:szCs w:val="20"/>
              </w:rPr>
              <w:t xml:space="preserve">Em </w:t>
            </w:r>
            <w:r w:rsidR="00CE42F3" w:rsidRPr="00CE42F3">
              <w:rPr>
                <w:sz w:val="20"/>
                <w:szCs w:val="20"/>
              </w:rPr>
              <w:t>andamento</w:t>
            </w:r>
          </w:p>
        </w:tc>
      </w:tr>
      <w:tr w:rsidR="003E6588" w:rsidTr="00C70C5C">
        <w:trPr>
          <w:trHeight w:val="139"/>
          <w:tblHeader/>
          <w:jc w:val="center"/>
        </w:trPr>
        <w:tc>
          <w:tcPr>
            <w:tcW w:w="2462" w:type="dxa"/>
            <w:shd w:val="clear" w:color="auto" w:fill="auto"/>
            <w:vAlign w:val="center"/>
          </w:tcPr>
          <w:p w:rsidR="003E6588" w:rsidRDefault="003E6588" w:rsidP="00C70C5C">
            <w:pPr>
              <w:jc w:val="both"/>
              <w:rPr>
                <w:sz w:val="20"/>
                <w:szCs w:val="20"/>
              </w:rPr>
            </w:pPr>
            <w:r>
              <w:rPr>
                <w:sz w:val="20"/>
                <w:szCs w:val="20"/>
              </w:rPr>
              <w:lastRenderedPageBreak/>
              <w:t>Desenhista técnico-pericial</w:t>
            </w:r>
          </w:p>
        </w:tc>
        <w:tc>
          <w:tcPr>
            <w:tcW w:w="1267" w:type="dxa"/>
            <w:shd w:val="clear" w:color="auto" w:fill="auto"/>
            <w:vAlign w:val="center"/>
          </w:tcPr>
          <w:p w:rsidR="003E6588" w:rsidRDefault="00CE42F3">
            <w:pPr>
              <w:rPr>
                <w:sz w:val="20"/>
                <w:szCs w:val="20"/>
              </w:rPr>
            </w:pPr>
            <w:r w:rsidRPr="00CE42F3">
              <w:rPr>
                <w:sz w:val="20"/>
                <w:szCs w:val="20"/>
              </w:rPr>
              <w:t>6</w:t>
            </w:r>
            <w:r w:rsidR="003E6588">
              <w:rPr>
                <w:sz w:val="20"/>
                <w:szCs w:val="20"/>
              </w:rPr>
              <w:t>.</w:t>
            </w:r>
            <w:r w:rsidRPr="00CE42F3">
              <w:rPr>
                <w:sz w:val="20"/>
                <w:szCs w:val="20"/>
              </w:rPr>
              <w:t>134</w:t>
            </w:r>
          </w:p>
        </w:tc>
        <w:tc>
          <w:tcPr>
            <w:tcW w:w="710" w:type="dxa"/>
            <w:shd w:val="clear" w:color="auto" w:fill="auto"/>
            <w:vAlign w:val="center"/>
          </w:tcPr>
          <w:p w:rsidR="003E6588" w:rsidRDefault="00CE42F3">
            <w:pPr>
              <w:rPr>
                <w:sz w:val="20"/>
                <w:szCs w:val="20"/>
              </w:rPr>
            </w:pPr>
            <w:r w:rsidRPr="00CE42F3">
              <w:rPr>
                <w:sz w:val="20"/>
                <w:szCs w:val="20"/>
              </w:rPr>
              <w:t>55</w:t>
            </w:r>
          </w:p>
        </w:tc>
        <w:tc>
          <w:tcPr>
            <w:tcW w:w="3969" w:type="dxa"/>
            <w:shd w:val="clear" w:color="auto" w:fill="auto"/>
            <w:vAlign w:val="center"/>
          </w:tcPr>
          <w:p w:rsidR="003E6588" w:rsidRDefault="00CE42F3" w:rsidP="00C70C5C">
            <w:pPr>
              <w:jc w:val="both"/>
              <w:rPr>
                <w:sz w:val="20"/>
                <w:szCs w:val="20"/>
              </w:rPr>
            </w:pPr>
            <w:r w:rsidRPr="00CE42F3">
              <w:rPr>
                <w:color w:val="000000"/>
                <w:sz w:val="20"/>
                <w:szCs w:val="20"/>
              </w:rPr>
              <w:t>Entrega d</w:t>
            </w:r>
            <w:r w:rsidR="003E6588">
              <w:rPr>
                <w:color w:val="000000"/>
                <w:sz w:val="20"/>
                <w:szCs w:val="20"/>
              </w:rPr>
              <w:t>e</w:t>
            </w:r>
            <w:r w:rsidRPr="00CE42F3">
              <w:rPr>
                <w:color w:val="000000"/>
                <w:sz w:val="20"/>
                <w:szCs w:val="20"/>
              </w:rPr>
              <w:t xml:space="preserve"> documentos</w:t>
            </w:r>
          </w:p>
        </w:tc>
        <w:tc>
          <w:tcPr>
            <w:tcW w:w="1945" w:type="dxa"/>
            <w:vAlign w:val="center"/>
          </w:tcPr>
          <w:p w:rsidR="003E6588" w:rsidRDefault="003E6588">
            <w:pPr>
              <w:rPr>
                <w:sz w:val="20"/>
                <w:szCs w:val="20"/>
              </w:rPr>
            </w:pPr>
            <w:r>
              <w:rPr>
                <w:sz w:val="20"/>
                <w:szCs w:val="20"/>
              </w:rPr>
              <w:t>Em andamento</w:t>
            </w:r>
          </w:p>
        </w:tc>
      </w:tr>
      <w:tr w:rsidR="003E6588" w:rsidTr="00C70C5C">
        <w:trPr>
          <w:trHeight w:val="101"/>
          <w:tblHeader/>
          <w:jc w:val="center"/>
        </w:trPr>
        <w:tc>
          <w:tcPr>
            <w:tcW w:w="2462" w:type="dxa"/>
            <w:shd w:val="clear" w:color="auto" w:fill="auto"/>
            <w:vAlign w:val="center"/>
          </w:tcPr>
          <w:p w:rsidR="003E6588" w:rsidRDefault="003E6588" w:rsidP="00C70C5C">
            <w:pPr>
              <w:jc w:val="both"/>
              <w:rPr>
                <w:sz w:val="20"/>
                <w:szCs w:val="20"/>
              </w:rPr>
            </w:pPr>
            <w:r>
              <w:rPr>
                <w:sz w:val="20"/>
                <w:szCs w:val="20"/>
              </w:rPr>
              <w:t>Escrivão de polícia</w:t>
            </w:r>
          </w:p>
        </w:tc>
        <w:tc>
          <w:tcPr>
            <w:tcW w:w="1267" w:type="dxa"/>
            <w:shd w:val="clear" w:color="auto" w:fill="auto"/>
            <w:vAlign w:val="center"/>
          </w:tcPr>
          <w:p w:rsidR="003E6588" w:rsidRDefault="00CE42F3">
            <w:pPr>
              <w:rPr>
                <w:sz w:val="20"/>
                <w:szCs w:val="20"/>
              </w:rPr>
            </w:pPr>
            <w:r w:rsidRPr="00CE42F3">
              <w:rPr>
                <w:sz w:val="20"/>
                <w:szCs w:val="20"/>
              </w:rPr>
              <w:t>15</w:t>
            </w:r>
            <w:r w:rsidR="003E6588">
              <w:rPr>
                <w:sz w:val="20"/>
                <w:szCs w:val="20"/>
              </w:rPr>
              <w:t>.</w:t>
            </w:r>
            <w:r w:rsidRPr="00CE42F3">
              <w:rPr>
                <w:sz w:val="20"/>
                <w:szCs w:val="20"/>
              </w:rPr>
              <w:t>852</w:t>
            </w:r>
          </w:p>
        </w:tc>
        <w:tc>
          <w:tcPr>
            <w:tcW w:w="710" w:type="dxa"/>
            <w:shd w:val="clear" w:color="auto" w:fill="auto"/>
            <w:vAlign w:val="center"/>
          </w:tcPr>
          <w:p w:rsidR="003E6588" w:rsidRDefault="00CE42F3">
            <w:pPr>
              <w:rPr>
                <w:sz w:val="20"/>
                <w:szCs w:val="20"/>
              </w:rPr>
            </w:pPr>
            <w:r w:rsidRPr="00CE42F3">
              <w:rPr>
                <w:sz w:val="20"/>
                <w:szCs w:val="20"/>
              </w:rPr>
              <w:t>788</w:t>
            </w:r>
          </w:p>
        </w:tc>
        <w:tc>
          <w:tcPr>
            <w:tcW w:w="3969" w:type="dxa"/>
            <w:shd w:val="clear" w:color="auto" w:fill="auto"/>
            <w:vAlign w:val="center"/>
          </w:tcPr>
          <w:p w:rsidR="003E6588" w:rsidRDefault="00CE42F3" w:rsidP="00C70C5C">
            <w:pPr>
              <w:jc w:val="both"/>
              <w:rPr>
                <w:sz w:val="20"/>
                <w:szCs w:val="20"/>
              </w:rPr>
            </w:pPr>
            <w:r w:rsidRPr="00CE42F3">
              <w:rPr>
                <w:sz w:val="20"/>
                <w:szCs w:val="20"/>
              </w:rPr>
              <w:t>Prova de aptidão física</w:t>
            </w:r>
          </w:p>
        </w:tc>
        <w:tc>
          <w:tcPr>
            <w:tcW w:w="1945" w:type="dxa"/>
            <w:vAlign w:val="center"/>
          </w:tcPr>
          <w:p w:rsidR="003E6588" w:rsidRDefault="003E6588">
            <w:pPr>
              <w:rPr>
                <w:sz w:val="20"/>
                <w:szCs w:val="20"/>
              </w:rPr>
            </w:pPr>
            <w:r w:rsidRPr="00642F9B">
              <w:rPr>
                <w:sz w:val="20"/>
                <w:szCs w:val="20"/>
              </w:rPr>
              <w:t xml:space="preserve">Em </w:t>
            </w:r>
            <w:r w:rsidR="00CE42F3" w:rsidRPr="00CE42F3">
              <w:rPr>
                <w:sz w:val="20"/>
                <w:szCs w:val="20"/>
              </w:rPr>
              <w:t>andamento</w:t>
            </w:r>
          </w:p>
        </w:tc>
      </w:tr>
      <w:tr w:rsidR="003E6588" w:rsidTr="00C70C5C">
        <w:trPr>
          <w:trHeight w:val="139"/>
          <w:tblHeader/>
          <w:jc w:val="center"/>
        </w:trPr>
        <w:tc>
          <w:tcPr>
            <w:tcW w:w="2462" w:type="dxa"/>
            <w:shd w:val="clear" w:color="auto" w:fill="auto"/>
            <w:vAlign w:val="center"/>
          </w:tcPr>
          <w:p w:rsidR="003E6588" w:rsidRDefault="003E6588" w:rsidP="00C70C5C">
            <w:pPr>
              <w:jc w:val="both"/>
              <w:rPr>
                <w:sz w:val="20"/>
                <w:szCs w:val="20"/>
              </w:rPr>
            </w:pPr>
            <w:r>
              <w:rPr>
                <w:sz w:val="20"/>
                <w:szCs w:val="20"/>
              </w:rPr>
              <w:t>Fotógrafo técnico- pericial</w:t>
            </w:r>
          </w:p>
        </w:tc>
        <w:tc>
          <w:tcPr>
            <w:tcW w:w="1267" w:type="dxa"/>
            <w:shd w:val="clear" w:color="auto" w:fill="auto"/>
            <w:vAlign w:val="center"/>
          </w:tcPr>
          <w:p w:rsidR="003E6588" w:rsidRDefault="00CE42F3">
            <w:pPr>
              <w:rPr>
                <w:sz w:val="20"/>
                <w:szCs w:val="20"/>
              </w:rPr>
            </w:pPr>
            <w:r w:rsidRPr="00CE42F3">
              <w:rPr>
                <w:sz w:val="20"/>
                <w:szCs w:val="20"/>
              </w:rPr>
              <w:t>39</w:t>
            </w:r>
            <w:r w:rsidR="003E6588">
              <w:rPr>
                <w:sz w:val="20"/>
                <w:szCs w:val="20"/>
              </w:rPr>
              <w:t>.</w:t>
            </w:r>
            <w:r w:rsidRPr="00CE42F3">
              <w:rPr>
                <w:sz w:val="20"/>
                <w:szCs w:val="20"/>
              </w:rPr>
              <w:t>245</w:t>
            </w:r>
          </w:p>
        </w:tc>
        <w:tc>
          <w:tcPr>
            <w:tcW w:w="710" w:type="dxa"/>
            <w:shd w:val="clear" w:color="auto" w:fill="auto"/>
            <w:vAlign w:val="center"/>
          </w:tcPr>
          <w:p w:rsidR="003E6588" w:rsidRDefault="00CE42F3">
            <w:pPr>
              <w:rPr>
                <w:sz w:val="20"/>
                <w:szCs w:val="20"/>
              </w:rPr>
            </w:pPr>
            <w:r w:rsidRPr="00CE42F3">
              <w:rPr>
                <w:sz w:val="20"/>
                <w:szCs w:val="20"/>
              </w:rPr>
              <w:t>120</w:t>
            </w:r>
          </w:p>
        </w:tc>
        <w:tc>
          <w:tcPr>
            <w:tcW w:w="3969" w:type="dxa"/>
            <w:shd w:val="clear" w:color="auto" w:fill="auto"/>
            <w:vAlign w:val="center"/>
          </w:tcPr>
          <w:p w:rsidR="003E6588" w:rsidRDefault="00CE42F3" w:rsidP="00C70C5C">
            <w:pPr>
              <w:jc w:val="both"/>
              <w:rPr>
                <w:sz w:val="20"/>
                <w:szCs w:val="20"/>
              </w:rPr>
            </w:pPr>
            <w:r w:rsidRPr="00CE42F3">
              <w:rPr>
                <w:color w:val="000000"/>
                <w:sz w:val="20"/>
                <w:szCs w:val="20"/>
              </w:rPr>
              <w:t>Recurso contra o resultado d</w:t>
            </w:r>
            <w:r w:rsidR="003E6588">
              <w:rPr>
                <w:color w:val="000000"/>
                <w:sz w:val="20"/>
                <w:szCs w:val="20"/>
              </w:rPr>
              <w:t>e</w:t>
            </w:r>
            <w:r w:rsidRPr="00CE42F3">
              <w:rPr>
                <w:color w:val="000000"/>
                <w:sz w:val="20"/>
                <w:szCs w:val="20"/>
              </w:rPr>
              <w:t xml:space="preserve"> prova</w:t>
            </w:r>
          </w:p>
        </w:tc>
        <w:tc>
          <w:tcPr>
            <w:tcW w:w="1945" w:type="dxa"/>
            <w:vAlign w:val="center"/>
          </w:tcPr>
          <w:p w:rsidR="003E6588" w:rsidRDefault="003E6588">
            <w:pPr>
              <w:rPr>
                <w:sz w:val="20"/>
                <w:szCs w:val="20"/>
              </w:rPr>
            </w:pPr>
            <w:r>
              <w:rPr>
                <w:sz w:val="20"/>
                <w:szCs w:val="20"/>
              </w:rPr>
              <w:t>Em andamento</w:t>
            </w:r>
          </w:p>
        </w:tc>
      </w:tr>
      <w:tr w:rsidR="003E6588" w:rsidTr="00C70C5C">
        <w:trPr>
          <w:trHeight w:val="139"/>
          <w:tblHeader/>
          <w:jc w:val="center"/>
        </w:trPr>
        <w:tc>
          <w:tcPr>
            <w:tcW w:w="2462" w:type="dxa"/>
            <w:shd w:val="clear" w:color="auto" w:fill="auto"/>
            <w:vAlign w:val="center"/>
          </w:tcPr>
          <w:p w:rsidR="003E6588" w:rsidRDefault="003E6588" w:rsidP="00C70C5C">
            <w:pPr>
              <w:jc w:val="both"/>
              <w:rPr>
                <w:sz w:val="20"/>
                <w:szCs w:val="20"/>
              </w:rPr>
            </w:pPr>
            <w:r>
              <w:rPr>
                <w:sz w:val="20"/>
                <w:szCs w:val="20"/>
              </w:rPr>
              <w:t>Investigador de polícia</w:t>
            </w:r>
          </w:p>
        </w:tc>
        <w:tc>
          <w:tcPr>
            <w:tcW w:w="1267" w:type="dxa"/>
            <w:shd w:val="clear" w:color="auto" w:fill="auto"/>
            <w:vAlign w:val="center"/>
          </w:tcPr>
          <w:p w:rsidR="003E6588" w:rsidRDefault="00CE42F3">
            <w:pPr>
              <w:rPr>
                <w:sz w:val="20"/>
                <w:szCs w:val="20"/>
              </w:rPr>
            </w:pPr>
            <w:r w:rsidRPr="00CE42F3">
              <w:rPr>
                <w:sz w:val="20"/>
                <w:szCs w:val="20"/>
              </w:rPr>
              <w:t>27</w:t>
            </w:r>
            <w:r w:rsidR="003E6588">
              <w:rPr>
                <w:sz w:val="20"/>
                <w:szCs w:val="20"/>
              </w:rPr>
              <w:t>.</w:t>
            </w:r>
            <w:r w:rsidRPr="00CE42F3">
              <w:rPr>
                <w:sz w:val="20"/>
                <w:szCs w:val="20"/>
              </w:rPr>
              <w:t>768</w:t>
            </w:r>
          </w:p>
        </w:tc>
        <w:tc>
          <w:tcPr>
            <w:tcW w:w="710" w:type="dxa"/>
            <w:shd w:val="clear" w:color="auto" w:fill="auto"/>
            <w:vAlign w:val="center"/>
          </w:tcPr>
          <w:p w:rsidR="003E6588" w:rsidRDefault="00CE42F3">
            <w:pPr>
              <w:rPr>
                <w:sz w:val="20"/>
                <w:szCs w:val="20"/>
              </w:rPr>
            </w:pPr>
            <w:r w:rsidRPr="00CE42F3">
              <w:rPr>
                <w:sz w:val="20"/>
                <w:szCs w:val="20"/>
              </w:rPr>
              <w:t>1</w:t>
            </w:r>
            <w:r w:rsidR="003E6588">
              <w:rPr>
                <w:sz w:val="20"/>
                <w:szCs w:val="20"/>
              </w:rPr>
              <w:t>.</w:t>
            </w:r>
            <w:r w:rsidRPr="00CE42F3">
              <w:rPr>
                <w:sz w:val="20"/>
                <w:szCs w:val="20"/>
              </w:rPr>
              <w:t>384</w:t>
            </w:r>
          </w:p>
        </w:tc>
        <w:tc>
          <w:tcPr>
            <w:tcW w:w="3969" w:type="dxa"/>
            <w:shd w:val="clear" w:color="auto" w:fill="auto"/>
            <w:vAlign w:val="center"/>
          </w:tcPr>
          <w:p w:rsidR="003E6588" w:rsidRDefault="003E6588" w:rsidP="00C70C5C">
            <w:pPr>
              <w:jc w:val="both"/>
              <w:rPr>
                <w:sz w:val="20"/>
                <w:szCs w:val="20"/>
              </w:rPr>
            </w:pPr>
            <w:r>
              <w:rPr>
                <w:color w:val="000000"/>
                <w:sz w:val="20"/>
                <w:szCs w:val="20"/>
              </w:rPr>
              <w:t>Aguardando resultado de prova</w:t>
            </w:r>
          </w:p>
        </w:tc>
        <w:tc>
          <w:tcPr>
            <w:tcW w:w="1945" w:type="dxa"/>
            <w:vAlign w:val="center"/>
          </w:tcPr>
          <w:p w:rsidR="003E6588" w:rsidRDefault="003E6588">
            <w:pPr>
              <w:rPr>
                <w:sz w:val="20"/>
                <w:szCs w:val="20"/>
              </w:rPr>
            </w:pPr>
            <w:r w:rsidRPr="00642F9B">
              <w:rPr>
                <w:sz w:val="20"/>
                <w:szCs w:val="20"/>
              </w:rPr>
              <w:t xml:space="preserve">Em </w:t>
            </w:r>
            <w:r w:rsidR="00CE42F3" w:rsidRPr="00CE42F3">
              <w:rPr>
                <w:sz w:val="20"/>
                <w:szCs w:val="20"/>
              </w:rPr>
              <w:t>andamento</w:t>
            </w:r>
          </w:p>
        </w:tc>
      </w:tr>
      <w:tr w:rsidR="003E6588" w:rsidTr="00C70C5C">
        <w:trPr>
          <w:trHeight w:val="139"/>
          <w:tblHeader/>
          <w:jc w:val="center"/>
        </w:trPr>
        <w:tc>
          <w:tcPr>
            <w:tcW w:w="2462" w:type="dxa"/>
            <w:shd w:val="clear" w:color="auto" w:fill="auto"/>
            <w:vAlign w:val="center"/>
          </w:tcPr>
          <w:p w:rsidR="003E6588" w:rsidRDefault="003E6588" w:rsidP="00C70C5C">
            <w:pPr>
              <w:jc w:val="both"/>
              <w:rPr>
                <w:sz w:val="20"/>
                <w:szCs w:val="20"/>
              </w:rPr>
            </w:pPr>
            <w:r>
              <w:rPr>
                <w:sz w:val="20"/>
                <w:szCs w:val="20"/>
              </w:rPr>
              <w:t>Médico legista</w:t>
            </w:r>
          </w:p>
        </w:tc>
        <w:tc>
          <w:tcPr>
            <w:tcW w:w="1267" w:type="dxa"/>
            <w:shd w:val="clear" w:color="auto" w:fill="auto"/>
            <w:vAlign w:val="center"/>
          </w:tcPr>
          <w:p w:rsidR="003E6588" w:rsidRDefault="00CE42F3">
            <w:pPr>
              <w:rPr>
                <w:sz w:val="20"/>
                <w:szCs w:val="20"/>
              </w:rPr>
            </w:pPr>
            <w:r w:rsidRPr="00CE42F3">
              <w:rPr>
                <w:sz w:val="20"/>
                <w:szCs w:val="20"/>
              </w:rPr>
              <w:t>1</w:t>
            </w:r>
            <w:r w:rsidR="003E6588">
              <w:rPr>
                <w:sz w:val="20"/>
                <w:szCs w:val="20"/>
              </w:rPr>
              <w:t>.</w:t>
            </w:r>
            <w:r w:rsidRPr="00CE42F3">
              <w:rPr>
                <w:sz w:val="20"/>
                <w:szCs w:val="20"/>
              </w:rPr>
              <w:t>466</w:t>
            </w:r>
          </w:p>
        </w:tc>
        <w:tc>
          <w:tcPr>
            <w:tcW w:w="710" w:type="dxa"/>
            <w:shd w:val="clear" w:color="auto" w:fill="auto"/>
            <w:vAlign w:val="center"/>
          </w:tcPr>
          <w:p w:rsidR="003E6588" w:rsidRDefault="00CE42F3">
            <w:pPr>
              <w:rPr>
                <w:sz w:val="20"/>
                <w:szCs w:val="20"/>
              </w:rPr>
            </w:pPr>
            <w:r w:rsidRPr="00CE42F3">
              <w:rPr>
                <w:sz w:val="20"/>
                <w:szCs w:val="20"/>
              </w:rPr>
              <w:t>140</w:t>
            </w:r>
          </w:p>
        </w:tc>
        <w:tc>
          <w:tcPr>
            <w:tcW w:w="3969" w:type="dxa"/>
            <w:shd w:val="clear" w:color="auto" w:fill="auto"/>
            <w:vAlign w:val="center"/>
          </w:tcPr>
          <w:p w:rsidR="003E6588" w:rsidRDefault="00CE42F3" w:rsidP="00C70C5C">
            <w:pPr>
              <w:jc w:val="both"/>
              <w:rPr>
                <w:sz w:val="20"/>
                <w:szCs w:val="20"/>
              </w:rPr>
            </w:pPr>
            <w:r w:rsidRPr="00CE42F3">
              <w:rPr>
                <w:color w:val="000000"/>
                <w:sz w:val="20"/>
                <w:szCs w:val="20"/>
              </w:rPr>
              <w:t>Entrega d</w:t>
            </w:r>
            <w:r w:rsidR="003E6588">
              <w:rPr>
                <w:color w:val="000000"/>
                <w:sz w:val="20"/>
                <w:szCs w:val="20"/>
              </w:rPr>
              <w:t>e</w:t>
            </w:r>
            <w:r w:rsidRPr="00CE42F3">
              <w:rPr>
                <w:color w:val="000000"/>
                <w:sz w:val="20"/>
                <w:szCs w:val="20"/>
              </w:rPr>
              <w:t xml:space="preserve"> documentos</w:t>
            </w:r>
          </w:p>
        </w:tc>
        <w:tc>
          <w:tcPr>
            <w:tcW w:w="1945" w:type="dxa"/>
            <w:vAlign w:val="center"/>
          </w:tcPr>
          <w:p w:rsidR="003E6588" w:rsidRDefault="003E6588">
            <w:pPr>
              <w:rPr>
                <w:sz w:val="20"/>
                <w:szCs w:val="20"/>
              </w:rPr>
            </w:pPr>
            <w:r w:rsidRPr="00642F9B">
              <w:rPr>
                <w:sz w:val="20"/>
                <w:szCs w:val="20"/>
              </w:rPr>
              <w:t xml:space="preserve">Em </w:t>
            </w:r>
            <w:r w:rsidR="00CE42F3" w:rsidRPr="00CE42F3">
              <w:rPr>
                <w:sz w:val="20"/>
                <w:szCs w:val="20"/>
              </w:rPr>
              <w:t>andamento</w:t>
            </w:r>
          </w:p>
        </w:tc>
      </w:tr>
      <w:tr w:rsidR="003E6588" w:rsidTr="00C70C5C">
        <w:trPr>
          <w:trHeight w:val="139"/>
          <w:tblHeader/>
          <w:jc w:val="center"/>
        </w:trPr>
        <w:tc>
          <w:tcPr>
            <w:tcW w:w="2462" w:type="dxa"/>
            <w:shd w:val="clear" w:color="auto" w:fill="auto"/>
            <w:vAlign w:val="center"/>
          </w:tcPr>
          <w:p w:rsidR="003E6588" w:rsidRDefault="003E6588" w:rsidP="00C70C5C">
            <w:pPr>
              <w:jc w:val="both"/>
              <w:rPr>
                <w:sz w:val="20"/>
                <w:szCs w:val="20"/>
              </w:rPr>
            </w:pPr>
            <w:r>
              <w:rPr>
                <w:sz w:val="20"/>
                <w:szCs w:val="20"/>
              </w:rPr>
              <w:t>Perito criminal</w:t>
            </w:r>
          </w:p>
        </w:tc>
        <w:tc>
          <w:tcPr>
            <w:tcW w:w="1267" w:type="dxa"/>
            <w:shd w:val="clear" w:color="auto" w:fill="auto"/>
            <w:vAlign w:val="center"/>
          </w:tcPr>
          <w:p w:rsidR="003E6588" w:rsidRDefault="00CE42F3">
            <w:pPr>
              <w:rPr>
                <w:sz w:val="20"/>
                <w:szCs w:val="20"/>
              </w:rPr>
            </w:pPr>
            <w:r w:rsidRPr="00CE42F3">
              <w:rPr>
                <w:sz w:val="20"/>
                <w:szCs w:val="20"/>
              </w:rPr>
              <w:t>22</w:t>
            </w:r>
            <w:r w:rsidR="003E6588">
              <w:rPr>
                <w:sz w:val="20"/>
                <w:szCs w:val="20"/>
              </w:rPr>
              <w:t>.</w:t>
            </w:r>
            <w:r w:rsidRPr="00CE42F3">
              <w:rPr>
                <w:sz w:val="20"/>
                <w:szCs w:val="20"/>
              </w:rPr>
              <w:t>806</w:t>
            </w:r>
          </w:p>
        </w:tc>
        <w:tc>
          <w:tcPr>
            <w:tcW w:w="710" w:type="dxa"/>
            <w:shd w:val="clear" w:color="auto" w:fill="auto"/>
            <w:vAlign w:val="center"/>
          </w:tcPr>
          <w:p w:rsidR="003E6588" w:rsidRDefault="00CE42F3">
            <w:pPr>
              <w:rPr>
                <w:sz w:val="20"/>
                <w:szCs w:val="20"/>
              </w:rPr>
            </w:pPr>
            <w:r w:rsidRPr="00CE42F3">
              <w:rPr>
                <w:sz w:val="20"/>
                <w:szCs w:val="20"/>
              </w:rPr>
              <w:t>477</w:t>
            </w:r>
          </w:p>
        </w:tc>
        <w:tc>
          <w:tcPr>
            <w:tcW w:w="3969" w:type="dxa"/>
            <w:shd w:val="clear" w:color="auto" w:fill="auto"/>
            <w:vAlign w:val="center"/>
          </w:tcPr>
          <w:p w:rsidR="003E6588" w:rsidRDefault="00CE42F3" w:rsidP="00C70C5C">
            <w:pPr>
              <w:jc w:val="both"/>
              <w:rPr>
                <w:sz w:val="20"/>
                <w:szCs w:val="20"/>
              </w:rPr>
            </w:pPr>
            <w:r w:rsidRPr="00CE42F3">
              <w:rPr>
                <w:sz w:val="20"/>
                <w:szCs w:val="20"/>
              </w:rPr>
              <w:t>Análise dos títulos</w:t>
            </w:r>
          </w:p>
        </w:tc>
        <w:tc>
          <w:tcPr>
            <w:tcW w:w="1945" w:type="dxa"/>
            <w:vAlign w:val="center"/>
          </w:tcPr>
          <w:p w:rsidR="003E6588" w:rsidRDefault="003E6588">
            <w:pPr>
              <w:rPr>
                <w:sz w:val="20"/>
                <w:szCs w:val="20"/>
              </w:rPr>
            </w:pPr>
            <w:r>
              <w:rPr>
                <w:sz w:val="20"/>
                <w:szCs w:val="20"/>
              </w:rPr>
              <w:t>Em andamento</w:t>
            </w:r>
          </w:p>
        </w:tc>
      </w:tr>
      <w:tr w:rsidR="003E6588" w:rsidTr="00C70C5C">
        <w:trPr>
          <w:trHeight w:val="139"/>
          <w:tblHeader/>
          <w:jc w:val="center"/>
        </w:trPr>
        <w:tc>
          <w:tcPr>
            <w:tcW w:w="2462" w:type="dxa"/>
            <w:shd w:val="clear" w:color="auto" w:fill="auto"/>
            <w:vAlign w:val="center"/>
          </w:tcPr>
          <w:p w:rsidR="003E6588" w:rsidRPr="00C70C5C" w:rsidRDefault="003E6588" w:rsidP="00C70C5C">
            <w:pPr>
              <w:jc w:val="both"/>
              <w:rPr>
                <w:sz w:val="20"/>
                <w:szCs w:val="20"/>
              </w:rPr>
            </w:pPr>
            <w:r w:rsidRPr="00C70C5C">
              <w:rPr>
                <w:sz w:val="20"/>
                <w:szCs w:val="20"/>
              </w:rPr>
              <w:t>Total</w:t>
            </w:r>
          </w:p>
        </w:tc>
        <w:tc>
          <w:tcPr>
            <w:tcW w:w="1267" w:type="dxa"/>
            <w:shd w:val="clear" w:color="auto" w:fill="auto"/>
            <w:vAlign w:val="center"/>
          </w:tcPr>
          <w:p w:rsidR="003E6588" w:rsidRPr="00C70C5C" w:rsidRDefault="00CE42F3">
            <w:pPr>
              <w:rPr>
                <w:sz w:val="20"/>
                <w:szCs w:val="20"/>
              </w:rPr>
            </w:pPr>
            <w:r w:rsidRPr="00CE42F3">
              <w:rPr>
                <w:sz w:val="20"/>
                <w:szCs w:val="20"/>
              </w:rPr>
              <w:t>240.331</w:t>
            </w:r>
          </w:p>
        </w:tc>
        <w:tc>
          <w:tcPr>
            <w:tcW w:w="710" w:type="dxa"/>
            <w:shd w:val="clear" w:color="auto" w:fill="auto"/>
            <w:vAlign w:val="center"/>
          </w:tcPr>
          <w:p w:rsidR="003E6588" w:rsidRPr="00C70C5C" w:rsidRDefault="00CE42F3">
            <w:pPr>
              <w:rPr>
                <w:sz w:val="20"/>
                <w:szCs w:val="20"/>
              </w:rPr>
            </w:pPr>
            <w:r w:rsidRPr="00CE42F3">
              <w:rPr>
                <w:sz w:val="20"/>
                <w:szCs w:val="20"/>
              </w:rPr>
              <w:t>4.011</w:t>
            </w:r>
          </w:p>
        </w:tc>
        <w:tc>
          <w:tcPr>
            <w:tcW w:w="3969" w:type="dxa"/>
            <w:shd w:val="clear" w:color="auto" w:fill="auto"/>
            <w:vAlign w:val="center"/>
          </w:tcPr>
          <w:p w:rsidR="003E6588" w:rsidRDefault="003E6588" w:rsidP="00C70C5C">
            <w:pPr>
              <w:jc w:val="both"/>
              <w:rPr>
                <w:sz w:val="20"/>
                <w:szCs w:val="20"/>
              </w:rPr>
            </w:pPr>
            <w:r>
              <w:rPr>
                <w:sz w:val="20"/>
                <w:szCs w:val="20"/>
              </w:rPr>
              <w:t>Aguardando término</w:t>
            </w:r>
          </w:p>
        </w:tc>
        <w:tc>
          <w:tcPr>
            <w:tcW w:w="1945" w:type="dxa"/>
            <w:shd w:val="clear" w:color="auto" w:fill="auto"/>
            <w:vAlign w:val="center"/>
          </w:tcPr>
          <w:p w:rsidR="003E6588" w:rsidRDefault="003E6588">
            <w:pPr>
              <w:rPr>
                <w:sz w:val="20"/>
                <w:szCs w:val="20"/>
              </w:rPr>
            </w:pPr>
            <w:r>
              <w:rPr>
                <w:sz w:val="20"/>
                <w:szCs w:val="20"/>
              </w:rPr>
              <w:t>Aguardando término</w:t>
            </w:r>
          </w:p>
        </w:tc>
      </w:tr>
    </w:tbl>
    <w:p w:rsidR="003E6588" w:rsidRDefault="003E6588">
      <w:pPr>
        <w:ind w:firstLine="1134"/>
      </w:pPr>
    </w:p>
    <w:p w:rsidR="003E6588" w:rsidRDefault="003E6588">
      <w:pPr>
        <w:ind w:firstLine="1134"/>
      </w:pPr>
    </w:p>
    <w:p w:rsidR="003E6588" w:rsidRDefault="003E6588" w:rsidP="00C70C5C">
      <w:pPr>
        <w:ind w:firstLine="1134"/>
        <w:jc w:val="both"/>
      </w:pPr>
      <w:r>
        <w:t>Foram promovidos 461 cursos com 8.219 participantes que concluíram o curso.</w:t>
      </w:r>
    </w:p>
    <w:p w:rsidR="003E6588" w:rsidRDefault="003E6588"/>
    <w:tbl>
      <w:tblPr>
        <w:tblpPr w:leftFromText="141" w:rightFromText="141" w:vertAnchor="text" w:horzAnchor="margin" w:tblpXSpec="center" w:tblpY="-38"/>
        <w:tblW w:w="3623"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3753"/>
        <w:gridCol w:w="1417"/>
        <w:gridCol w:w="2212"/>
      </w:tblGrid>
      <w:tr w:rsidR="003E6588" w:rsidTr="00C70C5C">
        <w:trPr>
          <w:trHeight w:val="44"/>
        </w:trPr>
        <w:tc>
          <w:tcPr>
            <w:tcW w:w="2542" w:type="pct"/>
            <w:shd w:val="clear" w:color="auto" w:fill="auto"/>
          </w:tcPr>
          <w:p w:rsidR="003E6588" w:rsidRDefault="003E6588">
            <w:pPr>
              <w:rPr>
                <w:b/>
                <w:sz w:val="20"/>
                <w:szCs w:val="20"/>
              </w:rPr>
            </w:pPr>
            <w:r>
              <w:rPr>
                <w:b/>
                <w:sz w:val="20"/>
                <w:szCs w:val="20"/>
              </w:rPr>
              <w:t>Modalidade do Curso</w:t>
            </w:r>
          </w:p>
        </w:tc>
        <w:tc>
          <w:tcPr>
            <w:tcW w:w="960" w:type="pct"/>
            <w:shd w:val="clear" w:color="auto" w:fill="auto"/>
          </w:tcPr>
          <w:p w:rsidR="003E6588" w:rsidRDefault="003E6588">
            <w:pPr>
              <w:rPr>
                <w:b/>
                <w:sz w:val="20"/>
                <w:szCs w:val="20"/>
              </w:rPr>
            </w:pPr>
            <w:r>
              <w:rPr>
                <w:b/>
                <w:sz w:val="20"/>
                <w:szCs w:val="20"/>
              </w:rPr>
              <w:t>Turmas</w:t>
            </w:r>
          </w:p>
        </w:tc>
        <w:tc>
          <w:tcPr>
            <w:tcW w:w="1498" w:type="pct"/>
            <w:shd w:val="clear" w:color="auto" w:fill="auto"/>
          </w:tcPr>
          <w:p w:rsidR="003E6588" w:rsidRDefault="003E6588">
            <w:pPr>
              <w:rPr>
                <w:b/>
                <w:sz w:val="20"/>
                <w:szCs w:val="20"/>
              </w:rPr>
            </w:pPr>
            <w:r>
              <w:rPr>
                <w:b/>
                <w:sz w:val="20"/>
                <w:szCs w:val="20"/>
              </w:rPr>
              <w:t>Concluintes</w:t>
            </w:r>
          </w:p>
        </w:tc>
      </w:tr>
      <w:tr w:rsidR="003E6588" w:rsidTr="00C70C5C">
        <w:trPr>
          <w:trHeight w:val="44"/>
        </w:trPr>
        <w:tc>
          <w:tcPr>
            <w:tcW w:w="2542" w:type="pct"/>
          </w:tcPr>
          <w:p w:rsidR="003E6588" w:rsidRDefault="00CE42F3" w:rsidP="00C70C5C">
            <w:pPr>
              <w:jc w:val="both"/>
              <w:rPr>
                <w:sz w:val="20"/>
                <w:szCs w:val="20"/>
              </w:rPr>
            </w:pPr>
            <w:r w:rsidRPr="00CE42F3">
              <w:rPr>
                <w:sz w:val="20"/>
                <w:szCs w:val="20"/>
              </w:rPr>
              <w:t>Curso Superior de Polícia</w:t>
            </w:r>
          </w:p>
        </w:tc>
        <w:tc>
          <w:tcPr>
            <w:tcW w:w="960" w:type="pct"/>
          </w:tcPr>
          <w:p w:rsidR="003E6588" w:rsidRDefault="00CE42F3">
            <w:pPr>
              <w:rPr>
                <w:sz w:val="20"/>
                <w:szCs w:val="20"/>
              </w:rPr>
            </w:pPr>
            <w:r w:rsidRPr="00CE42F3">
              <w:rPr>
                <w:sz w:val="20"/>
                <w:szCs w:val="20"/>
              </w:rPr>
              <w:t>1</w:t>
            </w:r>
          </w:p>
        </w:tc>
        <w:tc>
          <w:tcPr>
            <w:tcW w:w="1498" w:type="pct"/>
          </w:tcPr>
          <w:p w:rsidR="003E6588" w:rsidRDefault="00CE42F3">
            <w:pPr>
              <w:rPr>
                <w:sz w:val="20"/>
                <w:szCs w:val="20"/>
              </w:rPr>
            </w:pPr>
            <w:r w:rsidRPr="00CE42F3">
              <w:rPr>
                <w:sz w:val="20"/>
                <w:szCs w:val="20"/>
              </w:rPr>
              <w:t>30</w:t>
            </w:r>
          </w:p>
        </w:tc>
      </w:tr>
      <w:tr w:rsidR="003E6588" w:rsidTr="00C70C5C">
        <w:trPr>
          <w:trHeight w:val="76"/>
        </w:trPr>
        <w:tc>
          <w:tcPr>
            <w:tcW w:w="2542" w:type="pct"/>
          </w:tcPr>
          <w:p w:rsidR="003E6588" w:rsidRDefault="00CE42F3" w:rsidP="00C70C5C">
            <w:pPr>
              <w:jc w:val="both"/>
              <w:rPr>
                <w:sz w:val="20"/>
                <w:szCs w:val="20"/>
              </w:rPr>
            </w:pPr>
            <w:r w:rsidRPr="00CE42F3">
              <w:rPr>
                <w:sz w:val="20"/>
                <w:szCs w:val="20"/>
              </w:rPr>
              <w:t>Capacitação para Grandes Eventos</w:t>
            </w:r>
          </w:p>
        </w:tc>
        <w:tc>
          <w:tcPr>
            <w:tcW w:w="960" w:type="pct"/>
          </w:tcPr>
          <w:p w:rsidR="003E6588" w:rsidRDefault="00CE42F3">
            <w:pPr>
              <w:rPr>
                <w:sz w:val="20"/>
                <w:szCs w:val="20"/>
              </w:rPr>
            </w:pPr>
            <w:r w:rsidRPr="00CE42F3">
              <w:rPr>
                <w:sz w:val="20"/>
                <w:szCs w:val="20"/>
              </w:rPr>
              <w:t>75</w:t>
            </w:r>
          </w:p>
        </w:tc>
        <w:tc>
          <w:tcPr>
            <w:tcW w:w="1498" w:type="pct"/>
          </w:tcPr>
          <w:p w:rsidR="003E6588" w:rsidRDefault="00CE42F3">
            <w:pPr>
              <w:rPr>
                <w:sz w:val="20"/>
                <w:szCs w:val="20"/>
              </w:rPr>
            </w:pPr>
            <w:r w:rsidRPr="00CE42F3">
              <w:rPr>
                <w:sz w:val="20"/>
                <w:szCs w:val="20"/>
              </w:rPr>
              <w:t>6.238</w:t>
            </w:r>
          </w:p>
        </w:tc>
      </w:tr>
      <w:tr w:rsidR="003E6588" w:rsidTr="00C70C5C">
        <w:trPr>
          <w:trHeight w:val="122"/>
        </w:trPr>
        <w:tc>
          <w:tcPr>
            <w:tcW w:w="2542" w:type="pct"/>
          </w:tcPr>
          <w:p w:rsidR="003E6588" w:rsidRDefault="00CE42F3" w:rsidP="00C70C5C">
            <w:pPr>
              <w:jc w:val="both"/>
              <w:rPr>
                <w:sz w:val="20"/>
                <w:szCs w:val="20"/>
              </w:rPr>
            </w:pPr>
            <w:r w:rsidRPr="00CE42F3">
              <w:rPr>
                <w:sz w:val="20"/>
                <w:szCs w:val="20"/>
              </w:rPr>
              <w:t>Atualização</w:t>
            </w:r>
          </w:p>
        </w:tc>
        <w:tc>
          <w:tcPr>
            <w:tcW w:w="960" w:type="pct"/>
          </w:tcPr>
          <w:p w:rsidR="003E6588" w:rsidRDefault="00CE42F3">
            <w:pPr>
              <w:rPr>
                <w:sz w:val="20"/>
                <w:szCs w:val="20"/>
              </w:rPr>
            </w:pPr>
            <w:r w:rsidRPr="00CE42F3">
              <w:rPr>
                <w:sz w:val="20"/>
                <w:szCs w:val="20"/>
              </w:rPr>
              <w:t>5</w:t>
            </w:r>
          </w:p>
        </w:tc>
        <w:tc>
          <w:tcPr>
            <w:tcW w:w="1498" w:type="pct"/>
          </w:tcPr>
          <w:p w:rsidR="003E6588" w:rsidRDefault="00CE42F3">
            <w:pPr>
              <w:rPr>
                <w:sz w:val="20"/>
                <w:szCs w:val="20"/>
              </w:rPr>
            </w:pPr>
            <w:r w:rsidRPr="00CE42F3">
              <w:rPr>
                <w:sz w:val="20"/>
                <w:szCs w:val="20"/>
              </w:rPr>
              <w:t>114</w:t>
            </w:r>
          </w:p>
        </w:tc>
      </w:tr>
      <w:tr w:rsidR="003E6588" w:rsidTr="00C70C5C">
        <w:trPr>
          <w:trHeight w:val="44"/>
        </w:trPr>
        <w:tc>
          <w:tcPr>
            <w:tcW w:w="2542" w:type="pct"/>
          </w:tcPr>
          <w:p w:rsidR="003E6588" w:rsidRDefault="00CE42F3" w:rsidP="00C70C5C">
            <w:pPr>
              <w:jc w:val="both"/>
              <w:rPr>
                <w:sz w:val="20"/>
                <w:szCs w:val="20"/>
              </w:rPr>
            </w:pPr>
            <w:r w:rsidRPr="00CE42F3">
              <w:rPr>
                <w:sz w:val="20"/>
                <w:szCs w:val="20"/>
              </w:rPr>
              <w:t>Especialização</w:t>
            </w:r>
          </w:p>
        </w:tc>
        <w:tc>
          <w:tcPr>
            <w:tcW w:w="960" w:type="pct"/>
          </w:tcPr>
          <w:p w:rsidR="003E6588" w:rsidRDefault="00CE42F3">
            <w:pPr>
              <w:rPr>
                <w:sz w:val="20"/>
                <w:szCs w:val="20"/>
              </w:rPr>
            </w:pPr>
            <w:r w:rsidRPr="00CE42F3">
              <w:rPr>
                <w:sz w:val="20"/>
                <w:szCs w:val="20"/>
              </w:rPr>
              <w:t>40</w:t>
            </w:r>
          </w:p>
        </w:tc>
        <w:tc>
          <w:tcPr>
            <w:tcW w:w="1498" w:type="pct"/>
          </w:tcPr>
          <w:p w:rsidR="003E6588" w:rsidRDefault="00CE42F3">
            <w:pPr>
              <w:rPr>
                <w:sz w:val="20"/>
                <w:szCs w:val="20"/>
              </w:rPr>
            </w:pPr>
            <w:r w:rsidRPr="00CE42F3">
              <w:rPr>
                <w:sz w:val="20"/>
                <w:szCs w:val="20"/>
              </w:rPr>
              <w:t>2.052</w:t>
            </w:r>
          </w:p>
        </w:tc>
      </w:tr>
      <w:tr w:rsidR="003E6588" w:rsidTr="00C70C5C">
        <w:trPr>
          <w:trHeight w:val="72"/>
        </w:trPr>
        <w:tc>
          <w:tcPr>
            <w:tcW w:w="2542" w:type="pct"/>
          </w:tcPr>
          <w:p w:rsidR="003E6588" w:rsidRDefault="00CE42F3" w:rsidP="00C70C5C">
            <w:pPr>
              <w:jc w:val="both"/>
              <w:rPr>
                <w:sz w:val="20"/>
                <w:szCs w:val="20"/>
              </w:rPr>
            </w:pPr>
            <w:r w:rsidRPr="00CE42F3">
              <w:rPr>
                <w:sz w:val="20"/>
                <w:szCs w:val="20"/>
              </w:rPr>
              <w:t>Treinamento</w:t>
            </w:r>
          </w:p>
        </w:tc>
        <w:tc>
          <w:tcPr>
            <w:tcW w:w="960" w:type="pct"/>
          </w:tcPr>
          <w:p w:rsidR="003E6588" w:rsidRDefault="00CE42F3">
            <w:pPr>
              <w:rPr>
                <w:sz w:val="20"/>
                <w:szCs w:val="20"/>
              </w:rPr>
            </w:pPr>
            <w:r w:rsidRPr="00CE42F3">
              <w:rPr>
                <w:sz w:val="20"/>
                <w:szCs w:val="20"/>
              </w:rPr>
              <w:t>72</w:t>
            </w:r>
          </w:p>
        </w:tc>
        <w:tc>
          <w:tcPr>
            <w:tcW w:w="1498" w:type="pct"/>
          </w:tcPr>
          <w:p w:rsidR="003E6588" w:rsidRDefault="00CE42F3">
            <w:pPr>
              <w:rPr>
                <w:sz w:val="20"/>
                <w:szCs w:val="20"/>
              </w:rPr>
            </w:pPr>
            <w:r w:rsidRPr="00CE42F3">
              <w:rPr>
                <w:sz w:val="20"/>
                <w:szCs w:val="20"/>
              </w:rPr>
              <w:t>1.388</w:t>
            </w:r>
          </w:p>
        </w:tc>
      </w:tr>
      <w:tr w:rsidR="003E6588" w:rsidTr="00C70C5C">
        <w:trPr>
          <w:trHeight w:val="104"/>
        </w:trPr>
        <w:tc>
          <w:tcPr>
            <w:tcW w:w="2542" w:type="pct"/>
          </w:tcPr>
          <w:p w:rsidR="003E6588" w:rsidRDefault="00CE42F3" w:rsidP="00C70C5C">
            <w:pPr>
              <w:jc w:val="both"/>
              <w:rPr>
                <w:sz w:val="20"/>
                <w:szCs w:val="20"/>
              </w:rPr>
            </w:pPr>
            <w:r w:rsidRPr="00CE42F3">
              <w:rPr>
                <w:sz w:val="20"/>
                <w:szCs w:val="20"/>
              </w:rPr>
              <w:t>Parceria com embaixada americana</w:t>
            </w:r>
          </w:p>
        </w:tc>
        <w:tc>
          <w:tcPr>
            <w:tcW w:w="960" w:type="pct"/>
          </w:tcPr>
          <w:p w:rsidR="003E6588" w:rsidRDefault="00CE42F3">
            <w:pPr>
              <w:rPr>
                <w:sz w:val="20"/>
                <w:szCs w:val="20"/>
              </w:rPr>
            </w:pPr>
            <w:r w:rsidRPr="00CE42F3">
              <w:rPr>
                <w:sz w:val="20"/>
                <w:szCs w:val="20"/>
              </w:rPr>
              <w:t>7</w:t>
            </w:r>
          </w:p>
        </w:tc>
        <w:tc>
          <w:tcPr>
            <w:tcW w:w="1498" w:type="pct"/>
          </w:tcPr>
          <w:p w:rsidR="003E6588" w:rsidRDefault="00CE42F3">
            <w:pPr>
              <w:rPr>
                <w:sz w:val="20"/>
                <w:szCs w:val="20"/>
              </w:rPr>
            </w:pPr>
            <w:r w:rsidRPr="00CE42F3">
              <w:rPr>
                <w:sz w:val="20"/>
                <w:szCs w:val="20"/>
              </w:rPr>
              <w:t>143</w:t>
            </w:r>
          </w:p>
        </w:tc>
      </w:tr>
      <w:tr w:rsidR="003E6588" w:rsidTr="00C70C5C">
        <w:trPr>
          <w:trHeight w:val="44"/>
        </w:trPr>
        <w:tc>
          <w:tcPr>
            <w:tcW w:w="2542" w:type="pct"/>
          </w:tcPr>
          <w:p w:rsidR="003E6588" w:rsidRDefault="00CE42F3" w:rsidP="00C70C5C">
            <w:pPr>
              <w:jc w:val="both"/>
              <w:rPr>
                <w:sz w:val="20"/>
                <w:szCs w:val="20"/>
              </w:rPr>
            </w:pPr>
            <w:r w:rsidRPr="00CE42F3">
              <w:rPr>
                <w:sz w:val="20"/>
                <w:szCs w:val="20"/>
              </w:rPr>
              <w:t>Cursos Específicos de Aperfeiçoamento</w:t>
            </w:r>
          </w:p>
        </w:tc>
        <w:tc>
          <w:tcPr>
            <w:tcW w:w="960" w:type="pct"/>
          </w:tcPr>
          <w:p w:rsidR="003E6588" w:rsidRDefault="00CE42F3">
            <w:pPr>
              <w:rPr>
                <w:sz w:val="20"/>
                <w:szCs w:val="20"/>
              </w:rPr>
            </w:pPr>
            <w:r w:rsidRPr="00CE42F3">
              <w:rPr>
                <w:sz w:val="20"/>
                <w:szCs w:val="20"/>
              </w:rPr>
              <w:t>52</w:t>
            </w:r>
          </w:p>
        </w:tc>
        <w:tc>
          <w:tcPr>
            <w:tcW w:w="1498" w:type="pct"/>
          </w:tcPr>
          <w:p w:rsidR="003E6588" w:rsidRDefault="00CE42F3">
            <w:pPr>
              <w:rPr>
                <w:sz w:val="20"/>
                <w:szCs w:val="20"/>
              </w:rPr>
            </w:pPr>
            <w:r w:rsidRPr="00CE42F3">
              <w:rPr>
                <w:sz w:val="20"/>
                <w:szCs w:val="20"/>
              </w:rPr>
              <w:t>2.295</w:t>
            </w:r>
          </w:p>
        </w:tc>
      </w:tr>
      <w:tr w:rsidR="003E6588" w:rsidTr="00AC3233">
        <w:trPr>
          <w:trHeight w:val="54"/>
        </w:trPr>
        <w:tc>
          <w:tcPr>
            <w:tcW w:w="2542" w:type="pct"/>
            <w:tcBorders>
              <w:bottom w:val="single" w:sz="8" w:space="0" w:color="auto"/>
            </w:tcBorders>
          </w:tcPr>
          <w:p w:rsidR="003E6588" w:rsidRDefault="00CE42F3" w:rsidP="00C70C5C">
            <w:pPr>
              <w:jc w:val="both"/>
              <w:rPr>
                <w:sz w:val="20"/>
                <w:szCs w:val="20"/>
              </w:rPr>
            </w:pPr>
            <w:r w:rsidRPr="00CE42F3">
              <w:rPr>
                <w:sz w:val="20"/>
                <w:szCs w:val="20"/>
              </w:rPr>
              <w:t xml:space="preserve">Cursos EAD e </w:t>
            </w:r>
            <w:r w:rsidR="003E6588" w:rsidRPr="00642F9B">
              <w:rPr>
                <w:i/>
                <w:sz w:val="20"/>
                <w:szCs w:val="20"/>
              </w:rPr>
              <w:t>Streaming</w:t>
            </w:r>
          </w:p>
        </w:tc>
        <w:tc>
          <w:tcPr>
            <w:tcW w:w="960" w:type="pct"/>
            <w:tcBorders>
              <w:bottom w:val="single" w:sz="8" w:space="0" w:color="auto"/>
            </w:tcBorders>
          </w:tcPr>
          <w:p w:rsidR="003E6588" w:rsidRDefault="00CE42F3">
            <w:pPr>
              <w:rPr>
                <w:sz w:val="20"/>
                <w:szCs w:val="20"/>
              </w:rPr>
            </w:pPr>
            <w:r w:rsidRPr="00CE42F3">
              <w:rPr>
                <w:sz w:val="20"/>
                <w:szCs w:val="20"/>
              </w:rPr>
              <w:t>106</w:t>
            </w:r>
          </w:p>
        </w:tc>
        <w:tc>
          <w:tcPr>
            <w:tcW w:w="1498" w:type="pct"/>
            <w:tcBorders>
              <w:bottom w:val="single" w:sz="8" w:space="0" w:color="auto"/>
            </w:tcBorders>
          </w:tcPr>
          <w:p w:rsidR="003E6588" w:rsidRDefault="00CE42F3">
            <w:pPr>
              <w:rPr>
                <w:sz w:val="20"/>
                <w:szCs w:val="20"/>
              </w:rPr>
            </w:pPr>
            <w:r w:rsidRPr="00CE42F3">
              <w:rPr>
                <w:sz w:val="20"/>
                <w:szCs w:val="20"/>
              </w:rPr>
              <w:t>2.151</w:t>
            </w:r>
          </w:p>
        </w:tc>
      </w:tr>
      <w:tr w:rsidR="003E6588" w:rsidTr="00AC3233">
        <w:trPr>
          <w:trHeight w:val="44"/>
        </w:trPr>
        <w:tc>
          <w:tcPr>
            <w:tcW w:w="2542" w:type="pct"/>
            <w:shd w:val="clear" w:color="auto" w:fill="auto"/>
          </w:tcPr>
          <w:p w:rsidR="003E6588" w:rsidRDefault="00CE42F3" w:rsidP="00C70C5C">
            <w:pPr>
              <w:jc w:val="both"/>
              <w:rPr>
                <w:b/>
                <w:sz w:val="20"/>
                <w:szCs w:val="20"/>
              </w:rPr>
            </w:pPr>
            <w:r w:rsidRPr="00CE42F3">
              <w:rPr>
                <w:b/>
                <w:sz w:val="20"/>
                <w:szCs w:val="20"/>
              </w:rPr>
              <w:t>Total Geral</w:t>
            </w:r>
          </w:p>
        </w:tc>
        <w:tc>
          <w:tcPr>
            <w:tcW w:w="960" w:type="pct"/>
            <w:shd w:val="clear" w:color="auto" w:fill="auto"/>
          </w:tcPr>
          <w:p w:rsidR="003E6588" w:rsidRDefault="00CE42F3">
            <w:pPr>
              <w:rPr>
                <w:b/>
                <w:sz w:val="20"/>
                <w:szCs w:val="20"/>
              </w:rPr>
            </w:pPr>
            <w:r w:rsidRPr="00CE42F3">
              <w:rPr>
                <w:b/>
                <w:sz w:val="20"/>
                <w:szCs w:val="20"/>
              </w:rPr>
              <w:t>1.188</w:t>
            </w:r>
          </w:p>
        </w:tc>
        <w:tc>
          <w:tcPr>
            <w:tcW w:w="1498" w:type="pct"/>
            <w:shd w:val="clear" w:color="auto" w:fill="auto"/>
          </w:tcPr>
          <w:p w:rsidR="003E6588" w:rsidRDefault="00CE42F3">
            <w:pPr>
              <w:rPr>
                <w:b/>
                <w:sz w:val="20"/>
                <w:szCs w:val="20"/>
              </w:rPr>
            </w:pPr>
            <w:r w:rsidRPr="00CE42F3">
              <w:rPr>
                <w:b/>
                <w:sz w:val="20"/>
                <w:szCs w:val="20"/>
              </w:rPr>
              <w:t>36.</w:t>
            </w:r>
            <w:commentRangeStart w:id="26"/>
            <w:r w:rsidRPr="00CE42F3">
              <w:rPr>
                <w:b/>
                <w:sz w:val="20"/>
                <w:szCs w:val="20"/>
              </w:rPr>
              <w:t>275</w:t>
            </w:r>
            <w:commentRangeEnd w:id="26"/>
            <w:r w:rsidR="003E6588">
              <w:rPr>
                <w:rStyle w:val="Refdecomentrio"/>
                <w:b/>
                <w:sz w:val="20"/>
                <w:szCs w:val="20"/>
              </w:rPr>
              <w:commentReference w:id="26"/>
            </w:r>
          </w:p>
        </w:tc>
      </w:tr>
    </w:tbl>
    <w:p w:rsidR="003E6588" w:rsidRDefault="003E6588">
      <w:pPr>
        <w:ind w:firstLine="1134"/>
        <w:jc w:val="both"/>
      </w:pPr>
    </w:p>
    <w:p w:rsidR="003E6588" w:rsidRDefault="003E6588">
      <w:pPr>
        <w:ind w:firstLine="1134"/>
        <w:jc w:val="both"/>
        <w:rPr>
          <w:bCs/>
          <w:u w:val="single"/>
        </w:rPr>
      </w:pPr>
    </w:p>
    <w:p w:rsidR="003E6588" w:rsidRDefault="003E6588">
      <w:pPr>
        <w:ind w:firstLine="1134"/>
        <w:jc w:val="both"/>
        <w:rPr>
          <w:bCs/>
          <w:u w:val="single"/>
        </w:rPr>
      </w:pPr>
    </w:p>
    <w:p w:rsidR="003E6588" w:rsidRDefault="003E6588">
      <w:pPr>
        <w:ind w:firstLine="1134"/>
        <w:jc w:val="both"/>
        <w:rPr>
          <w:bCs/>
          <w:u w:val="single"/>
        </w:rPr>
      </w:pPr>
    </w:p>
    <w:p w:rsidR="003E6588" w:rsidRDefault="003E6588">
      <w:pPr>
        <w:ind w:firstLine="1134"/>
        <w:jc w:val="both"/>
        <w:rPr>
          <w:bCs/>
          <w:u w:val="single"/>
        </w:rPr>
      </w:pPr>
    </w:p>
    <w:p w:rsidR="003E6588" w:rsidRDefault="003E6588">
      <w:pPr>
        <w:ind w:firstLine="1134"/>
        <w:jc w:val="both"/>
        <w:rPr>
          <w:bCs/>
          <w:u w:val="single"/>
        </w:rPr>
      </w:pPr>
    </w:p>
    <w:p w:rsidR="003E6588" w:rsidRDefault="003E6588">
      <w:pPr>
        <w:ind w:firstLine="1134"/>
        <w:jc w:val="both"/>
        <w:rPr>
          <w:bCs/>
          <w:u w:val="single"/>
        </w:rPr>
      </w:pPr>
    </w:p>
    <w:p w:rsidR="003E6588" w:rsidRDefault="003E6588">
      <w:pPr>
        <w:ind w:firstLine="1134"/>
        <w:jc w:val="both"/>
        <w:rPr>
          <w:bCs/>
          <w:u w:val="single"/>
        </w:rPr>
      </w:pPr>
    </w:p>
    <w:p w:rsidR="003E6588" w:rsidRDefault="003E6588">
      <w:pPr>
        <w:ind w:firstLine="1134"/>
        <w:jc w:val="both"/>
        <w:rPr>
          <w:bCs/>
          <w:u w:val="single"/>
        </w:rPr>
      </w:pPr>
    </w:p>
    <w:p w:rsidR="00C70C5C" w:rsidRDefault="00C70C5C">
      <w:pPr>
        <w:ind w:firstLine="1134"/>
        <w:jc w:val="both"/>
        <w:rPr>
          <w:b/>
          <w:bCs/>
        </w:rPr>
      </w:pPr>
    </w:p>
    <w:p w:rsidR="00C70C5C" w:rsidRDefault="00C70C5C">
      <w:pPr>
        <w:ind w:firstLine="1134"/>
        <w:jc w:val="both"/>
        <w:rPr>
          <w:b/>
          <w:bCs/>
        </w:rPr>
      </w:pPr>
    </w:p>
    <w:p w:rsidR="003E6588" w:rsidRDefault="003E6588">
      <w:pPr>
        <w:ind w:firstLine="1134"/>
        <w:jc w:val="both"/>
        <w:rPr>
          <w:bCs/>
          <w:shd w:val="clear" w:color="auto" w:fill="FFFFFF"/>
        </w:rPr>
      </w:pPr>
      <w:r>
        <w:rPr>
          <w:b/>
          <w:bCs/>
        </w:rPr>
        <w:t xml:space="preserve">Polícia Militar - </w:t>
      </w:r>
      <w:r>
        <w:rPr>
          <w:bCs/>
          <w:shd w:val="clear" w:color="auto" w:fill="FFFFFF"/>
        </w:rPr>
        <w:t>Formação de profissionais (por curso e patente) que concluíram os seguintes cursos:</w:t>
      </w:r>
    </w:p>
    <w:p w:rsidR="003E6588" w:rsidRDefault="003E6588">
      <w:pPr>
        <w:rPr>
          <w:bCs/>
          <w:shd w:val="clear" w:color="auto" w:fill="FFFFFF"/>
        </w:rPr>
      </w:pPr>
    </w:p>
    <w:tbl>
      <w:tblPr>
        <w:tblW w:w="8009" w:type="dxa"/>
        <w:jc w:val="center"/>
        <w:tblInd w:w="162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tblPr>
      <w:tblGrid>
        <w:gridCol w:w="6651"/>
        <w:gridCol w:w="1358"/>
      </w:tblGrid>
      <w:tr w:rsidR="003E6588" w:rsidTr="00C70C5C">
        <w:trPr>
          <w:trHeight w:val="25"/>
          <w:jc w:val="center"/>
        </w:trPr>
        <w:tc>
          <w:tcPr>
            <w:tcW w:w="8009" w:type="dxa"/>
            <w:gridSpan w:val="2"/>
            <w:shd w:val="clear" w:color="auto" w:fill="auto"/>
            <w:vAlign w:val="bottom"/>
            <w:hideMark/>
          </w:tcPr>
          <w:p w:rsidR="003E6588" w:rsidRPr="00C70C5C" w:rsidRDefault="003E6588">
            <w:pPr>
              <w:snapToGrid w:val="0"/>
              <w:rPr>
                <w:b/>
                <w:bCs/>
                <w:sz w:val="20"/>
                <w:szCs w:val="20"/>
              </w:rPr>
            </w:pPr>
            <w:r w:rsidRPr="00C70C5C">
              <w:rPr>
                <w:b/>
                <w:bCs/>
                <w:sz w:val="20"/>
                <w:szCs w:val="20"/>
              </w:rPr>
              <w:t>Formação</w:t>
            </w:r>
            <w:r w:rsidRPr="00C70C5C">
              <w:rPr>
                <w:rFonts w:eastAsia="Arial"/>
                <w:b/>
                <w:bCs/>
                <w:sz w:val="20"/>
                <w:szCs w:val="20"/>
              </w:rPr>
              <w:t xml:space="preserve"> </w:t>
            </w:r>
            <w:r w:rsidRPr="00C70C5C">
              <w:rPr>
                <w:b/>
                <w:bCs/>
                <w:sz w:val="20"/>
                <w:szCs w:val="20"/>
              </w:rPr>
              <w:t>por</w:t>
            </w:r>
            <w:r w:rsidRPr="00C70C5C">
              <w:rPr>
                <w:rFonts w:eastAsia="Arial"/>
                <w:b/>
                <w:bCs/>
                <w:sz w:val="20"/>
                <w:szCs w:val="20"/>
              </w:rPr>
              <w:t xml:space="preserve"> </w:t>
            </w:r>
            <w:r w:rsidRPr="00C70C5C">
              <w:rPr>
                <w:b/>
                <w:bCs/>
                <w:sz w:val="20"/>
                <w:szCs w:val="20"/>
              </w:rPr>
              <w:t>carreira</w:t>
            </w:r>
          </w:p>
        </w:tc>
      </w:tr>
      <w:tr w:rsidR="003E6588" w:rsidTr="00C70C5C">
        <w:trPr>
          <w:trHeight w:val="44"/>
          <w:jc w:val="center"/>
        </w:trPr>
        <w:tc>
          <w:tcPr>
            <w:tcW w:w="6651" w:type="dxa"/>
            <w:vAlign w:val="bottom"/>
            <w:hideMark/>
          </w:tcPr>
          <w:p w:rsidR="003E6588" w:rsidRDefault="003E6588" w:rsidP="00C70C5C">
            <w:pPr>
              <w:snapToGrid w:val="0"/>
              <w:jc w:val="left"/>
              <w:rPr>
                <w:sz w:val="20"/>
                <w:szCs w:val="20"/>
              </w:rPr>
            </w:pPr>
            <w:r>
              <w:rPr>
                <w:sz w:val="20"/>
                <w:szCs w:val="20"/>
              </w:rPr>
              <w:t>Soldado</w:t>
            </w:r>
            <w:r>
              <w:rPr>
                <w:rFonts w:eastAsia="Arial"/>
                <w:sz w:val="20"/>
                <w:szCs w:val="20"/>
              </w:rPr>
              <w:t xml:space="preserve"> </w:t>
            </w:r>
            <w:r>
              <w:rPr>
                <w:sz w:val="20"/>
                <w:szCs w:val="20"/>
              </w:rPr>
              <w:t>PM</w:t>
            </w:r>
            <w:r>
              <w:rPr>
                <w:rFonts w:eastAsia="Arial"/>
                <w:sz w:val="20"/>
                <w:szCs w:val="20"/>
              </w:rPr>
              <w:t xml:space="preserve"> </w:t>
            </w:r>
            <w:r>
              <w:rPr>
                <w:sz w:val="20"/>
                <w:szCs w:val="20"/>
              </w:rPr>
              <w:t>(Técnico</w:t>
            </w:r>
            <w:r>
              <w:rPr>
                <w:rFonts w:eastAsia="Arial"/>
                <w:sz w:val="20"/>
                <w:szCs w:val="20"/>
              </w:rPr>
              <w:t xml:space="preserve"> </w:t>
            </w:r>
            <w:r>
              <w:rPr>
                <w:sz w:val="20"/>
                <w:szCs w:val="20"/>
              </w:rPr>
              <w:t>de</w:t>
            </w:r>
            <w:r>
              <w:rPr>
                <w:rFonts w:eastAsia="Arial"/>
                <w:sz w:val="20"/>
                <w:szCs w:val="20"/>
              </w:rPr>
              <w:t xml:space="preserve"> </w:t>
            </w:r>
            <w:r>
              <w:rPr>
                <w:sz w:val="20"/>
                <w:szCs w:val="20"/>
              </w:rPr>
              <w:t>Polícia</w:t>
            </w:r>
            <w:r>
              <w:rPr>
                <w:rFonts w:eastAsia="Arial"/>
                <w:sz w:val="20"/>
                <w:szCs w:val="20"/>
              </w:rPr>
              <w:t xml:space="preserve"> </w:t>
            </w:r>
            <w:r>
              <w:rPr>
                <w:sz w:val="20"/>
                <w:szCs w:val="20"/>
              </w:rPr>
              <w:t>Ostensiva</w:t>
            </w:r>
            <w:r>
              <w:rPr>
                <w:rFonts w:eastAsia="Arial"/>
                <w:sz w:val="20"/>
                <w:szCs w:val="20"/>
              </w:rPr>
              <w:t xml:space="preserve"> </w:t>
            </w:r>
            <w:r>
              <w:rPr>
                <w:sz w:val="20"/>
                <w:szCs w:val="20"/>
              </w:rPr>
              <w:t>e</w:t>
            </w:r>
            <w:r>
              <w:rPr>
                <w:rFonts w:eastAsia="Arial"/>
                <w:sz w:val="20"/>
                <w:szCs w:val="20"/>
              </w:rPr>
              <w:t xml:space="preserve"> </w:t>
            </w:r>
            <w:r>
              <w:rPr>
                <w:sz w:val="20"/>
                <w:szCs w:val="20"/>
              </w:rPr>
              <w:t>Preservação</w:t>
            </w:r>
            <w:r>
              <w:rPr>
                <w:rFonts w:eastAsia="Arial"/>
                <w:sz w:val="20"/>
                <w:szCs w:val="20"/>
              </w:rPr>
              <w:t xml:space="preserve"> </w:t>
            </w:r>
            <w:r>
              <w:rPr>
                <w:sz w:val="20"/>
                <w:szCs w:val="20"/>
              </w:rPr>
              <w:t>da</w:t>
            </w:r>
            <w:r>
              <w:rPr>
                <w:rFonts w:eastAsia="Arial"/>
                <w:sz w:val="20"/>
                <w:szCs w:val="20"/>
              </w:rPr>
              <w:t xml:space="preserve"> </w:t>
            </w:r>
            <w:r>
              <w:rPr>
                <w:sz w:val="20"/>
                <w:szCs w:val="20"/>
              </w:rPr>
              <w:t>Ordem</w:t>
            </w:r>
            <w:r>
              <w:rPr>
                <w:rFonts w:eastAsia="Arial"/>
                <w:sz w:val="20"/>
                <w:szCs w:val="20"/>
              </w:rPr>
              <w:t xml:space="preserve"> </w:t>
            </w:r>
            <w:r>
              <w:rPr>
                <w:sz w:val="20"/>
                <w:szCs w:val="20"/>
              </w:rPr>
              <w:t>Pública)</w:t>
            </w:r>
          </w:p>
        </w:tc>
        <w:tc>
          <w:tcPr>
            <w:tcW w:w="1358" w:type="dxa"/>
            <w:vAlign w:val="bottom"/>
          </w:tcPr>
          <w:p w:rsidR="003E6588" w:rsidRDefault="003E6588">
            <w:pPr>
              <w:snapToGrid w:val="0"/>
              <w:jc w:val="right"/>
              <w:rPr>
                <w:sz w:val="20"/>
                <w:szCs w:val="20"/>
              </w:rPr>
            </w:pPr>
            <w:r>
              <w:rPr>
                <w:sz w:val="20"/>
                <w:szCs w:val="20"/>
              </w:rPr>
              <w:t>2.785</w:t>
            </w:r>
          </w:p>
        </w:tc>
      </w:tr>
      <w:tr w:rsidR="003E6588" w:rsidTr="00C70C5C">
        <w:trPr>
          <w:trHeight w:val="25"/>
          <w:jc w:val="center"/>
        </w:trPr>
        <w:tc>
          <w:tcPr>
            <w:tcW w:w="6651" w:type="dxa"/>
            <w:vAlign w:val="bottom"/>
            <w:hideMark/>
          </w:tcPr>
          <w:p w:rsidR="003E6588" w:rsidRDefault="003E6588" w:rsidP="00C70C5C">
            <w:pPr>
              <w:snapToGrid w:val="0"/>
              <w:jc w:val="left"/>
              <w:rPr>
                <w:sz w:val="20"/>
                <w:szCs w:val="20"/>
              </w:rPr>
            </w:pPr>
            <w:r>
              <w:rPr>
                <w:sz w:val="20"/>
                <w:szCs w:val="20"/>
              </w:rPr>
              <w:t>Aspirante</w:t>
            </w:r>
            <w:r>
              <w:rPr>
                <w:rFonts w:eastAsia="Arial"/>
                <w:sz w:val="20"/>
                <w:szCs w:val="20"/>
              </w:rPr>
              <w:t xml:space="preserve"> </w:t>
            </w:r>
            <w:r>
              <w:rPr>
                <w:sz w:val="20"/>
                <w:szCs w:val="20"/>
              </w:rPr>
              <w:t>à</w:t>
            </w:r>
            <w:r>
              <w:rPr>
                <w:rFonts w:eastAsia="Arial"/>
                <w:sz w:val="20"/>
                <w:szCs w:val="20"/>
              </w:rPr>
              <w:t xml:space="preserve"> </w:t>
            </w:r>
            <w:r>
              <w:rPr>
                <w:sz w:val="20"/>
                <w:szCs w:val="20"/>
              </w:rPr>
              <w:t>Oficial</w:t>
            </w:r>
            <w:r>
              <w:rPr>
                <w:rFonts w:eastAsia="Arial"/>
                <w:sz w:val="20"/>
                <w:szCs w:val="20"/>
              </w:rPr>
              <w:t xml:space="preserve"> </w:t>
            </w:r>
            <w:r>
              <w:rPr>
                <w:sz w:val="20"/>
                <w:szCs w:val="20"/>
              </w:rPr>
              <w:t>PM</w:t>
            </w:r>
          </w:p>
        </w:tc>
        <w:tc>
          <w:tcPr>
            <w:tcW w:w="1358" w:type="dxa"/>
            <w:vAlign w:val="bottom"/>
          </w:tcPr>
          <w:p w:rsidR="003E6588" w:rsidRDefault="003E6588">
            <w:pPr>
              <w:snapToGrid w:val="0"/>
              <w:jc w:val="right"/>
              <w:rPr>
                <w:sz w:val="20"/>
                <w:szCs w:val="20"/>
              </w:rPr>
            </w:pPr>
            <w:r>
              <w:rPr>
                <w:sz w:val="20"/>
                <w:szCs w:val="20"/>
              </w:rPr>
              <w:t>123</w:t>
            </w:r>
          </w:p>
        </w:tc>
      </w:tr>
      <w:tr w:rsidR="003E6588" w:rsidTr="00C70C5C">
        <w:trPr>
          <w:trHeight w:val="25"/>
          <w:jc w:val="center"/>
        </w:trPr>
        <w:tc>
          <w:tcPr>
            <w:tcW w:w="6651" w:type="dxa"/>
            <w:vAlign w:val="bottom"/>
            <w:hideMark/>
          </w:tcPr>
          <w:p w:rsidR="003E6588" w:rsidRDefault="003E6588" w:rsidP="00C70C5C">
            <w:pPr>
              <w:snapToGrid w:val="0"/>
              <w:jc w:val="left"/>
              <w:rPr>
                <w:sz w:val="20"/>
                <w:szCs w:val="20"/>
              </w:rPr>
            </w:pPr>
            <w:r>
              <w:rPr>
                <w:sz w:val="20"/>
                <w:szCs w:val="20"/>
              </w:rPr>
              <w:t>Curso</w:t>
            </w:r>
            <w:r>
              <w:rPr>
                <w:rFonts w:eastAsia="Arial"/>
                <w:sz w:val="20"/>
                <w:szCs w:val="20"/>
              </w:rPr>
              <w:t xml:space="preserve"> </w:t>
            </w:r>
            <w:r>
              <w:rPr>
                <w:sz w:val="20"/>
                <w:szCs w:val="20"/>
              </w:rPr>
              <w:t>de</w:t>
            </w:r>
            <w:r>
              <w:rPr>
                <w:rFonts w:eastAsia="Arial"/>
                <w:sz w:val="20"/>
                <w:szCs w:val="20"/>
              </w:rPr>
              <w:t xml:space="preserve"> </w:t>
            </w:r>
            <w:r>
              <w:rPr>
                <w:sz w:val="20"/>
                <w:szCs w:val="20"/>
              </w:rPr>
              <w:t>Especialização</w:t>
            </w:r>
            <w:r>
              <w:rPr>
                <w:rFonts w:eastAsia="Arial"/>
                <w:sz w:val="20"/>
                <w:szCs w:val="20"/>
              </w:rPr>
              <w:t xml:space="preserve"> </w:t>
            </w:r>
            <w:r>
              <w:rPr>
                <w:sz w:val="20"/>
                <w:szCs w:val="20"/>
              </w:rPr>
              <w:t>de</w:t>
            </w:r>
            <w:r>
              <w:rPr>
                <w:rFonts w:eastAsia="Arial"/>
                <w:sz w:val="20"/>
                <w:szCs w:val="20"/>
              </w:rPr>
              <w:t xml:space="preserve"> </w:t>
            </w:r>
            <w:r>
              <w:rPr>
                <w:sz w:val="20"/>
                <w:szCs w:val="20"/>
              </w:rPr>
              <w:t>Praças-Direitos</w:t>
            </w:r>
            <w:r>
              <w:rPr>
                <w:rFonts w:eastAsia="Arial"/>
                <w:sz w:val="20"/>
                <w:szCs w:val="20"/>
              </w:rPr>
              <w:t xml:space="preserve"> </w:t>
            </w:r>
            <w:r>
              <w:rPr>
                <w:sz w:val="20"/>
                <w:szCs w:val="20"/>
              </w:rPr>
              <w:t>Humanos</w:t>
            </w:r>
          </w:p>
        </w:tc>
        <w:tc>
          <w:tcPr>
            <w:tcW w:w="1358" w:type="dxa"/>
            <w:vAlign w:val="bottom"/>
          </w:tcPr>
          <w:p w:rsidR="003E6588" w:rsidRDefault="003E6588">
            <w:pPr>
              <w:snapToGrid w:val="0"/>
              <w:jc w:val="right"/>
              <w:rPr>
                <w:sz w:val="20"/>
                <w:szCs w:val="20"/>
              </w:rPr>
            </w:pPr>
            <w:r>
              <w:rPr>
                <w:sz w:val="20"/>
                <w:szCs w:val="20"/>
              </w:rPr>
              <w:t>57</w:t>
            </w:r>
          </w:p>
        </w:tc>
      </w:tr>
      <w:tr w:rsidR="003E6588" w:rsidTr="00C70C5C">
        <w:trPr>
          <w:trHeight w:val="25"/>
          <w:jc w:val="center"/>
        </w:trPr>
        <w:tc>
          <w:tcPr>
            <w:tcW w:w="6651" w:type="dxa"/>
            <w:vAlign w:val="bottom"/>
            <w:hideMark/>
          </w:tcPr>
          <w:p w:rsidR="003E6588" w:rsidRDefault="003E6588" w:rsidP="00C70C5C">
            <w:pPr>
              <w:snapToGrid w:val="0"/>
              <w:jc w:val="left"/>
              <w:rPr>
                <w:sz w:val="20"/>
                <w:szCs w:val="20"/>
              </w:rPr>
            </w:pPr>
            <w:r>
              <w:rPr>
                <w:sz w:val="20"/>
                <w:szCs w:val="20"/>
              </w:rPr>
              <w:t>Curso</w:t>
            </w:r>
            <w:r>
              <w:rPr>
                <w:rFonts w:eastAsia="Arial"/>
                <w:sz w:val="20"/>
                <w:szCs w:val="20"/>
              </w:rPr>
              <w:t xml:space="preserve"> </w:t>
            </w:r>
            <w:r>
              <w:rPr>
                <w:sz w:val="20"/>
                <w:szCs w:val="20"/>
              </w:rPr>
              <w:t>de</w:t>
            </w:r>
            <w:r>
              <w:rPr>
                <w:rFonts w:eastAsia="Arial"/>
                <w:sz w:val="20"/>
                <w:szCs w:val="20"/>
              </w:rPr>
              <w:t xml:space="preserve"> </w:t>
            </w:r>
            <w:r>
              <w:rPr>
                <w:sz w:val="20"/>
                <w:szCs w:val="20"/>
              </w:rPr>
              <w:t>Especialização</w:t>
            </w:r>
            <w:r>
              <w:rPr>
                <w:rFonts w:eastAsia="Arial"/>
                <w:sz w:val="20"/>
                <w:szCs w:val="20"/>
              </w:rPr>
              <w:t xml:space="preserve"> </w:t>
            </w:r>
            <w:r>
              <w:rPr>
                <w:sz w:val="20"/>
                <w:szCs w:val="20"/>
              </w:rPr>
              <w:t>de</w:t>
            </w:r>
            <w:r>
              <w:rPr>
                <w:rFonts w:eastAsia="Arial"/>
                <w:sz w:val="20"/>
                <w:szCs w:val="20"/>
              </w:rPr>
              <w:t xml:space="preserve"> </w:t>
            </w:r>
            <w:r>
              <w:rPr>
                <w:sz w:val="20"/>
                <w:szCs w:val="20"/>
              </w:rPr>
              <w:t>Oficiais-Direitos</w:t>
            </w:r>
            <w:r>
              <w:rPr>
                <w:rFonts w:eastAsia="Arial"/>
                <w:sz w:val="20"/>
                <w:szCs w:val="20"/>
              </w:rPr>
              <w:t xml:space="preserve"> </w:t>
            </w:r>
            <w:r>
              <w:rPr>
                <w:sz w:val="20"/>
                <w:szCs w:val="20"/>
              </w:rPr>
              <w:t>Humanos</w:t>
            </w:r>
          </w:p>
        </w:tc>
        <w:tc>
          <w:tcPr>
            <w:tcW w:w="1358" w:type="dxa"/>
            <w:vAlign w:val="bottom"/>
          </w:tcPr>
          <w:p w:rsidR="003E6588" w:rsidRDefault="003E6588">
            <w:pPr>
              <w:snapToGrid w:val="0"/>
              <w:jc w:val="right"/>
              <w:rPr>
                <w:sz w:val="20"/>
                <w:szCs w:val="20"/>
              </w:rPr>
            </w:pPr>
            <w:r>
              <w:rPr>
                <w:sz w:val="20"/>
                <w:szCs w:val="20"/>
              </w:rPr>
              <w:t>14</w:t>
            </w:r>
          </w:p>
        </w:tc>
      </w:tr>
      <w:tr w:rsidR="003E6588" w:rsidTr="00C70C5C">
        <w:trPr>
          <w:trHeight w:val="25"/>
          <w:jc w:val="center"/>
        </w:trPr>
        <w:tc>
          <w:tcPr>
            <w:tcW w:w="6651" w:type="dxa"/>
            <w:vAlign w:val="bottom"/>
            <w:hideMark/>
          </w:tcPr>
          <w:p w:rsidR="003E6588" w:rsidRDefault="003E6588" w:rsidP="00C70C5C">
            <w:pPr>
              <w:snapToGrid w:val="0"/>
              <w:jc w:val="left"/>
              <w:rPr>
                <w:sz w:val="20"/>
                <w:szCs w:val="20"/>
              </w:rPr>
            </w:pPr>
            <w:r>
              <w:rPr>
                <w:sz w:val="20"/>
                <w:szCs w:val="20"/>
              </w:rPr>
              <w:t>Curso</w:t>
            </w:r>
            <w:r>
              <w:rPr>
                <w:rFonts w:eastAsia="Arial"/>
                <w:sz w:val="20"/>
                <w:szCs w:val="20"/>
              </w:rPr>
              <w:t xml:space="preserve"> </w:t>
            </w:r>
            <w:r>
              <w:rPr>
                <w:sz w:val="20"/>
                <w:szCs w:val="20"/>
              </w:rPr>
              <w:t>Internacional</w:t>
            </w:r>
            <w:r>
              <w:rPr>
                <w:rFonts w:eastAsia="Arial"/>
                <w:sz w:val="20"/>
                <w:szCs w:val="20"/>
              </w:rPr>
              <w:t xml:space="preserve"> </w:t>
            </w:r>
            <w:r>
              <w:rPr>
                <w:sz w:val="20"/>
                <w:szCs w:val="20"/>
              </w:rPr>
              <w:t>de</w:t>
            </w:r>
            <w:r>
              <w:rPr>
                <w:rFonts w:eastAsia="Arial"/>
                <w:sz w:val="20"/>
                <w:szCs w:val="20"/>
              </w:rPr>
              <w:t xml:space="preserve"> </w:t>
            </w:r>
            <w:r>
              <w:rPr>
                <w:sz w:val="20"/>
                <w:szCs w:val="20"/>
              </w:rPr>
              <w:t>Multiplicadores</w:t>
            </w:r>
            <w:r>
              <w:rPr>
                <w:rFonts w:eastAsia="Arial"/>
                <w:sz w:val="20"/>
                <w:szCs w:val="20"/>
              </w:rPr>
              <w:t xml:space="preserve"> </w:t>
            </w:r>
            <w:r>
              <w:rPr>
                <w:sz w:val="20"/>
                <w:szCs w:val="20"/>
              </w:rPr>
              <w:t>de</w:t>
            </w:r>
            <w:r>
              <w:rPr>
                <w:rFonts w:eastAsia="Arial"/>
                <w:sz w:val="20"/>
                <w:szCs w:val="20"/>
              </w:rPr>
              <w:t xml:space="preserve"> </w:t>
            </w:r>
            <w:r>
              <w:rPr>
                <w:sz w:val="20"/>
                <w:szCs w:val="20"/>
              </w:rPr>
              <w:t>Polícia</w:t>
            </w:r>
            <w:r>
              <w:rPr>
                <w:rFonts w:eastAsia="Arial"/>
                <w:sz w:val="20"/>
                <w:szCs w:val="20"/>
              </w:rPr>
              <w:t xml:space="preserve"> </w:t>
            </w:r>
            <w:r>
              <w:rPr>
                <w:sz w:val="20"/>
                <w:szCs w:val="20"/>
              </w:rPr>
              <w:t>Comunitária</w:t>
            </w:r>
            <w:r>
              <w:rPr>
                <w:rFonts w:eastAsia="Arial"/>
                <w:sz w:val="20"/>
                <w:szCs w:val="20"/>
              </w:rPr>
              <w:t xml:space="preserve"> </w:t>
            </w:r>
            <w:r>
              <w:rPr>
                <w:sz w:val="20"/>
                <w:szCs w:val="20"/>
              </w:rPr>
              <w:t>-</w:t>
            </w:r>
            <w:r>
              <w:rPr>
                <w:rFonts w:eastAsia="Arial"/>
                <w:sz w:val="20"/>
                <w:szCs w:val="20"/>
              </w:rPr>
              <w:t xml:space="preserve"> </w:t>
            </w:r>
            <w:r>
              <w:rPr>
                <w:sz w:val="20"/>
                <w:szCs w:val="20"/>
              </w:rPr>
              <w:t>Oficiais</w:t>
            </w:r>
            <w:r>
              <w:rPr>
                <w:rFonts w:eastAsia="Arial"/>
                <w:sz w:val="20"/>
                <w:szCs w:val="20"/>
              </w:rPr>
              <w:t xml:space="preserve"> </w:t>
            </w:r>
            <w:r>
              <w:rPr>
                <w:sz w:val="20"/>
                <w:szCs w:val="20"/>
              </w:rPr>
              <w:t>PM</w:t>
            </w:r>
          </w:p>
        </w:tc>
        <w:tc>
          <w:tcPr>
            <w:tcW w:w="1358" w:type="dxa"/>
            <w:vAlign w:val="bottom"/>
          </w:tcPr>
          <w:p w:rsidR="003E6588" w:rsidRDefault="003E6588">
            <w:pPr>
              <w:snapToGrid w:val="0"/>
              <w:jc w:val="right"/>
              <w:rPr>
                <w:sz w:val="20"/>
                <w:szCs w:val="20"/>
              </w:rPr>
            </w:pPr>
            <w:r>
              <w:rPr>
                <w:sz w:val="20"/>
                <w:szCs w:val="20"/>
              </w:rPr>
              <w:t>12</w:t>
            </w:r>
          </w:p>
        </w:tc>
      </w:tr>
      <w:tr w:rsidR="003E6588" w:rsidTr="00C70C5C">
        <w:trPr>
          <w:trHeight w:val="25"/>
          <w:jc w:val="center"/>
        </w:trPr>
        <w:tc>
          <w:tcPr>
            <w:tcW w:w="6651" w:type="dxa"/>
            <w:vAlign w:val="bottom"/>
          </w:tcPr>
          <w:p w:rsidR="003E6588" w:rsidRDefault="003E6588" w:rsidP="00C70C5C">
            <w:pPr>
              <w:snapToGrid w:val="0"/>
              <w:jc w:val="left"/>
              <w:rPr>
                <w:sz w:val="20"/>
                <w:szCs w:val="20"/>
              </w:rPr>
            </w:pPr>
            <w:r>
              <w:rPr>
                <w:bCs/>
                <w:sz w:val="20"/>
                <w:szCs w:val="20"/>
                <w:shd w:val="clear" w:color="auto" w:fill="FFFFFF"/>
              </w:rPr>
              <w:t>Curso de Multiplicador de Liderança do CONSEG</w:t>
            </w:r>
          </w:p>
        </w:tc>
        <w:tc>
          <w:tcPr>
            <w:tcW w:w="1358" w:type="dxa"/>
            <w:vAlign w:val="bottom"/>
          </w:tcPr>
          <w:p w:rsidR="003E6588" w:rsidRDefault="003E6588">
            <w:pPr>
              <w:snapToGrid w:val="0"/>
              <w:jc w:val="right"/>
              <w:rPr>
                <w:sz w:val="20"/>
                <w:szCs w:val="20"/>
              </w:rPr>
            </w:pPr>
            <w:r>
              <w:rPr>
                <w:sz w:val="20"/>
                <w:szCs w:val="20"/>
              </w:rPr>
              <w:t>120 civis</w:t>
            </w:r>
          </w:p>
        </w:tc>
      </w:tr>
      <w:tr w:rsidR="003E6588" w:rsidTr="00C70C5C">
        <w:trPr>
          <w:trHeight w:val="25"/>
          <w:jc w:val="center"/>
        </w:trPr>
        <w:tc>
          <w:tcPr>
            <w:tcW w:w="6651" w:type="dxa"/>
            <w:vAlign w:val="bottom"/>
          </w:tcPr>
          <w:p w:rsidR="003E6588" w:rsidRDefault="003E6588" w:rsidP="00C70C5C">
            <w:pPr>
              <w:snapToGrid w:val="0"/>
              <w:jc w:val="left"/>
              <w:rPr>
                <w:sz w:val="20"/>
                <w:szCs w:val="20"/>
              </w:rPr>
            </w:pPr>
            <w:r>
              <w:rPr>
                <w:sz w:val="20"/>
                <w:szCs w:val="20"/>
              </w:rPr>
              <w:t>CAO</w:t>
            </w:r>
          </w:p>
        </w:tc>
        <w:tc>
          <w:tcPr>
            <w:tcW w:w="1358" w:type="dxa"/>
            <w:vAlign w:val="bottom"/>
          </w:tcPr>
          <w:p w:rsidR="003E6588" w:rsidRDefault="003E6588">
            <w:pPr>
              <w:snapToGrid w:val="0"/>
              <w:jc w:val="right"/>
              <w:rPr>
                <w:sz w:val="20"/>
                <w:szCs w:val="20"/>
              </w:rPr>
            </w:pPr>
            <w:r>
              <w:rPr>
                <w:sz w:val="20"/>
                <w:szCs w:val="20"/>
              </w:rPr>
              <w:t>165</w:t>
            </w:r>
          </w:p>
        </w:tc>
      </w:tr>
      <w:tr w:rsidR="003E6588" w:rsidTr="00C70C5C">
        <w:trPr>
          <w:trHeight w:val="25"/>
          <w:jc w:val="center"/>
        </w:trPr>
        <w:tc>
          <w:tcPr>
            <w:tcW w:w="6651" w:type="dxa"/>
            <w:vAlign w:val="bottom"/>
          </w:tcPr>
          <w:p w:rsidR="003E6588" w:rsidRDefault="003E6588" w:rsidP="00C70C5C">
            <w:pPr>
              <w:snapToGrid w:val="0"/>
              <w:jc w:val="left"/>
              <w:rPr>
                <w:sz w:val="20"/>
                <w:szCs w:val="20"/>
              </w:rPr>
            </w:pPr>
            <w:r>
              <w:rPr>
                <w:sz w:val="20"/>
                <w:szCs w:val="20"/>
              </w:rPr>
              <w:t>CSP</w:t>
            </w:r>
          </w:p>
        </w:tc>
        <w:tc>
          <w:tcPr>
            <w:tcW w:w="1358" w:type="dxa"/>
            <w:tcBorders>
              <w:bottom w:val="single" w:sz="8" w:space="0" w:color="auto"/>
            </w:tcBorders>
            <w:vAlign w:val="bottom"/>
          </w:tcPr>
          <w:p w:rsidR="003E6588" w:rsidRDefault="003E6588">
            <w:pPr>
              <w:snapToGrid w:val="0"/>
              <w:jc w:val="right"/>
              <w:rPr>
                <w:sz w:val="20"/>
                <w:szCs w:val="20"/>
              </w:rPr>
            </w:pPr>
            <w:r>
              <w:rPr>
                <w:sz w:val="20"/>
                <w:szCs w:val="20"/>
              </w:rPr>
              <w:t>33</w:t>
            </w:r>
          </w:p>
        </w:tc>
      </w:tr>
      <w:tr w:rsidR="003E6588" w:rsidTr="00C70C5C">
        <w:trPr>
          <w:trHeight w:val="176"/>
          <w:jc w:val="center"/>
        </w:trPr>
        <w:tc>
          <w:tcPr>
            <w:tcW w:w="6651" w:type="dxa"/>
            <w:vMerge w:val="restart"/>
            <w:vAlign w:val="center"/>
          </w:tcPr>
          <w:p w:rsidR="003E6588" w:rsidRDefault="003E6588" w:rsidP="00C70C5C">
            <w:pPr>
              <w:snapToGrid w:val="0"/>
              <w:jc w:val="left"/>
              <w:rPr>
                <w:sz w:val="20"/>
                <w:szCs w:val="20"/>
              </w:rPr>
            </w:pPr>
            <w:r>
              <w:rPr>
                <w:bCs/>
                <w:sz w:val="20"/>
                <w:szCs w:val="20"/>
                <w:shd w:val="clear" w:color="auto" w:fill="FFFFFF"/>
              </w:rPr>
              <w:t>Curso de Enfrentamento ao Tráfico de Pessoas e os Crimes Inerentes ao Turismo</w:t>
            </w:r>
          </w:p>
        </w:tc>
        <w:tc>
          <w:tcPr>
            <w:tcW w:w="1358" w:type="dxa"/>
            <w:tcBorders>
              <w:bottom w:val="nil"/>
            </w:tcBorders>
            <w:vAlign w:val="bottom"/>
          </w:tcPr>
          <w:p w:rsidR="003E6588" w:rsidRDefault="003E6588">
            <w:pPr>
              <w:snapToGrid w:val="0"/>
              <w:jc w:val="right"/>
              <w:rPr>
                <w:sz w:val="20"/>
                <w:szCs w:val="20"/>
              </w:rPr>
            </w:pPr>
            <w:r>
              <w:rPr>
                <w:sz w:val="20"/>
                <w:szCs w:val="20"/>
              </w:rPr>
              <w:t>Oficiais 87</w:t>
            </w:r>
          </w:p>
        </w:tc>
      </w:tr>
      <w:tr w:rsidR="003E6588" w:rsidTr="00C70C5C">
        <w:trPr>
          <w:trHeight w:val="51"/>
          <w:jc w:val="center"/>
        </w:trPr>
        <w:tc>
          <w:tcPr>
            <w:tcW w:w="6651" w:type="dxa"/>
            <w:vMerge/>
            <w:vAlign w:val="bottom"/>
          </w:tcPr>
          <w:p w:rsidR="003E6588" w:rsidRDefault="003E6588" w:rsidP="00C70C5C">
            <w:pPr>
              <w:snapToGrid w:val="0"/>
              <w:jc w:val="left"/>
              <w:rPr>
                <w:bCs/>
                <w:sz w:val="20"/>
                <w:szCs w:val="20"/>
                <w:shd w:val="clear" w:color="auto" w:fill="FFFFFF"/>
              </w:rPr>
            </w:pPr>
          </w:p>
        </w:tc>
        <w:tc>
          <w:tcPr>
            <w:tcW w:w="1358" w:type="dxa"/>
            <w:tcBorders>
              <w:top w:val="nil"/>
              <w:bottom w:val="single" w:sz="8" w:space="0" w:color="auto"/>
            </w:tcBorders>
            <w:vAlign w:val="bottom"/>
          </w:tcPr>
          <w:p w:rsidR="003E6588" w:rsidRDefault="003E6588">
            <w:pPr>
              <w:snapToGrid w:val="0"/>
              <w:jc w:val="right"/>
              <w:rPr>
                <w:sz w:val="20"/>
                <w:szCs w:val="20"/>
              </w:rPr>
            </w:pPr>
            <w:r>
              <w:rPr>
                <w:sz w:val="20"/>
                <w:szCs w:val="20"/>
              </w:rPr>
              <w:t>Praças 479</w:t>
            </w:r>
          </w:p>
        </w:tc>
      </w:tr>
      <w:tr w:rsidR="003E6588" w:rsidTr="00C70C5C">
        <w:trPr>
          <w:trHeight w:val="83"/>
          <w:jc w:val="center"/>
        </w:trPr>
        <w:tc>
          <w:tcPr>
            <w:tcW w:w="6651" w:type="dxa"/>
            <w:vMerge w:val="restart"/>
            <w:vAlign w:val="center"/>
          </w:tcPr>
          <w:p w:rsidR="003E6588" w:rsidRDefault="003E6588" w:rsidP="00C70C5C">
            <w:pPr>
              <w:snapToGrid w:val="0"/>
              <w:jc w:val="left"/>
              <w:rPr>
                <w:bCs/>
                <w:sz w:val="20"/>
                <w:szCs w:val="20"/>
                <w:shd w:val="clear" w:color="auto" w:fill="FFFFFF"/>
              </w:rPr>
            </w:pPr>
            <w:r>
              <w:rPr>
                <w:bCs/>
                <w:sz w:val="20"/>
                <w:szCs w:val="20"/>
                <w:shd w:val="clear" w:color="auto" w:fill="FFFFFF"/>
              </w:rPr>
              <w:t>Curso de Instrutor do PROERD</w:t>
            </w:r>
          </w:p>
        </w:tc>
        <w:tc>
          <w:tcPr>
            <w:tcW w:w="1358" w:type="dxa"/>
            <w:tcBorders>
              <w:bottom w:val="nil"/>
            </w:tcBorders>
            <w:vAlign w:val="bottom"/>
          </w:tcPr>
          <w:p w:rsidR="003E6588" w:rsidRDefault="003E6588">
            <w:pPr>
              <w:snapToGrid w:val="0"/>
              <w:jc w:val="right"/>
              <w:rPr>
                <w:sz w:val="20"/>
                <w:szCs w:val="20"/>
              </w:rPr>
            </w:pPr>
            <w:r>
              <w:rPr>
                <w:sz w:val="20"/>
                <w:szCs w:val="20"/>
              </w:rPr>
              <w:t>Oficiais 8</w:t>
            </w:r>
          </w:p>
        </w:tc>
      </w:tr>
      <w:tr w:rsidR="003E6588" w:rsidTr="00C70C5C">
        <w:trPr>
          <w:trHeight w:val="129"/>
          <w:jc w:val="center"/>
        </w:trPr>
        <w:tc>
          <w:tcPr>
            <w:tcW w:w="6651" w:type="dxa"/>
            <w:vMerge/>
            <w:vAlign w:val="center"/>
          </w:tcPr>
          <w:p w:rsidR="003E6588" w:rsidRDefault="003E6588" w:rsidP="00C70C5C">
            <w:pPr>
              <w:snapToGrid w:val="0"/>
              <w:jc w:val="left"/>
              <w:rPr>
                <w:bCs/>
                <w:sz w:val="20"/>
                <w:szCs w:val="20"/>
                <w:shd w:val="clear" w:color="auto" w:fill="FFFFFF"/>
              </w:rPr>
            </w:pPr>
          </w:p>
        </w:tc>
        <w:tc>
          <w:tcPr>
            <w:tcW w:w="1358" w:type="dxa"/>
            <w:tcBorders>
              <w:top w:val="nil"/>
              <w:bottom w:val="single" w:sz="8" w:space="0" w:color="auto"/>
            </w:tcBorders>
            <w:vAlign w:val="bottom"/>
          </w:tcPr>
          <w:p w:rsidR="003E6588" w:rsidRDefault="003E6588">
            <w:pPr>
              <w:snapToGrid w:val="0"/>
              <w:jc w:val="right"/>
              <w:rPr>
                <w:sz w:val="20"/>
                <w:szCs w:val="20"/>
              </w:rPr>
            </w:pPr>
            <w:r>
              <w:rPr>
                <w:sz w:val="20"/>
                <w:szCs w:val="20"/>
              </w:rPr>
              <w:t>Praças 87</w:t>
            </w:r>
          </w:p>
        </w:tc>
      </w:tr>
      <w:tr w:rsidR="003E6588" w:rsidTr="00C70C5C">
        <w:trPr>
          <w:trHeight w:val="44"/>
          <w:jc w:val="center"/>
        </w:trPr>
        <w:tc>
          <w:tcPr>
            <w:tcW w:w="6651" w:type="dxa"/>
            <w:vMerge w:val="restart"/>
            <w:vAlign w:val="bottom"/>
          </w:tcPr>
          <w:p w:rsidR="003E6588" w:rsidRDefault="003E6588" w:rsidP="00C70C5C">
            <w:pPr>
              <w:snapToGrid w:val="0"/>
              <w:jc w:val="left"/>
              <w:rPr>
                <w:bCs/>
                <w:sz w:val="20"/>
                <w:szCs w:val="20"/>
                <w:shd w:val="clear" w:color="auto" w:fill="FFFFFF"/>
              </w:rPr>
            </w:pPr>
            <w:r>
              <w:rPr>
                <w:bCs/>
                <w:sz w:val="20"/>
                <w:szCs w:val="20"/>
                <w:shd w:val="clear" w:color="auto" w:fill="FFFFFF"/>
              </w:rPr>
              <w:t>Curso do Programa “Crack, é Possível Vencer”</w:t>
            </w:r>
          </w:p>
        </w:tc>
        <w:tc>
          <w:tcPr>
            <w:tcW w:w="1358" w:type="dxa"/>
            <w:tcBorders>
              <w:bottom w:val="nil"/>
            </w:tcBorders>
            <w:vAlign w:val="bottom"/>
          </w:tcPr>
          <w:p w:rsidR="003E6588" w:rsidRDefault="003E6588">
            <w:pPr>
              <w:snapToGrid w:val="0"/>
              <w:jc w:val="right"/>
              <w:rPr>
                <w:sz w:val="20"/>
                <w:szCs w:val="20"/>
              </w:rPr>
            </w:pPr>
            <w:r>
              <w:rPr>
                <w:sz w:val="20"/>
                <w:szCs w:val="20"/>
              </w:rPr>
              <w:t xml:space="preserve">Oficiais 10 </w:t>
            </w:r>
          </w:p>
        </w:tc>
      </w:tr>
      <w:tr w:rsidR="003E6588" w:rsidTr="00AC3233">
        <w:trPr>
          <w:trHeight w:val="78"/>
          <w:jc w:val="center"/>
        </w:trPr>
        <w:tc>
          <w:tcPr>
            <w:tcW w:w="6651" w:type="dxa"/>
            <w:vMerge/>
            <w:tcBorders>
              <w:bottom w:val="single" w:sz="8" w:space="0" w:color="auto"/>
            </w:tcBorders>
            <w:vAlign w:val="bottom"/>
          </w:tcPr>
          <w:p w:rsidR="003E6588" w:rsidRDefault="003E6588" w:rsidP="00C70C5C">
            <w:pPr>
              <w:snapToGrid w:val="0"/>
              <w:jc w:val="left"/>
              <w:rPr>
                <w:bCs/>
                <w:sz w:val="20"/>
                <w:szCs w:val="20"/>
                <w:shd w:val="clear" w:color="auto" w:fill="FFFFFF"/>
              </w:rPr>
            </w:pPr>
          </w:p>
        </w:tc>
        <w:tc>
          <w:tcPr>
            <w:tcW w:w="1358" w:type="dxa"/>
            <w:tcBorders>
              <w:top w:val="nil"/>
              <w:bottom w:val="single" w:sz="8" w:space="0" w:color="auto"/>
            </w:tcBorders>
            <w:vAlign w:val="bottom"/>
          </w:tcPr>
          <w:p w:rsidR="003E6588" w:rsidRDefault="003E6588">
            <w:pPr>
              <w:snapToGrid w:val="0"/>
              <w:jc w:val="right"/>
              <w:rPr>
                <w:sz w:val="20"/>
                <w:szCs w:val="20"/>
              </w:rPr>
            </w:pPr>
            <w:r>
              <w:rPr>
                <w:sz w:val="20"/>
                <w:szCs w:val="20"/>
              </w:rPr>
              <w:t xml:space="preserve">Praças 106 </w:t>
            </w:r>
          </w:p>
        </w:tc>
      </w:tr>
      <w:tr w:rsidR="003E6588" w:rsidTr="00AC3233">
        <w:trPr>
          <w:trHeight w:val="25"/>
          <w:jc w:val="center"/>
        </w:trPr>
        <w:tc>
          <w:tcPr>
            <w:tcW w:w="6651" w:type="dxa"/>
            <w:shd w:val="clear" w:color="auto" w:fill="auto"/>
            <w:vAlign w:val="bottom"/>
            <w:hideMark/>
          </w:tcPr>
          <w:p w:rsidR="003E6588" w:rsidRDefault="003E6588" w:rsidP="00C70C5C">
            <w:pPr>
              <w:snapToGrid w:val="0"/>
              <w:jc w:val="left"/>
              <w:rPr>
                <w:b/>
                <w:sz w:val="20"/>
                <w:szCs w:val="20"/>
              </w:rPr>
            </w:pPr>
            <w:r>
              <w:rPr>
                <w:b/>
                <w:sz w:val="20"/>
                <w:szCs w:val="20"/>
              </w:rPr>
              <w:t>Total</w:t>
            </w:r>
          </w:p>
        </w:tc>
        <w:tc>
          <w:tcPr>
            <w:tcW w:w="1358" w:type="dxa"/>
            <w:shd w:val="clear" w:color="auto" w:fill="auto"/>
            <w:vAlign w:val="bottom"/>
          </w:tcPr>
          <w:p w:rsidR="003E6588" w:rsidRDefault="003E6588">
            <w:pPr>
              <w:snapToGrid w:val="0"/>
              <w:jc w:val="right"/>
              <w:rPr>
                <w:b/>
                <w:sz w:val="20"/>
                <w:szCs w:val="20"/>
              </w:rPr>
            </w:pPr>
            <w:r>
              <w:rPr>
                <w:b/>
                <w:sz w:val="20"/>
                <w:szCs w:val="20"/>
              </w:rPr>
              <w:t>4.086</w:t>
            </w:r>
          </w:p>
        </w:tc>
      </w:tr>
    </w:tbl>
    <w:p w:rsidR="003E6588" w:rsidRDefault="003E6588">
      <w:pPr>
        <w:ind w:firstLine="1134"/>
        <w:jc w:val="both"/>
        <w:rPr>
          <w:lang w:eastAsia="en-US"/>
        </w:rPr>
      </w:pPr>
    </w:p>
    <w:p w:rsidR="003E6588" w:rsidRDefault="003E6588">
      <w:pPr>
        <w:ind w:firstLine="1134"/>
        <w:jc w:val="both"/>
        <w:rPr>
          <w:bCs/>
          <w:color w:val="000000"/>
        </w:rPr>
      </w:pPr>
    </w:p>
    <w:p w:rsidR="003E6588" w:rsidRDefault="003E6588">
      <w:pPr>
        <w:ind w:firstLine="1134"/>
        <w:jc w:val="both"/>
        <w:rPr>
          <w:b/>
          <w:bCs/>
          <w:color w:val="000000"/>
        </w:rPr>
      </w:pPr>
      <w:r>
        <w:rPr>
          <w:b/>
          <w:bCs/>
          <w:color w:val="000000"/>
        </w:rPr>
        <w:t>Bombeiros - Cursos realizados no CBPMESP</w:t>
      </w:r>
    </w:p>
    <w:p w:rsidR="003E6588" w:rsidRDefault="003E6588">
      <w:pPr>
        <w:ind w:firstLine="1134"/>
        <w:jc w:val="both"/>
        <w:rPr>
          <w:bCs/>
          <w:color w:val="000000"/>
        </w:rPr>
      </w:pPr>
    </w:p>
    <w:tbl>
      <w:tblPr>
        <w:tblW w:w="7384" w:type="dxa"/>
        <w:jc w:val="center"/>
        <w:tblInd w:w="93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4442"/>
        <w:gridCol w:w="1383"/>
        <w:gridCol w:w="1559"/>
      </w:tblGrid>
      <w:tr w:rsidR="003E6588" w:rsidTr="000B7E39">
        <w:trPr>
          <w:trHeight w:val="130"/>
          <w:jc w:val="center"/>
        </w:trPr>
        <w:tc>
          <w:tcPr>
            <w:tcW w:w="4442" w:type="dxa"/>
            <w:vMerge w:val="restart"/>
            <w:shd w:val="clear" w:color="auto" w:fill="auto"/>
            <w:vAlign w:val="center"/>
            <w:hideMark/>
          </w:tcPr>
          <w:p w:rsidR="003E6588" w:rsidRDefault="003E6588">
            <w:pPr>
              <w:rPr>
                <w:b/>
                <w:bCs/>
                <w:sz w:val="20"/>
                <w:szCs w:val="20"/>
              </w:rPr>
            </w:pPr>
            <w:r>
              <w:rPr>
                <w:b/>
                <w:bCs/>
                <w:sz w:val="20"/>
                <w:szCs w:val="20"/>
              </w:rPr>
              <w:lastRenderedPageBreak/>
              <w:t>CURSO/ESTÁGIO</w:t>
            </w:r>
          </w:p>
        </w:tc>
        <w:tc>
          <w:tcPr>
            <w:tcW w:w="2942" w:type="dxa"/>
            <w:gridSpan w:val="2"/>
            <w:shd w:val="clear" w:color="auto" w:fill="auto"/>
            <w:noWrap/>
            <w:vAlign w:val="bottom"/>
            <w:hideMark/>
          </w:tcPr>
          <w:p w:rsidR="003E6588" w:rsidRDefault="003E6588">
            <w:pPr>
              <w:rPr>
                <w:b/>
                <w:sz w:val="20"/>
                <w:szCs w:val="20"/>
              </w:rPr>
            </w:pPr>
          </w:p>
        </w:tc>
      </w:tr>
      <w:tr w:rsidR="003E6588" w:rsidTr="000B7E39">
        <w:trPr>
          <w:trHeight w:val="44"/>
          <w:jc w:val="center"/>
        </w:trPr>
        <w:tc>
          <w:tcPr>
            <w:tcW w:w="4442" w:type="dxa"/>
            <w:vMerge/>
            <w:vAlign w:val="center"/>
            <w:hideMark/>
          </w:tcPr>
          <w:p w:rsidR="003E6588" w:rsidRDefault="003E6588">
            <w:pPr>
              <w:rPr>
                <w:bCs/>
                <w:sz w:val="20"/>
                <w:szCs w:val="20"/>
              </w:rPr>
            </w:pPr>
          </w:p>
        </w:tc>
        <w:tc>
          <w:tcPr>
            <w:tcW w:w="1383" w:type="dxa"/>
            <w:shd w:val="clear" w:color="auto" w:fill="auto"/>
            <w:vAlign w:val="center"/>
            <w:hideMark/>
          </w:tcPr>
          <w:p w:rsidR="003E6588" w:rsidRDefault="003E6588">
            <w:pPr>
              <w:rPr>
                <w:b/>
                <w:bCs/>
                <w:sz w:val="20"/>
                <w:szCs w:val="20"/>
              </w:rPr>
            </w:pPr>
            <w:r>
              <w:rPr>
                <w:b/>
                <w:bCs/>
                <w:sz w:val="20"/>
                <w:szCs w:val="20"/>
              </w:rPr>
              <w:t>CURSOS</w:t>
            </w:r>
          </w:p>
        </w:tc>
        <w:tc>
          <w:tcPr>
            <w:tcW w:w="1559" w:type="dxa"/>
            <w:shd w:val="clear" w:color="auto" w:fill="auto"/>
            <w:vAlign w:val="center"/>
            <w:hideMark/>
          </w:tcPr>
          <w:p w:rsidR="003E6588" w:rsidRDefault="003E6588">
            <w:pPr>
              <w:rPr>
                <w:b/>
                <w:bCs/>
                <w:sz w:val="20"/>
                <w:szCs w:val="20"/>
              </w:rPr>
            </w:pPr>
            <w:r>
              <w:rPr>
                <w:b/>
                <w:bCs/>
                <w:sz w:val="20"/>
                <w:szCs w:val="20"/>
              </w:rPr>
              <w:t>ALUNOS</w:t>
            </w:r>
          </w:p>
        </w:tc>
      </w:tr>
      <w:tr w:rsidR="003E6588" w:rsidTr="000B7E39">
        <w:trPr>
          <w:trHeight w:val="80"/>
          <w:jc w:val="center"/>
        </w:trPr>
        <w:tc>
          <w:tcPr>
            <w:tcW w:w="4442" w:type="dxa"/>
            <w:shd w:val="clear" w:color="auto" w:fill="auto"/>
            <w:vAlign w:val="center"/>
            <w:hideMark/>
          </w:tcPr>
          <w:p w:rsidR="003E6588" w:rsidRDefault="003E6588" w:rsidP="00C70C5C">
            <w:pPr>
              <w:jc w:val="left"/>
              <w:rPr>
                <w:sz w:val="20"/>
                <w:szCs w:val="20"/>
              </w:rPr>
            </w:pPr>
            <w:r>
              <w:rPr>
                <w:sz w:val="20"/>
                <w:szCs w:val="20"/>
              </w:rPr>
              <w:t>Curso de Bombeiros para Oficiais</w:t>
            </w:r>
          </w:p>
        </w:tc>
        <w:tc>
          <w:tcPr>
            <w:tcW w:w="1383" w:type="dxa"/>
            <w:shd w:val="clear" w:color="000000" w:fill="FFFFFF"/>
            <w:vAlign w:val="center"/>
            <w:hideMark/>
          </w:tcPr>
          <w:p w:rsidR="003E6588" w:rsidRDefault="003E6588">
            <w:pPr>
              <w:rPr>
                <w:sz w:val="20"/>
                <w:szCs w:val="20"/>
              </w:rPr>
            </w:pPr>
            <w:r>
              <w:rPr>
                <w:sz w:val="20"/>
                <w:szCs w:val="20"/>
              </w:rPr>
              <w:t>1</w:t>
            </w:r>
          </w:p>
        </w:tc>
        <w:tc>
          <w:tcPr>
            <w:tcW w:w="1559" w:type="dxa"/>
            <w:shd w:val="clear" w:color="000000" w:fill="FFFFFF"/>
            <w:vAlign w:val="center"/>
            <w:hideMark/>
          </w:tcPr>
          <w:p w:rsidR="003E6588" w:rsidRDefault="003E6588">
            <w:pPr>
              <w:rPr>
                <w:sz w:val="20"/>
                <w:szCs w:val="20"/>
              </w:rPr>
            </w:pPr>
            <w:r>
              <w:rPr>
                <w:sz w:val="20"/>
                <w:szCs w:val="20"/>
              </w:rPr>
              <w:t>20</w:t>
            </w:r>
          </w:p>
        </w:tc>
      </w:tr>
      <w:tr w:rsidR="003E6588" w:rsidTr="000B7E39">
        <w:trPr>
          <w:trHeight w:val="44"/>
          <w:jc w:val="center"/>
        </w:trPr>
        <w:tc>
          <w:tcPr>
            <w:tcW w:w="4442" w:type="dxa"/>
            <w:shd w:val="clear" w:color="auto" w:fill="auto"/>
            <w:vAlign w:val="center"/>
            <w:hideMark/>
          </w:tcPr>
          <w:p w:rsidR="003E6588" w:rsidRDefault="003E6588" w:rsidP="00C70C5C">
            <w:pPr>
              <w:jc w:val="left"/>
              <w:rPr>
                <w:sz w:val="20"/>
                <w:szCs w:val="20"/>
              </w:rPr>
            </w:pPr>
            <w:r>
              <w:rPr>
                <w:sz w:val="20"/>
                <w:szCs w:val="20"/>
              </w:rPr>
              <w:t>Curso de Bombeiros para Sargentos</w:t>
            </w:r>
          </w:p>
        </w:tc>
        <w:tc>
          <w:tcPr>
            <w:tcW w:w="1383" w:type="dxa"/>
            <w:shd w:val="clear" w:color="000000" w:fill="FFFFFF"/>
            <w:vAlign w:val="center"/>
            <w:hideMark/>
          </w:tcPr>
          <w:p w:rsidR="003E6588" w:rsidRDefault="003E6588">
            <w:pPr>
              <w:rPr>
                <w:sz w:val="20"/>
                <w:szCs w:val="20"/>
              </w:rPr>
            </w:pPr>
            <w:r>
              <w:rPr>
                <w:sz w:val="20"/>
                <w:szCs w:val="20"/>
              </w:rPr>
              <w:t>2</w:t>
            </w:r>
          </w:p>
        </w:tc>
        <w:tc>
          <w:tcPr>
            <w:tcW w:w="1559" w:type="dxa"/>
            <w:shd w:val="clear" w:color="000000" w:fill="FFFFFF"/>
            <w:vAlign w:val="center"/>
            <w:hideMark/>
          </w:tcPr>
          <w:p w:rsidR="003E6588" w:rsidRDefault="003E6588">
            <w:pPr>
              <w:rPr>
                <w:sz w:val="20"/>
                <w:szCs w:val="20"/>
              </w:rPr>
            </w:pPr>
            <w:r>
              <w:rPr>
                <w:sz w:val="20"/>
                <w:szCs w:val="20"/>
              </w:rPr>
              <w:t>159</w:t>
            </w:r>
          </w:p>
        </w:tc>
      </w:tr>
      <w:tr w:rsidR="003E6588" w:rsidTr="000B7E39">
        <w:trPr>
          <w:trHeight w:val="70"/>
          <w:jc w:val="center"/>
        </w:trPr>
        <w:tc>
          <w:tcPr>
            <w:tcW w:w="4442" w:type="dxa"/>
            <w:shd w:val="clear" w:color="auto" w:fill="auto"/>
            <w:vAlign w:val="center"/>
            <w:hideMark/>
          </w:tcPr>
          <w:p w:rsidR="003E6588" w:rsidRDefault="003E6588" w:rsidP="00C70C5C">
            <w:pPr>
              <w:jc w:val="left"/>
              <w:rPr>
                <w:sz w:val="20"/>
                <w:szCs w:val="20"/>
              </w:rPr>
            </w:pPr>
            <w:r>
              <w:rPr>
                <w:sz w:val="20"/>
                <w:szCs w:val="20"/>
              </w:rPr>
              <w:t>Curso de Bombeiros para Cabos e Soldados</w:t>
            </w:r>
          </w:p>
        </w:tc>
        <w:tc>
          <w:tcPr>
            <w:tcW w:w="1383" w:type="dxa"/>
            <w:shd w:val="clear" w:color="000000" w:fill="FFFFFF"/>
            <w:vAlign w:val="center"/>
            <w:hideMark/>
          </w:tcPr>
          <w:p w:rsidR="003E6588" w:rsidRDefault="003E6588">
            <w:pPr>
              <w:rPr>
                <w:sz w:val="20"/>
                <w:szCs w:val="20"/>
              </w:rPr>
            </w:pPr>
            <w:r>
              <w:rPr>
                <w:sz w:val="20"/>
                <w:szCs w:val="20"/>
              </w:rPr>
              <w:t>2</w:t>
            </w:r>
          </w:p>
        </w:tc>
        <w:tc>
          <w:tcPr>
            <w:tcW w:w="1559" w:type="dxa"/>
            <w:shd w:val="clear" w:color="000000" w:fill="FFFFFF"/>
            <w:vAlign w:val="center"/>
            <w:hideMark/>
          </w:tcPr>
          <w:p w:rsidR="003E6588" w:rsidRDefault="003E6588">
            <w:pPr>
              <w:rPr>
                <w:sz w:val="20"/>
                <w:szCs w:val="20"/>
              </w:rPr>
            </w:pPr>
            <w:r>
              <w:rPr>
                <w:sz w:val="20"/>
                <w:szCs w:val="20"/>
              </w:rPr>
              <w:t>274</w:t>
            </w:r>
          </w:p>
        </w:tc>
      </w:tr>
      <w:tr w:rsidR="003E6588" w:rsidTr="000B7E39">
        <w:trPr>
          <w:trHeight w:val="116"/>
          <w:jc w:val="center"/>
        </w:trPr>
        <w:tc>
          <w:tcPr>
            <w:tcW w:w="4442" w:type="dxa"/>
            <w:shd w:val="clear" w:color="auto" w:fill="auto"/>
            <w:vAlign w:val="center"/>
            <w:hideMark/>
          </w:tcPr>
          <w:p w:rsidR="003E6588" w:rsidRDefault="003E6588" w:rsidP="00C70C5C">
            <w:pPr>
              <w:jc w:val="left"/>
              <w:rPr>
                <w:sz w:val="20"/>
                <w:szCs w:val="20"/>
              </w:rPr>
            </w:pPr>
            <w:r>
              <w:rPr>
                <w:sz w:val="20"/>
                <w:szCs w:val="20"/>
              </w:rPr>
              <w:t>Atendimento a Emergências com Produtos Perigosos</w:t>
            </w:r>
          </w:p>
        </w:tc>
        <w:tc>
          <w:tcPr>
            <w:tcW w:w="1383" w:type="dxa"/>
            <w:shd w:val="clear" w:color="000000" w:fill="FFFFFF"/>
            <w:vAlign w:val="center"/>
            <w:hideMark/>
          </w:tcPr>
          <w:p w:rsidR="003E6588" w:rsidRDefault="003E6588">
            <w:pPr>
              <w:rPr>
                <w:sz w:val="20"/>
                <w:szCs w:val="20"/>
              </w:rPr>
            </w:pPr>
            <w:r>
              <w:rPr>
                <w:sz w:val="20"/>
                <w:szCs w:val="20"/>
              </w:rPr>
              <w:t>2</w:t>
            </w:r>
          </w:p>
        </w:tc>
        <w:tc>
          <w:tcPr>
            <w:tcW w:w="1559" w:type="dxa"/>
            <w:shd w:val="clear" w:color="000000" w:fill="FFFFFF"/>
            <w:vAlign w:val="center"/>
            <w:hideMark/>
          </w:tcPr>
          <w:p w:rsidR="003E6588" w:rsidRDefault="003E6588">
            <w:pPr>
              <w:rPr>
                <w:sz w:val="20"/>
                <w:szCs w:val="20"/>
              </w:rPr>
            </w:pPr>
            <w:r>
              <w:rPr>
                <w:sz w:val="20"/>
                <w:szCs w:val="20"/>
              </w:rPr>
              <w:t>40</w:t>
            </w:r>
          </w:p>
        </w:tc>
      </w:tr>
      <w:tr w:rsidR="003E6588" w:rsidTr="000B7E39">
        <w:trPr>
          <w:trHeight w:val="44"/>
          <w:jc w:val="center"/>
        </w:trPr>
        <w:tc>
          <w:tcPr>
            <w:tcW w:w="4442" w:type="dxa"/>
            <w:shd w:val="clear" w:color="auto" w:fill="auto"/>
            <w:vAlign w:val="center"/>
            <w:hideMark/>
          </w:tcPr>
          <w:p w:rsidR="003E6588" w:rsidRDefault="003E6588" w:rsidP="00C70C5C">
            <w:pPr>
              <w:jc w:val="left"/>
              <w:rPr>
                <w:sz w:val="20"/>
                <w:szCs w:val="20"/>
              </w:rPr>
            </w:pPr>
            <w:r>
              <w:rPr>
                <w:sz w:val="20"/>
                <w:szCs w:val="20"/>
              </w:rPr>
              <w:t>Curso de Bombeiros para Civis</w:t>
            </w:r>
          </w:p>
        </w:tc>
        <w:tc>
          <w:tcPr>
            <w:tcW w:w="1383" w:type="dxa"/>
            <w:shd w:val="clear" w:color="000000" w:fill="FFFFFF"/>
            <w:vAlign w:val="center"/>
            <w:hideMark/>
          </w:tcPr>
          <w:p w:rsidR="003E6588" w:rsidRDefault="003E6588">
            <w:pPr>
              <w:rPr>
                <w:sz w:val="20"/>
                <w:szCs w:val="20"/>
              </w:rPr>
            </w:pPr>
            <w:r>
              <w:rPr>
                <w:sz w:val="20"/>
                <w:szCs w:val="20"/>
              </w:rPr>
              <w:t>2</w:t>
            </w:r>
          </w:p>
        </w:tc>
        <w:tc>
          <w:tcPr>
            <w:tcW w:w="1559" w:type="dxa"/>
            <w:shd w:val="clear" w:color="000000" w:fill="FFFFFF"/>
            <w:vAlign w:val="center"/>
            <w:hideMark/>
          </w:tcPr>
          <w:p w:rsidR="003E6588" w:rsidRDefault="003E6588">
            <w:pPr>
              <w:rPr>
                <w:sz w:val="20"/>
                <w:szCs w:val="20"/>
              </w:rPr>
            </w:pPr>
            <w:r>
              <w:rPr>
                <w:sz w:val="20"/>
                <w:szCs w:val="20"/>
              </w:rPr>
              <w:t>90</w:t>
            </w:r>
          </w:p>
        </w:tc>
      </w:tr>
      <w:tr w:rsidR="003E6588" w:rsidTr="000B7E39">
        <w:trPr>
          <w:trHeight w:val="207"/>
          <w:jc w:val="center"/>
        </w:trPr>
        <w:tc>
          <w:tcPr>
            <w:tcW w:w="4442" w:type="dxa"/>
            <w:shd w:val="clear" w:color="auto" w:fill="auto"/>
            <w:vAlign w:val="center"/>
            <w:hideMark/>
          </w:tcPr>
          <w:p w:rsidR="003E6588" w:rsidRDefault="003E6588" w:rsidP="00C70C5C">
            <w:pPr>
              <w:jc w:val="left"/>
              <w:rPr>
                <w:sz w:val="20"/>
                <w:szCs w:val="20"/>
              </w:rPr>
            </w:pPr>
            <w:r>
              <w:rPr>
                <w:sz w:val="20"/>
                <w:szCs w:val="20"/>
              </w:rPr>
              <w:t>Salvamento terrestre</w:t>
            </w:r>
          </w:p>
        </w:tc>
        <w:tc>
          <w:tcPr>
            <w:tcW w:w="1383" w:type="dxa"/>
            <w:shd w:val="clear" w:color="000000" w:fill="FFFFFF"/>
            <w:vAlign w:val="center"/>
            <w:hideMark/>
          </w:tcPr>
          <w:p w:rsidR="003E6588" w:rsidRDefault="003E6588">
            <w:pPr>
              <w:rPr>
                <w:sz w:val="20"/>
                <w:szCs w:val="20"/>
              </w:rPr>
            </w:pPr>
            <w:r>
              <w:rPr>
                <w:sz w:val="20"/>
                <w:szCs w:val="20"/>
              </w:rPr>
              <w:t>1</w:t>
            </w:r>
          </w:p>
        </w:tc>
        <w:tc>
          <w:tcPr>
            <w:tcW w:w="1559" w:type="dxa"/>
            <w:shd w:val="clear" w:color="000000" w:fill="FFFFFF"/>
            <w:vAlign w:val="center"/>
            <w:hideMark/>
          </w:tcPr>
          <w:p w:rsidR="003E6588" w:rsidRDefault="003E6588">
            <w:pPr>
              <w:rPr>
                <w:sz w:val="20"/>
                <w:szCs w:val="20"/>
              </w:rPr>
            </w:pPr>
            <w:r>
              <w:rPr>
                <w:sz w:val="20"/>
                <w:szCs w:val="20"/>
              </w:rPr>
              <w:t>20</w:t>
            </w:r>
          </w:p>
        </w:tc>
      </w:tr>
      <w:tr w:rsidR="003E6588" w:rsidTr="000B7E39">
        <w:trPr>
          <w:trHeight w:val="112"/>
          <w:jc w:val="center"/>
        </w:trPr>
        <w:tc>
          <w:tcPr>
            <w:tcW w:w="4442" w:type="dxa"/>
            <w:shd w:val="clear" w:color="auto" w:fill="auto"/>
            <w:vAlign w:val="center"/>
            <w:hideMark/>
          </w:tcPr>
          <w:p w:rsidR="003E6588" w:rsidRDefault="003E6588" w:rsidP="00C70C5C">
            <w:pPr>
              <w:jc w:val="left"/>
              <w:rPr>
                <w:sz w:val="20"/>
                <w:szCs w:val="20"/>
              </w:rPr>
            </w:pPr>
            <w:r>
              <w:rPr>
                <w:sz w:val="20"/>
                <w:szCs w:val="20"/>
              </w:rPr>
              <w:t>Salvamento Altura</w:t>
            </w:r>
          </w:p>
        </w:tc>
        <w:tc>
          <w:tcPr>
            <w:tcW w:w="1383" w:type="dxa"/>
            <w:shd w:val="clear" w:color="000000" w:fill="FFFFFF"/>
            <w:vAlign w:val="center"/>
            <w:hideMark/>
          </w:tcPr>
          <w:p w:rsidR="003E6588" w:rsidRDefault="003E6588">
            <w:pPr>
              <w:rPr>
                <w:sz w:val="20"/>
                <w:szCs w:val="20"/>
              </w:rPr>
            </w:pPr>
            <w:r>
              <w:rPr>
                <w:sz w:val="20"/>
                <w:szCs w:val="20"/>
              </w:rPr>
              <w:t>1</w:t>
            </w:r>
          </w:p>
        </w:tc>
        <w:tc>
          <w:tcPr>
            <w:tcW w:w="1559" w:type="dxa"/>
            <w:shd w:val="clear" w:color="000000" w:fill="FFFFFF"/>
            <w:vAlign w:val="center"/>
            <w:hideMark/>
          </w:tcPr>
          <w:p w:rsidR="003E6588" w:rsidRDefault="003E6588">
            <w:pPr>
              <w:rPr>
                <w:sz w:val="20"/>
                <w:szCs w:val="20"/>
              </w:rPr>
            </w:pPr>
            <w:r>
              <w:rPr>
                <w:sz w:val="20"/>
                <w:szCs w:val="20"/>
              </w:rPr>
              <w:t>22</w:t>
            </w:r>
          </w:p>
        </w:tc>
      </w:tr>
      <w:tr w:rsidR="003E6588" w:rsidTr="000B7E39">
        <w:trPr>
          <w:trHeight w:val="158"/>
          <w:jc w:val="center"/>
        </w:trPr>
        <w:tc>
          <w:tcPr>
            <w:tcW w:w="4442" w:type="dxa"/>
            <w:shd w:val="clear" w:color="auto" w:fill="auto"/>
            <w:vAlign w:val="center"/>
            <w:hideMark/>
          </w:tcPr>
          <w:p w:rsidR="003E6588" w:rsidRDefault="003E6588" w:rsidP="00C70C5C">
            <w:pPr>
              <w:jc w:val="left"/>
              <w:rPr>
                <w:sz w:val="20"/>
                <w:szCs w:val="20"/>
              </w:rPr>
            </w:pPr>
            <w:r>
              <w:rPr>
                <w:sz w:val="20"/>
                <w:szCs w:val="20"/>
              </w:rPr>
              <w:t>Salvamento Aquático</w:t>
            </w:r>
          </w:p>
        </w:tc>
        <w:tc>
          <w:tcPr>
            <w:tcW w:w="1383" w:type="dxa"/>
            <w:shd w:val="clear" w:color="000000" w:fill="FFFFFF"/>
            <w:vAlign w:val="center"/>
            <w:hideMark/>
          </w:tcPr>
          <w:p w:rsidR="003E6588" w:rsidRDefault="003E6588">
            <w:pPr>
              <w:rPr>
                <w:sz w:val="20"/>
                <w:szCs w:val="20"/>
              </w:rPr>
            </w:pPr>
            <w:r>
              <w:rPr>
                <w:sz w:val="20"/>
                <w:szCs w:val="20"/>
              </w:rPr>
              <w:t>1</w:t>
            </w:r>
          </w:p>
        </w:tc>
        <w:tc>
          <w:tcPr>
            <w:tcW w:w="1559" w:type="dxa"/>
            <w:shd w:val="clear" w:color="000000" w:fill="FFFFFF"/>
            <w:vAlign w:val="center"/>
            <w:hideMark/>
          </w:tcPr>
          <w:p w:rsidR="003E6588" w:rsidRDefault="003E6588">
            <w:pPr>
              <w:rPr>
                <w:sz w:val="20"/>
                <w:szCs w:val="20"/>
              </w:rPr>
            </w:pPr>
            <w:r>
              <w:rPr>
                <w:sz w:val="20"/>
                <w:szCs w:val="20"/>
              </w:rPr>
              <w:t>20</w:t>
            </w:r>
          </w:p>
        </w:tc>
      </w:tr>
      <w:tr w:rsidR="003E6588" w:rsidTr="000B7E39">
        <w:trPr>
          <w:trHeight w:val="190"/>
          <w:jc w:val="center"/>
        </w:trPr>
        <w:tc>
          <w:tcPr>
            <w:tcW w:w="4442" w:type="dxa"/>
            <w:shd w:val="clear" w:color="auto" w:fill="auto"/>
            <w:vAlign w:val="center"/>
            <w:hideMark/>
          </w:tcPr>
          <w:p w:rsidR="003E6588" w:rsidRDefault="003E6588" w:rsidP="00C70C5C">
            <w:pPr>
              <w:jc w:val="left"/>
              <w:rPr>
                <w:sz w:val="20"/>
                <w:szCs w:val="20"/>
              </w:rPr>
            </w:pPr>
            <w:r>
              <w:rPr>
                <w:sz w:val="20"/>
                <w:szCs w:val="20"/>
              </w:rPr>
              <w:t>Salvamento Veicular</w:t>
            </w:r>
          </w:p>
        </w:tc>
        <w:tc>
          <w:tcPr>
            <w:tcW w:w="1383" w:type="dxa"/>
            <w:shd w:val="clear" w:color="000000" w:fill="FFFFFF"/>
            <w:vAlign w:val="center"/>
            <w:hideMark/>
          </w:tcPr>
          <w:p w:rsidR="003E6588" w:rsidRDefault="003E6588">
            <w:pPr>
              <w:rPr>
                <w:sz w:val="20"/>
                <w:szCs w:val="20"/>
              </w:rPr>
            </w:pPr>
            <w:r>
              <w:rPr>
                <w:sz w:val="20"/>
                <w:szCs w:val="20"/>
              </w:rPr>
              <w:t>1</w:t>
            </w:r>
          </w:p>
        </w:tc>
        <w:tc>
          <w:tcPr>
            <w:tcW w:w="1559" w:type="dxa"/>
            <w:shd w:val="clear" w:color="000000" w:fill="FFFFFF"/>
            <w:vAlign w:val="center"/>
            <w:hideMark/>
          </w:tcPr>
          <w:p w:rsidR="003E6588" w:rsidRDefault="003E6588">
            <w:pPr>
              <w:rPr>
                <w:sz w:val="20"/>
                <w:szCs w:val="20"/>
              </w:rPr>
            </w:pPr>
            <w:r>
              <w:rPr>
                <w:sz w:val="20"/>
                <w:szCs w:val="20"/>
              </w:rPr>
              <w:t>20</w:t>
            </w:r>
          </w:p>
        </w:tc>
      </w:tr>
      <w:tr w:rsidR="003E6588" w:rsidTr="000B7E39">
        <w:trPr>
          <w:trHeight w:val="94"/>
          <w:jc w:val="center"/>
        </w:trPr>
        <w:tc>
          <w:tcPr>
            <w:tcW w:w="4442" w:type="dxa"/>
            <w:shd w:val="clear" w:color="auto" w:fill="auto"/>
            <w:vAlign w:val="center"/>
            <w:hideMark/>
          </w:tcPr>
          <w:p w:rsidR="003E6588" w:rsidRDefault="003E6588" w:rsidP="00C70C5C">
            <w:pPr>
              <w:jc w:val="left"/>
              <w:rPr>
                <w:sz w:val="20"/>
                <w:szCs w:val="20"/>
              </w:rPr>
            </w:pPr>
            <w:r>
              <w:rPr>
                <w:sz w:val="20"/>
                <w:szCs w:val="20"/>
              </w:rPr>
              <w:t>Busca e Resgate em Estruturas Colapsadas</w:t>
            </w:r>
          </w:p>
        </w:tc>
        <w:tc>
          <w:tcPr>
            <w:tcW w:w="1383" w:type="dxa"/>
            <w:shd w:val="clear" w:color="000000" w:fill="FFFFFF"/>
            <w:vAlign w:val="center"/>
            <w:hideMark/>
          </w:tcPr>
          <w:p w:rsidR="003E6588" w:rsidRDefault="003E6588">
            <w:pPr>
              <w:rPr>
                <w:sz w:val="20"/>
                <w:szCs w:val="20"/>
              </w:rPr>
            </w:pPr>
            <w:r>
              <w:rPr>
                <w:sz w:val="20"/>
                <w:szCs w:val="20"/>
              </w:rPr>
              <w:t>1</w:t>
            </w:r>
          </w:p>
        </w:tc>
        <w:tc>
          <w:tcPr>
            <w:tcW w:w="1559" w:type="dxa"/>
            <w:shd w:val="clear" w:color="000000" w:fill="FFFFFF"/>
            <w:vAlign w:val="center"/>
            <w:hideMark/>
          </w:tcPr>
          <w:p w:rsidR="003E6588" w:rsidRDefault="003E6588">
            <w:pPr>
              <w:rPr>
                <w:sz w:val="20"/>
                <w:szCs w:val="20"/>
              </w:rPr>
            </w:pPr>
            <w:r>
              <w:rPr>
                <w:sz w:val="20"/>
                <w:szCs w:val="20"/>
              </w:rPr>
              <w:t>20</w:t>
            </w:r>
          </w:p>
        </w:tc>
      </w:tr>
      <w:tr w:rsidR="003E6588" w:rsidTr="000B7E39">
        <w:trPr>
          <w:trHeight w:val="139"/>
          <w:jc w:val="center"/>
        </w:trPr>
        <w:tc>
          <w:tcPr>
            <w:tcW w:w="4442" w:type="dxa"/>
            <w:shd w:val="clear" w:color="auto" w:fill="auto"/>
            <w:vAlign w:val="center"/>
            <w:hideMark/>
          </w:tcPr>
          <w:p w:rsidR="003E6588" w:rsidRDefault="003E6588" w:rsidP="00C70C5C">
            <w:pPr>
              <w:jc w:val="left"/>
              <w:rPr>
                <w:sz w:val="20"/>
                <w:szCs w:val="20"/>
              </w:rPr>
            </w:pPr>
            <w:r>
              <w:rPr>
                <w:sz w:val="20"/>
                <w:szCs w:val="20"/>
              </w:rPr>
              <w:t>Mergulho Autônomo</w:t>
            </w:r>
          </w:p>
        </w:tc>
        <w:tc>
          <w:tcPr>
            <w:tcW w:w="1383" w:type="dxa"/>
            <w:shd w:val="clear" w:color="000000" w:fill="FFFFFF"/>
            <w:vAlign w:val="center"/>
            <w:hideMark/>
          </w:tcPr>
          <w:p w:rsidR="003E6588" w:rsidRDefault="003E6588">
            <w:pPr>
              <w:rPr>
                <w:sz w:val="20"/>
                <w:szCs w:val="20"/>
              </w:rPr>
            </w:pPr>
            <w:r>
              <w:rPr>
                <w:sz w:val="20"/>
                <w:szCs w:val="20"/>
              </w:rPr>
              <w:t>5</w:t>
            </w:r>
          </w:p>
        </w:tc>
        <w:tc>
          <w:tcPr>
            <w:tcW w:w="1559" w:type="dxa"/>
            <w:shd w:val="clear" w:color="000000" w:fill="FFFFFF"/>
            <w:vAlign w:val="center"/>
            <w:hideMark/>
          </w:tcPr>
          <w:p w:rsidR="003E6588" w:rsidRDefault="003E6588">
            <w:pPr>
              <w:rPr>
                <w:sz w:val="20"/>
                <w:szCs w:val="20"/>
              </w:rPr>
            </w:pPr>
            <w:r>
              <w:rPr>
                <w:sz w:val="20"/>
                <w:szCs w:val="20"/>
              </w:rPr>
              <w:t>90</w:t>
            </w:r>
          </w:p>
        </w:tc>
      </w:tr>
      <w:tr w:rsidR="003E6588" w:rsidTr="000B7E39">
        <w:trPr>
          <w:trHeight w:val="186"/>
          <w:jc w:val="center"/>
        </w:trPr>
        <w:tc>
          <w:tcPr>
            <w:tcW w:w="4442" w:type="dxa"/>
            <w:shd w:val="clear" w:color="auto" w:fill="auto"/>
            <w:vAlign w:val="center"/>
            <w:hideMark/>
          </w:tcPr>
          <w:p w:rsidR="003E6588" w:rsidRDefault="003E6588" w:rsidP="00C70C5C">
            <w:pPr>
              <w:jc w:val="left"/>
              <w:rPr>
                <w:sz w:val="20"/>
                <w:szCs w:val="20"/>
              </w:rPr>
            </w:pPr>
            <w:r>
              <w:rPr>
                <w:sz w:val="20"/>
                <w:szCs w:val="20"/>
              </w:rPr>
              <w:t>Operações Avançadas de Embarcação</w:t>
            </w:r>
          </w:p>
        </w:tc>
        <w:tc>
          <w:tcPr>
            <w:tcW w:w="1383" w:type="dxa"/>
            <w:shd w:val="clear" w:color="000000" w:fill="FFFFFF"/>
            <w:noWrap/>
            <w:vAlign w:val="bottom"/>
            <w:hideMark/>
          </w:tcPr>
          <w:p w:rsidR="003E6588" w:rsidRDefault="003E6588">
            <w:pPr>
              <w:rPr>
                <w:sz w:val="20"/>
                <w:szCs w:val="20"/>
              </w:rPr>
            </w:pPr>
            <w:r>
              <w:rPr>
                <w:sz w:val="20"/>
                <w:szCs w:val="20"/>
              </w:rPr>
              <w:t>1</w:t>
            </w:r>
          </w:p>
        </w:tc>
        <w:tc>
          <w:tcPr>
            <w:tcW w:w="1559" w:type="dxa"/>
            <w:shd w:val="clear" w:color="000000" w:fill="FFFFFF"/>
            <w:noWrap/>
            <w:vAlign w:val="bottom"/>
            <w:hideMark/>
          </w:tcPr>
          <w:p w:rsidR="003E6588" w:rsidRDefault="003E6588">
            <w:pPr>
              <w:rPr>
                <w:sz w:val="20"/>
                <w:szCs w:val="20"/>
              </w:rPr>
            </w:pPr>
            <w:r>
              <w:rPr>
                <w:sz w:val="20"/>
                <w:szCs w:val="20"/>
              </w:rPr>
              <w:t>12</w:t>
            </w:r>
          </w:p>
        </w:tc>
      </w:tr>
      <w:tr w:rsidR="003E6588" w:rsidTr="000B7E39">
        <w:trPr>
          <w:trHeight w:val="231"/>
          <w:jc w:val="center"/>
        </w:trPr>
        <w:tc>
          <w:tcPr>
            <w:tcW w:w="4442" w:type="dxa"/>
            <w:shd w:val="clear" w:color="auto" w:fill="auto"/>
            <w:vAlign w:val="center"/>
            <w:hideMark/>
          </w:tcPr>
          <w:p w:rsidR="003E6588" w:rsidRDefault="003E6588" w:rsidP="00C70C5C">
            <w:pPr>
              <w:jc w:val="left"/>
              <w:rPr>
                <w:sz w:val="20"/>
                <w:szCs w:val="20"/>
              </w:rPr>
            </w:pPr>
            <w:r>
              <w:rPr>
                <w:sz w:val="20"/>
                <w:szCs w:val="20"/>
              </w:rPr>
              <w:t>Operações com Bote de Salvamento Inflável</w:t>
            </w:r>
          </w:p>
        </w:tc>
        <w:tc>
          <w:tcPr>
            <w:tcW w:w="1383" w:type="dxa"/>
            <w:shd w:val="clear" w:color="000000" w:fill="FFFFFF"/>
            <w:noWrap/>
            <w:vAlign w:val="bottom"/>
            <w:hideMark/>
          </w:tcPr>
          <w:p w:rsidR="003E6588" w:rsidRDefault="003E6588">
            <w:pPr>
              <w:rPr>
                <w:sz w:val="20"/>
                <w:szCs w:val="20"/>
              </w:rPr>
            </w:pPr>
            <w:r>
              <w:rPr>
                <w:sz w:val="20"/>
                <w:szCs w:val="20"/>
              </w:rPr>
              <w:t>1</w:t>
            </w:r>
          </w:p>
        </w:tc>
        <w:tc>
          <w:tcPr>
            <w:tcW w:w="1559" w:type="dxa"/>
            <w:shd w:val="clear" w:color="000000" w:fill="FFFFFF"/>
            <w:noWrap/>
            <w:vAlign w:val="bottom"/>
            <w:hideMark/>
          </w:tcPr>
          <w:p w:rsidR="003E6588" w:rsidRDefault="003E6588">
            <w:pPr>
              <w:rPr>
                <w:sz w:val="20"/>
                <w:szCs w:val="20"/>
              </w:rPr>
            </w:pPr>
            <w:r>
              <w:rPr>
                <w:sz w:val="20"/>
                <w:szCs w:val="20"/>
              </w:rPr>
              <w:t>10</w:t>
            </w:r>
          </w:p>
        </w:tc>
      </w:tr>
      <w:tr w:rsidR="003E6588" w:rsidTr="000B7E39">
        <w:trPr>
          <w:trHeight w:val="136"/>
          <w:jc w:val="center"/>
        </w:trPr>
        <w:tc>
          <w:tcPr>
            <w:tcW w:w="4442" w:type="dxa"/>
            <w:shd w:val="clear" w:color="auto" w:fill="auto"/>
            <w:vAlign w:val="center"/>
            <w:hideMark/>
          </w:tcPr>
          <w:p w:rsidR="003E6588" w:rsidRDefault="003E6588" w:rsidP="00C70C5C">
            <w:pPr>
              <w:jc w:val="left"/>
              <w:rPr>
                <w:sz w:val="20"/>
                <w:szCs w:val="20"/>
              </w:rPr>
            </w:pPr>
            <w:r>
              <w:rPr>
                <w:sz w:val="20"/>
                <w:szCs w:val="20"/>
              </w:rPr>
              <w:t>Operações Básicas de Embarcação</w:t>
            </w:r>
          </w:p>
        </w:tc>
        <w:tc>
          <w:tcPr>
            <w:tcW w:w="1383" w:type="dxa"/>
            <w:shd w:val="clear" w:color="000000" w:fill="FFFFFF"/>
            <w:noWrap/>
            <w:vAlign w:val="bottom"/>
            <w:hideMark/>
          </w:tcPr>
          <w:p w:rsidR="003E6588" w:rsidRDefault="003E6588">
            <w:pPr>
              <w:rPr>
                <w:sz w:val="20"/>
                <w:szCs w:val="20"/>
              </w:rPr>
            </w:pPr>
            <w:r>
              <w:rPr>
                <w:sz w:val="20"/>
                <w:szCs w:val="20"/>
              </w:rPr>
              <w:t>2</w:t>
            </w:r>
          </w:p>
        </w:tc>
        <w:tc>
          <w:tcPr>
            <w:tcW w:w="1559" w:type="dxa"/>
            <w:shd w:val="clear" w:color="000000" w:fill="FFFFFF"/>
            <w:noWrap/>
            <w:vAlign w:val="bottom"/>
            <w:hideMark/>
          </w:tcPr>
          <w:p w:rsidR="003E6588" w:rsidRDefault="003E6588">
            <w:pPr>
              <w:rPr>
                <w:sz w:val="20"/>
                <w:szCs w:val="20"/>
              </w:rPr>
            </w:pPr>
            <w:r>
              <w:rPr>
                <w:sz w:val="20"/>
                <w:szCs w:val="20"/>
              </w:rPr>
              <w:t>36</w:t>
            </w:r>
          </w:p>
        </w:tc>
      </w:tr>
      <w:tr w:rsidR="003E6588" w:rsidTr="000B7E39">
        <w:trPr>
          <w:trHeight w:val="44"/>
          <w:jc w:val="center"/>
        </w:trPr>
        <w:tc>
          <w:tcPr>
            <w:tcW w:w="4442" w:type="dxa"/>
            <w:shd w:val="clear" w:color="auto" w:fill="auto"/>
            <w:vAlign w:val="center"/>
            <w:hideMark/>
          </w:tcPr>
          <w:p w:rsidR="003E6588" w:rsidRDefault="003E6588" w:rsidP="00C70C5C">
            <w:pPr>
              <w:jc w:val="left"/>
              <w:rPr>
                <w:sz w:val="20"/>
                <w:szCs w:val="20"/>
              </w:rPr>
            </w:pPr>
            <w:r>
              <w:rPr>
                <w:sz w:val="20"/>
                <w:szCs w:val="20"/>
              </w:rPr>
              <w:t>Guarda -Vidas</w:t>
            </w:r>
          </w:p>
        </w:tc>
        <w:tc>
          <w:tcPr>
            <w:tcW w:w="1383" w:type="dxa"/>
            <w:shd w:val="clear" w:color="000000" w:fill="FFFFFF"/>
            <w:noWrap/>
            <w:vAlign w:val="bottom"/>
            <w:hideMark/>
          </w:tcPr>
          <w:p w:rsidR="003E6588" w:rsidRDefault="003E6588">
            <w:pPr>
              <w:rPr>
                <w:sz w:val="20"/>
                <w:szCs w:val="20"/>
              </w:rPr>
            </w:pPr>
            <w:r>
              <w:rPr>
                <w:sz w:val="20"/>
                <w:szCs w:val="20"/>
              </w:rPr>
              <w:t>2</w:t>
            </w:r>
          </w:p>
        </w:tc>
        <w:tc>
          <w:tcPr>
            <w:tcW w:w="1559" w:type="dxa"/>
            <w:shd w:val="clear" w:color="000000" w:fill="FFFFFF"/>
            <w:noWrap/>
            <w:vAlign w:val="bottom"/>
            <w:hideMark/>
          </w:tcPr>
          <w:p w:rsidR="003E6588" w:rsidRDefault="003E6588">
            <w:pPr>
              <w:rPr>
                <w:sz w:val="20"/>
                <w:szCs w:val="20"/>
              </w:rPr>
            </w:pPr>
            <w:r>
              <w:rPr>
                <w:sz w:val="20"/>
                <w:szCs w:val="20"/>
              </w:rPr>
              <w:t>50</w:t>
            </w:r>
          </w:p>
        </w:tc>
      </w:tr>
      <w:tr w:rsidR="003E6588" w:rsidTr="000B7E39">
        <w:trPr>
          <w:trHeight w:val="72"/>
          <w:jc w:val="center"/>
        </w:trPr>
        <w:tc>
          <w:tcPr>
            <w:tcW w:w="4442" w:type="dxa"/>
            <w:shd w:val="clear" w:color="auto" w:fill="auto"/>
            <w:vAlign w:val="center"/>
            <w:hideMark/>
          </w:tcPr>
          <w:p w:rsidR="003E6588" w:rsidRDefault="003E6588" w:rsidP="00C70C5C">
            <w:pPr>
              <w:jc w:val="left"/>
              <w:rPr>
                <w:sz w:val="20"/>
                <w:szCs w:val="20"/>
              </w:rPr>
            </w:pPr>
            <w:r>
              <w:rPr>
                <w:sz w:val="20"/>
                <w:szCs w:val="20"/>
              </w:rPr>
              <w:t>Condução de Viaturas em Situação de Emergência</w:t>
            </w:r>
          </w:p>
        </w:tc>
        <w:tc>
          <w:tcPr>
            <w:tcW w:w="1383" w:type="dxa"/>
            <w:shd w:val="clear" w:color="000000" w:fill="FFFFFF"/>
            <w:vAlign w:val="center"/>
            <w:hideMark/>
          </w:tcPr>
          <w:p w:rsidR="003E6588" w:rsidRDefault="003E6588">
            <w:pPr>
              <w:rPr>
                <w:sz w:val="20"/>
                <w:szCs w:val="20"/>
              </w:rPr>
            </w:pPr>
            <w:r>
              <w:rPr>
                <w:sz w:val="20"/>
                <w:szCs w:val="20"/>
              </w:rPr>
              <w:t>7</w:t>
            </w:r>
          </w:p>
        </w:tc>
        <w:tc>
          <w:tcPr>
            <w:tcW w:w="1559" w:type="dxa"/>
            <w:shd w:val="clear" w:color="000000" w:fill="FFFFFF"/>
            <w:vAlign w:val="center"/>
            <w:hideMark/>
          </w:tcPr>
          <w:p w:rsidR="003E6588" w:rsidRDefault="003E6588">
            <w:pPr>
              <w:rPr>
                <w:sz w:val="20"/>
                <w:szCs w:val="20"/>
              </w:rPr>
            </w:pPr>
            <w:r>
              <w:rPr>
                <w:sz w:val="20"/>
                <w:szCs w:val="20"/>
              </w:rPr>
              <w:t>175</w:t>
            </w:r>
          </w:p>
        </w:tc>
      </w:tr>
      <w:tr w:rsidR="003E6588" w:rsidTr="000B7E39">
        <w:trPr>
          <w:trHeight w:val="118"/>
          <w:jc w:val="center"/>
        </w:trPr>
        <w:tc>
          <w:tcPr>
            <w:tcW w:w="4442" w:type="dxa"/>
            <w:shd w:val="clear" w:color="auto" w:fill="auto"/>
            <w:vAlign w:val="center"/>
            <w:hideMark/>
          </w:tcPr>
          <w:p w:rsidR="003E6588" w:rsidRDefault="003E6588" w:rsidP="00C70C5C">
            <w:pPr>
              <w:jc w:val="left"/>
              <w:rPr>
                <w:sz w:val="20"/>
                <w:szCs w:val="20"/>
              </w:rPr>
            </w:pPr>
            <w:r>
              <w:rPr>
                <w:sz w:val="20"/>
                <w:szCs w:val="20"/>
              </w:rPr>
              <w:t>Condução de Motocicleta em situação de Emergência</w:t>
            </w:r>
          </w:p>
        </w:tc>
        <w:tc>
          <w:tcPr>
            <w:tcW w:w="1383" w:type="dxa"/>
            <w:shd w:val="clear" w:color="000000" w:fill="FFFFFF"/>
            <w:vAlign w:val="center"/>
            <w:hideMark/>
          </w:tcPr>
          <w:p w:rsidR="003E6588" w:rsidRDefault="003E6588">
            <w:pPr>
              <w:rPr>
                <w:sz w:val="20"/>
                <w:szCs w:val="20"/>
              </w:rPr>
            </w:pPr>
            <w:r>
              <w:rPr>
                <w:sz w:val="20"/>
                <w:szCs w:val="20"/>
              </w:rPr>
              <w:t>3</w:t>
            </w:r>
          </w:p>
        </w:tc>
        <w:tc>
          <w:tcPr>
            <w:tcW w:w="1559" w:type="dxa"/>
            <w:shd w:val="clear" w:color="000000" w:fill="FFFFFF"/>
            <w:vAlign w:val="center"/>
            <w:hideMark/>
          </w:tcPr>
          <w:p w:rsidR="003E6588" w:rsidRDefault="003E6588">
            <w:pPr>
              <w:rPr>
                <w:sz w:val="20"/>
                <w:szCs w:val="20"/>
              </w:rPr>
            </w:pPr>
            <w:r>
              <w:rPr>
                <w:sz w:val="20"/>
                <w:szCs w:val="20"/>
              </w:rPr>
              <w:t>60</w:t>
            </w:r>
          </w:p>
        </w:tc>
      </w:tr>
      <w:tr w:rsidR="003E6588" w:rsidTr="000B7E39">
        <w:trPr>
          <w:trHeight w:val="163"/>
          <w:jc w:val="center"/>
        </w:trPr>
        <w:tc>
          <w:tcPr>
            <w:tcW w:w="4442" w:type="dxa"/>
            <w:shd w:val="clear" w:color="auto" w:fill="auto"/>
            <w:vAlign w:val="center"/>
            <w:hideMark/>
          </w:tcPr>
          <w:p w:rsidR="003E6588" w:rsidRDefault="003E6588" w:rsidP="00C70C5C">
            <w:pPr>
              <w:jc w:val="left"/>
              <w:rPr>
                <w:sz w:val="20"/>
                <w:szCs w:val="20"/>
              </w:rPr>
            </w:pPr>
            <w:r>
              <w:rPr>
                <w:sz w:val="20"/>
                <w:szCs w:val="20"/>
              </w:rPr>
              <w:t>Curso de Formação de Soldado</w:t>
            </w:r>
          </w:p>
        </w:tc>
        <w:tc>
          <w:tcPr>
            <w:tcW w:w="1383" w:type="dxa"/>
            <w:shd w:val="clear" w:color="000000" w:fill="FFFFFF"/>
            <w:vAlign w:val="center"/>
            <w:hideMark/>
          </w:tcPr>
          <w:p w:rsidR="003E6588" w:rsidRDefault="003E6588">
            <w:pPr>
              <w:rPr>
                <w:sz w:val="20"/>
                <w:szCs w:val="20"/>
              </w:rPr>
            </w:pPr>
            <w:r>
              <w:rPr>
                <w:sz w:val="20"/>
                <w:szCs w:val="20"/>
              </w:rPr>
              <w:t>1</w:t>
            </w:r>
          </w:p>
        </w:tc>
        <w:tc>
          <w:tcPr>
            <w:tcW w:w="1559" w:type="dxa"/>
            <w:shd w:val="clear" w:color="000000" w:fill="FFFFFF"/>
            <w:vAlign w:val="center"/>
            <w:hideMark/>
          </w:tcPr>
          <w:p w:rsidR="003E6588" w:rsidRDefault="003E6588">
            <w:pPr>
              <w:rPr>
                <w:sz w:val="20"/>
                <w:szCs w:val="20"/>
              </w:rPr>
            </w:pPr>
            <w:r>
              <w:rPr>
                <w:sz w:val="20"/>
                <w:szCs w:val="20"/>
              </w:rPr>
              <w:t>391</w:t>
            </w:r>
          </w:p>
        </w:tc>
      </w:tr>
      <w:tr w:rsidR="003E6588" w:rsidTr="000B7E39">
        <w:trPr>
          <w:trHeight w:val="210"/>
          <w:jc w:val="center"/>
        </w:trPr>
        <w:tc>
          <w:tcPr>
            <w:tcW w:w="4442" w:type="dxa"/>
            <w:shd w:val="clear" w:color="auto" w:fill="auto"/>
            <w:vAlign w:val="center"/>
            <w:hideMark/>
          </w:tcPr>
          <w:p w:rsidR="003E6588" w:rsidRDefault="003E6588">
            <w:pPr>
              <w:rPr>
                <w:b/>
                <w:sz w:val="20"/>
                <w:szCs w:val="20"/>
              </w:rPr>
            </w:pPr>
            <w:r>
              <w:rPr>
                <w:b/>
                <w:sz w:val="20"/>
                <w:szCs w:val="20"/>
              </w:rPr>
              <w:t>TOTAL</w:t>
            </w:r>
          </w:p>
        </w:tc>
        <w:tc>
          <w:tcPr>
            <w:tcW w:w="1383" w:type="dxa"/>
            <w:shd w:val="clear" w:color="auto" w:fill="auto"/>
            <w:vAlign w:val="center"/>
            <w:hideMark/>
          </w:tcPr>
          <w:p w:rsidR="003E6588" w:rsidRDefault="003E6588">
            <w:pPr>
              <w:rPr>
                <w:b/>
                <w:sz w:val="20"/>
                <w:szCs w:val="20"/>
              </w:rPr>
            </w:pPr>
            <w:r>
              <w:rPr>
                <w:b/>
                <w:sz w:val="20"/>
                <w:szCs w:val="20"/>
              </w:rPr>
              <w:t>36</w:t>
            </w:r>
          </w:p>
        </w:tc>
        <w:tc>
          <w:tcPr>
            <w:tcW w:w="1559" w:type="dxa"/>
            <w:shd w:val="clear" w:color="auto" w:fill="auto"/>
            <w:vAlign w:val="center"/>
            <w:hideMark/>
          </w:tcPr>
          <w:p w:rsidR="003E6588" w:rsidRDefault="003E6588">
            <w:pPr>
              <w:rPr>
                <w:b/>
                <w:sz w:val="20"/>
                <w:szCs w:val="20"/>
              </w:rPr>
            </w:pPr>
            <w:r>
              <w:rPr>
                <w:b/>
                <w:sz w:val="20"/>
                <w:szCs w:val="20"/>
              </w:rPr>
              <w:t>1.509</w:t>
            </w:r>
          </w:p>
        </w:tc>
      </w:tr>
    </w:tbl>
    <w:p w:rsidR="003E6588" w:rsidRDefault="003E6588">
      <w:pPr>
        <w:jc w:val="both"/>
        <w:rPr>
          <w:bCs/>
          <w:color w:val="000000"/>
        </w:rPr>
      </w:pPr>
    </w:p>
    <w:p w:rsidR="003E6588" w:rsidRDefault="003E6588">
      <w:pPr>
        <w:ind w:firstLine="1134"/>
        <w:jc w:val="both"/>
        <w:rPr>
          <w:b/>
          <w:bCs/>
          <w:color w:val="000000"/>
        </w:rPr>
      </w:pPr>
      <w:r>
        <w:rPr>
          <w:b/>
          <w:bCs/>
          <w:color w:val="000000"/>
        </w:rPr>
        <w:t>Programas e Projetos</w:t>
      </w:r>
    </w:p>
    <w:p w:rsidR="00CB0DF8" w:rsidRDefault="00CB0DF8">
      <w:pPr>
        <w:jc w:val="both"/>
        <w:rPr>
          <w:bCs/>
          <w:color w:val="000000"/>
        </w:rPr>
      </w:pPr>
    </w:p>
    <w:p w:rsidR="00CB0DF8" w:rsidRDefault="003E6588">
      <w:pPr>
        <w:pStyle w:val="PargrafodaLista"/>
        <w:ind w:left="0" w:firstLine="1134"/>
        <w:rPr>
          <w:rFonts w:ascii="Times New Roman" w:hAnsi="Times New Roman"/>
          <w:sz w:val="24"/>
        </w:rPr>
      </w:pPr>
      <w:r>
        <w:rPr>
          <w:rFonts w:ascii="Times New Roman" w:hAnsi="Times New Roman"/>
          <w:b/>
          <w:sz w:val="24"/>
        </w:rPr>
        <w:t>Programa Bem-Me-Quer -</w:t>
      </w:r>
      <w:r>
        <w:rPr>
          <w:rFonts w:ascii="Times New Roman" w:hAnsi="Times New Roman"/>
          <w:sz w:val="24"/>
        </w:rPr>
        <w:t xml:space="preserve"> venceu concurso “Iniciativas de Promoção da Igualdade de Gênero”, organizado pelo Banco Mundial. A iniciativa, que presta atendimento especial às mulheres vítimas de violência sexual, concorreu com outros 153 projetos de 16 países da América Latina e do Caribe. O “Bem-Me-Quer” é mantido pelas Secretarias da Segurança Pública, da Saúde e de Desenvolvimento Social, funcionando no Hospital Pérola Byington, na Capital, há 12 anos.</w:t>
      </w:r>
    </w:p>
    <w:p w:rsidR="00CB0DF8" w:rsidRDefault="00CB0DF8">
      <w:pPr>
        <w:pStyle w:val="PargrafodaLista"/>
        <w:rPr>
          <w:rFonts w:ascii="Times New Roman" w:hAnsi="Times New Roman"/>
          <w:sz w:val="24"/>
        </w:rPr>
      </w:pPr>
    </w:p>
    <w:p w:rsidR="00CB0DF8" w:rsidRDefault="00CE42F3">
      <w:pPr>
        <w:pStyle w:val="PargrafodaLista"/>
        <w:ind w:left="0" w:firstLine="1134"/>
        <w:rPr>
          <w:rFonts w:ascii="Times New Roman" w:hAnsi="Times New Roman"/>
          <w:sz w:val="24"/>
        </w:rPr>
      </w:pPr>
      <w:r w:rsidRPr="00CE42F3">
        <w:rPr>
          <w:rFonts w:ascii="Times New Roman" w:hAnsi="Times New Roman"/>
          <w:sz w:val="24"/>
        </w:rPr>
        <w:t>Registro das estatísticas do Programa Bem-Me-Quer.</w:t>
      </w:r>
    </w:p>
    <w:p w:rsidR="00CB0DF8" w:rsidRDefault="00CB0DF8">
      <w:pPr>
        <w:pStyle w:val="PargrafodaLista"/>
        <w:rPr>
          <w:rFonts w:ascii="Times New Roman" w:hAnsi="Times New Roman"/>
          <w:sz w:val="24"/>
        </w:rPr>
      </w:pPr>
    </w:p>
    <w:tbl>
      <w:tblPr>
        <w:tblW w:w="3907" w:type="dxa"/>
        <w:jc w:val="center"/>
        <w:tblInd w:w="223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1875"/>
        <w:gridCol w:w="2032"/>
      </w:tblGrid>
      <w:tr w:rsidR="003E6588" w:rsidTr="000B7E39">
        <w:trPr>
          <w:trHeight w:val="305"/>
          <w:jc w:val="center"/>
        </w:trPr>
        <w:tc>
          <w:tcPr>
            <w:tcW w:w="1875" w:type="dxa"/>
            <w:shd w:val="clear" w:color="auto" w:fill="auto"/>
            <w:vAlign w:val="center"/>
            <w:hideMark/>
          </w:tcPr>
          <w:p w:rsidR="003E6588" w:rsidRDefault="003E6588">
            <w:pPr>
              <w:rPr>
                <w:b/>
                <w:bCs/>
                <w:sz w:val="20"/>
                <w:szCs w:val="20"/>
              </w:rPr>
            </w:pPr>
            <w:r>
              <w:rPr>
                <w:b/>
                <w:bCs/>
                <w:sz w:val="20"/>
                <w:szCs w:val="20"/>
              </w:rPr>
              <w:t>Ano</w:t>
            </w:r>
          </w:p>
        </w:tc>
        <w:tc>
          <w:tcPr>
            <w:tcW w:w="2032" w:type="dxa"/>
            <w:shd w:val="clear" w:color="auto" w:fill="auto"/>
            <w:vAlign w:val="center"/>
          </w:tcPr>
          <w:p w:rsidR="003E6588" w:rsidRDefault="003E6588">
            <w:pPr>
              <w:rPr>
                <w:b/>
                <w:bCs/>
                <w:sz w:val="20"/>
                <w:szCs w:val="20"/>
              </w:rPr>
            </w:pPr>
            <w:r>
              <w:rPr>
                <w:b/>
                <w:bCs/>
                <w:sz w:val="20"/>
                <w:szCs w:val="20"/>
              </w:rPr>
              <w:t>Nº de casos</w:t>
            </w:r>
          </w:p>
        </w:tc>
      </w:tr>
      <w:tr w:rsidR="003E6588" w:rsidTr="000B7E39">
        <w:trPr>
          <w:trHeight w:val="305"/>
          <w:jc w:val="center"/>
        </w:trPr>
        <w:tc>
          <w:tcPr>
            <w:tcW w:w="1875" w:type="dxa"/>
            <w:shd w:val="clear" w:color="auto" w:fill="auto"/>
            <w:vAlign w:val="center"/>
          </w:tcPr>
          <w:p w:rsidR="003E6588" w:rsidRDefault="003E6588">
            <w:pPr>
              <w:rPr>
                <w:sz w:val="20"/>
                <w:szCs w:val="20"/>
              </w:rPr>
            </w:pPr>
            <w:r>
              <w:rPr>
                <w:sz w:val="20"/>
                <w:szCs w:val="20"/>
              </w:rPr>
              <w:t>2014</w:t>
            </w:r>
          </w:p>
        </w:tc>
        <w:tc>
          <w:tcPr>
            <w:tcW w:w="2032" w:type="dxa"/>
            <w:shd w:val="clear" w:color="auto" w:fill="auto"/>
            <w:vAlign w:val="center"/>
          </w:tcPr>
          <w:p w:rsidR="003E6588" w:rsidRDefault="003E6588">
            <w:pPr>
              <w:rPr>
                <w:sz w:val="20"/>
                <w:szCs w:val="20"/>
              </w:rPr>
            </w:pPr>
            <w:r>
              <w:rPr>
                <w:sz w:val="20"/>
                <w:szCs w:val="20"/>
              </w:rPr>
              <w:t>4.813</w:t>
            </w:r>
          </w:p>
        </w:tc>
      </w:tr>
    </w:tbl>
    <w:p w:rsidR="003E6588" w:rsidRDefault="003E6588">
      <w:pPr>
        <w:pStyle w:val="PargrafodaLista"/>
        <w:ind w:left="567"/>
        <w:rPr>
          <w:rFonts w:ascii="Times New Roman" w:hAnsi="Times New Roman"/>
          <w:sz w:val="24"/>
        </w:rPr>
      </w:pPr>
    </w:p>
    <w:p w:rsidR="00CB0DF8" w:rsidRDefault="003E6588">
      <w:pPr>
        <w:ind w:firstLine="1134"/>
        <w:jc w:val="left"/>
        <w:rPr>
          <w:b/>
        </w:rPr>
      </w:pPr>
      <w:r>
        <w:rPr>
          <w:b/>
        </w:rPr>
        <w:t>Programa de Prevenção Corpo de Bombeiros nas Escolas - CBE</w:t>
      </w:r>
    </w:p>
    <w:p w:rsidR="003E6588" w:rsidRDefault="003E6588">
      <w:pPr>
        <w:ind w:firstLine="1134"/>
        <w:rPr>
          <w:b/>
        </w:rPr>
      </w:pPr>
    </w:p>
    <w:p w:rsidR="00CB0DF8" w:rsidRDefault="003E6588">
      <w:pPr>
        <w:ind w:firstLine="1134"/>
        <w:jc w:val="both"/>
        <w:rPr>
          <w:lang w:val="fr-FR"/>
        </w:rPr>
      </w:pPr>
      <w:r>
        <w:rPr>
          <w:b/>
          <w:bCs/>
        </w:rPr>
        <w:t>Objetivos -</w:t>
      </w:r>
      <w:r>
        <w:rPr>
          <w:bCs/>
        </w:rPr>
        <w:t xml:space="preserve"> </w:t>
      </w:r>
      <w:r>
        <w:t>Parceria Corpo de Bombeiros e SE (Secretaria da Educação, buscando mudanças de comportamentos no aspecto prevencionista (redução de ocorrências) e ensinando procedimentos básicos de atendimento de emergências no ambiente escolar.</w:t>
      </w:r>
    </w:p>
    <w:p w:rsidR="003E6588" w:rsidRDefault="003E6588">
      <w:pPr>
        <w:ind w:firstLine="1134"/>
        <w:jc w:val="both"/>
        <w:rPr>
          <w:bCs/>
          <w:u w:val="single"/>
          <w:lang w:val="fr-FR"/>
        </w:rPr>
      </w:pPr>
    </w:p>
    <w:p w:rsidR="00CB0DF8" w:rsidRDefault="00CE42F3">
      <w:pPr>
        <w:ind w:firstLine="1134"/>
        <w:jc w:val="both"/>
      </w:pPr>
      <w:r w:rsidRPr="00CE42F3">
        <w:rPr>
          <w:b/>
          <w:bCs/>
        </w:rPr>
        <w:t>Público-Alvo</w:t>
      </w:r>
      <w:r w:rsidR="003E6588">
        <w:rPr>
          <w:b/>
          <w:bCs/>
        </w:rPr>
        <w:t xml:space="preserve"> -</w:t>
      </w:r>
      <w:r w:rsidRPr="00CE42F3">
        <w:rPr>
          <w:bCs/>
        </w:rPr>
        <w:t xml:space="preserve"> </w:t>
      </w:r>
      <w:r w:rsidR="003E6588">
        <w:t>Agentes de Organização, Coordenador Pedagógico, Gestor - Dirigentes Escolares.</w:t>
      </w:r>
    </w:p>
    <w:p w:rsidR="003E6588" w:rsidRDefault="003E6588">
      <w:pPr>
        <w:ind w:firstLine="1134"/>
        <w:jc w:val="both"/>
        <w:rPr>
          <w:lang w:val="fr-FR"/>
        </w:rPr>
      </w:pPr>
    </w:p>
    <w:p w:rsidR="00CB0DF8" w:rsidRDefault="00CE42F3">
      <w:pPr>
        <w:ind w:firstLine="1134"/>
        <w:jc w:val="both"/>
      </w:pPr>
      <w:r w:rsidRPr="00CE42F3">
        <w:rPr>
          <w:b/>
        </w:rPr>
        <w:t>Público atingido</w:t>
      </w:r>
      <w:r w:rsidR="003E6588">
        <w:rPr>
          <w:b/>
        </w:rPr>
        <w:t xml:space="preserve"> - </w:t>
      </w:r>
      <w:r w:rsidRPr="00CE42F3">
        <w:t>6.585 profissionais da educação.</w:t>
      </w:r>
    </w:p>
    <w:p w:rsidR="003E6588" w:rsidRDefault="003E6588">
      <w:pPr>
        <w:ind w:firstLine="1134"/>
        <w:jc w:val="both"/>
      </w:pPr>
    </w:p>
    <w:p w:rsidR="00CB0DF8" w:rsidRDefault="00CE42F3">
      <w:pPr>
        <w:ind w:firstLine="1134"/>
        <w:jc w:val="both"/>
        <w:rPr>
          <w:b/>
          <w:color w:val="000000"/>
        </w:rPr>
      </w:pPr>
      <w:r w:rsidRPr="00CE42F3">
        <w:rPr>
          <w:b/>
          <w:bCs/>
        </w:rPr>
        <w:t>Programa Bombeiros nas Escolas</w:t>
      </w:r>
    </w:p>
    <w:p w:rsidR="003E6588" w:rsidRDefault="003E6588">
      <w:pPr>
        <w:ind w:firstLine="1134"/>
        <w:jc w:val="both"/>
        <w:rPr>
          <w:bCs/>
        </w:rPr>
      </w:pPr>
    </w:p>
    <w:p w:rsidR="00CB0DF8" w:rsidRDefault="003E6588">
      <w:pPr>
        <w:tabs>
          <w:tab w:val="left" w:pos="709"/>
        </w:tabs>
        <w:ind w:firstLine="1134"/>
        <w:jc w:val="both"/>
      </w:pPr>
      <w:r>
        <w:rPr>
          <w:b/>
          <w:bCs/>
        </w:rPr>
        <w:t>Objetivos -</w:t>
      </w:r>
      <w:r>
        <w:rPr>
          <w:color w:val="000000"/>
        </w:rPr>
        <w:t xml:space="preserve"> visa promover a conscientização</w:t>
      </w:r>
      <w:r>
        <w:t xml:space="preserve"> e prática de hábitos prevencionista</w:t>
      </w:r>
      <w:r>
        <w:rPr>
          <w:color w:val="000000"/>
        </w:rPr>
        <w:t xml:space="preserve">s, por meio de palestras </w:t>
      </w:r>
      <w:r>
        <w:t>e instruções junto às escolas, empresas e entidades da sociedade.</w:t>
      </w:r>
    </w:p>
    <w:p w:rsidR="003E6588" w:rsidRDefault="003E6588">
      <w:pPr>
        <w:ind w:firstLine="1134"/>
        <w:jc w:val="both"/>
        <w:rPr>
          <w:bCs/>
          <w:u w:val="single"/>
        </w:rPr>
      </w:pPr>
    </w:p>
    <w:p w:rsidR="00CB0DF8" w:rsidRDefault="00CE42F3">
      <w:pPr>
        <w:ind w:firstLine="1134"/>
        <w:jc w:val="both"/>
      </w:pPr>
      <w:r w:rsidRPr="00CE42F3">
        <w:rPr>
          <w:b/>
          <w:bCs/>
        </w:rPr>
        <w:t>P</w:t>
      </w:r>
      <w:r w:rsidR="003E6588">
        <w:rPr>
          <w:b/>
          <w:bCs/>
        </w:rPr>
        <w:t>ú</w:t>
      </w:r>
      <w:r w:rsidRPr="00CE42F3">
        <w:rPr>
          <w:b/>
          <w:bCs/>
        </w:rPr>
        <w:t>blico-Alvo</w:t>
      </w:r>
      <w:r w:rsidR="003E6588">
        <w:rPr>
          <w:b/>
          <w:bCs/>
        </w:rPr>
        <w:t xml:space="preserve"> -</w:t>
      </w:r>
      <w:r w:rsidRPr="00CE42F3">
        <w:rPr>
          <w:bCs/>
        </w:rPr>
        <w:t xml:space="preserve"> </w:t>
      </w:r>
      <w:r w:rsidR="003E6588">
        <w:t>alunos de 12 a 17 anos e, nas empresas, todas as faixas etárias.</w:t>
      </w:r>
    </w:p>
    <w:p w:rsidR="003E6588" w:rsidRDefault="003E6588">
      <w:pPr>
        <w:ind w:firstLine="1134"/>
        <w:jc w:val="both"/>
      </w:pPr>
    </w:p>
    <w:p w:rsidR="00CB0DF8" w:rsidRDefault="00CE42F3">
      <w:pPr>
        <w:ind w:firstLine="1134"/>
        <w:jc w:val="both"/>
        <w:rPr>
          <w:color w:val="000000"/>
        </w:rPr>
      </w:pPr>
      <w:r w:rsidRPr="00CE42F3">
        <w:rPr>
          <w:b/>
        </w:rPr>
        <w:t>Público</w:t>
      </w:r>
      <w:r w:rsidR="003E6588">
        <w:rPr>
          <w:b/>
        </w:rPr>
        <w:t xml:space="preserve"> </w:t>
      </w:r>
      <w:r w:rsidRPr="00CE42F3">
        <w:rPr>
          <w:b/>
        </w:rPr>
        <w:t>atingido</w:t>
      </w:r>
      <w:r w:rsidR="003E6588">
        <w:rPr>
          <w:b/>
        </w:rPr>
        <w:t xml:space="preserve"> -</w:t>
      </w:r>
      <w:r w:rsidRPr="00CE42F3">
        <w:t xml:space="preserve"> a</w:t>
      </w:r>
      <w:r w:rsidR="003E6588">
        <w:t>proximadamente 4.451 ações com público de 275.917</w:t>
      </w:r>
    </w:p>
    <w:p w:rsidR="003E6588" w:rsidRDefault="003E6588">
      <w:pPr>
        <w:ind w:firstLine="1134"/>
        <w:jc w:val="both"/>
        <w:rPr>
          <w:bCs/>
        </w:rPr>
      </w:pPr>
    </w:p>
    <w:p w:rsidR="00CB0DF8" w:rsidRDefault="003E6588">
      <w:pPr>
        <w:ind w:firstLine="1134"/>
        <w:jc w:val="both"/>
        <w:rPr>
          <w:b/>
          <w:bCs/>
        </w:rPr>
      </w:pPr>
      <w:r>
        <w:rPr>
          <w:b/>
          <w:bCs/>
        </w:rPr>
        <w:t>Programa “Vida no Trânsito”</w:t>
      </w:r>
    </w:p>
    <w:p w:rsidR="003E6588" w:rsidRDefault="003E6588">
      <w:pPr>
        <w:ind w:firstLine="1134"/>
        <w:jc w:val="both"/>
        <w:rPr>
          <w:bCs/>
        </w:rPr>
      </w:pPr>
    </w:p>
    <w:p w:rsidR="00CB0DF8" w:rsidRDefault="003E6588">
      <w:pPr>
        <w:ind w:firstLine="1134"/>
        <w:jc w:val="both"/>
        <w:rPr>
          <w:lang w:val="fr-FR"/>
        </w:rPr>
      </w:pPr>
      <w:r>
        <w:rPr>
          <w:b/>
          <w:bCs/>
        </w:rPr>
        <w:t>Objetivos -</w:t>
      </w:r>
      <w:r>
        <w:rPr>
          <w:bCs/>
        </w:rPr>
        <w:t xml:space="preserve"> realizar capacitação, voltada a </w:t>
      </w:r>
      <w:r>
        <w:rPr>
          <w:color w:val="000000"/>
        </w:rPr>
        <w:t>gestores de municípios onde há grande índice de acidentes com motocicletas,</w:t>
      </w:r>
      <w:r>
        <w:rPr>
          <w:bCs/>
        </w:rPr>
        <w:t xml:space="preserve"> na prevenção de acidentes de motos.</w:t>
      </w:r>
    </w:p>
    <w:p w:rsidR="003E6588" w:rsidRDefault="003E6588">
      <w:pPr>
        <w:ind w:firstLine="1134"/>
        <w:jc w:val="both"/>
        <w:rPr>
          <w:bCs/>
          <w:u w:val="single"/>
        </w:rPr>
      </w:pPr>
    </w:p>
    <w:p w:rsidR="00CB0DF8" w:rsidRDefault="00CE42F3">
      <w:pPr>
        <w:ind w:firstLine="1134"/>
        <w:jc w:val="both"/>
        <w:rPr>
          <w:bCs/>
          <w:lang w:val="fr-FR"/>
        </w:rPr>
      </w:pPr>
      <w:r w:rsidRPr="00CE42F3">
        <w:rPr>
          <w:b/>
          <w:bCs/>
        </w:rPr>
        <w:t>P</w:t>
      </w:r>
      <w:r w:rsidR="003E6588">
        <w:rPr>
          <w:b/>
          <w:bCs/>
        </w:rPr>
        <w:t>ú</w:t>
      </w:r>
      <w:r w:rsidRPr="00CE42F3">
        <w:rPr>
          <w:b/>
          <w:bCs/>
        </w:rPr>
        <w:t>blico-Alvo</w:t>
      </w:r>
      <w:r w:rsidR="003E6588">
        <w:rPr>
          <w:b/>
          <w:bCs/>
        </w:rPr>
        <w:t xml:space="preserve"> -</w:t>
      </w:r>
      <w:r w:rsidRPr="00CE42F3">
        <w:rPr>
          <w:b/>
          <w:bCs/>
        </w:rPr>
        <w:t xml:space="preserve"> </w:t>
      </w:r>
      <w:r w:rsidRPr="00CE42F3">
        <w:rPr>
          <w:bCs/>
        </w:rPr>
        <w:t>i</w:t>
      </w:r>
      <w:r w:rsidR="003E6588">
        <w:rPr>
          <w:bCs/>
        </w:rPr>
        <w:t>nterlocutores de Promoção da Saúde dos Departamentos Regionais de Saúde (DRS), Interlocutores de Acidentes e Violências dos Grupos de Vigilância Epidemiológica (GVE) e Representante de Municípios prioritários do Estado.</w:t>
      </w:r>
    </w:p>
    <w:p w:rsidR="003E6588" w:rsidRDefault="003E6588">
      <w:pPr>
        <w:ind w:firstLine="1134"/>
        <w:jc w:val="both"/>
        <w:rPr>
          <w:bCs/>
          <w:u w:val="single"/>
        </w:rPr>
      </w:pPr>
    </w:p>
    <w:p w:rsidR="00CB0DF8" w:rsidRDefault="00CE42F3">
      <w:pPr>
        <w:ind w:firstLine="1134"/>
        <w:jc w:val="both"/>
      </w:pPr>
      <w:r w:rsidRPr="00CE42F3">
        <w:rPr>
          <w:b/>
        </w:rPr>
        <w:t>Público atingido</w:t>
      </w:r>
      <w:r w:rsidR="003E6588">
        <w:rPr>
          <w:b/>
        </w:rPr>
        <w:t xml:space="preserve"> -</w:t>
      </w:r>
      <w:r w:rsidRPr="00CE42F3">
        <w:t xml:space="preserve"> </w:t>
      </w:r>
      <w:r w:rsidR="003E6588">
        <w:t>1.000 multiplicadores  habilitados.</w:t>
      </w:r>
    </w:p>
    <w:p w:rsidR="003E6588" w:rsidRDefault="003E6588">
      <w:pPr>
        <w:ind w:firstLine="1134"/>
        <w:jc w:val="both"/>
      </w:pPr>
    </w:p>
    <w:p w:rsidR="00CB0DF8" w:rsidRDefault="003E6588">
      <w:pPr>
        <w:ind w:firstLine="1134"/>
        <w:jc w:val="both"/>
        <w:rPr>
          <w:b/>
        </w:rPr>
      </w:pPr>
      <w:r>
        <w:rPr>
          <w:b/>
        </w:rPr>
        <w:t>Programa Chama Segura</w:t>
      </w:r>
    </w:p>
    <w:p w:rsidR="003E6588" w:rsidRDefault="003E6588">
      <w:pPr>
        <w:ind w:firstLine="1134"/>
        <w:jc w:val="both"/>
        <w:rPr>
          <w:bCs/>
          <w:u w:val="single"/>
        </w:rPr>
      </w:pPr>
    </w:p>
    <w:p w:rsidR="00CB0DF8" w:rsidRDefault="003E6588">
      <w:pPr>
        <w:ind w:firstLine="1134"/>
        <w:jc w:val="both"/>
      </w:pPr>
      <w:r>
        <w:rPr>
          <w:b/>
          <w:bCs/>
        </w:rPr>
        <w:t>Objetivos -</w:t>
      </w:r>
      <w:r>
        <w:t xml:space="preserve"> parceria Corpo de Bombeiros, Fundabom e Liquigás, visa reduzir os números de acidentes domésticos envolvendo o GLP, por meio de ações junto às comunidades carentes, demonstrando a maneira correta de manusear e armazenar o botijão de GLP.</w:t>
      </w:r>
    </w:p>
    <w:p w:rsidR="003E6588" w:rsidRDefault="003E6588">
      <w:pPr>
        <w:ind w:firstLine="1134"/>
        <w:jc w:val="both"/>
        <w:rPr>
          <w:bCs/>
          <w:u w:val="single"/>
        </w:rPr>
      </w:pPr>
    </w:p>
    <w:p w:rsidR="00CB0DF8" w:rsidRDefault="00CE42F3">
      <w:pPr>
        <w:ind w:firstLine="1134"/>
        <w:jc w:val="both"/>
        <w:rPr>
          <w:lang w:val="fr-FR"/>
        </w:rPr>
      </w:pPr>
      <w:r w:rsidRPr="00CE42F3">
        <w:rPr>
          <w:b/>
          <w:bCs/>
        </w:rPr>
        <w:t>Publico-Alvo</w:t>
      </w:r>
      <w:r w:rsidR="003E6588">
        <w:rPr>
          <w:b/>
          <w:bCs/>
        </w:rPr>
        <w:t xml:space="preserve"> -</w:t>
      </w:r>
      <w:r w:rsidRPr="00CE42F3">
        <w:rPr>
          <w:bCs/>
        </w:rPr>
        <w:t xml:space="preserve"> m</w:t>
      </w:r>
      <w:r w:rsidRPr="00CE42F3">
        <w:t>oradores de comunidades carentes</w:t>
      </w:r>
    </w:p>
    <w:p w:rsidR="003E6588" w:rsidRDefault="003E6588">
      <w:pPr>
        <w:ind w:firstLine="1134"/>
        <w:jc w:val="both"/>
        <w:rPr>
          <w:bCs/>
          <w:u w:val="single"/>
        </w:rPr>
      </w:pPr>
    </w:p>
    <w:p w:rsidR="003E6588" w:rsidRDefault="00CE42F3">
      <w:pPr>
        <w:ind w:firstLine="1134"/>
        <w:jc w:val="both"/>
      </w:pPr>
      <w:r w:rsidRPr="00CE42F3">
        <w:rPr>
          <w:b/>
        </w:rPr>
        <w:t>Público atingido</w:t>
      </w:r>
      <w:r w:rsidR="003E6588">
        <w:rPr>
          <w:b/>
        </w:rPr>
        <w:t xml:space="preserve"> -</w:t>
      </w:r>
      <w:r w:rsidRPr="00CE42F3">
        <w:t xml:space="preserve"> </w:t>
      </w:r>
      <w:r w:rsidR="003E6588">
        <w:t>77 ações realizadas, atingindo diretamente um público de 11.021pessoas.</w:t>
      </w:r>
    </w:p>
    <w:p w:rsidR="00CB0DF8" w:rsidRDefault="00CB0DF8">
      <w:pPr>
        <w:ind w:firstLine="1134"/>
        <w:jc w:val="both"/>
      </w:pPr>
    </w:p>
    <w:p w:rsidR="003E6588" w:rsidRPr="000B7E39" w:rsidRDefault="00CE42F3">
      <w:pPr>
        <w:ind w:firstLine="1134"/>
        <w:jc w:val="both"/>
        <w:rPr>
          <w:b/>
          <w:strike/>
        </w:rPr>
      </w:pPr>
      <w:r w:rsidRPr="00CE42F3">
        <w:rPr>
          <w:b/>
        </w:rPr>
        <w:t>PM</w:t>
      </w:r>
    </w:p>
    <w:p w:rsidR="003E6588" w:rsidRDefault="003E6588">
      <w:pPr>
        <w:jc w:val="both"/>
      </w:pPr>
    </w:p>
    <w:p w:rsidR="003E6588" w:rsidRDefault="003E6588">
      <w:pPr>
        <w:ind w:firstLine="1134"/>
        <w:jc w:val="both"/>
        <w:rPr>
          <w:b/>
          <w:shd w:val="clear" w:color="auto" w:fill="FFFFFF"/>
        </w:rPr>
      </w:pPr>
      <w:r>
        <w:rPr>
          <w:b/>
          <w:bCs/>
          <w:shd w:val="clear" w:color="auto" w:fill="FFFFFF"/>
        </w:rPr>
        <w:t>PROERD</w:t>
      </w:r>
    </w:p>
    <w:tbl>
      <w:tblPr>
        <w:tblpPr w:leftFromText="141" w:rightFromText="141" w:vertAnchor="text" w:horzAnchor="page" w:tblpX="5349" w:tblpY="213"/>
        <w:tblW w:w="4947" w:type="dxa"/>
        <w:tblCellMar>
          <w:left w:w="70" w:type="dxa"/>
          <w:right w:w="70" w:type="dxa"/>
        </w:tblCellMar>
        <w:tblLook w:val="04A0"/>
      </w:tblPr>
      <w:tblGrid>
        <w:gridCol w:w="3260"/>
        <w:gridCol w:w="1687"/>
      </w:tblGrid>
      <w:tr w:rsidR="003E6588" w:rsidTr="000B7E39">
        <w:trPr>
          <w:trHeight w:val="147"/>
        </w:trPr>
        <w:tc>
          <w:tcPr>
            <w:tcW w:w="4947" w:type="dxa"/>
            <w:gridSpan w:val="2"/>
            <w:tcBorders>
              <w:bottom w:val="single" w:sz="8" w:space="0" w:color="auto"/>
            </w:tcBorders>
            <w:noWrap/>
            <w:vAlign w:val="bottom"/>
          </w:tcPr>
          <w:p w:rsidR="003E6588" w:rsidRDefault="003E6588">
            <w:pPr>
              <w:rPr>
                <w:bCs/>
                <w:sz w:val="16"/>
                <w:szCs w:val="16"/>
                <w:u w:val="single"/>
                <w:shd w:val="clear" w:color="auto" w:fill="FFFFFF"/>
              </w:rPr>
            </w:pPr>
            <w:r>
              <w:rPr>
                <w:bCs/>
                <w:sz w:val="16"/>
                <w:szCs w:val="16"/>
                <w:u w:val="single"/>
                <w:shd w:val="clear" w:color="auto" w:fill="FFFFFF"/>
              </w:rPr>
              <w:t>Fonte: DPCDH</w:t>
            </w:r>
          </w:p>
          <w:p w:rsidR="003E6588" w:rsidRDefault="003E6588">
            <w:pPr>
              <w:rPr>
                <w:b/>
                <w:bCs/>
                <w:sz w:val="20"/>
                <w:szCs w:val="20"/>
              </w:rPr>
            </w:pPr>
            <w:r>
              <w:rPr>
                <w:b/>
                <w:bCs/>
                <w:sz w:val="20"/>
                <w:szCs w:val="20"/>
              </w:rPr>
              <w:t>INSTRUTORES DO PROERD</w:t>
            </w:r>
          </w:p>
        </w:tc>
      </w:tr>
      <w:tr w:rsidR="003E6588" w:rsidTr="000B7E39">
        <w:trPr>
          <w:trHeight w:val="264"/>
        </w:trPr>
        <w:tc>
          <w:tcPr>
            <w:tcW w:w="326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
                <w:bCs/>
                <w:iCs/>
                <w:sz w:val="20"/>
                <w:szCs w:val="20"/>
              </w:rPr>
            </w:pPr>
            <w:r>
              <w:rPr>
                <w:b/>
                <w:bCs/>
                <w:iCs/>
                <w:sz w:val="20"/>
                <w:szCs w:val="20"/>
              </w:rPr>
              <w:t>GRANDES COMANDOS</w:t>
            </w:r>
          </w:p>
        </w:tc>
        <w:tc>
          <w:tcPr>
            <w:tcW w:w="1687"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
                <w:bCs/>
                <w:iCs/>
                <w:sz w:val="20"/>
                <w:szCs w:val="20"/>
              </w:rPr>
            </w:pPr>
            <w:r>
              <w:rPr>
                <w:b/>
                <w:bCs/>
                <w:iCs/>
                <w:sz w:val="20"/>
                <w:szCs w:val="20"/>
              </w:rPr>
              <w:t>ATUANTES</w:t>
            </w:r>
          </w:p>
        </w:tc>
      </w:tr>
      <w:tr w:rsidR="003E6588" w:rsidTr="000B7E39">
        <w:trPr>
          <w:trHeight w:val="202"/>
        </w:trPr>
        <w:tc>
          <w:tcPr>
            <w:tcW w:w="326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Cs/>
                <w:sz w:val="20"/>
                <w:szCs w:val="20"/>
              </w:rPr>
            </w:pPr>
            <w:r>
              <w:rPr>
                <w:bCs/>
                <w:sz w:val="20"/>
                <w:szCs w:val="20"/>
              </w:rPr>
              <w:t>CPC</w:t>
            </w:r>
          </w:p>
        </w:tc>
        <w:tc>
          <w:tcPr>
            <w:tcW w:w="1687"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Cs/>
                <w:sz w:val="20"/>
                <w:szCs w:val="20"/>
              </w:rPr>
            </w:pPr>
            <w:r>
              <w:rPr>
                <w:bCs/>
                <w:sz w:val="20"/>
                <w:szCs w:val="20"/>
              </w:rPr>
              <w:t>141</w:t>
            </w:r>
          </w:p>
        </w:tc>
      </w:tr>
      <w:tr w:rsidR="003E6588" w:rsidTr="000B7E39">
        <w:trPr>
          <w:trHeight w:val="202"/>
        </w:trPr>
        <w:tc>
          <w:tcPr>
            <w:tcW w:w="326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Cs/>
                <w:sz w:val="20"/>
                <w:szCs w:val="20"/>
              </w:rPr>
            </w:pPr>
            <w:r>
              <w:rPr>
                <w:bCs/>
                <w:sz w:val="20"/>
                <w:szCs w:val="20"/>
              </w:rPr>
              <w:t>CPI</w:t>
            </w:r>
          </w:p>
        </w:tc>
        <w:tc>
          <w:tcPr>
            <w:tcW w:w="1687"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Cs/>
                <w:sz w:val="20"/>
                <w:szCs w:val="20"/>
              </w:rPr>
            </w:pPr>
            <w:r>
              <w:rPr>
                <w:bCs/>
                <w:sz w:val="20"/>
                <w:szCs w:val="20"/>
              </w:rPr>
              <w:t>351</w:t>
            </w:r>
          </w:p>
        </w:tc>
      </w:tr>
      <w:tr w:rsidR="003E6588" w:rsidTr="000B7E39">
        <w:trPr>
          <w:trHeight w:val="202"/>
        </w:trPr>
        <w:tc>
          <w:tcPr>
            <w:tcW w:w="3260"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Cs/>
                <w:sz w:val="20"/>
                <w:szCs w:val="20"/>
              </w:rPr>
            </w:pPr>
            <w:r>
              <w:rPr>
                <w:bCs/>
                <w:sz w:val="20"/>
                <w:szCs w:val="20"/>
              </w:rPr>
              <w:t>CPM</w:t>
            </w:r>
          </w:p>
        </w:tc>
        <w:tc>
          <w:tcPr>
            <w:tcW w:w="1687"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Cs/>
                <w:sz w:val="20"/>
                <w:szCs w:val="20"/>
              </w:rPr>
            </w:pPr>
            <w:r>
              <w:rPr>
                <w:bCs/>
                <w:sz w:val="20"/>
                <w:szCs w:val="20"/>
              </w:rPr>
              <w:t>102</w:t>
            </w:r>
          </w:p>
        </w:tc>
      </w:tr>
      <w:tr w:rsidR="003E6588" w:rsidTr="000B7E39">
        <w:trPr>
          <w:trHeight w:val="202"/>
        </w:trPr>
        <w:tc>
          <w:tcPr>
            <w:tcW w:w="3260" w:type="dxa"/>
            <w:tcBorders>
              <w:top w:val="single" w:sz="8" w:space="0" w:color="auto"/>
              <w:left w:val="single" w:sz="8" w:space="0" w:color="auto"/>
              <w:bottom w:val="single" w:sz="8" w:space="0" w:color="auto"/>
              <w:right w:val="single" w:sz="8" w:space="0" w:color="auto"/>
            </w:tcBorders>
            <w:vAlign w:val="center"/>
            <w:hideMark/>
          </w:tcPr>
          <w:p w:rsidR="003E6588" w:rsidRPr="000B7E39" w:rsidRDefault="003E6588">
            <w:pPr>
              <w:rPr>
                <w:b/>
                <w:bCs/>
                <w:sz w:val="20"/>
                <w:szCs w:val="20"/>
              </w:rPr>
            </w:pPr>
            <w:r w:rsidRPr="000B7E39">
              <w:rPr>
                <w:b/>
                <w:bCs/>
                <w:sz w:val="20"/>
                <w:szCs w:val="20"/>
              </w:rPr>
              <w:t>TOTAL ATUANTES</w:t>
            </w:r>
          </w:p>
        </w:tc>
        <w:tc>
          <w:tcPr>
            <w:tcW w:w="1687" w:type="dxa"/>
            <w:tcBorders>
              <w:top w:val="single" w:sz="8" w:space="0" w:color="auto"/>
              <w:left w:val="single" w:sz="8" w:space="0" w:color="auto"/>
              <w:bottom w:val="single" w:sz="8" w:space="0" w:color="auto"/>
              <w:right w:val="single" w:sz="8" w:space="0" w:color="auto"/>
            </w:tcBorders>
            <w:vAlign w:val="center"/>
            <w:hideMark/>
          </w:tcPr>
          <w:p w:rsidR="003E6588" w:rsidRDefault="003E6588">
            <w:pPr>
              <w:rPr>
                <w:bCs/>
                <w:sz w:val="20"/>
                <w:szCs w:val="20"/>
              </w:rPr>
            </w:pPr>
            <w:r>
              <w:rPr>
                <w:bCs/>
                <w:sz w:val="20"/>
                <w:szCs w:val="20"/>
              </w:rPr>
              <w:t>594</w:t>
            </w:r>
          </w:p>
        </w:tc>
      </w:tr>
    </w:tbl>
    <w:p w:rsidR="003E6588" w:rsidRDefault="003E6588">
      <w:pPr>
        <w:rPr>
          <w:u w:val="single"/>
          <w:shd w:val="clear" w:color="auto" w:fill="FFFFFF"/>
        </w:rPr>
      </w:pPr>
    </w:p>
    <w:tbl>
      <w:tblPr>
        <w:tblpPr w:leftFromText="141" w:rightFromText="141" w:vertAnchor="text" w:horzAnchor="page" w:tblpX="1910" w:tblpY="382"/>
        <w:tblW w:w="2910" w:type="dxa"/>
        <w:tblCellMar>
          <w:left w:w="70" w:type="dxa"/>
          <w:right w:w="70" w:type="dxa"/>
        </w:tblCellMar>
        <w:tblLook w:val="04A0"/>
      </w:tblPr>
      <w:tblGrid>
        <w:gridCol w:w="1488"/>
        <w:gridCol w:w="1422"/>
      </w:tblGrid>
      <w:tr w:rsidR="003E6588" w:rsidTr="000B7E39">
        <w:trPr>
          <w:trHeight w:val="244"/>
        </w:trPr>
        <w:tc>
          <w:tcPr>
            <w:tcW w:w="2910" w:type="dxa"/>
            <w:gridSpan w:val="2"/>
            <w:tcBorders>
              <w:bottom w:val="single" w:sz="8" w:space="0" w:color="auto"/>
            </w:tcBorders>
            <w:noWrap/>
            <w:vAlign w:val="center"/>
            <w:hideMark/>
          </w:tcPr>
          <w:p w:rsidR="003E6588" w:rsidRDefault="003E6588" w:rsidP="000B7E39">
            <w:pPr>
              <w:rPr>
                <w:b/>
                <w:bCs/>
                <w:iCs/>
                <w:sz w:val="20"/>
                <w:szCs w:val="20"/>
              </w:rPr>
            </w:pPr>
            <w:r>
              <w:rPr>
                <w:b/>
                <w:bCs/>
                <w:iCs/>
                <w:sz w:val="20"/>
                <w:szCs w:val="20"/>
              </w:rPr>
              <w:t>Alunos Formados - PROERD</w:t>
            </w:r>
          </w:p>
        </w:tc>
      </w:tr>
      <w:tr w:rsidR="003E6588" w:rsidTr="000B7E39">
        <w:trPr>
          <w:trHeight w:val="218"/>
        </w:trPr>
        <w:tc>
          <w:tcPr>
            <w:tcW w:w="1488" w:type="dxa"/>
            <w:tcBorders>
              <w:top w:val="single" w:sz="8" w:space="0" w:color="auto"/>
              <w:left w:val="single" w:sz="8" w:space="0" w:color="auto"/>
              <w:bottom w:val="single" w:sz="8" w:space="0" w:color="auto"/>
              <w:right w:val="single" w:sz="8" w:space="0" w:color="auto"/>
            </w:tcBorders>
            <w:noWrap/>
            <w:vAlign w:val="center"/>
            <w:hideMark/>
          </w:tcPr>
          <w:p w:rsidR="003E6588" w:rsidRDefault="003E6588" w:rsidP="000B7E39">
            <w:pPr>
              <w:rPr>
                <w:sz w:val="20"/>
                <w:szCs w:val="20"/>
              </w:rPr>
            </w:pPr>
            <w:r>
              <w:rPr>
                <w:bCs/>
                <w:sz w:val="20"/>
                <w:szCs w:val="20"/>
              </w:rPr>
              <w:t>CPI</w:t>
            </w:r>
          </w:p>
        </w:tc>
        <w:tc>
          <w:tcPr>
            <w:tcW w:w="1422" w:type="dxa"/>
            <w:tcBorders>
              <w:top w:val="single" w:sz="8" w:space="0" w:color="auto"/>
              <w:left w:val="single" w:sz="8" w:space="0" w:color="auto"/>
              <w:bottom w:val="single" w:sz="8" w:space="0" w:color="auto"/>
              <w:right w:val="single" w:sz="8" w:space="0" w:color="auto"/>
            </w:tcBorders>
            <w:noWrap/>
            <w:vAlign w:val="center"/>
            <w:hideMark/>
          </w:tcPr>
          <w:p w:rsidR="003E6588" w:rsidRDefault="003E6588" w:rsidP="000B7E39">
            <w:pPr>
              <w:jc w:val="right"/>
              <w:rPr>
                <w:sz w:val="20"/>
                <w:szCs w:val="20"/>
              </w:rPr>
            </w:pPr>
            <w:r>
              <w:rPr>
                <w:sz w:val="20"/>
                <w:szCs w:val="20"/>
              </w:rPr>
              <w:t>228.764</w:t>
            </w:r>
          </w:p>
        </w:tc>
      </w:tr>
      <w:tr w:rsidR="003E6588" w:rsidTr="000B7E39">
        <w:trPr>
          <w:trHeight w:val="244"/>
        </w:trPr>
        <w:tc>
          <w:tcPr>
            <w:tcW w:w="1488" w:type="dxa"/>
            <w:tcBorders>
              <w:top w:val="single" w:sz="8" w:space="0" w:color="auto"/>
              <w:left w:val="single" w:sz="8" w:space="0" w:color="auto"/>
              <w:bottom w:val="single" w:sz="8" w:space="0" w:color="auto"/>
              <w:right w:val="single" w:sz="8" w:space="0" w:color="auto"/>
            </w:tcBorders>
            <w:noWrap/>
            <w:vAlign w:val="center"/>
            <w:hideMark/>
          </w:tcPr>
          <w:p w:rsidR="003E6588" w:rsidRDefault="003E6588" w:rsidP="000B7E39">
            <w:pPr>
              <w:rPr>
                <w:bCs/>
                <w:sz w:val="20"/>
                <w:szCs w:val="20"/>
              </w:rPr>
            </w:pPr>
            <w:r>
              <w:rPr>
                <w:bCs/>
                <w:sz w:val="20"/>
                <w:szCs w:val="20"/>
              </w:rPr>
              <w:t>CPM</w:t>
            </w:r>
          </w:p>
        </w:tc>
        <w:tc>
          <w:tcPr>
            <w:tcW w:w="1422" w:type="dxa"/>
            <w:tcBorders>
              <w:top w:val="single" w:sz="8" w:space="0" w:color="auto"/>
              <w:left w:val="single" w:sz="8" w:space="0" w:color="auto"/>
              <w:bottom w:val="single" w:sz="8" w:space="0" w:color="auto"/>
              <w:right w:val="single" w:sz="8" w:space="0" w:color="auto"/>
            </w:tcBorders>
            <w:noWrap/>
            <w:vAlign w:val="center"/>
            <w:hideMark/>
          </w:tcPr>
          <w:p w:rsidR="003E6588" w:rsidRDefault="003E6588" w:rsidP="000B7E39">
            <w:pPr>
              <w:jc w:val="right"/>
              <w:rPr>
                <w:sz w:val="20"/>
                <w:szCs w:val="20"/>
              </w:rPr>
            </w:pPr>
            <w:r>
              <w:rPr>
                <w:sz w:val="20"/>
                <w:szCs w:val="20"/>
              </w:rPr>
              <w:t>99.951</w:t>
            </w:r>
          </w:p>
        </w:tc>
      </w:tr>
      <w:tr w:rsidR="003E6588" w:rsidTr="000B7E39">
        <w:trPr>
          <w:trHeight w:val="244"/>
        </w:trPr>
        <w:tc>
          <w:tcPr>
            <w:tcW w:w="1488" w:type="dxa"/>
            <w:tcBorders>
              <w:top w:val="single" w:sz="8" w:space="0" w:color="auto"/>
              <w:left w:val="single" w:sz="8" w:space="0" w:color="auto"/>
              <w:bottom w:val="single" w:sz="8" w:space="0" w:color="auto"/>
              <w:right w:val="single" w:sz="8" w:space="0" w:color="auto"/>
            </w:tcBorders>
            <w:noWrap/>
            <w:vAlign w:val="center"/>
            <w:hideMark/>
          </w:tcPr>
          <w:p w:rsidR="003E6588" w:rsidRDefault="003E6588" w:rsidP="000B7E39">
            <w:pPr>
              <w:rPr>
                <w:bCs/>
                <w:sz w:val="20"/>
                <w:szCs w:val="20"/>
              </w:rPr>
            </w:pPr>
            <w:r>
              <w:rPr>
                <w:bCs/>
                <w:sz w:val="20"/>
                <w:szCs w:val="20"/>
              </w:rPr>
              <w:t>CPC</w:t>
            </w:r>
          </w:p>
        </w:tc>
        <w:tc>
          <w:tcPr>
            <w:tcW w:w="1422" w:type="dxa"/>
            <w:tcBorders>
              <w:top w:val="single" w:sz="8" w:space="0" w:color="auto"/>
              <w:left w:val="single" w:sz="8" w:space="0" w:color="auto"/>
              <w:bottom w:val="single" w:sz="8" w:space="0" w:color="auto"/>
              <w:right w:val="single" w:sz="8" w:space="0" w:color="auto"/>
            </w:tcBorders>
            <w:noWrap/>
            <w:vAlign w:val="center"/>
            <w:hideMark/>
          </w:tcPr>
          <w:p w:rsidR="003E6588" w:rsidRDefault="003E6588" w:rsidP="000B7E39">
            <w:pPr>
              <w:jc w:val="right"/>
              <w:rPr>
                <w:sz w:val="20"/>
                <w:szCs w:val="20"/>
              </w:rPr>
            </w:pPr>
            <w:r>
              <w:rPr>
                <w:sz w:val="20"/>
                <w:szCs w:val="20"/>
              </w:rPr>
              <w:t>115349</w:t>
            </w:r>
          </w:p>
        </w:tc>
      </w:tr>
      <w:tr w:rsidR="003E6588" w:rsidTr="000B7E39">
        <w:trPr>
          <w:trHeight w:val="244"/>
        </w:trPr>
        <w:tc>
          <w:tcPr>
            <w:tcW w:w="1488" w:type="dxa"/>
            <w:tcBorders>
              <w:top w:val="single" w:sz="8" w:space="0" w:color="auto"/>
              <w:left w:val="single" w:sz="8" w:space="0" w:color="auto"/>
              <w:bottom w:val="single" w:sz="8" w:space="0" w:color="auto"/>
              <w:right w:val="single" w:sz="8" w:space="0" w:color="auto"/>
            </w:tcBorders>
            <w:noWrap/>
            <w:vAlign w:val="center"/>
            <w:hideMark/>
          </w:tcPr>
          <w:p w:rsidR="003E6588" w:rsidRPr="000B7E39" w:rsidRDefault="003E6588" w:rsidP="000B7E39">
            <w:pPr>
              <w:rPr>
                <w:b/>
                <w:sz w:val="20"/>
                <w:szCs w:val="20"/>
              </w:rPr>
            </w:pPr>
            <w:r w:rsidRPr="000B7E39">
              <w:rPr>
                <w:b/>
                <w:bCs/>
                <w:sz w:val="20"/>
                <w:szCs w:val="20"/>
              </w:rPr>
              <w:t>Total</w:t>
            </w:r>
          </w:p>
        </w:tc>
        <w:tc>
          <w:tcPr>
            <w:tcW w:w="1422" w:type="dxa"/>
            <w:tcBorders>
              <w:top w:val="single" w:sz="8" w:space="0" w:color="auto"/>
              <w:left w:val="single" w:sz="8" w:space="0" w:color="auto"/>
              <w:bottom w:val="single" w:sz="8" w:space="0" w:color="auto"/>
              <w:right w:val="single" w:sz="8" w:space="0" w:color="auto"/>
            </w:tcBorders>
            <w:noWrap/>
            <w:vAlign w:val="center"/>
            <w:hideMark/>
          </w:tcPr>
          <w:p w:rsidR="003E6588" w:rsidRDefault="003E6588" w:rsidP="000B7E39">
            <w:pPr>
              <w:jc w:val="right"/>
              <w:rPr>
                <w:bCs/>
                <w:sz w:val="20"/>
                <w:szCs w:val="20"/>
              </w:rPr>
            </w:pPr>
            <w:r>
              <w:rPr>
                <w:bCs/>
                <w:sz w:val="20"/>
                <w:szCs w:val="20"/>
              </w:rPr>
              <w:t>443.064</w:t>
            </w:r>
          </w:p>
        </w:tc>
      </w:tr>
    </w:tbl>
    <w:p w:rsidR="003E6588" w:rsidRDefault="003E6588">
      <w:pPr>
        <w:rPr>
          <w:vanish/>
        </w:rPr>
      </w:pPr>
    </w:p>
    <w:p w:rsidR="003E6588" w:rsidRDefault="003E6588"/>
    <w:p w:rsidR="003E6588" w:rsidRDefault="003E6588"/>
    <w:p w:rsidR="003E6588" w:rsidRDefault="003E6588"/>
    <w:p w:rsidR="003E6588" w:rsidRDefault="003E6588"/>
    <w:p w:rsidR="003E6588" w:rsidRDefault="003E6588"/>
    <w:p w:rsidR="003E6588" w:rsidRDefault="003E6588">
      <w:pPr>
        <w:ind w:firstLine="1134"/>
        <w:jc w:val="both"/>
      </w:pPr>
      <w:r>
        <w:t xml:space="preserve">Foram atendidas 4.074 escolas pelo PROERD, </w:t>
      </w:r>
      <w:r>
        <w:lastRenderedPageBreak/>
        <w:t xml:space="preserve">sendo computadas </w:t>
      </w:r>
      <w:r>
        <w:rPr>
          <w:bCs/>
        </w:rPr>
        <w:t>449 crianças</w:t>
      </w:r>
      <w:r>
        <w:t xml:space="preserve"> com algum tipo de deficiência, quer seja, visual, auditiva ou mental, atendidas pelo programa.</w:t>
      </w:r>
    </w:p>
    <w:p w:rsidR="003E6588" w:rsidRDefault="003E6588">
      <w:pPr>
        <w:jc w:val="both"/>
      </w:pPr>
    </w:p>
    <w:tbl>
      <w:tblPr>
        <w:tblW w:w="0" w:type="auto"/>
        <w:jc w:val="center"/>
        <w:tblInd w:w="20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701"/>
        <w:gridCol w:w="1417"/>
        <w:gridCol w:w="1276"/>
        <w:gridCol w:w="1276"/>
        <w:gridCol w:w="1843"/>
      </w:tblGrid>
      <w:tr w:rsidR="003E6588" w:rsidTr="000B7E39">
        <w:trPr>
          <w:jc w:val="center"/>
        </w:trPr>
        <w:tc>
          <w:tcPr>
            <w:tcW w:w="7513" w:type="dxa"/>
            <w:gridSpan w:val="5"/>
            <w:hideMark/>
          </w:tcPr>
          <w:p w:rsidR="003E6588" w:rsidRDefault="003E6588">
            <w:pPr>
              <w:rPr>
                <w:b/>
                <w:sz w:val="20"/>
                <w:szCs w:val="20"/>
                <w:shd w:val="clear" w:color="auto" w:fill="FFFFFF"/>
              </w:rPr>
            </w:pPr>
            <w:r>
              <w:rPr>
                <w:b/>
                <w:sz w:val="20"/>
                <w:szCs w:val="20"/>
                <w:shd w:val="clear" w:color="auto" w:fill="FFFFFF"/>
              </w:rPr>
              <w:t>JOVENS BRASILEIROS EM AÇÃO - JBA</w:t>
            </w:r>
          </w:p>
        </w:tc>
      </w:tr>
      <w:tr w:rsidR="003E6588" w:rsidTr="000B7E39">
        <w:trPr>
          <w:jc w:val="center"/>
        </w:trPr>
        <w:tc>
          <w:tcPr>
            <w:tcW w:w="1701" w:type="dxa"/>
            <w:hideMark/>
          </w:tcPr>
          <w:p w:rsidR="003E6588" w:rsidRDefault="003E6588">
            <w:pPr>
              <w:rPr>
                <w:b/>
                <w:sz w:val="20"/>
                <w:szCs w:val="20"/>
                <w:shd w:val="clear" w:color="auto" w:fill="FFFFFF"/>
              </w:rPr>
            </w:pPr>
            <w:r>
              <w:rPr>
                <w:b/>
                <w:sz w:val="20"/>
                <w:szCs w:val="20"/>
                <w:shd w:val="clear" w:color="auto" w:fill="FFFFFF"/>
              </w:rPr>
              <w:t>UNIDADES</w:t>
            </w:r>
          </w:p>
        </w:tc>
        <w:tc>
          <w:tcPr>
            <w:tcW w:w="1417" w:type="dxa"/>
            <w:hideMark/>
          </w:tcPr>
          <w:p w:rsidR="003E6588" w:rsidRDefault="003E6588">
            <w:pPr>
              <w:rPr>
                <w:b/>
                <w:sz w:val="20"/>
                <w:szCs w:val="20"/>
                <w:shd w:val="clear" w:color="auto" w:fill="FFFFFF"/>
              </w:rPr>
            </w:pPr>
            <w:r>
              <w:rPr>
                <w:b/>
                <w:sz w:val="20"/>
                <w:szCs w:val="20"/>
                <w:shd w:val="clear" w:color="auto" w:fill="FFFFFF"/>
              </w:rPr>
              <w:t>SALAS</w:t>
            </w:r>
          </w:p>
        </w:tc>
        <w:tc>
          <w:tcPr>
            <w:tcW w:w="1276" w:type="dxa"/>
            <w:hideMark/>
          </w:tcPr>
          <w:p w:rsidR="003E6588" w:rsidRDefault="003E6588">
            <w:pPr>
              <w:rPr>
                <w:b/>
                <w:sz w:val="20"/>
                <w:szCs w:val="20"/>
                <w:shd w:val="clear" w:color="auto" w:fill="FFFFFF"/>
              </w:rPr>
            </w:pPr>
            <w:r>
              <w:rPr>
                <w:b/>
                <w:sz w:val="20"/>
                <w:szCs w:val="20"/>
                <w:shd w:val="clear" w:color="auto" w:fill="FFFFFF"/>
              </w:rPr>
              <w:t>ALUNOS</w:t>
            </w:r>
          </w:p>
        </w:tc>
        <w:tc>
          <w:tcPr>
            <w:tcW w:w="1276" w:type="dxa"/>
            <w:hideMark/>
          </w:tcPr>
          <w:p w:rsidR="003E6588" w:rsidRDefault="003E6588">
            <w:pPr>
              <w:rPr>
                <w:b/>
                <w:sz w:val="20"/>
                <w:szCs w:val="20"/>
                <w:shd w:val="clear" w:color="auto" w:fill="FFFFFF"/>
              </w:rPr>
            </w:pPr>
            <w:r>
              <w:rPr>
                <w:b/>
                <w:sz w:val="20"/>
                <w:szCs w:val="20"/>
                <w:shd w:val="clear" w:color="auto" w:fill="FFFFFF"/>
              </w:rPr>
              <w:t>ESCOLAS</w:t>
            </w:r>
          </w:p>
        </w:tc>
        <w:tc>
          <w:tcPr>
            <w:tcW w:w="1843" w:type="dxa"/>
            <w:hideMark/>
          </w:tcPr>
          <w:p w:rsidR="003E6588" w:rsidRDefault="003E6588">
            <w:pPr>
              <w:rPr>
                <w:b/>
                <w:sz w:val="20"/>
                <w:szCs w:val="20"/>
                <w:shd w:val="clear" w:color="auto" w:fill="FFFFFF"/>
              </w:rPr>
            </w:pPr>
            <w:r>
              <w:rPr>
                <w:b/>
                <w:sz w:val="20"/>
                <w:szCs w:val="20"/>
                <w:shd w:val="clear" w:color="auto" w:fill="FFFFFF"/>
              </w:rPr>
              <w:t>ORIENTADORES</w:t>
            </w:r>
          </w:p>
        </w:tc>
      </w:tr>
      <w:tr w:rsidR="003E6588" w:rsidTr="000B7E39">
        <w:trPr>
          <w:jc w:val="center"/>
        </w:trPr>
        <w:tc>
          <w:tcPr>
            <w:tcW w:w="1701" w:type="dxa"/>
            <w:hideMark/>
          </w:tcPr>
          <w:p w:rsidR="003E6588" w:rsidRDefault="003E6588">
            <w:pPr>
              <w:rPr>
                <w:sz w:val="20"/>
                <w:szCs w:val="20"/>
                <w:shd w:val="clear" w:color="auto" w:fill="FFFFFF"/>
              </w:rPr>
            </w:pPr>
            <w:r>
              <w:rPr>
                <w:sz w:val="20"/>
                <w:szCs w:val="20"/>
                <w:shd w:val="clear" w:color="auto" w:fill="FFFFFF"/>
              </w:rPr>
              <w:t>CPA/M-9</w:t>
            </w:r>
          </w:p>
        </w:tc>
        <w:tc>
          <w:tcPr>
            <w:tcW w:w="1417" w:type="dxa"/>
            <w:hideMark/>
          </w:tcPr>
          <w:p w:rsidR="003E6588" w:rsidRDefault="003E6588">
            <w:pPr>
              <w:rPr>
                <w:sz w:val="20"/>
                <w:szCs w:val="20"/>
                <w:shd w:val="clear" w:color="auto" w:fill="FFFFFF"/>
              </w:rPr>
            </w:pPr>
            <w:r>
              <w:rPr>
                <w:sz w:val="20"/>
                <w:szCs w:val="20"/>
                <w:shd w:val="clear" w:color="auto" w:fill="FFFFFF"/>
              </w:rPr>
              <w:t>48</w:t>
            </w:r>
          </w:p>
        </w:tc>
        <w:tc>
          <w:tcPr>
            <w:tcW w:w="1276" w:type="dxa"/>
            <w:hideMark/>
          </w:tcPr>
          <w:p w:rsidR="003E6588" w:rsidRDefault="003E6588">
            <w:pPr>
              <w:rPr>
                <w:sz w:val="20"/>
                <w:szCs w:val="20"/>
                <w:shd w:val="clear" w:color="auto" w:fill="FFFFFF"/>
              </w:rPr>
            </w:pPr>
            <w:r>
              <w:rPr>
                <w:sz w:val="20"/>
                <w:szCs w:val="20"/>
                <w:shd w:val="clear" w:color="auto" w:fill="FFFFFF"/>
              </w:rPr>
              <w:t>4.000</w:t>
            </w:r>
          </w:p>
        </w:tc>
        <w:tc>
          <w:tcPr>
            <w:tcW w:w="1276" w:type="dxa"/>
            <w:hideMark/>
          </w:tcPr>
          <w:p w:rsidR="003E6588" w:rsidRDefault="003E6588">
            <w:pPr>
              <w:rPr>
                <w:sz w:val="20"/>
                <w:szCs w:val="20"/>
                <w:shd w:val="clear" w:color="auto" w:fill="FFFFFF"/>
              </w:rPr>
            </w:pPr>
            <w:r>
              <w:rPr>
                <w:sz w:val="20"/>
                <w:szCs w:val="20"/>
                <w:shd w:val="clear" w:color="auto" w:fill="FFFFFF"/>
              </w:rPr>
              <w:t>8</w:t>
            </w:r>
          </w:p>
        </w:tc>
        <w:tc>
          <w:tcPr>
            <w:tcW w:w="1843" w:type="dxa"/>
            <w:hideMark/>
          </w:tcPr>
          <w:p w:rsidR="003E6588" w:rsidRDefault="003E6588">
            <w:pPr>
              <w:rPr>
                <w:sz w:val="20"/>
                <w:szCs w:val="20"/>
                <w:shd w:val="clear" w:color="auto" w:fill="FFFFFF"/>
              </w:rPr>
            </w:pPr>
            <w:r>
              <w:rPr>
                <w:sz w:val="20"/>
                <w:szCs w:val="20"/>
                <w:shd w:val="clear" w:color="auto" w:fill="FFFFFF"/>
              </w:rPr>
              <w:t>1</w:t>
            </w:r>
          </w:p>
        </w:tc>
      </w:tr>
      <w:tr w:rsidR="003E6588" w:rsidTr="000B7E39">
        <w:trPr>
          <w:jc w:val="center"/>
        </w:trPr>
        <w:tc>
          <w:tcPr>
            <w:tcW w:w="1701" w:type="dxa"/>
            <w:hideMark/>
          </w:tcPr>
          <w:p w:rsidR="003E6588" w:rsidRDefault="003E6588">
            <w:pPr>
              <w:rPr>
                <w:sz w:val="20"/>
                <w:szCs w:val="20"/>
                <w:shd w:val="clear" w:color="auto" w:fill="FFFFFF"/>
              </w:rPr>
            </w:pPr>
            <w:r>
              <w:rPr>
                <w:sz w:val="20"/>
                <w:szCs w:val="20"/>
                <w:shd w:val="clear" w:color="auto" w:fill="FFFFFF"/>
              </w:rPr>
              <w:t>CPI-7</w:t>
            </w:r>
          </w:p>
        </w:tc>
        <w:tc>
          <w:tcPr>
            <w:tcW w:w="1417" w:type="dxa"/>
            <w:hideMark/>
          </w:tcPr>
          <w:p w:rsidR="003E6588" w:rsidRDefault="003E6588">
            <w:pPr>
              <w:rPr>
                <w:sz w:val="20"/>
                <w:szCs w:val="20"/>
                <w:shd w:val="clear" w:color="auto" w:fill="FFFFFF"/>
              </w:rPr>
            </w:pPr>
            <w:r>
              <w:rPr>
                <w:sz w:val="20"/>
                <w:szCs w:val="20"/>
                <w:shd w:val="clear" w:color="auto" w:fill="FFFFFF"/>
              </w:rPr>
              <w:t>54</w:t>
            </w:r>
          </w:p>
        </w:tc>
        <w:tc>
          <w:tcPr>
            <w:tcW w:w="1276" w:type="dxa"/>
            <w:hideMark/>
          </w:tcPr>
          <w:p w:rsidR="003E6588" w:rsidRDefault="003E6588">
            <w:pPr>
              <w:rPr>
                <w:sz w:val="20"/>
                <w:szCs w:val="20"/>
                <w:shd w:val="clear" w:color="auto" w:fill="FFFFFF"/>
              </w:rPr>
            </w:pPr>
            <w:r>
              <w:rPr>
                <w:sz w:val="20"/>
                <w:szCs w:val="20"/>
                <w:shd w:val="clear" w:color="auto" w:fill="FFFFFF"/>
              </w:rPr>
              <w:t>8.438</w:t>
            </w:r>
          </w:p>
        </w:tc>
        <w:tc>
          <w:tcPr>
            <w:tcW w:w="1276" w:type="dxa"/>
            <w:hideMark/>
          </w:tcPr>
          <w:p w:rsidR="003E6588" w:rsidRDefault="003E6588">
            <w:pPr>
              <w:rPr>
                <w:sz w:val="20"/>
                <w:szCs w:val="20"/>
                <w:shd w:val="clear" w:color="auto" w:fill="FFFFFF"/>
              </w:rPr>
            </w:pPr>
            <w:r>
              <w:rPr>
                <w:sz w:val="20"/>
                <w:szCs w:val="20"/>
                <w:shd w:val="clear" w:color="auto" w:fill="FFFFFF"/>
              </w:rPr>
              <w:t>3</w:t>
            </w:r>
          </w:p>
        </w:tc>
        <w:tc>
          <w:tcPr>
            <w:tcW w:w="1843" w:type="dxa"/>
            <w:hideMark/>
          </w:tcPr>
          <w:p w:rsidR="003E6588" w:rsidRDefault="003E6588">
            <w:pPr>
              <w:rPr>
                <w:sz w:val="20"/>
                <w:szCs w:val="20"/>
                <w:shd w:val="clear" w:color="auto" w:fill="FFFFFF"/>
              </w:rPr>
            </w:pPr>
            <w:r>
              <w:rPr>
                <w:sz w:val="20"/>
                <w:szCs w:val="20"/>
                <w:shd w:val="clear" w:color="auto" w:fill="FFFFFF"/>
              </w:rPr>
              <w:t>2</w:t>
            </w:r>
          </w:p>
        </w:tc>
      </w:tr>
    </w:tbl>
    <w:p w:rsidR="003E6588" w:rsidRDefault="003E6588" w:rsidP="000B7E39">
      <w:pPr>
        <w:ind w:left="708"/>
        <w:jc w:val="both"/>
        <w:rPr>
          <w:sz w:val="16"/>
          <w:szCs w:val="16"/>
          <w:shd w:val="clear" w:color="auto" w:fill="FFFFFF"/>
        </w:rPr>
      </w:pPr>
      <w:r>
        <w:rPr>
          <w:bCs/>
          <w:sz w:val="16"/>
          <w:szCs w:val="16"/>
          <w:shd w:val="clear" w:color="auto" w:fill="FFFFFF"/>
        </w:rPr>
        <w:t xml:space="preserve">  </w:t>
      </w:r>
      <w:r w:rsidR="000B7E39">
        <w:rPr>
          <w:bCs/>
          <w:sz w:val="16"/>
          <w:szCs w:val="16"/>
          <w:shd w:val="clear" w:color="auto" w:fill="FFFFFF"/>
        </w:rPr>
        <w:t xml:space="preserve">    </w:t>
      </w:r>
      <w:r>
        <w:rPr>
          <w:bCs/>
          <w:sz w:val="16"/>
          <w:szCs w:val="16"/>
          <w:shd w:val="clear" w:color="auto" w:fill="FFFFFF"/>
        </w:rPr>
        <w:t xml:space="preserve">         Fonte: DPCDH</w:t>
      </w:r>
    </w:p>
    <w:p w:rsidR="003E6588" w:rsidRDefault="003E6588">
      <w:pPr>
        <w:rPr>
          <w:noProof/>
        </w:rPr>
      </w:pPr>
    </w:p>
    <w:p w:rsidR="00CB0DF8" w:rsidRDefault="003E6588">
      <w:pPr>
        <w:ind w:firstLine="1134"/>
        <w:jc w:val="both"/>
        <w:rPr>
          <w:noProof/>
        </w:rPr>
      </w:pPr>
      <w:r>
        <w:rPr>
          <w:b/>
          <w:noProof/>
        </w:rPr>
        <w:t xml:space="preserve">Acordos de Cooperação Técnica Internacional - </w:t>
      </w:r>
      <w:r>
        <w:rPr>
          <w:noProof/>
        </w:rPr>
        <w:t>A Diretoria de Polícia Comunitária e de Diretos Humanos participou de Missões Técnicas no exterior, com o objetivo de prestar assessoria técnica na implantação da filosofia de Polícia Comunitária:</w:t>
      </w:r>
    </w:p>
    <w:p w:rsidR="003E6588" w:rsidRDefault="003E6588">
      <w:pPr>
        <w:ind w:left="708"/>
        <w:jc w:val="both"/>
        <w:rPr>
          <w:noProof/>
        </w:rPr>
      </w:pPr>
    </w:p>
    <w:p w:rsidR="00CB0DF8" w:rsidRDefault="003E6588">
      <w:pPr>
        <w:ind w:firstLine="1134"/>
        <w:jc w:val="both"/>
        <w:rPr>
          <w:noProof/>
        </w:rPr>
      </w:pPr>
      <w:r>
        <w:rPr>
          <w:noProof/>
        </w:rPr>
        <w:t>Missão Técnica a El Salvador (Polícia Nacional);</w:t>
      </w:r>
    </w:p>
    <w:p w:rsidR="003E6588" w:rsidRDefault="003E6588">
      <w:pPr>
        <w:ind w:firstLine="1134"/>
        <w:jc w:val="both"/>
        <w:rPr>
          <w:noProof/>
        </w:rPr>
      </w:pPr>
    </w:p>
    <w:p w:rsidR="00CB0DF8" w:rsidRDefault="003E6588">
      <w:pPr>
        <w:ind w:firstLine="1134"/>
        <w:jc w:val="both"/>
        <w:rPr>
          <w:noProof/>
        </w:rPr>
      </w:pPr>
      <w:r>
        <w:rPr>
          <w:noProof/>
        </w:rPr>
        <w:t>Missão Técnica a Honduras (Polícia Nacional);</w:t>
      </w:r>
    </w:p>
    <w:p w:rsidR="003E6588" w:rsidRDefault="003E6588">
      <w:pPr>
        <w:ind w:firstLine="1134"/>
        <w:jc w:val="both"/>
        <w:rPr>
          <w:noProof/>
        </w:rPr>
      </w:pPr>
    </w:p>
    <w:p w:rsidR="00CB0DF8" w:rsidRDefault="003E6588">
      <w:pPr>
        <w:ind w:firstLine="1134"/>
        <w:jc w:val="both"/>
        <w:rPr>
          <w:noProof/>
        </w:rPr>
      </w:pPr>
      <w:r>
        <w:rPr>
          <w:noProof/>
        </w:rPr>
        <w:t>Missão Técnica ao Equador (Guarda Nacional).</w:t>
      </w:r>
    </w:p>
    <w:p w:rsidR="003E6588" w:rsidRDefault="003E6588">
      <w:pPr>
        <w:ind w:firstLine="1134"/>
        <w:jc w:val="both"/>
        <w:rPr>
          <w:noProof/>
        </w:rPr>
      </w:pPr>
    </w:p>
    <w:p w:rsidR="00CB0DF8" w:rsidRDefault="00CE42F3">
      <w:pPr>
        <w:ind w:firstLine="1134"/>
        <w:jc w:val="both"/>
      </w:pPr>
      <w:r w:rsidRPr="00CE42F3">
        <w:rPr>
          <w:b/>
        </w:rPr>
        <w:t>Coordenadoria Estadual dos CONSEGs</w:t>
      </w:r>
      <w:r w:rsidR="003E6588">
        <w:rPr>
          <w:b/>
        </w:rPr>
        <w:t xml:space="preserve"> - </w:t>
      </w:r>
      <w:r w:rsidR="003E6588">
        <w:t xml:space="preserve">A Coordenadoria Estadual dos Conselhos Comunitários de Segurança </w:t>
      </w:r>
      <w:r w:rsidR="000B7E39">
        <w:t xml:space="preserve">- </w:t>
      </w:r>
      <w:r w:rsidR="003E6588">
        <w:t>CONSEGs é responsável por regulamentar, capacitar, articular e definir as diretrizes de atuação dos mais de 400 CONSEGs ativos em todo o Estado.</w:t>
      </w:r>
    </w:p>
    <w:p w:rsidR="003E6588" w:rsidRDefault="003E6588">
      <w:pPr>
        <w:ind w:firstLine="1134"/>
        <w:jc w:val="both"/>
      </w:pPr>
    </w:p>
    <w:p w:rsidR="00CB0DF8" w:rsidRDefault="003E6588">
      <w:pPr>
        <w:ind w:firstLine="1134"/>
        <w:jc w:val="both"/>
      </w:pPr>
      <w:r>
        <w:t>Realizou curso em parceria com ACADEPOL para capacitação de líderes dos CONSEGs, com lançamento, por meio da FUNDAP, para todo o Estado, envolvendo mais de 500 cidadãos.</w:t>
      </w:r>
    </w:p>
    <w:p w:rsidR="000B7E39" w:rsidRDefault="000B7E39" w:rsidP="000B7E39">
      <w:pPr>
        <w:ind w:firstLine="1134"/>
        <w:jc w:val="both"/>
      </w:pPr>
    </w:p>
    <w:p w:rsidR="003E6588" w:rsidRDefault="003E6588">
      <w:pPr>
        <w:ind w:firstLine="1134"/>
        <w:jc w:val="both"/>
      </w:pPr>
      <w:r w:rsidRPr="00642F9B">
        <w:rPr>
          <w:b/>
        </w:rPr>
        <w:t xml:space="preserve">Centro </w:t>
      </w:r>
      <w:r w:rsidRPr="001D4469">
        <w:rPr>
          <w:b/>
        </w:rPr>
        <w:t xml:space="preserve">Integrado de </w:t>
      </w:r>
      <w:r>
        <w:rPr>
          <w:b/>
        </w:rPr>
        <w:t xml:space="preserve">Inteligência de </w:t>
      </w:r>
      <w:r w:rsidR="00CE42F3">
        <w:rPr>
          <w:b/>
        </w:rPr>
        <w:t>Segurança Pública</w:t>
      </w:r>
      <w:r w:rsidR="00CE42F3" w:rsidRPr="00CE42F3">
        <w:rPr>
          <w:b/>
        </w:rPr>
        <w:t xml:space="preserve"> </w:t>
      </w:r>
      <w:r>
        <w:rPr>
          <w:b/>
        </w:rPr>
        <w:t xml:space="preserve">- CIISP - </w:t>
      </w:r>
      <w:commentRangeStart w:id="27"/>
      <w:r>
        <w:t xml:space="preserve">O Centro Integrado de Inteligência de Segurança Pública participou das ações de inteligência durante a Copa do Mundo de Futebol, colaborando com agentes de unidades de inteligências estrangeiras, assim como participou da articulação, construção e implantação do modelo operacional para </w:t>
      </w:r>
      <w:commentRangeEnd w:id="27"/>
      <w:r>
        <w:rPr>
          <w:rStyle w:val="Refdecomentrio"/>
          <w:sz w:val="24"/>
        </w:rPr>
        <w:commentReference w:id="27"/>
      </w:r>
      <w:r>
        <w:t>aplicação da Lei dos Desmanches, o que possibilitou o fechamento de 450 estabelecimentos irregulares.</w:t>
      </w:r>
    </w:p>
    <w:p w:rsidR="003E6588" w:rsidRDefault="003E6588"/>
    <w:p w:rsidR="003E6588" w:rsidRDefault="003E6588">
      <w:pPr>
        <w:ind w:firstLine="1134"/>
        <w:jc w:val="both"/>
      </w:pPr>
      <w:r w:rsidRPr="00642F9B">
        <w:rPr>
          <w:b/>
        </w:rPr>
        <w:t>Agência de Atuação Integrada contra o Crime Organizado</w:t>
      </w:r>
      <w:r>
        <w:rPr>
          <w:b/>
        </w:rPr>
        <w:t xml:space="preserve"> - </w:t>
      </w:r>
      <w:r>
        <w:t>Além da renovação do convênio firmado entre a União, o Estado e o Ministério Público, agora com a participação da Prefeitura da Capital, o principal destaque consistiu na implantação do Fórum de Combate à Corrupção no Estado.</w:t>
      </w:r>
    </w:p>
    <w:p w:rsidR="003E6588" w:rsidRDefault="003E6588">
      <w:pPr>
        <w:ind w:firstLine="1134"/>
        <w:jc w:val="both"/>
      </w:pPr>
    </w:p>
    <w:p w:rsidR="003E6588" w:rsidRDefault="003E6588">
      <w:pPr>
        <w:ind w:firstLine="1134"/>
        <w:jc w:val="both"/>
      </w:pPr>
      <w:r>
        <w:t>Criado por iniciativa dos órgãos que compõem a Agência Integrada e formado por 20 instituições federais, estaduais e do Município de São Paulo, teve como principais iniciativas a implantação da Lei Anticorrupção (Lei nº 12.846/2013) a capacitação de agentes públicos para a prevenção e repressão à corrupção e à lavagem de dinheiro e desenvolvimento de mecanismos de investigação patrimonial de servidores públicos.</w:t>
      </w:r>
    </w:p>
    <w:p w:rsidR="003E6588" w:rsidRDefault="003E6588">
      <w:pPr>
        <w:jc w:val="both"/>
      </w:pPr>
    </w:p>
    <w:p w:rsidR="003E6588" w:rsidRDefault="003E6588">
      <w:pPr>
        <w:ind w:firstLine="1134"/>
        <w:jc w:val="both"/>
      </w:pPr>
      <w:r>
        <w:rPr>
          <w:b/>
        </w:rPr>
        <w:lastRenderedPageBreak/>
        <w:t xml:space="preserve">DETECTA - </w:t>
      </w:r>
      <w:r>
        <w:t>O DETECTA é uma solução de consciência situacional adotada pela Polícia de Nova York que, por meio da integração de dados, informações, imagens e sistemas, emite alarmes sobre ocorrências criminais e de desordem urbana diretamente para as centrais de atendimento e despacho das polícias, além de permitir o cruzamento de milhares de informações, de forma georreferenciada, para fins de inteligência, investigação e planejamento tático-operacional.</w:t>
      </w:r>
    </w:p>
    <w:p w:rsidR="003E6588" w:rsidRDefault="003E6588">
      <w:pPr>
        <w:ind w:firstLine="1134"/>
        <w:jc w:val="both"/>
        <w:rPr>
          <w:strike/>
        </w:rPr>
      </w:pPr>
    </w:p>
    <w:p w:rsidR="003E6588" w:rsidRDefault="003E6588">
      <w:pPr>
        <w:ind w:firstLine="1134"/>
        <w:jc w:val="both"/>
      </w:pPr>
      <w:r>
        <w:t xml:space="preserve">Ao implementar este sistema no Estado, priorizou-se a compatibilização da solução à realidade paulista, à integração de dados ao sistema e à capacitação de policiais para manejo do </w:t>
      </w:r>
      <w:r>
        <w:rPr>
          <w:i/>
        </w:rPr>
        <w:t>software</w:t>
      </w:r>
      <w:r>
        <w:t>.</w:t>
      </w:r>
    </w:p>
    <w:p w:rsidR="003E6588" w:rsidRDefault="003E6588">
      <w:pPr>
        <w:ind w:firstLine="1134"/>
        <w:jc w:val="both"/>
        <w:rPr>
          <w:strike/>
        </w:rPr>
      </w:pPr>
    </w:p>
    <w:p w:rsidR="003E6588" w:rsidRDefault="003E6588">
      <w:pPr>
        <w:ind w:firstLine="1134"/>
        <w:jc w:val="both"/>
      </w:pPr>
      <w:r>
        <w:rPr>
          <w:b/>
        </w:rPr>
        <w:t xml:space="preserve">Nova Carteira de Identidade - Sistema AFIS - </w:t>
      </w:r>
      <w:r>
        <w:t>A nova Carteira de Identidade Digitalizada trouxe avanços para o processo de modernização do Instituto de Identificação da Polícia Civil do Estado de São Paulo (IIRGD).</w:t>
      </w:r>
    </w:p>
    <w:p w:rsidR="00440F87" w:rsidRDefault="00440F87">
      <w:pPr>
        <w:ind w:firstLine="1134"/>
        <w:jc w:val="both"/>
      </w:pPr>
    </w:p>
    <w:p w:rsidR="003E6588" w:rsidRDefault="003E6588" w:rsidP="00440F87">
      <w:pPr>
        <w:ind w:firstLine="1134"/>
        <w:jc w:val="both"/>
      </w:pPr>
      <w:r>
        <w:t>Foram inseridos vários itens de segurança na Carteira de Identidade, dentre eles o QR-CODE e código Hash (criptografia dos dados variáveis), além da coleta biométrica eletrônica (fotos, assinaturas e digitais).</w:t>
      </w:r>
    </w:p>
    <w:p w:rsidR="003E6588" w:rsidRDefault="003E6588">
      <w:pPr>
        <w:jc w:val="both"/>
      </w:pPr>
    </w:p>
    <w:p w:rsidR="003E6588" w:rsidRDefault="003E6588">
      <w:pPr>
        <w:ind w:firstLine="1134"/>
        <w:jc w:val="both"/>
      </w:pPr>
      <w:r>
        <w:t>As novas carteiras de identidade estão sendo geradas nos 10 novos e modernos Postos de Expedição de CI (fábricas) espalhados pelo Estado, além do Posto Central localizado na sede do IIRGD que possui capacidade para expedição cerca de 15 mil RGs por dia.</w:t>
      </w:r>
    </w:p>
    <w:p w:rsidR="003E6588" w:rsidRDefault="003E6588">
      <w:pPr>
        <w:ind w:firstLine="708"/>
        <w:jc w:val="both"/>
      </w:pPr>
    </w:p>
    <w:p w:rsidR="003E6588" w:rsidRDefault="003E6588">
      <w:pPr>
        <w:ind w:firstLine="1134"/>
        <w:jc w:val="both"/>
      </w:pPr>
      <w:r>
        <w:t>Toda base de dados está hospedada em servidores alocados no Data Center da Polícia Civil.</w:t>
      </w:r>
    </w:p>
    <w:p w:rsidR="003E6588" w:rsidRPr="00440F87" w:rsidRDefault="003E6588">
      <w:pPr>
        <w:ind w:firstLine="360"/>
        <w:jc w:val="both"/>
      </w:pPr>
    </w:p>
    <w:p w:rsidR="003E6588" w:rsidRDefault="003E6588">
      <w:pPr>
        <w:ind w:firstLine="1134"/>
        <w:jc w:val="both"/>
      </w:pPr>
      <w:r>
        <w:t>Foram contabilizados 1.766.315 registros civis no Banco de Dados AFIS e 5.000 cadastros inseridos pelo laboratório monodactilar, que a cada segundo são consultados e cruzados com informações de pesquisas de impressões digitais ou de fragmentos de digitais.</w:t>
      </w:r>
    </w:p>
    <w:p w:rsidR="003E6588" w:rsidRPr="00440F87" w:rsidRDefault="003E6588">
      <w:pPr>
        <w:ind w:firstLine="1134"/>
        <w:jc w:val="both"/>
      </w:pPr>
    </w:p>
    <w:p w:rsidR="003E6588" w:rsidRDefault="003E6588">
      <w:pPr>
        <w:ind w:firstLine="1134"/>
        <w:jc w:val="both"/>
      </w:pPr>
      <w:r>
        <w:t>Foram expedidas 1.766.315 novas Carteiras de Identidade, das quais 98% já adotam os novos padrões.</w:t>
      </w:r>
    </w:p>
    <w:p w:rsidR="003E6588" w:rsidRDefault="003E6588">
      <w:pPr>
        <w:autoSpaceDE w:val="0"/>
        <w:autoSpaceDN w:val="0"/>
        <w:adjustRightInd w:val="0"/>
        <w:ind w:left="360" w:hanging="360"/>
        <w:jc w:val="both"/>
        <w:rPr>
          <w:color w:val="000000"/>
          <w:u w:val="single"/>
        </w:rPr>
      </w:pPr>
    </w:p>
    <w:p w:rsidR="003E6588" w:rsidRDefault="003E6588">
      <w:pPr>
        <w:autoSpaceDE w:val="0"/>
        <w:autoSpaceDN w:val="0"/>
        <w:adjustRightInd w:val="0"/>
        <w:ind w:firstLine="1134"/>
        <w:jc w:val="both"/>
        <w:rPr>
          <w:color w:val="000000"/>
        </w:rPr>
      </w:pPr>
      <w:r>
        <w:rPr>
          <w:b/>
        </w:rPr>
        <w:t xml:space="preserve">Centro Integrado de Comando e Controle - CICC - </w:t>
      </w:r>
      <w:r>
        <w:t>O Centro Integrado de Comando e Controle - CICC desenvolve trabalhos relevantes nas operações abaixo elencadas, fornecendo suporte tecnológico e agregação de informações de outros órgãos que facilitam a tomada de decisões e, consequentemente, a eficácia e a</w:t>
      </w:r>
      <w:r>
        <w:rPr>
          <w:color w:val="000000"/>
        </w:rPr>
        <w:t xml:space="preserve"> eficiência das operações, resultando no combate direto às organizações criminosas, destacando-se a atuação primordial da Inteligência Criminal.</w:t>
      </w:r>
    </w:p>
    <w:p w:rsidR="003E6588" w:rsidRDefault="003E6588">
      <w:pPr>
        <w:autoSpaceDE w:val="0"/>
        <w:autoSpaceDN w:val="0"/>
        <w:adjustRightInd w:val="0"/>
        <w:ind w:left="360" w:firstLine="1134"/>
        <w:jc w:val="both"/>
        <w:rPr>
          <w:color w:val="000000"/>
          <w:u w:val="single"/>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b/>
          <w:color w:val="000000"/>
          <w:szCs w:val="24"/>
          <w:lang w:val="pt-BR"/>
        </w:rPr>
        <w:t xml:space="preserve">Operação desmanche - </w:t>
      </w:r>
      <w:r>
        <w:rPr>
          <w:rFonts w:ascii="Times New Roman" w:hAnsi="Times New Roman"/>
          <w:color w:val="000000"/>
          <w:szCs w:val="24"/>
          <w:lang w:val="pt-BR"/>
        </w:rPr>
        <w:t>A Operação Desmanche, conforme Termo de Convênio nº 29/2014, objetivou, por meio das ações interagências, a quebra da cadeia de mercado de roubos e furtos de veículos no Estado, com fundamento na aplicação da Lei nº 15.276/2014. A aplicação da lei prevê a fiscalização e a lacração de estabelecimentos que estejam exercendo irregularmente a atividade comercial.</w:t>
      </w:r>
    </w:p>
    <w:p w:rsidR="003E6588" w:rsidRDefault="003E6588">
      <w:pPr>
        <w:pStyle w:val="Recuodecorpodetexto3"/>
        <w:ind w:left="0" w:firstLine="1134"/>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lastRenderedPageBreak/>
        <w:t>Foram realizadas pelo CICC 18 operações com os seguintes resultados;</w:t>
      </w:r>
    </w:p>
    <w:p w:rsidR="003E6588" w:rsidRDefault="003E6588">
      <w:pPr>
        <w:pStyle w:val="Recuodecorpodetexto3"/>
        <w:ind w:left="0" w:firstLine="1134"/>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t>Estabelecimentos da Capital Fiscalizados - 199</w:t>
      </w:r>
    </w:p>
    <w:p w:rsidR="003E6588" w:rsidRDefault="003E6588">
      <w:pPr>
        <w:pStyle w:val="Recuodecorpodetexto3"/>
        <w:ind w:left="0" w:firstLine="1134"/>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t>Estabelecimentos da Capital Lacrados - 149</w:t>
      </w:r>
    </w:p>
    <w:p w:rsidR="003E6588" w:rsidRDefault="003E6588">
      <w:pPr>
        <w:pStyle w:val="Recuodecorpodetexto3"/>
        <w:ind w:left="0" w:firstLine="1134"/>
        <w:rPr>
          <w:rFonts w:ascii="Times New Roman" w:hAnsi="Times New Roman"/>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szCs w:val="24"/>
          <w:lang w:val="pt-BR"/>
        </w:rPr>
        <w:t>Outras - CIRETRANs</w:t>
      </w:r>
      <w:r>
        <w:rPr>
          <w:rFonts w:ascii="Times New Roman" w:hAnsi="Times New Roman"/>
          <w:color w:val="000000"/>
          <w:szCs w:val="24"/>
          <w:lang w:val="pt-BR"/>
        </w:rPr>
        <w:t xml:space="preserve"> do Estado de São Paulo, após o recebimento dos conhecimentos e dinâmica da referida Operação, pelo CICC/SP, realizaram 177 operações de fiscalização em diversas cidades do interior </w:t>
      </w:r>
      <w:r w:rsidRPr="00440F87">
        <w:rPr>
          <w:rFonts w:ascii="Times New Roman" w:hAnsi="Times New Roman"/>
          <w:szCs w:val="24"/>
          <w:lang w:val="pt-BR"/>
        </w:rPr>
        <w:t>paulista, com o</w:t>
      </w:r>
      <w:r>
        <w:rPr>
          <w:rFonts w:ascii="Times New Roman" w:hAnsi="Times New Roman"/>
          <w:color w:val="000000"/>
          <w:szCs w:val="24"/>
          <w:lang w:val="pt-BR"/>
        </w:rPr>
        <w:t xml:space="preserve"> seguinte resultado:</w:t>
      </w:r>
    </w:p>
    <w:p w:rsidR="003E6588" w:rsidRDefault="003E6588">
      <w:pPr>
        <w:pStyle w:val="Recuodecorpodetexto3"/>
        <w:ind w:left="0" w:firstLine="1134"/>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t>Estabelecimentos do Interior Fiscalizados - 783.</w:t>
      </w:r>
    </w:p>
    <w:p w:rsidR="003E6588" w:rsidRDefault="003E6588">
      <w:pPr>
        <w:pStyle w:val="Recuodecorpodetexto3"/>
        <w:ind w:left="0" w:firstLine="1134"/>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t>Estabelecimentos do Interior Lacrados - 342.</w:t>
      </w:r>
    </w:p>
    <w:p w:rsidR="003E6588" w:rsidRDefault="003E6588">
      <w:pPr>
        <w:pStyle w:val="Recuodecorpodetexto3"/>
        <w:ind w:left="0" w:firstLine="1134"/>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t>Simulado Ebola e Simulado Acidente Aeronáutico</w:t>
      </w:r>
    </w:p>
    <w:p w:rsidR="003E6588" w:rsidRDefault="003E6588">
      <w:pPr>
        <w:pStyle w:val="Recuodecorpodetexto3"/>
        <w:ind w:left="0" w:firstLine="1843"/>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szCs w:val="24"/>
          <w:lang w:val="pt-BR"/>
        </w:rPr>
      </w:pPr>
      <w:r>
        <w:rPr>
          <w:rFonts w:ascii="Times New Roman" w:hAnsi="Times New Roman"/>
          <w:color w:val="000000"/>
          <w:szCs w:val="24"/>
          <w:lang w:val="pt-BR"/>
        </w:rPr>
        <w:t>O Simulado Ebola objetivou orientar as ações específicas frente a eventual introdução do vírus ebola no Aeroporto Internacional de Guarulhos; o Simulado de Acidente Aeronáutico objetivou orientar as ações específicas frente a eventual acidente no Aeroporto Internacional de Guarulhos.</w:t>
      </w:r>
    </w:p>
    <w:p w:rsidR="003E6588" w:rsidRDefault="003E6588">
      <w:pPr>
        <w:pStyle w:val="Recuodecorpodetexto3"/>
        <w:ind w:left="0"/>
        <w:rPr>
          <w:rFonts w:ascii="Times New Roman" w:hAnsi="Times New Roman"/>
          <w:color w:val="000000"/>
          <w:szCs w:val="24"/>
          <w:lang w:val="pt-BR"/>
        </w:rPr>
      </w:pPr>
    </w:p>
    <w:p w:rsidR="003E6588" w:rsidRDefault="003E6588">
      <w:pPr>
        <w:ind w:firstLine="1134"/>
        <w:jc w:val="both"/>
        <w:rPr>
          <w:rFonts w:eastAsia="Calibri"/>
          <w:b/>
          <w:shd w:val="clear" w:color="auto" w:fill="FFFFFF"/>
          <w:lang w:eastAsia="en-US"/>
        </w:rPr>
      </w:pPr>
      <w:r>
        <w:rPr>
          <w:rFonts w:eastAsia="Calibri"/>
          <w:b/>
          <w:shd w:val="clear" w:color="auto" w:fill="FFFFFF"/>
          <w:lang w:eastAsia="en-US"/>
        </w:rPr>
        <w:t>Considerações gerais sobre segurança de grandes eventos:</w:t>
      </w:r>
    </w:p>
    <w:p w:rsidR="003E6588" w:rsidRDefault="003E6588">
      <w:pPr>
        <w:jc w:val="both"/>
        <w:rPr>
          <w:rFonts w:eastAsia="Calibri"/>
          <w:u w:val="single"/>
          <w:shd w:val="clear" w:color="auto" w:fill="FFFFFF"/>
          <w:lang w:eastAsia="en-US"/>
        </w:rPr>
      </w:pPr>
    </w:p>
    <w:p w:rsidR="003E6588" w:rsidRDefault="003E6588">
      <w:pPr>
        <w:ind w:firstLine="1134"/>
        <w:jc w:val="both"/>
      </w:pPr>
      <w:r>
        <w:rPr>
          <w:rFonts w:eastAsia="Calibri"/>
          <w:b/>
          <w:lang w:eastAsia="en-US"/>
        </w:rPr>
        <w:t xml:space="preserve">Copa do Mundo FIFA 2014 - </w:t>
      </w:r>
      <w:r>
        <w:t>Os trabalhos desenvolvidos pela Comissão Estadual de Segurança para Grandes Eventos, tiveram o ápice de sua operação com a realização da Copa do Mundo no Brasil.</w:t>
      </w:r>
    </w:p>
    <w:p w:rsidR="003E6588" w:rsidRDefault="003E6588">
      <w:pPr>
        <w:ind w:firstLine="1134"/>
        <w:jc w:val="both"/>
      </w:pPr>
    </w:p>
    <w:p w:rsidR="003E6588" w:rsidRDefault="003E6588">
      <w:pPr>
        <w:ind w:firstLine="1134"/>
        <w:jc w:val="both"/>
      </w:pPr>
      <w:r>
        <w:t>Além da elaboração do Plano de Segurança e Defesa, com protocolos tático-operacionais e protocolos de gerenciamento de riscos, foi necessário adotar medidas administrativas para garantir o sucesso da operação. Uma dessas medidas foi a suspensão, por meio de normatização interna das Polícias Paulistas, dos afastamentos para fruição de férias e/ou licença prêmio durante o período estabelecido pela Lei Geral da Copa (vinte dias antes do início dos jogos até cinco dias depois da última partida do campeonato).</w:t>
      </w:r>
    </w:p>
    <w:p w:rsidR="003E6588" w:rsidRDefault="003E6588">
      <w:pPr>
        <w:ind w:firstLine="1134"/>
        <w:jc w:val="both"/>
      </w:pPr>
    </w:p>
    <w:p w:rsidR="003E6588" w:rsidRDefault="003E6588">
      <w:pPr>
        <w:ind w:firstLine="1134"/>
        <w:jc w:val="both"/>
      </w:pPr>
      <w:r>
        <w:t xml:space="preserve">Com esse efetivo extra, outra medida foi adotada: a criação do Comando de Policiamento para a Copa do Mundo, com 4.300 policiais militares, que atuaram no entorno da Arena Corinthians, na recepção de delegações e autoridades no aeroporto e no deslocamento a hotéis oficiais e centros de treinamento, além do FIFA </w:t>
      </w:r>
      <w:r>
        <w:rPr>
          <w:i/>
        </w:rPr>
        <w:t>Fan Fest</w:t>
      </w:r>
      <w:r>
        <w:t>, no Vale do Anhangabaú.</w:t>
      </w:r>
    </w:p>
    <w:p w:rsidR="003E6588" w:rsidRDefault="003E6588">
      <w:pPr>
        <w:ind w:firstLine="1134"/>
        <w:jc w:val="both"/>
      </w:pPr>
    </w:p>
    <w:p w:rsidR="003E6588" w:rsidRDefault="003E6588">
      <w:pPr>
        <w:ind w:firstLine="1134"/>
        <w:jc w:val="both"/>
      </w:pPr>
      <w:r>
        <w:t xml:space="preserve">Tal medida possibilitou à Polícia Civil, estabelecer escala diferenciada de plantões nas unidades policiais que atenderiam à demanda proveniente do Grande Evento, não só na Capital como no Interior, uma vez que 15 seleções de futebol se hospedaram em 12 municípios paulistas. O Centro de Comunicações da Polícia Civil </w:t>
      </w:r>
      <w:r w:rsidR="00440F87">
        <w:t xml:space="preserve">- </w:t>
      </w:r>
      <w:r>
        <w:t xml:space="preserve">CEPOL viabilizou apoio em línguas estrangeiras a todas as delegacias do Estado, inclusive à Delegacia Eletrônica, mantendo escala ininterrupta de policiais </w:t>
      </w:r>
      <w:r>
        <w:lastRenderedPageBreak/>
        <w:t>fluentes em inglês e espanhol naquela unidade e, nos dias de jogos disputados por seleções de idiomas diversos desses, policiais fluentes na língua falada nos países competidores também acompanharam os plantões naquele Centro de Comunicações.</w:t>
      </w:r>
    </w:p>
    <w:p w:rsidR="003E6588" w:rsidRDefault="003E6588">
      <w:pPr>
        <w:ind w:firstLine="1134"/>
        <w:jc w:val="both"/>
      </w:pPr>
    </w:p>
    <w:p w:rsidR="003E6588" w:rsidRDefault="003E6588">
      <w:pPr>
        <w:ind w:firstLine="1134"/>
        <w:jc w:val="both"/>
      </w:pPr>
      <w:r>
        <w:t>Com relação à Polícia Técnico-Científica, todas as unidades do Estado estavam em alerta para eventual ocorrência que envolvesse participantes dos jogos, Delegações, Autoridades, Imprensa e Turistas. Os Núcleos de Perícias em cuja área houvesse cidades escolhidas como Centros de Treinamento de Seleção tinham Equipe de Perícias Criminalísticas de sobreaviso para atendimento imediato de eventual ocorrência envolvendo esse público, sem prejuízo das atividades diárias.</w:t>
      </w:r>
    </w:p>
    <w:p w:rsidR="003E6588" w:rsidRDefault="003E6588">
      <w:pPr>
        <w:ind w:firstLine="1134"/>
        <w:jc w:val="both"/>
      </w:pPr>
    </w:p>
    <w:p w:rsidR="003E6588" w:rsidRDefault="003E6588">
      <w:pPr>
        <w:ind w:firstLine="1134"/>
        <w:jc w:val="both"/>
      </w:pPr>
      <w:r>
        <w:t>Sob a coordenação do Secretário da Segurança Pública, outra medida adotada foi a instalação do Comitê Executivo de Segurança Integrada Regional - CESIR, com objetivo de orientar e facilitar a integração da estrutura da Segurança Pública, da Defesa Nacional, da Inteligência e da Defesa Civil durante a Copa do Mundo, nos três níveis de Governo.</w:t>
      </w:r>
    </w:p>
    <w:p w:rsidR="003E6588" w:rsidRDefault="003E6588">
      <w:pPr>
        <w:ind w:firstLine="1134"/>
        <w:jc w:val="both"/>
      </w:pPr>
    </w:p>
    <w:p w:rsidR="003E6588" w:rsidRDefault="003E6588">
      <w:pPr>
        <w:ind w:firstLine="1134"/>
        <w:jc w:val="both"/>
      </w:pPr>
      <w:r>
        <w:t xml:space="preserve">O cerne deste objetivo, a integração das estruturas e órgãos envolvidos nas ações de segurança e defesa, foi considerado o principal desafio e o maior legado da Copa do Mundo na área de segurança pública. Para tanto, o CESIR reuniu-se semanalmente, além de acompanhar toda a operação de segurança e defesa nos dias de jogos na </w:t>
      </w:r>
      <w:r w:rsidR="00957E14">
        <w:t>Capital</w:t>
      </w:r>
      <w:r>
        <w:t xml:space="preserve"> paulista. A Pasta atuou em parceria com os órgãos envolvidos, mantendo representação nos principais centros operacionais vinculados à área, como no CCDA - Centro de Coordenação de Defesa de Área, coordenado pelo Exército Brasileiro, CIR - Centro de Inteligência Regional, coordenado pela ABIN e no VOC - Centro de Comando e Controle localizado no interior do estádio, coordenado pelo COL/FIFA.</w:t>
      </w:r>
    </w:p>
    <w:p w:rsidR="003E6588" w:rsidRDefault="003E6588">
      <w:pPr>
        <w:ind w:firstLine="1134"/>
        <w:jc w:val="both"/>
      </w:pPr>
    </w:p>
    <w:p w:rsidR="003E6588" w:rsidRDefault="003E6588">
      <w:pPr>
        <w:ind w:firstLine="1134"/>
        <w:jc w:val="both"/>
        <w:rPr>
          <w:bCs/>
          <w:color w:val="000000"/>
        </w:rPr>
      </w:pPr>
      <w:r>
        <w:t xml:space="preserve">Além disso, cedeu e reformou o espaço destinado à instalação do CICCR - Centro Integrado de Comando e Controle Regional, articulando e garantindo a representatividade de 40 instituições, federais, estaduais, municipais ou de direito privado, responsáveis por funções de interesse da segurança pública, tais como: Polícia Militar, Polícia Civil, Polícia Técnico Científica, Polícia Federal, Polícia Rodoviária Federal, ABIN, </w:t>
      </w:r>
      <w:r>
        <w:rPr>
          <w:bCs/>
          <w:color w:val="000000"/>
        </w:rPr>
        <w:t xml:space="preserve">ANTT, ANVISA, ARTESP, CET, Comitê Paulista da Copa, CPTM, Eletropaulo, EMTU, GRU </w:t>
      </w:r>
      <w:r>
        <w:rPr>
          <w:bCs/>
          <w:i/>
          <w:color w:val="000000"/>
        </w:rPr>
        <w:t>Aiport,</w:t>
      </w:r>
      <w:r>
        <w:rPr>
          <w:bCs/>
          <w:color w:val="000000"/>
        </w:rPr>
        <w:t xml:space="preserve"> Infraero, Metrô, Receita Federal, SAMU, SPCOPA, SPTRAN e Ministério das Relações Exteriores.</w:t>
      </w:r>
    </w:p>
    <w:p w:rsidR="003E6588" w:rsidRDefault="003E6588">
      <w:pPr>
        <w:ind w:firstLine="1134"/>
        <w:jc w:val="both"/>
      </w:pPr>
    </w:p>
    <w:p w:rsidR="003E6588" w:rsidRDefault="003E6588">
      <w:pPr>
        <w:ind w:firstLine="1134"/>
        <w:jc w:val="both"/>
        <w:rPr>
          <w:rFonts w:eastAsia="Calibri"/>
          <w:lang w:eastAsia="en-US"/>
        </w:rPr>
      </w:pPr>
      <w:r>
        <w:t>O CICCR teve como escopo aperfeiçoar a gestão das ações operacionais e de inteligência, por meio da integração de dados, informações, sistemas e pessoal das diversas instituições; possibilitando o uso de recursos comuns, protocolos conjuntos, planejamento e coordenação contínua, com vistas à redução de tempo de resposta e tomada de decisão correta antes, durante e depois da Copa do Mundo.</w:t>
      </w:r>
    </w:p>
    <w:p w:rsidR="003E6588" w:rsidRDefault="003E6588">
      <w:pPr>
        <w:pStyle w:val="Recuodecorpodetexto3"/>
        <w:ind w:left="0" w:firstLine="1134"/>
        <w:rPr>
          <w:rFonts w:ascii="Times New Roman" w:hAnsi="Times New Roman"/>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t xml:space="preserve">Mediante uso de suporte fornecido por Sistemas de Imageamento Aéreo e outras soluções tecnológicas pelas Instituições envolvidas, além de todos os protocolos de operações terem sido devidamente realizados, o CICCR monitorou 24h por dia, em todos os dias da semana, todas as atividades de segurança desenvolvidas no período da Copa, realizando atividades de planejamento e execução nas ações de escolta das delegações, imageamento aéreo e terrestre da Arena São Paulo e </w:t>
      </w:r>
      <w:r>
        <w:rPr>
          <w:rFonts w:ascii="Times New Roman" w:hAnsi="Times New Roman"/>
          <w:color w:val="000000"/>
          <w:szCs w:val="24"/>
          <w:lang w:val="pt-BR"/>
        </w:rPr>
        <w:lastRenderedPageBreak/>
        <w:t xml:space="preserve">todo seu entorno, </w:t>
      </w:r>
      <w:r>
        <w:rPr>
          <w:rFonts w:ascii="Times New Roman" w:hAnsi="Times New Roman"/>
          <w:i/>
          <w:color w:val="000000"/>
          <w:szCs w:val="24"/>
          <w:lang w:val="pt-BR"/>
        </w:rPr>
        <w:t>Fan Fest</w:t>
      </w:r>
      <w:r>
        <w:rPr>
          <w:rFonts w:ascii="Times New Roman" w:hAnsi="Times New Roman"/>
          <w:color w:val="000000"/>
          <w:szCs w:val="24"/>
          <w:lang w:val="pt-BR"/>
        </w:rPr>
        <w:t xml:space="preserve"> do Vale do Anhangabaú, que reuniu 570.000 pessoas durante as atividades de apresentação dos jogos, </w:t>
      </w:r>
      <w:r w:rsidRPr="00440F87">
        <w:rPr>
          <w:rFonts w:ascii="Times New Roman" w:hAnsi="Times New Roman"/>
          <w:i/>
          <w:color w:val="000000"/>
          <w:szCs w:val="24"/>
          <w:lang w:val="pt-BR"/>
        </w:rPr>
        <w:t>Public Views</w:t>
      </w:r>
      <w:r>
        <w:rPr>
          <w:rFonts w:ascii="Times New Roman" w:hAnsi="Times New Roman"/>
          <w:color w:val="000000"/>
          <w:szCs w:val="24"/>
          <w:lang w:val="pt-BR"/>
        </w:rPr>
        <w:t>, Hotéis, Centros de Treinamento de Seleção, pontos turísticos e concentração de turistas na Vila Madalena.</w:t>
      </w:r>
    </w:p>
    <w:p w:rsidR="003E6588" w:rsidRDefault="003E6588">
      <w:pPr>
        <w:pStyle w:val="Recuodecorpodetexto3"/>
        <w:ind w:left="0" w:firstLine="1134"/>
        <w:rPr>
          <w:rFonts w:ascii="Times New Roman" w:hAnsi="Times New Roman"/>
          <w:color w:val="000000"/>
          <w:szCs w:val="24"/>
          <w:lang w:val="pt-BR"/>
        </w:rPr>
      </w:pPr>
    </w:p>
    <w:p w:rsidR="003E6588" w:rsidRDefault="003E6588">
      <w:pPr>
        <w:pStyle w:val="Recuodecorpodetexto3"/>
        <w:ind w:left="0" w:firstLine="1134"/>
        <w:rPr>
          <w:rFonts w:ascii="Times New Roman" w:hAnsi="Times New Roman"/>
          <w:color w:val="000000"/>
          <w:szCs w:val="24"/>
          <w:lang w:val="pt-BR"/>
        </w:rPr>
      </w:pPr>
      <w:r>
        <w:rPr>
          <w:rFonts w:ascii="Times New Roman" w:hAnsi="Times New Roman"/>
          <w:color w:val="000000"/>
          <w:szCs w:val="24"/>
          <w:lang w:val="pt-BR"/>
        </w:rPr>
        <w:t xml:space="preserve">As 636 atividades de escolta realizadas na Copa somaram 15.166 </w:t>
      </w:r>
      <w:r w:rsidR="00440F87">
        <w:rPr>
          <w:rFonts w:ascii="Times New Roman" w:hAnsi="Times New Roman"/>
          <w:color w:val="000000"/>
          <w:szCs w:val="24"/>
          <w:lang w:val="pt-BR"/>
        </w:rPr>
        <w:t>km</w:t>
      </w:r>
      <w:r>
        <w:rPr>
          <w:rFonts w:ascii="Times New Roman" w:hAnsi="Times New Roman"/>
          <w:color w:val="000000"/>
          <w:szCs w:val="24"/>
          <w:lang w:val="pt-BR"/>
        </w:rPr>
        <w:t xml:space="preserve">, inseridas em 295 horas de realização. </w:t>
      </w:r>
    </w:p>
    <w:p w:rsidR="003E6588" w:rsidRDefault="003E6588">
      <w:pPr>
        <w:ind w:firstLine="1134"/>
        <w:jc w:val="both"/>
        <w:rPr>
          <w:bCs/>
        </w:rPr>
      </w:pPr>
    </w:p>
    <w:p w:rsidR="003E6588" w:rsidRDefault="003E6588">
      <w:pPr>
        <w:ind w:firstLine="1134"/>
        <w:jc w:val="both"/>
        <w:rPr>
          <w:b/>
          <w:bCs/>
        </w:rPr>
      </w:pPr>
      <w:r>
        <w:rPr>
          <w:b/>
          <w:bCs/>
        </w:rPr>
        <w:t>Investimentos</w:t>
      </w:r>
    </w:p>
    <w:p w:rsidR="003E6588" w:rsidRDefault="003E6588">
      <w:pPr>
        <w:ind w:firstLine="1134"/>
        <w:jc w:val="both"/>
        <w:rPr>
          <w:bCs/>
        </w:rPr>
      </w:pPr>
    </w:p>
    <w:p w:rsidR="003E6588" w:rsidRDefault="003E6588" w:rsidP="00642F9B">
      <w:pPr>
        <w:ind w:firstLine="1134"/>
        <w:jc w:val="both"/>
      </w:pPr>
      <w:r>
        <w:rPr>
          <w:b/>
          <w:bCs/>
        </w:rPr>
        <w:t>Informações Gerais</w:t>
      </w:r>
      <w:r>
        <w:rPr>
          <w:b/>
        </w:rPr>
        <w:t xml:space="preserve"> da execução orçamentária</w:t>
      </w:r>
    </w:p>
    <w:p w:rsidR="003E6588" w:rsidRDefault="003E6588">
      <w:pPr>
        <w:ind w:firstLine="1134"/>
      </w:pPr>
    </w:p>
    <w:p w:rsidR="003E6588" w:rsidRDefault="003E6588" w:rsidP="00440F87">
      <w:pPr>
        <w:ind w:firstLine="1134"/>
        <w:jc w:val="both"/>
      </w:pPr>
      <w:r>
        <w:rPr>
          <w:b/>
        </w:rPr>
        <w:t>Fonte Tesouro</w:t>
      </w:r>
      <w:r>
        <w:t xml:space="preserve"> - Foram destinados na fonte tesouro os seguintes montantes:</w:t>
      </w:r>
    </w:p>
    <w:p w:rsidR="003E6588" w:rsidRDefault="003E6588">
      <w:pPr>
        <w:pStyle w:val="PargrafodaLista"/>
        <w:ind w:left="0" w:firstLine="1134"/>
        <w:rPr>
          <w:rFonts w:ascii="Times New Roman" w:hAnsi="Times New Roman"/>
          <w:sz w:val="24"/>
        </w:rPr>
      </w:pPr>
    </w:p>
    <w:p w:rsidR="00CB0DF8" w:rsidRDefault="003E6588">
      <w:pPr>
        <w:pStyle w:val="PargrafodaLista"/>
        <w:ind w:left="0" w:firstLine="1134"/>
        <w:rPr>
          <w:rFonts w:ascii="Times New Roman" w:hAnsi="Times New Roman"/>
          <w:sz w:val="24"/>
        </w:rPr>
      </w:pPr>
      <w:r>
        <w:rPr>
          <w:rFonts w:ascii="Times New Roman" w:hAnsi="Times New Roman"/>
          <w:sz w:val="24"/>
        </w:rPr>
        <w:t>Recursos de Custeio</w:t>
      </w:r>
    </w:p>
    <w:p w:rsidR="003E6588" w:rsidRDefault="003E6588">
      <w:pPr>
        <w:pStyle w:val="PargrafodaLista"/>
        <w:ind w:left="0" w:firstLine="1134"/>
        <w:rPr>
          <w:rFonts w:ascii="Times New Roman" w:hAnsi="Times New Roman"/>
          <w:sz w:val="24"/>
        </w:rPr>
      </w:pPr>
    </w:p>
    <w:p w:rsidR="00CB0DF8" w:rsidRDefault="003E6588">
      <w:pPr>
        <w:pStyle w:val="PargrafodaLista"/>
        <w:ind w:left="0" w:firstLine="1134"/>
        <w:rPr>
          <w:rFonts w:ascii="Times New Roman" w:hAnsi="Times New Roman"/>
          <w:sz w:val="24"/>
        </w:rPr>
      </w:pPr>
      <w:r>
        <w:rPr>
          <w:rFonts w:ascii="Times New Roman" w:hAnsi="Times New Roman"/>
          <w:sz w:val="24"/>
        </w:rPr>
        <w:t>Previsto - R$ 1.621.554.181,00</w:t>
      </w:r>
    </w:p>
    <w:p w:rsidR="003E6588" w:rsidRDefault="003E6588">
      <w:pPr>
        <w:pStyle w:val="PargrafodaLista"/>
        <w:ind w:left="0" w:firstLine="1134"/>
        <w:rPr>
          <w:rFonts w:ascii="Times New Roman" w:hAnsi="Times New Roman"/>
          <w:sz w:val="24"/>
        </w:rPr>
      </w:pPr>
    </w:p>
    <w:p w:rsidR="003E6588" w:rsidRDefault="003E6588">
      <w:pPr>
        <w:pStyle w:val="PargrafodaLista"/>
        <w:ind w:left="0" w:firstLine="1134"/>
        <w:rPr>
          <w:rFonts w:ascii="Times New Roman" w:hAnsi="Times New Roman"/>
          <w:sz w:val="24"/>
        </w:rPr>
      </w:pPr>
      <w:r>
        <w:rPr>
          <w:rFonts w:ascii="Times New Roman" w:hAnsi="Times New Roman"/>
          <w:sz w:val="24"/>
        </w:rPr>
        <w:t>Executado - R$ 1.193.254.390,00, corresponde a 73,60% em relação ao orçamento previsto.</w:t>
      </w:r>
    </w:p>
    <w:p w:rsidR="003E6588" w:rsidRDefault="003E6588">
      <w:pPr>
        <w:pStyle w:val="PargrafodaLista"/>
        <w:ind w:left="0" w:firstLine="1134"/>
        <w:rPr>
          <w:rFonts w:ascii="Times New Roman" w:hAnsi="Times New Roman"/>
          <w:sz w:val="24"/>
        </w:rPr>
      </w:pPr>
    </w:p>
    <w:p w:rsidR="003E6588" w:rsidRDefault="003E6588">
      <w:pPr>
        <w:pStyle w:val="PargrafodaLista"/>
        <w:ind w:left="1134"/>
        <w:jc w:val="left"/>
        <w:rPr>
          <w:rFonts w:ascii="Times New Roman" w:hAnsi="Times New Roman"/>
          <w:sz w:val="24"/>
        </w:rPr>
      </w:pPr>
      <w:r>
        <w:rPr>
          <w:rFonts w:ascii="Times New Roman" w:hAnsi="Times New Roman"/>
          <w:sz w:val="24"/>
        </w:rPr>
        <w:t>Recursos de Investimento</w:t>
      </w:r>
    </w:p>
    <w:p w:rsidR="003E6588" w:rsidRDefault="003E6588">
      <w:pPr>
        <w:pStyle w:val="PargrafodaLista"/>
        <w:ind w:left="1134"/>
        <w:jc w:val="left"/>
        <w:rPr>
          <w:rFonts w:ascii="Times New Roman" w:hAnsi="Times New Roman"/>
          <w:sz w:val="24"/>
        </w:rPr>
      </w:pPr>
    </w:p>
    <w:p w:rsidR="00CB0DF8" w:rsidRDefault="003E6588">
      <w:pPr>
        <w:pStyle w:val="PargrafodaLista"/>
        <w:ind w:left="0" w:firstLine="1134"/>
        <w:rPr>
          <w:rFonts w:ascii="Times New Roman" w:hAnsi="Times New Roman"/>
          <w:sz w:val="24"/>
        </w:rPr>
      </w:pPr>
      <w:r>
        <w:rPr>
          <w:rFonts w:ascii="Times New Roman" w:hAnsi="Times New Roman"/>
          <w:sz w:val="24"/>
        </w:rPr>
        <w:t>Previsto - R$ 383.192.623,00</w:t>
      </w:r>
    </w:p>
    <w:p w:rsidR="003E6588" w:rsidRDefault="003E6588">
      <w:pPr>
        <w:pStyle w:val="PargrafodaLista"/>
        <w:ind w:left="0" w:firstLine="1134"/>
        <w:rPr>
          <w:rFonts w:ascii="Times New Roman" w:hAnsi="Times New Roman"/>
          <w:sz w:val="24"/>
        </w:rPr>
      </w:pPr>
    </w:p>
    <w:p w:rsidR="003E6588" w:rsidRDefault="003E6588">
      <w:pPr>
        <w:pStyle w:val="PargrafodaLista"/>
        <w:ind w:left="0" w:firstLine="1134"/>
        <w:rPr>
          <w:rFonts w:ascii="Times New Roman" w:hAnsi="Times New Roman"/>
          <w:sz w:val="24"/>
        </w:rPr>
      </w:pPr>
      <w:r>
        <w:rPr>
          <w:rFonts w:ascii="Times New Roman" w:hAnsi="Times New Roman"/>
          <w:sz w:val="24"/>
        </w:rPr>
        <w:t>Executado - R$ 201.564.170,00, corresponde a 52,60% em relação ao orçamento previsto.</w:t>
      </w:r>
    </w:p>
    <w:p w:rsidR="003E6588" w:rsidRDefault="003E6588">
      <w:pPr>
        <w:ind w:left="708"/>
      </w:pPr>
    </w:p>
    <w:p w:rsidR="003E6588" w:rsidRDefault="003E6588">
      <w:pPr>
        <w:ind w:firstLine="1134"/>
        <w:jc w:val="both"/>
        <w:rPr>
          <w:b/>
        </w:rPr>
      </w:pPr>
      <w:r>
        <w:rPr>
          <w:b/>
        </w:rPr>
        <w:t>Planilha execução de todas unidades orçamentárias</w:t>
      </w:r>
    </w:p>
    <w:p w:rsidR="003E6588" w:rsidRDefault="003E6588">
      <w:pPr>
        <w:ind w:firstLine="1134"/>
        <w:jc w:val="both"/>
        <w:rPr>
          <w:b/>
          <w:noProof/>
        </w:rPr>
      </w:pPr>
    </w:p>
    <w:p w:rsidR="003E6588" w:rsidRDefault="00AD3B0F">
      <w:pPr>
        <w:ind w:left="708"/>
      </w:pPr>
      <w:r>
        <w:rPr>
          <w:noProof/>
        </w:rPr>
        <w:drawing>
          <wp:inline distT="0" distB="0" distL="0" distR="0">
            <wp:extent cx="5124450" cy="2638425"/>
            <wp:effectExtent l="19050" t="0" r="0" b="0"/>
            <wp:docPr id="2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70" cstate="print"/>
                    <a:srcRect/>
                    <a:stretch>
                      <a:fillRect/>
                    </a:stretch>
                  </pic:blipFill>
                  <pic:spPr bwMode="auto">
                    <a:xfrm>
                      <a:off x="0" y="0"/>
                      <a:ext cx="5124450" cy="2638425"/>
                    </a:xfrm>
                    <a:prstGeom prst="rect">
                      <a:avLst/>
                    </a:prstGeom>
                    <a:noFill/>
                    <a:ln w="9525">
                      <a:noFill/>
                      <a:miter lim="800000"/>
                      <a:headEnd/>
                      <a:tailEnd/>
                    </a:ln>
                  </pic:spPr>
                </pic:pic>
              </a:graphicData>
            </a:graphic>
          </wp:inline>
        </w:drawing>
      </w:r>
    </w:p>
    <w:p w:rsidR="003E6588" w:rsidRDefault="00AD3B0F">
      <w:pPr>
        <w:ind w:left="708"/>
      </w:pPr>
      <w:r>
        <w:rPr>
          <w:noProof/>
        </w:rPr>
        <w:lastRenderedPageBreak/>
        <w:drawing>
          <wp:inline distT="0" distB="0" distL="0" distR="0">
            <wp:extent cx="5038725" cy="2562225"/>
            <wp:effectExtent l="19050" t="0" r="9525" b="0"/>
            <wp:docPr id="28"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71" cstate="print"/>
                    <a:srcRect/>
                    <a:stretch>
                      <a:fillRect/>
                    </a:stretch>
                  </pic:blipFill>
                  <pic:spPr bwMode="auto">
                    <a:xfrm>
                      <a:off x="0" y="0"/>
                      <a:ext cx="5038725" cy="2562225"/>
                    </a:xfrm>
                    <a:prstGeom prst="rect">
                      <a:avLst/>
                    </a:prstGeom>
                    <a:noFill/>
                    <a:ln w="9525">
                      <a:noFill/>
                      <a:miter lim="800000"/>
                      <a:headEnd/>
                      <a:tailEnd/>
                    </a:ln>
                  </pic:spPr>
                </pic:pic>
              </a:graphicData>
            </a:graphic>
          </wp:inline>
        </w:drawing>
      </w:r>
    </w:p>
    <w:p w:rsidR="003E6588" w:rsidRDefault="003E6588">
      <w:pPr>
        <w:ind w:left="708"/>
      </w:pPr>
    </w:p>
    <w:p w:rsidR="003E6588" w:rsidRDefault="003E6588" w:rsidP="00440F87">
      <w:pPr>
        <w:ind w:firstLine="1134"/>
        <w:jc w:val="both"/>
      </w:pPr>
      <w:r>
        <w:rPr>
          <w:b/>
        </w:rPr>
        <w:t xml:space="preserve">Fundo Especial de Despesa </w:t>
      </w:r>
      <w:r>
        <w:t>- Fundo de Incentivo a Segurança Publica - FISP</w:t>
      </w:r>
    </w:p>
    <w:p w:rsidR="003E6588" w:rsidRDefault="003E6588">
      <w:pPr>
        <w:ind w:firstLine="1276"/>
      </w:pPr>
    </w:p>
    <w:p w:rsidR="003E6588" w:rsidRDefault="003E6588">
      <w:pPr>
        <w:pStyle w:val="PargrafodaLista"/>
        <w:ind w:left="1134"/>
        <w:jc w:val="left"/>
        <w:rPr>
          <w:rFonts w:ascii="Times New Roman" w:hAnsi="Times New Roman"/>
          <w:sz w:val="24"/>
        </w:rPr>
      </w:pPr>
      <w:r>
        <w:rPr>
          <w:rFonts w:ascii="Times New Roman" w:hAnsi="Times New Roman"/>
          <w:sz w:val="24"/>
        </w:rPr>
        <w:t>- Recursos de Custeio</w:t>
      </w:r>
    </w:p>
    <w:p w:rsidR="003E6588" w:rsidRDefault="003E6588">
      <w:pPr>
        <w:pStyle w:val="PargrafodaLista"/>
        <w:ind w:left="0" w:firstLine="1276"/>
        <w:rPr>
          <w:rFonts w:ascii="Times New Roman" w:hAnsi="Times New Roman"/>
          <w:sz w:val="24"/>
        </w:rPr>
      </w:pPr>
    </w:p>
    <w:p w:rsidR="00CB0DF8" w:rsidRDefault="003E6588">
      <w:pPr>
        <w:pStyle w:val="PargrafodaLista"/>
        <w:ind w:left="0" w:firstLine="1276"/>
        <w:rPr>
          <w:rFonts w:ascii="Times New Roman" w:hAnsi="Times New Roman"/>
          <w:sz w:val="24"/>
        </w:rPr>
      </w:pPr>
      <w:r>
        <w:rPr>
          <w:rFonts w:ascii="Times New Roman" w:hAnsi="Times New Roman"/>
          <w:sz w:val="24"/>
        </w:rPr>
        <w:t>Recursos vinculados estaduais -R$ 15.539.045,00</w:t>
      </w:r>
    </w:p>
    <w:p w:rsidR="003E6588" w:rsidRDefault="003E6588">
      <w:pPr>
        <w:pStyle w:val="PargrafodaLista"/>
        <w:ind w:left="0" w:firstLine="1276"/>
        <w:rPr>
          <w:rFonts w:ascii="Times New Roman" w:hAnsi="Times New Roman"/>
          <w:sz w:val="24"/>
        </w:rPr>
      </w:pPr>
    </w:p>
    <w:p w:rsidR="00CB0DF8" w:rsidRDefault="003E6588">
      <w:pPr>
        <w:pStyle w:val="PargrafodaLista"/>
        <w:ind w:left="0" w:firstLine="1276"/>
        <w:rPr>
          <w:rFonts w:ascii="Times New Roman" w:hAnsi="Times New Roman"/>
          <w:sz w:val="24"/>
        </w:rPr>
      </w:pPr>
      <w:r>
        <w:rPr>
          <w:rFonts w:ascii="Times New Roman" w:hAnsi="Times New Roman"/>
          <w:sz w:val="24"/>
        </w:rPr>
        <w:t>Recursos vinculados fundo especial de despesa - R$ 6.207,372</w:t>
      </w:r>
    </w:p>
    <w:p w:rsidR="003E6588" w:rsidRDefault="003E6588">
      <w:pPr>
        <w:pStyle w:val="PargrafodaLista"/>
        <w:ind w:left="1134"/>
        <w:jc w:val="left"/>
      </w:pPr>
    </w:p>
    <w:p w:rsidR="003E6588" w:rsidRDefault="00440F87">
      <w:pPr>
        <w:pStyle w:val="PargrafodaLista"/>
        <w:ind w:left="1134"/>
        <w:jc w:val="left"/>
        <w:rPr>
          <w:rFonts w:ascii="Times New Roman" w:hAnsi="Times New Roman"/>
          <w:sz w:val="24"/>
        </w:rPr>
      </w:pPr>
      <w:r>
        <w:t xml:space="preserve">- </w:t>
      </w:r>
      <w:r w:rsidR="003E6588">
        <w:rPr>
          <w:rFonts w:ascii="Times New Roman" w:hAnsi="Times New Roman"/>
          <w:sz w:val="24"/>
        </w:rPr>
        <w:t>Recursos de Investimento</w:t>
      </w:r>
    </w:p>
    <w:p w:rsidR="003E6588" w:rsidRDefault="003E6588">
      <w:pPr>
        <w:pStyle w:val="PargrafodaLista"/>
        <w:ind w:left="0" w:firstLine="1276"/>
        <w:rPr>
          <w:rFonts w:ascii="Times New Roman" w:hAnsi="Times New Roman"/>
          <w:sz w:val="24"/>
        </w:rPr>
      </w:pPr>
    </w:p>
    <w:p w:rsidR="00CB0DF8" w:rsidRDefault="003E6588">
      <w:pPr>
        <w:pStyle w:val="PargrafodaLista"/>
        <w:ind w:left="0" w:firstLine="1276"/>
        <w:rPr>
          <w:rFonts w:ascii="Times New Roman" w:hAnsi="Times New Roman"/>
          <w:sz w:val="24"/>
        </w:rPr>
      </w:pPr>
      <w:r>
        <w:rPr>
          <w:rFonts w:ascii="Times New Roman" w:hAnsi="Times New Roman"/>
          <w:sz w:val="24"/>
        </w:rPr>
        <w:t>Recursos vinculados estaduais - R$ 4.886.352,00</w:t>
      </w:r>
    </w:p>
    <w:p w:rsidR="003E6588" w:rsidRDefault="003E6588">
      <w:pPr>
        <w:pStyle w:val="PargrafodaLista"/>
        <w:ind w:left="0" w:firstLine="1276"/>
        <w:rPr>
          <w:rFonts w:ascii="Times New Roman" w:hAnsi="Times New Roman"/>
          <w:sz w:val="24"/>
        </w:rPr>
      </w:pPr>
    </w:p>
    <w:p w:rsidR="00CB0DF8" w:rsidRDefault="003E6588">
      <w:pPr>
        <w:pStyle w:val="PargrafodaLista"/>
        <w:ind w:left="0" w:firstLine="1276"/>
        <w:rPr>
          <w:rFonts w:ascii="Times New Roman" w:hAnsi="Times New Roman"/>
          <w:sz w:val="24"/>
        </w:rPr>
      </w:pPr>
      <w:r>
        <w:rPr>
          <w:rFonts w:ascii="Times New Roman" w:hAnsi="Times New Roman"/>
          <w:sz w:val="24"/>
        </w:rPr>
        <w:t>Recursos vinculados fundo especial de despesa - R$ 60.494.247,00</w:t>
      </w:r>
    </w:p>
    <w:p w:rsidR="003E6588" w:rsidRDefault="003E6588">
      <w:pPr>
        <w:jc w:val="both"/>
      </w:pPr>
    </w:p>
    <w:p w:rsidR="003E6588" w:rsidRDefault="003E6588" w:rsidP="00642F9B">
      <w:pPr>
        <w:ind w:firstLine="1134"/>
        <w:jc w:val="both"/>
        <w:rPr>
          <w:b/>
          <w:bCs/>
        </w:rPr>
      </w:pPr>
      <w:r>
        <w:rPr>
          <w:b/>
          <w:bCs/>
        </w:rPr>
        <w:t>Obras e Reformas</w:t>
      </w:r>
    </w:p>
    <w:p w:rsidR="003E6588" w:rsidRDefault="003E6588">
      <w:pPr>
        <w:ind w:firstLine="1134"/>
        <w:jc w:val="both"/>
        <w:rPr>
          <w:bCs/>
          <w:u w:val="single"/>
        </w:rPr>
      </w:pPr>
    </w:p>
    <w:p w:rsidR="003E6588" w:rsidRDefault="003E6588">
      <w:pPr>
        <w:ind w:firstLine="1134"/>
        <w:jc w:val="both"/>
      </w:pPr>
      <w:r>
        <w:rPr>
          <w:b/>
          <w:bCs/>
        </w:rPr>
        <w:t xml:space="preserve">Polícia Civil - </w:t>
      </w:r>
      <w:r>
        <w:t>Investimentos em Infraestrutura Física</w:t>
      </w:r>
    </w:p>
    <w:p w:rsidR="003E6588" w:rsidRDefault="003E6588">
      <w:pPr>
        <w:ind w:left="372" w:firstLine="708"/>
        <w:jc w:val="both"/>
      </w:pPr>
    </w:p>
    <w:p w:rsidR="003E6588" w:rsidRDefault="003E6588">
      <w:pPr>
        <w:ind w:firstLine="1134"/>
        <w:jc w:val="both"/>
      </w:pPr>
      <w:r>
        <w:t xml:space="preserve">Construção e/ou reformas com ampliação de 36 unidades policiais - R$ 17.335.648,89 </w:t>
      </w:r>
      <w:r w:rsidR="00CE42F3" w:rsidRPr="00CE42F3">
        <w:t xml:space="preserve">(sendo que </w:t>
      </w:r>
      <w:r>
        <w:t>R$ 4.219.227,06 serão pagos em 2015)</w:t>
      </w:r>
    </w:p>
    <w:p w:rsidR="003E6588" w:rsidRDefault="003E6588">
      <w:pPr>
        <w:ind w:left="372" w:firstLine="708"/>
        <w:jc w:val="both"/>
      </w:pPr>
    </w:p>
    <w:p w:rsidR="003E6588" w:rsidRDefault="00CE42F3">
      <w:pPr>
        <w:ind w:firstLine="1134"/>
        <w:jc w:val="both"/>
      </w:pPr>
      <w:r w:rsidRPr="00CE42F3">
        <w:t xml:space="preserve">Reformas </w:t>
      </w:r>
      <w:r w:rsidR="003E6588">
        <w:t xml:space="preserve">em </w:t>
      </w:r>
      <w:r w:rsidRPr="00CE42F3">
        <w:t>6</w:t>
      </w:r>
      <w:r w:rsidR="003E6588">
        <w:t xml:space="preserve"> unidades - R$ </w:t>
      </w:r>
      <w:r w:rsidRPr="00CE42F3">
        <w:t>2.683.520,57</w:t>
      </w:r>
    </w:p>
    <w:p w:rsidR="003E6588" w:rsidRDefault="003E6588">
      <w:pPr>
        <w:ind w:firstLine="1134"/>
        <w:jc w:val="both"/>
      </w:pPr>
    </w:p>
    <w:p w:rsidR="003E6588" w:rsidRDefault="00CE42F3">
      <w:pPr>
        <w:ind w:firstLine="1134"/>
        <w:jc w:val="both"/>
      </w:pPr>
      <w:r w:rsidRPr="00CE42F3">
        <w:t>Locações</w:t>
      </w:r>
      <w:r w:rsidR="003E6588">
        <w:t xml:space="preserve"> para 3</w:t>
      </w:r>
      <w:r w:rsidRPr="00CE42F3">
        <w:t xml:space="preserve">6 unidades </w:t>
      </w:r>
      <w:r w:rsidR="003E6588">
        <w:t xml:space="preserve">policiais - R$ </w:t>
      </w:r>
      <w:r w:rsidRPr="00CE42F3">
        <w:t>2.478.308,12</w:t>
      </w:r>
    </w:p>
    <w:p w:rsidR="003E6588" w:rsidRDefault="003E6588">
      <w:pPr>
        <w:ind w:firstLine="1134"/>
        <w:jc w:val="both"/>
      </w:pPr>
    </w:p>
    <w:p w:rsidR="003E6588" w:rsidRDefault="00CE42F3">
      <w:pPr>
        <w:ind w:firstLine="1134"/>
        <w:jc w:val="both"/>
      </w:pPr>
      <w:r w:rsidRPr="00CE42F3">
        <w:t>Total Geral - 22.497.477,58</w:t>
      </w:r>
    </w:p>
    <w:p w:rsidR="003E6588" w:rsidRDefault="003E6588">
      <w:pPr>
        <w:ind w:firstLine="1134"/>
        <w:jc w:val="both"/>
        <w:rPr>
          <w:u w:val="single"/>
        </w:rPr>
      </w:pPr>
    </w:p>
    <w:p w:rsidR="003E6588" w:rsidRPr="00440F87" w:rsidRDefault="003E6588">
      <w:pPr>
        <w:ind w:firstLine="1134"/>
        <w:jc w:val="both"/>
        <w:rPr>
          <w:b/>
          <w:strike/>
        </w:rPr>
      </w:pPr>
      <w:r>
        <w:rPr>
          <w:b/>
        </w:rPr>
        <w:lastRenderedPageBreak/>
        <w:t>Polícia Técnico-Científica</w:t>
      </w:r>
    </w:p>
    <w:p w:rsidR="003E6588" w:rsidRDefault="003E6588">
      <w:pPr>
        <w:ind w:firstLine="1134"/>
        <w:jc w:val="both"/>
        <w:rPr>
          <w:u w:val="single"/>
        </w:rPr>
      </w:pPr>
    </w:p>
    <w:tbl>
      <w:tblPr>
        <w:tblW w:w="9841" w:type="dxa"/>
        <w:jc w:val="center"/>
        <w:tblInd w:w="-234" w:type="dxa"/>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CellMar>
          <w:left w:w="70" w:type="dxa"/>
          <w:right w:w="70" w:type="dxa"/>
        </w:tblCellMar>
        <w:tblLook w:val="04A0"/>
      </w:tblPr>
      <w:tblGrid>
        <w:gridCol w:w="2912"/>
        <w:gridCol w:w="5639"/>
        <w:gridCol w:w="1290"/>
      </w:tblGrid>
      <w:tr w:rsidR="003E6588" w:rsidTr="00440F87">
        <w:trPr>
          <w:trHeight w:val="44"/>
          <w:jc w:val="center"/>
        </w:trPr>
        <w:tc>
          <w:tcPr>
            <w:tcW w:w="2912" w:type="dxa"/>
            <w:shd w:val="clear" w:color="auto" w:fill="auto"/>
            <w:noWrap/>
            <w:vAlign w:val="bottom"/>
            <w:hideMark/>
          </w:tcPr>
          <w:p w:rsidR="003E6588" w:rsidRDefault="003E6588">
            <w:pPr>
              <w:rPr>
                <w:b/>
                <w:bCs/>
                <w:sz w:val="20"/>
                <w:szCs w:val="20"/>
              </w:rPr>
            </w:pPr>
            <w:r>
              <w:rPr>
                <w:b/>
                <w:bCs/>
                <w:sz w:val="20"/>
                <w:szCs w:val="20"/>
              </w:rPr>
              <w:t>Ação</w:t>
            </w:r>
          </w:p>
        </w:tc>
        <w:tc>
          <w:tcPr>
            <w:tcW w:w="5639" w:type="dxa"/>
            <w:shd w:val="clear" w:color="auto" w:fill="auto"/>
            <w:vAlign w:val="bottom"/>
          </w:tcPr>
          <w:p w:rsidR="003E6588" w:rsidRDefault="003E6588">
            <w:pPr>
              <w:rPr>
                <w:b/>
                <w:bCs/>
                <w:sz w:val="20"/>
                <w:szCs w:val="20"/>
              </w:rPr>
            </w:pPr>
            <w:r>
              <w:rPr>
                <w:b/>
                <w:bCs/>
                <w:sz w:val="20"/>
                <w:szCs w:val="20"/>
              </w:rPr>
              <w:t>Descrição</w:t>
            </w:r>
          </w:p>
        </w:tc>
        <w:tc>
          <w:tcPr>
            <w:tcW w:w="1290" w:type="dxa"/>
            <w:shd w:val="clear" w:color="auto" w:fill="auto"/>
            <w:vAlign w:val="bottom"/>
          </w:tcPr>
          <w:p w:rsidR="003E6588" w:rsidRDefault="003E6588">
            <w:pPr>
              <w:rPr>
                <w:b/>
                <w:bCs/>
                <w:sz w:val="20"/>
                <w:szCs w:val="20"/>
              </w:rPr>
            </w:pPr>
            <w:r>
              <w:rPr>
                <w:b/>
                <w:bCs/>
                <w:sz w:val="20"/>
                <w:szCs w:val="20"/>
              </w:rPr>
              <w:t>Valor (R$)</w:t>
            </w:r>
          </w:p>
        </w:tc>
      </w:tr>
      <w:tr w:rsidR="003E6588" w:rsidTr="00440F87">
        <w:trPr>
          <w:trHeight w:val="44"/>
          <w:jc w:val="center"/>
        </w:trPr>
        <w:tc>
          <w:tcPr>
            <w:tcW w:w="2912" w:type="dxa"/>
            <w:vMerge w:val="restart"/>
            <w:shd w:val="clear" w:color="auto" w:fill="auto"/>
            <w:vAlign w:val="center"/>
            <w:hideMark/>
          </w:tcPr>
          <w:p w:rsidR="003E6588" w:rsidRDefault="003E6588" w:rsidP="00440F87">
            <w:pPr>
              <w:jc w:val="left"/>
              <w:rPr>
                <w:color w:val="000000"/>
                <w:sz w:val="20"/>
                <w:szCs w:val="20"/>
              </w:rPr>
            </w:pPr>
            <w:r>
              <w:rPr>
                <w:color w:val="000000"/>
                <w:sz w:val="20"/>
                <w:szCs w:val="20"/>
              </w:rPr>
              <w:t>Reformas de Bens Imóveis</w:t>
            </w:r>
          </w:p>
        </w:tc>
        <w:tc>
          <w:tcPr>
            <w:tcW w:w="5639" w:type="dxa"/>
            <w:shd w:val="clear" w:color="auto" w:fill="auto"/>
            <w:vAlign w:val="center"/>
            <w:hideMark/>
          </w:tcPr>
          <w:p w:rsidR="003E6588" w:rsidRDefault="003E6588">
            <w:pPr>
              <w:jc w:val="both"/>
              <w:rPr>
                <w:color w:val="000000"/>
                <w:sz w:val="20"/>
                <w:szCs w:val="20"/>
              </w:rPr>
            </w:pPr>
            <w:r>
              <w:rPr>
                <w:color w:val="000000"/>
                <w:sz w:val="20"/>
                <w:szCs w:val="20"/>
              </w:rPr>
              <w:t>Reforma da Equipe de Perícias Norte - Capital</w:t>
            </w:r>
          </w:p>
        </w:tc>
        <w:tc>
          <w:tcPr>
            <w:tcW w:w="1290" w:type="dxa"/>
            <w:shd w:val="clear" w:color="auto" w:fill="auto"/>
            <w:noWrap/>
            <w:vAlign w:val="center"/>
            <w:hideMark/>
          </w:tcPr>
          <w:p w:rsidR="003E6588" w:rsidRDefault="003E6588">
            <w:pPr>
              <w:jc w:val="right"/>
              <w:rPr>
                <w:color w:val="000000"/>
                <w:sz w:val="20"/>
                <w:szCs w:val="20"/>
              </w:rPr>
            </w:pPr>
            <w:r>
              <w:rPr>
                <w:color w:val="000000"/>
                <w:sz w:val="20"/>
                <w:szCs w:val="20"/>
              </w:rPr>
              <w:t>374.000,00</w:t>
            </w:r>
          </w:p>
        </w:tc>
      </w:tr>
      <w:tr w:rsidR="003E6588" w:rsidTr="00440F87">
        <w:trPr>
          <w:trHeight w:val="44"/>
          <w:jc w:val="center"/>
        </w:trPr>
        <w:tc>
          <w:tcPr>
            <w:tcW w:w="2912" w:type="dxa"/>
            <w:vMerge/>
            <w:shd w:val="clear" w:color="auto" w:fill="auto"/>
            <w:noWrap/>
            <w:vAlign w:val="bottom"/>
            <w:hideMark/>
          </w:tcPr>
          <w:p w:rsidR="003E6588" w:rsidRDefault="003E6588" w:rsidP="00440F87">
            <w:pPr>
              <w:jc w:val="left"/>
              <w:rPr>
                <w:color w:val="000000"/>
                <w:sz w:val="20"/>
                <w:szCs w:val="20"/>
              </w:rPr>
            </w:pPr>
          </w:p>
        </w:tc>
        <w:tc>
          <w:tcPr>
            <w:tcW w:w="5639" w:type="dxa"/>
            <w:shd w:val="clear" w:color="auto" w:fill="auto"/>
            <w:vAlign w:val="center"/>
            <w:hideMark/>
          </w:tcPr>
          <w:p w:rsidR="003E6588" w:rsidRDefault="003E6588">
            <w:pPr>
              <w:jc w:val="both"/>
              <w:rPr>
                <w:color w:val="000000"/>
                <w:sz w:val="20"/>
                <w:szCs w:val="20"/>
              </w:rPr>
            </w:pPr>
            <w:r>
              <w:rPr>
                <w:color w:val="000000"/>
                <w:sz w:val="20"/>
                <w:szCs w:val="20"/>
              </w:rPr>
              <w:t>Reforma e ampliação do Prédio Sede da SPTC</w:t>
            </w:r>
          </w:p>
        </w:tc>
        <w:tc>
          <w:tcPr>
            <w:tcW w:w="1290" w:type="dxa"/>
            <w:shd w:val="clear" w:color="auto" w:fill="auto"/>
            <w:noWrap/>
            <w:vAlign w:val="center"/>
            <w:hideMark/>
          </w:tcPr>
          <w:p w:rsidR="003E6588" w:rsidRDefault="003E6588">
            <w:pPr>
              <w:jc w:val="right"/>
              <w:rPr>
                <w:color w:val="000000"/>
                <w:sz w:val="20"/>
                <w:szCs w:val="20"/>
              </w:rPr>
            </w:pPr>
            <w:r>
              <w:rPr>
                <w:color w:val="000000"/>
                <w:sz w:val="20"/>
                <w:szCs w:val="20"/>
              </w:rPr>
              <w:t>900.000,00</w:t>
            </w:r>
          </w:p>
        </w:tc>
      </w:tr>
      <w:tr w:rsidR="003E6588" w:rsidTr="00440F87">
        <w:trPr>
          <w:trHeight w:val="64"/>
          <w:jc w:val="center"/>
        </w:trPr>
        <w:tc>
          <w:tcPr>
            <w:tcW w:w="2912" w:type="dxa"/>
            <w:vMerge/>
            <w:shd w:val="clear" w:color="auto" w:fill="auto"/>
            <w:noWrap/>
            <w:vAlign w:val="bottom"/>
            <w:hideMark/>
          </w:tcPr>
          <w:p w:rsidR="003E6588" w:rsidRDefault="003E6588" w:rsidP="00440F87">
            <w:pPr>
              <w:jc w:val="left"/>
              <w:rPr>
                <w:color w:val="000000"/>
                <w:sz w:val="20"/>
                <w:szCs w:val="20"/>
              </w:rPr>
            </w:pPr>
          </w:p>
        </w:tc>
        <w:tc>
          <w:tcPr>
            <w:tcW w:w="5639" w:type="dxa"/>
            <w:shd w:val="clear" w:color="auto" w:fill="auto"/>
            <w:vAlign w:val="center"/>
            <w:hideMark/>
          </w:tcPr>
          <w:p w:rsidR="003E6588" w:rsidRDefault="003E6588">
            <w:pPr>
              <w:jc w:val="both"/>
              <w:rPr>
                <w:color w:val="000000"/>
                <w:sz w:val="20"/>
                <w:szCs w:val="20"/>
              </w:rPr>
            </w:pPr>
            <w:r>
              <w:rPr>
                <w:color w:val="000000"/>
                <w:sz w:val="20"/>
                <w:szCs w:val="20"/>
              </w:rPr>
              <w:t>Reforma e adequação do Laboratório de Toxicologia Forense - IML</w:t>
            </w:r>
          </w:p>
        </w:tc>
        <w:tc>
          <w:tcPr>
            <w:tcW w:w="1290" w:type="dxa"/>
            <w:shd w:val="clear" w:color="auto" w:fill="auto"/>
            <w:noWrap/>
            <w:vAlign w:val="center"/>
            <w:hideMark/>
          </w:tcPr>
          <w:p w:rsidR="003E6588" w:rsidRDefault="003E6588">
            <w:pPr>
              <w:jc w:val="right"/>
              <w:rPr>
                <w:color w:val="000000"/>
                <w:sz w:val="20"/>
                <w:szCs w:val="20"/>
              </w:rPr>
            </w:pPr>
            <w:r>
              <w:rPr>
                <w:color w:val="000000"/>
                <w:sz w:val="20"/>
                <w:szCs w:val="20"/>
              </w:rPr>
              <w:t>2.074.827,34</w:t>
            </w:r>
          </w:p>
        </w:tc>
      </w:tr>
      <w:tr w:rsidR="003E6588" w:rsidTr="00440F87">
        <w:trPr>
          <w:trHeight w:val="110"/>
          <w:jc w:val="center"/>
        </w:trPr>
        <w:tc>
          <w:tcPr>
            <w:tcW w:w="2912" w:type="dxa"/>
            <w:vMerge/>
            <w:shd w:val="clear" w:color="auto" w:fill="auto"/>
            <w:noWrap/>
            <w:vAlign w:val="bottom"/>
            <w:hideMark/>
          </w:tcPr>
          <w:p w:rsidR="003E6588" w:rsidRDefault="003E6588" w:rsidP="00440F87">
            <w:pPr>
              <w:jc w:val="left"/>
              <w:rPr>
                <w:color w:val="000000"/>
                <w:sz w:val="20"/>
                <w:szCs w:val="20"/>
              </w:rPr>
            </w:pPr>
          </w:p>
        </w:tc>
        <w:tc>
          <w:tcPr>
            <w:tcW w:w="5639" w:type="dxa"/>
            <w:shd w:val="clear" w:color="auto" w:fill="auto"/>
            <w:vAlign w:val="center"/>
            <w:hideMark/>
          </w:tcPr>
          <w:p w:rsidR="003E6588" w:rsidRDefault="003E6588">
            <w:pPr>
              <w:jc w:val="both"/>
              <w:rPr>
                <w:color w:val="000000"/>
                <w:sz w:val="20"/>
                <w:szCs w:val="20"/>
              </w:rPr>
            </w:pPr>
            <w:r>
              <w:rPr>
                <w:color w:val="000000"/>
                <w:sz w:val="20"/>
                <w:szCs w:val="20"/>
              </w:rPr>
              <w:t>Reforma do Núcleo de Exames de Entorpecentes do IC</w:t>
            </w:r>
          </w:p>
        </w:tc>
        <w:tc>
          <w:tcPr>
            <w:tcW w:w="1290" w:type="dxa"/>
            <w:shd w:val="clear" w:color="auto" w:fill="auto"/>
            <w:noWrap/>
            <w:vAlign w:val="center"/>
            <w:hideMark/>
          </w:tcPr>
          <w:p w:rsidR="003E6588" w:rsidRDefault="003E6588">
            <w:pPr>
              <w:jc w:val="right"/>
              <w:rPr>
                <w:color w:val="000000"/>
                <w:sz w:val="20"/>
                <w:szCs w:val="20"/>
              </w:rPr>
            </w:pPr>
            <w:r>
              <w:rPr>
                <w:color w:val="000000"/>
                <w:sz w:val="20"/>
                <w:szCs w:val="20"/>
              </w:rPr>
              <w:t>154.673,73</w:t>
            </w:r>
          </w:p>
        </w:tc>
      </w:tr>
      <w:tr w:rsidR="003E6588" w:rsidTr="00440F87">
        <w:trPr>
          <w:trHeight w:val="390"/>
          <w:jc w:val="center"/>
        </w:trPr>
        <w:tc>
          <w:tcPr>
            <w:tcW w:w="2912" w:type="dxa"/>
            <w:tcBorders>
              <w:bottom w:val="single" w:sz="8" w:space="0" w:color="auto"/>
            </w:tcBorders>
            <w:shd w:val="clear" w:color="auto" w:fill="auto"/>
            <w:noWrap/>
            <w:vAlign w:val="center"/>
            <w:hideMark/>
          </w:tcPr>
          <w:p w:rsidR="003E6588" w:rsidRDefault="003E6588" w:rsidP="00440F87">
            <w:pPr>
              <w:jc w:val="left"/>
              <w:rPr>
                <w:color w:val="000000"/>
                <w:sz w:val="20"/>
                <w:szCs w:val="20"/>
              </w:rPr>
            </w:pPr>
            <w:r>
              <w:rPr>
                <w:color w:val="000000"/>
                <w:sz w:val="20"/>
                <w:szCs w:val="20"/>
              </w:rPr>
              <w:t>Execução de Obras e Instalações</w:t>
            </w:r>
          </w:p>
        </w:tc>
        <w:tc>
          <w:tcPr>
            <w:tcW w:w="5639" w:type="dxa"/>
            <w:tcBorders>
              <w:bottom w:val="single" w:sz="8" w:space="0" w:color="auto"/>
            </w:tcBorders>
            <w:shd w:val="clear" w:color="auto" w:fill="auto"/>
            <w:vAlign w:val="center"/>
            <w:hideMark/>
          </w:tcPr>
          <w:p w:rsidR="003E6588" w:rsidRDefault="003E6588">
            <w:pPr>
              <w:jc w:val="both"/>
              <w:rPr>
                <w:color w:val="000000"/>
                <w:sz w:val="20"/>
                <w:szCs w:val="20"/>
              </w:rPr>
            </w:pPr>
            <w:r>
              <w:rPr>
                <w:color w:val="000000"/>
                <w:sz w:val="20"/>
                <w:szCs w:val="20"/>
              </w:rPr>
              <w:t>Implantação de sistemas de emergência para a Sede da SPTC e da Equipe de Perícias Médico-Legais Centrol</w:t>
            </w:r>
          </w:p>
        </w:tc>
        <w:tc>
          <w:tcPr>
            <w:tcW w:w="1290" w:type="dxa"/>
            <w:tcBorders>
              <w:bottom w:val="single" w:sz="8" w:space="0" w:color="auto"/>
            </w:tcBorders>
            <w:shd w:val="clear" w:color="auto" w:fill="auto"/>
            <w:noWrap/>
            <w:vAlign w:val="center"/>
            <w:hideMark/>
          </w:tcPr>
          <w:p w:rsidR="003E6588" w:rsidRDefault="003E6588">
            <w:pPr>
              <w:jc w:val="right"/>
              <w:rPr>
                <w:color w:val="000000"/>
                <w:sz w:val="20"/>
                <w:szCs w:val="20"/>
              </w:rPr>
            </w:pPr>
            <w:r>
              <w:rPr>
                <w:color w:val="000000"/>
                <w:sz w:val="20"/>
                <w:szCs w:val="20"/>
              </w:rPr>
              <w:t>4.710.000,00</w:t>
            </w:r>
          </w:p>
        </w:tc>
      </w:tr>
      <w:tr w:rsidR="003E6588" w:rsidTr="00440F87">
        <w:trPr>
          <w:trHeight w:val="246"/>
          <w:jc w:val="center"/>
        </w:trPr>
        <w:tc>
          <w:tcPr>
            <w:tcW w:w="8551" w:type="dxa"/>
            <w:gridSpan w:val="2"/>
            <w:tcBorders>
              <w:bottom w:val="single" w:sz="8" w:space="0" w:color="auto"/>
            </w:tcBorders>
            <w:shd w:val="clear" w:color="auto" w:fill="auto"/>
            <w:noWrap/>
            <w:vAlign w:val="bottom"/>
            <w:hideMark/>
          </w:tcPr>
          <w:p w:rsidR="003E6588" w:rsidRDefault="003E6588">
            <w:pPr>
              <w:rPr>
                <w:b/>
                <w:bCs/>
                <w:sz w:val="20"/>
                <w:szCs w:val="20"/>
              </w:rPr>
            </w:pPr>
            <w:r>
              <w:rPr>
                <w:b/>
                <w:bCs/>
                <w:sz w:val="20"/>
                <w:szCs w:val="20"/>
              </w:rPr>
              <w:t>Total</w:t>
            </w:r>
          </w:p>
        </w:tc>
        <w:tc>
          <w:tcPr>
            <w:tcW w:w="1290" w:type="dxa"/>
            <w:tcBorders>
              <w:bottom w:val="single" w:sz="8" w:space="0" w:color="auto"/>
            </w:tcBorders>
            <w:shd w:val="clear" w:color="auto" w:fill="auto"/>
            <w:vAlign w:val="bottom"/>
          </w:tcPr>
          <w:p w:rsidR="003E6588" w:rsidRDefault="003E6588">
            <w:pPr>
              <w:jc w:val="right"/>
              <w:rPr>
                <w:b/>
                <w:bCs/>
                <w:sz w:val="20"/>
                <w:szCs w:val="20"/>
              </w:rPr>
            </w:pPr>
            <w:r>
              <w:rPr>
                <w:b/>
                <w:bCs/>
                <w:sz w:val="20"/>
                <w:szCs w:val="20"/>
              </w:rPr>
              <w:t>10.288.328,41</w:t>
            </w:r>
          </w:p>
        </w:tc>
      </w:tr>
    </w:tbl>
    <w:p w:rsidR="003E6588" w:rsidRDefault="003E6588">
      <w:pPr>
        <w:ind w:firstLine="1134"/>
        <w:jc w:val="both"/>
        <w:rPr>
          <w:u w:val="single"/>
        </w:rPr>
      </w:pPr>
    </w:p>
    <w:p w:rsidR="003E6588" w:rsidRDefault="003E6588">
      <w:pPr>
        <w:ind w:firstLine="1134"/>
        <w:jc w:val="both"/>
        <w:rPr>
          <w:u w:val="single"/>
        </w:rPr>
      </w:pPr>
      <w:r>
        <w:rPr>
          <w:b/>
          <w:bCs/>
        </w:rPr>
        <w:t>Obras empenhadas</w:t>
      </w:r>
    </w:p>
    <w:p w:rsidR="003E6588" w:rsidRDefault="003E6588">
      <w:pPr>
        <w:ind w:firstLine="1134"/>
        <w:jc w:val="both"/>
        <w:rPr>
          <w:u w:val="single"/>
        </w:rPr>
      </w:pPr>
    </w:p>
    <w:tbl>
      <w:tblPr>
        <w:tblW w:w="9781" w:type="dxa"/>
        <w:jc w:val="center"/>
        <w:tblInd w:w="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2882"/>
        <w:gridCol w:w="5481"/>
        <w:gridCol w:w="1418"/>
      </w:tblGrid>
      <w:tr w:rsidR="003E6588" w:rsidTr="00440F87">
        <w:trPr>
          <w:trHeight w:val="250"/>
          <w:jc w:val="center"/>
        </w:trPr>
        <w:tc>
          <w:tcPr>
            <w:tcW w:w="2882" w:type="dxa"/>
            <w:shd w:val="clear" w:color="auto" w:fill="auto"/>
            <w:noWrap/>
            <w:vAlign w:val="bottom"/>
            <w:hideMark/>
          </w:tcPr>
          <w:p w:rsidR="003E6588" w:rsidRDefault="003E6588">
            <w:pPr>
              <w:rPr>
                <w:b/>
                <w:bCs/>
                <w:sz w:val="20"/>
                <w:szCs w:val="20"/>
              </w:rPr>
            </w:pPr>
            <w:r>
              <w:rPr>
                <w:b/>
                <w:bCs/>
                <w:sz w:val="20"/>
                <w:szCs w:val="20"/>
              </w:rPr>
              <w:t>Ação</w:t>
            </w:r>
          </w:p>
        </w:tc>
        <w:tc>
          <w:tcPr>
            <w:tcW w:w="5481" w:type="dxa"/>
            <w:shd w:val="clear" w:color="auto" w:fill="auto"/>
            <w:vAlign w:val="bottom"/>
          </w:tcPr>
          <w:p w:rsidR="003E6588" w:rsidRDefault="003E6588">
            <w:pPr>
              <w:rPr>
                <w:b/>
                <w:bCs/>
                <w:sz w:val="20"/>
                <w:szCs w:val="20"/>
              </w:rPr>
            </w:pPr>
            <w:r>
              <w:rPr>
                <w:b/>
                <w:bCs/>
                <w:sz w:val="20"/>
                <w:szCs w:val="20"/>
              </w:rPr>
              <w:t>Finalidade</w:t>
            </w:r>
          </w:p>
        </w:tc>
        <w:tc>
          <w:tcPr>
            <w:tcW w:w="1418" w:type="dxa"/>
            <w:shd w:val="clear" w:color="auto" w:fill="auto"/>
            <w:vAlign w:val="bottom"/>
          </w:tcPr>
          <w:p w:rsidR="003E6588" w:rsidRDefault="003E6588">
            <w:pPr>
              <w:rPr>
                <w:b/>
                <w:bCs/>
                <w:sz w:val="20"/>
                <w:szCs w:val="20"/>
              </w:rPr>
            </w:pPr>
            <w:r>
              <w:rPr>
                <w:b/>
                <w:bCs/>
                <w:sz w:val="20"/>
                <w:szCs w:val="20"/>
              </w:rPr>
              <w:t>Valor (R$)</w:t>
            </w:r>
          </w:p>
        </w:tc>
      </w:tr>
      <w:tr w:rsidR="003E6588" w:rsidTr="00440F87">
        <w:trPr>
          <w:trHeight w:val="50"/>
          <w:jc w:val="center"/>
        </w:trPr>
        <w:tc>
          <w:tcPr>
            <w:tcW w:w="2882" w:type="dxa"/>
            <w:vMerge w:val="restart"/>
            <w:shd w:val="clear" w:color="auto" w:fill="auto"/>
            <w:noWrap/>
            <w:vAlign w:val="center"/>
            <w:hideMark/>
          </w:tcPr>
          <w:p w:rsidR="003E6588" w:rsidRDefault="003E6588" w:rsidP="00440F87">
            <w:pPr>
              <w:jc w:val="left"/>
              <w:rPr>
                <w:color w:val="000000"/>
                <w:sz w:val="20"/>
                <w:szCs w:val="20"/>
              </w:rPr>
            </w:pPr>
            <w:r>
              <w:rPr>
                <w:color w:val="000000"/>
                <w:sz w:val="20"/>
                <w:szCs w:val="20"/>
              </w:rPr>
              <w:t>Transferências a Municípios -Obras</w:t>
            </w:r>
          </w:p>
        </w:tc>
        <w:tc>
          <w:tcPr>
            <w:tcW w:w="5481" w:type="dxa"/>
            <w:shd w:val="clear" w:color="auto" w:fill="auto"/>
            <w:vAlign w:val="bottom"/>
            <w:hideMark/>
          </w:tcPr>
          <w:p w:rsidR="003E6588" w:rsidRDefault="003E6588">
            <w:pPr>
              <w:jc w:val="both"/>
              <w:rPr>
                <w:color w:val="000000"/>
                <w:sz w:val="20"/>
                <w:szCs w:val="20"/>
              </w:rPr>
            </w:pPr>
            <w:r>
              <w:rPr>
                <w:color w:val="000000"/>
                <w:sz w:val="20"/>
                <w:szCs w:val="20"/>
              </w:rPr>
              <w:t>Convênio para construção de EPC e EPML em Andradina</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3.815.215,99</w:t>
            </w:r>
          </w:p>
        </w:tc>
      </w:tr>
      <w:tr w:rsidR="003E6588" w:rsidTr="00440F87">
        <w:trPr>
          <w:trHeight w:val="96"/>
          <w:jc w:val="center"/>
        </w:trPr>
        <w:tc>
          <w:tcPr>
            <w:tcW w:w="2882" w:type="dxa"/>
            <w:vMerge/>
            <w:shd w:val="clear" w:color="auto" w:fill="auto"/>
            <w:noWrap/>
            <w:vAlign w:val="bottom"/>
            <w:hideMark/>
          </w:tcPr>
          <w:p w:rsidR="003E6588" w:rsidRDefault="003E6588" w:rsidP="00440F87">
            <w:pPr>
              <w:jc w:val="left"/>
              <w:rPr>
                <w:color w:val="000000"/>
                <w:sz w:val="20"/>
                <w:szCs w:val="20"/>
              </w:rPr>
            </w:pPr>
          </w:p>
        </w:tc>
        <w:tc>
          <w:tcPr>
            <w:tcW w:w="5481" w:type="dxa"/>
            <w:shd w:val="clear" w:color="auto" w:fill="auto"/>
            <w:vAlign w:val="bottom"/>
            <w:hideMark/>
          </w:tcPr>
          <w:p w:rsidR="003E6588" w:rsidRDefault="003E6588">
            <w:pPr>
              <w:jc w:val="both"/>
              <w:rPr>
                <w:color w:val="000000"/>
                <w:sz w:val="20"/>
                <w:szCs w:val="20"/>
              </w:rPr>
            </w:pPr>
            <w:r>
              <w:rPr>
                <w:color w:val="000000"/>
                <w:sz w:val="20"/>
                <w:szCs w:val="20"/>
              </w:rPr>
              <w:t>Convênio para construção de EPC e EPML em Assis</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3.692.840,23</w:t>
            </w:r>
          </w:p>
        </w:tc>
      </w:tr>
      <w:tr w:rsidR="003E6588" w:rsidTr="00440F87">
        <w:trPr>
          <w:trHeight w:val="141"/>
          <w:jc w:val="center"/>
        </w:trPr>
        <w:tc>
          <w:tcPr>
            <w:tcW w:w="2882" w:type="dxa"/>
            <w:vMerge w:val="restart"/>
            <w:shd w:val="clear" w:color="auto" w:fill="auto"/>
            <w:noWrap/>
            <w:vAlign w:val="center"/>
            <w:hideMark/>
          </w:tcPr>
          <w:p w:rsidR="003E6588" w:rsidRDefault="003E6588" w:rsidP="00440F87">
            <w:pPr>
              <w:jc w:val="left"/>
              <w:rPr>
                <w:color w:val="000000"/>
                <w:sz w:val="20"/>
                <w:szCs w:val="20"/>
              </w:rPr>
            </w:pPr>
            <w:r>
              <w:rPr>
                <w:color w:val="000000"/>
                <w:sz w:val="20"/>
                <w:szCs w:val="20"/>
              </w:rPr>
              <w:t>Gerenciamento de Obras</w:t>
            </w:r>
          </w:p>
        </w:tc>
        <w:tc>
          <w:tcPr>
            <w:tcW w:w="5481" w:type="dxa"/>
            <w:shd w:val="clear" w:color="auto" w:fill="auto"/>
            <w:vAlign w:val="bottom"/>
            <w:hideMark/>
          </w:tcPr>
          <w:p w:rsidR="003E6588" w:rsidRDefault="003E6588">
            <w:pPr>
              <w:jc w:val="both"/>
              <w:rPr>
                <w:color w:val="000000"/>
                <w:sz w:val="20"/>
                <w:szCs w:val="20"/>
              </w:rPr>
            </w:pPr>
            <w:r>
              <w:rPr>
                <w:color w:val="000000"/>
                <w:sz w:val="20"/>
                <w:szCs w:val="20"/>
              </w:rPr>
              <w:t>Reforma e adequação do EPML de Praia Grande</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350.006,16</w:t>
            </w:r>
          </w:p>
        </w:tc>
      </w:tr>
      <w:tr w:rsidR="003E6588" w:rsidTr="00440F87">
        <w:trPr>
          <w:trHeight w:val="256"/>
          <w:jc w:val="center"/>
        </w:trPr>
        <w:tc>
          <w:tcPr>
            <w:tcW w:w="2882" w:type="dxa"/>
            <w:vMerge/>
            <w:shd w:val="clear" w:color="auto" w:fill="auto"/>
            <w:noWrap/>
            <w:vAlign w:val="bottom"/>
            <w:hideMark/>
          </w:tcPr>
          <w:p w:rsidR="003E6588" w:rsidRDefault="003E6588" w:rsidP="00440F87">
            <w:pPr>
              <w:jc w:val="left"/>
              <w:rPr>
                <w:color w:val="000000"/>
                <w:sz w:val="20"/>
                <w:szCs w:val="20"/>
              </w:rPr>
            </w:pPr>
          </w:p>
        </w:tc>
        <w:tc>
          <w:tcPr>
            <w:tcW w:w="5481" w:type="dxa"/>
            <w:shd w:val="clear" w:color="auto" w:fill="auto"/>
            <w:vAlign w:val="bottom"/>
            <w:hideMark/>
          </w:tcPr>
          <w:p w:rsidR="003E6588" w:rsidRDefault="003E6588">
            <w:pPr>
              <w:jc w:val="both"/>
              <w:rPr>
                <w:color w:val="000000"/>
                <w:sz w:val="20"/>
                <w:szCs w:val="20"/>
              </w:rPr>
            </w:pPr>
            <w:r>
              <w:rPr>
                <w:color w:val="000000"/>
                <w:sz w:val="20"/>
                <w:szCs w:val="20"/>
              </w:rPr>
              <w:t>Serviço de gerenciamento da obra do prédio para abrigar as EPC e EPML de Americana</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285.758,12</w:t>
            </w:r>
          </w:p>
        </w:tc>
      </w:tr>
      <w:tr w:rsidR="003E6588" w:rsidTr="00440F87">
        <w:trPr>
          <w:trHeight w:val="138"/>
          <w:jc w:val="center"/>
        </w:trPr>
        <w:tc>
          <w:tcPr>
            <w:tcW w:w="2882" w:type="dxa"/>
            <w:vMerge w:val="restart"/>
            <w:shd w:val="clear" w:color="auto" w:fill="auto"/>
            <w:noWrap/>
            <w:vAlign w:val="center"/>
            <w:hideMark/>
          </w:tcPr>
          <w:p w:rsidR="003E6588" w:rsidRDefault="003E6588" w:rsidP="00440F87">
            <w:pPr>
              <w:jc w:val="left"/>
              <w:rPr>
                <w:color w:val="000000"/>
                <w:sz w:val="20"/>
                <w:szCs w:val="20"/>
              </w:rPr>
            </w:pPr>
            <w:r>
              <w:rPr>
                <w:color w:val="000000"/>
                <w:sz w:val="20"/>
                <w:szCs w:val="20"/>
              </w:rPr>
              <w:t>Execução de Obras e Instalações</w:t>
            </w:r>
          </w:p>
        </w:tc>
        <w:tc>
          <w:tcPr>
            <w:tcW w:w="5481" w:type="dxa"/>
            <w:shd w:val="clear" w:color="auto" w:fill="auto"/>
            <w:vAlign w:val="bottom"/>
            <w:hideMark/>
          </w:tcPr>
          <w:p w:rsidR="003E6588" w:rsidRDefault="003E6588">
            <w:pPr>
              <w:jc w:val="both"/>
              <w:rPr>
                <w:color w:val="000000"/>
                <w:sz w:val="20"/>
                <w:szCs w:val="20"/>
              </w:rPr>
            </w:pPr>
            <w:r>
              <w:rPr>
                <w:color w:val="000000"/>
                <w:sz w:val="20"/>
                <w:szCs w:val="20"/>
              </w:rPr>
              <w:t>Construção para abrigar a EPC e EPML de Americana</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1.946.127,96</w:t>
            </w:r>
          </w:p>
        </w:tc>
      </w:tr>
      <w:tr w:rsidR="003E6588" w:rsidTr="00440F87">
        <w:trPr>
          <w:trHeight w:val="412"/>
          <w:jc w:val="center"/>
        </w:trPr>
        <w:tc>
          <w:tcPr>
            <w:tcW w:w="2882" w:type="dxa"/>
            <w:vMerge/>
            <w:shd w:val="clear" w:color="auto" w:fill="auto"/>
            <w:noWrap/>
            <w:vAlign w:val="bottom"/>
            <w:hideMark/>
          </w:tcPr>
          <w:p w:rsidR="003E6588" w:rsidRDefault="003E6588" w:rsidP="00440F87">
            <w:pPr>
              <w:jc w:val="left"/>
              <w:rPr>
                <w:color w:val="000000"/>
                <w:sz w:val="20"/>
                <w:szCs w:val="20"/>
              </w:rPr>
            </w:pPr>
          </w:p>
        </w:tc>
        <w:tc>
          <w:tcPr>
            <w:tcW w:w="5481" w:type="dxa"/>
            <w:shd w:val="clear" w:color="auto" w:fill="auto"/>
            <w:vAlign w:val="bottom"/>
            <w:hideMark/>
          </w:tcPr>
          <w:p w:rsidR="003E6588" w:rsidRDefault="003E6588">
            <w:pPr>
              <w:jc w:val="both"/>
              <w:rPr>
                <w:color w:val="000000"/>
                <w:sz w:val="20"/>
                <w:szCs w:val="20"/>
              </w:rPr>
            </w:pPr>
            <w:r>
              <w:rPr>
                <w:color w:val="000000"/>
                <w:sz w:val="20"/>
                <w:szCs w:val="20"/>
              </w:rPr>
              <w:t>Implantação de sistemas de emergência com fornecimento de materiais e equipamentos (Geradores) para o Prédio Sede da SPTC e Prédio da Equipe de Perícias Médico-Legais Centro - Capital</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328.542,37</w:t>
            </w:r>
          </w:p>
        </w:tc>
      </w:tr>
      <w:tr w:rsidR="003E6588" w:rsidTr="00440F87">
        <w:trPr>
          <w:trHeight w:val="51"/>
          <w:jc w:val="center"/>
        </w:trPr>
        <w:tc>
          <w:tcPr>
            <w:tcW w:w="2882" w:type="dxa"/>
            <w:vMerge w:val="restart"/>
            <w:shd w:val="clear" w:color="auto" w:fill="auto"/>
            <w:vAlign w:val="center"/>
            <w:hideMark/>
          </w:tcPr>
          <w:p w:rsidR="003E6588" w:rsidRDefault="003E6588" w:rsidP="00440F87">
            <w:pPr>
              <w:jc w:val="left"/>
              <w:rPr>
                <w:color w:val="000000"/>
                <w:sz w:val="20"/>
                <w:szCs w:val="20"/>
              </w:rPr>
            </w:pPr>
            <w:r>
              <w:rPr>
                <w:color w:val="000000"/>
                <w:sz w:val="20"/>
                <w:szCs w:val="20"/>
              </w:rPr>
              <w:t>Reformas de Bens Imóveis</w:t>
            </w:r>
          </w:p>
        </w:tc>
        <w:tc>
          <w:tcPr>
            <w:tcW w:w="5481" w:type="dxa"/>
            <w:shd w:val="clear" w:color="auto" w:fill="auto"/>
            <w:vAlign w:val="bottom"/>
            <w:hideMark/>
          </w:tcPr>
          <w:p w:rsidR="003E6588" w:rsidRDefault="003E6588">
            <w:pPr>
              <w:rPr>
                <w:color w:val="000000"/>
                <w:sz w:val="20"/>
                <w:szCs w:val="20"/>
              </w:rPr>
            </w:pPr>
            <w:r>
              <w:rPr>
                <w:color w:val="000000"/>
                <w:sz w:val="20"/>
                <w:szCs w:val="20"/>
              </w:rPr>
              <w:t>Reforma e adequação do prédio da EPML de Praia Grande</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818.567,87</w:t>
            </w:r>
          </w:p>
        </w:tc>
      </w:tr>
      <w:tr w:rsidR="003E6588" w:rsidTr="00440F87">
        <w:trPr>
          <w:trHeight w:val="83"/>
          <w:jc w:val="center"/>
        </w:trPr>
        <w:tc>
          <w:tcPr>
            <w:tcW w:w="2882" w:type="dxa"/>
            <w:vMerge/>
            <w:shd w:val="clear" w:color="auto" w:fill="auto"/>
            <w:vAlign w:val="bottom"/>
            <w:hideMark/>
          </w:tcPr>
          <w:p w:rsidR="003E6588" w:rsidRDefault="003E6588">
            <w:pPr>
              <w:rPr>
                <w:color w:val="000000"/>
                <w:sz w:val="20"/>
                <w:szCs w:val="20"/>
              </w:rPr>
            </w:pPr>
          </w:p>
        </w:tc>
        <w:tc>
          <w:tcPr>
            <w:tcW w:w="5481" w:type="dxa"/>
            <w:shd w:val="clear" w:color="auto" w:fill="auto"/>
            <w:vAlign w:val="bottom"/>
            <w:hideMark/>
          </w:tcPr>
          <w:p w:rsidR="003E6588" w:rsidRDefault="003E6588">
            <w:pPr>
              <w:rPr>
                <w:color w:val="000000"/>
                <w:sz w:val="20"/>
                <w:szCs w:val="20"/>
              </w:rPr>
            </w:pPr>
            <w:r>
              <w:rPr>
                <w:color w:val="000000"/>
                <w:sz w:val="20"/>
                <w:szCs w:val="20"/>
              </w:rPr>
              <w:t>Reforma e adequação do prédio da EPC de Mogi-Guaçu</w:t>
            </w:r>
          </w:p>
        </w:tc>
        <w:tc>
          <w:tcPr>
            <w:tcW w:w="1418" w:type="dxa"/>
            <w:shd w:val="clear" w:color="auto" w:fill="auto"/>
            <w:noWrap/>
            <w:vAlign w:val="center"/>
            <w:hideMark/>
          </w:tcPr>
          <w:p w:rsidR="003E6588" w:rsidRDefault="003E6588">
            <w:pPr>
              <w:jc w:val="right"/>
              <w:rPr>
                <w:color w:val="000000"/>
                <w:sz w:val="20"/>
                <w:szCs w:val="20"/>
              </w:rPr>
            </w:pPr>
            <w:r>
              <w:rPr>
                <w:color w:val="000000"/>
                <w:sz w:val="20"/>
                <w:szCs w:val="20"/>
              </w:rPr>
              <w:t>470.000,00</w:t>
            </w:r>
          </w:p>
        </w:tc>
      </w:tr>
      <w:tr w:rsidR="003E6588" w:rsidTr="00440F87">
        <w:trPr>
          <w:trHeight w:val="250"/>
          <w:jc w:val="center"/>
        </w:trPr>
        <w:tc>
          <w:tcPr>
            <w:tcW w:w="8363" w:type="dxa"/>
            <w:gridSpan w:val="2"/>
            <w:shd w:val="clear" w:color="auto" w:fill="auto"/>
            <w:noWrap/>
            <w:vAlign w:val="bottom"/>
            <w:hideMark/>
          </w:tcPr>
          <w:p w:rsidR="003E6588" w:rsidRDefault="003E6588">
            <w:pPr>
              <w:rPr>
                <w:b/>
                <w:bCs/>
                <w:sz w:val="20"/>
                <w:szCs w:val="20"/>
              </w:rPr>
            </w:pPr>
            <w:r>
              <w:rPr>
                <w:b/>
                <w:bCs/>
                <w:sz w:val="20"/>
                <w:szCs w:val="20"/>
              </w:rPr>
              <w:t>Total</w:t>
            </w:r>
          </w:p>
        </w:tc>
        <w:tc>
          <w:tcPr>
            <w:tcW w:w="1418" w:type="dxa"/>
            <w:shd w:val="clear" w:color="auto" w:fill="auto"/>
            <w:vAlign w:val="bottom"/>
          </w:tcPr>
          <w:p w:rsidR="003E6588" w:rsidRDefault="003E6588">
            <w:pPr>
              <w:jc w:val="right"/>
              <w:rPr>
                <w:b/>
                <w:bCs/>
                <w:sz w:val="20"/>
                <w:szCs w:val="20"/>
              </w:rPr>
            </w:pPr>
            <w:r>
              <w:rPr>
                <w:b/>
                <w:bCs/>
                <w:sz w:val="20"/>
                <w:szCs w:val="20"/>
              </w:rPr>
              <w:t>11.707.058,70</w:t>
            </w:r>
          </w:p>
        </w:tc>
      </w:tr>
    </w:tbl>
    <w:p w:rsidR="003E6588" w:rsidRDefault="003E6588">
      <w:pPr>
        <w:ind w:firstLine="1134"/>
        <w:jc w:val="both"/>
        <w:rPr>
          <w:u w:val="single"/>
        </w:rPr>
      </w:pPr>
    </w:p>
    <w:p w:rsidR="003E6588" w:rsidRDefault="003E6588">
      <w:pPr>
        <w:ind w:firstLine="1134"/>
        <w:jc w:val="both"/>
        <w:rPr>
          <w:b/>
          <w:bCs/>
        </w:rPr>
      </w:pPr>
      <w:r>
        <w:rPr>
          <w:b/>
          <w:bCs/>
        </w:rPr>
        <w:t>Bombeiros</w:t>
      </w:r>
    </w:p>
    <w:p w:rsidR="003E6588" w:rsidRDefault="003E6588">
      <w:pPr>
        <w:ind w:firstLine="1134"/>
        <w:jc w:val="both"/>
        <w:rPr>
          <w:bCs/>
          <w:u w:val="single"/>
        </w:rPr>
      </w:pPr>
    </w:p>
    <w:tbl>
      <w:tblPr>
        <w:tblW w:w="5151"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2082"/>
        <w:gridCol w:w="1081"/>
        <w:gridCol w:w="1698"/>
        <w:gridCol w:w="1304"/>
        <w:gridCol w:w="4252"/>
      </w:tblGrid>
      <w:tr w:rsidR="003E6588" w:rsidTr="00440F87">
        <w:trPr>
          <w:trHeight w:val="300"/>
        </w:trPr>
        <w:tc>
          <w:tcPr>
            <w:tcW w:w="999" w:type="pct"/>
            <w:shd w:val="clear" w:color="auto" w:fill="auto"/>
            <w:vAlign w:val="center"/>
          </w:tcPr>
          <w:p w:rsidR="003E6588" w:rsidRDefault="003E6588">
            <w:pPr>
              <w:autoSpaceDE w:val="0"/>
              <w:autoSpaceDN w:val="0"/>
              <w:adjustRightInd w:val="0"/>
              <w:rPr>
                <w:rFonts w:cs="Calibri"/>
                <w:b/>
                <w:bCs/>
                <w:color w:val="000000"/>
                <w:sz w:val="20"/>
                <w:szCs w:val="20"/>
              </w:rPr>
            </w:pPr>
            <w:r>
              <w:rPr>
                <w:rFonts w:cs="Calibri"/>
                <w:b/>
                <w:bCs/>
                <w:color w:val="000000"/>
                <w:sz w:val="20"/>
                <w:szCs w:val="20"/>
              </w:rPr>
              <w:t>Municipio</w:t>
            </w:r>
          </w:p>
        </w:tc>
        <w:tc>
          <w:tcPr>
            <w:tcW w:w="519" w:type="pct"/>
            <w:shd w:val="clear" w:color="auto" w:fill="auto"/>
            <w:vAlign w:val="center"/>
          </w:tcPr>
          <w:p w:rsidR="003E6588" w:rsidRDefault="003E6588">
            <w:pPr>
              <w:autoSpaceDE w:val="0"/>
              <w:autoSpaceDN w:val="0"/>
              <w:adjustRightInd w:val="0"/>
              <w:rPr>
                <w:rFonts w:cs="Calibri"/>
                <w:b/>
                <w:bCs/>
                <w:color w:val="000000"/>
                <w:sz w:val="20"/>
                <w:szCs w:val="20"/>
              </w:rPr>
            </w:pPr>
            <w:r>
              <w:rPr>
                <w:rFonts w:cs="Calibri"/>
                <w:b/>
                <w:bCs/>
                <w:color w:val="000000"/>
                <w:sz w:val="20"/>
                <w:szCs w:val="20"/>
              </w:rPr>
              <w:t>Objeto</w:t>
            </w:r>
          </w:p>
        </w:tc>
        <w:tc>
          <w:tcPr>
            <w:tcW w:w="815" w:type="pct"/>
            <w:shd w:val="clear" w:color="auto" w:fill="auto"/>
            <w:vAlign w:val="center"/>
          </w:tcPr>
          <w:p w:rsidR="003E6588" w:rsidRDefault="003E6588">
            <w:pPr>
              <w:autoSpaceDE w:val="0"/>
              <w:autoSpaceDN w:val="0"/>
              <w:adjustRightInd w:val="0"/>
              <w:rPr>
                <w:rFonts w:cs="Calibri"/>
                <w:b/>
                <w:bCs/>
                <w:color w:val="000000"/>
                <w:sz w:val="20"/>
                <w:szCs w:val="20"/>
              </w:rPr>
            </w:pPr>
            <w:r>
              <w:rPr>
                <w:rFonts w:cs="Calibri"/>
                <w:b/>
                <w:bCs/>
                <w:color w:val="000000"/>
                <w:sz w:val="20"/>
                <w:szCs w:val="20"/>
              </w:rPr>
              <w:t>Situação</w:t>
            </w:r>
          </w:p>
        </w:tc>
        <w:tc>
          <w:tcPr>
            <w:tcW w:w="626" w:type="pct"/>
            <w:shd w:val="clear" w:color="auto" w:fill="auto"/>
            <w:vAlign w:val="center"/>
          </w:tcPr>
          <w:p w:rsidR="003E6588" w:rsidRDefault="003E6588">
            <w:pPr>
              <w:autoSpaceDE w:val="0"/>
              <w:autoSpaceDN w:val="0"/>
              <w:adjustRightInd w:val="0"/>
              <w:rPr>
                <w:rFonts w:cs="Calibri"/>
                <w:b/>
                <w:bCs/>
                <w:color w:val="000000"/>
                <w:sz w:val="20"/>
                <w:szCs w:val="20"/>
              </w:rPr>
            </w:pPr>
            <w:r>
              <w:rPr>
                <w:rFonts w:cs="Calibri"/>
                <w:b/>
                <w:bCs/>
                <w:color w:val="000000"/>
                <w:sz w:val="20"/>
                <w:szCs w:val="20"/>
              </w:rPr>
              <w:t>Investimento</w:t>
            </w:r>
          </w:p>
          <w:p w:rsidR="003E6588" w:rsidRDefault="003E6588">
            <w:pPr>
              <w:autoSpaceDE w:val="0"/>
              <w:autoSpaceDN w:val="0"/>
              <w:adjustRightInd w:val="0"/>
              <w:rPr>
                <w:rFonts w:cs="Calibri"/>
                <w:b/>
                <w:bCs/>
                <w:color w:val="000000"/>
                <w:sz w:val="20"/>
                <w:szCs w:val="20"/>
              </w:rPr>
            </w:pPr>
            <w:r>
              <w:rPr>
                <w:rFonts w:cs="Calibri"/>
                <w:b/>
                <w:bCs/>
                <w:color w:val="000000"/>
                <w:sz w:val="20"/>
                <w:szCs w:val="20"/>
              </w:rPr>
              <w:t>(R$)</w:t>
            </w:r>
          </w:p>
        </w:tc>
        <w:tc>
          <w:tcPr>
            <w:tcW w:w="2041" w:type="pct"/>
            <w:shd w:val="clear" w:color="auto" w:fill="auto"/>
            <w:vAlign w:val="center"/>
          </w:tcPr>
          <w:p w:rsidR="003E6588" w:rsidRDefault="003E6588">
            <w:pPr>
              <w:autoSpaceDE w:val="0"/>
              <w:autoSpaceDN w:val="0"/>
              <w:adjustRightInd w:val="0"/>
              <w:rPr>
                <w:rFonts w:cs="Calibri"/>
                <w:b/>
                <w:bCs/>
                <w:color w:val="000000"/>
                <w:sz w:val="20"/>
                <w:szCs w:val="20"/>
              </w:rPr>
            </w:pPr>
            <w:r>
              <w:rPr>
                <w:rFonts w:cs="Calibri"/>
                <w:b/>
                <w:bCs/>
                <w:color w:val="000000"/>
                <w:sz w:val="20"/>
                <w:szCs w:val="20"/>
              </w:rPr>
              <w:t>Descrição</w:t>
            </w:r>
          </w:p>
        </w:tc>
      </w:tr>
      <w:tr w:rsidR="003E6588" w:rsidTr="00440F87">
        <w:trPr>
          <w:trHeight w:val="265"/>
        </w:trPr>
        <w:tc>
          <w:tcPr>
            <w:tcW w:w="999" w:type="pct"/>
            <w:vAlign w:val="center"/>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Franco da Rocha</w:t>
            </w:r>
          </w:p>
        </w:tc>
        <w:tc>
          <w:tcPr>
            <w:tcW w:w="519"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Obra Nova</w:t>
            </w:r>
          </w:p>
        </w:tc>
        <w:tc>
          <w:tcPr>
            <w:tcW w:w="815"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Concluída</w:t>
            </w:r>
          </w:p>
        </w:tc>
        <w:tc>
          <w:tcPr>
            <w:tcW w:w="626" w:type="pct"/>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2.318.548,86</w:t>
            </w:r>
          </w:p>
        </w:tc>
        <w:tc>
          <w:tcPr>
            <w:tcW w:w="2041" w:type="pct"/>
            <w:vAlign w:val="bottom"/>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Reforma do Conjunto Aquático da Escola Superior de Bombeiros</w:t>
            </w:r>
          </w:p>
        </w:tc>
      </w:tr>
      <w:tr w:rsidR="003E6588" w:rsidTr="00440F87">
        <w:trPr>
          <w:trHeight w:val="300"/>
        </w:trPr>
        <w:tc>
          <w:tcPr>
            <w:tcW w:w="999" w:type="pct"/>
            <w:vAlign w:val="center"/>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Aparecida</w:t>
            </w:r>
          </w:p>
        </w:tc>
        <w:tc>
          <w:tcPr>
            <w:tcW w:w="519"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Obra Nova</w:t>
            </w:r>
          </w:p>
        </w:tc>
        <w:tc>
          <w:tcPr>
            <w:tcW w:w="815"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Em execução</w:t>
            </w:r>
          </w:p>
        </w:tc>
        <w:tc>
          <w:tcPr>
            <w:tcW w:w="626" w:type="pct"/>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1.500.000,00</w:t>
            </w:r>
          </w:p>
        </w:tc>
        <w:tc>
          <w:tcPr>
            <w:tcW w:w="2041" w:type="pct"/>
            <w:vAlign w:val="bottom"/>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Convênio Estado x Município - Construção da Base de Bombeiros de Aparecida</w:t>
            </w:r>
          </w:p>
        </w:tc>
      </w:tr>
      <w:tr w:rsidR="003E6588" w:rsidTr="00440F87">
        <w:trPr>
          <w:trHeight w:val="300"/>
        </w:trPr>
        <w:tc>
          <w:tcPr>
            <w:tcW w:w="999" w:type="pct"/>
            <w:vAlign w:val="center"/>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Teodoro Sampaio</w:t>
            </w:r>
          </w:p>
        </w:tc>
        <w:tc>
          <w:tcPr>
            <w:tcW w:w="519"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Obra Nova</w:t>
            </w:r>
          </w:p>
        </w:tc>
        <w:tc>
          <w:tcPr>
            <w:tcW w:w="815"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Inaugurada (16/6/2014)</w:t>
            </w:r>
          </w:p>
        </w:tc>
        <w:tc>
          <w:tcPr>
            <w:tcW w:w="626" w:type="pct"/>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200.000,00</w:t>
            </w:r>
          </w:p>
        </w:tc>
        <w:tc>
          <w:tcPr>
            <w:tcW w:w="2041" w:type="pct"/>
            <w:vAlign w:val="bottom"/>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Convênio Estado x Município - Construção da Base de Bombeiros de Teodoro Sampaio</w:t>
            </w:r>
          </w:p>
        </w:tc>
      </w:tr>
      <w:tr w:rsidR="003E6588" w:rsidTr="00440F87">
        <w:trPr>
          <w:trHeight w:val="300"/>
        </w:trPr>
        <w:tc>
          <w:tcPr>
            <w:tcW w:w="999" w:type="pct"/>
            <w:vAlign w:val="center"/>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Ribeirão Preto</w:t>
            </w:r>
          </w:p>
        </w:tc>
        <w:tc>
          <w:tcPr>
            <w:tcW w:w="519"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Obra Nova</w:t>
            </w:r>
          </w:p>
        </w:tc>
        <w:tc>
          <w:tcPr>
            <w:tcW w:w="815"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Em execução</w:t>
            </w:r>
          </w:p>
        </w:tc>
        <w:tc>
          <w:tcPr>
            <w:tcW w:w="626" w:type="pct"/>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3.655.000,00</w:t>
            </w:r>
          </w:p>
        </w:tc>
        <w:tc>
          <w:tcPr>
            <w:tcW w:w="2041" w:type="pct"/>
            <w:vAlign w:val="bottom"/>
          </w:tcPr>
          <w:p w:rsidR="003E6588" w:rsidRDefault="003E6588" w:rsidP="00AC3233">
            <w:pPr>
              <w:autoSpaceDE w:val="0"/>
              <w:autoSpaceDN w:val="0"/>
              <w:adjustRightInd w:val="0"/>
              <w:jc w:val="left"/>
              <w:rPr>
                <w:rFonts w:cs="Calibri"/>
                <w:color w:val="000000"/>
                <w:sz w:val="20"/>
                <w:szCs w:val="20"/>
              </w:rPr>
            </w:pPr>
            <w:r>
              <w:rPr>
                <w:rFonts w:cs="Calibri"/>
                <w:color w:val="000000"/>
                <w:sz w:val="20"/>
                <w:szCs w:val="20"/>
              </w:rPr>
              <w:t>Construção da Sede do 9º Grupamento de Bombeiros - Ribeirão Preto</w:t>
            </w:r>
          </w:p>
        </w:tc>
      </w:tr>
      <w:tr w:rsidR="003E6588" w:rsidTr="00AC3233">
        <w:trPr>
          <w:trHeight w:val="269"/>
        </w:trPr>
        <w:tc>
          <w:tcPr>
            <w:tcW w:w="999" w:type="pct"/>
            <w:vAlign w:val="center"/>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Santa Bárbara D´Oeste</w:t>
            </w:r>
          </w:p>
        </w:tc>
        <w:tc>
          <w:tcPr>
            <w:tcW w:w="519"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Obra Nova</w:t>
            </w:r>
          </w:p>
        </w:tc>
        <w:tc>
          <w:tcPr>
            <w:tcW w:w="815"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Aguardando Ordem de Início de execução</w:t>
            </w:r>
          </w:p>
        </w:tc>
        <w:tc>
          <w:tcPr>
            <w:tcW w:w="626" w:type="pct"/>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1.840.000,00</w:t>
            </w:r>
          </w:p>
        </w:tc>
        <w:tc>
          <w:tcPr>
            <w:tcW w:w="2041" w:type="pct"/>
            <w:vAlign w:val="bottom"/>
          </w:tcPr>
          <w:p w:rsidR="003E6588" w:rsidRDefault="003E6588" w:rsidP="00AC3233">
            <w:pPr>
              <w:autoSpaceDE w:val="0"/>
              <w:autoSpaceDN w:val="0"/>
              <w:adjustRightInd w:val="0"/>
              <w:jc w:val="left"/>
              <w:rPr>
                <w:rFonts w:cs="Calibri"/>
                <w:color w:val="000000"/>
                <w:sz w:val="20"/>
                <w:szCs w:val="20"/>
              </w:rPr>
            </w:pPr>
            <w:r>
              <w:rPr>
                <w:rFonts w:cs="Calibri"/>
                <w:color w:val="000000"/>
                <w:sz w:val="20"/>
                <w:szCs w:val="20"/>
              </w:rPr>
              <w:t>Convênio Estado x Município - Construção da Base de Bombeiros de Santa Bárbara D´oeste</w:t>
            </w:r>
          </w:p>
          <w:p w:rsidR="00AC3233" w:rsidRPr="00AC3233" w:rsidRDefault="00AC3233" w:rsidP="00AC3233">
            <w:pPr>
              <w:autoSpaceDE w:val="0"/>
              <w:autoSpaceDN w:val="0"/>
              <w:adjustRightInd w:val="0"/>
              <w:jc w:val="left"/>
              <w:rPr>
                <w:rFonts w:cs="Calibri"/>
                <w:color w:val="000000"/>
                <w:sz w:val="16"/>
                <w:szCs w:val="16"/>
              </w:rPr>
            </w:pPr>
          </w:p>
        </w:tc>
      </w:tr>
      <w:tr w:rsidR="003E6588" w:rsidTr="00440F87">
        <w:trPr>
          <w:trHeight w:val="300"/>
        </w:trPr>
        <w:tc>
          <w:tcPr>
            <w:tcW w:w="999" w:type="pct"/>
            <w:vAlign w:val="center"/>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Taboão da Serra</w:t>
            </w:r>
          </w:p>
        </w:tc>
        <w:tc>
          <w:tcPr>
            <w:tcW w:w="519"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Obra Nova</w:t>
            </w:r>
          </w:p>
        </w:tc>
        <w:tc>
          <w:tcPr>
            <w:tcW w:w="815" w:type="pct"/>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Em execução</w:t>
            </w:r>
          </w:p>
        </w:tc>
        <w:tc>
          <w:tcPr>
            <w:tcW w:w="626" w:type="pct"/>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919.973,42</w:t>
            </w:r>
          </w:p>
        </w:tc>
        <w:tc>
          <w:tcPr>
            <w:tcW w:w="2041" w:type="pct"/>
            <w:vAlign w:val="bottom"/>
          </w:tcPr>
          <w:p w:rsidR="003E6588" w:rsidRDefault="003E6588" w:rsidP="00440F87">
            <w:pPr>
              <w:autoSpaceDE w:val="0"/>
              <w:autoSpaceDN w:val="0"/>
              <w:adjustRightInd w:val="0"/>
              <w:jc w:val="left"/>
              <w:rPr>
                <w:rFonts w:cs="Calibri"/>
                <w:color w:val="000000"/>
                <w:sz w:val="20"/>
                <w:szCs w:val="20"/>
              </w:rPr>
            </w:pPr>
            <w:r>
              <w:rPr>
                <w:rFonts w:cs="Calibri"/>
                <w:color w:val="000000"/>
                <w:sz w:val="20"/>
                <w:szCs w:val="20"/>
              </w:rPr>
              <w:t>Construção do Posto de Bombeiros de Taboão da Serra</w:t>
            </w:r>
          </w:p>
        </w:tc>
      </w:tr>
      <w:tr w:rsidR="003E6588" w:rsidTr="00440F87">
        <w:trPr>
          <w:trHeight w:val="300"/>
        </w:trPr>
        <w:tc>
          <w:tcPr>
            <w:tcW w:w="999" w:type="pct"/>
            <w:vAlign w:val="center"/>
          </w:tcPr>
          <w:p w:rsidR="003E6588" w:rsidRDefault="003E6588">
            <w:pPr>
              <w:autoSpaceDE w:val="0"/>
              <w:autoSpaceDN w:val="0"/>
              <w:adjustRightInd w:val="0"/>
              <w:rPr>
                <w:rFonts w:cs="Calibri"/>
                <w:color w:val="000000"/>
                <w:sz w:val="20"/>
                <w:szCs w:val="20"/>
              </w:rPr>
            </w:pPr>
          </w:p>
        </w:tc>
        <w:tc>
          <w:tcPr>
            <w:tcW w:w="519" w:type="pct"/>
            <w:vAlign w:val="center"/>
          </w:tcPr>
          <w:p w:rsidR="003E6588" w:rsidRDefault="003E6588">
            <w:pPr>
              <w:autoSpaceDE w:val="0"/>
              <w:autoSpaceDN w:val="0"/>
              <w:adjustRightInd w:val="0"/>
              <w:rPr>
                <w:rFonts w:cs="Calibri"/>
                <w:color w:val="000000"/>
                <w:sz w:val="20"/>
                <w:szCs w:val="20"/>
              </w:rPr>
            </w:pPr>
          </w:p>
        </w:tc>
        <w:tc>
          <w:tcPr>
            <w:tcW w:w="815" w:type="pct"/>
            <w:vAlign w:val="center"/>
          </w:tcPr>
          <w:p w:rsidR="003E6588" w:rsidRDefault="003E6588">
            <w:pPr>
              <w:autoSpaceDE w:val="0"/>
              <w:autoSpaceDN w:val="0"/>
              <w:adjustRightInd w:val="0"/>
              <w:rPr>
                <w:rFonts w:cs="Calibri"/>
                <w:b/>
                <w:bCs/>
                <w:color w:val="000000"/>
                <w:sz w:val="20"/>
                <w:szCs w:val="20"/>
              </w:rPr>
            </w:pPr>
            <w:r>
              <w:rPr>
                <w:rFonts w:cs="Calibri"/>
                <w:b/>
                <w:bCs/>
                <w:color w:val="000000"/>
                <w:sz w:val="20"/>
                <w:szCs w:val="20"/>
              </w:rPr>
              <w:t>TOTAL</w:t>
            </w:r>
          </w:p>
        </w:tc>
        <w:tc>
          <w:tcPr>
            <w:tcW w:w="626" w:type="pct"/>
            <w:vAlign w:val="center"/>
          </w:tcPr>
          <w:p w:rsidR="003E6588" w:rsidRDefault="003E6588">
            <w:pPr>
              <w:autoSpaceDE w:val="0"/>
              <w:autoSpaceDN w:val="0"/>
              <w:adjustRightInd w:val="0"/>
              <w:jc w:val="right"/>
              <w:rPr>
                <w:rFonts w:cs="Calibri"/>
                <w:b/>
                <w:bCs/>
                <w:color w:val="000000"/>
                <w:sz w:val="20"/>
                <w:szCs w:val="20"/>
              </w:rPr>
            </w:pPr>
            <w:r>
              <w:rPr>
                <w:rFonts w:cs="Calibri"/>
                <w:b/>
                <w:bCs/>
                <w:color w:val="000000"/>
                <w:sz w:val="20"/>
                <w:szCs w:val="20"/>
              </w:rPr>
              <w:t>10.433.522,28</w:t>
            </w:r>
          </w:p>
        </w:tc>
        <w:tc>
          <w:tcPr>
            <w:tcW w:w="2041" w:type="pct"/>
            <w:vAlign w:val="bottom"/>
          </w:tcPr>
          <w:p w:rsidR="003E6588" w:rsidRDefault="003E6588">
            <w:pPr>
              <w:autoSpaceDE w:val="0"/>
              <w:autoSpaceDN w:val="0"/>
              <w:adjustRightInd w:val="0"/>
              <w:rPr>
                <w:rFonts w:cs="Calibri"/>
                <w:bCs/>
                <w:color w:val="000000"/>
                <w:sz w:val="20"/>
                <w:szCs w:val="20"/>
              </w:rPr>
            </w:pPr>
          </w:p>
        </w:tc>
      </w:tr>
    </w:tbl>
    <w:p w:rsidR="003E6588" w:rsidRDefault="003E6588">
      <w:pPr>
        <w:ind w:firstLine="1134"/>
        <w:jc w:val="both"/>
        <w:rPr>
          <w:bCs/>
          <w:sz w:val="16"/>
          <w:szCs w:val="16"/>
          <w:u w:val="single"/>
        </w:rPr>
      </w:pPr>
    </w:p>
    <w:p w:rsidR="003E6588" w:rsidRDefault="003E6588" w:rsidP="001D4469">
      <w:pPr>
        <w:ind w:firstLine="1134"/>
        <w:jc w:val="both"/>
        <w:rPr>
          <w:b/>
          <w:bCs/>
        </w:rPr>
      </w:pPr>
      <w:r>
        <w:rPr>
          <w:b/>
          <w:bCs/>
        </w:rPr>
        <w:lastRenderedPageBreak/>
        <w:t>Equipamentos</w:t>
      </w:r>
    </w:p>
    <w:p w:rsidR="003E6588" w:rsidRPr="00440F87" w:rsidRDefault="003E6588">
      <w:pPr>
        <w:ind w:firstLine="1134"/>
        <w:jc w:val="both"/>
        <w:rPr>
          <w:bCs/>
        </w:rPr>
      </w:pPr>
    </w:p>
    <w:p w:rsidR="003E6588" w:rsidRPr="00AC3233" w:rsidRDefault="003E6588">
      <w:pPr>
        <w:ind w:firstLine="1134"/>
        <w:jc w:val="both"/>
        <w:rPr>
          <w:b/>
          <w:bCs/>
          <w:strike/>
        </w:rPr>
      </w:pPr>
      <w:r>
        <w:rPr>
          <w:b/>
          <w:bCs/>
        </w:rPr>
        <w:t>Polícia Militar</w:t>
      </w:r>
    </w:p>
    <w:p w:rsidR="003E6588" w:rsidRPr="00440F87" w:rsidRDefault="003E6588">
      <w:pPr>
        <w:ind w:firstLine="1134"/>
        <w:jc w:val="both"/>
        <w:rPr>
          <w:bCs/>
          <w:u w:val="single"/>
        </w:rPr>
      </w:pPr>
    </w:p>
    <w:tbl>
      <w:tblPr>
        <w:tblW w:w="7605" w:type="dxa"/>
        <w:jc w:val="center"/>
        <w:tblInd w:w="531" w:type="dxa"/>
        <w:tblCellMar>
          <w:left w:w="70" w:type="dxa"/>
          <w:right w:w="70" w:type="dxa"/>
        </w:tblCellMar>
        <w:tblLook w:val="04A0"/>
      </w:tblPr>
      <w:tblGrid>
        <w:gridCol w:w="1400"/>
        <w:gridCol w:w="2451"/>
        <w:gridCol w:w="2234"/>
        <w:gridCol w:w="1520"/>
      </w:tblGrid>
      <w:tr w:rsidR="003E6588" w:rsidTr="00440F87">
        <w:trPr>
          <w:trHeight w:val="158"/>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b/>
                <w:bCs/>
                <w:sz w:val="20"/>
                <w:szCs w:val="20"/>
              </w:rPr>
            </w:pPr>
            <w:r>
              <w:rPr>
                <w:b/>
                <w:bCs/>
                <w:sz w:val="20"/>
                <w:szCs w:val="20"/>
              </w:rPr>
              <w:t>Quantidade</w:t>
            </w:r>
          </w:p>
        </w:tc>
        <w:tc>
          <w:tcPr>
            <w:tcW w:w="2451"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Tipo de material</w:t>
            </w:r>
          </w:p>
        </w:tc>
        <w:tc>
          <w:tcPr>
            <w:tcW w:w="2234"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Destinação</w:t>
            </w:r>
          </w:p>
        </w:tc>
        <w:tc>
          <w:tcPr>
            <w:tcW w:w="1520"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TOTAL</w:t>
            </w:r>
          </w:p>
        </w:tc>
      </w:tr>
      <w:tr w:rsidR="003E6588" w:rsidTr="00440F87">
        <w:trPr>
          <w:trHeight w:val="76"/>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bCs/>
                <w:sz w:val="20"/>
                <w:szCs w:val="20"/>
              </w:rPr>
            </w:pPr>
            <w:r>
              <w:rPr>
                <w:bCs/>
                <w:sz w:val="20"/>
                <w:szCs w:val="20"/>
              </w:rPr>
              <w:t>526</w:t>
            </w:r>
          </w:p>
        </w:tc>
        <w:tc>
          <w:tcPr>
            <w:tcW w:w="2451" w:type="dxa"/>
            <w:tcBorders>
              <w:top w:val="nil"/>
              <w:left w:val="nil"/>
              <w:bottom w:val="nil"/>
              <w:right w:val="nil"/>
            </w:tcBorders>
            <w:shd w:val="clear" w:color="auto" w:fill="auto"/>
            <w:noWrap/>
            <w:vAlign w:val="bottom"/>
            <w:hideMark/>
          </w:tcPr>
          <w:p w:rsidR="003E6588" w:rsidRDefault="003E6588" w:rsidP="00440F87">
            <w:pPr>
              <w:ind w:right="531"/>
              <w:jc w:val="left"/>
              <w:rPr>
                <w:sz w:val="20"/>
                <w:szCs w:val="20"/>
              </w:rPr>
            </w:pPr>
            <w:r>
              <w:rPr>
                <w:sz w:val="20"/>
                <w:szCs w:val="20"/>
              </w:rPr>
              <w:t xml:space="preserve">Perua </w:t>
            </w:r>
            <w:r>
              <w:rPr>
                <w:i/>
                <w:sz w:val="20"/>
                <w:szCs w:val="20"/>
              </w:rPr>
              <w:t>Station Wagon</w:t>
            </w:r>
            <w:r>
              <w:rPr>
                <w:sz w:val="20"/>
                <w:szCs w:val="20"/>
              </w:rPr>
              <w:t xml:space="preserve"> </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Radiopatrulha</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24.196.000,00</w:t>
            </w:r>
          </w:p>
        </w:tc>
      </w:tr>
      <w:tr w:rsidR="003E6588" w:rsidTr="00440F87">
        <w:trPr>
          <w:trHeight w:val="122"/>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bCs/>
                <w:sz w:val="20"/>
                <w:szCs w:val="20"/>
              </w:rPr>
            </w:pPr>
            <w:r>
              <w:rPr>
                <w:bCs/>
                <w:sz w:val="20"/>
                <w:szCs w:val="20"/>
              </w:rPr>
              <w:t>185</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 xml:space="preserve">Perua </w:t>
            </w:r>
            <w:r>
              <w:rPr>
                <w:i/>
                <w:sz w:val="20"/>
                <w:szCs w:val="20"/>
              </w:rPr>
              <w:t>Station Wagon</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Ronda Escolar</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7.622.00,00</w:t>
            </w:r>
          </w:p>
        </w:tc>
      </w:tr>
      <w:tr w:rsidR="003E6588" w:rsidTr="00440F87">
        <w:trPr>
          <w:trHeight w:val="54"/>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bCs/>
                <w:sz w:val="20"/>
                <w:szCs w:val="20"/>
              </w:rPr>
            </w:pPr>
            <w:r>
              <w:rPr>
                <w:bCs/>
                <w:sz w:val="20"/>
                <w:szCs w:val="20"/>
              </w:rPr>
              <w:t>354</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Utilitário Esportivo</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bCs/>
                <w:sz w:val="20"/>
                <w:szCs w:val="20"/>
              </w:rPr>
            </w:pPr>
            <w:r>
              <w:rPr>
                <w:bCs/>
                <w:sz w:val="20"/>
                <w:szCs w:val="20"/>
              </w:rPr>
              <w:t>FT</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38.408.000,00</w:t>
            </w:r>
          </w:p>
        </w:tc>
      </w:tr>
      <w:tr w:rsidR="003E6588" w:rsidTr="00440F87">
        <w:trPr>
          <w:trHeight w:val="86"/>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bCs/>
                <w:sz w:val="20"/>
                <w:szCs w:val="20"/>
              </w:rPr>
            </w:pPr>
            <w:r>
              <w:rPr>
                <w:bCs/>
                <w:sz w:val="20"/>
                <w:szCs w:val="20"/>
              </w:rPr>
              <w:t>170</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Motocicleta</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ROCAM</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2.873.000,00</w:t>
            </w:r>
          </w:p>
        </w:tc>
      </w:tr>
      <w:tr w:rsidR="003E6588" w:rsidTr="00440F87">
        <w:trPr>
          <w:trHeight w:val="54"/>
          <w:jc w:val="center"/>
        </w:trPr>
        <w:tc>
          <w:tcPr>
            <w:tcW w:w="1400" w:type="dxa"/>
            <w:tcBorders>
              <w:top w:val="nil"/>
              <w:left w:val="nil"/>
              <w:bottom w:val="nil"/>
              <w:right w:val="single" w:sz="4" w:space="0" w:color="auto"/>
            </w:tcBorders>
            <w:shd w:val="clear" w:color="auto" w:fill="auto"/>
            <w:noWrap/>
            <w:vAlign w:val="bottom"/>
          </w:tcPr>
          <w:p w:rsidR="003E6588" w:rsidRDefault="003E6588">
            <w:pPr>
              <w:rPr>
                <w:bCs/>
                <w:sz w:val="20"/>
                <w:szCs w:val="20"/>
              </w:rPr>
            </w:pPr>
            <w:r>
              <w:rPr>
                <w:bCs/>
                <w:sz w:val="20"/>
                <w:szCs w:val="20"/>
              </w:rPr>
              <w:t>19</w:t>
            </w:r>
          </w:p>
        </w:tc>
        <w:tc>
          <w:tcPr>
            <w:tcW w:w="2451"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 xml:space="preserve">Perua </w:t>
            </w:r>
            <w:r>
              <w:rPr>
                <w:i/>
                <w:sz w:val="20"/>
                <w:szCs w:val="20"/>
              </w:rPr>
              <w:t>Station Wagon</w:t>
            </w:r>
          </w:p>
        </w:tc>
        <w:tc>
          <w:tcPr>
            <w:tcW w:w="2234" w:type="dxa"/>
            <w:tcBorders>
              <w:top w:val="nil"/>
              <w:left w:val="nil"/>
              <w:bottom w:val="nil"/>
              <w:right w:val="nil"/>
            </w:tcBorders>
            <w:shd w:val="clear" w:color="auto" w:fill="auto"/>
            <w:noWrap/>
            <w:vAlign w:val="bottom"/>
          </w:tcPr>
          <w:p w:rsidR="003E6588" w:rsidRDefault="003E6588" w:rsidP="00440F87">
            <w:pPr>
              <w:jc w:val="left"/>
              <w:rPr>
                <w:bCs/>
                <w:sz w:val="20"/>
                <w:szCs w:val="20"/>
              </w:rPr>
            </w:pPr>
            <w:r>
              <w:rPr>
                <w:sz w:val="20"/>
                <w:szCs w:val="20"/>
              </w:rPr>
              <w:t>RP Trânsito</w:t>
            </w:r>
          </w:p>
        </w:tc>
        <w:tc>
          <w:tcPr>
            <w:tcW w:w="1520"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2.021.600,00</w:t>
            </w:r>
          </w:p>
        </w:tc>
      </w:tr>
      <w:tr w:rsidR="003E6588" w:rsidTr="00440F87">
        <w:trPr>
          <w:trHeight w:val="54"/>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10</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Quadriciclo</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Policiamento em Praias</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280.000,00</w:t>
            </w:r>
          </w:p>
        </w:tc>
      </w:tr>
      <w:tr w:rsidR="003E6588" w:rsidTr="00440F87">
        <w:trPr>
          <w:trHeight w:val="110"/>
          <w:jc w:val="center"/>
        </w:trPr>
        <w:tc>
          <w:tcPr>
            <w:tcW w:w="1400" w:type="dxa"/>
            <w:tcBorders>
              <w:top w:val="nil"/>
              <w:left w:val="nil"/>
              <w:bottom w:val="nil"/>
              <w:right w:val="single" w:sz="4" w:space="0" w:color="auto"/>
            </w:tcBorders>
            <w:shd w:val="clear" w:color="auto" w:fill="auto"/>
            <w:noWrap/>
            <w:vAlign w:val="bottom"/>
          </w:tcPr>
          <w:p w:rsidR="003E6588" w:rsidRDefault="003E6588">
            <w:pPr>
              <w:rPr>
                <w:bCs/>
                <w:sz w:val="20"/>
                <w:szCs w:val="20"/>
              </w:rPr>
            </w:pPr>
            <w:r>
              <w:rPr>
                <w:bCs/>
                <w:sz w:val="20"/>
                <w:szCs w:val="20"/>
              </w:rPr>
              <w:t>3</w:t>
            </w:r>
          </w:p>
        </w:tc>
        <w:tc>
          <w:tcPr>
            <w:tcW w:w="2451"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Utilitário Esportivo</w:t>
            </w:r>
          </w:p>
        </w:tc>
        <w:tc>
          <w:tcPr>
            <w:tcW w:w="2234" w:type="dxa"/>
            <w:tcBorders>
              <w:top w:val="nil"/>
              <w:left w:val="nil"/>
              <w:bottom w:val="nil"/>
              <w:right w:val="nil"/>
            </w:tcBorders>
            <w:shd w:val="clear" w:color="auto" w:fill="auto"/>
            <w:noWrap/>
            <w:vAlign w:val="bottom"/>
          </w:tcPr>
          <w:p w:rsidR="003E6588" w:rsidRDefault="003E6588" w:rsidP="00440F87">
            <w:pPr>
              <w:jc w:val="left"/>
              <w:rPr>
                <w:bCs/>
                <w:sz w:val="20"/>
                <w:szCs w:val="20"/>
              </w:rPr>
            </w:pPr>
            <w:r>
              <w:rPr>
                <w:bCs/>
                <w:sz w:val="20"/>
                <w:szCs w:val="20"/>
              </w:rPr>
              <w:t>Transporte Misto (GRPAe)</w:t>
            </w:r>
          </w:p>
        </w:tc>
        <w:tc>
          <w:tcPr>
            <w:tcW w:w="1520"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211.200,00</w:t>
            </w:r>
          </w:p>
        </w:tc>
      </w:tr>
      <w:tr w:rsidR="003E6588" w:rsidTr="00440F87">
        <w:trPr>
          <w:trHeight w:val="155"/>
          <w:jc w:val="center"/>
        </w:trPr>
        <w:tc>
          <w:tcPr>
            <w:tcW w:w="1400" w:type="dxa"/>
            <w:tcBorders>
              <w:top w:val="nil"/>
              <w:left w:val="nil"/>
              <w:bottom w:val="nil"/>
              <w:right w:val="single" w:sz="4" w:space="0" w:color="auto"/>
            </w:tcBorders>
            <w:shd w:val="clear" w:color="auto" w:fill="auto"/>
            <w:noWrap/>
            <w:vAlign w:val="bottom"/>
          </w:tcPr>
          <w:p w:rsidR="003E6588" w:rsidRDefault="003E6588">
            <w:pPr>
              <w:rPr>
                <w:bCs/>
                <w:sz w:val="20"/>
                <w:szCs w:val="20"/>
              </w:rPr>
            </w:pPr>
            <w:r>
              <w:rPr>
                <w:bCs/>
                <w:sz w:val="20"/>
                <w:szCs w:val="20"/>
              </w:rPr>
              <w:t>8</w:t>
            </w:r>
          </w:p>
        </w:tc>
        <w:tc>
          <w:tcPr>
            <w:tcW w:w="2451"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Micro-ônibus</w:t>
            </w:r>
          </w:p>
        </w:tc>
        <w:tc>
          <w:tcPr>
            <w:tcW w:w="2234"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CDC</w:t>
            </w:r>
          </w:p>
        </w:tc>
        <w:tc>
          <w:tcPr>
            <w:tcW w:w="1520"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2.160.000,00</w:t>
            </w:r>
          </w:p>
        </w:tc>
      </w:tr>
      <w:tr w:rsidR="003E6588" w:rsidTr="00440F87">
        <w:trPr>
          <w:trHeight w:val="74"/>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bCs/>
                <w:sz w:val="20"/>
                <w:szCs w:val="20"/>
              </w:rPr>
            </w:pPr>
            <w:r>
              <w:rPr>
                <w:bCs/>
                <w:sz w:val="20"/>
                <w:szCs w:val="20"/>
              </w:rPr>
              <w:t>9</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Caminhão</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Transporte de Solípedes</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3.090.000,00</w:t>
            </w:r>
          </w:p>
        </w:tc>
      </w:tr>
      <w:tr w:rsidR="003E6588" w:rsidTr="00440F87">
        <w:trPr>
          <w:trHeight w:val="120"/>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25</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 xml:space="preserve">Perua </w:t>
            </w:r>
            <w:r>
              <w:rPr>
                <w:i/>
                <w:sz w:val="20"/>
                <w:szCs w:val="20"/>
              </w:rPr>
              <w:t>Station Wagon</w:t>
            </w:r>
            <w:r>
              <w:rPr>
                <w:sz w:val="20"/>
                <w:szCs w:val="20"/>
              </w:rPr>
              <w:t xml:space="preserve"> </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Canil</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1.192.500,00</w:t>
            </w:r>
          </w:p>
        </w:tc>
      </w:tr>
      <w:tr w:rsidR="003E6588" w:rsidTr="00440F87">
        <w:trPr>
          <w:trHeight w:val="54"/>
          <w:jc w:val="center"/>
        </w:trPr>
        <w:tc>
          <w:tcPr>
            <w:tcW w:w="1400" w:type="dxa"/>
            <w:tcBorders>
              <w:top w:val="nil"/>
              <w:left w:val="nil"/>
              <w:bottom w:val="nil"/>
              <w:right w:val="single" w:sz="4" w:space="0" w:color="auto"/>
            </w:tcBorders>
            <w:shd w:val="clear" w:color="auto" w:fill="auto"/>
            <w:noWrap/>
            <w:vAlign w:val="bottom"/>
          </w:tcPr>
          <w:p w:rsidR="003E6588" w:rsidRDefault="003E6588">
            <w:pPr>
              <w:rPr>
                <w:sz w:val="20"/>
                <w:szCs w:val="20"/>
              </w:rPr>
            </w:pPr>
            <w:r>
              <w:rPr>
                <w:bCs/>
                <w:sz w:val="20"/>
                <w:szCs w:val="20"/>
              </w:rPr>
              <w:t>212</w:t>
            </w:r>
          </w:p>
        </w:tc>
        <w:tc>
          <w:tcPr>
            <w:tcW w:w="2451"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Compacto e Sedan</w:t>
            </w:r>
          </w:p>
        </w:tc>
        <w:tc>
          <w:tcPr>
            <w:tcW w:w="2234"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Sipom/Velado/Funcional</w:t>
            </w:r>
          </w:p>
        </w:tc>
        <w:tc>
          <w:tcPr>
            <w:tcW w:w="1520"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9.658.000,00</w:t>
            </w:r>
          </w:p>
        </w:tc>
      </w:tr>
      <w:tr w:rsidR="003E6588" w:rsidTr="00440F87">
        <w:trPr>
          <w:trHeight w:val="98"/>
          <w:jc w:val="center"/>
        </w:trPr>
        <w:tc>
          <w:tcPr>
            <w:tcW w:w="1400" w:type="dxa"/>
            <w:tcBorders>
              <w:top w:val="nil"/>
              <w:left w:val="nil"/>
              <w:bottom w:val="nil"/>
              <w:right w:val="single" w:sz="4" w:space="0" w:color="auto"/>
            </w:tcBorders>
            <w:shd w:val="clear" w:color="auto" w:fill="auto"/>
            <w:noWrap/>
            <w:vAlign w:val="bottom"/>
          </w:tcPr>
          <w:p w:rsidR="003E6588" w:rsidRDefault="003E6588">
            <w:pPr>
              <w:rPr>
                <w:bCs/>
                <w:sz w:val="20"/>
                <w:szCs w:val="20"/>
              </w:rPr>
            </w:pPr>
            <w:r>
              <w:rPr>
                <w:bCs/>
                <w:sz w:val="20"/>
                <w:szCs w:val="20"/>
              </w:rPr>
              <w:t>7</w:t>
            </w:r>
          </w:p>
        </w:tc>
        <w:tc>
          <w:tcPr>
            <w:tcW w:w="2451"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Ônibus Caracterizado</w:t>
            </w:r>
          </w:p>
        </w:tc>
        <w:tc>
          <w:tcPr>
            <w:tcW w:w="2234"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Transporte de Tropa</w:t>
            </w:r>
          </w:p>
        </w:tc>
        <w:tc>
          <w:tcPr>
            <w:tcW w:w="1520"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2.386.300,00</w:t>
            </w:r>
          </w:p>
        </w:tc>
      </w:tr>
      <w:tr w:rsidR="003E6588" w:rsidTr="00440F87">
        <w:trPr>
          <w:trHeight w:val="143"/>
          <w:jc w:val="center"/>
        </w:trPr>
        <w:tc>
          <w:tcPr>
            <w:tcW w:w="1400" w:type="dxa"/>
            <w:tcBorders>
              <w:top w:val="nil"/>
              <w:left w:val="nil"/>
              <w:bottom w:val="nil"/>
              <w:right w:val="single" w:sz="4" w:space="0" w:color="auto"/>
            </w:tcBorders>
            <w:shd w:val="clear" w:color="auto" w:fill="auto"/>
            <w:noWrap/>
            <w:vAlign w:val="bottom"/>
          </w:tcPr>
          <w:p w:rsidR="003E6588" w:rsidRDefault="003E6588">
            <w:pPr>
              <w:rPr>
                <w:bCs/>
                <w:sz w:val="20"/>
                <w:szCs w:val="20"/>
              </w:rPr>
            </w:pPr>
            <w:r>
              <w:rPr>
                <w:bCs/>
                <w:sz w:val="20"/>
                <w:szCs w:val="20"/>
              </w:rPr>
              <w:t>4</w:t>
            </w:r>
          </w:p>
        </w:tc>
        <w:tc>
          <w:tcPr>
            <w:tcW w:w="2451"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Ônibus Descaracterizado</w:t>
            </w:r>
          </w:p>
        </w:tc>
        <w:tc>
          <w:tcPr>
            <w:tcW w:w="2234"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Transporte de Tropa</w:t>
            </w:r>
          </w:p>
        </w:tc>
        <w:tc>
          <w:tcPr>
            <w:tcW w:w="1520"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1.339.600,00</w:t>
            </w:r>
          </w:p>
        </w:tc>
      </w:tr>
      <w:tr w:rsidR="003E6588" w:rsidTr="00440F87">
        <w:trPr>
          <w:trHeight w:val="54"/>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10</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Micro-ônibus</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Apoio Administrativo</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1.730.000,00</w:t>
            </w:r>
          </w:p>
        </w:tc>
      </w:tr>
      <w:tr w:rsidR="003E6588" w:rsidTr="00440F87">
        <w:trPr>
          <w:trHeight w:val="107"/>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15</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Caminhão</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Guincho</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2.370.000,00</w:t>
            </w:r>
          </w:p>
        </w:tc>
      </w:tr>
      <w:tr w:rsidR="003E6588" w:rsidTr="00440F87">
        <w:trPr>
          <w:trHeight w:val="54"/>
          <w:jc w:val="center"/>
        </w:trPr>
        <w:tc>
          <w:tcPr>
            <w:tcW w:w="1400"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10</w:t>
            </w:r>
          </w:p>
        </w:tc>
        <w:tc>
          <w:tcPr>
            <w:tcW w:w="2451"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Furgão</w:t>
            </w:r>
          </w:p>
        </w:tc>
        <w:tc>
          <w:tcPr>
            <w:tcW w:w="2234"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Ambulância</w:t>
            </w:r>
          </w:p>
        </w:tc>
        <w:tc>
          <w:tcPr>
            <w:tcW w:w="1520"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891.000,00</w:t>
            </w:r>
          </w:p>
        </w:tc>
      </w:tr>
    </w:tbl>
    <w:p w:rsidR="00440F87" w:rsidRDefault="00440F87">
      <w:pPr>
        <w:ind w:firstLine="709"/>
        <w:rPr>
          <w:bCs/>
          <w:sz w:val="16"/>
          <w:szCs w:val="16"/>
          <w:shd w:val="clear" w:color="auto" w:fill="FFFFFF"/>
        </w:rPr>
      </w:pPr>
    </w:p>
    <w:p w:rsidR="003E6588" w:rsidRDefault="003E6588" w:rsidP="00440F87">
      <w:pPr>
        <w:ind w:firstLine="1134"/>
        <w:jc w:val="left"/>
        <w:rPr>
          <w:bCs/>
          <w:sz w:val="16"/>
          <w:szCs w:val="16"/>
        </w:rPr>
      </w:pPr>
      <w:r>
        <w:rPr>
          <w:bCs/>
          <w:sz w:val="16"/>
          <w:szCs w:val="16"/>
          <w:shd w:val="clear" w:color="auto" w:fill="FFFFFF"/>
        </w:rPr>
        <w:t>Fonte: PM-4</w:t>
      </w:r>
    </w:p>
    <w:p w:rsidR="003E6588" w:rsidRPr="00440F87" w:rsidRDefault="003E6588">
      <w:pPr>
        <w:ind w:firstLine="1134"/>
        <w:jc w:val="both"/>
        <w:rPr>
          <w:bCs/>
        </w:rPr>
      </w:pPr>
    </w:p>
    <w:p w:rsidR="003E6588" w:rsidRDefault="003E6588">
      <w:pPr>
        <w:ind w:firstLine="1134"/>
        <w:rPr>
          <w:b/>
          <w:vanish/>
        </w:rPr>
      </w:pPr>
      <w:r>
        <w:rPr>
          <w:b/>
          <w:vanish/>
        </w:rPr>
        <w:t>Material Bélico</w:t>
      </w:r>
    </w:p>
    <w:p w:rsidR="003E6588" w:rsidRPr="00440F87" w:rsidRDefault="003E6588">
      <w:pPr>
        <w:rPr>
          <w:vanish/>
        </w:rPr>
      </w:pPr>
    </w:p>
    <w:tbl>
      <w:tblPr>
        <w:tblW w:w="8975" w:type="dxa"/>
        <w:jc w:val="center"/>
        <w:tblInd w:w="55" w:type="dxa"/>
        <w:tblCellMar>
          <w:left w:w="70" w:type="dxa"/>
          <w:right w:w="70" w:type="dxa"/>
        </w:tblCellMar>
        <w:tblLook w:val="04A0"/>
      </w:tblPr>
      <w:tblGrid>
        <w:gridCol w:w="1354"/>
        <w:gridCol w:w="3475"/>
        <w:gridCol w:w="2713"/>
        <w:gridCol w:w="1433"/>
      </w:tblGrid>
      <w:tr w:rsidR="003E6588" w:rsidTr="00440F87">
        <w:trPr>
          <w:trHeight w:val="69"/>
          <w:jc w:val="center"/>
        </w:trPr>
        <w:tc>
          <w:tcPr>
            <w:tcW w:w="1354" w:type="dxa"/>
            <w:tcBorders>
              <w:top w:val="nil"/>
              <w:left w:val="nil"/>
              <w:bottom w:val="nil"/>
              <w:right w:val="single" w:sz="4" w:space="0" w:color="auto"/>
            </w:tcBorders>
            <w:shd w:val="clear" w:color="auto" w:fill="auto"/>
            <w:noWrap/>
            <w:vAlign w:val="bottom"/>
            <w:hideMark/>
          </w:tcPr>
          <w:p w:rsidR="003E6588" w:rsidRDefault="003E6588">
            <w:pPr>
              <w:rPr>
                <w:b/>
                <w:bCs/>
                <w:sz w:val="20"/>
                <w:szCs w:val="20"/>
              </w:rPr>
            </w:pPr>
            <w:r>
              <w:rPr>
                <w:b/>
                <w:bCs/>
                <w:sz w:val="20"/>
                <w:szCs w:val="20"/>
              </w:rPr>
              <w:t>Quantidade</w:t>
            </w:r>
          </w:p>
        </w:tc>
        <w:tc>
          <w:tcPr>
            <w:tcW w:w="3475"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Tipo de material</w:t>
            </w:r>
          </w:p>
        </w:tc>
        <w:tc>
          <w:tcPr>
            <w:tcW w:w="2713"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Destinação</w:t>
            </w:r>
          </w:p>
        </w:tc>
        <w:tc>
          <w:tcPr>
            <w:tcW w:w="1433"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TOTAL</w:t>
            </w:r>
          </w:p>
        </w:tc>
      </w:tr>
      <w:tr w:rsidR="003E6588" w:rsidTr="00440F87">
        <w:trPr>
          <w:trHeight w:val="128"/>
          <w:jc w:val="center"/>
        </w:trPr>
        <w:tc>
          <w:tcPr>
            <w:tcW w:w="1354"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600</w:t>
            </w:r>
          </w:p>
        </w:tc>
        <w:tc>
          <w:tcPr>
            <w:tcW w:w="3475"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Capacetes Balísticos</w:t>
            </w:r>
          </w:p>
        </w:tc>
        <w:tc>
          <w:tcPr>
            <w:tcW w:w="2713"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33"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1.260.000,00</w:t>
            </w:r>
          </w:p>
        </w:tc>
      </w:tr>
      <w:tr w:rsidR="003E6588" w:rsidTr="00440F87">
        <w:trPr>
          <w:trHeight w:val="104"/>
          <w:jc w:val="center"/>
        </w:trPr>
        <w:tc>
          <w:tcPr>
            <w:tcW w:w="1354"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250</w:t>
            </w:r>
          </w:p>
        </w:tc>
        <w:tc>
          <w:tcPr>
            <w:tcW w:w="3475"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Capacetes Balísticos COE/GATE</w:t>
            </w:r>
          </w:p>
        </w:tc>
        <w:tc>
          <w:tcPr>
            <w:tcW w:w="2713"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33"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875.000,00</w:t>
            </w:r>
          </w:p>
        </w:tc>
      </w:tr>
      <w:tr w:rsidR="003E6588" w:rsidTr="00440F87">
        <w:trPr>
          <w:trHeight w:val="92"/>
          <w:jc w:val="center"/>
        </w:trPr>
        <w:tc>
          <w:tcPr>
            <w:tcW w:w="1354"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250</w:t>
            </w:r>
          </w:p>
        </w:tc>
        <w:tc>
          <w:tcPr>
            <w:tcW w:w="3475"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Escudos Balísticos</w:t>
            </w:r>
          </w:p>
        </w:tc>
        <w:tc>
          <w:tcPr>
            <w:tcW w:w="2713"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33"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1.125.000,00</w:t>
            </w:r>
          </w:p>
        </w:tc>
      </w:tr>
      <w:tr w:rsidR="003E6588" w:rsidTr="00440F87">
        <w:trPr>
          <w:trHeight w:val="54"/>
          <w:jc w:val="center"/>
        </w:trPr>
        <w:tc>
          <w:tcPr>
            <w:tcW w:w="1354"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525</w:t>
            </w:r>
          </w:p>
        </w:tc>
        <w:tc>
          <w:tcPr>
            <w:tcW w:w="3475"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Fuzil</w:t>
            </w:r>
          </w:p>
        </w:tc>
        <w:tc>
          <w:tcPr>
            <w:tcW w:w="2713"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Emprego Operacional</w:t>
            </w:r>
          </w:p>
        </w:tc>
        <w:tc>
          <w:tcPr>
            <w:tcW w:w="1433"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2.295.000,00</w:t>
            </w:r>
          </w:p>
        </w:tc>
      </w:tr>
      <w:tr w:rsidR="003E6588" w:rsidTr="00440F87">
        <w:trPr>
          <w:trHeight w:val="54"/>
          <w:jc w:val="center"/>
        </w:trPr>
        <w:tc>
          <w:tcPr>
            <w:tcW w:w="1354"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580</w:t>
            </w:r>
          </w:p>
        </w:tc>
        <w:tc>
          <w:tcPr>
            <w:tcW w:w="3475"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Lançador AM-640</w:t>
            </w:r>
          </w:p>
        </w:tc>
        <w:tc>
          <w:tcPr>
            <w:tcW w:w="2713"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33"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2.584.451,00</w:t>
            </w:r>
          </w:p>
        </w:tc>
      </w:tr>
      <w:tr w:rsidR="003E6588" w:rsidTr="00440F87">
        <w:trPr>
          <w:trHeight w:val="102"/>
          <w:jc w:val="center"/>
        </w:trPr>
        <w:tc>
          <w:tcPr>
            <w:tcW w:w="1354"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10</w:t>
            </w:r>
          </w:p>
        </w:tc>
        <w:tc>
          <w:tcPr>
            <w:tcW w:w="3475"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Armários Deslizantes</w:t>
            </w:r>
          </w:p>
        </w:tc>
        <w:tc>
          <w:tcPr>
            <w:tcW w:w="2713"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33"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112.000,00</w:t>
            </w:r>
          </w:p>
        </w:tc>
      </w:tr>
      <w:tr w:rsidR="003E6588" w:rsidTr="00440F87">
        <w:trPr>
          <w:trHeight w:val="54"/>
          <w:jc w:val="center"/>
        </w:trPr>
        <w:tc>
          <w:tcPr>
            <w:tcW w:w="1354"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p>
        </w:tc>
        <w:tc>
          <w:tcPr>
            <w:tcW w:w="3475"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Munição Convencional (diversos itens)*</w:t>
            </w:r>
          </w:p>
        </w:tc>
        <w:tc>
          <w:tcPr>
            <w:tcW w:w="2713"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Emprego Operacional/Instrução</w:t>
            </w:r>
          </w:p>
        </w:tc>
        <w:tc>
          <w:tcPr>
            <w:tcW w:w="1433"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19.616.434,40</w:t>
            </w:r>
          </w:p>
        </w:tc>
      </w:tr>
      <w:tr w:rsidR="003E6588" w:rsidTr="00440F87">
        <w:trPr>
          <w:trHeight w:val="66"/>
          <w:jc w:val="center"/>
        </w:trPr>
        <w:tc>
          <w:tcPr>
            <w:tcW w:w="1354"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p>
        </w:tc>
        <w:tc>
          <w:tcPr>
            <w:tcW w:w="3475"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Munição Química (diversos itens)*</w:t>
            </w:r>
          </w:p>
        </w:tc>
        <w:tc>
          <w:tcPr>
            <w:tcW w:w="2713"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Emprego Operacional/Instrução</w:t>
            </w:r>
          </w:p>
        </w:tc>
        <w:tc>
          <w:tcPr>
            <w:tcW w:w="1433"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20.999.150,00</w:t>
            </w:r>
          </w:p>
        </w:tc>
      </w:tr>
    </w:tbl>
    <w:p w:rsidR="00440F87" w:rsidRDefault="00440F87" w:rsidP="00440F87">
      <w:pPr>
        <w:jc w:val="both"/>
        <w:rPr>
          <w:bCs/>
          <w:sz w:val="16"/>
          <w:szCs w:val="16"/>
          <w:shd w:val="clear" w:color="auto" w:fill="FFFFFF"/>
        </w:rPr>
      </w:pPr>
    </w:p>
    <w:p w:rsidR="003E6588" w:rsidRDefault="00440F87" w:rsidP="00440F87">
      <w:pPr>
        <w:jc w:val="both"/>
        <w:rPr>
          <w:bCs/>
          <w:sz w:val="16"/>
          <w:szCs w:val="16"/>
          <w:u w:val="single"/>
          <w:shd w:val="clear" w:color="auto" w:fill="FFFFFF"/>
        </w:rPr>
      </w:pPr>
      <w:r>
        <w:rPr>
          <w:bCs/>
          <w:sz w:val="16"/>
          <w:szCs w:val="16"/>
          <w:shd w:val="clear" w:color="auto" w:fill="FFFFFF"/>
        </w:rPr>
        <w:t xml:space="preserve">                      </w:t>
      </w:r>
      <w:r w:rsidR="003E6588">
        <w:rPr>
          <w:bCs/>
          <w:sz w:val="16"/>
          <w:szCs w:val="16"/>
          <w:shd w:val="clear" w:color="auto" w:fill="FFFFFF"/>
        </w:rPr>
        <w:t>Fonte: PM-4</w:t>
      </w:r>
      <w:r w:rsidR="003E6588">
        <w:rPr>
          <w:bCs/>
          <w:sz w:val="16"/>
          <w:szCs w:val="16"/>
          <w:u w:val="single"/>
          <w:shd w:val="clear" w:color="auto" w:fill="FFFFFF"/>
        </w:rPr>
        <w:t xml:space="preserve"> </w:t>
      </w:r>
      <w:r w:rsidR="003E6588">
        <w:rPr>
          <w:sz w:val="16"/>
          <w:szCs w:val="16"/>
        </w:rPr>
        <w:t>* Grande variedade de itens, razão pela qual se considerou apenas o valor global da aquisição.</w:t>
      </w:r>
    </w:p>
    <w:p w:rsidR="00440F87" w:rsidRDefault="00440F87">
      <w:pPr>
        <w:ind w:firstLine="1134"/>
        <w:jc w:val="both"/>
        <w:rPr>
          <w:rFonts w:eastAsia="Calibri"/>
          <w:bCs/>
          <w:u w:val="single"/>
          <w:shd w:val="clear" w:color="auto" w:fill="FFFFFF"/>
          <w:lang w:eastAsia="en-US"/>
        </w:rPr>
      </w:pPr>
    </w:p>
    <w:p w:rsidR="003E6588" w:rsidRDefault="003E6588">
      <w:pPr>
        <w:ind w:firstLine="1134"/>
        <w:jc w:val="both"/>
        <w:rPr>
          <w:b/>
        </w:rPr>
      </w:pPr>
      <w:r>
        <w:rPr>
          <w:b/>
        </w:rPr>
        <w:t>Uniforme e EPI</w:t>
      </w:r>
    </w:p>
    <w:p w:rsidR="003E6588" w:rsidRPr="00440F87" w:rsidRDefault="003E6588"/>
    <w:tbl>
      <w:tblPr>
        <w:tblW w:w="7828" w:type="dxa"/>
        <w:jc w:val="center"/>
        <w:tblInd w:w="810" w:type="dxa"/>
        <w:tblCellMar>
          <w:left w:w="70" w:type="dxa"/>
          <w:right w:w="70" w:type="dxa"/>
        </w:tblCellMar>
        <w:tblLook w:val="04A0"/>
      </w:tblPr>
      <w:tblGrid>
        <w:gridCol w:w="1701"/>
        <w:gridCol w:w="2772"/>
        <w:gridCol w:w="1938"/>
        <w:gridCol w:w="1417"/>
      </w:tblGrid>
      <w:tr w:rsidR="003E6588" w:rsidTr="00440F87">
        <w:trPr>
          <w:trHeight w:val="98"/>
          <w:jc w:val="center"/>
        </w:trPr>
        <w:tc>
          <w:tcPr>
            <w:tcW w:w="1701" w:type="dxa"/>
            <w:tcBorders>
              <w:top w:val="nil"/>
              <w:left w:val="nil"/>
              <w:bottom w:val="nil"/>
              <w:right w:val="single" w:sz="4" w:space="0" w:color="auto"/>
            </w:tcBorders>
            <w:shd w:val="clear" w:color="auto" w:fill="auto"/>
            <w:noWrap/>
            <w:vAlign w:val="bottom"/>
            <w:hideMark/>
          </w:tcPr>
          <w:p w:rsidR="003E6588" w:rsidRDefault="003E6588">
            <w:pPr>
              <w:rPr>
                <w:b/>
                <w:bCs/>
                <w:sz w:val="20"/>
                <w:szCs w:val="20"/>
              </w:rPr>
            </w:pPr>
            <w:r>
              <w:rPr>
                <w:b/>
                <w:bCs/>
                <w:sz w:val="20"/>
                <w:szCs w:val="20"/>
              </w:rPr>
              <w:t>Quantidade</w:t>
            </w:r>
          </w:p>
        </w:tc>
        <w:tc>
          <w:tcPr>
            <w:tcW w:w="2772"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Tipo de material</w:t>
            </w:r>
          </w:p>
        </w:tc>
        <w:tc>
          <w:tcPr>
            <w:tcW w:w="1938"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Destinação</w:t>
            </w:r>
          </w:p>
        </w:tc>
        <w:tc>
          <w:tcPr>
            <w:tcW w:w="1417" w:type="dxa"/>
            <w:tcBorders>
              <w:top w:val="nil"/>
              <w:left w:val="nil"/>
              <w:bottom w:val="nil"/>
              <w:right w:val="nil"/>
            </w:tcBorders>
            <w:shd w:val="clear" w:color="auto" w:fill="auto"/>
            <w:noWrap/>
            <w:vAlign w:val="bottom"/>
            <w:hideMark/>
          </w:tcPr>
          <w:p w:rsidR="003E6588" w:rsidRDefault="003E6588">
            <w:pPr>
              <w:rPr>
                <w:b/>
                <w:bCs/>
                <w:sz w:val="20"/>
                <w:szCs w:val="20"/>
              </w:rPr>
            </w:pPr>
            <w:r>
              <w:rPr>
                <w:b/>
                <w:bCs/>
                <w:sz w:val="20"/>
                <w:szCs w:val="20"/>
              </w:rPr>
              <w:t>TOTAL</w:t>
            </w:r>
          </w:p>
        </w:tc>
      </w:tr>
      <w:tr w:rsidR="003E6588" w:rsidTr="00440F87">
        <w:trPr>
          <w:trHeight w:val="158"/>
          <w:jc w:val="center"/>
        </w:trPr>
        <w:tc>
          <w:tcPr>
            <w:tcW w:w="1701"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49.276</w:t>
            </w:r>
          </w:p>
        </w:tc>
        <w:tc>
          <w:tcPr>
            <w:tcW w:w="2772"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Espargidores de uso individual</w:t>
            </w:r>
          </w:p>
        </w:tc>
        <w:tc>
          <w:tcPr>
            <w:tcW w:w="1938"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Emprego Operacional</w:t>
            </w:r>
          </w:p>
        </w:tc>
        <w:tc>
          <w:tcPr>
            <w:tcW w:w="1417"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2.336.008,00</w:t>
            </w:r>
          </w:p>
        </w:tc>
      </w:tr>
      <w:tr w:rsidR="003E6588" w:rsidTr="00440F87">
        <w:trPr>
          <w:trHeight w:val="61"/>
          <w:jc w:val="center"/>
        </w:trPr>
        <w:tc>
          <w:tcPr>
            <w:tcW w:w="1701"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2.170</w:t>
            </w:r>
          </w:p>
        </w:tc>
        <w:tc>
          <w:tcPr>
            <w:tcW w:w="2772"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Espargidores de uso coletivo</w:t>
            </w:r>
          </w:p>
        </w:tc>
        <w:tc>
          <w:tcPr>
            <w:tcW w:w="1938"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Emprego Operacional</w:t>
            </w:r>
          </w:p>
        </w:tc>
        <w:tc>
          <w:tcPr>
            <w:tcW w:w="1417"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533.820,00</w:t>
            </w:r>
          </w:p>
        </w:tc>
      </w:tr>
      <w:tr w:rsidR="003E6588" w:rsidTr="00440F87">
        <w:trPr>
          <w:trHeight w:val="122"/>
          <w:jc w:val="center"/>
        </w:trPr>
        <w:tc>
          <w:tcPr>
            <w:tcW w:w="1701"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1.365</w:t>
            </w:r>
          </w:p>
        </w:tc>
        <w:tc>
          <w:tcPr>
            <w:tcW w:w="2772"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Capacete Multiuso</w:t>
            </w:r>
          </w:p>
        </w:tc>
        <w:tc>
          <w:tcPr>
            <w:tcW w:w="1938"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17"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375.375,00</w:t>
            </w:r>
          </w:p>
        </w:tc>
      </w:tr>
      <w:tr w:rsidR="003E6588" w:rsidTr="00440F87">
        <w:trPr>
          <w:trHeight w:val="54"/>
          <w:jc w:val="center"/>
        </w:trPr>
        <w:tc>
          <w:tcPr>
            <w:tcW w:w="1701"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220</w:t>
            </w:r>
          </w:p>
        </w:tc>
        <w:tc>
          <w:tcPr>
            <w:tcW w:w="2772"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Colete Balístico nível III</w:t>
            </w:r>
          </w:p>
        </w:tc>
        <w:tc>
          <w:tcPr>
            <w:tcW w:w="1938"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17"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415.140,00</w:t>
            </w:r>
          </w:p>
        </w:tc>
      </w:tr>
      <w:tr w:rsidR="003E6588" w:rsidTr="00440F87">
        <w:trPr>
          <w:trHeight w:val="86"/>
          <w:jc w:val="center"/>
        </w:trPr>
        <w:tc>
          <w:tcPr>
            <w:tcW w:w="1701"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15.000</w:t>
            </w:r>
          </w:p>
        </w:tc>
        <w:tc>
          <w:tcPr>
            <w:tcW w:w="2772"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Colete Balístico nível IIIA</w:t>
            </w:r>
          </w:p>
        </w:tc>
        <w:tc>
          <w:tcPr>
            <w:tcW w:w="1938"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17"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10.500.000,00</w:t>
            </w:r>
          </w:p>
        </w:tc>
      </w:tr>
      <w:tr w:rsidR="003E6588" w:rsidTr="00440F87">
        <w:trPr>
          <w:trHeight w:val="146"/>
          <w:jc w:val="center"/>
        </w:trPr>
        <w:tc>
          <w:tcPr>
            <w:tcW w:w="1701" w:type="dxa"/>
            <w:tcBorders>
              <w:top w:val="nil"/>
              <w:left w:val="nil"/>
              <w:bottom w:val="nil"/>
              <w:right w:val="single" w:sz="4" w:space="0" w:color="auto"/>
            </w:tcBorders>
            <w:shd w:val="clear" w:color="auto" w:fill="auto"/>
            <w:noWrap/>
            <w:vAlign w:val="bottom"/>
            <w:hideMark/>
          </w:tcPr>
          <w:p w:rsidR="003E6588" w:rsidRDefault="003E6588">
            <w:pPr>
              <w:rPr>
                <w:sz w:val="20"/>
                <w:szCs w:val="20"/>
              </w:rPr>
            </w:pPr>
            <w:r>
              <w:rPr>
                <w:sz w:val="20"/>
                <w:szCs w:val="20"/>
              </w:rPr>
              <w:t>30.000</w:t>
            </w:r>
          </w:p>
        </w:tc>
        <w:tc>
          <w:tcPr>
            <w:tcW w:w="2772"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Bastão Tonfa</w:t>
            </w:r>
          </w:p>
        </w:tc>
        <w:tc>
          <w:tcPr>
            <w:tcW w:w="1938" w:type="dxa"/>
            <w:tcBorders>
              <w:top w:val="nil"/>
              <w:left w:val="nil"/>
              <w:bottom w:val="nil"/>
              <w:right w:val="nil"/>
            </w:tcBorders>
            <w:shd w:val="clear" w:color="auto" w:fill="auto"/>
            <w:noWrap/>
            <w:vAlign w:val="bottom"/>
            <w:hideMark/>
          </w:tcPr>
          <w:p w:rsidR="003E6588" w:rsidRDefault="003E6588" w:rsidP="00440F87">
            <w:pPr>
              <w:jc w:val="left"/>
              <w:rPr>
                <w:sz w:val="20"/>
                <w:szCs w:val="20"/>
              </w:rPr>
            </w:pPr>
            <w:r>
              <w:rPr>
                <w:sz w:val="20"/>
                <w:szCs w:val="20"/>
              </w:rPr>
              <w:t>Emprego Operacional</w:t>
            </w:r>
          </w:p>
        </w:tc>
        <w:tc>
          <w:tcPr>
            <w:tcW w:w="1417" w:type="dxa"/>
            <w:tcBorders>
              <w:top w:val="nil"/>
              <w:left w:val="nil"/>
              <w:bottom w:val="nil"/>
              <w:right w:val="nil"/>
            </w:tcBorders>
            <w:shd w:val="clear" w:color="auto" w:fill="auto"/>
            <w:noWrap/>
            <w:vAlign w:val="bottom"/>
            <w:hideMark/>
          </w:tcPr>
          <w:p w:rsidR="003E6588" w:rsidRDefault="003E6588">
            <w:pPr>
              <w:jc w:val="right"/>
              <w:rPr>
                <w:sz w:val="20"/>
                <w:szCs w:val="20"/>
              </w:rPr>
            </w:pPr>
            <w:r>
              <w:rPr>
                <w:sz w:val="20"/>
                <w:szCs w:val="20"/>
              </w:rPr>
              <w:t>390.000,00</w:t>
            </w:r>
          </w:p>
        </w:tc>
      </w:tr>
      <w:tr w:rsidR="003E6588" w:rsidTr="00440F87">
        <w:trPr>
          <w:trHeight w:val="54"/>
          <w:jc w:val="center"/>
        </w:trPr>
        <w:tc>
          <w:tcPr>
            <w:tcW w:w="1701" w:type="dxa"/>
            <w:tcBorders>
              <w:top w:val="nil"/>
              <w:left w:val="nil"/>
              <w:bottom w:val="nil"/>
              <w:right w:val="single" w:sz="4" w:space="0" w:color="auto"/>
            </w:tcBorders>
            <w:shd w:val="clear" w:color="auto" w:fill="auto"/>
            <w:noWrap/>
            <w:vAlign w:val="bottom"/>
          </w:tcPr>
          <w:p w:rsidR="003E6588" w:rsidRDefault="003E6588">
            <w:pPr>
              <w:rPr>
                <w:sz w:val="20"/>
                <w:szCs w:val="20"/>
              </w:rPr>
            </w:pPr>
            <w:r>
              <w:rPr>
                <w:sz w:val="20"/>
                <w:szCs w:val="20"/>
              </w:rPr>
              <w:t>3.700</w:t>
            </w:r>
          </w:p>
        </w:tc>
        <w:tc>
          <w:tcPr>
            <w:tcW w:w="2772"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 xml:space="preserve">Cassetete </w:t>
            </w:r>
          </w:p>
        </w:tc>
        <w:tc>
          <w:tcPr>
            <w:tcW w:w="1938" w:type="dxa"/>
            <w:tcBorders>
              <w:top w:val="nil"/>
              <w:left w:val="nil"/>
              <w:bottom w:val="nil"/>
              <w:right w:val="nil"/>
            </w:tcBorders>
            <w:shd w:val="clear" w:color="auto" w:fill="auto"/>
            <w:noWrap/>
            <w:vAlign w:val="bottom"/>
          </w:tcPr>
          <w:p w:rsidR="003E6588" w:rsidRDefault="003E6588" w:rsidP="00440F87">
            <w:pPr>
              <w:jc w:val="left"/>
              <w:rPr>
                <w:sz w:val="20"/>
                <w:szCs w:val="20"/>
              </w:rPr>
            </w:pPr>
            <w:r>
              <w:rPr>
                <w:sz w:val="20"/>
                <w:szCs w:val="20"/>
              </w:rPr>
              <w:t>Emprego Operacional</w:t>
            </w:r>
          </w:p>
        </w:tc>
        <w:tc>
          <w:tcPr>
            <w:tcW w:w="1417" w:type="dxa"/>
            <w:tcBorders>
              <w:top w:val="nil"/>
              <w:left w:val="nil"/>
              <w:bottom w:val="nil"/>
              <w:right w:val="nil"/>
            </w:tcBorders>
            <w:shd w:val="clear" w:color="auto" w:fill="auto"/>
            <w:noWrap/>
            <w:vAlign w:val="bottom"/>
          </w:tcPr>
          <w:p w:rsidR="003E6588" w:rsidRDefault="003E6588">
            <w:pPr>
              <w:jc w:val="right"/>
              <w:rPr>
                <w:sz w:val="20"/>
                <w:szCs w:val="20"/>
              </w:rPr>
            </w:pPr>
            <w:r>
              <w:rPr>
                <w:sz w:val="20"/>
                <w:szCs w:val="20"/>
              </w:rPr>
              <w:t>147.260,00</w:t>
            </w:r>
          </w:p>
        </w:tc>
      </w:tr>
    </w:tbl>
    <w:p w:rsidR="00440F87" w:rsidRDefault="00440F87">
      <w:pPr>
        <w:ind w:left="284" w:firstLine="424"/>
        <w:rPr>
          <w:bCs/>
          <w:sz w:val="16"/>
          <w:szCs w:val="16"/>
          <w:shd w:val="clear" w:color="auto" w:fill="FFFFFF"/>
        </w:rPr>
      </w:pPr>
    </w:p>
    <w:p w:rsidR="003E6588" w:rsidRDefault="00440F87" w:rsidP="00440F87">
      <w:pPr>
        <w:ind w:left="284" w:firstLine="424"/>
        <w:jc w:val="both"/>
        <w:rPr>
          <w:bCs/>
          <w:sz w:val="16"/>
          <w:szCs w:val="16"/>
          <w:shd w:val="clear" w:color="auto" w:fill="FFFFFF"/>
        </w:rPr>
      </w:pPr>
      <w:r>
        <w:rPr>
          <w:bCs/>
          <w:sz w:val="16"/>
          <w:szCs w:val="16"/>
          <w:shd w:val="clear" w:color="auto" w:fill="FFFFFF"/>
        </w:rPr>
        <w:t xml:space="preserve">    </w:t>
      </w:r>
      <w:r w:rsidR="003E6588">
        <w:rPr>
          <w:bCs/>
          <w:sz w:val="16"/>
          <w:szCs w:val="16"/>
          <w:shd w:val="clear" w:color="auto" w:fill="FFFFFF"/>
        </w:rPr>
        <w:t xml:space="preserve">        Fonte: PM-4</w:t>
      </w:r>
    </w:p>
    <w:p w:rsidR="003E6588" w:rsidRDefault="003E6588">
      <w:pPr>
        <w:ind w:firstLine="1134"/>
        <w:jc w:val="both"/>
        <w:rPr>
          <w:bCs/>
          <w:color w:val="000000"/>
        </w:rPr>
      </w:pPr>
      <w:r>
        <w:rPr>
          <w:b/>
          <w:bCs/>
        </w:rPr>
        <w:t xml:space="preserve">Bombeiros </w:t>
      </w:r>
      <w:r w:rsidR="00CE42F3" w:rsidRPr="00CE42F3">
        <w:rPr>
          <w:bCs/>
          <w:color w:val="000000"/>
        </w:rPr>
        <w:t>- Principais aquisições de viaturas e equipamentos (incluindo frota aérea e marítima);</w:t>
      </w:r>
    </w:p>
    <w:p w:rsidR="003E6588" w:rsidRPr="00B215C1" w:rsidRDefault="003E6588">
      <w:pPr>
        <w:autoSpaceDE w:val="0"/>
        <w:autoSpaceDN w:val="0"/>
        <w:adjustRightInd w:val="0"/>
        <w:rPr>
          <w:bCs/>
          <w:color w:val="000000"/>
          <w:sz w:val="16"/>
          <w:szCs w:val="16"/>
        </w:rPr>
      </w:pPr>
    </w:p>
    <w:tbl>
      <w:tblPr>
        <w:tblW w:w="0" w:type="auto"/>
        <w:jc w:val="center"/>
        <w:tblInd w:w="10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3118"/>
        <w:gridCol w:w="1418"/>
        <w:gridCol w:w="2225"/>
      </w:tblGrid>
      <w:tr w:rsidR="003E6588" w:rsidTr="00B215C1">
        <w:trPr>
          <w:trHeight w:val="231"/>
          <w:jc w:val="center"/>
        </w:trPr>
        <w:tc>
          <w:tcPr>
            <w:tcW w:w="3118"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Nome Material</w:t>
            </w:r>
          </w:p>
        </w:tc>
        <w:tc>
          <w:tcPr>
            <w:tcW w:w="1418"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Quantidade</w:t>
            </w:r>
          </w:p>
        </w:tc>
        <w:tc>
          <w:tcPr>
            <w:tcW w:w="2225"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Valor Total</w:t>
            </w:r>
            <w:r w:rsidR="003E6588">
              <w:rPr>
                <w:b/>
                <w:bCs/>
                <w:color w:val="000000"/>
                <w:sz w:val="20"/>
                <w:szCs w:val="20"/>
              </w:rPr>
              <w:t xml:space="preserve"> (R$)</w:t>
            </w:r>
          </w:p>
        </w:tc>
      </w:tr>
      <w:tr w:rsidR="003E6588" w:rsidTr="00B215C1">
        <w:trPr>
          <w:trHeight w:val="87"/>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Auto bomba importado</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21</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20.650.156,80</w:t>
            </w:r>
          </w:p>
        </w:tc>
      </w:tr>
      <w:tr w:rsidR="003E6588" w:rsidTr="00B215C1">
        <w:trPr>
          <w:trHeight w:val="71"/>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Auto bomba nacional</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21</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9.560.000,00</w:t>
            </w:r>
          </w:p>
        </w:tc>
      </w:tr>
      <w:tr w:rsidR="003E6588" w:rsidTr="00B215C1">
        <w:trPr>
          <w:trHeight w:val="117"/>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Auto tanque</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40</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17.160.000,00</w:t>
            </w:r>
          </w:p>
        </w:tc>
      </w:tr>
      <w:tr w:rsidR="003E6588" w:rsidTr="00B215C1">
        <w:trPr>
          <w:trHeight w:val="39"/>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Motocicleta</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30</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309.000,00</w:t>
            </w:r>
          </w:p>
        </w:tc>
      </w:tr>
      <w:tr w:rsidR="003E6588" w:rsidTr="00B215C1">
        <w:trPr>
          <w:trHeight w:val="53"/>
          <w:jc w:val="center"/>
        </w:trPr>
        <w:tc>
          <w:tcPr>
            <w:tcW w:w="3118" w:type="dxa"/>
            <w:vAlign w:val="center"/>
          </w:tcPr>
          <w:p w:rsidR="003E6588" w:rsidRDefault="003E6588" w:rsidP="00B215C1">
            <w:pPr>
              <w:autoSpaceDE w:val="0"/>
              <w:autoSpaceDN w:val="0"/>
              <w:adjustRightInd w:val="0"/>
              <w:jc w:val="left"/>
              <w:rPr>
                <w:color w:val="000000"/>
                <w:sz w:val="20"/>
                <w:szCs w:val="20"/>
              </w:rPr>
            </w:pPr>
            <w:r>
              <w:rPr>
                <w:color w:val="000000"/>
                <w:sz w:val="20"/>
                <w:szCs w:val="20"/>
              </w:rPr>
              <w:t>Motocicleta operacional</w:t>
            </w:r>
          </w:p>
        </w:tc>
        <w:tc>
          <w:tcPr>
            <w:tcW w:w="1418" w:type="dxa"/>
            <w:vAlign w:val="center"/>
          </w:tcPr>
          <w:p w:rsidR="003E6588" w:rsidRDefault="00CE42F3">
            <w:pPr>
              <w:autoSpaceDE w:val="0"/>
              <w:autoSpaceDN w:val="0"/>
              <w:adjustRightInd w:val="0"/>
              <w:rPr>
                <w:color w:val="000000"/>
                <w:sz w:val="20"/>
                <w:szCs w:val="20"/>
              </w:rPr>
            </w:pPr>
            <w:r w:rsidRPr="00CE42F3">
              <w:rPr>
                <w:color w:val="000000"/>
                <w:sz w:val="20"/>
                <w:szCs w:val="20"/>
              </w:rPr>
              <w:t>20</w:t>
            </w:r>
          </w:p>
        </w:tc>
        <w:tc>
          <w:tcPr>
            <w:tcW w:w="2225"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630.000,00</w:t>
            </w:r>
          </w:p>
        </w:tc>
      </w:tr>
      <w:tr w:rsidR="003E6588" w:rsidTr="00B215C1">
        <w:trPr>
          <w:trHeight w:val="39"/>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Viatura sedan</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3</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146.100,00</w:t>
            </w:r>
          </w:p>
        </w:tc>
      </w:tr>
      <w:tr w:rsidR="003E6588" w:rsidTr="00B215C1">
        <w:trPr>
          <w:trHeight w:val="39"/>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 xml:space="preserve">Viatura </w:t>
            </w:r>
            <w:r>
              <w:rPr>
                <w:i/>
                <w:color w:val="000000"/>
                <w:sz w:val="20"/>
                <w:szCs w:val="20"/>
              </w:rPr>
              <w:t>pick up</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4</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445.600,00</w:t>
            </w:r>
          </w:p>
        </w:tc>
      </w:tr>
      <w:tr w:rsidR="003E6588" w:rsidTr="00B215C1">
        <w:trPr>
          <w:trHeight w:val="39"/>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Lancha</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2</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2.398.360,00</w:t>
            </w:r>
          </w:p>
        </w:tc>
      </w:tr>
      <w:tr w:rsidR="003E6588" w:rsidTr="00B215C1">
        <w:trPr>
          <w:trHeight w:val="67"/>
          <w:jc w:val="center"/>
        </w:trPr>
        <w:tc>
          <w:tcPr>
            <w:tcW w:w="3118" w:type="dxa"/>
            <w:vAlign w:val="bottom"/>
          </w:tcPr>
          <w:p w:rsidR="003E6588" w:rsidRDefault="003E6588" w:rsidP="00B215C1">
            <w:pPr>
              <w:autoSpaceDE w:val="0"/>
              <w:autoSpaceDN w:val="0"/>
              <w:adjustRightInd w:val="0"/>
              <w:jc w:val="left"/>
              <w:rPr>
                <w:color w:val="000000"/>
                <w:sz w:val="20"/>
                <w:szCs w:val="20"/>
              </w:rPr>
            </w:pPr>
            <w:r>
              <w:rPr>
                <w:color w:val="000000"/>
                <w:sz w:val="20"/>
                <w:szCs w:val="20"/>
              </w:rPr>
              <w:t>Barco alumínio</w:t>
            </w:r>
          </w:p>
        </w:tc>
        <w:tc>
          <w:tcPr>
            <w:tcW w:w="1418" w:type="dxa"/>
            <w:vAlign w:val="bottom"/>
          </w:tcPr>
          <w:p w:rsidR="003E6588" w:rsidRDefault="00CE42F3">
            <w:pPr>
              <w:autoSpaceDE w:val="0"/>
              <w:autoSpaceDN w:val="0"/>
              <w:adjustRightInd w:val="0"/>
              <w:rPr>
                <w:color w:val="000000"/>
                <w:sz w:val="20"/>
                <w:szCs w:val="20"/>
              </w:rPr>
            </w:pPr>
            <w:r w:rsidRPr="00CE42F3">
              <w:rPr>
                <w:color w:val="000000"/>
                <w:sz w:val="20"/>
                <w:szCs w:val="20"/>
              </w:rPr>
              <w:t>1</w:t>
            </w:r>
          </w:p>
        </w:tc>
        <w:tc>
          <w:tcPr>
            <w:tcW w:w="2225" w:type="dxa"/>
            <w:vAlign w:val="bottom"/>
          </w:tcPr>
          <w:p w:rsidR="003E6588" w:rsidRDefault="00CE42F3">
            <w:pPr>
              <w:autoSpaceDE w:val="0"/>
              <w:autoSpaceDN w:val="0"/>
              <w:adjustRightInd w:val="0"/>
              <w:jc w:val="right"/>
              <w:rPr>
                <w:color w:val="000000"/>
                <w:sz w:val="20"/>
                <w:szCs w:val="20"/>
              </w:rPr>
            </w:pPr>
            <w:r w:rsidRPr="00CE42F3">
              <w:rPr>
                <w:color w:val="000000"/>
                <w:sz w:val="20"/>
                <w:szCs w:val="20"/>
              </w:rPr>
              <w:t>42.700,00</w:t>
            </w:r>
          </w:p>
        </w:tc>
      </w:tr>
      <w:tr w:rsidR="003E6588" w:rsidTr="00B215C1">
        <w:trPr>
          <w:trHeight w:val="39"/>
          <w:jc w:val="center"/>
        </w:trPr>
        <w:tc>
          <w:tcPr>
            <w:tcW w:w="3118" w:type="dxa"/>
            <w:shd w:val="clear" w:color="auto" w:fill="auto"/>
            <w:vAlign w:val="bottom"/>
          </w:tcPr>
          <w:p w:rsidR="003E6588" w:rsidRDefault="003E6588">
            <w:pPr>
              <w:autoSpaceDE w:val="0"/>
              <w:autoSpaceDN w:val="0"/>
              <w:adjustRightInd w:val="0"/>
              <w:rPr>
                <w:color w:val="000000"/>
                <w:sz w:val="20"/>
                <w:szCs w:val="20"/>
              </w:rPr>
            </w:pPr>
          </w:p>
        </w:tc>
        <w:tc>
          <w:tcPr>
            <w:tcW w:w="1418"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Total</w:t>
            </w:r>
          </w:p>
        </w:tc>
        <w:tc>
          <w:tcPr>
            <w:tcW w:w="2225" w:type="dxa"/>
            <w:shd w:val="clear" w:color="auto" w:fill="auto"/>
            <w:vAlign w:val="bottom"/>
          </w:tcPr>
          <w:p w:rsidR="003E6588" w:rsidRDefault="00CE42F3">
            <w:pPr>
              <w:autoSpaceDE w:val="0"/>
              <w:autoSpaceDN w:val="0"/>
              <w:adjustRightInd w:val="0"/>
              <w:jc w:val="right"/>
              <w:rPr>
                <w:b/>
                <w:bCs/>
                <w:color w:val="000000"/>
                <w:sz w:val="20"/>
                <w:szCs w:val="20"/>
              </w:rPr>
            </w:pPr>
            <w:r w:rsidRPr="00CE42F3">
              <w:rPr>
                <w:b/>
                <w:bCs/>
                <w:color w:val="000000"/>
                <w:sz w:val="20"/>
                <w:szCs w:val="20"/>
              </w:rPr>
              <w:t>51.341.916,80</w:t>
            </w:r>
          </w:p>
        </w:tc>
      </w:tr>
    </w:tbl>
    <w:p w:rsidR="003E6588" w:rsidRPr="00B215C1" w:rsidRDefault="003E6588">
      <w:pPr>
        <w:ind w:firstLine="1134"/>
        <w:jc w:val="both"/>
        <w:rPr>
          <w:bCs/>
          <w:sz w:val="16"/>
          <w:szCs w:val="16"/>
          <w:u w:val="single"/>
        </w:rPr>
      </w:pPr>
    </w:p>
    <w:tbl>
      <w:tblPr>
        <w:tblW w:w="0" w:type="auto"/>
        <w:jc w:val="center"/>
        <w:tblInd w:w="56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3216"/>
        <w:gridCol w:w="1418"/>
        <w:gridCol w:w="2268"/>
      </w:tblGrid>
      <w:tr w:rsidR="003E6588" w:rsidTr="00B215C1">
        <w:trPr>
          <w:trHeight w:val="276"/>
          <w:jc w:val="center"/>
        </w:trPr>
        <w:tc>
          <w:tcPr>
            <w:tcW w:w="3216"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Nome Material</w:t>
            </w:r>
          </w:p>
        </w:tc>
        <w:tc>
          <w:tcPr>
            <w:tcW w:w="1418" w:type="dxa"/>
            <w:shd w:val="clear" w:color="auto" w:fill="auto"/>
            <w:vAlign w:val="bottom"/>
          </w:tcPr>
          <w:p w:rsidR="003E6588" w:rsidRDefault="00CE42F3">
            <w:pPr>
              <w:autoSpaceDE w:val="0"/>
              <w:autoSpaceDN w:val="0"/>
              <w:adjustRightInd w:val="0"/>
              <w:ind w:firstLine="5"/>
              <w:rPr>
                <w:b/>
                <w:bCs/>
                <w:color w:val="000000"/>
                <w:sz w:val="20"/>
                <w:szCs w:val="20"/>
              </w:rPr>
            </w:pPr>
            <w:r w:rsidRPr="00CE42F3">
              <w:rPr>
                <w:b/>
                <w:bCs/>
                <w:color w:val="000000"/>
                <w:sz w:val="20"/>
                <w:szCs w:val="20"/>
              </w:rPr>
              <w:t>Quantidade</w:t>
            </w:r>
          </w:p>
        </w:tc>
        <w:tc>
          <w:tcPr>
            <w:tcW w:w="2268"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Valor Total</w:t>
            </w:r>
            <w:r w:rsidR="003E6588">
              <w:rPr>
                <w:b/>
                <w:bCs/>
                <w:color w:val="000000"/>
                <w:sz w:val="20"/>
                <w:szCs w:val="20"/>
              </w:rPr>
              <w:t xml:space="preserve"> (R$)</w:t>
            </w:r>
          </w:p>
        </w:tc>
      </w:tr>
      <w:tr w:rsidR="003E6588" w:rsidTr="00B215C1">
        <w:trPr>
          <w:trHeight w:val="85"/>
          <w:jc w:val="center"/>
        </w:trPr>
        <w:tc>
          <w:tcPr>
            <w:tcW w:w="3216" w:type="dxa"/>
            <w:shd w:val="clear" w:color="auto" w:fill="FFFFFF"/>
            <w:vAlign w:val="center"/>
          </w:tcPr>
          <w:p w:rsidR="003E6588" w:rsidRDefault="003E6588" w:rsidP="00B215C1">
            <w:pPr>
              <w:autoSpaceDE w:val="0"/>
              <w:autoSpaceDN w:val="0"/>
              <w:adjustRightInd w:val="0"/>
              <w:jc w:val="left"/>
              <w:rPr>
                <w:color w:val="000000"/>
                <w:sz w:val="20"/>
                <w:szCs w:val="20"/>
              </w:rPr>
            </w:pPr>
            <w:r>
              <w:rPr>
                <w:color w:val="000000"/>
                <w:sz w:val="20"/>
                <w:szCs w:val="20"/>
              </w:rPr>
              <w:t>Desencarcerador hidráulico</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110</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3.014.000,00</w:t>
            </w:r>
          </w:p>
        </w:tc>
      </w:tr>
      <w:tr w:rsidR="003E6588" w:rsidTr="00B215C1">
        <w:trPr>
          <w:trHeight w:val="39"/>
          <w:jc w:val="center"/>
        </w:trPr>
        <w:tc>
          <w:tcPr>
            <w:tcW w:w="3216" w:type="dxa"/>
            <w:shd w:val="clear" w:color="auto" w:fill="FFFFFF"/>
            <w:vAlign w:val="center"/>
          </w:tcPr>
          <w:p w:rsidR="003E6588" w:rsidRDefault="003E6588" w:rsidP="00B215C1">
            <w:pPr>
              <w:autoSpaceDE w:val="0"/>
              <w:autoSpaceDN w:val="0"/>
              <w:adjustRightInd w:val="0"/>
              <w:jc w:val="left"/>
              <w:rPr>
                <w:color w:val="000000"/>
                <w:sz w:val="20"/>
                <w:szCs w:val="20"/>
              </w:rPr>
            </w:pPr>
            <w:r>
              <w:rPr>
                <w:color w:val="000000"/>
                <w:sz w:val="20"/>
                <w:szCs w:val="20"/>
              </w:rPr>
              <w:t>Câmera termográfica</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30</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840.000,00</w:t>
            </w:r>
          </w:p>
        </w:tc>
      </w:tr>
      <w:tr w:rsidR="003E6588" w:rsidTr="00B215C1">
        <w:trPr>
          <w:trHeight w:val="39"/>
          <w:jc w:val="center"/>
        </w:trPr>
        <w:tc>
          <w:tcPr>
            <w:tcW w:w="3216" w:type="dxa"/>
            <w:shd w:val="clear" w:color="auto" w:fill="FFFFFF"/>
            <w:vAlign w:val="center"/>
          </w:tcPr>
          <w:p w:rsidR="003E6588" w:rsidRDefault="003E6588" w:rsidP="00B215C1">
            <w:pPr>
              <w:autoSpaceDE w:val="0"/>
              <w:autoSpaceDN w:val="0"/>
              <w:adjustRightInd w:val="0"/>
              <w:jc w:val="left"/>
              <w:rPr>
                <w:color w:val="000000"/>
                <w:sz w:val="20"/>
                <w:szCs w:val="20"/>
              </w:rPr>
            </w:pPr>
            <w:r>
              <w:rPr>
                <w:color w:val="000000"/>
                <w:sz w:val="20"/>
                <w:szCs w:val="20"/>
              </w:rPr>
              <w:t>Modelo anatômico humano</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203</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277.106,00</w:t>
            </w:r>
          </w:p>
        </w:tc>
      </w:tr>
      <w:tr w:rsidR="003E6588" w:rsidTr="00B215C1">
        <w:trPr>
          <w:trHeight w:val="66"/>
          <w:jc w:val="center"/>
        </w:trPr>
        <w:tc>
          <w:tcPr>
            <w:tcW w:w="3216" w:type="dxa"/>
            <w:shd w:val="clear" w:color="auto" w:fill="FFFFFF"/>
            <w:vAlign w:val="center"/>
          </w:tcPr>
          <w:p w:rsidR="003E6588" w:rsidRDefault="003E6588" w:rsidP="00B215C1">
            <w:pPr>
              <w:autoSpaceDE w:val="0"/>
              <w:autoSpaceDN w:val="0"/>
              <w:adjustRightInd w:val="0"/>
              <w:jc w:val="left"/>
              <w:rPr>
                <w:color w:val="000000"/>
                <w:sz w:val="20"/>
                <w:szCs w:val="20"/>
              </w:rPr>
            </w:pPr>
            <w:r>
              <w:rPr>
                <w:color w:val="000000"/>
                <w:sz w:val="20"/>
                <w:szCs w:val="20"/>
              </w:rPr>
              <w:t>Detector de gás</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25</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149.750,00</w:t>
            </w:r>
          </w:p>
        </w:tc>
      </w:tr>
      <w:tr w:rsidR="003E6588" w:rsidTr="00B215C1">
        <w:trPr>
          <w:trHeight w:val="39"/>
          <w:jc w:val="center"/>
        </w:trPr>
        <w:tc>
          <w:tcPr>
            <w:tcW w:w="3216" w:type="dxa"/>
            <w:shd w:val="clear" w:color="auto" w:fill="FFFFFF"/>
            <w:vAlign w:val="center"/>
          </w:tcPr>
          <w:p w:rsidR="003E6588" w:rsidRDefault="003E6588" w:rsidP="00B215C1">
            <w:pPr>
              <w:autoSpaceDE w:val="0"/>
              <w:autoSpaceDN w:val="0"/>
              <w:adjustRightInd w:val="0"/>
              <w:jc w:val="left"/>
              <w:rPr>
                <w:color w:val="000000"/>
                <w:sz w:val="20"/>
                <w:szCs w:val="20"/>
              </w:rPr>
            </w:pPr>
            <w:r>
              <w:rPr>
                <w:color w:val="000000"/>
                <w:sz w:val="20"/>
                <w:szCs w:val="20"/>
              </w:rPr>
              <w:t>Receptor GPS</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61</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57.103,40</w:t>
            </w:r>
          </w:p>
        </w:tc>
      </w:tr>
      <w:tr w:rsidR="003E6588" w:rsidTr="00B215C1">
        <w:trPr>
          <w:trHeight w:val="46"/>
          <w:jc w:val="center"/>
        </w:trPr>
        <w:tc>
          <w:tcPr>
            <w:tcW w:w="3216" w:type="dxa"/>
            <w:vAlign w:val="center"/>
          </w:tcPr>
          <w:p w:rsidR="003E6588" w:rsidRDefault="003E6588" w:rsidP="00B215C1">
            <w:pPr>
              <w:autoSpaceDE w:val="0"/>
              <w:autoSpaceDN w:val="0"/>
              <w:adjustRightInd w:val="0"/>
              <w:jc w:val="left"/>
              <w:rPr>
                <w:color w:val="000000"/>
                <w:sz w:val="20"/>
                <w:szCs w:val="20"/>
              </w:rPr>
            </w:pPr>
            <w:r>
              <w:rPr>
                <w:color w:val="000000"/>
                <w:sz w:val="20"/>
                <w:szCs w:val="20"/>
              </w:rPr>
              <w:t>Grupo gerador</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40</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36.120,00</w:t>
            </w:r>
          </w:p>
        </w:tc>
      </w:tr>
      <w:tr w:rsidR="003E6588" w:rsidTr="00B215C1">
        <w:trPr>
          <w:trHeight w:val="46"/>
          <w:jc w:val="center"/>
        </w:trPr>
        <w:tc>
          <w:tcPr>
            <w:tcW w:w="3216" w:type="dxa"/>
            <w:shd w:val="clear" w:color="auto" w:fill="FFFFFF"/>
            <w:vAlign w:val="center"/>
          </w:tcPr>
          <w:p w:rsidR="003E6588" w:rsidRDefault="003E6588" w:rsidP="00B215C1">
            <w:pPr>
              <w:autoSpaceDE w:val="0"/>
              <w:autoSpaceDN w:val="0"/>
              <w:adjustRightInd w:val="0"/>
              <w:jc w:val="left"/>
              <w:rPr>
                <w:color w:val="000000"/>
                <w:sz w:val="20"/>
                <w:szCs w:val="20"/>
              </w:rPr>
            </w:pPr>
            <w:r>
              <w:rPr>
                <w:color w:val="000000"/>
                <w:sz w:val="20"/>
                <w:szCs w:val="20"/>
              </w:rPr>
              <w:t>Martelo rompedor</w:t>
            </w:r>
          </w:p>
        </w:tc>
        <w:tc>
          <w:tcPr>
            <w:tcW w:w="1418" w:type="dxa"/>
            <w:shd w:val="clear" w:color="auto" w:fill="FFFFFF"/>
            <w:vAlign w:val="center"/>
          </w:tcPr>
          <w:p w:rsidR="003E6588" w:rsidRDefault="00CE42F3">
            <w:pPr>
              <w:autoSpaceDE w:val="0"/>
              <w:autoSpaceDN w:val="0"/>
              <w:adjustRightInd w:val="0"/>
              <w:ind w:firstLine="5"/>
              <w:rPr>
                <w:color w:val="000000"/>
                <w:sz w:val="20"/>
                <w:szCs w:val="20"/>
              </w:rPr>
            </w:pPr>
            <w:r w:rsidRPr="00CE42F3">
              <w:rPr>
                <w:color w:val="000000"/>
                <w:sz w:val="20"/>
                <w:szCs w:val="20"/>
              </w:rPr>
              <w:t>3</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8.670,00</w:t>
            </w:r>
          </w:p>
        </w:tc>
      </w:tr>
      <w:tr w:rsidR="003E6588" w:rsidTr="00B215C1">
        <w:trPr>
          <w:trHeight w:val="78"/>
          <w:jc w:val="center"/>
        </w:trPr>
        <w:tc>
          <w:tcPr>
            <w:tcW w:w="3216" w:type="dxa"/>
            <w:vAlign w:val="center"/>
          </w:tcPr>
          <w:p w:rsidR="003E6588" w:rsidRDefault="003E6588" w:rsidP="00B215C1">
            <w:pPr>
              <w:autoSpaceDE w:val="0"/>
              <w:autoSpaceDN w:val="0"/>
              <w:adjustRightInd w:val="0"/>
              <w:jc w:val="left"/>
              <w:rPr>
                <w:color w:val="000000"/>
                <w:sz w:val="20"/>
                <w:szCs w:val="20"/>
              </w:rPr>
            </w:pPr>
            <w:r>
              <w:rPr>
                <w:color w:val="000000"/>
                <w:sz w:val="20"/>
                <w:szCs w:val="20"/>
              </w:rPr>
              <w:t>Serra elétrica</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8</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7.920,00</w:t>
            </w:r>
          </w:p>
        </w:tc>
      </w:tr>
      <w:tr w:rsidR="003E6588" w:rsidTr="00B215C1">
        <w:trPr>
          <w:trHeight w:val="124"/>
          <w:jc w:val="center"/>
        </w:trPr>
        <w:tc>
          <w:tcPr>
            <w:tcW w:w="3216" w:type="dxa"/>
            <w:vAlign w:val="center"/>
          </w:tcPr>
          <w:p w:rsidR="003E6588" w:rsidRDefault="003E6588" w:rsidP="00B215C1">
            <w:pPr>
              <w:autoSpaceDE w:val="0"/>
              <w:autoSpaceDN w:val="0"/>
              <w:adjustRightInd w:val="0"/>
              <w:jc w:val="left"/>
              <w:rPr>
                <w:color w:val="000000"/>
                <w:sz w:val="20"/>
                <w:szCs w:val="20"/>
              </w:rPr>
            </w:pPr>
            <w:r>
              <w:rPr>
                <w:color w:val="000000"/>
                <w:sz w:val="20"/>
                <w:szCs w:val="20"/>
              </w:rPr>
              <w:t>Bomba hidráulica</w:t>
            </w:r>
          </w:p>
        </w:tc>
        <w:tc>
          <w:tcPr>
            <w:tcW w:w="1418" w:type="dxa"/>
            <w:vAlign w:val="center"/>
          </w:tcPr>
          <w:p w:rsidR="003E6588" w:rsidRDefault="00CE42F3">
            <w:pPr>
              <w:autoSpaceDE w:val="0"/>
              <w:autoSpaceDN w:val="0"/>
              <w:adjustRightInd w:val="0"/>
              <w:ind w:firstLine="5"/>
              <w:rPr>
                <w:color w:val="000000"/>
                <w:sz w:val="20"/>
                <w:szCs w:val="20"/>
              </w:rPr>
            </w:pPr>
            <w:r w:rsidRPr="00CE42F3">
              <w:rPr>
                <w:color w:val="000000"/>
                <w:sz w:val="20"/>
                <w:szCs w:val="20"/>
              </w:rPr>
              <w:t>4</w:t>
            </w:r>
          </w:p>
        </w:tc>
        <w:tc>
          <w:tcPr>
            <w:tcW w:w="2268" w:type="dxa"/>
            <w:vAlign w:val="center"/>
          </w:tcPr>
          <w:p w:rsidR="003E6588" w:rsidRDefault="00CE42F3">
            <w:pPr>
              <w:autoSpaceDE w:val="0"/>
              <w:autoSpaceDN w:val="0"/>
              <w:adjustRightInd w:val="0"/>
              <w:jc w:val="right"/>
              <w:rPr>
                <w:color w:val="000000"/>
                <w:sz w:val="20"/>
                <w:szCs w:val="20"/>
              </w:rPr>
            </w:pPr>
            <w:r w:rsidRPr="00CE42F3">
              <w:rPr>
                <w:color w:val="000000"/>
                <w:sz w:val="20"/>
                <w:szCs w:val="20"/>
              </w:rPr>
              <w:t>3.166,00</w:t>
            </w:r>
          </w:p>
        </w:tc>
      </w:tr>
      <w:tr w:rsidR="003E6588" w:rsidTr="00B215C1">
        <w:trPr>
          <w:trHeight w:val="39"/>
          <w:jc w:val="center"/>
        </w:trPr>
        <w:tc>
          <w:tcPr>
            <w:tcW w:w="3216" w:type="dxa"/>
            <w:shd w:val="clear" w:color="auto" w:fill="auto"/>
            <w:vAlign w:val="center"/>
          </w:tcPr>
          <w:p w:rsidR="003E6588" w:rsidRDefault="003E6588">
            <w:pPr>
              <w:autoSpaceDE w:val="0"/>
              <w:autoSpaceDN w:val="0"/>
              <w:adjustRightInd w:val="0"/>
              <w:rPr>
                <w:color w:val="000000"/>
                <w:sz w:val="20"/>
                <w:szCs w:val="20"/>
              </w:rPr>
            </w:pPr>
          </w:p>
        </w:tc>
        <w:tc>
          <w:tcPr>
            <w:tcW w:w="1418" w:type="dxa"/>
            <w:shd w:val="clear" w:color="auto" w:fill="auto"/>
            <w:vAlign w:val="center"/>
          </w:tcPr>
          <w:p w:rsidR="003E6588" w:rsidRDefault="003E6588">
            <w:pPr>
              <w:autoSpaceDE w:val="0"/>
              <w:autoSpaceDN w:val="0"/>
              <w:adjustRightInd w:val="0"/>
              <w:ind w:firstLine="5"/>
              <w:rPr>
                <w:b/>
                <w:bCs/>
                <w:color w:val="000000"/>
                <w:sz w:val="20"/>
                <w:szCs w:val="20"/>
              </w:rPr>
            </w:pPr>
            <w:r>
              <w:rPr>
                <w:b/>
                <w:bCs/>
                <w:color w:val="000000"/>
                <w:sz w:val="20"/>
                <w:szCs w:val="20"/>
              </w:rPr>
              <w:t>Total</w:t>
            </w:r>
          </w:p>
        </w:tc>
        <w:tc>
          <w:tcPr>
            <w:tcW w:w="2268" w:type="dxa"/>
            <w:shd w:val="clear" w:color="auto" w:fill="auto"/>
            <w:vAlign w:val="center"/>
          </w:tcPr>
          <w:p w:rsidR="003E6588" w:rsidRDefault="00CE42F3">
            <w:pPr>
              <w:autoSpaceDE w:val="0"/>
              <w:autoSpaceDN w:val="0"/>
              <w:adjustRightInd w:val="0"/>
              <w:jc w:val="right"/>
              <w:rPr>
                <w:b/>
                <w:bCs/>
                <w:color w:val="000000"/>
                <w:sz w:val="20"/>
                <w:szCs w:val="20"/>
              </w:rPr>
            </w:pPr>
            <w:r w:rsidRPr="00CE42F3">
              <w:rPr>
                <w:b/>
                <w:bCs/>
                <w:color w:val="000000"/>
                <w:sz w:val="20"/>
                <w:szCs w:val="20"/>
              </w:rPr>
              <w:t>4.393.835,40</w:t>
            </w:r>
          </w:p>
        </w:tc>
      </w:tr>
    </w:tbl>
    <w:p w:rsidR="003E6588" w:rsidRDefault="003E6588">
      <w:pPr>
        <w:ind w:firstLine="1134"/>
        <w:jc w:val="both"/>
        <w:rPr>
          <w:bCs/>
          <w:sz w:val="16"/>
          <w:szCs w:val="16"/>
          <w:u w:val="single"/>
        </w:rPr>
      </w:pPr>
    </w:p>
    <w:p w:rsidR="003E6588" w:rsidRDefault="003E6588">
      <w:pPr>
        <w:ind w:firstLine="1134"/>
        <w:jc w:val="both"/>
        <w:rPr>
          <w:b/>
          <w:bCs/>
        </w:rPr>
      </w:pPr>
      <w:r>
        <w:rPr>
          <w:b/>
          <w:bCs/>
        </w:rPr>
        <w:t>Polícia Civil</w:t>
      </w:r>
    </w:p>
    <w:p w:rsidR="003E6588" w:rsidRPr="00B215C1" w:rsidRDefault="003E6588">
      <w:pPr>
        <w:ind w:firstLine="1134"/>
        <w:jc w:val="both"/>
        <w:rPr>
          <w:bCs/>
          <w:highlight w:val="yellow"/>
          <w:u w:val="single"/>
        </w:rPr>
      </w:pPr>
    </w:p>
    <w:tbl>
      <w:tblPr>
        <w:tblW w:w="9656" w:type="dxa"/>
        <w:jc w:val="center"/>
        <w:tblInd w:w="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70" w:type="dxa"/>
          <w:right w:w="70" w:type="dxa"/>
        </w:tblCellMar>
        <w:tblLook w:val="0000"/>
      </w:tblPr>
      <w:tblGrid>
        <w:gridCol w:w="6221"/>
        <w:gridCol w:w="1843"/>
        <w:gridCol w:w="1592"/>
      </w:tblGrid>
      <w:tr w:rsidR="003E6588" w:rsidTr="00B215C1">
        <w:trPr>
          <w:trHeight w:val="193"/>
          <w:jc w:val="center"/>
        </w:trPr>
        <w:tc>
          <w:tcPr>
            <w:tcW w:w="6221" w:type="dxa"/>
            <w:shd w:val="clear" w:color="auto" w:fill="auto"/>
            <w:noWrap/>
            <w:vAlign w:val="center"/>
          </w:tcPr>
          <w:p w:rsidR="003E6588" w:rsidRDefault="00CE42F3" w:rsidP="00642F9B">
            <w:pPr>
              <w:rPr>
                <w:b/>
                <w:color w:val="000000"/>
                <w:sz w:val="20"/>
                <w:szCs w:val="20"/>
              </w:rPr>
            </w:pPr>
            <w:r w:rsidRPr="00CE42F3">
              <w:rPr>
                <w:b/>
                <w:color w:val="000000"/>
                <w:sz w:val="20"/>
                <w:szCs w:val="20"/>
              </w:rPr>
              <w:t>ITENS</w:t>
            </w:r>
          </w:p>
        </w:tc>
        <w:tc>
          <w:tcPr>
            <w:tcW w:w="1843" w:type="dxa"/>
            <w:shd w:val="clear" w:color="auto" w:fill="auto"/>
            <w:noWrap/>
            <w:vAlign w:val="center"/>
          </w:tcPr>
          <w:p w:rsidR="003E6588" w:rsidRDefault="00CE42F3">
            <w:pPr>
              <w:rPr>
                <w:b/>
                <w:color w:val="000000"/>
                <w:sz w:val="20"/>
                <w:szCs w:val="20"/>
              </w:rPr>
            </w:pPr>
            <w:r w:rsidRPr="00CE42F3">
              <w:rPr>
                <w:b/>
                <w:color w:val="000000"/>
                <w:sz w:val="20"/>
                <w:szCs w:val="20"/>
              </w:rPr>
              <w:t>QUANTIDADE</w:t>
            </w:r>
          </w:p>
        </w:tc>
        <w:tc>
          <w:tcPr>
            <w:tcW w:w="1592" w:type="dxa"/>
            <w:shd w:val="clear" w:color="auto" w:fill="auto"/>
            <w:vAlign w:val="center"/>
          </w:tcPr>
          <w:p w:rsidR="003E6588" w:rsidRDefault="00CE42F3">
            <w:pPr>
              <w:rPr>
                <w:b/>
                <w:color w:val="000000"/>
                <w:sz w:val="20"/>
                <w:szCs w:val="20"/>
              </w:rPr>
            </w:pPr>
            <w:r w:rsidRPr="00CE42F3">
              <w:rPr>
                <w:b/>
                <w:color w:val="000000"/>
                <w:sz w:val="20"/>
                <w:szCs w:val="20"/>
              </w:rPr>
              <w:t>VALOR (R$)</w:t>
            </w:r>
          </w:p>
        </w:tc>
      </w:tr>
      <w:tr w:rsidR="003E6588" w:rsidTr="00B215C1">
        <w:trPr>
          <w:trHeight w:val="94"/>
          <w:jc w:val="center"/>
        </w:trPr>
        <w:tc>
          <w:tcPr>
            <w:tcW w:w="6221" w:type="dxa"/>
            <w:shd w:val="clear" w:color="auto" w:fill="auto"/>
            <w:noWrap/>
            <w:vAlign w:val="center"/>
          </w:tcPr>
          <w:p w:rsidR="003E6588" w:rsidRDefault="00CE42F3" w:rsidP="00B215C1">
            <w:pPr>
              <w:jc w:val="left"/>
              <w:rPr>
                <w:color w:val="000000"/>
                <w:sz w:val="20"/>
                <w:szCs w:val="20"/>
              </w:rPr>
            </w:pPr>
            <w:r w:rsidRPr="00CE42F3">
              <w:rPr>
                <w:color w:val="000000"/>
                <w:sz w:val="20"/>
                <w:szCs w:val="20"/>
              </w:rPr>
              <w:t>Veículo - Policiamento</w:t>
            </w:r>
          </w:p>
        </w:tc>
        <w:tc>
          <w:tcPr>
            <w:tcW w:w="1843" w:type="dxa"/>
            <w:shd w:val="clear" w:color="auto" w:fill="auto"/>
            <w:noWrap/>
            <w:vAlign w:val="center"/>
          </w:tcPr>
          <w:p w:rsidR="003E6588" w:rsidRDefault="00CE42F3">
            <w:pPr>
              <w:rPr>
                <w:color w:val="000000"/>
                <w:sz w:val="20"/>
                <w:szCs w:val="20"/>
              </w:rPr>
            </w:pPr>
            <w:r w:rsidRPr="00CE42F3">
              <w:rPr>
                <w:color w:val="000000"/>
                <w:sz w:val="20"/>
                <w:szCs w:val="20"/>
              </w:rPr>
              <w:t>708</w:t>
            </w:r>
          </w:p>
        </w:tc>
        <w:tc>
          <w:tcPr>
            <w:tcW w:w="1592" w:type="dxa"/>
            <w:shd w:val="clear" w:color="auto" w:fill="auto"/>
            <w:noWrap/>
            <w:vAlign w:val="center"/>
          </w:tcPr>
          <w:p w:rsidR="003E6588" w:rsidRDefault="00CE42F3" w:rsidP="00642F9B">
            <w:pPr>
              <w:jc w:val="right"/>
              <w:rPr>
                <w:color w:val="000000"/>
                <w:sz w:val="20"/>
                <w:szCs w:val="20"/>
              </w:rPr>
            </w:pPr>
            <w:r w:rsidRPr="00CE42F3">
              <w:rPr>
                <w:color w:val="000000"/>
                <w:sz w:val="20"/>
                <w:szCs w:val="20"/>
              </w:rPr>
              <w:t>48.584.600,00</w:t>
            </w:r>
          </w:p>
        </w:tc>
      </w:tr>
      <w:tr w:rsidR="003E6588" w:rsidTr="00B215C1">
        <w:trPr>
          <w:trHeight w:val="44"/>
          <w:jc w:val="center"/>
        </w:trPr>
        <w:tc>
          <w:tcPr>
            <w:tcW w:w="6221" w:type="dxa"/>
            <w:shd w:val="clear" w:color="auto" w:fill="FFFFFF"/>
            <w:noWrap/>
            <w:vAlign w:val="center"/>
          </w:tcPr>
          <w:p w:rsidR="003E6588" w:rsidRDefault="00CE42F3" w:rsidP="00B215C1">
            <w:pPr>
              <w:jc w:val="left"/>
              <w:rPr>
                <w:color w:val="000000"/>
                <w:sz w:val="20"/>
                <w:szCs w:val="20"/>
              </w:rPr>
            </w:pPr>
            <w:r w:rsidRPr="00CE42F3">
              <w:rPr>
                <w:color w:val="000000"/>
                <w:sz w:val="20"/>
                <w:szCs w:val="20"/>
              </w:rPr>
              <w:t xml:space="preserve">Equipamentos </w:t>
            </w:r>
            <w:r w:rsidR="003E6588">
              <w:rPr>
                <w:color w:val="000000"/>
                <w:sz w:val="20"/>
                <w:szCs w:val="20"/>
              </w:rPr>
              <w:t>d</w:t>
            </w:r>
            <w:r w:rsidRPr="00CE42F3">
              <w:rPr>
                <w:color w:val="000000"/>
                <w:sz w:val="20"/>
                <w:szCs w:val="20"/>
              </w:rPr>
              <w:t>e Informática Em Geral</w:t>
            </w:r>
          </w:p>
        </w:tc>
        <w:tc>
          <w:tcPr>
            <w:tcW w:w="1843" w:type="dxa"/>
            <w:shd w:val="clear" w:color="auto" w:fill="FFFFFF"/>
            <w:noWrap/>
            <w:vAlign w:val="center"/>
          </w:tcPr>
          <w:p w:rsidR="003E6588" w:rsidRDefault="00CE42F3">
            <w:pPr>
              <w:rPr>
                <w:color w:val="000000"/>
                <w:sz w:val="20"/>
                <w:szCs w:val="20"/>
              </w:rPr>
            </w:pPr>
            <w:r w:rsidRPr="00CE42F3">
              <w:rPr>
                <w:color w:val="000000"/>
                <w:sz w:val="20"/>
                <w:szCs w:val="20"/>
              </w:rPr>
              <w:t>5</w:t>
            </w:r>
            <w:r w:rsidR="003E6588">
              <w:rPr>
                <w:color w:val="000000"/>
                <w:sz w:val="20"/>
                <w:szCs w:val="20"/>
              </w:rPr>
              <w:t>.</w:t>
            </w:r>
            <w:r w:rsidRPr="00CE42F3">
              <w:rPr>
                <w:color w:val="000000"/>
                <w:sz w:val="20"/>
                <w:szCs w:val="20"/>
              </w:rPr>
              <w:t>194</w:t>
            </w:r>
          </w:p>
        </w:tc>
        <w:tc>
          <w:tcPr>
            <w:tcW w:w="1592" w:type="dxa"/>
            <w:shd w:val="clear" w:color="auto" w:fill="FFFFFF"/>
            <w:noWrap/>
            <w:vAlign w:val="center"/>
          </w:tcPr>
          <w:p w:rsidR="003E6588" w:rsidRDefault="00CE42F3" w:rsidP="00642F9B">
            <w:pPr>
              <w:jc w:val="right"/>
              <w:rPr>
                <w:color w:val="000000"/>
                <w:sz w:val="20"/>
                <w:szCs w:val="20"/>
              </w:rPr>
            </w:pPr>
            <w:r w:rsidRPr="00CE42F3">
              <w:rPr>
                <w:color w:val="000000"/>
                <w:sz w:val="20"/>
                <w:szCs w:val="20"/>
              </w:rPr>
              <w:t>7.645.773,91</w:t>
            </w:r>
          </w:p>
        </w:tc>
      </w:tr>
      <w:tr w:rsidR="003E6588" w:rsidTr="00B215C1">
        <w:trPr>
          <w:trHeight w:val="44"/>
          <w:jc w:val="center"/>
        </w:trPr>
        <w:tc>
          <w:tcPr>
            <w:tcW w:w="6221" w:type="dxa"/>
            <w:shd w:val="clear" w:color="auto" w:fill="FFFFFF"/>
            <w:noWrap/>
            <w:vAlign w:val="center"/>
          </w:tcPr>
          <w:p w:rsidR="003E6588" w:rsidRDefault="00CE42F3" w:rsidP="00B215C1">
            <w:pPr>
              <w:jc w:val="left"/>
              <w:rPr>
                <w:color w:val="000000"/>
                <w:sz w:val="20"/>
                <w:szCs w:val="20"/>
              </w:rPr>
            </w:pPr>
            <w:r w:rsidRPr="00CE42F3">
              <w:rPr>
                <w:color w:val="000000"/>
                <w:sz w:val="20"/>
                <w:szCs w:val="20"/>
              </w:rPr>
              <w:t xml:space="preserve">Mobiliário </w:t>
            </w:r>
            <w:r w:rsidR="003E6588" w:rsidRPr="00642F9B">
              <w:rPr>
                <w:color w:val="000000"/>
                <w:sz w:val="20"/>
                <w:szCs w:val="20"/>
              </w:rPr>
              <w:t xml:space="preserve">em </w:t>
            </w:r>
            <w:r w:rsidRPr="00CE42F3">
              <w:rPr>
                <w:color w:val="000000"/>
                <w:sz w:val="20"/>
                <w:szCs w:val="20"/>
              </w:rPr>
              <w:t>Geral</w:t>
            </w:r>
          </w:p>
        </w:tc>
        <w:tc>
          <w:tcPr>
            <w:tcW w:w="1843" w:type="dxa"/>
            <w:shd w:val="clear" w:color="auto" w:fill="FFFFFF"/>
            <w:noWrap/>
            <w:vAlign w:val="center"/>
          </w:tcPr>
          <w:p w:rsidR="003E6588" w:rsidRDefault="00CE42F3">
            <w:pPr>
              <w:rPr>
                <w:color w:val="000000"/>
                <w:sz w:val="20"/>
                <w:szCs w:val="20"/>
              </w:rPr>
            </w:pPr>
            <w:r w:rsidRPr="00CE42F3">
              <w:rPr>
                <w:color w:val="000000"/>
                <w:sz w:val="20"/>
                <w:szCs w:val="20"/>
              </w:rPr>
              <w:t>17</w:t>
            </w:r>
            <w:r w:rsidR="003E6588">
              <w:rPr>
                <w:color w:val="000000"/>
                <w:sz w:val="20"/>
                <w:szCs w:val="20"/>
              </w:rPr>
              <w:t>.</w:t>
            </w:r>
            <w:r w:rsidRPr="00CE42F3">
              <w:rPr>
                <w:color w:val="000000"/>
                <w:sz w:val="20"/>
                <w:szCs w:val="20"/>
              </w:rPr>
              <w:t>978</w:t>
            </w:r>
          </w:p>
        </w:tc>
        <w:tc>
          <w:tcPr>
            <w:tcW w:w="1592" w:type="dxa"/>
            <w:shd w:val="clear" w:color="auto" w:fill="FFFFFF"/>
            <w:noWrap/>
            <w:vAlign w:val="center"/>
          </w:tcPr>
          <w:p w:rsidR="003E6588" w:rsidRDefault="00CE42F3" w:rsidP="00642F9B">
            <w:pPr>
              <w:jc w:val="right"/>
              <w:rPr>
                <w:color w:val="000000"/>
                <w:sz w:val="20"/>
                <w:szCs w:val="20"/>
              </w:rPr>
            </w:pPr>
            <w:r w:rsidRPr="00CE42F3">
              <w:rPr>
                <w:color w:val="000000"/>
                <w:sz w:val="20"/>
                <w:szCs w:val="20"/>
              </w:rPr>
              <w:t>7.655.666,36</w:t>
            </w:r>
          </w:p>
        </w:tc>
      </w:tr>
      <w:tr w:rsidR="003E6588" w:rsidTr="00B215C1">
        <w:trPr>
          <w:trHeight w:val="90"/>
          <w:jc w:val="center"/>
        </w:trPr>
        <w:tc>
          <w:tcPr>
            <w:tcW w:w="6221" w:type="dxa"/>
            <w:shd w:val="clear" w:color="auto" w:fill="FFFFFF"/>
            <w:noWrap/>
            <w:vAlign w:val="center"/>
          </w:tcPr>
          <w:p w:rsidR="003E6588" w:rsidRDefault="00CE42F3" w:rsidP="00B215C1">
            <w:pPr>
              <w:jc w:val="left"/>
              <w:rPr>
                <w:color w:val="000000"/>
                <w:sz w:val="20"/>
                <w:szCs w:val="20"/>
              </w:rPr>
            </w:pPr>
            <w:r w:rsidRPr="00CE42F3">
              <w:rPr>
                <w:color w:val="000000"/>
                <w:sz w:val="20"/>
                <w:szCs w:val="20"/>
              </w:rPr>
              <w:t xml:space="preserve">Equipamentos </w:t>
            </w:r>
            <w:r w:rsidR="003E6588" w:rsidRPr="00642F9B">
              <w:rPr>
                <w:color w:val="000000"/>
                <w:sz w:val="20"/>
                <w:szCs w:val="20"/>
              </w:rPr>
              <w:t xml:space="preserve">e </w:t>
            </w:r>
            <w:r w:rsidRPr="00CE42F3">
              <w:rPr>
                <w:color w:val="000000"/>
                <w:sz w:val="20"/>
                <w:szCs w:val="20"/>
              </w:rPr>
              <w:t>Material Permanente</w:t>
            </w:r>
          </w:p>
        </w:tc>
        <w:tc>
          <w:tcPr>
            <w:tcW w:w="1843" w:type="dxa"/>
            <w:shd w:val="clear" w:color="auto" w:fill="FFFFFF"/>
            <w:noWrap/>
            <w:vAlign w:val="center"/>
          </w:tcPr>
          <w:p w:rsidR="003E6588" w:rsidRDefault="00CE42F3">
            <w:pPr>
              <w:rPr>
                <w:color w:val="000000"/>
                <w:sz w:val="20"/>
                <w:szCs w:val="20"/>
              </w:rPr>
            </w:pPr>
            <w:r w:rsidRPr="00CE42F3">
              <w:rPr>
                <w:color w:val="000000"/>
                <w:sz w:val="20"/>
                <w:szCs w:val="20"/>
              </w:rPr>
              <w:t>8</w:t>
            </w:r>
            <w:r w:rsidR="003E6588">
              <w:rPr>
                <w:color w:val="000000"/>
                <w:sz w:val="20"/>
                <w:szCs w:val="20"/>
              </w:rPr>
              <w:t>.</w:t>
            </w:r>
            <w:r w:rsidRPr="00CE42F3">
              <w:rPr>
                <w:color w:val="000000"/>
                <w:sz w:val="20"/>
                <w:szCs w:val="20"/>
              </w:rPr>
              <w:t>900</w:t>
            </w:r>
          </w:p>
        </w:tc>
        <w:tc>
          <w:tcPr>
            <w:tcW w:w="1592" w:type="dxa"/>
            <w:shd w:val="clear" w:color="auto" w:fill="FFFFFF"/>
            <w:noWrap/>
            <w:vAlign w:val="center"/>
          </w:tcPr>
          <w:p w:rsidR="003E6588" w:rsidRDefault="00CE42F3" w:rsidP="00642F9B">
            <w:pPr>
              <w:jc w:val="right"/>
              <w:rPr>
                <w:color w:val="000000"/>
                <w:sz w:val="20"/>
                <w:szCs w:val="20"/>
              </w:rPr>
            </w:pPr>
            <w:r w:rsidRPr="00CE42F3">
              <w:rPr>
                <w:color w:val="000000"/>
                <w:sz w:val="20"/>
                <w:szCs w:val="20"/>
              </w:rPr>
              <w:t>13.422.058,68</w:t>
            </w:r>
          </w:p>
        </w:tc>
      </w:tr>
      <w:tr w:rsidR="003E6588" w:rsidTr="00B215C1">
        <w:trPr>
          <w:trHeight w:val="122"/>
          <w:jc w:val="center"/>
        </w:trPr>
        <w:tc>
          <w:tcPr>
            <w:tcW w:w="6221" w:type="dxa"/>
            <w:shd w:val="clear" w:color="auto" w:fill="FFFFFF"/>
            <w:noWrap/>
            <w:vAlign w:val="center"/>
          </w:tcPr>
          <w:p w:rsidR="003E6588" w:rsidRDefault="00CE42F3" w:rsidP="00B215C1">
            <w:pPr>
              <w:jc w:val="left"/>
              <w:rPr>
                <w:color w:val="000000"/>
                <w:sz w:val="20"/>
                <w:szCs w:val="20"/>
              </w:rPr>
            </w:pPr>
            <w:r w:rsidRPr="00CE42F3">
              <w:rPr>
                <w:color w:val="000000"/>
                <w:sz w:val="20"/>
                <w:szCs w:val="20"/>
              </w:rPr>
              <w:t>Armamento - Pistola .40</w:t>
            </w:r>
          </w:p>
        </w:tc>
        <w:tc>
          <w:tcPr>
            <w:tcW w:w="1843" w:type="dxa"/>
            <w:shd w:val="clear" w:color="auto" w:fill="FFFFFF"/>
            <w:noWrap/>
            <w:vAlign w:val="center"/>
          </w:tcPr>
          <w:p w:rsidR="003E6588" w:rsidRDefault="00CE42F3">
            <w:pPr>
              <w:rPr>
                <w:color w:val="000000"/>
                <w:sz w:val="20"/>
                <w:szCs w:val="20"/>
              </w:rPr>
            </w:pPr>
            <w:r w:rsidRPr="00CE42F3">
              <w:rPr>
                <w:color w:val="000000"/>
                <w:sz w:val="20"/>
                <w:szCs w:val="20"/>
              </w:rPr>
              <w:t>9</w:t>
            </w:r>
            <w:r w:rsidR="003E6588">
              <w:rPr>
                <w:color w:val="000000"/>
                <w:sz w:val="20"/>
                <w:szCs w:val="20"/>
              </w:rPr>
              <w:t>.</w:t>
            </w:r>
            <w:r w:rsidRPr="00CE42F3">
              <w:rPr>
                <w:color w:val="000000"/>
                <w:sz w:val="20"/>
                <w:szCs w:val="20"/>
              </w:rPr>
              <w:t>312</w:t>
            </w:r>
          </w:p>
        </w:tc>
        <w:tc>
          <w:tcPr>
            <w:tcW w:w="1592" w:type="dxa"/>
            <w:shd w:val="clear" w:color="auto" w:fill="FFFFFF"/>
            <w:noWrap/>
            <w:vAlign w:val="center"/>
          </w:tcPr>
          <w:p w:rsidR="003E6588" w:rsidRDefault="00CE42F3" w:rsidP="00642F9B">
            <w:pPr>
              <w:jc w:val="right"/>
              <w:rPr>
                <w:color w:val="000000"/>
                <w:sz w:val="20"/>
                <w:szCs w:val="20"/>
              </w:rPr>
            </w:pPr>
            <w:r w:rsidRPr="00CE42F3">
              <w:rPr>
                <w:color w:val="000000"/>
                <w:sz w:val="20"/>
                <w:szCs w:val="20"/>
              </w:rPr>
              <w:t>17.123.208,00</w:t>
            </w:r>
          </w:p>
        </w:tc>
      </w:tr>
      <w:tr w:rsidR="003E6588" w:rsidTr="00B215C1">
        <w:trPr>
          <w:trHeight w:val="168"/>
          <w:jc w:val="center"/>
        </w:trPr>
        <w:tc>
          <w:tcPr>
            <w:tcW w:w="6221" w:type="dxa"/>
            <w:shd w:val="clear" w:color="auto" w:fill="FFFFFF"/>
            <w:noWrap/>
            <w:vAlign w:val="center"/>
          </w:tcPr>
          <w:p w:rsidR="003E6588" w:rsidRDefault="00CE42F3" w:rsidP="00B215C1">
            <w:pPr>
              <w:jc w:val="left"/>
              <w:rPr>
                <w:color w:val="000000"/>
                <w:sz w:val="20"/>
                <w:szCs w:val="20"/>
              </w:rPr>
            </w:pPr>
            <w:r w:rsidRPr="00CE42F3">
              <w:rPr>
                <w:color w:val="000000"/>
                <w:sz w:val="20"/>
                <w:szCs w:val="20"/>
              </w:rPr>
              <w:t>Armamento - Calibre 12</w:t>
            </w:r>
          </w:p>
        </w:tc>
        <w:tc>
          <w:tcPr>
            <w:tcW w:w="1843" w:type="dxa"/>
            <w:shd w:val="clear" w:color="auto" w:fill="FFFFFF"/>
            <w:noWrap/>
            <w:vAlign w:val="center"/>
          </w:tcPr>
          <w:p w:rsidR="003E6588" w:rsidRDefault="00CE42F3">
            <w:pPr>
              <w:rPr>
                <w:color w:val="000000"/>
                <w:sz w:val="20"/>
                <w:szCs w:val="20"/>
              </w:rPr>
            </w:pPr>
            <w:r w:rsidRPr="00CE42F3">
              <w:rPr>
                <w:color w:val="000000"/>
                <w:sz w:val="20"/>
                <w:szCs w:val="20"/>
              </w:rPr>
              <w:t>2</w:t>
            </w:r>
            <w:r w:rsidR="003E6588">
              <w:rPr>
                <w:color w:val="000000"/>
                <w:sz w:val="20"/>
                <w:szCs w:val="20"/>
              </w:rPr>
              <w:t>.</w:t>
            </w:r>
            <w:r w:rsidRPr="00CE42F3">
              <w:rPr>
                <w:color w:val="000000"/>
                <w:sz w:val="20"/>
                <w:szCs w:val="20"/>
              </w:rPr>
              <w:t>000</w:t>
            </w:r>
          </w:p>
        </w:tc>
        <w:tc>
          <w:tcPr>
            <w:tcW w:w="1592" w:type="dxa"/>
            <w:shd w:val="clear" w:color="auto" w:fill="FFFFFF"/>
            <w:noWrap/>
            <w:vAlign w:val="center"/>
          </w:tcPr>
          <w:p w:rsidR="003E6588" w:rsidRDefault="00CE42F3" w:rsidP="00642F9B">
            <w:pPr>
              <w:jc w:val="right"/>
              <w:rPr>
                <w:color w:val="000000"/>
                <w:sz w:val="20"/>
                <w:szCs w:val="20"/>
              </w:rPr>
            </w:pPr>
            <w:r w:rsidRPr="00CE42F3">
              <w:rPr>
                <w:color w:val="000000"/>
                <w:sz w:val="20"/>
                <w:szCs w:val="20"/>
              </w:rPr>
              <w:t>2.400.000,00</w:t>
            </w:r>
          </w:p>
        </w:tc>
      </w:tr>
      <w:tr w:rsidR="003E6588" w:rsidTr="00B215C1">
        <w:trPr>
          <w:trHeight w:val="213"/>
          <w:jc w:val="center"/>
        </w:trPr>
        <w:tc>
          <w:tcPr>
            <w:tcW w:w="6221" w:type="dxa"/>
            <w:shd w:val="clear" w:color="auto" w:fill="FFFFFF"/>
            <w:noWrap/>
            <w:vAlign w:val="center"/>
          </w:tcPr>
          <w:p w:rsidR="003E6588" w:rsidRDefault="00CE42F3" w:rsidP="00B215C1">
            <w:pPr>
              <w:jc w:val="left"/>
              <w:rPr>
                <w:color w:val="000000"/>
                <w:sz w:val="20"/>
                <w:szCs w:val="20"/>
              </w:rPr>
            </w:pPr>
            <w:r w:rsidRPr="00CE42F3">
              <w:rPr>
                <w:color w:val="000000"/>
                <w:sz w:val="20"/>
                <w:szCs w:val="20"/>
              </w:rPr>
              <w:t xml:space="preserve">Sistema Digital </w:t>
            </w:r>
            <w:r w:rsidR="003E6588" w:rsidRPr="00642F9B">
              <w:rPr>
                <w:color w:val="000000"/>
                <w:sz w:val="20"/>
                <w:szCs w:val="20"/>
              </w:rPr>
              <w:t xml:space="preserve">de </w:t>
            </w:r>
            <w:r w:rsidRPr="00CE42F3">
              <w:rPr>
                <w:color w:val="000000"/>
                <w:sz w:val="20"/>
                <w:szCs w:val="20"/>
              </w:rPr>
              <w:t>Radiocomunicação Deinter 2 Campinas - Equipamentos</w:t>
            </w:r>
          </w:p>
        </w:tc>
        <w:tc>
          <w:tcPr>
            <w:tcW w:w="1843" w:type="dxa"/>
            <w:shd w:val="clear" w:color="auto" w:fill="FFFFFF"/>
            <w:noWrap/>
            <w:vAlign w:val="center"/>
          </w:tcPr>
          <w:p w:rsidR="003E6588" w:rsidRDefault="00CE42F3">
            <w:pPr>
              <w:rPr>
                <w:color w:val="000000"/>
                <w:sz w:val="20"/>
                <w:szCs w:val="20"/>
              </w:rPr>
            </w:pPr>
            <w:r w:rsidRPr="00CE42F3">
              <w:rPr>
                <w:color w:val="000000"/>
                <w:sz w:val="20"/>
                <w:szCs w:val="20"/>
              </w:rPr>
              <w:t>-</w:t>
            </w:r>
          </w:p>
        </w:tc>
        <w:tc>
          <w:tcPr>
            <w:tcW w:w="1592" w:type="dxa"/>
            <w:shd w:val="clear" w:color="auto" w:fill="FFFFFF"/>
            <w:noWrap/>
            <w:vAlign w:val="center"/>
          </w:tcPr>
          <w:p w:rsidR="003E6588" w:rsidRDefault="00CE42F3" w:rsidP="00642F9B">
            <w:pPr>
              <w:jc w:val="right"/>
              <w:rPr>
                <w:color w:val="000000"/>
                <w:sz w:val="20"/>
                <w:szCs w:val="20"/>
              </w:rPr>
            </w:pPr>
            <w:r w:rsidRPr="00CE42F3">
              <w:rPr>
                <w:color w:val="000000"/>
                <w:sz w:val="20"/>
                <w:szCs w:val="20"/>
              </w:rPr>
              <w:t>11.940.513,56</w:t>
            </w:r>
          </w:p>
        </w:tc>
      </w:tr>
      <w:tr w:rsidR="003E6588" w:rsidTr="00B215C1">
        <w:trPr>
          <w:trHeight w:val="164"/>
          <w:jc w:val="center"/>
        </w:trPr>
        <w:tc>
          <w:tcPr>
            <w:tcW w:w="6221" w:type="dxa"/>
            <w:shd w:val="clear" w:color="auto" w:fill="auto"/>
            <w:noWrap/>
            <w:vAlign w:val="center"/>
          </w:tcPr>
          <w:p w:rsidR="003E6588" w:rsidRDefault="00CE42F3">
            <w:pPr>
              <w:rPr>
                <w:b/>
                <w:color w:val="000000"/>
                <w:sz w:val="20"/>
                <w:szCs w:val="20"/>
              </w:rPr>
            </w:pPr>
            <w:r w:rsidRPr="00CE42F3">
              <w:rPr>
                <w:b/>
                <w:color w:val="000000"/>
                <w:sz w:val="20"/>
                <w:szCs w:val="20"/>
              </w:rPr>
              <w:t>TOTAL INVESTIMENTOS</w:t>
            </w:r>
          </w:p>
        </w:tc>
        <w:tc>
          <w:tcPr>
            <w:tcW w:w="1843" w:type="dxa"/>
            <w:shd w:val="clear" w:color="auto" w:fill="auto"/>
            <w:noWrap/>
            <w:vAlign w:val="center"/>
          </w:tcPr>
          <w:p w:rsidR="003E6588" w:rsidRDefault="00CE42F3">
            <w:pPr>
              <w:rPr>
                <w:b/>
                <w:color w:val="000000"/>
                <w:sz w:val="20"/>
                <w:szCs w:val="20"/>
              </w:rPr>
            </w:pPr>
            <w:r w:rsidRPr="00CE42F3">
              <w:rPr>
                <w:b/>
                <w:color w:val="000000"/>
                <w:sz w:val="20"/>
                <w:szCs w:val="20"/>
              </w:rPr>
              <w:t>44</w:t>
            </w:r>
            <w:r w:rsidR="003E6588">
              <w:rPr>
                <w:b/>
                <w:color w:val="000000"/>
                <w:sz w:val="20"/>
                <w:szCs w:val="20"/>
              </w:rPr>
              <w:t>.</w:t>
            </w:r>
            <w:r w:rsidRPr="00CE42F3">
              <w:rPr>
                <w:b/>
                <w:color w:val="000000"/>
                <w:sz w:val="20"/>
                <w:szCs w:val="20"/>
              </w:rPr>
              <w:t>092</w:t>
            </w:r>
          </w:p>
        </w:tc>
        <w:tc>
          <w:tcPr>
            <w:tcW w:w="1592" w:type="dxa"/>
            <w:shd w:val="clear" w:color="auto" w:fill="auto"/>
            <w:noWrap/>
            <w:vAlign w:val="center"/>
          </w:tcPr>
          <w:p w:rsidR="003E6588" w:rsidRDefault="00CE42F3" w:rsidP="00642F9B">
            <w:pPr>
              <w:jc w:val="right"/>
              <w:rPr>
                <w:b/>
                <w:color w:val="000000"/>
                <w:sz w:val="20"/>
                <w:szCs w:val="20"/>
              </w:rPr>
            </w:pPr>
            <w:r w:rsidRPr="00CE42F3">
              <w:rPr>
                <w:b/>
                <w:color w:val="000000"/>
                <w:sz w:val="20"/>
                <w:szCs w:val="20"/>
              </w:rPr>
              <w:t>108.771.820,51</w:t>
            </w:r>
          </w:p>
        </w:tc>
      </w:tr>
    </w:tbl>
    <w:p w:rsidR="003E6588" w:rsidRDefault="003E6588">
      <w:pPr>
        <w:ind w:firstLine="1134"/>
        <w:jc w:val="both"/>
        <w:rPr>
          <w:bCs/>
          <w:highlight w:val="yellow"/>
          <w:u w:val="single"/>
        </w:rPr>
      </w:pPr>
    </w:p>
    <w:tbl>
      <w:tblPr>
        <w:tblW w:w="0" w:type="auto"/>
        <w:tblInd w:w="1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5947"/>
        <w:gridCol w:w="2156"/>
      </w:tblGrid>
      <w:tr w:rsidR="003E6588" w:rsidTr="00B215C1">
        <w:tc>
          <w:tcPr>
            <w:tcW w:w="8103" w:type="dxa"/>
            <w:gridSpan w:val="2"/>
            <w:shd w:val="clear" w:color="auto" w:fill="auto"/>
          </w:tcPr>
          <w:p w:rsidR="003E6588" w:rsidRDefault="003E6588">
            <w:pPr>
              <w:tabs>
                <w:tab w:val="left" w:pos="0"/>
              </w:tabs>
              <w:rPr>
                <w:b/>
                <w:color w:val="000000"/>
                <w:sz w:val="20"/>
                <w:szCs w:val="20"/>
              </w:rPr>
            </w:pPr>
            <w:r>
              <w:rPr>
                <w:b/>
                <w:color w:val="000000"/>
                <w:sz w:val="20"/>
                <w:szCs w:val="20"/>
              </w:rPr>
              <w:t>Veículos - Investigação, Administrativo</w:t>
            </w:r>
          </w:p>
        </w:tc>
      </w:tr>
      <w:tr w:rsidR="003E6588" w:rsidTr="00B215C1">
        <w:tc>
          <w:tcPr>
            <w:tcW w:w="5947" w:type="dxa"/>
            <w:shd w:val="clear" w:color="auto" w:fill="auto"/>
          </w:tcPr>
          <w:p w:rsidR="00CB0DF8" w:rsidRDefault="00CE42F3">
            <w:pPr>
              <w:jc w:val="left"/>
              <w:rPr>
                <w:color w:val="000000"/>
                <w:sz w:val="20"/>
                <w:szCs w:val="20"/>
              </w:rPr>
            </w:pPr>
            <w:r w:rsidRPr="00CE42F3">
              <w:rPr>
                <w:i/>
                <w:color w:val="000000"/>
                <w:sz w:val="20"/>
                <w:szCs w:val="20"/>
              </w:rPr>
              <w:t>Renault</w:t>
            </w:r>
            <w:r w:rsidRPr="00CE42F3">
              <w:rPr>
                <w:color w:val="000000"/>
                <w:sz w:val="20"/>
                <w:szCs w:val="20"/>
              </w:rPr>
              <w:t xml:space="preserve"> - </w:t>
            </w:r>
            <w:r w:rsidRPr="00CE42F3">
              <w:rPr>
                <w:i/>
                <w:color w:val="000000"/>
                <w:sz w:val="20"/>
                <w:szCs w:val="20"/>
              </w:rPr>
              <w:t xml:space="preserve">Fluence </w:t>
            </w:r>
            <w:r w:rsidRPr="00CE42F3">
              <w:rPr>
                <w:color w:val="000000"/>
                <w:sz w:val="20"/>
                <w:szCs w:val="20"/>
              </w:rPr>
              <w:t>2.0</w:t>
            </w:r>
          </w:p>
        </w:tc>
        <w:tc>
          <w:tcPr>
            <w:tcW w:w="2156" w:type="dxa"/>
            <w:shd w:val="clear" w:color="auto" w:fill="auto"/>
          </w:tcPr>
          <w:p w:rsidR="003E6588" w:rsidRDefault="00CE42F3">
            <w:pPr>
              <w:tabs>
                <w:tab w:val="left" w:pos="0"/>
                <w:tab w:val="left" w:pos="59"/>
              </w:tabs>
              <w:jc w:val="right"/>
              <w:rPr>
                <w:color w:val="000000"/>
                <w:sz w:val="20"/>
                <w:szCs w:val="20"/>
              </w:rPr>
            </w:pPr>
            <w:r w:rsidRPr="00CE42F3">
              <w:rPr>
                <w:color w:val="000000"/>
                <w:sz w:val="20"/>
                <w:szCs w:val="20"/>
              </w:rPr>
              <w:t>R$ 1.678.400,00</w:t>
            </w:r>
          </w:p>
        </w:tc>
      </w:tr>
      <w:tr w:rsidR="003E6588" w:rsidTr="00B215C1">
        <w:tc>
          <w:tcPr>
            <w:tcW w:w="5947" w:type="dxa"/>
            <w:shd w:val="clear" w:color="auto" w:fill="auto"/>
          </w:tcPr>
          <w:p w:rsidR="00CB0DF8" w:rsidRDefault="00CE42F3">
            <w:pPr>
              <w:jc w:val="left"/>
              <w:rPr>
                <w:color w:val="000000"/>
                <w:sz w:val="20"/>
                <w:szCs w:val="20"/>
              </w:rPr>
            </w:pPr>
            <w:r w:rsidRPr="00CE42F3">
              <w:rPr>
                <w:color w:val="000000"/>
                <w:sz w:val="20"/>
                <w:szCs w:val="20"/>
              </w:rPr>
              <w:t xml:space="preserve">Fiat </w:t>
            </w:r>
            <w:r w:rsidR="003E6588">
              <w:rPr>
                <w:color w:val="000000"/>
                <w:sz w:val="20"/>
                <w:szCs w:val="20"/>
              </w:rPr>
              <w:t>-</w:t>
            </w:r>
            <w:r w:rsidRPr="00CE42F3">
              <w:rPr>
                <w:color w:val="000000"/>
                <w:sz w:val="20"/>
                <w:szCs w:val="20"/>
              </w:rPr>
              <w:t xml:space="preserve"> Palio </w:t>
            </w:r>
            <w:r w:rsidRPr="00CE42F3">
              <w:rPr>
                <w:i/>
                <w:color w:val="000000"/>
                <w:sz w:val="20"/>
                <w:szCs w:val="20"/>
              </w:rPr>
              <w:t xml:space="preserve">Weekend </w:t>
            </w:r>
            <w:r w:rsidRPr="00CE42F3">
              <w:rPr>
                <w:color w:val="000000"/>
                <w:sz w:val="20"/>
                <w:szCs w:val="20"/>
              </w:rPr>
              <w:t>1.6</w:t>
            </w:r>
          </w:p>
        </w:tc>
        <w:tc>
          <w:tcPr>
            <w:tcW w:w="2156" w:type="dxa"/>
            <w:shd w:val="clear" w:color="auto" w:fill="auto"/>
          </w:tcPr>
          <w:p w:rsidR="003E6588" w:rsidRDefault="00CE42F3">
            <w:pPr>
              <w:tabs>
                <w:tab w:val="left" w:pos="0"/>
                <w:tab w:val="left" w:pos="59"/>
              </w:tabs>
              <w:jc w:val="right"/>
              <w:rPr>
                <w:color w:val="000000"/>
                <w:sz w:val="20"/>
                <w:szCs w:val="20"/>
              </w:rPr>
            </w:pPr>
            <w:r w:rsidRPr="00CE42F3">
              <w:rPr>
                <w:color w:val="000000"/>
                <w:sz w:val="20"/>
                <w:szCs w:val="20"/>
              </w:rPr>
              <w:t>R$ 16.260.000,00</w:t>
            </w:r>
          </w:p>
        </w:tc>
      </w:tr>
      <w:tr w:rsidR="003E6588" w:rsidTr="00B215C1">
        <w:tc>
          <w:tcPr>
            <w:tcW w:w="5947" w:type="dxa"/>
            <w:shd w:val="clear" w:color="auto" w:fill="auto"/>
          </w:tcPr>
          <w:p w:rsidR="00CB0DF8" w:rsidRDefault="00CE42F3">
            <w:pPr>
              <w:jc w:val="left"/>
              <w:rPr>
                <w:color w:val="000000"/>
                <w:sz w:val="20"/>
                <w:szCs w:val="20"/>
              </w:rPr>
            </w:pPr>
            <w:r w:rsidRPr="00CE42F3">
              <w:rPr>
                <w:color w:val="000000"/>
                <w:sz w:val="20"/>
                <w:szCs w:val="20"/>
              </w:rPr>
              <w:t xml:space="preserve">GM </w:t>
            </w:r>
            <w:r w:rsidR="003E6588">
              <w:rPr>
                <w:color w:val="000000"/>
                <w:sz w:val="20"/>
                <w:szCs w:val="20"/>
              </w:rPr>
              <w:t>-</w:t>
            </w:r>
            <w:r w:rsidRPr="00CE42F3">
              <w:rPr>
                <w:color w:val="000000"/>
                <w:sz w:val="20"/>
                <w:szCs w:val="20"/>
              </w:rPr>
              <w:t xml:space="preserve"> S-10</w:t>
            </w:r>
          </w:p>
        </w:tc>
        <w:tc>
          <w:tcPr>
            <w:tcW w:w="2156" w:type="dxa"/>
            <w:shd w:val="clear" w:color="auto" w:fill="auto"/>
          </w:tcPr>
          <w:p w:rsidR="003E6588" w:rsidRDefault="00CE42F3">
            <w:pPr>
              <w:tabs>
                <w:tab w:val="left" w:pos="0"/>
                <w:tab w:val="left" w:pos="59"/>
              </w:tabs>
              <w:jc w:val="right"/>
              <w:rPr>
                <w:color w:val="000000"/>
                <w:sz w:val="20"/>
                <w:szCs w:val="20"/>
              </w:rPr>
            </w:pPr>
            <w:r w:rsidRPr="00CE42F3">
              <w:rPr>
                <w:color w:val="000000"/>
                <w:sz w:val="20"/>
                <w:szCs w:val="20"/>
              </w:rPr>
              <w:t>R$ 8.520.000,00</w:t>
            </w:r>
          </w:p>
        </w:tc>
      </w:tr>
      <w:tr w:rsidR="003E6588" w:rsidTr="00B215C1">
        <w:tc>
          <w:tcPr>
            <w:tcW w:w="5947" w:type="dxa"/>
            <w:shd w:val="clear" w:color="auto" w:fill="auto"/>
          </w:tcPr>
          <w:p w:rsidR="00CB0DF8" w:rsidRDefault="00CE42F3">
            <w:pPr>
              <w:jc w:val="left"/>
              <w:rPr>
                <w:color w:val="000000"/>
                <w:sz w:val="20"/>
                <w:szCs w:val="20"/>
              </w:rPr>
            </w:pPr>
            <w:r w:rsidRPr="00CE42F3">
              <w:rPr>
                <w:color w:val="000000"/>
                <w:sz w:val="20"/>
                <w:szCs w:val="20"/>
              </w:rPr>
              <w:t xml:space="preserve">GM </w:t>
            </w:r>
            <w:r w:rsidR="003E6588">
              <w:rPr>
                <w:color w:val="000000"/>
                <w:sz w:val="20"/>
                <w:szCs w:val="20"/>
              </w:rPr>
              <w:t>-</w:t>
            </w:r>
            <w:r w:rsidRPr="00CE42F3">
              <w:rPr>
                <w:color w:val="000000"/>
                <w:sz w:val="20"/>
                <w:szCs w:val="20"/>
              </w:rPr>
              <w:t xml:space="preserve"> </w:t>
            </w:r>
            <w:r w:rsidRPr="00CE42F3">
              <w:rPr>
                <w:i/>
                <w:color w:val="000000"/>
                <w:sz w:val="20"/>
                <w:szCs w:val="20"/>
              </w:rPr>
              <w:t>Trail Blazer</w:t>
            </w:r>
          </w:p>
        </w:tc>
        <w:tc>
          <w:tcPr>
            <w:tcW w:w="2156" w:type="dxa"/>
            <w:shd w:val="clear" w:color="auto" w:fill="auto"/>
          </w:tcPr>
          <w:p w:rsidR="003E6588" w:rsidRDefault="00CE42F3">
            <w:pPr>
              <w:tabs>
                <w:tab w:val="left" w:pos="0"/>
                <w:tab w:val="left" w:pos="59"/>
              </w:tabs>
              <w:jc w:val="right"/>
              <w:rPr>
                <w:color w:val="000000"/>
                <w:sz w:val="20"/>
                <w:szCs w:val="20"/>
              </w:rPr>
            </w:pPr>
            <w:r w:rsidRPr="00CE42F3">
              <w:rPr>
                <w:color w:val="000000"/>
                <w:sz w:val="20"/>
                <w:szCs w:val="20"/>
              </w:rPr>
              <w:t>R$ 28.440.000,00</w:t>
            </w:r>
          </w:p>
        </w:tc>
      </w:tr>
      <w:tr w:rsidR="003E6588" w:rsidTr="00B215C1">
        <w:tc>
          <w:tcPr>
            <w:tcW w:w="5947" w:type="dxa"/>
            <w:shd w:val="clear" w:color="auto" w:fill="auto"/>
          </w:tcPr>
          <w:p w:rsidR="003E6588" w:rsidRDefault="00CE42F3" w:rsidP="00B215C1">
            <w:pPr>
              <w:tabs>
                <w:tab w:val="left" w:pos="0"/>
              </w:tabs>
              <w:jc w:val="left"/>
              <w:rPr>
                <w:color w:val="000000"/>
                <w:sz w:val="20"/>
                <w:szCs w:val="20"/>
              </w:rPr>
            </w:pPr>
            <w:r w:rsidRPr="00CE42F3">
              <w:rPr>
                <w:color w:val="000000"/>
                <w:sz w:val="20"/>
                <w:szCs w:val="20"/>
              </w:rPr>
              <w:t xml:space="preserve">GM </w:t>
            </w:r>
            <w:r w:rsidR="003E6588">
              <w:rPr>
                <w:color w:val="000000"/>
                <w:sz w:val="20"/>
                <w:szCs w:val="20"/>
              </w:rPr>
              <w:t>-</w:t>
            </w:r>
            <w:r w:rsidRPr="00CE42F3">
              <w:rPr>
                <w:color w:val="000000"/>
                <w:sz w:val="20"/>
                <w:szCs w:val="20"/>
              </w:rPr>
              <w:t xml:space="preserve"> </w:t>
            </w:r>
            <w:r w:rsidRPr="00CE42F3">
              <w:rPr>
                <w:i/>
                <w:color w:val="000000"/>
                <w:sz w:val="20"/>
                <w:szCs w:val="20"/>
              </w:rPr>
              <w:t xml:space="preserve">Spin </w:t>
            </w:r>
            <w:r w:rsidRPr="00CE42F3">
              <w:rPr>
                <w:color w:val="000000"/>
                <w:sz w:val="20"/>
                <w:szCs w:val="20"/>
              </w:rPr>
              <w:t>Lt 1.8</w:t>
            </w:r>
          </w:p>
        </w:tc>
        <w:tc>
          <w:tcPr>
            <w:tcW w:w="2156" w:type="dxa"/>
            <w:shd w:val="clear" w:color="auto" w:fill="auto"/>
          </w:tcPr>
          <w:p w:rsidR="003E6588" w:rsidRDefault="00CE42F3">
            <w:pPr>
              <w:tabs>
                <w:tab w:val="left" w:pos="0"/>
                <w:tab w:val="left" w:pos="59"/>
              </w:tabs>
              <w:jc w:val="right"/>
              <w:rPr>
                <w:color w:val="000000"/>
                <w:sz w:val="20"/>
                <w:szCs w:val="20"/>
              </w:rPr>
            </w:pPr>
            <w:r w:rsidRPr="00CE42F3">
              <w:rPr>
                <w:color w:val="000000"/>
                <w:sz w:val="20"/>
                <w:szCs w:val="20"/>
              </w:rPr>
              <w:t>R$ 30.501.600,00</w:t>
            </w:r>
          </w:p>
        </w:tc>
      </w:tr>
      <w:tr w:rsidR="003E6588" w:rsidTr="00B215C1">
        <w:tc>
          <w:tcPr>
            <w:tcW w:w="5947" w:type="dxa"/>
            <w:shd w:val="clear" w:color="auto" w:fill="auto"/>
          </w:tcPr>
          <w:p w:rsidR="003E6588" w:rsidRDefault="00CE42F3" w:rsidP="00B215C1">
            <w:pPr>
              <w:tabs>
                <w:tab w:val="left" w:pos="0"/>
              </w:tabs>
              <w:jc w:val="left"/>
              <w:rPr>
                <w:color w:val="000000"/>
                <w:sz w:val="20"/>
                <w:szCs w:val="20"/>
              </w:rPr>
            </w:pPr>
            <w:r w:rsidRPr="00CE42F3">
              <w:rPr>
                <w:i/>
                <w:color w:val="000000"/>
                <w:sz w:val="20"/>
                <w:szCs w:val="20"/>
              </w:rPr>
              <w:t xml:space="preserve">Mitsubishi </w:t>
            </w:r>
            <w:r w:rsidR="003E6588">
              <w:rPr>
                <w:color w:val="000000"/>
                <w:sz w:val="20"/>
                <w:szCs w:val="20"/>
              </w:rPr>
              <w:t>-</w:t>
            </w:r>
            <w:r w:rsidRPr="00CE42F3">
              <w:rPr>
                <w:color w:val="000000"/>
                <w:sz w:val="20"/>
                <w:szCs w:val="20"/>
              </w:rPr>
              <w:t xml:space="preserve"> Pajero</w:t>
            </w:r>
          </w:p>
        </w:tc>
        <w:tc>
          <w:tcPr>
            <w:tcW w:w="2156" w:type="dxa"/>
            <w:shd w:val="clear" w:color="auto" w:fill="auto"/>
          </w:tcPr>
          <w:p w:rsidR="003E6588" w:rsidRDefault="00CE42F3">
            <w:pPr>
              <w:tabs>
                <w:tab w:val="left" w:pos="0"/>
                <w:tab w:val="left" w:pos="59"/>
              </w:tabs>
              <w:jc w:val="right"/>
              <w:rPr>
                <w:color w:val="000000"/>
                <w:sz w:val="20"/>
                <w:szCs w:val="20"/>
              </w:rPr>
            </w:pPr>
            <w:r w:rsidRPr="00CE42F3">
              <w:rPr>
                <w:color w:val="000000"/>
                <w:sz w:val="20"/>
                <w:szCs w:val="20"/>
              </w:rPr>
              <w:t>R$ 18.003.000,00</w:t>
            </w:r>
          </w:p>
        </w:tc>
      </w:tr>
      <w:tr w:rsidR="003E6588" w:rsidTr="00B215C1">
        <w:tc>
          <w:tcPr>
            <w:tcW w:w="5947" w:type="dxa"/>
            <w:shd w:val="clear" w:color="auto" w:fill="auto"/>
          </w:tcPr>
          <w:p w:rsidR="003E6588" w:rsidRDefault="00CE42F3" w:rsidP="00642F9B">
            <w:pPr>
              <w:tabs>
                <w:tab w:val="left" w:pos="0"/>
              </w:tabs>
              <w:rPr>
                <w:b/>
                <w:color w:val="000000"/>
                <w:sz w:val="20"/>
                <w:szCs w:val="20"/>
              </w:rPr>
            </w:pPr>
            <w:r w:rsidRPr="00CE42F3">
              <w:rPr>
                <w:b/>
                <w:color w:val="000000"/>
                <w:sz w:val="20"/>
                <w:szCs w:val="20"/>
              </w:rPr>
              <w:t>Valor Total</w:t>
            </w:r>
          </w:p>
        </w:tc>
        <w:tc>
          <w:tcPr>
            <w:tcW w:w="2156" w:type="dxa"/>
            <w:shd w:val="clear" w:color="auto" w:fill="auto"/>
          </w:tcPr>
          <w:p w:rsidR="003E6588" w:rsidRDefault="00CE42F3" w:rsidP="00642F9B">
            <w:pPr>
              <w:tabs>
                <w:tab w:val="left" w:pos="0"/>
                <w:tab w:val="left" w:pos="59"/>
              </w:tabs>
              <w:jc w:val="right"/>
              <w:rPr>
                <w:b/>
                <w:color w:val="000000"/>
                <w:sz w:val="20"/>
                <w:szCs w:val="20"/>
              </w:rPr>
            </w:pPr>
            <w:r w:rsidRPr="00CE42F3">
              <w:rPr>
                <w:b/>
                <w:color w:val="000000"/>
                <w:sz w:val="20"/>
                <w:szCs w:val="20"/>
              </w:rPr>
              <w:t>R$ 103.403.000,00</w:t>
            </w:r>
          </w:p>
        </w:tc>
      </w:tr>
    </w:tbl>
    <w:p w:rsidR="003E6588" w:rsidRDefault="003E6588">
      <w:pPr>
        <w:ind w:firstLine="1134"/>
        <w:jc w:val="both"/>
        <w:rPr>
          <w:b/>
        </w:rPr>
      </w:pPr>
    </w:p>
    <w:p w:rsidR="003E6588" w:rsidRDefault="003E6588">
      <w:pPr>
        <w:ind w:firstLine="1134"/>
        <w:jc w:val="both"/>
      </w:pPr>
      <w:r>
        <w:rPr>
          <w:b/>
          <w:bCs/>
        </w:rPr>
        <w:lastRenderedPageBreak/>
        <w:t xml:space="preserve">Polícia Técnico-Científica - </w:t>
      </w:r>
      <w:r>
        <w:t>Foram investidos R$ 2.379.268,93 em reaparelhamentos para as unidades da SPTC, sendo:</w:t>
      </w:r>
    </w:p>
    <w:p w:rsidR="003E6588" w:rsidRDefault="003E6588">
      <w:pPr>
        <w:ind w:firstLine="1134"/>
        <w:jc w:val="both"/>
      </w:pPr>
    </w:p>
    <w:p w:rsidR="003E6588" w:rsidRDefault="003E6588">
      <w:pPr>
        <w:ind w:firstLine="1134"/>
        <w:jc w:val="both"/>
      </w:pPr>
      <w:r>
        <w:t>- R$ 35.762,00 em equipamentos de informática;</w:t>
      </w:r>
    </w:p>
    <w:p w:rsidR="003E6588" w:rsidRDefault="003E6588">
      <w:pPr>
        <w:ind w:firstLine="1134"/>
        <w:jc w:val="both"/>
      </w:pPr>
    </w:p>
    <w:p w:rsidR="003E6588" w:rsidRDefault="003E6588">
      <w:pPr>
        <w:ind w:firstLine="1134"/>
        <w:jc w:val="both"/>
      </w:pPr>
      <w:r>
        <w:t>- R$ 514.484,47  em 1.214 mobiliários;</w:t>
      </w:r>
    </w:p>
    <w:p w:rsidR="003E6588" w:rsidRDefault="003E6588">
      <w:pPr>
        <w:ind w:firstLine="1134"/>
        <w:jc w:val="both"/>
      </w:pPr>
    </w:p>
    <w:p w:rsidR="003E6588" w:rsidRDefault="003E6588">
      <w:pPr>
        <w:ind w:firstLine="1134"/>
        <w:jc w:val="both"/>
      </w:pPr>
      <w:r>
        <w:t>- R$ 202.537,39 em 907 equipamentos diversos, e;</w:t>
      </w:r>
    </w:p>
    <w:p w:rsidR="003E6588" w:rsidRDefault="003E6588">
      <w:pPr>
        <w:ind w:firstLine="1134"/>
        <w:jc w:val="both"/>
      </w:pPr>
    </w:p>
    <w:p w:rsidR="003E6588" w:rsidRDefault="003E6588">
      <w:pPr>
        <w:ind w:firstLine="1134"/>
        <w:jc w:val="both"/>
      </w:pPr>
      <w:r>
        <w:t>- R$ 1.626.121,07  em equipamentos médico-hospitalares.</w:t>
      </w:r>
    </w:p>
    <w:p w:rsidR="003E6588" w:rsidRDefault="003E6588">
      <w:pPr>
        <w:ind w:left="357" w:firstLine="1061"/>
        <w:jc w:val="both"/>
      </w:pPr>
    </w:p>
    <w:p w:rsidR="00CB0DF8" w:rsidRDefault="003E6588">
      <w:pPr>
        <w:ind w:firstLine="1134"/>
        <w:jc w:val="both"/>
      </w:pPr>
      <w:r>
        <w:t>Os equipamentos adquiridos mais relevantes foram:</w:t>
      </w:r>
    </w:p>
    <w:p w:rsidR="003E6588" w:rsidRDefault="003E6588">
      <w:pPr>
        <w:ind w:firstLine="1134"/>
        <w:jc w:val="both"/>
      </w:pPr>
    </w:p>
    <w:tbl>
      <w:tblPr>
        <w:tblW w:w="0" w:type="auto"/>
        <w:jc w:val="center"/>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6836"/>
        <w:gridCol w:w="1276"/>
        <w:gridCol w:w="1640"/>
      </w:tblGrid>
      <w:tr w:rsidR="003E6588" w:rsidTr="00B215C1">
        <w:trPr>
          <w:trHeight w:val="86"/>
          <w:jc w:val="center"/>
        </w:trPr>
        <w:tc>
          <w:tcPr>
            <w:tcW w:w="6836" w:type="dxa"/>
            <w:shd w:val="clear" w:color="auto" w:fill="auto"/>
            <w:vAlign w:val="bottom"/>
          </w:tcPr>
          <w:p w:rsidR="003E6588" w:rsidRDefault="003E6588">
            <w:pPr>
              <w:autoSpaceDE w:val="0"/>
              <w:autoSpaceDN w:val="0"/>
              <w:adjustRightInd w:val="0"/>
              <w:rPr>
                <w:b/>
                <w:bCs/>
                <w:color w:val="000000"/>
                <w:sz w:val="20"/>
                <w:szCs w:val="20"/>
              </w:rPr>
            </w:pPr>
            <w:r>
              <w:rPr>
                <w:b/>
                <w:bCs/>
                <w:color w:val="000000"/>
                <w:sz w:val="20"/>
                <w:szCs w:val="20"/>
              </w:rPr>
              <w:t>Nome Material</w:t>
            </w:r>
          </w:p>
        </w:tc>
        <w:tc>
          <w:tcPr>
            <w:tcW w:w="1276" w:type="dxa"/>
            <w:shd w:val="clear" w:color="auto" w:fill="auto"/>
            <w:vAlign w:val="bottom"/>
          </w:tcPr>
          <w:p w:rsidR="003E6588" w:rsidRDefault="003E6588">
            <w:pPr>
              <w:autoSpaceDE w:val="0"/>
              <w:autoSpaceDN w:val="0"/>
              <w:adjustRightInd w:val="0"/>
              <w:ind w:firstLine="5"/>
              <w:rPr>
                <w:b/>
                <w:bCs/>
                <w:color w:val="000000"/>
                <w:sz w:val="20"/>
                <w:szCs w:val="20"/>
              </w:rPr>
            </w:pPr>
            <w:r>
              <w:rPr>
                <w:b/>
                <w:bCs/>
                <w:color w:val="000000"/>
                <w:sz w:val="20"/>
                <w:szCs w:val="20"/>
              </w:rPr>
              <w:t>Quantidade</w:t>
            </w:r>
          </w:p>
        </w:tc>
        <w:tc>
          <w:tcPr>
            <w:tcW w:w="1640" w:type="dxa"/>
            <w:shd w:val="clear" w:color="auto" w:fill="auto"/>
            <w:vAlign w:val="bottom"/>
          </w:tcPr>
          <w:p w:rsidR="003E6588" w:rsidRDefault="003E6588">
            <w:pPr>
              <w:autoSpaceDE w:val="0"/>
              <w:autoSpaceDN w:val="0"/>
              <w:adjustRightInd w:val="0"/>
              <w:rPr>
                <w:b/>
                <w:bCs/>
                <w:color w:val="000000"/>
                <w:sz w:val="20"/>
                <w:szCs w:val="20"/>
              </w:rPr>
            </w:pPr>
            <w:r>
              <w:rPr>
                <w:b/>
                <w:bCs/>
                <w:color w:val="000000"/>
                <w:sz w:val="20"/>
                <w:szCs w:val="20"/>
              </w:rPr>
              <w:t>Valor Total (R$)</w:t>
            </w:r>
          </w:p>
        </w:tc>
      </w:tr>
      <w:tr w:rsidR="003E6588" w:rsidTr="00B215C1">
        <w:trPr>
          <w:trHeight w:val="259"/>
          <w:jc w:val="center"/>
        </w:trPr>
        <w:tc>
          <w:tcPr>
            <w:tcW w:w="6836" w:type="dxa"/>
            <w:shd w:val="clear" w:color="auto" w:fill="FFFFFF"/>
            <w:vAlign w:val="center"/>
          </w:tcPr>
          <w:p w:rsidR="003E6588" w:rsidRDefault="003E6588" w:rsidP="00B215C1">
            <w:pPr>
              <w:autoSpaceDE w:val="0"/>
              <w:autoSpaceDN w:val="0"/>
              <w:adjustRightInd w:val="0"/>
              <w:jc w:val="left"/>
              <w:rPr>
                <w:color w:val="000000"/>
                <w:sz w:val="20"/>
                <w:szCs w:val="20"/>
              </w:rPr>
            </w:pPr>
            <w:r>
              <w:rPr>
                <w:sz w:val="20"/>
                <w:szCs w:val="20"/>
              </w:rPr>
              <w:t xml:space="preserve">Microscópios esteroscópicos trinocular para os </w:t>
            </w:r>
            <w:r w:rsidR="00CE42F3" w:rsidRPr="00CE42F3">
              <w:rPr>
                <w:sz w:val="20"/>
                <w:szCs w:val="20"/>
              </w:rPr>
              <w:t>Núcleos de Perícias Criminalísticas da Capital e do Interior</w:t>
            </w:r>
          </w:p>
        </w:tc>
        <w:tc>
          <w:tcPr>
            <w:tcW w:w="1276" w:type="dxa"/>
            <w:vAlign w:val="center"/>
          </w:tcPr>
          <w:p w:rsidR="003E6588" w:rsidRDefault="003E6588">
            <w:pPr>
              <w:autoSpaceDE w:val="0"/>
              <w:autoSpaceDN w:val="0"/>
              <w:adjustRightInd w:val="0"/>
              <w:ind w:firstLine="5"/>
              <w:rPr>
                <w:color w:val="000000"/>
                <w:sz w:val="20"/>
                <w:szCs w:val="20"/>
              </w:rPr>
            </w:pPr>
            <w:r>
              <w:rPr>
                <w:color w:val="000000"/>
                <w:sz w:val="20"/>
                <w:szCs w:val="20"/>
              </w:rPr>
              <w:t>9</w:t>
            </w:r>
          </w:p>
        </w:tc>
        <w:tc>
          <w:tcPr>
            <w:tcW w:w="1640" w:type="dxa"/>
            <w:vAlign w:val="center"/>
          </w:tcPr>
          <w:p w:rsidR="003E6588" w:rsidRDefault="003E6588">
            <w:pPr>
              <w:autoSpaceDE w:val="0"/>
              <w:autoSpaceDN w:val="0"/>
              <w:adjustRightInd w:val="0"/>
              <w:jc w:val="right"/>
              <w:rPr>
                <w:color w:val="000000"/>
                <w:sz w:val="20"/>
                <w:szCs w:val="20"/>
              </w:rPr>
            </w:pPr>
            <w:r>
              <w:rPr>
                <w:sz w:val="20"/>
                <w:szCs w:val="20"/>
              </w:rPr>
              <w:t>1.174.500,00</w:t>
            </w:r>
          </w:p>
        </w:tc>
      </w:tr>
      <w:tr w:rsidR="003E6588" w:rsidTr="00B215C1">
        <w:trPr>
          <w:trHeight w:val="259"/>
          <w:jc w:val="center"/>
        </w:trPr>
        <w:tc>
          <w:tcPr>
            <w:tcW w:w="6836" w:type="dxa"/>
            <w:shd w:val="clear" w:color="auto" w:fill="FFFFFF"/>
            <w:vAlign w:val="center"/>
          </w:tcPr>
          <w:p w:rsidR="003E6588" w:rsidRDefault="003E6588" w:rsidP="00B215C1">
            <w:pPr>
              <w:autoSpaceDE w:val="0"/>
              <w:autoSpaceDN w:val="0"/>
              <w:adjustRightInd w:val="0"/>
              <w:jc w:val="left"/>
              <w:rPr>
                <w:color w:val="000000"/>
                <w:sz w:val="20"/>
                <w:szCs w:val="20"/>
              </w:rPr>
            </w:pPr>
            <w:r>
              <w:rPr>
                <w:sz w:val="20"/>
                <w:szCs w:val="20"/>
              </w:rPr>
              <w:t>Equipamento termociclador de PCR em tempo real, para quantificação de DNA - Núcleo de Biologia e Bioquímica</w:t>
            </w:r>
          </w:p>
        </w:tc>
        <w:tc>
          <w:tcPr>
            <w:tcW w:w="1276" w:type="dxa"/>
            <w:vAlign w:val="center"/>
          </w:tcPr>
          <w:p w:rsidR="003E6588" w:rsidRDefault="003E6588">
            <w:pPr>
              <w:autoSpaceDE w:val="0"/>
              <w:autoSpaceDN w:val="0"/>
              <w:adjustRightInd w:val="0"/>
              <w:ind w:firstLine="5"/>
              <w:rPr>
                <w:color w:val="000000"/>
                <w:sz w:val="20"/>
                <w:szCs w:val="20"/>
              </w:rPr>
            </w:pPr>
            <w:r>
              <w:rPr>
                <w:color w:val="000000"/>
                <w:sz w:val="20"/>
                <w:szCs w:val="20"/>
              </w:rPr>
              <w:t>1</w:t>
            </w:r>
          </w:p>
        </w:tc>
        <w:tc>
          <w:tcPr>
            <w:tcW w:w="1640" w:type="dxa"/>
            <w:vAlign w:val="center"/>
          </w:tcPr>
          <w:p w:rsidR="003E6588" w:rsidRDefault="003E6588">
            <w:pPr>
              <w:autoSpaceDE w:val="0"/>
              <w:autoSpaceDN w:val="0"/>
              <w:adjustRightInd w:val="0"/>
              <w:jc w:val="right"/>
              <w:rPr>
                <w:color w:val="000000"/>
                <w:sz w:val="20"/>
                <w:szCs w:val="20"/>
              </w:rPr>
            </w:pPr>
            <w:r>
              <w:rPr>
                <w:sz w:val="20"/>
                <w:szCs w:val="20"/>
              </w:rPr>
              <w:t>151.642,99</w:t>
            </w:r>
          </w:p>
        </w:tc>
      </w:tr>
      <w:tr w:rsidR="003E6588" w:rsidTr="00B215C1">
        <w:trPr>
          <w:trHeight w:val="259"/>
          <w:jc w:val="center"/>
        </w:trPr>
        <w:tc>
          <w:tcPr>
            <w:tcW w:w="6836" w:type="dxa"/>
            <w:shd w:val="clear" w:color="auto" w:fill="FFFFFF"/>
            <w:vAlign w:val="center"/>
          </w:tcPr>
          <w:p w:rsidR="003E6588" w:rsidRDefault="003E6588" w:rsidP="00B215C1">
            <w:pPr>
              <w:autoSpaceDE w:val="0"/>
              <w:autoSpaceDN w:val="0"/>
              <w:adjustRightInd w:val="0"/>
              <w:jc w:val="left"/>
              <w:rPr>
                <w:color w:val="000000"/>
                <w:sz w:val="20"/>
                <w:szCs w:val="20"/>
              </w:rPr>
            </w:pPr>
            <w:r>
              <w:rPr>
                <w:sz w:val="20"/>
                <w:szCs w:val="20"/>
              </w:rPr>
              <w:t>Cofres para guarda de provas para unidades da Capital e Interior</w:t>
            </w:r>
          </w:p>
        </w:tc>
        <w:tc>
          <w:tcPr>
            <w:tcW w:w="1276" w:type="dxa"/>
            <w:vAlign w:val="center"/>
          </w:tcPr>
          <w:p w:rsidR="003E6588" w:rsidRDefault="003E6588">
            <w:pPr>
              <w:autoSpaceDE w:val="0"/>
              <w:autoSpaceDN w:val="0"/>
              <w:adjustRightInd w:val="0"/>
              <w:ind w:firstLine="5"/>
              <w:rPr>
                <w:color w:val="000000"/>
                <w:sz w:val="20"/>
                <w:szCs w:val="20"/>
              </w:rPr>
            </w:pPr>
            <w:r>
              <w:rPr>
                <w:color w:val="000000"/>
                <w:sz w:val="20"/>
                <w:szCs w:val="20"/>
              </w:rPr>
              <w:t>95</w:t>
            </w:r>
          </w:p>
        </w:tc>
        <w:tc>
          <w:tcPr>
            <w:tcW w:w="1640" w:type="dxa"/>
            <w:vAlign w:val="center"/>
          </w:tcPr>
          <w:p w:rsidR="003E6588" w:rsidRDefault="003E6588">
            <w:pPr>
              <w:autoSpaceDE w:val="0"/>
              <w:autoSpaceDN w:val="0"/>
              <w:adjustRightInd w:val="0"/>
              <w:jc w:val="right"/>
              <w:rPr>
                <w:color w:val="000000"/>
                <w:sz w:val="20"/>
                <w:szCs w:val="20"/>
              </w:rPr>
            </w:pPr>
            <w:r>
              <w:rPr>
                <w:sz w:val="20"/>
                <w:szCs w:val="20"/>
              </w:rPr>
              <w:t>115.499,99</w:t>
            </w:r>
          </w:p>
        </w:tc>
      </w:tr>
      <w:tr w:rsidR="003E6588" w:rsidTr="00B215C1">
        <w:trPr>
          <w:trHeight w:val="259"/>
          <w:jc w:val="center"/>
        </w:trPr>
        <w:tc>
          <w:tcPr>
            <w:tcW w:w="6836" w:type="dxa"/>
            <w:shd w:val="clear" w:color="auto" w:fill="FFFFFF"/>
            <w:vAlign w:val="center"/>
          </w:tcPr>
          <w:p w:rsidR="003E6588" w:rsidRDefault="003E6588" w:rsidP="00B215C1">
            <w:pPr>
              <w:autoSpaceDE w:val="0"/>
              <w:autoSpaceDN w:val="0"/>
              <w:adjustRightInd w:val="0"/>
              <w:jc w:val="left"/>
              <w:rPr>
                <w:color w:val="000000"/>
                <w:sz w:val="20"/>
                <w:szCs w:val="20"/>
              </w:rPr>
            </w:pPr>
            <w:r>
              <w:rPr>
                <w:sz w:val="20"/>
                <w:szCs w:val="20"/>
              </w:rPr>
              <w:t>Microscópio espectral luminescente para o Núcleo de Documentoscopia</w:t>
            </w:r>
          </w:p>
        </w:tc>
        <w:tc>
          <w:tcPr>
            <w:tcW w:w="1276" w:type="dxa"/>
            <w:vAlign w:val="center"/>
          </w:tcPr>
          <w:p w:rsidR="003E6588" w:rsidRDefault="003E6588">
            <w:pPr>
              <w:autoSpaceDE w:val="0"/>
              <w:autoSpaceDN w:val="0"/>
              <w:adjustRightInd w:val="0"/>
              <w:ind w:firstLine="5"/>
              <w:rPr>
                <w:color w:val="000000"/>
                <w:sz w:val="20"/>
                <w:szCs w:val="20"/>
              </w:rPr>
            </w:pPr>
            <w:r>
              <w:rPr>
                <w:color w:val="000000"/>
                <w:sz w:val="20"/>
                <w:szCs w:val="20"/>
              </w:rPr>
              <w:t>1</w:t>
            </w:r>
          </w:p>
        </w:tc>
        <w:tc>
          <w:tcPr>
            <w:tcW w:w="1640" w:type="dxa"/>
            <w:vAlign w:val="center"/>
          </w:tcPr>
          <w:p w:rsidR="003E6588" w:rsidRDefault="003E6588">
            <w:pPr>
              <w:autoSpaceDE w:val="0"/>
              <w:autoSpaceDN w:val="0"/>
              <w:adjustRightInd w:val="0"/>
              <w:jc w:val="right"/>
              <w:rPr>
                <w:color w:val="000000"/>
                <w:sz w:val="20"/>
                <w:szCs w:val="20"/>
              </w:rPr>
            </w:pPr>
            <w:r>
              <w:rPr>
                <w:sz w:val="20"/>
                <w:szCs w:val="20"/>
              </w:rPr>
              <w:t>128.000,00</w:t>
            </w:r>
          </w:p>
        </w:tc>
      </w:tr>
      <w:tr w:rsidR="003E6588" w:rsidTr="00B215C1">
        <w:trPr>
          <w:trHeight w:val="259"/>
          <w:jc w:val="center"/>
        </w:trPr>
        <w:tc>
          <w:tcPr>
            <w:tcW w:w="6836" w:type="dxa"/>
            <w:shd w:val="clear" w:color="auto" w:fill="FFFFFF"/>
            <w:vAlign w:val="center"/>
          </w:tcPr>
          <w:p w:rsidR="003E6588" w:rsidRDefault="003E6588" w:rsidP="00B215C1">
            <w:pPr>
              <w:autoSpaceDE w:val="0"/>
              <w:autoSpaceDN w:val="0"/>
              <w:adjustRightInd w:val="0"/>
              <w:jc w:val="left"/>
              <w:rPr>
                <w:color w:val="000000"/>
                <w:sz w:val="20"/>
                <w:szCs w:val="20"/>
              </w:rPr>
            </w:pPr>
            <w:r>
              <w:rPr>
                <w:sz w:val="20"/>
                <w:szCs w:val="20"/>
              </w:rPr>
              <w:t>Mobiliários para unidades da SPTC da Capital e Interior</w:t>
            </w:r>
          </w:p>
        </w:tc>
        <w:tc>
          <w:tcPr>
            <w:tcW w:w="1276" w:type="dxa"/>
            <w:vAlign w:val="center"/>
          </w:tcPr>
          <w:p w:rsidR="003E6588" w:rsidRDefault="003E6588">
            <w:pPr>
              <w:autoSpaceDE w:val="0"/>
              <w:autoSpaceDN w:val="0"/>
              <w:adjustRightInd w:val="0"/>
              <w:ind w:firstLine="5"/>
              <w:rPr>
                <w:color w:val="000000"/>
                <w:sz w:val="20"/>
                <w:szCs w:val="20"/>
              </w:rPr>
            </w:pPr>
            <w:r>
              <w:rPr>
                <w:color w:val="000000"/>
                <w:sz w:val="20"/>
                <w:szCs w:val="20"/>
              </w:rPr>
              <w:t>1.120</w:t>
            </w:r>
          </w:p>
        </w:tc>
        <w:tc>
          <w:tcPr>
            <w:tcW w:w="1640" w:type="dxa"/>
            <w:vAlign w:val="center"/>
          </w:tcPr>
          <w:p w:rsidR="003E6588" w:rsidRDefault="003E6588">
            <w:pPr>
              <w:autoSpaceDE w:val="0"/>
              <w:autoSpaceDN w:val="0"/>
              <w:adjustRightInd w:val="0"/>
              <w:jc w:val="right"/>
              <w:rPr>
                <w:color w:val="000000"/>
                <w:sz w:val="20"/>
                <w:szCs w:val="20"/>
              </w:rPr>
            </w:pPr>
            <w:r>
              <w:rPr>
                <w:sz w:val="20"/>
                <w:szCs w:val="20"/>
              </w:rPr>
              <w:t>399.348,48</w:t>
            </w:r>
          </w:p>
        </w:tc>
      </w:tr>
    </w:tbl>
    <w:p w:rsidR="003E6588" w:rsidRDefault="003E6588">
      <w:pPr>
        <w:ind w:firstLine="1134"/>
        <w:jc w:val="both"/>
        <w:rPr>
          <w:highlight w:val="yellow"/>
        </w:rPr>
      </w:pPr>
    </w:p>
    <w:p w:rsidR="003E6588" w:rsidRDefault="003E6588">
      <w:pPr>
        <w:ind w:firstLine="1134"/>
        <w:jc w:val="both"/>
        <w:rPr>
          <w:b/>
        </w:rPr>
      </w:pPr>
      <w:r>
        <w:rPr>
          <w:b/>
        </w:rPr>
        <w:t>Sistemas e Tecnologia</w:t>
      </w:r>
    </w:p>
    <w:p w:rsidR="003E6588" w:rsidRPr="00FE655E" w:rsidRDefault="003E6588" w:rsidP="00B215C1">
      <w:pPr>
        <w:jc w:val="both"/>
        <w:rPr>
          <w:bCs/>
          <w:sz w:val="16"/>
          <w:szCs w:val="16"/>
          <w:u w:val="single"/>
          <w:shd w:val="clear" w:color="auto" w:fill="FFFFFF"/>
        </w:rPr>
      </w:pPr>
    </w:p>
    <w:p w:rsidR="003E6588" w:rsidRDefault="00CE42F3" w:rsidP="00B215C1">
      <w:pPr>
        <w:autoSpaceDE w:val="0"/>
        <w:autoSpaceDN w:val="0"/>
        <w:adjustRightInd w:val="0"/>
        <w:ind w:firstLine="1134"/>
        <w:jc w:val="both"/>
        <w:rPr>
          <w:b/>
          <w:bCs/>
          <w:color w:val="000000"/>
        </w:rPr>
      </w:pPr>
      <w:r w:rsidRPr="00CE42F3">
        <w:rPr>
          <w:b/>
          <w:bCs/>
          <w:color w:val="000000"/>
        </w:rPr>
        <w:t>Bombeiros</w:t>
      </w:r>
    </w:p>
    <w:p w:rsidR="003E6588" w:rsidRDefault="003E6588" w:rsidP="00B215C1">
      <w:pPr>
        <w:autoSpaceDE w:val="0"/>
        <w:autoSpaceDN w:val="0"/>
        <w:adjustRightInd w:val="0"/>
        <w:ind w:firstLine="1134"/>
        <w:jc w:val="both"/>
        <w:rPr>
          <w:b/>
          <w:bCs/>
          <w:color w:val="000000"/>
        </w:rPr>
      </w:pPr>
    </w:p>
    <w:p w:rsidR="003E6588" w:rsidRDefault="00CE42F3" w:rsidP="00B215C1">
      <w:pPr>
        <w:autoSpaceDE w:val="0"/>
        <w:autoSpaceDN w:val="0"/>
        <w:adjustRightInd w:val="0"/>
        <w:ind w:firstLine="1134"/>
        <w:jc w:val="both"/>
        <w:rPr>
          <w:bCs/>
          <w:color w:val="000000"/>
        </w:rPr>
      </w:pPr>
      <w:r w:rsidRPr="00CE42F3">
        <w:rPr>
          <w:b/>
          <w:bCs/>
          <w:color w:val="000000"/>
        </w:rPr>
        <w:t>Principais aquisições</w:t>
      </w:r>
      <w:r w:rsidRPr="00CE42F3">
        <w:rPr>
          <w:bCs/>
          <w:color w:val="000000"/>
        </w:rPr>
        <w:t>/projetos de TI iniciados ou concluídos</w:t>
      </w:r>
    </w:p>
    <w:p w:rsidR="003E6588" w:rsidRDefault="003E6588">
      <w:pPr>
        <w:autoSpaceDE w:val="0"/>
        <w:autoSpaceDN w:val="0"/>
        <w:adjustRightInd w:val="0"/>
        <w:rPr>
          <w:bCs/>
          <w:color w:val="000000"/>
        </w:rPr>
      </w:pPr>
    </w:p>
    <w:tbl>
      <w:tblPr>
        <w:tblW w:w="0" w:type="auto"/>
        <w:jc w:val="center"/>
        <w:tblInd w:w="40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2778"/>
        <w:gridCol w:w="1180"/>
        <w:gridCol w:w="2102"/>
      </w:tblGrid>
      <w:tr w:rsidR="003E6588" w:rsidTr="00B215C1">
        <w:trPr>
          <w:trHeight w:val="99"/>
          <w:jc w:val="center"/>
        </w:trPr>
        <w:tc>
          <w:tcPr>
            <w:tcW w:w="2778" w:type="dxa"/>
            <w:shd w:val="clear" w:color="auto" w:fill="auto"/>
            <w:vAlign w:val="bottom"/>
          </w:tcPr>
          <w:p w:rsidR="003E6588" w:rsidRDefault="003E6588">
            <w:pPr>
              <w:autoSpaceDE w:val="0"/>
              <w:autoSpaceDN w:val="0"/>
              <w:adjustRightInd w:val="0"/>
              <w:rPr>
                <w:rFonts w:cs="Segoe UI"/>
                <w:b/>
                <w:bCs/>
                <w:color w:val="000000"/>
                <w:sz w:val="20"/>
                <w:szCs w:val="20"/>
              </w:rPr>
            </w:pPr>
            <w:r>
              <w:rPr>
                <w:rFonts w:cs="Segoe UI"/>
                <w:b/>
                <w:bCs/>
                <w:color w:val="000000"/>
                <w:sz w:val="20"/>
                <w:szCs w:val="20"/>
              </w:rPr>
              <w:t>Nome Material</w:t>
            </w:r>
          </w:p>
        </w:tc>
        <w:tc>
          <w:tcPr>
            <w:tcW w:w="1180" w:type="dxa"/>
            <w:shd w:val="clear" w:color="auto" w:fill="auto"/>
            <w:vAlign w:val="bottom"/>
          </w:tcPr>
          <w:p w:rsidR="003E6588" w:rsidRDefault="003E6588">
            <w:pPr>
              <w:autoSpaceDE w:val="0"/>
              <w:autoSpaceDN w:val="0"/>
              <w:adjustRightInd w:val="0"/>
              <w:rPr>
                <w:rFonts w:cs="Segoe UI"/>
                <w:b/>
                <w:bCs/>
                <w:color w:val="000000"/>
                <w:sz w:val="20"/>
                <w:szCs w:val="20"/>
              </w:rPr>
            </w:pPr>
            <w:r>
              <w:rPr>
                <w:rFonts w:cs="Segoe UI"/>
                <w:b/>
                <w:bCs/>
                <w:color w:val="000000"/>
                <w:sz w:val="20"/>
                <w:szCs w:val="20"/>
              </w:rPr>
              <w:t>Quantidade</w:t>
            </w:r>
          </w:p>
        </w:tc>
        <w:tc>
          <w:tcPr>
            <w:tcW w:w="2102" w:type="dxa"/>
            <w:shd w:val="clear" w:color="auto" w:fill="auto"/>
            <w:vAlign w:val="bottom"/>
          </w:tcPr>
          <w:p w:rsidR="003E6588" w:rsidRDefault="003E6588">
            <w:pPr>
              <w:autoSpaceDE w:val="0"/>
              <w:autoSpaceDN w:val="0"/>
              <w:adjustRightInd w:val="0"/>
              <w:rPr>
                <w:rFonts w:cs="Segoe UI"/>
                <w:b/>
                <w:bCs/>
                <w:color w:val="000000"/>
                <w:sz w:val="20"/>
                <w:szCs w:val="20"/>
              </w:rPr>
            </w:pPr>
            <w:r>
              <w:rPr>
                <w:rFonts w:cs="Segoe UI"/>
                <w:b/>
                <w:bCs/>
                <w:color w:val="000000"/>
                <w:sz w:val="20"/>
                <w:szCs w:val="20"/>
              </w:rPr>
              <w:t>Valor Total (R$)_</w:t>
            </w:r>
          </w:p>
        </w:tc>
      </w:tr>
      <w:tr w:rsidR="003E6588" w:rsidTr="00B215C1">
        <w:trPr>
          <w:trHeight w:val="144"/>
          <w:jc w:val="center"/>
        </w:trPr>
        <w:tc>
          <w:tcPr>
            <w:tcW w:w="2778" w:type="dxa"/>
            <w:vAlign w:val="center"/>
          </w:tcPr>
          <w:p w:rsidR="003E6588" w:rsidRDefault="003E6588" w:rsidP="00B215C1">
            <w:pPr>
              <w:autoSpaceDE w:val="0"/>
              <w:autoSpaceDN w:val="0"/>
              <w:adjustRightInd w:val="0"/>
              <w:jc w:val="left"/>
              <w:rPr>
                <w:rFonts w:cs="Calibri"/>
                <w:color w:val="000000"/>
                <w:sz w:val="20"/>
                <w:szCs w:val="20"/>
              </w:rPr>
            </w:pPr>
            <w:r>
              <w:rPr>
                <w:rFonts w:cs="Calibri"/>
                <w:color w:val="000000"/>
                <w:sz w:val="20"/>
                <w:szCs w:val="20"/>
              </w:rPr>
              <w:t>Microcomputador</w:t>
            </w:r>
          </w:p>
        </w:tc>
        <w:tc>
          <w:tcPr>
            <w:tcW w:w="1180" w:type="dxa"/>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562</w:t>
            </w:r>
          </w:p>
        </w:tc>
        <w:tc>
          <w:tcPr>
            <w:tcW w:w="2102" w:type="dxa"/>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1.171.457,48</w:t>
            </w:r>
          </w:p>
        </w:tc>
      </w:tr>
      <w:tr w:rsidR="003E6588" w:rsidTr="00B215C1">
        <w:trPr>
          <w:trHeight w:val="39"/>
          <w:jc w:val="center"/>
        </w:trPr>
        <w:tc>
          <w:tcPr>
            <w:tcW w:w="2778" w:type="dxa"/>
            <w:vAlign w:val="center"/>
          </w:tcPr>
          <w:p w:rsidR="003E6588" w:rsidRDefault="003E6588" w:rsidP="00B215C1">
            <w:pPr>
              <w:autoSpaceDE w:val="0"/>
              <w:autoSpaceDN w:val="0"/>
              <w:adjustRightInd w:val="0"/>
              <w:jc w:val="left"/>
              <w:rPr>
                <w:rFonts w:cs="Calibri"/>
                <w:i/>
                <w:color w:val="000000"/>
                <w:sz w:val="20"/>
                <w:szCs w:val="20"/>
              </w:rPr>
            </w:pPr>
            <w:r>
              <w:rPr>
                <w:rFonts w:cs="Calibri"/>
                <w:i/>
                <w:color w:val="000000"/>
                <w:sz w:val="20"/>
                <w:szCs w:val="20"/>
              </w:rPr>
              <w:t>Notebook</w:t>
            </w:r>
          </w:p>
        </w:tc>
        <w:tc>
          <w:tcPr>
            <w:tcW w:w="1180" w:type="dxa"/>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169</w:t>
            </w:r>
          </w:p>
        </w:tc>
        <w:tc>
          <w:tcPr>
            <w:tcW w:w="2102" w:type="dxa"/>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426.349,20</w:t>
            </w:r>
          </w:p>
        </w:tc>
      </w:tr>
      <w:tr w:rsidR="003E6588" w:rsidTr="00B215C1">
        <w:trPr>
          <w:trHeight w:val="81"/>
          <w:jc w:val="center"/>
        </w:trPr>
        <w:tc>
          <w:tcPr>
            <w:tcW w:w="2778" w:type="dxa"/>
            <w:vAlign w:val="center"/>
          </w:tcPr>
          <w:p w:rsidR="003E6588" w:rsidRDefault="003E6588" w:rsidP="00B215C1">
            <w:pPr>
              <w:autoSpaceDE w:val="0"/>
              <w:autoSpaceDN w:val="0"/>
              <w:adjustRightInd w:val="0"/>
              <w:jc w:val="left"/>
              <w:rPr>
                <w:rFonts w:cs="Calibri"/>
                <w:color w:val="000000"/>
                <w:sz w:val="20"/>
                <w:szCs w:val="20"/>
              </w:rPr>
            </w:pPr>
            <w:r>
              <w:rPr>
                <w:rFonts w:cs="Calibri"/>
                <w:color w:val="000000"/>
                <w:sz w:val="20"/>
                <w:szCs w:val="20"/>
              </w:rPr>
              <w:t>Impressoras (</w:t>
            </w:r>
            <w:r>
              <w:rPr>
                <w:rFonts w:cs="Calibri"/>
                <w:i/>
                <w:color w:val="000000"/>
                <w:sz w:val="20"/>
                <w:szCs w:val="20"/>
              </w:rPr>
              <w:t>Laser</w:t>
            </w:r>
            <w:r>
              <w:rPr>
                <w:rFonts w:cs="Calibri"/>
                <w:color w:val="000000"/>
                <w:sz w:val="20"/>
                <w:szCs w:val="20"/>
              </w:rPr>
              <w:t xml:space="preserve"> e </w:t>
            </w:r>
            <w:r>
              <w:rPr>
                <w:rFonts w:cs="Calibri"/>
                <w:i/>
                <w:color w:val="000000"/>
                <w:sz w:val="20"/>
                <w:szCs w:val="20"/>
              </w:rPr>
              <w:t>Plotter</w:t>
            </w:r>
            <w:r>
              <w:rPr>
                <w:rFonts w:cs="Calibri"/>
                <w:color w:val="000000"/>
                <w:sz w:val="20"/>
                <w:szCs w:val="20"/>
              </w:rPr>
              <w:t>)</w:t>
            </w:r>
          </w:p>
        </w:tc>
        <w:tc>
          <w:tcPr>
            <w:tcW w:w="1180" w:type="dxa"/>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5</w:t>
            </w:r>
          </w:p>
        </w:tc>
        <w:tc>
          <w:tcPr>
            <w:tcW w:w="2102" w:type="dxa"/>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9.605,25</w:t>
            </w:r>
          </w:p>
        </w:tc>
      </w:tr>
      <w:tr w:rsidR="003E6588" w:rsidTr="00B215C1">
        <w:trPr>
          <w:trHeight w:val="39"/>
          <w:jc w:val="center"/>
        </w:trPr>
        <w:tc>
          <w:tcPr>
            <w:tcW w:w="2778" w:type="dxa"/>
            <w:vAlign w:val="center"/>
          </w:tcPr>
          <w:p w:rsidR="003E6588" w:rsidRDefault="003E6588" w:rsidP="00B215C1">
            <w:pPr>
              <w:autoSpaceDE w:val="0"/>
              <w:autoSpaceDN w:val="0"/>
              <w:adjustRightInd w:val="0"/>
              <w:jc w:val="left"/>
              <w:rPr>
                <w:rFonts w:cs="Calibri"/>
                <w:color w:val="000000"/>
                <w:sz w:val="20"/>
                <w:szCs w:val="20"/>
              </w:rPr>
            </w:pPr>
            <w:r>
              <w:rPr>
                <w:rFonts w:cs="Calibri"/>
                <w:color w:val="000000"/>
                <w:sz w:val="20"/>
                <w:szCs w:val="20"/>
              </w:rPr>
              <w:t>Servidor</w:t>
            </w:r>
          </w:p>
        </w:tc>
        <w:tc>
          <w:tcPr>
            <w:tcW w:w="1180" w:type="dxa"/>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2</w:t>
            </w:r>
          </w:p>
        </w:tc>
        <w:tc>
          <w:tcPr>
            <w:tcW w:w="2102" w:type="dxa"/>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7.461,86</w:t>
            </w:r>
          </w:p>
        </w:tc>
      </w:tr>
      <w:tr w:rsidR="003E6588" w:rsidTr="00B215C1">
        <w:trPr>
          <w:trHeight w:val="159"/>
          <w:jc w:val="center"/>
        </w:trPr>
        <w:tc>
          <w:tcPr>
            <w:tcW w:w="2778" w:type="dxa"/>
            <w:vAlign w:val="center"/>
          </w:tcPr>
          <w:p w:rsidR="003E6588" w:rsidRDefault="003E6588" w:rsidP="00B215C1">
            <w:pPr>
              <w:autoSpaceDE w:val="0"/>
              <w:autoSpaceDN w:val="0"/>
              <w:adjustRightInd w:val="0"/>
              <w:jc w:val="left"/>
              <w:rPr>
                <w:rFonts w:cs="Calibri"/>
                <w:color w:val="000000"/>
                <w:sz w:val="20"/>
                <w:szCs w:val="20"/>
              </w:rPr>
            </w:pPr>
            <w:r>
              <w:rPr>
                <w:rFonts w:cs="Calibri"/>
                <w:color w:val="000000"/>
                <w:sz w:val="20"/>
                <w:szCs w:val="20"/>
              </w:rPr>
              <w:t>Monitor de Video</w:t>
            </w:r>
          </w:p>
        </w:tc>
        <w:tc>
          <w:tcPr>
            <w:tcW w:w="1180" w:type="dxa"/>
            <w:vAlign w:val="center"/>
          </w:tcPr>
          <w:p w:rsidR="003E6588" w:rsidRDefault="003E6588">
            <w:pPr>
              <w:autoSpaceDE w:val="0"/>
              <w:autoSpaceDN w:val="0"/>
              <w:adjustRightInd w:val="0"/>
              <w:rPr>
                <w:rFonts w:cs="Calibri"/>
                <w:color w:val="000000"/>
                <w:sz w:val="20"/>
                <w:szCs w:val="20"/>
              </w:rPr>
            </w:pPr>
            <w:r>
              <w:rPr>
                <w:rFonts w:cs="Calibri"/>
                <w:color w:val="000000"/>
                <w:sz w:val="20"/>
                <w:szCs w:val="20"/>
              </w:rPr>
              <w:t>10</w:t>
            </w:r>
          </w:p>
        </w:tc>
        <w:tc>
          <w:tcPr>
            <w:tcW w:w="2102" w:type="dxa"/>
            <w:vAlign w:val="center"/>
          </w:tcPr>
          <w:p w:rsidR="003E6588" w:rsidRDefault="003E6588">
            <w:pPr>
              <w:autoSpaceDE w:val="0"/>
              <w:autoSpaceDN w:val="0"/>
              <w:adjustRightInd w:val="0"/>
              <w:jc w:val="right"/>
              <w:rPr>
                <w:rFonts w:cs="Calibri"/>
                <w:color w:val="000000"/>
                <w:sz w:val="20"/>
                <w:szCs w:val="20"/>
              </w:rPr>
            </w:pPr>
            <w:r>
              <w:rPr>
                <w:rFonts w:cs="Calibri"/>
                <w:color w:val="000000"/>
                <w:sz w:val="20"/>
                <w:szCs w:val="20"/>
              </w:rPr>
              <w:t>7.642,80</w:t>
            </w:r>
          </w:p>
        </w:tc>
      </w:tr>
      <w:tr w:rsidR="003E6588" w:rsidTr="00B215C1">
        <w:trPr>
          <w:trHeight w:val="49"/>
          <w:jc w:val="center"/>
        </w:trPr>
        <w:tc>
          <w:tcPr>
            <w:tcW w:w="2778" w:type="dxa"/>
            <w:vAlign w:val="center"/>
          </w:tcPr>
          <w:p w:rsidR="003E6588" w:rsidRDefault="003E6588">
            <w:pPr>
              <w:autoSpaceDE w:val="0"/>
              <w:autoSpaceDN w:val="0"/>
              <w:adjustRightInd w:val="0"/>
              <w:rPr>
                <w:rFonts w:cs="Calibri"/>
                <w:b/>
                <w:color w:val="000000"/>
                <w:sz w:val="20"/>
                <w:szCs w:val="20"/>
              </w:rPr>
            </w:pPr>
          </w:p>
        </w:tc>
        <w:tc>
          <w:tcPr>
            <w:tcW w:w="1180" w:type="dxa"/>
            <w:vAlign w:val="center"/>
          </w:tcPr>
          <w:p w:rsidR="003E6588" w:rsidRDefault="003E6588">
            <w:pPr>
              <w:autoSpaceDE w:val="0"/>
              <w:autoSpaceDN w:val="0"/>
              <w:adjustRightInd w:val="0"/>
              <w:rPr>
                <w:rFonts w:cs="Calibri"/>
                <w:b/>
                <w:bCs/>
                <w:color w:val="000000"/>
                <w:sz w:val="20"/>
                <w:szCs w:val="20"/>
              </w:rPr>
            </w:pPr>
            <w:r>
              <w:rPr>
                <w:rFonts w:cs="Calibri"/>
                <w:b/>
                <w:bCs/>
                <w:color w:val="000000"/>
                <w:sz w:val="20"/>
                <w:szCs w:val="20"/>
              </w:rPr>
              <w:t>TOTAL</w:t>
            </w:r>
          </w:p>
        </w:tc>
        <w:tc>
          <w:tcPr>
            <w:tcW w:w="2102" w:type="dxa"/>
            <w:vAlign w:val="center"/>
          </w:tcPr>
          <w:p w:rsidR="003E6588" w:rsidRDefault="003E6588">
            <w:pPr>
              <w:autoSpaceDE w:val="0"/>
              <w:autoSpaceDN w:val="0"/>
              <w:adjustRightInd w:val="0"/>
              <w:jc w:val="right"/>
              <w:rPr>
                <w:rFonts w:cs="Calibri"/>
                <w:b/>
                <w:bCs/>
                <w:color w:val="000000"/>
                <w:sz w:val="20"/>
                <w:szCs w:val="20"/>
              </w:rPr>
            </w:pPr>
            <w:r>
              <w:rPr>
                <w:rFonts w:cs="Calibri"/>
                <w:b/>
                <w:bCs/>
                <w:color w:val="000000"/>
                <w:sz w:val="20"/>
                <w:szCs w:val="20"/>
              </w:rPr>
              <w:t>1.622.516,59</w:t>
            </w:r>
          </w:p>
        </w:tc>
      </w:tr>
    </w:tbl>
    <w:p w:rsidR="003E6588" w:rsidRPr="00FE655E" w:rsidRDefault="003E6588">
      <w:pPr>
        <w:ind w:firstLine="1134"/>
        <w:jc w:val="both"/>
        <w:rPr>
          <w:sz w:val="16"/>
          <w:szCs w:val="16"/>
        </w:rPr>
      </w:pPr>
    </w:p>
    <w:p w:rsidR="00CB0DF8" w:rsidRDefault="00CE42F3">
      <w:pPr>
        <w:ind w:firstLine="1134"/>
        <w:jc w:val="both"/>
      </w:pPr>
      <w:r w:rsidRPr="00CE42F3">
        <w:rPr>
          <w:b/>
        </w:rPr>
        <w:t>S</w:t>
      </w:r>
      <w:r w:rsidR="003E6588">
        <w:rPr>
          <w:b/>
        </w:rPr>
        <w:t>uperintendência da Polícia Técnico-Científica</w:t>
      </w:r>
    </w:p>
    <w:p w:rsidR="003E6588" w:rsidRPr="00FE655E" w:rsidRDefault="003E6588">
      <w:pPr>
        <w:jc w:val="both"/>
        <w:rPr>
          <w:sz w:val="16"/>
          <w:szCs w:val="16"/>
        </w:rPr>
      </w:pPr>
    </w:p>
    <w:tbl>
      <w:tblPr>
        <w:tblW w:w="0" w:type="auto"/>
        <w:jc w:val="center"/>
        <w:tblInd w:w="4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BF"/>
      </w:tblPr>
      <w:tblGrid>
        <w:gridCol w:w="5812"/>
        <w:gridCol w:w="1701"/>
        <w:gridCol w:w="1672"/>
      </w:tblGrid>
      <w:tr w:rsidR="003E6588" w:rsidTr="00B215C1">
        <w:trPr>
          <w:trHeight w:val="274"/>
          <w:jc w:val="center"/>
        </w:trPr>
        <w:tc>
          <w:tcPr>
            <w:tcW w:w="5812"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Material</w:t>
            </w:r>
          </w:p>
        </w:tc>
        <w:tc>
          <w:tcPr>
            <w:tcW w:w="1701" w:type="dxa"/>
            <w:shd w:val="clear" w:color="auto" w:fill="auto"/>
            <w:vAlign w:val="bottom"/>
          </w:tcPr>
          <w:p w:rsidR="003E6588" w:rsidRDefault="003E6588">
            <w:pPr>
              <w:autoSpaceDE w:val="0"/>
              <w:autoSpaceDN w:val="0"/>
              <w:adjustRightInd w:val="0"/>
              <w:rPr>
                <w:b/>
                <w:bCs/>
                <w:color w:val="000000"/>
                <w:sz w:val="20"/>
                <w:szCs w:val="20"/>
              </w:rPr>
            </w:pPr>
            <w:r>
              <w:rPr>
                <w:b/>
                <w:bCs/>
                <w:color w:val="000000"/>
                <w:sz w:val="20"/>
                <w:szCs w:val="20"/>
              </w:rPr>
              <w:t>Situação/Origem</w:t>
            </w:r>
          </w:p>
        </w:tc>
        <w:tc>
          <w:tcPr>
            <w:tcW w:w="1672" w:type="dxa"/>
            <w:shd w:val="clear" w:color="auto" w:fill="auto"/>
            <w:vAlign w:val="bottom"/>
          </w:tcPr>
          <w:p w:rsidR="003E6588" w:rsidRDefault="00CE42F3">
            <w:pPr>
              <w:autoSpaceDE w:val="0"/>
              <w:autoSpaceDN w:val="0"/>
              <w:adjustRightInd w:val="0"/>
              <w:rPr>
                <w:b/>
                <w:bCs/>
                <w:color w:val="000000"/>
                <w:sz w:val="20"/>
                <w:szCs w:val="20"/>
              </w:rPr>
            </w:pPr>
            <w:r w:rsidRPr="00CE42F3">
              <w:rPr>
                <w:b/>
                <w:bCs/>
                <w:color w:val="000000"/>
                <w:sz w:val="20"/>
                <w:szCs w:val="20"/>
              </w:rPr>
              <w:t>Valor Total</w:t>
            </w:r>
            <w:r w:rsidR="003E6588">
              <w:rPr>
                <w:b/>
                <w:bCs/>
                <w:color w:val="000000"/>
                <w:sz w:val="20"/>
                <w:szCs w:val="20"/>
              </w:rPr>
              <w:t xml:space="preserve"> (R$)</w:t>
            </w:r>
          </w:p>
        </w:tc>
      </w:tr>
      <w:tr w:rsidR="003E6588" w:rsidTr="00B215C1">
        <w:trPr>
          <w:trHeight w:val="274"/>
          <w:jc w:val="center"/>
        </w:trPr>
        <w:tc>
          <w:tcPr>
            <w:tcW w:w="5812" w:type="dxa"/>
            <w:vAlign w:val="center"/>
          </w:tcPr>
          <w:p w:rsidR="003E6588" w:rsidRDefault="00CE42F3" w:rsidP="00B215C1">
            <w:pPr>
              <w:autoSpaceDE w:val="0"/>
              <w:autoSpaceDN w:val="0"/>
              <w:adjustRightInd w:val="0"/>
              <w:jc w:val="left"/>
              <w:rPr>
                <w:color w:val="000000"/>
                <w:sz w:val="20"/>
                <w:szCs w:val="20"/>
              </w:rPr>
            </w:pPr>
            <w:r w:rsidRPr="00CE42F3">
              <w:rPr>
                <w:color w:val="000000"/>
                <w:sz w:val="20"/>
                <w:szCs w:val="20"/>
              </w:rPr>
              <w:t xml:space="preserve">Cessão de direito de uso de </w:t>
            </w:r>
            <w:r w:rsidRPr="00CE42F3">
              <w:rPr>
                <w:i/>
                <w:color w:val="000000"/>
                <w:sz w:val="20"/>
                <w:szCs w:val="20"/>
              </w:rPr>
              <w:t>software,</w:t>
            </w:r>
            <w:r w:rsidRPr="00CE42F3">
              <w:rPr>
                <w:color w:val="000000"/>
                <w:sz w:val="20"/>
                <w:szCs w:val="20"/>
              </w:rPr>
              <w:t xml:space="preserve"> para o Núcleo de Identificação Criminal do IC</w:t>
            </w:r>
          </w:p>
        </w:tc>
        <w:tc>
          <w:tcPr>
            <w:tcW w:w="1701" w:type="dxa"/>
            <w:vAlign w:val="center"/>
          </w:tcPr>
          <w:p w:rsidR="003E6588" w:rsidRDefault="00CE42F3">
            <w:pPr>
              <w:autoSpaceDE w:val="0"/>
              <w:autoSpaceDN w:val="0"/>
              <w:adjustRightInd w:val="0"/>
              <w:rPr>
                <w:color w:val="000000"/>
                <w:sz w:val="20"/>
                <w:szCs w:val="20"/>
              </w:rPr>
            </w:pPr>
            <w:r w:rsidRPr="00CE42F3">
              <w:rPr>
                <w:color w:val="000000"/>
                <w:sz w:val="20"/>
                <w:szCs w:val="20"/>
              </w:rPr>
              <w:t>Fundo FISP</w:t>
            </w:r>
          </w:p>
        </w:tc>
        <w:tc>
          <w:tcPr>
            <w:tcW w:w="1672" w:type="dxa"/>
            <w:vAlign w:val="center"/>
          </w:tcPr>
          <w:p w:rsidR="003E6588" w:rsidRDefault="003E6588">
            <w:pPr>
              <w:autoSpaceDE w:val="0"/>
              <w:autoSpaceDN w:val="0"/>
              <w:adjustRightInd w:val="0"/>
              <w:jc w:val="right"/>
              <w:rPr>
                <w:color w:val="000000"/>
                <w:sz w:val="20"/>
                <w:szCs w:val="20"/>
              </w:rPr>
            </w:pPr>
            <w:r>
              <w:rPr>
                <w:sz w:val="20"/>
                <w:szCs w:val="20"/>
              </w:rPr>
              <w:t>280.000,00</w:t>
            </w:r>
          </w:p>
        </w:tc>
      </w:tr>
      <w:tr w:rsidR="003E6588" w:rsidTr="00B215C1">
        <w:trPr>
          <w:trHeight w:val="274"/>
          <w:jc w:val="center"/>
        </w:trPr>
        <w:tc>
          <w:tcPr>
            <w:tcW w:w="5812" w:type="dxa"/>
            <w:vAlign w:val="center"/>
          </w:tcPr>
          <w:p w:rsidR="003E6588" w:rsidRDefault="003E6588" w:rsidP="00B215C1">
            <w:pPr>
              <w:autoSpaceDE w:val="0"/>
              <w:autoSpaceDN w:val="0"/>
              <w:adjustRightInd w:val="0"/>
              <w:jc w:val="left"/>
              <w:rPr>
                <w:color w:val="000000"/>
                <w:sz w:val="20"/>
                <w:szCs w:val="20"/>
              </w:rPr>
            </w:pPr>
            <w:r>
              <w:rPr>
                <w:sz w:val="20"/>
                <w:szCs w:val="20"/>
              </w:rPr>
              <w:t>Serviço de atualização de softwares para o Núcleo de Perícias de Informática da Capital e Núcleos de Criminalísticas do Interior</w:t>
            </w:r>
          </w:p>
        </w:tc>
        <w:tc>
          <w:tcPr>
            <w:tcW w:w="1701" w:type="dxa"/>
            <w:vAlign w:val="center"/>
          </w:tcPr>
          <w:p w:rsidR="003E6588" w:rsidRDefault="003E6588">
            <w:pPr>
              <w:autoSpaceDE w:val="0"/>
              <w:autoSpaceDN w:val="0"/>
              <w:adjustRightInd w:val="0"/>
              <w:rPr>
                <w:color w:val="000000"/>
                <w:sz w:val="20"/>
                <w:szCs w:val="20"/>
              </w:rPr>
            </w:pPr>
            <w:r>
              <w:rPr>
                <w:sz w:val="20"/>
                <w:szCs w:val="20"/>
              </w:rPr>
              <w:t>Fundo FISP;</w:t>
            </w:r>
          </w:p>
        </w:tc>
        <w:tc>
          <w:tcPr>
            <w:tcW w:w="1672" w:type="dxa"/>
            <w:vAlign w:val="center"/>
          </w:tcPr>
          <w:p w:rsidR="003E6588" w:rsidRDefault="003E6588">
            <w:pPr>
              <w:autoSpaceDE w:val="0"/>
              <w:autoSpaceDN w:val="0"/>
              <w:adjustRightInd w:val="0"/>
              <w:jc w:val="right"/>
              <w:rPr>
                <w:color w:val="000000"/>
                <w:sz w:val="20"/>
                <w:szCs w:val="20"/>
              </w:rPr>
            </w:pPr>
            <w:r>
              <w:rPr>
                <w:sz w:val="20"/>
                <w:szCs w:val="20"/>
              </w:rPr>
              <w:t>817.154,44</w:t>
            </w:r>
          </w:p>
        </w:tc>
      </w:tr>
      <w:tr w:rsidR="003E6588" w:rsidTr="00B215C1">
        <w:trPr>
          <w:trHeight w:val="274"/>
          <w:jc w:val="center"/>
        </w:trPr>
        <w:tc>
          <w:tcPr>
            <w:tcW w:w="5812" w:type="dxa"/>
            <w:vAlign w:val="center"/>
          </w:tcPr>
          <w:p w:rsidR="003E6588" w:rsidRDefault="003E6588" w:rsidP="00B215C1">
            <w:pPr>
              <w:autoSpaceDE w:val="0"/>
              <w:autoSpaceDN w:val="0"/>
              <w:adjustRightInd w:val="0"/>
              <w:jc w:val="left"/>
              <w:rPr>
                <w:color w:val="000000"/>
                <w:sz w:val="20"/>
                <w:szCs w:val="20"/>
              </w:rPr>
            </w:pPr>
            <w:r>
              <w:rPr>
                <w:sz w:val="20"/>
                <w:szCs w:val="20"/>
              </w:rPr>
              <w:t xml:space="preserve">990 Computadores do tipo </w:t>
            </w:r>
            <w:r>
              <w:rPr>
                <w:i/>
                <w:sz w:val="20"/>
                <w:szCs w:val="20"/>
              </w:rPr>
              <w:t>Desktops</w:t>
            </w:r>
            <w:r>
              <w:rPr>
                <w:sz w:val="20"/>
                <w:szCs w:val="20"/>
              </w:rPr>
              <w:t xml:space="preserve"> </w:t>
            </w:r>
          </w:p>
        </w:tc>
        <w:tc>
          <w:tcPr>
            <w:tcW w:w="1701" w:type="dxa"/>
            <w:vAlign w:val="center"/>
          </w:tcPr>
          <w:p w:rsidR="003E6588" w:rsidRDefault="00CE42F3">
            <w:pPr>
              <w:autoSpaceDE w:val="0"/>
              <w:autoSpaceDN w:val="0"/>
              <w:adjustRightInd w:val="0"/>
              <w:rPr>
                <w:color w:val="000000"/>
                <w:sz w:val="20"/>
                <w:szCs w:val="20"/>
              </w:rPr>
            </w:pPr>
            <w:r w:rsidRPr="00CE42F3">
              <w:rPr>
                <w:color w:val="000000"/>
                <w:sz w:val="20"/>
                <w:szCs w:val="20"/>
              </w:rPr>
              <w:t>Em andamento</w:t>
            </w:r>
          </w:p>
        </w:tc>
        <w:tc>
          <w:tcPr>
            <w:tcW w:w="1672" w:type="dxa"/>
            <w:vAlign w:val="center"/>
          </w:tcPr>
          <w:p w:rsidR="003E6588" w:rsidRDefault="003E6588">
            <w:pPr>
              <w:autoSpaceDE w:val="0"/>
              <w:autoSpaceDN w:val="0"/>
              <w:adjustRightInd w:val="0"/>
              <w:jc w:val="right"/>
              <w:rPr>
                <w:color w:val="000000"/>
                <w:sz w:val="20"/>
                <w:szCs w:val="20"/>
              </w:rPr>
            </w:pPr>
            <w:r>
              <w:rPr>
                <w:sz w:val="20"/>
                <w:szCs w:val="20"/>
              </w:rPr>
              <w:t>4.184.366,67</w:t>
            </w:r>
          </w:p>
        </w:tc>
      </w:tr>
      <w:tr w:rsidR="003E6588" w:rsidTr="00B215C1">
        <w:trPr>
          <w:trHeight w:val="274"/>
          <w:jc w:val="center"/>
        </w:trPr>
        <w:tc>
          <w:tcPr>
            <w:tcW w:w="5812" w:type="dxa"/>
            <w:vAlign w:val="center"/>
          </w:tcPr>
          <w:p w:rsidR="003E6588" w:rsidRDefault="003E6588" w:rsidP="00B215C1">
            <w:pPr>
              <w:autoSpaceDE w:val="0"/>
              <w:autoSpaceDN w:val="0"/>
              <w:adjustRightInd w:val="0"/>
              <w:jc w:val="left"/>
              <w:rPr>
                <w:color w:val="000000"/>
                <w:sz w:val="20"/>
                <w:szCs w:val="20"/>
              </w:rPr>
            </w:pPr>
            <w:r w:rsidRPr="00B215C1">
              <w:rPr>
                <w:sz w:val="20"/>
                <w:szCs w:val="20"/>
              </w:rPr>
              <w:t>Solução</w:t>
            </w:r>
            <w:r>
              <w:rPr>
                <w:sz w:val="20"/>
                <w:szCs w:val="20"/>
              </w:rPr>
              <w:t xml:space="preserve"> de </w:t>
            </w:r>
            <w:r>
              <w:rPr>
                <w:i/>
                <w:sz w:val="20"/>
                <w:szCs w:val="20"/>
              </w:rPr>
              <w:t>Firewall</w:t>
            </w:r>
          </w:p>
        </w:tc>
        <w:tc>
          <w:tcPr>
            <w:tcW w:w="1701" w:type="dxa"/>
            <w:vAlign w:val="center"/>
          </w:tcPr>
          <w:p w:rsidR="003E6588" w:rsidRDefault="003E6588">
            <w:pPr>
              <w:autoSpaceDE w:val="0"/>
              <w:autoSpaceDN w:val="0"/>
              <w:adjustRightInd w:val="0"/>
              <w:rPr>
                <w:color w:val="000000"/>
                <w:sz w:val="20"/>
                <w:szCs w:val="20"/>
              </w:rPr>
            </w:pPr>
            <w:r>
              <w:rPr>
                <w:color w:val="000000"/>
                <w:sz w:val="20"/>
                <w:szCs w:val="20"/>
              </w:rPr>
              <w:t>Em andamento</w:t>
            </w:r>
          </w:p>
        </w:tc>
        <w:tc>
          <w:tcPr>
            <w:tcW w:w="1672" w:type="dxa"/>
            <w:vAlign w:val="center"/>
          </w:tcPr>
          <w:p w:rsidR="003E6588" w:rsidRDefault="003E6588">
            <w:pPr>
              <w:autoSpaceDE w:val="0"/>
              <w:autoSpaceDN w:val="0"/>
              <w:adjustRightInd w:val="0"/>
              <w:jc w:val="right"/>
              <w:rPr>
                <w:color w:val="000000"/>
                <w:sz w:val="20"/>
                <w:szCs w:val="20"/>
              </w:rPr>
            </w:pPr>
            <w:r>
              <w:rPr>
                <w:sz w:val="20"/>
                <w:szCs w:val="20"/>
              </w:rPr>
              <w:t>689.499,99</w:t>
            </w:r>
          </w:p>
        </w:tc>
      </w:tr>
      <w:tr w:rsidR="003E6588" w:rsidTr="00B215C1">
        <w:trPr>
          <w:trHeight w:val="274"/>
          <w:jc w:val="center"/>
        </w:trPr>
        <w:tc>
          <w:tcPr>
            <w:tcW w:w="5812" w:type="dxa"/>
            <w:vAlign w:val="center"/>
          </w:tcPr>
          <w:p w:rsidR="003E6588" w:rsidRDefault="003E6588" w:rsidP="00B215C1">
            <w:pPr>
              <w:autoSpaceDE w:val="0"/>
              <w:autoSpaceDN w:val="0"/>
              <w:adjustRightInd w:val="0"/>
              <w:jc w:val="left"/>
              <w:rPr>
                <w:color w:val="000000"/>
                <w:sz w:val="20"/>
                <w:szCs w:val="20"/>
              </w:rPr>
            </w:pPr>
            <w:r>
              <w:rPr>
                <w:sz w:val="20"/>
                <w:szCs w:val="20"/>
              </w:rPr>
              <w:lastRenderedPageBreak/>
              <w:t>Contratação de Serviço de Aquisição de Sistema de Gerenciador de Banco de Dados</w:t>
            </w:r>
          </w:p>
        </w:tc>
        <w:tc>
          <w:tcPr>
            <w:tcW w:w="1701" w:type="dxa"/>
            <w:vAlign w:val="center"/>
          </w:tcPr>
          <w:p w:rsidR="003E6588" w:rsidRDefault="003E6588">
            <w:pPr>
              <w:autoSpaceDE w:val="0"/>
              <w:autoSpaceDN w:val="0"/>
              <w:adjustRightInd w:val="0"/>
              <w:rPr>
                <w:color w:val="000000"/>
                <w:sz w:val="20"/>
                <w:szCs w:val="20"/>
              </w:rPr>
            </w:pPr>
            <w:r>
              <w:rPr>
                <w:color w:val="000000"/>
                <w:sz w:val="20"/>
                <w:szCs w:val="20"/>
              </w:rPr>
              <w:t>Em andamento</w:t>
            </w:r>
          </w:p>
        </w:tc>
        <w:tc>
          <w:tcPr>
            <w:tcW w:w="1672" w:type="dxa"/>
            <w:vAlign w:val="center"/>
          </w:tcPr>
          <w:p w:rsidR="003E6588" w:rsidRDefault="003E6588">
            <w:pPr>
              <w:autoSpaceDE w:val="0"/>
              <w:autoSpaceDN w:val="0"/>
              <w:adjustRightInd w:val="0"/>
              <w:jc w:val="right"/>
              <w:rPr>
                <w:color w:val="000000"/>
                <w:sz w:val="20"/>
                <w:szCs w:val="20"/>
              </w:rPr>
            </w:pPr>
            <w:r>
              <w:rPr>
                <w:sz w:val="20"/>
                <w:szCs w:val="20"/>
              </w:rPr>
              <w:t>638.440,00</w:t>
            </w:r>
          </w:p>
        </w:tc>
      </w:tr>
      <w:tr w:rsidR="003E6588" w:rsidTr="00B215C1">
        <w:trPr>
          <w:trHeight w:val="274"/>
          <w:jc w:val="center"/>
        </w:trPr>
        <w:tc>
          <w:tcPr>
            <w:tcW w:w="5812" w:type="dxa"/>
            <w:vAlign w:val="center"/>
          </w:tcPr>
          <w:p w:rsidR="003E6588" w:rsidRDefault="003E6588" w:rsidP="00B215C1">
            <w:pPr>
              <w:autoSpaceDE w:val="0"/>
              <w:autoSpaceDN w:val="0"/>
              <w:adjustRightInd w:val="0"/>
              <w:jc w:val="left"/>
              <w:rPr>
                <w:color w:val="000000"/>
                <w:sz w:val="20"/>
                <w:szCs w:val="20"/>
              </w:rPr>
            </w:pPr>
            <w:r>
              <w:rPr>
                <w:sz w:val="20"/>
                <w:szCs w:val="20"/>
              </w:rPr>
              <w:t>Aquisição de insumos/reagentes para os laboratórios da SPTC (convênio SENASP)</w:t>
            </w:r>
          </w:p>
        </w:tc>
        <w:tc>
          <w:tcPr>
            <w:tcW w:w="1701" w:type="dxa"/>
            <w:vAlign w:val="center"/>
          </w:tcPr>
          <w:p w:rsidR="003E6588" w:rsidRDefault="003E6588">
            <w:pPr>
              <w:autoSpaceDE w:val="0"/>
              <w:autoSpaceDN w:val="0"/>
              <w:adjustRightInd w:val="0"/>
              <w:rPr>
                <w:bCs/>
                <w:color w:val="000000"/>
                <w:sz w:val="20"/>
                <w:szCs w:val="20"/>
              </w:rPr>
            </w:pPr>
          </w:p>
        </w:tc>
        <w:tc>
          <w:tcPr>
            <w:tcW w:w="1672" w:type="dxa"/>
            <w:vAlign w:val="center"/>
          </w:tcPr>
          <w:p w:rsidR="003E6588" w:rsidRDefault="003E6588">
            <w:pPr>
              <w:autoSpaceDE w:val="0"/>
              <w:autoSpaceDN w:val="0"/>
              <w:adjustRightInd w:val="0"/>
              <w:jc w:val="right"/>
              <w:rPr>
                <w:bCs/>
                <w:color w:val="000000"/>
                <w:sz w:val="20"/>
                <w:szCs w:val="20"/>
              </w:rPr>
            </w:pPr>
            <w:r>
              <w:rPr>
                <w:sz w:val="20"/>
                <w:szCs w:val="20"/>
              </w:rPr>
              <w:t>140.887,67</w:t>
            </w:r>
          </w:p>
        </w:tc>
      </w:tr>
    </w:tbl>
    <w:p w:rsidR="003E6588" w:rsidRPr="00FE655E" w:rsidRDefault="003E6588">
      <w:pPr>
        <w:ind w:left="709" w:firstLine="709"/>
        <w:jc w:val="both"/>
        <w:rPr>
          <w:sz w:val="16"/>
          <w:szCs w:val="16"/>
        </w:rPr>
      </w:pPr>
    </w:p>
    <w:p w:rsidR="003E6588" w:rsidRPr="00B215C1" w:rsidRDefault="003E6588" w:rsidP="00B215C1">
      <w:pPr>
        <w:autoSpaceDE w:val="0"/>
        <w:autoSpaceDN w:val="0"/>
        <w:adjustRightInd w:val="0"/>
        <w:ind w:firstLine="1134"/>
        <w:jc w:val="both"/>
        <w:rPr>
          <w:b/>
          <w:bCs/>
          <w:strike/>
        </w:rPr>
      </w:pPr>
      <w:r>
        <w:rPr>
          <w:b/>
        </w:rPr>
        <w:t xml:space="preserve">GTI - </w:t>
      </w:r>
      <w:r>
        <w:rPr>
          <w:b/>
          <w:bCs/>
          <w:color w:val="000000"/>
        </w:rPr>
        <w:t>Sistemas desenvolvidos ou modificados</w:t>
      </w:r>
    </w:p>
    <w:p w:rsidR="003E6588" w:rsidRDefault="003E6588">
      <w:pPr>
        <w:autoSpaceDE w:val="0"/>
        <w:autoSpaceDN w:val="0"/>
        <w:adjustRightInd w:val="0"/>
        <w:ind w:firstLine="1134"/>
        <w:rPr>
          <w:bCs/>
          <w:color w:val="000000"/>
        </w:rPr>
      </w:pPr>
    </w:p>
    <w:p w:rsidR="003E6588" w:rsidRDefault="003E6588">
      <w:pPr>
        <w:autoSpaceDE w:val="0"/>
        <w:autoSpaceDN w:val="0"/>
        <w:adjustRightInd w:val="0"/>
        <w:ind w:firstLine="1134"/>
        <w:jc w:val="both"/>
        <w:rPr>
          <w:color w:val="000000"/>
        </w:rPr>
      </w:pPr>
      <w:r>
        <w:rPr>
          <w:b/>
          <w:color w:val="000000"/>
        </w:rPr>
        <w:t>Infocrim 3</w:t>
      </w:r>
      <w:r w:rsidR="00CE42F3" w:rsidRPr="00CE42F3">
        <w:rPr>
          <w:b/>
          <w:color w:val="000000"/>
        </w:rPr>
        <w:t>.0</w:t>
      </w:r>
      <w:r>
        <w:rPr>
          <w:b/>
          <w:color w:val="000000"/>
        </w:rPr>
        <w:t xml:space="preserve"> - </w:t>
      </w:r>
      <w:r>
        <w:rPr>
          <w:bCs/>
          <w:color w:val="000000"/>
        </w:rPr>
        <w:t xml:space="preserve">Estatística </w:t>
      </w:r>
      <w:r>
        <w:rPr>
          <w:color w:val="000000"/>
        </w:rPr>
        <w:t>(monitor de ocorr</w:t>
      </w:r>
      <w:r w:rsidR="00CE42F3" w:rsidRPr="00CE42F3">
        <w:rPr>
          <w:color w:val="000000"/>
        </w:rPr>
        <w:t>ê</w:t>
      </w:r>
      <w:r>
        <w:rPr>
          <w:color w:val="000000"/>
        </w:rPr>
        <w:t xml:space="preserve">ncia e consulta de itens). </w:t>
      </w:r>
      <w:r>
        <w:rPr>
          <w:bCs/>
          <w:color w:val="000000"/>
        </w:rPr>
        <w:t>Análise criminal</w:t>
      </w:r>
      <w:r>
        <w:rPr>
          <w:color w:val="000000"/>
        </w:rPr>
        <w:t xml:space="preserve"> (an</w:t>
      </w:r>
      <w:r w:rsidR="00CE42F3" w:rsidRPr="00CE42F3">
        <w:rPr>
          <w:color w:val="000000"/>
        </w:rPr>
        <w:t>á</w:t>
      </w:r>
      <w:r>
        <w:rPr>
          <w:color w:val="000000"/>
        </w:rPr>
        <w:t xml:space="preserve">lise cvli e procarga); </w:t>
      </w:r>
      <w:r>
        <w:rPr>
          <w:bCs/>
          <w:color w:val="000000"/>
        </w:rPr>
        <w:t>Ragisp</w:t>
      </w:r>
      <w:r>
        <w:rPr>
          <w:color w:val="000000"/>
        </w:rPr>
        <w:t xml:space="preserve"> (integra</w:t>
      </w:r>
      <w:r w:rsidR="00CE42F3" w:rsidRPr="00CE42F3">
        <w:rPr>
          <w:color w:val="000000"/>
        </w:rPr>
        <w:t>ção)</w:t>
      </w:r>
      <w:r>
        <w:rPr>
          <w:color w:val="000000"/>
        </w:rPr>
        <w:t xml:space="preserve">; </w:t>
      </w:r>
      <w:r>
        <w:rPr>
          <w:bCs/>
          <w:color w:val="000000"/>
        </w:rPr>
        <w:t>Metas</w:t>
      </w:r>
      <w:r>
        <w:rPr>
          <w:color w:val="000000"/>
        </w:rPr>
        <w:t xml:space="preserve"> (planejamento); </w:t>
      </w:r>
      <w:r>
        <w:rPr>
          <w:bCs/>
          <w:color w:val="000000"/>
        </w:rPr>
        <w:t>Administração</w:t>
      </w:r>
      <w:r>
        <w:rPr>
          <w:color w:val="000000"/>
        </w:rPr>
        <w:t xml:space="preserve"> (administra</w:t>
      </w:r>
      <w:r w:rsidR="00CE42F3" w:rsidRPr="00CE42F3">
        <w:rPr>
          <w:color w:val="000000"/>
        </w:rPr>
        <w:t xml:space="preserve">ção de usuários, alterar senha, avisos de </w:t>
      </w:r>
      <w:r w:rsidR="00CE42F3" w:rsidRPr="00CE42F3">
        <w:rPr>
          <w:i/>
          <w:color w:val="000000"/>
        </w:rPr>
        <w:t>e-mail</w:t>
      </w:r>
      <w:r w:rsidR="00CE42F3" w:rsidRPr="00CE42F3">
        <w:rPr>
          <w:color w:val="000000"/>
        </w:rPr>
        <w:t>)</w:t>
      </w:r>
      <w:r>
        <w:rPr>
          <w:color w:val="000000"/>
        </w:rPr>
        <w:t>.</w:t>
      </w:r>
    </w:p>
    <w:p w:rsidR="003E6588" w:rsidRDefault="003E6588">
      <w:pPr>
        <w:autoSpaceDE w:val="0"/>
        <w:autoSpaceDN w:val="0"/>
        <w:adjustRightInd w:val="0"/>
        <w:ind w:firstLine="1134"/>
        <w:rPr>
          <w:bCs/>
          <w:color w:val="000000"/>
          <w:u w:val="single"/>
        </w:rPr>
      </w:pPr>
    </w:p>
    <w:p w:rsidR="003E6588" w:rsidRDefault="003E6588">
      <w:pPr>
        <w:autoSpaceDE w:val="0"/>
        <w:autoSpaceDN w:val="0"/>
        <w:adjustRightInd w:val="0"/>
        <w:ind w:firstLine="1134"/>
        <w:jc w:val="both"/>
        <w:rPr>
          <w:color w:val="000000"/>
        </w:rPr>
      </w:pPr>
      <w:r>
        <w:rPr>
          <w:b/>
          <w:color w:val="000000"/>
        </w:rPr>
        <w:t>Delegacia eletrônica -</w:t>
      </w:r>
      <w:r>
        <w:rPr>
          <w:color w:val="000000"/>
        </w:rPr>
        <w:t xml:space="preserve"> Rotina de </w:t>
      </w:r>
      <w:r>
        <w:rPr>
          <w:bCs/>
          <w:color w:val="000000"/>
        </w:rPr>
        <w:t>bloqueio automático de veículos</w:t>
      </w:r>
      <w:r>
        <w:rPr>
          <w:color w:val="000000"/>
        </w:rPr>
        <w:t xml:space="preserve"> para furto e roubo; Implementação de rotina de </w:t>
      </w:r>
      <w:r>
        <w:rPr>
          <w:bCs/>
          <w:color w:val="000000"/>
        </w:rPr>
        <w:t>georreferenciamento</w:t>
      </w:r>
      <w:r>
        <w:rPr>
          <w:color w:val="000000"/>
        </w:rPr>
        <w:t xml:space="preserve"> no preenchimento do boletim; Rotina para </w:t>
      </w:r>
      <w:r>
        <w:rPr>
          <w:bCs/>
          <w:color w:val="000000"/>
        </w:rPr>
        <w:t>identificação de deficiência</w:t>
      </w:r>
      <w:r>
        <w:rPr>
          <w:color w:val="000000"/>
        </w:rPr>
        <w:t xml:space="preserve"> do declarante.</w:t>
      </w:r>
    </w:p>
    <w:p w:rsidR="003E6588" w:rsidRPr="00FE655E" w:rsidRDefault="003E6588">
      <w:pPr>
        <w:autoSpaceDE w:val="0"/>
        <w:autoSpaceDN w:val="0"/>
        <w:adjustRightInd w:val="0"/>
        <w:rPr>
          <w:color w:val="000000"/>
          <w:sz w:val="16"/>
          <w:szCs w:val="16"/>
        </w:rPr>
      </w:pPr>
    </w:p>
    <w:p w:rsidR="003E6588" w:rsidRDefault="003E6588">
      <w:pPr>
        <w:ind w:firstLine="1134"/>
        <w:jc w:val="both"/>
        <w:rPr>
          <w:b/>
          <w:bCs/>
          <w:shd w:val="clear" w:color="auto" w:fill="FFFFFF"/>
        </w:rPr>
      </w:pPr>
      <w:r>
        <w:rPr>
          <w:b/>
          <w:bCs/>
          <w:shd w:val="clear" w:color="auto" w:fill="FFFFFF"/>
        </w:rPr>
        <w:t>PM</w:t>
      </w:r>
    </w:p>
    <w:p w:rsidR="003E6588" w:rsidRPr="00FE655E" w:rsidRDefault="003E6588">
      <w:pPr>
        <w:rPr>
          <w:sz w:val="16"/>
          <w:szCs w:val="16"/>
          <w:u w:val="single"/>
          <w:shd w:val="clear" w:color="auto" w:fill="FFFFFF"/>
        </w:rPr>
      </w:pPr>
    </w:p>
    <w:tbl>
      <w:tblPr>
        <w:tblpPr w:leftFromText="141" w:rightFromText="141" w:vertAnchor="text" w:horzAnchor="page" w:tblpX="2794" w:tblpY="59"/>
        <w:tblW w:w="7080" w:type="dxa"/>
        <w:tblCellMar>
          <w:left w:w="70" w:type="dxa"/>
          <w:right w:w="70" w:type="dxa"/>
        </w:tblCellMar>
        <w:tblLook w:val="04A0"/>
      </w:tblPr>
      <w:tblGrid>
        <w:gridCol w:w="1360"/>
        <w:gridCol w:w="4700"/>
        <w:gridCol w:w="1020"/>
      </w:tblGrid>
      <w:tr w:rsidR="00FE655E" w:rsidTr="00FE655E">
        <w:trPr>
          <w:trHeight w:val="54"/>
        </w:trPr>
        <w:tc>
          <w:tcPr>
            <w:tcW w:w="1360" w:type="dxa"/>
            <w:tcBorders>
              <w:top w:val="nil"/>
              <w:left w:val="nil"/>
              <w:right w:val="nil"/>
            </w:tcBorders>
            <w:shd w:val="clear" w:color="auto" w:fill="auto"/>
            <w:noWrap/>
            <w:vAlign w:val="bottom"/>
            <w:hideMark/>
          </w:tcPr>
          <w:p w:rsidR="00FE655E" w:rsidRDefault="00FE655E" w:rsidP="00FE655E">
            <w:pPr>
              <w:rPr>
                <w:b/>
                <w:bCs/>
                <w:sz w:val="20"/>
                <w:szCs w:val="20"/>
              </w:rPr>
            </w:pPr>
            <w:r>
              <w:rPr>
                <w:b/>
                <w:bCs/>
                <w:sz w:val="20"/>
                <w:szCs w:val="20"/>
              </w:rPr>
              <w:t>Logística</w:t>
            </w:r>
          </w:p>
        </w:tc>
        <w:tc>
          <w:tcPr>
            <w:tcW w:w="4700" w:type="dxa"/>
            <w:tcBorders>
              <w:top w:val="nil"/>
              <w:left w:val="nil"/>
              <w:bottom w:val="nil"/>
              <w:right w:val="nil"/>
            </w:tcBorders>
            <w:shd w:val="clear" w:color="auto" w:fill="auto"/>
            <w:noWrap/>
            <w:vAlign w:val="bottom"/>
            <w:hideMark/>
          </w:tcPr>
          <w:p w:rsidR="00FE655E" w:rsidRDefault="00FE655E" w:rsidP="00FE655E">
            <w:pPr>
              <w:rPr>
                <w:sz w:val="20"/>
                <w:szCs w:val="20"/>
              </w:rPr>
            </w:pPr>
          </w:p>
        </w:tc>
        <w:tc>
          <w:tcPr>
            <w:tcW w:w="1020" w:type="dxa"/>
            <w:tcBorders>
              <w:top w:val="nil"/>
              <w:left w:val="nil"/>
              <w:bottom w:val="nil"/>
              <w:right w:val="nil"/>
            </w:tcBorders>
            <w:shd w:val="clear" w:color="auto" w:fill="auto"/>
            <w:noWrap/>
            <w:vAlign w:val="bottom"/>
            <w:hideMark/>
          </w:tcPr>
          <w:p w:rsidR="00FE655E" w:rsidRDefault="00FE655E" w:rsidP="00FE655E">
            <w:pPr>
              <w:rPr>
                <w:sz w:val="20"/>
                <w:szCs w:val="20"/>
              </w:rPr>
            </w:pPr>
          </w:p>
        </w:tc>
      </w:tr>
      <w:tr w:rsidR="00FE655E" w:rsidTr="00FE655E">
        <w:trPr>
          <w:trHeight w:val="54"/>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1.794</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Instalações físicas</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54"/>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15.537</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Viaturas</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54"/>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24</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Helicópteros e 4 aviões</w:t>
            </w:r>
          </w:p>
        </w:tc>
        <w:tc>
          <w:tcPr>
            <w:tcW w:w="1020" w:type="dxa"/>
            <w:tcBorders>
              <w:top w:val="nil"/>
              <w:left w:val="nil"/>
              <w:bottom w:val="nil"/>
              <w:right w:val="nil"/>
            </w:tcBorders>
            <w:shd w:val="clear" w:color="auto" w:fill="auto"/>
            <w:noWrap/>
            <w:vAlign w:val="center"/>
            <w:hideMark/>
          </w:tcPr>
          <w:p w:rsidR="00FE655E" w:rsidRDefault="00FE655E" w:rsidP="00FE655E">
            <w:pPr>
              <w:jc w:val="left"/>
              <w:rPr>
                <w:bCs/>
                <w:sz w:val="20"/>
                <w:szCs w:val="20"/>
              </w:rPr>
            </w:pPr>
          </w:p>
        </w:tc>
      </w:tr>
      <w:tr w:rsidR="00FE655E" w:rsidTr="00FE655E">
        <w:trPr>
          <w:trHeight w:val="73"/>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877</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Embarcações e 2 navios</w:t>
            </w:r>
          </w:p>
        </w:tc>
        <w:tc>
          <w:tcPr>
            <w:tcW w:w="1020" w:type="dxa"/>
            <w:tcBorders>
              <w:top w:val="nil"/>
              <w:left w:val="nil"/>
              <w:bottom w:val="nil"/>
              <w:right w:val="nil"/>
            </w:tcBorders>
            <w:shd w:val="clear" w:color="auto" w:fill="auto"/>
            <w:noWrap/>
            <w:vAlign w:val="center"/>
            <w:hideMark/>
          </w:tcPr>
          <w:p w:rsidR="00FE655E" w:rsidRDefault="00FE655E" w:rsidP="00FE655E">
            <w:pPr>
              <w:jc w:val="left"/>
              <w:rPr>
                <w:bCs/>
                <w:sz w:val="20"/>
                <w:szCs w:val="20"/>
              </w:rPr>
            </w:pPr>
          </w:p>
        </w:tc>
      </w:tr>
      <w:tr w:rsidR="00FE655E" w:rsidTr="00FE655E">
        <w:trPr>
          <w:trHeight w:val="132"/>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20.000</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Computadores fixados</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54"/>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2.082</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i/>
                <w:sz w:val="20"/>
                <w:szCs w:val="20"/>
              </w:rPr>
              <w:t xml:space="preserve">Links </w:t>
            </w:r>
            <w:r>
              <w:rPr>
                <w:sz w:val="20"/>
                <w:szCs w:val="20"/>
              </w:rPr>
              <w:t>de dados</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96"/>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26.000</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Rádios transceptores (digitais e analógicos) fixados</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142"/>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5.850</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i/>
                <w:sz w:val="20"/>
                <w:szCs w:val="20"/>
              </w:rPr>
              <w:t>Modem</w:t>
            </w:r>
            <w:r>
              <w:rPr>
                <w:sz w:val="20"/>
                <w:szCs w:val="20"/>
              </w:rPr>
              <w:t xml:space="preserve"> 3G</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54"/>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11.500</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i/>
                <w:sz w:val="20"/>
                <w:szCs w:val="20"/>
              </w:rPr>
              <w:t>Tablets</w:t>
            </w:r>
            <w:r>
              <w:rPr>
                <w:sz w:val="20"/>
                <w:szCs w:val="20"/>
              </w:rPr>
              <w:t xml:space="preserve"> (TMD)</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106"/>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6.500</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GPS de bolso (TPD)</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54"/>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481</w:t>
            </w:r>
          </w:p>
        </w:tc>
        <w:tc>
          <w:tcPr>
            <w:tcW w:w="4700" w:type="dxa"/>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Cavalos</w:t>
            </w:r>
          </w:p>
        </w:tc>
        <w:tc>
          <w:tcPr>
            <w:tcW w:w="1020" w:type="dxa"/>
            <w:tcBorders>
              <w:top w:val="nil"/>
              <w:left w:val="nil"/>
              <w:bottom w:val="nil"/>
              <w:right w:val="nil"/>
            </w:tcBorders>
            <w:shd w:val="clear" w:color="auto" w:fill="auto"/>
            <w:noWrap/>
            <w:vAlign w:val="bottom"/>
            <w:hideMark/>
          </w:tcPr>
          <w:p w:rsidR="00FE655E" w:rsidRDefault="00FE655E" w:rsidP="00FE655E">
            <w:pPr>
              <w:jc w:val="left"/>
              <w:rPr>
                <w:sz w:val="20"/>
                <w:szCs w:val="20"/>
              </w:rPr>
            </w:pPr>
          </w:p>
        </w:tc>
      </w:tr>
      <w:tr w:rsidR="00FE655E" w:rsidTr="00FE655E">
        <w:trPr>
          <w:trHeight w:val="70"/>
        </w:trPr>
        <w:tc>
          <w:tcPr>
            <w:tcW w:w="1360" w:type="dxa"/>
            <w:tcBorders>
              <w:top w:val="nil"/>
              <w:left w:val="nil"/>
              <w:bottom w:val="nil"/>
              <w:right w:val="single" w:sz="8" w:space="0" w:color="auto"/>
            </w:tcBorders>
            <w:shd w:val="clear" w:color="auto" w:fill="auto"/>
            <w:noWrap/>
            <w:vAlign w:val="bottom"/>
            <w:hideMark/>
          </w:tcPr>
          <w:p w:rsidR="00FE655E" w:rsidRDefault="00FE655E" w:rsidP="00FE655E">
            <w:pPr>
              <w:rPr>
                <w:bCs/>
                <w:sz w:val="20"/>
                <w:szCs w:val="20"/>
              </w:rPr>
            </w:pPr>
            <w:r>
              <w:rPr>
                <w:bCs/>
                <w:sz w:val="20"/>
                <w:szCs w:val="20"/>
              </w:rPr>
              <w:t>355</w:t>
            </w:r>
          </w:p>
        </w:tc>
        <w:tc>
          <w:tcPr>
            <w:tcW w:w="5720" w:type="dxa"/>
            <w:gridSpan w:val="2"/>
            <w:tcBorders>
              <w:top w:val="nil"/>
              <w:left w:val="single" w:sz="8" w:space="0" w:color="auto"/>
              <w:bottom w:val="nil"/>
              <w:right w:val="nil"/>
            </w:tcBorders>
            <w:shd w:val="clear" w:color="auto" w:fill="auto"/>
            <w:noWrap/>
            <w:vAlign w:val="center"/>
            <w:hideMark/>
          </w:tcPr>
          <w:p w:rsidR="00FE655E" w:rsidRDefault="00FE655E" w:rsidP="00FE655E">
            <w:pPr>
              <w:jc w:val="left"/>
              <w:rPr>
                <w:sz w:val="20"/>
                <w:szCs w:val="20"/>
              </w:rPr>
            </w:pPr>
            <w:r>
              <w:rPr>
                <w:sz w:val="20"/>
                <w:szCs w:val="20"/>
              </w:rPr>
              <w:t xml:space="preserve">Cães, sendo </w:t>
            </w:r>
            <w:r>
              <w:rPr>
                <w:bCs/>
                <w:sz w:val="20"/>
                <w:szCs w:val="20"/>
              </w:rPr>
              <w:t>63</w:t>
            </w:r>
            <w:r>
              <w:rPr>
                <w:sz w:val="20"/>
                <w:szCs w:val="20"/>
              </w:rPr>
              <w:t xml:space="preserve"> no canil central e </w:t>
            </w:r>
            <w:r>
              <w:rPr>
                <w:bCs/>
                <w:sz w:val="20"/>
                <w:szCs w:val="20"/>
              </w:rPr>
              <w:t>292</w:t>
            </w:r>
            <w:r>
              <w:rPr>
                <w:sz w:val="20"/>
                <w:szCs w:val="20"/>
              </w:rPr>
              <w:t xml:space="preserve"> nos canis setoriais</w:t>
            </w:r>
          </w:p>
        </w:tc>
      </w:tr>
    </w:tbl>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3E6588" w:rsidRDefault="003E6588">
      <w:pPr>
        <w:ind w:firstLine="633"/>
        <w:jc w:val="both"/>
        <w:rPr>
          <w:color w:val="000000"/>
        </w:rPr>
      </w:pPr>
    </w:p>
    <w:p w:rsidR="005B5CF7" w:rsidRDefault="005B5CF7">
      <w:pPr>
        <w:ind w:firstLine="633"/>
        <w:jc w:val="both"/>
        <w:rPr>
          <w:color w:val="000000"/>
        </w:rPr>
      </w:pPr>
    </w:p>
    <w:p w:rsidR="003E6588" w:rsidRDefault="003E6588">
      <w:pPr>
        <w:pStyle w:val="Paragrafo"/>
        <w:spacing w:after="0" w:line="240" w:lineRule="auto"/>
        <w:ind w:firstLine="1134"/>
        <w:rPr>
          <w:rFonts w:ascii="Times New Roman" w:hAnsi="Times New Roman"/>
          <w:szCs w:val="24"/>
        </w:rPr>
      </w:pPr>
      <w:r w:rsidRPr="00AC3233">
        <w:rPr>
          <w:b/>
          <w:color w:val="000000"/>
        </w:rPr>
        <w:t xml:space="preserve">Depuração Interna - </w:t>
      </w:r>
      <w:r w:rsidRPr="00AC3233">
        <w:rPr>
          <w:rFonts w:ascii="Times New Roman" w:hAnsi="Times New Roman"/>
          <w:szCs w:val="24"/>
        </w:rPr>
        <w:t>Toda</w:t>
      </w:r>
      <w:r>
        <w:rPr>
          <w:rFonts w:ascii="Times New Roman" w:hAnsi="Times New Roman"/>
          <w:szCs w:val="24"/>
        </w:rPr>
        <w:t xml:space="preserve"> polícia tem que ter reputação inquestionável. A organização</w:t>
      </w:r>
      <w:r>
        <w:rPr>
          <w:rFonts w:ascii="Times New Roman" w:hAnsi="Times New Roman"/>
          <w:color w:val="FF0000"/>
          <w:szCs w:val="24"/>
        </w:rPr>
        <w:t>,</w:t>
      </w:r>
      <w:r>
        <w:rPr>
          <w:rFonts w:ascii="Times New Roman" w:hAnsi="Times New Roman"/>
          <w:szCs w:val="24"/>
        </w:rPr>
        <w:t xml:space="preserve"> que recebeu por delegação o monopólio do uso da força</w:t>
      </w:r>
      <w:r>
        <w:rPr>
          <w:rFonts w:ascii="Times New Roman" w:hAnsi="Times New Roman"/>
          <w:color w:val="FF0000"/>
          <w:szCs w:val="24"/>
        </w:rPr>
        <w:t>,</w:t>
      </w:r>
      <w:r>
        <w:rPr>
          <w:rFonts w:ascii="Times New Roman" w:hAnsi="Times New Roman"/>
          <w:szCs w:val="24"/>
        </w:rPr>
        <w:t xml:space="preserve"> deve primar por possuir profissionais íntegros e de conduta ilibada. A seguir se observa o rigor com que as Polícias Militar e Civil, observados os primados legais, tratam os desvios de conduta:</w:t>
      </w:r>
    </w:p>
    <w:p w:rsidR="003E6588" w:rsidRPr="00FE655E" w:rsidRDefault="003E6588">
      <w:pPr>
        <w:pStyle w:val="Paragrafo"/>
        <w:spacing w:after="0" w:line="240" w:lineRule="auto"/>
        <w:ind w:firstLine="1134"/>
        <w:rPr>
          <w:rFonts w:ascii="Times New Roman" w:hAnsi="Times New Roman"/>
          <w:sz w:val="16"/>
          <w:szCs w:val="16"/>
        </w:rPr>
      </w:pPr>
    </w:p>
    <w:tbl>
      <w:tblPr>
        <w:tblW w:w="5336" w:type="dxa"/>
        <w:jc w:val="center"/>
        <w:tblInd w:w="10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4486"/>
        <w:gridCol w:w="850"/>
      </w:tblGrid>
      <w:tr w:rsidR="003E6588" w:rsidTr="00FE655E">
        <w:trPr>
          <w:trHeight w:val="191"/>
          <w:jc w:val="center"/>
        </w:trPr>
        <w:tc>
          <w:tcPr>
            <w:tcW w:w="4486" w:type="dxa"/>
            <w:shd w:val="clear" w:color="auto" w:fill="auto"/>
            <w:vAlign w:val="center"/>
            <w:hideMark/>
          </w:tcPr>
          <w:p w:rsidR="003E6588" w:rsidRDefault="003E6588" w:rsidP="00FE655E">
            <w:pPr>
              <w:jc w:val="left"/>
              <w:rPr>
                <w:b/>
                <w:bCs/>
                <w:sz w:val="20"/>
                <w:szCs w:val="20"/>
              </w:rPr>
            </w:pPr>
            <w:r>
              <w:rPr>
                <w:b/>
                <w:bCs/>
                <w:sz w:val="20"/>
                <w:szCs w:val="20"/>
              </w:rPr>
              <w:t>DEPURAÇÃO INTERNA - PM</w:t>
            </w:r>
          </w:p>
        </w:tc>
        <w:tc>
          <w:tcPr>
            <w:tcW w:w="850" w:type="dxa"/>
            <w:shd w:val="clear" w:color="auto" w:fill="auto"/>
            <w:vAlign w:val="center"/>
            <w:hideMark/>
          </w:tcPr>
          <w:p w:rsidR="003E6588" w:rsidRDefault="003E6588">
            <w:pPr>
              <w:rPr>
                <w:b/>
                <w:bCs/>
                <w:color w:val="FF0000"/>
                <w:sz w:val="20"/>
                <w:szCs w:val="20"/>
              </w:rPr>
            </w:pPr>
          </w:p>
        </w:tc>
      </w:tr>
      <w:tr w:rsidR="003E6588" w:rsidTr="00FE655E">
        <w:trPr>
          <w:trHeight w:val="100"/>
          <w:jc w:val="center"/>
        </w:trPr>
        <w:tc>
          <w:tcPr>
            <w:tcW w:w="4486" w:type="dxa"/>
            <w:shd w:val="clear" w:color="auto" w:fill="auto"/>
            <w:vAlign w:val="center"/>
            <w:hideMark/>
          </w:tcPr>
          <w:p w:rsidR="003E6588" w:rsidRDefault="003E6588" w:rsidP="00FE655E">
            <w:pPr>
              <w:jc w:val="left"/>
              <w:rPr>
                <w:sz w:val="20"/>
                <w:szCs w:val="20"/>
              </w:rPr>
            </w:pPr>
            <w:r>
              <w:rPr>
                <w:sz w:val="20"/>
                <w:szCs w:val="20"/>
              </w:rPr>
              <w:t>Policiais Militares Expulsos</w:t>
            </w:r>
          </w:p>
        </w:tc>
        <w:tc>
          <w:tcPr>
            <w:tcW w:w="850" w:type="dxa"/>
            <w:shd w:val="clear" w:color="auto" w:fill="auto"/>
            <w:vAlign w:val="center"/>
            <w:hideMark/>
          </w:tcPr>
          <w:p w:rsidR="003E6588" w:rsidRDefault="003E6588">
            <w:pPr>
              <w:rPr>
                <w:sz w:val="20"/>
                <w:szCs w:val="20"/>
              </w:rPr>
            </w:pPr>
            <w:r>
              <w:rPr>
                <w:sz w:val="20"/>
                <w:szCs w:val="20"/>
              </w:rPr>
              <w:t>162</w:t>
            </w:r>
          </w:p>
        </w:tc>
      </w:tr>
      <w:tr w:rsidR="003E6588" w:rsidTr="00FE655E">
        <w:trPr>
          <w:trHeight w:val="44"/>
          <w:jc w:val="center"/>
        </w:trPr>
        <w:tc>
          <w:tcPr>
            <w:tcW w:w="4486" w:type="dxa"/>
            <w:shd w:val="clear" w:color="auto" w:fill="auto"/>
            <w:vAlign w:val="center"/>
            <w:hideMark/>
          </w:tcPr>
          <w:p w:rsidR="003E6588" w:rsidRDefault="003E6588" w:rsidP="00FE655E">
            <w:pPr>
              <w:jc w:val="left"/>
              <w:rPr>
                <w:sz w:val="20"/>
                <w:szCs w:val="20"/>
              </w:rPr>
            </w:pPr>
            <w:r>
              <w:rPr>
                <w:sz w:val="20"/>
                <w:szCs w:val="20"/>
              </w:rPr>
              <w:t>Policiais Militares Demitidos</w:t>
            </w:r>
          </w:p>
        </w:tc>
        <w:tc>
          <w:tcPr>
            <w:tcW w:w="850" w:type="dxa"/>
            <w:shd w:val="clear" w:color="auto" w:fill="auto"/>
            <w:vAlign w:val="center"/>
            <w:hideMark/>
          </w:tcPr>
          <w:p w:rsidR="003E6588" w:rsidRDefault="003E6588">
            <w:pPr>
              <w:rPr>
                <w:sz w:val="20"/>
                <w:szCs w:val="20"/>
              </w:rPr>
            </w:pPr>
            <w:r>
              <w:rPr>
                <w:sz w:val="20"/>
                <w:szCs w:val="20"/>
              </w:rPr>
              <w:t>127</w:t>
            </w:r>
          </w:p>
        </w:tc>
      </w:tr>
      <w:tr w:rsidR="003E6588" w:rsidTr="00FE655E">
        <w:trPr>
          <w:trHeight w:val="44"/>
          <w:jc w:val="center"/>
        </w:trPr>
        <w:tc>
          <w:tcPr>
            <w:tcW w:w="4486" w:type="dxa"/>
            <w:shd w:val="clear" w:color="auto" w:fill="auto"/>
            <w:vAlign w:val="center"/>
            <w:hideMark/>
          </w:tcPr>
          <w:p w:rsidR="003E6588" w:rsidRDefault="003E6588" w:rsidP="00FE655E">
            <w:pPr>
              <w:jc w:val="left"/>
              <w:rPr>
                <w:sz w:val="20"/>
                <w:szCs w:val="20"/>
              </w:rPr>
            </w:pPr>
            <w:r>
              <w:rPr>
                <w:sz w:val="20"/>
                <w:szCs w:val="20"/>
              </w:rPr>
              <w:t>Inquérito Policial Militar</w:t>
            </w:r>
          </w:p>
        </w:tc>
        <w:tc>
          <w:tcPr>
            <w:tcW w:w="850" w:type="dxa"/>
            <w:shd w:val="clear" w:color="auto" w:fill="auto"/>
            <w:vAlign w:val="center"/>
            <w:hideMark/>
          </w:tcPr>
          <w:p w:rsidR="003E6588" w:rsidRDefault="003E6588">
            <w:pPr>
              <w:rPr>
                <w:sz w:val="20"/>
                <w:szCs w:val="20"/>
              </w:rPr>
            </w:pPr>
            <w:r>
              <w:rPr>
                <w:sz w:val="20"/>
                <w:szCs w:val="20"/>
              </w:rPr>
              <w:t>2.365</w:t>
            </w:r>
          </w:p>
        </w:tc>
      </w:tr>
      <w:tr w:rsidR="003E6588" w:rsidTr="00FE655E">
        <w:trPr>
          <w:trHeight w:val="82"/>
          <w:jc w:val="center"/>
        </w:trPr>
        <w:tc>
          <w:tcPr>
            <w:tcW w:w="4486" w:type="dxa"/>
            <w:shd w:val="clear" w:color="auto" w:fill="auto"/>
            <w:vAlign w:val="center"/>
            <w:hideMark/>
          </w:tcPr>
          <w:p w:rsidR="003E6588" w:rsidRDefault="003E6588" w:rsidP="00FE655E">
            <w:pPr>
              <w:jc w:val="left"/>
              <w:rPr>
                <w:sz w:val="20"/>
                <w:szCs w:val="20"/>
              </w:rPr>
            </w:pPr>
            <w:r>
              <w:rPr>
                <w:sz w:val="20"/>
                <w:szCs w:val="20"/>
              </w:rPr>
              <w:t>Conselho de Justificação</w:t>
            </w:r>
          </w:p>
        </w:tc>
        <w:tc>
          <w:tcPr>
            <w:tcW w:w="850" w:type="dxa"/>
            <w:shd w:val="clear" w:color="auto" w:fill="auto"/>
            <w:vAlign w:val="center"/>
            <w:hideMark/>
          </w:tcPr>
          <w:p w:rsidR="003E6588" w:rsidRDefault="003E6588">
            <w:pPr>
              <w:rPr>
                <w:sz w:val="20"/>
                <w:szCs w:val="20"/>
              </w:rPr>
            </w:pPr>
            <w:r>
              <w:rPr>
                <w:sz w:val="20"/>
                <w:szCs w:val="20"/>
              </w:rPr>
              <w:t>28</w:t>
            </w:r>
          </w:p>
        </w:tc>
      </w:tr>
      <w:tr w:rsidR="003E6588" w:rsidTr="00FE655E">
        <w:trPr>
          <w:trHeight w:val="128"/>
          <w:jc w:val="center"/>
        </w:trPr>
        <w:tc>
          <w:tcPr>
            <w:tcW w:w="4486" w:type="dxa"/>
            <w:shd w:val="clear" w:color="auto" w:fill="auto"/>
            <w:vAlign w:val="center"/>
            <w:hideMark/>
          </w:tcPr>
          <w:p w:rsidR="003E6588" w:rsidRDefault="003E6588" w:rsidP="00FE655E">
            <w:pPr>
              <w:jc w:val="left"/>
              <w:rPr>
                <w:sz w:val="20"/>
                <w:szCs w:val="20"/>
              </w:rPr>
            </w:pPr>
            <w:r>
              <w:rPr>
                <w:sz w:val="20"/>
                <w:szCs w:val="20"/>
              </w:rPr>
              <w:t>Conselho de Disciplina</w:t>
            </w:r>
          </w:p>
        </w:tc>
        <w:tc>
          <w:tcPr>
            <w:tcW w:w="850" w:type="dxa"/>
            <w:shd w:val="clear" w:color="auto" w:fill="auto"/>
            <w:vAlign w:val="center"/>
            <w:hideMark/>
          </w:tcPr>
          <w:p w:rsidR="003E6588" w:rsidRDefault="003E6588">
            <w:pPr>
              <w:rPr>
                <w:sz w:val="20"/>
                <w:szCs w:val="20"/>
              </w:rPr>
            </w:pPr>
            <w:r>
              <w:rPr>
                <w:sz w:val="20"/>
                <w:szCs w:val="20"/>
              </w:rPr>
              <w:t>151</w:t>
            </w:r>
          </w:p>
        </w:tc>
      </w:tr>
      <w:tr w:rsidR="003E6588" w:rsidTr="00FE655E">
        <w:trPr>
          <w:trHeight w:val="44"/>
          <w:jc w:val="center"/>
        </w:trPr>
        <w:tc>
          <w:tcPr>
            <w:tcW w:w="4486" w:type="dxa"/>
            <w:shd w:val="clear" w:color="auto" w:fill="auto"/>
            <w:vAlign w:val="center"/>
            <w:hideMark/>
          </w:tcPr>
          <w:p w:rsidR="003E6588" w:rsidRDefault="003E6588" w:rsidP="00FE655E">
            <w:pPr>
              <w:jc w:val="left"/>
              <w:rPr>
                <w:sz w:val="20"/>
                <w:szCs w:val="20"/>
              </w:rPr>
            </w:pPr>
            <w:r>
              <w:rPr>
                <w:sz w:val="20"/>
                <w:szCs w:val="20"/>
              </w:rPr>
              <w:t>Processo Administrativo Disciplinar</w:t>
            </w:r>
          </w:p>
        </w:tc>
        <w:tc>
          <w:tcPr>
            <w:tcW w:w="850" w:type="dxa"/>
            <w:shd w:val="clear" w:color="auto" w:fill="auto"/>
            <w:vAlign w:val="center"/>
            <w:hideMark/>
          </w:tcPr>
          <w:p w:rsidR="003E6588" w:rsidRDefault="003E6588">
            <w:pPr>
              <w:rPr>
                <w:sz w:val="20"/>
                <w:szCs w:val="20"/>
              </w:rPr>
            </w:pPr>
            <w:r>
              <w:rPr>
                <w:sz w:val="20"/>
                <w:szCs w:val="20"/>
              </w:rPr>
              <w:t>59</w:t>
            </w:r>
          </w:p>
        </w:tc>
      </w:tr>
      <w:tr w:rsidR="003E6588" w:rsidTr="00FE655E">
        <w:trPr>
          <w:trHeight w:val="78"/>
          <w:jc w:val="center"/>
        </w:trPr>
        <w:tc>
          <w:tcPr>
            <w:tcW w:w="4486" w:type="dxa"/>
            <w:shd w:val="clear" w:color="auto" w:fill="auto"/>
            <w:vAlign w:val="center"/>
            <w:hideMark/>
          </w:tcPr>
          <w:p w:rsidR="003E6588" w:rsidRDefault="003E6588" w:rsidP="00FE655E">
            <w:pPr>
              <w:jc w:val="left"/>
              <w:rPr>
                <w:sz w:val="20"/>
                <w:szCs w:val="20"/>
              </w:rPr>
            </w:pPr>
            <w:r>
              <w:rPr>
                <w:sz w:val="20"/>
                <w:szCs w:val="20"/>
              </w:rPr>
              <w:t>Policiais Reformados Administrativamente</w:t>
            </w:r>
          </w:p>
        </w:tc>
        <w:tc>
          <w:tcPr>
            <w:tcW w:w="850" w:type="dxa"/>
            <w:shd w:val="clear" w:color="auto" w:fill="auto"/>
            <w:vAlign w:val="center"/>
            <w:hideMark/>
          </w:tcPr>
          <w:p w:rsidR="003E6588" w:rsidRDefault="003E6588">
            <w:pPr>
              <w:rPr>
                <w:sz w:val="20"/>
                <w:szCs w:val="20"/>
              </w:rPr>
            </w:pPr>
            <w:r>
              <w:rPr>
                <w:sz w:val="20"/>
                <w:szCs w:val="20"/>
              </w:rPr>
              <w:t>15</w:t>
            </w:r>
          </w:p>
        </w:tc>
      </w:tr>
      <w:tr w:rsidR="003E6588" w:rsidTr="00FE655E">
        <w:trPr>
          <w:trHeight w:val="110"/>
          <w:jc w:val="center"/>
        </w:trPr>
        <w:tc>
          <w:tcPr>
            <w:tcW w:w="4486" w:type="dxa"/>
            <w:shd w:val="clear" w:color="auto" w:fill="auto"/>
            <w:vAlign w:val="center"/>
            <w:hideMark/>
          </w:tcPr>
          <w:p w:rsidR="003E6588" w:rsidRDefault="003E6588" w:rsidP="00FE655E">
            <w:pPr>
              <w:jc w:val="left"/>
              <w:rPr>
                <w:sz w:val="20"/>
                <w:szCs w:val="20"/>
              </w:rPr>
            </w:pPr>
            <w:r>
              <w:rPr>
                <w:sz w:val="20"/>
                <w:szCs w:val="20"/>
              </w:rPr>
              <w:t>Auto de Prisão em Flagrante Delito</w:t>
            </w:r>
          </w:p>
        </w:tc>
        <w:tc>
          <w:tcPr>
            <w:tcW w:w="850" w:type="dxa"/>
            <w:shd w:val="clear" w:color="auto" w:fill="auto"/>
            <w:vAlign w:val="center"/>
            <w:hideMark/>
          </w:tcPr>
          <w:p w:rsidR="003E6588" w:rsidRDefault="003E6588">
            <w:pPr>
              <w:rPr>
                <w:sz w:val="20"/>
                <w:szCs w:val="20"/>
              </w:rPr>
            </w:pPr>
            <w:r>
              <w:rPr>
                <w:sz w:val="20"/>
                <w:szCs w:val="20"/>
              </w:rPr>
              <w:t>28</w:t>
            </w:r>
          </w:p>
        </w:tc>
      </w:tr>
      <w:tr w:rsidR="003E6588" w:rsidTr="00FE655E">
        <w:trPr>
          <w:trHeight w:val="44"/>
          <w:jc w:val="center"/>
        </w:trPr>
        <w:tc>
          <w:tcPr>
            <w:tcW w:w="4486" w:type="dxa"/>
            <w:shd w:val="clear" w:color="auto" w:fill="auto"/>
            <w:vAlign w:val="center"/>
            <w:hideMark/>
          </w:tcPr>
          <w:p w:rsidR="003E6588" w:rsidRDefault="003E6588" w:rsidP="00FE655E">
            <w:pPr>
              <w:jc w:val="left"/>
              <w:rPr>
                <w:sz w:val="20"/>
                <w:szCs w:val="20"/>
              </w:rPr>
            </w:pPr>
            <w:r>
              <w:rPr>
                <w:sz w:val="20"/>
                <w:szCs w:val="20"/>
              </w:rPr>
              <w:t>PM Rec. p/averiguação (Inciso 1º, Art. 26 do RDPM)</w:t>
            </w:r>
          </w:p>
        </w:tc>
        <w:tc>
          <w:tcPr>
            <w:tcW w:w="850" w:type="dxa"/>
            <w:shd w:val="clear" w:color="auto" w:fill="auto"/>
            <w:vAlign w:val="center"/>
            <w:hideMark/>
          </w:tcPr>
          <w:p w:rsidR="003E6588" w:rsidRDefault="003E6588">
            <w:pPr>
              <w:rPr>
                <w:sz w:val="20"/>
                <w:szCs w:val="20"/>
              </w:rPr>
            </w:pPr>
            <w:r>
              <w:rPr>
                <w:sz w:val="20"/>
                <w:szCs w:val="20"/>
              </w:rPr>
              <w:t>64</w:t>
            </w:r>
          </w:p>
        </w:tc>
      </w:tr>
    </w:tbl>
    <w:p w:rsidR="00CB0DF8" w:rsidRDefault="003E6588">
      <w:pPr>
        <w:ind w:left="708" w:firstLine="708"/>
        <w:jc w:val="left"/>
        <w:rPr>
          <w:sz w:val="16"/>
          <w:szCs w:val="16"/>
        </w:rPr>
      </w:pPr>
      <w:r>
        <w:rPr>
          <w:sz w:val="16"/>
          <w:szCs w:val="16"/>
        </w:rPr>
        <w:t xml:space="preserve">  </w:t>
      </w:r>
      <w:r w:rsidR="00FE655E">
        <w:rPr>
          <w:sz w:val="16"/>
          <w:szCs w:val="16"/>
        </w:rPr>
        <w:t xml:space="preserve">                       </w:t>
      </w:r>
      <w:r>
        <w:rPr>
          <w:sz w:val="16"/>
          <w:szCs w:val="16"/>
        </w:rPr>
        <w:t xml:space="preserve"> Fonte: CorregPM</w:t>
      </w:r>
    </w:p>
    <w:p w:rsidR="00FE655E" w:rsidRPr="006A3011" w:rsidRDefault="00FE655E">
      <w:pPr>
        <w:keepNext/>
        <w:keepLines/>
        <w:numPr>
          <w:ilvl w:val="2"/>
          <w:numId w:val="0"/>
        </w:numPr>
        <w:ind w:firstLine="1134"/>
        <w:jc w:val="both"/>
        <w:outlineLvl w:val="2"/>
        <w:rPr>
          <w:bCs/>
          <w:sz w:val="16"/>
          <w:szCs w:val="16"/>
          <w:lang w:eastAsia="en-US"/>
        </w:rPr>
      </w:pPr>
    </w:p>
    <w:tbl>
      <w:tblPr>
        <w:tblW w:w="6436" w:type="dxa"/>
        <w:jc w:val="center"/>
        <w:tblInd w:w="167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5436"/>
        <w:gridCol w:w="1000"/>
      </w:tblGrid>
      <w:tr w:rsidR="003E6588" w:rsidTr="006A3011">
        <w:trPr>
          <w:trHeight w:val="54"/>
          <w:jc w:val="center"/>
        </w:trPr>
        <w:tc>
          <w:tcPr>
            <w:tcW w:w="5436" w:type="dxa"/>
            <w:shd w:val="clear" w:color="auto" w:fill="auto"/>
            <w:vAlign w:val="center"/>
            <w:hideMark/>
          </w:tcPr>
          <w:p w:rsidR="003E6588" w:rsidRDefault="003E6588">
            <w:pPr>
              <w:rPr>
                <w:b/>
                <w:bCs/>
                <w:sz w:val="20"/>
                <w:szCs w:val="20"/>
              </w:rPr>
            </w:pPr>
            <w:r>
              <w:rPr>
                <w:b/>
                <w:bCs/>
                <w:sz w:val="20"/>
                <w:szCs w:val="20"/>
              </w:rPr>
              <w:t>DEPURAÇÃO INTERNA - Corregedoria da Polícia Civil</w:t>
            </w:r>
          </w:p>
        </w:tc>
        <w:tc>
          <w:tcPr>
            <w:tcW w:w="1000" w:type="dxa"/>
            <w:shd w:val="clear" w:color="auto" w:fill="auto"/>
            <w:vAlign w:val="center"/>
            <w:hideMark/>
          </w:tcPr>
          <w:p w:rsidR="003E6588" w:rsidRDefault="003E6588">
            <w:pPr>
              <w:rPr>
                <w:b/>
                <w:bCs/>
                <w:sz w:val="20"/>
                <w:szCs w:val="20"/>
              </w:rPr>
            </w:pPr>
          </w:p>
        </w:tc>
      </w:tr>
      <w:tr w:rsidR="003E6588" w:rsidTr="006A3011">
        <w:trPr>
          <w:trHeight w:val="44"/>
          <w:jc w:val="center"/>
        </w:trPr>
        <w:tc>
          <w:tcPr>
            <w:tcW w:w="5436" w:type="dxa"/>
            <w:shd w:val="clear" w:color="auto" w:fill="auto"/>
            <w:vAlign w:val="center"/>
            <w:hideMark/>
          </w:tcPr>
          <w:p w:rsidR="003E6588" w:rsidRDefault="003E6588" w:rsidP="006A3011">
            <w:pPr>
              <w:jc w:val="left"/>
              <w:rPr>
                <w:sz w:val="20"/>
                <w:szCs w:val="20"/>
              </w:rPr>
            </w:pPr>
            <w:r>
              <w:rPr>
                <w:sz w:val="20"/>
                <w:szCs w:val="20"/>
              </w:rPr>
              <w:t>Demissão</w:t>
            </w:r>
          </w:p>
        </w:tc>
        <w:tc>
          <w:tcPr>
            <w:tcW w:w="1000" w:type="dxa"/>
            <w:shd w:val="clear" w:color="auto" w:fill="auto"/>
            <w:vAlign w:val="center"/>
            <w:hideMark/>
          </w:tcPr>
          <w:p w:rsidR="003E6588" w:rsidRDefault="003E6588">
            <w:pPr>
              <w:rPr>
                <w:sz w:val="20"/>
                <w:szCs w:val="20"/>
              </w:rPr>
            </w:pPr>
            <w:r>
              <w:rPr>
                <w:sz w:val="20"/>
                <w:szCs w:val="20"/>
              </w:rPr>
              <w:t>70</w:t>
            </w:r>
          </w:p>
        </w:tc>
      </w:tr>
      <w:tr w:rsidR="003E6588" w:rsidTr="006A3011">
        <w:trPr>
          <w:trHeight w:val="76"/>
          <w:jc w:val="center"/>
        </w:trPr>
        <w:tc>
          <w:tcPr>
            <w:tcW w:w="5436" w:type="dxa"/>
            <w:shd w:val="clear" w:color="auto" w:fill="auto"/>
            <w:vAlign w:val="center"/>
            <w:hideMark/>
          </w:tcPr>
          <w:p w:rsidR="003E6588" w:rsidRDefault="003E6588" w:rsidP="006A3011">
            <w:pPr>
              <w:jc w:val="left"/>
              <w:rPr>
                <w:sz w:val="20"/>
                <w:szCs w:val="20"/>
              </w:rPr>
            </w:pPr>
            <w:r>
              <w:rPr>
                <w:sz w:val="20"/>
                <w:szCs w:val="20"/>
              </w:rPr>
              <w:t>Exoneração/perda de função/cassação de aposentadoria</w:t>
            </w:r>
          </w:p>
        </w:tc>
        <w:tc>
          <w:tcPr>
            <w:tcW w:w="1000" w:type="dxa"/>
            <w:shd w:val="clear" w:color="auto" w:fill="auto"/>
            <w:vAlign w:val="center"/>
            <w:hideMark/>
          </w:tcPr>
          <w:p w:rsidR="003E6588" w:rsidRDefault="003E6588">
            <w:pPr>
              <w:rPr>
                <w:sz w:val="20"/>
                <w:szCs w:val="20"/>
              </w:rPr>
            </w:pPr>
            <w:r>
              <w:rPr>
                <w:sz w:val="20"/>
                <w:szCs w:val="20"/>
              </w:rPr>
              <w:t>17</w:t>
            </w:r>
          </w:p>
        </w:tc>
      </w:tr>
      <w:tr w:rsidR="003E6588" w:rsidTr="006A3011">
        <w:trPr>
          <w:trHeight w:val="122"/>
          <w:jc w:val="center"/>
        </w:trPr>
        <w:tc>
          <w:tcPr>
            <w:tcW w:w="5436" w:type="dxa"/>
            <w:shd w:val="clear" w:color="auto" w:fill="auto"/>
            <w:vAlign w:val="center"/>
            <w:hideMark/>
          </w:tcPr>
          <w:p w:rsidR="003E6588" w:rsidRDefault="003E6588" w:rsidP="006A3011">
            <w:pPr>
              <w:jc w:val="left"/>
              <w:rPr>
                <w:sz w:val="20"/>
                <w:szCs w:val="20"/>
              </w:rPr>
            </w:pPr>
            <w:r>
              <w:rPr>
                <w:sz w:val="20"/>
                <w:szCs w:val="20"/>
              </w:rPr>
              <w:t>Outras punições</w:t>
            </w:r>
          </w:p>
        </w:tc>
        <w:tc>
          <w:tcPr>
            <w:tcW w:w="1000" w:type="dxa"/>
            <w:shd w:val="clear" w:color="auto" w:fill="auto"/>
            <w:vAlign w:val="center"/>
            <w:hideMark/>
          </w:tcPr>
          <w:p w:rsidR="003E6588" w:rsidRDefault="003E6588">
            <w:pPr>
              <w:rPr>
                <w:sz w:val="20"/>
                <w:szCs w:val="20"/>
              </w:rPr>
            </w:pPr>
            <w:r>
              <w:rPr>
                <w:sz w:val="20"/>
                <w:szCs w:val="20"/>
              </w:rPr>
              <w:t>601</w:t>
            </w:r>
          </w:p>
        </w:tc>
      </w:tr>
      <w:tr w:rsidR="003E6588" w:rsidTr="006A3011">
        <w:trPr>
          <w:trHeight w:val="167"/>
          <w:jc w:val="center"/>
        </w:trPr>
        <w:tc>
          <w:tcPr>
            <w:tcW w:w="5436" w:type="dxa"/>
            <w:shd w:val="clear" w:color="auto" w:fill="auto"/>
            <w:vAlign w:val="center"/>
            <w:hideMark/>
          </w:tcPr>
          <w:p w:rsidR="003E6588" w:rsidRDefault="003E6588">
            <w:pPr>
              <w:rPr>
                <w:b/>
                <w:sz w:val="20"/>
                <w:szCs w:val="20"/>
              </w:rPr>
            </w:pPr>
            <w:r>
              <w:rPr>
                <w:b/>
                <w:sz w:val="20"/>
                <w:szCs w:val="20"/>
              </w:rPr>
              <w:t>Total de punições</w:t>
            </w:r>
          </w:p>
        </w:tc>
        <w:tc>
          <w:tcPr>
            <w:tcW w:w="1000" w:type="dxa"/>
            <w:shd w:val="clear" w:color="auto" w:fill="auto"/>
            <w:vAlign w:val="center"/>
            <w:hideMark/>
          </w:tcPr>
          <w:p w:rsidR="003E6588" w:rsidRDefault="003E6588">
            <w:pPr>
              <w:rPr>
                <w:b/>
                <w:sz w:val="20"/>
                <w:szCs w:val="20"/>
              </w:rPr>
            </w:pPr>
            <w:r>
              <w:rPr>
                <w:b/>
                <w:sz w:val="20"/>
                <w:szCs w:val="20"/>
              </w:rPr>
              <w:t>601</w:t>
            </w:r>
          </w:p>
        </w:tc>
      </w:tr>
      <w:tr w:rsidR="003E6588" w:rsidTr="006A3011">
        <w:trPr>
          <w:trHeight w:val="72"/>
          <w:jc w:val="center"/>
        </w:trPr>
        <w:tc>
          <w:tcPr>
            <w:tcW w:w="5436" w:type="dxa"/>
            <w:shd w:val="clear" w:color="auto" w:fill="auto"/>
            <w:vAlign w:val="center"/>
            <w:hideMark/>
          </w:tcPr>
          <w:p w:rsidR="003E6588" w:rsidRDefault="003E6588" w:rsidP="006A3011">
            <w:pPr>
              <w:jc w:val="left"/>
              <w:rPr>
                <w:sz w:val="20"/>
                <w:szCs w:val="20"/>
              </w:rPr>
            </w:pPr>
            <w:r>
              <w:rPr>
                <w:sz w:val="20"/>
                <w:szCs w:val="20"/>
              </w:rPr>
              <w:t>Apurações instauradas</w:t>
            </w:r>
          </w:p>
        </w:tc>
        <w:tc>
          <w:tcPr>
            <w:tcW w:w="1000" w:type="dxa"/>
            <w:shd w:val="clear" w:color="auto" w:fill="auto"/>
            <w:vAlign w:val="center"/>
            <w:hideMark/>
          </w:tcPr>
          <w:p w:rsidR="003E6588" w:rsidRDefault="003E6588">
            <w:pPr>
              <w:rPr>
                <w:sz w:val="20"/>
                <w:szCs w:val="20"/>
              </w:rPr>
            </w:pPr>
            <w:r>
              <w:rPr>
                <w:sz w:val="20"/>
                <w:szCs w:val="20"/>
              </w:rPr>
              <w:t>3.939</w:t>
            </w:r>
          </w:p>
        </w:tc>
      </w:tr>
      <w:tr w:rsidR="003E6588" w:rsidTr="006A3011">
        <w:trPr>
          <w:trHeight w:val="117"/>
          <w:jc w:val="center"/>
        </w:trPr>
        <w:tc>
          <w:tcPr>
            <w:tcW w:w="5436" w:type="dxa"/>
            <w:shd w:val="clear" w:color="auto" w:fill="auto"/>
            <w:vAlign w:val="center"/>
            <w:hideMark/>
          </w:tcPr>
          <w:p w:rsidR="003E6588" w:rsidRDefault="003E6588" w:rsidP="006A3011">
            <w:pPr>
              <w:jc w:val="left"/>
              <w:rPr>
                <w:sz w:val="20"/>
                <w:szCs w:val="20"/>
              </w:rPr>
            </w:pPr>
            <w:r>
              <w:rPr>
                <w:sz w:val="20"/>
                <w:szCs w:val="20"/>
              </w:rPr>
              <w:t>Inquéritos instaurados</w:t>
            </w:r>
          </w:p>
        </w:tc>
        <w:tc>
          <w:tcPr>
            <w:tcW w:w="1000" w:type="dxa"/>
            <w:shd w:val="clear" w:color="auto" w:fill="auto"/>
            <w:vAlign w:val="center"/>
            <w:hideMark/>
          </w:tcPr>
          <w:p w:rsidR="003E6588" w:rsidRDefault="003E6588">
            <w:pPr>
              <w:rPr>
                <w:sz w:val="20"/>
                <w:szCs w:val="20"/>
              </w:rPr>
            </w:pPr>
            <w:r>
              <w:rPr>
                <w:sz w:val="20"/>
                <w:szCs w:val="20"/>
              </w:rPr>
              <w:t>1.249</w:t>
            </w:r>
          </w:p>
        </w:tc>
      </w:tr>
      <w:tr w:rsidR="003E6588" w:rsidTr="006A3011">
        <w:trPr>
          <w:trHeight w:val="44"/>
          <w:jc w:val="center"/>
        </w:trPr>
        <w:tc>
          <w:tcPr>
            <w:tcW w:w="5436" w:type="dxa"/>
            <w:shd w:val="clear" w:color="auto" w:fill="auto"/>
            <w:vAlign w:val="center"/>
            <w:hideMark/>
          </w:tcPr>
          <w:p w:rsidR="003E6588" w:rsidRDefault="003E6588" w:rsidP="006A3011">
            <w:pPr>
              <w:jc w:val="left"/>
              <w:rPr>
                <w:sz w:val="20"/>
                <w:szCs w:val="20"/>
              </w:rPr>
            </w:pPr>
            <w:r>
              <w:rPr>
                <w:sz w:val="20"/>
                <w:szCs w:val="20"/>
              </w:rPr>
              <w:t>Sindicâncias instauradas</w:t>
            </w:r>
          </w:p>
        </w:tc>
        <w:tc>
          <w:tcPr>
            <w:tcW w:w="1000" w:type="dxa"/>
            <w:shd w:val="clear" w:color="auto" w:fill="auto"/>
            <w:vAlign w:val="center"/>
            <w:hideMark/>
          </w:tcPr>
          <w:p w:rsidR="003E6588" w:rsidRDefault="003E6588">
            <w:pPr>
              <w:rPr>
                <w:sz w:val="20"/>
                <w:szCs w:val="20"/>
              </w:rPr>
            </w:pPr>
            <w:r>
              <w:rPr>
                <w:sz w:val="20"/>
                <w:szCs w:val="20"/>
              </w:rPr>
              <w:t>736</w:t>
            </w:r>
          </w:p>
        </w:tc>
      </w:tr>
      <w:tr w:rsidR="003E6588" w:rsidTr="006A3011">
        <w:trPr>
          <w:trHeight w:val="54"/>
          <w:jc w:val="center"/>
        </w:trPr>
        <w:tc>
          <w:tcPr>
            <w:tcW w:w="5436" w:type="dxa"/>
            <w:shd w:val="clear" w:color="auto" w:fill="auto"/>
            <w:vAlign w:val="center"/>
            <w:hideMark/>
          </w:tcPr>
          <w:p w:rsidR="003E6588" w:rsidRDefault="003E6588" w:rsidP="006A3011">
            <w:pPr>
              <w:jc w:val="left"/>
              <w:rPr>
                <w:sz w:val="20"/>
                <w:szCs w:val="20"/>
              </w:rPr>
            </w:pPr>
            <w:r>
              <w:rPr>
                <w:sz w:val="20"/>
                <w:szCs w:val="20"/>
              </w:rPr>
              <w:t>Processos instaurados</w:t>
            </w:r>
          </w:p>
        </w:tc>
        <w:tc>
          <w:tcPr>
            <w:tcW w:w="1000" w:type="dxa"/>
            <w:shd w:val="clear" w:color="auto" w:fill="auto"/>
            <w:vAlign w:val="center"/>
            <w:hideMark/>
          </w:tcPr>
          <w:p w:rsidR="003E6588" w:rsidRDefault="003E6588">
            <w:pPr>
              <w:rPr>
                <w:sz w:val="20"/>
                <w:szCs w:val="20"/>
              </w:rPr>
            </w:pPr>
            <w:r>
              <w:rPr>
                <w:sz w:val="20"/>
                <w:szCs w:val="20"/>
              </w:rPr>
              <w:t>265</w:t>
            </w:r>
          </w:p>
        </w:tc>
      </w:tr>
      <w:tr w:rsidR="003E6588" w:rsidTr="006A3011">
        <w:trPr>
          <w:trHeight w:val="44"/>
          <w:jc w:val="center"/>
        </w:trPr>
        <w:tc>
          <w:tcPr>
            <w:tcW w:w="5436" w:type="dxa"/>
            <w:shd w:val="clear" w:color="auto" w:fill="auto"/>
            <w:vAlign w:val="center"/>
          </w:tcPr>
          <w:p w:rsidR="003E6588" w:rsidRDefault="003E6588" w:rsidP="006A3011">
            <w:pPr>
              <w:jc w:val="left"/>
              <w:rPr>
                <w:sz w:val="20"/>
                <w:szCs w:val="20"/>
              </w:rPr>
            </w:pPr>
            <w:r>
              <w:rPr>
                <w:sz w:val="20"/>
                <w:szCs w:val="20"/>
              </w:rPr>
              <w:t>Processos administrativos instaurados</w:t>
            </w:r>
          </w:p>
        </w:tc>
        <w:tc>
          <w:tcPr>
            <w:tcW w:w="1000" w:type="dxa"/>
            <w:shd w:val="clear" w:color="auto" w:fill="auto"/>
            <w:vAlign w:val="center"/>
          </w:tcPr>
          <w:p w:rsidR="003E6588" w:rsidRDefault="003E6588">
            <w:pPr>
              <w:rPr>
                <w:sz w:val="20"/>
                <w:szCs w:val="20"/>
              </w:rPr>
            </w:pPr>
            <w:r>
              <w:rPr>
                <w:sz w:val="20"/>
                <w:szCs w:val="20"/>
              </w:rPr>
              <w:t>43</w:t>
            </w:r>
          </w:p>
        </w:tc>
      </w:tr>
      <w:tr w:rsidR="003E6588" w:rsidTr="006A3011">
        <w:trPr>
          <w:trHeight w:val="146"/>
          <w:jc w:val="center"/>
        </w:trPr>
        <w:tc>
          <w:tcPr>
            <w:tcW w:w="5436" w:type="dxa"/>
            <w:shd w:val="clear" w:color="auto" w:fill="auto"/>
            <w:vAlign w:val="center"/>
            <w:hideMark/>
          </w:tcPr>
          <w:p w:rsidR="003E6588" w:rsidRDefault="003E6588">
            <w:pPr>
              <w:rPr>
                <w:b/>
                <w:sz w:val="20"/>
                <w:szCs w:val="20"/>
              </w:rPr>
            </w:pPr>
            <w:r>
              <w:rPr>
                <w:b/>
                <w:sz w:val="20"/>
                <w:szCs w:val="20"/>
              </w:rPr>
              <w:t>Total de procedimentos instaurados</w:t>
            </w:r>
          </w:p>
        </w:tc>
        <w:tc>
          <w:tcPr>
            <w:tcW w:w="1000" w:type="dxa"/>
            <w:shd w:val="clear" w:color="auto" w:fill="auto"/>
            <w:vAlign w:val="center"/>
            <w:hideMark/>
          </w:tcPr>
          <w:p w:rsidR="003E6588" w:rsidRDefault="003E6588">
            <w:pPr>
              <w:rPr>
                <w:b/>
                <w:sz w:val="20"/>
                <w:szCs w:val="20"/>
              </w:rPr>
            </w:pPr>
            <w:r>
              <w:rPr>
                <w:b/>
                <w:sz w:val="20"/>
                <w:szCs w:val="20"/>
              </w:rPr>
              <w:t>6.232</w:t>
            </w:r>
          </w:p>
        </w:tc>
      </w:tr>
      <w:tr w:rsidR="003E6588" w:rsidTr="006A3011">
        <w:trPr>
          <w:trHeight w:val="59"/>
          <w:jc w:val="center"/>
        </w:trPr>
        <w:tc>
          <w:tcPr>
            <w:tcW w:w="5436" w:type="dxa"/>
            <w:shd w:val="clear" w:color="auto" w:fill="auto"/>
            <w:vAlign w:val="center"/>
          </w:tcPr>
          <w:p w:rsidR="003E6588" w:rsidRDefault="003E6588" w:rsidP="006A3011">
            <w:pPr>
              <w:jc w:val="left"/>
              <w:rPr>
                <w:sz w:val="20"/>
                <w:szCs w:val="20"/>
              </w:rPr>
            </w:pPr>
            <w:r>
              <w:rPr>
                <w:sz w:val="20"/>
                <w:szCs w:val="20"/>
              </w:rPr>
              <w:t>Flagrantes</w:t>
            </w:r>
          </w:p>
        </w:tc>
        <w:tc>
          <w:tcPr>
            <w:tcW w:w="1000" w:type="dxa"/>
            <w:shd w:val="clear" w:color="auto" w:fill="auto"/>
            <w:vAlign w:val="center"/>
          </w:tcPr>
          <w:p w:rsidR="003E6588" w:rsidRDefault="003E6588">
            <w:pPr>
              <w:rPr>
                <w:sz w:val="20"/>
                <w:szCs w:val="20"/>
              </w:rPr>
            </w:pPr>
            <w:r>
              <w:rPr>
                <w:sz w:val="20"/>
                <w:szCs w:val="20"/>
              </w:rPr>
              <w:t>37</w:t>
            </w:r>
          </w:p>
        </w:tc>
      </w:tr>
      <w:tr w:rsidR="003E6588" w:rsidTr="006A3011">
        <w:trPr>
          <w:trHeight w:val="110"/>
          <w:jc w:val="center"/>
        </w:trPr>
        <w:tc>
          <w:tcPr>
            <w:tcW w:w="5436" w:type="dxa"/>
            <w:shd w:val="clear" w:color="auto" w:fill="auto"/>
            <w:vAlign w:val="center"/>
          </w:tcPr>
          <w:p w:rsidR="003E6588" w:rsidRDefault="003E6588" w:rsidP="006A3011">
            <w:pPr>
              <w:jc w:val="left"/>
              <w:rPr>
                <w:sz w:val="20"/>
                <w:szCs w:val="20"/>
              </w:rPr>
            </w:pPr>
            <w:r>
              <w:rPr>
                <w:sz w:val="20"/>
                <w:szCs w:val="20"/>
              </w:rPr>
              <w:t>Boletins de Ocorrência</w:t>
            </w:r>
          </w:p>
        </w:tc>
        <w:tc>
          <w:tcPr>
            <w:tcW w:w="1000" w:type="dxa"/>
            <w:shd w:val="clear" w:color="auto" w:fill="auto"/>
            <w:vAlign w:val="center"/>
          </w:tcPr>
          <w:p w:rsidR="003E6588" w:rsidRDefault="003E6588">
            <w:pPr>
              <w:rPr>
                <w:sz w:val="20"/>
                <w:szCs w:val="20"/>
              </w:rPr>
            </w:pPr>
            <w:r>
              <w:rPr>
                <w:sz w:val="20"/>
                <w:szCs w:val="20"/>
              </w:rPr>
              <w:t>432</w:t>
            </w:r>
          </w:p>
        </w:tc>
      </w:tr>
      <w:tr w:rsidR="003E6588" w:rsidTr="006A3011">
        <w:trPr>
          <w:trHeight w:val="44"/>
          <w:jc w:val="center"/>
        </w:trPr>
        <w:tc>
          <w:tcPr>
            <w:tcW w:w="5436" w:type="dxa"/>
            <w:shd w:val="clear" w:color="auto" w:fill="auto"/>
            <w:vAlign w:val="center"/>
          </w:tcPr>
          <w:p w:rsidR="003E6588" w:rsidRDefault="003E6588" w:rsidP="006A3011">
            <w:pPr>
              <w:jc w:val="left"/>
              <w:rPr>
                <w:sz w:val="20"/>
                <w:szCs w:val="20"/>
              </w:rPr>
            </w:pPr>
            <w:r>
              <w:rPr>
                <w:sz w:val="20"/>
                <w:szCs w:val="20"/>
              </w:rPr>
              <w:t>Termos Circunstanciado</w:t>
            </w:r>
          </w:p>
        </w:tc>
        <w:tc>
          <w:tcPr>
            <w:tcW w:w="1000" w:type="dxa"/>
            <w:shd w:val="clear" w:color="auto" w:fill="auto"/>
            <w:vAlign w:val="center"/>
          </w:tcPr>
          <w:p w:rsidR="003E6588" w:rsidRDefault="003E6588">
            <w:pPr>
              <w:rPr>
                <w:sz w:val="20"/>
                <w:szCs w:val="20"/>
              </w:rPr>
            </w:pPr>
            <w:r>
              <w:rPr>
                <w:sz w:val="20"/>
                <w:szCs w:val="20"/>
              </w:rPr>
              <w:t>51</w:t>
            </w:r>
          </w:p>
        </w:tc>
      </w:tr>
      <w:tr w:rsidR="003E6588" w:rsidTr="006A3011">
        <w:trPr>
          <w:trHeight w:val="46"/>
          <w:jc w:val="center"/>
        </w:trPr>
        <w:tc>
          <w:tcPr>
            <w:tcW w:w="5436" w:type="dxa"/>
            <w:shd w:val="clear" w:color="auto" w:fill="auto"/>
            <w:vAlign w:val="center"/>
          </w:tcPr>
          <w:p w:rsidR="003E6588" w:rsidRDefault="003E6588" w:rsidP="006A3011">
            <w:pPr>
              <w:jc w:val="left"/>
              <w:rPr>
                <w:sz w:val="20"/>
                <w:szCs w:val="20"/>
              </w:rPr>
            </w:pPr>
            <w:r>
              <w:rPr>
                <w:sz w:val="20"/>
                <w:szCs w:val="20"/>
              </w:rPr>
              <w:t>Prisões</w:t>
            </w:r>
          </w:p>
        </w:tc>
        <w:tc>
          <w:tcPr>
            <w:tcW w:w="1000" w:type="dxa"/>
            <w:shd w:val="clear" w:color="auto" w:fill="auto"/>
            <w:vAlign w:val="center"/>
          </w:tcPr>
          <w:p w:rsidR="003E6588" w:rsidRDefault="003E6588">
            <w:pPr>
              <w:rPr>
                <w:sz w:val="20"/>
                <w:szCs w:val="20"/>
              </w:rPr>
            </w:pPr>
            <w:r>
              <w:rPr>
                <w:sz w:val="20"/>
                <w:szCs w:val="20"/>
              </w:rPr>
              <w:t>65</w:t>
            </w:r>
          </w:p>
        </w:tc>
      </w:tr>
    </w:tbl>
    <w:p w:rsidR="003E6588" w:rsidRDefault="003E6588">
      <w:pPr>
        <w:rPr>
          <w:lang w:eastAsia="en-US"/>
        </w:rPr>
      </w:pPr>
    </w:p>
    <w:p w:rsidR="003E6588" w:rsidRDefault="003E6588" w:rsidP="006A3011">
      <w:pPr>
        <w:ind w:firstLine="1134"/>
        <w:jc w:val="both"/>
        <w:rPr>
          <w:b/>
          <w:lang w:eastAsia="en-US"/>
        </w:rPr>
      </w:pPr>
      <w:r>
        <w:rPr>
          <w:b/>
          <w:lang w:eastAsia="en-US"/>
        </w:rPr>
        <w:t>Informações Específicas das Polícias</w:t>
      </w:r>
    </w:p>
    <w:p w:rsidR="003E6588" w:rsidRDefault="003E6588">
      <w:pPr>
        <w:rPr>
          <w:sz w:val="16"/>
          <w:szCs w:val="16"/>
          <w:lang w:eastAsia="en-US"/>
        </w:rPr>
      </w:pPr>
    </w:p>
    <w:p w:rsidR="003E6588" w:rsidRDefault="003E6588">
      <w:pPr>
        <w:ind w:firstLine="1134"/>
        <w:jc w:val="both"/>
        <w:rPr>
          <w:b/>
          <w:lang w:eastAsia="en-US"/>
        </w:rPr>
      </w:pPr>
      <w:r>
        <w:rPr>
          <w:b/>
          <w:lang w:eastAsia="en-US"/>
        </w:rPr>
        <w:t>Polícia Militar</w:t>
      </w:r>
    </w:p>
    <w:p w:rsidR="003E6588" w:rsidRPr="008A7A96" w:rsidRDefault="003E6588">
      <w:pPr>
        <w:pStyle w:val="Ttulo20"/>
        <w:spacing w:before="0" w:after="0"/>
        <w:ind w:left="851" w:hanging="851"/>
        <w:jc w:val="both"/>
        <w:rPr>
          <w:rFonts w:ascii="Times New Roman" w:hAnsi="Times New Roman"/>
          <w:b w:val="0"/>
          <w:i w:val="0"/>
          <w:sz w:val="16"/>
          <w:szCs w:val="16"/>
          <w:lang w:val="pt-BR"/>
        </w:rPr>
      </w:pPr>
      <w:bookmarkStart w:id="28" w:name="_Toc279578165"/>
    </w:p>
    <w:p w:rsidR="003E6588" w:rsidRDefault="003E6588">
      <w:pPr>
        <w:ind w:firstLine="1134"/>
        <w:jc w:val="both"/>
      </w:pPr>
      <w:r>
        <w:rPr>
          <w:b/>
        </w:rPr>
        <w:t>Periculosidade do serviço policial militar</w:t>
      </w:r>
      <w:bookmarkEnd w:id="28"/>
      <w:r>
        <w:rPr>
          <w:b/>
        </w:rPr>
        <w:t xml:space="preserve"> - </w:t>
      </w:r>
      <w:r>
        <w:t xml:space="preserve">A atividade policial, notadamente a exercida pela polícia ostensiva, encarregada frequentemente do socorro às emergências da população mais necessitada, se reveste de peculiaridades que requerem cuidados para o seu exercício. Muito embora a Instituição tenha investido continuamente em Equipamentos de Proteção Individual e </w:t>
      </w:r>
      <w:smartTag w:uri="urn:schemas-microsoft-com:office:smarttags" w:element="PersonName">
        <w:smartTagPr>
          <w:attr w:name="ProductID" w:val="em Procedimentos Operacionais Padr￣o"/>
        </w:smartTagPr>
        <w:r>
          <w:t>em Procedimentos Operacionais Padrão</w:t>
        </w:r>
      </w:smartTag>
      <w:r>
        <w:t>, caracterizados como a melhor técnica policial de intervenção para as mais variadas situações, policiais militares ainda são alvo de violência, como se pode observar nos quadros a seguir:</w:t>
      </w:r>
    </w:p>
    <w:p w:rsidR="003E6588" w:rsidRDefault="003E6588">
      <w:pPr>
        <w:pStyle w:val="Paragrafo"/>
        <w:spacing w:after="0" w:line="240" w:lineRule="auto"/>
        <w:ind w:firstLine="1134"/>
        <w:rPr>
          <w:rFonts w:ascii="Times New Roman" w:hAnsi="Times New Roman"/>
          <w:sz w:val="16"/>
          <w:szCs w:val="16"/>
        </w:rPr>
      </w:pPr>
    </w:p>
    <w:tbl>
      <w:tblPr>
        <w:tblW w:w="4769" w:type="dxa"/>
        <w:jc w:val="center"/>
        <w:tblInd w:w="231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3174"/>
        <w:gridCol w:w="1595"/>
      </w:tblGrid>
      <w:tr w:rsidR="003E6588" w:rsidTr="00855777">
        <w:trPr>
          <w:trHeight w:val="150"/>
          <w:jc w:val="center"/>
        </w:trPr>
        <w:tc>
          <w:tcPr>
            <w:tcW w:w="3174" w:type="dxa"/>
            <w:shd w:val="clear" w:color="auto" w:fill="auto"/>
            <w:vAlign w:val="center"/>
            <w:hideMark/>
          </w:tcPr>
          <w:p w:rsidR="003E6588" w:rsidRDefault="003E6588">
            <w:pPr>
              <w:rPr>
                <w:b/>
                <w:bCs/>
                <w:sz w:val="20"/>
                <w:szCs w:val="20"/>
              </w:rPr>
            </w:pPr>
            <w:r>
              <w:rPr>
                <w:b/>
                <w:bCs/>
                <w:sz w:val="20"/>
                <w:szCs w:val="20"/>
              </w:rPr>
              <w:t xml:space="preserve">Mortos em Serviço </w:t>
            </w:r>
          </w:p>
        </w:tc>
        <w:tc>
          <w:tcPr>
            <w:tcW w:w="1595" w:type="dxa"/>
            <w:shd w:val="clear" w:color="auto" w:fill="auto"/>
            <w:vAlign w:val="center"/>
            <w:hideMark/>
          </w:tcPr>
          <w:p w:rsidR="003E6588" w:rsidRDefault="003E6588">
            <w:pPr>
              <w:rPr>
                <w:b/>
                <w:bCs/>
                <w:sz w:val="20"/>
                <w:szCs w:val="20"/>
              </w:rPr>
            </w:pPr>
          </w:p>
        </w:tc>
      </w:tr>
      <w:tr w:rsidR="003E6588" w:rsidTr="00855777">
        <w:trPr>
          <w:trHeight w:val="44"/>
          <w:jc w:val="center"/>
        </w:trPr>
        <w:tc>
          <w:tcPr>
            <w:tcW w:w="3174" w:type="dxa"/>
            <w:shd w:val="clear" w:color="auto" w:fill="auto"/>
            <w:vAlign w:val="bottom"/>
            <w:hideMark/>
          </w:tcPr>
          <w:p w:rsidR="003E6588" w:rsidRDefault="003E6588" w:rsidP="006A3011">
            <w:pPr>
              <w:jc w:val="left"/>
              <w:rPr>
                <w:sz w:val="20"/>
                <w:szCs w:val="20"/>
              </w:rPr>
            </w:pPr>
            <w:r>
              <w:rPr>
                <w:sz w:val="20"/>
                <w:szCs w:val="20"/>
              </w:rPr>
              <w:t>Suicídio</w:t>
            </w:r>
          </w:p>
        </w:tc>
        <w:tc>
          <w:tcPr>
            <w:tcW w:w="1595" w:type="dxa"/>
            <w:shd w:val="clear" w:color="auto" w:fill="auto"/>
            <w:hideMark/>
          </w:tcPr>
          <w:p w:rsidR="003E6588" w:rsidRDefault="003E6588">
            <w:pPr>
              <w:rPr>
                <w:sz w:val="20"/>
                <w:szCs w:val="20"/>
              </w:rPr>
            </w:pPr>
            <w:r>
              <w:rPr>
                <w:sz w:val="20"/>
                <w:szCs w:val="20"/>
              </w:rPr>
              <w:t>2</w:t>
            </w:r>
          </w:p>
        </w:tc>
      </w:tr>
      <w:tr w:rsidR="003E6588" w:rsidTr="00855777">
        <w:trPr>
          <w:trHeight w:val="44"/>
          <w:jc w:val="center"/>
        </w:trPr>
        <w:tc>
          <w:tcPr>
            <w:tcW w:w="3174" w:type="dxa"/>
            <w:shd w:val="clear" w:color="auto" w:fill="auto"/>
            <w:vAlign w:val="bottom"/>
            <w:hideMark/>
          </w:tcPr>
          <w:p w:rsidR="003E6588" w:rsidRDefault="003E6588" w:rsidP="006A3011">
            <w:pPr>
              <w:jc w:val="left"/>
              <w:rPr>
                <w:sz w:val="20"/>
                <w:szCs w:val="20"/>
              </w:rPr>
            </w:pPr>
            <w:r>
              <w:rPr>
                <w:sz w:val="20"/>
                <w:szCs w:val="20"/>
              </w:rPr>
              <w:t>Atropelamento</w:t>
            </w:r>
          </w:p>
        </w:tc>
        <w:tc>
          <w:tcPr>
            <w:tcW w:w="1595" w:type="dxa"/>
            <w:shd w:val="clear" w:color="auto" w:fill="auto"/>
            <w:hideMark/>
          </w:tcPr>
          <w:p w:rsidR="003E6588" w:rsidRDefault="003E6588">
            <w:pPr>
              <w:rPr>
                <w:sz w:val="20"/>
                <w:szCs w:val="20"/>
              </w:rPr>
            </w:pPr>
            <w:r>
              <w:rPr>
                <w:sz w:val="20"/>
                <w:szCs w:val="20"/>
              </w:rPr>
              <w:t>0</w:t>
            </w:r>
          </w:p>
        </w:tc>
      </w:tr>
      <w:tr w:rsidR="003E6588" w:rsidTr="00855777">
        <w:trPr>
          <w:trHeight w:val="136"/>
          <w:jc w:val="center"/>
        </w:trPr>
        <w:tc>
          <w:tcPr>
            <w:tcW w:w="3174" w:type="dxa"/>
            <w:shd w:val="clear" w:color="auto" w:fill="auto"/>
            <w:vAlign w:val="bottom"/>
            <w:hideMark/>
          </w:tcPr>
          <w:p w:rsidR="003E6588" w:rsidRDefault="003E6588" w:rsidP="006A3011">
            <w:pPr>
              <w:jc w:val="left"/>
              <w:rPr>
                <w:sz w:val="20"/>
                <w:szCs w:val="20"/>
              </w:rPr>
            </w:pPr>
            <w:r>
              <w:rPr>
                <w:sz w:val="20"/>
                <w:szCs w:val="20"/>
              </w:rPr>
              <w:t>Acidente com vítima</w:t>
            </w:r>
          </w:p>
        </w:tc>
        <w:tc>
          <w:tcPr>
            <w:tcW w:w="1595" w:type="dxa"/>
            <w:shd w:val="clear" w:color="auto" w:fill="auto"/>
            <w:hideMark/>
          </w:tcPr>
          <w:p w:rsidR="003E6588" w:rsidRDefault="003E6588">
            <w:pPr>
              <w:rPr>
                <w:sz w:val="20"/>
                <w:szCs w:val="20"/>
              </w:rPr>
            </w:pPr>
            <w:r>
              <w:rPr>
                <w:sz w:val="20"/>
                <w:szCs w:val="20"/>
              </w:rPr>
              <w:t>1</w:t>
            </w:r>
          </w:p>
        </w:tc>
      </w:tr>
      <w:tr w:rsidR="003E6588" w:rsidTr="00855777">
        <w:trPr>
          <w:trHeight w:val="44"/>
          <w:jc w:val="center"/>
        </w:trPr>
        <w:tc>
          <w:tcPr>
            <w:tcW w:w="3174" w:type="dxa"/>
            <w:shd w:val="clear" w:color="auto" w:fill="auto"/>
            <w:vAlign w:val="bottom"/>
            <w:hideMark/>
          </w:tcPr>
          <w:p w:rsidR="003E6588" w:rsidRDefault="003E6588" w:rsidP="006A3011">
            <w:pPr>
              <w:jc w:val="left"/>
              <w:rPr>
                <w:sz w:val="20"/>
                <w:szCs w:val="20"/>
              </w:rPr>
            </w:pPr>
            <w:r>
              <w:rPr>
                <w:sz w:val="20"/>
                <w:szCs w:val="20"/>
              </w:rPr>
              <w:t>Homicídio</w:t>
            </w:r>
          </w:p>
        </w:tc>
        <w:tc>
          <w:tcPr>
            <w:tcW w:w="1595" w:type="dxa"/>
            <w:shd w:val="clear" w:color="auto" w:fill="auto"/>
            <w:hideMark/>
          </w:tcPr>
          <w:p w:rsidR="003E6588" w:rsidRDefault="003E6588">
            <w:pPr>
              <w:rPr>
                <w:sz w:val="20"/>
                <w:szCs w:val="20"/>
              </w:rPr>
            </w:pPr>
            <w:r>
              <w:rPr>
                <w:sz w:val="20"/>
                <w:szCs w:val="20"/>
              </w:rPr>
              <w:t>8</w:t>
            </w:r>
          </w:p>
        </w:tc>
      </w:tr>
      <w:tr w:rsidR="003E6588" w:rsidTr="00855777">
        <w:trPr>
          <w:trHeight w:val="86"/>
          <w:jc w:val="center"/>
        </w:trPr>
        <w:tc>
          <w:tcPr>
            <w:tcW w:w="3174" w:type="dxa"/>
            <w:shd w:val="clear" w:color="auto" w:fill="auto"/>
            <w:vAlign w:val="bottom"/>
            <w:hideMark/>
          </w:tcPr>
          <w:p w:rsidR="003E6588" w:rsidRDefault="003E6588" w:rsidP="006A3011">
            <w:pPr>
              <w:jc w:val="left"/>
              <w:rPr>
                <w:sz w:val="20"/>
                <w:szCs w:val="20"/>
              </w:rPr>
            </w:pPr>
            <w:r>
              <w:rPr>
                <w:sz w:val="20"/>
                <w:szCs w:val="20"/>
              </w:rPr>
              <w:t>Morte natural</w:t>
            </w:r>
          </w:p>
        </w:tc>
        <w:tc>
          <w:tcPr>
            <w:tcW w:w="1595" w:type="dxa"/>
            <w:shd w:val="clear" w:color="auto" w:fill="auto"/>
            <w:hideMark/>
          </w:tcPr>
          <w:p w:rsidR="003E6588" w:rsidRDefault="003E6588">
            <w:pPr>
              <w:rPr>
                <w:sz w:val="20"/>
                <w:szCs w:val="20"/>
              </w:rPr>
            </w:pPr>
            <w:r>
              <w:rPr>
                <w:sz w:val="20"/>
                <w:szCs w:val="20"/>
              </w:rPr>
              <w:t>4</w:t>
            </w:r>
          </w:p>
        </w:tc>
      </w:tr>
      <w:tr w:rsidR="003E6588" w:rsidTr="00855777">
        <w:trPr>
          <w:trHeight w:val="44"/>
          <w:jc w:val="center"/>
        </w:trPr>
        <w:tc>
          <w:tcPr>
            <w:tcW w:w="3174" w:type="dxa"/>
            <w:shd w:val="clear" w:color="auto" w:fill="auto"/>
            <w:vAlign w:val="bottom"/>
            <w:hideMark/>
          </w:tcPr>
          <w:p w:rsidR="003E6588" w:rsidRDefault="003E6588" w:rsidP="006A3011">
            <w:pPr>
              <w:jc w:val="left"/>
              <w:rPr>
                <w:sz w:val="20"/>
                <w:szCs w:val="20"/>
              </w:rPr>
            </w:pPr>
            <w:r>
              <w:rPr>
                <w:sz w:val="20"/>
                <w:szCs w:val="20"/>
              </w:rPr>
              <w:t>Morte acidental</w:t>
            </w:r>
          </w:p>
        </w:tc>
        <w:tc>
          <w:tcPr>
            <w:tcW w:w="1595" w:type="dxa"/>
            <w:shd w:val="clear" w:color="auto" w:fill="auto"/>
            <w:hideMark/>
          </w:tcPr>
          <w:p w:rsidR="003E6588" w:rsidRDefault="003E6588">
            <w:pPr>
              <w:rPr>
                <w:sz w:val="20"/>
                <w:szCs w:val="20"/>
              </w:rPr>
            </w:pPr>
            <w:r>
              <w:rPr>
                <w:sz w:val="20"/>
                <w:szCs w:val="20"/>
              </w:rPr>
              <w:t>0</w:t>
            </w:r>
          </w:p>
        </w:tc>
      </w:tr>
      <w:tr w:rsidR="003E6588" w:rsidTr="00855777">
        <w:trPr>
          <w:trHeight w:val="44"/>
          <w:jc w:val="center"/>
        </w:trPr>
        <w:tc>
          <w:tcPr>
            <w:tcW w:w="3174" w:type="dxa"/>
            <w:shd w:val="clear" w:color="auto" w:fill="auto"/>
            <w:vAlign w:val="bottom"/>
            <w:hideMark/>
          </w:tcPr>
          <w:p w:rsidR="003E6588" w:rsidRDefault="003E6588">
            <w:pPr>
              <w:rPr>
                <w:b/>
                <w:bCs/>
                <w:sz w:val="20"/>
                <w:szCs w:val="20"/>
              </w:rPr>
            </w:pPr>
            <w:r>
              <w:rPr>
                <w:b/>
                <w:bCs/>
                <w:sz w:val="20"/>
                <w:szCs w:val="20"/>
              </w:rPr>
              <w:t>Total</w:t>
            </w:r>
          </w:p>
        </w:tc>
        <w:tc>
          <w:tcPr>
            <w:tcW w:w="1595" w:type="dxa"/>
            <w:shd w:val="clear" w:color="auto" w:fill="auto"/>
            <w:hideMark/>
          </w:tcPr>
          <w:p w:rsidR="003E6588" w:rsidRDefault="003E6588">
            <w:pPr>
              <w:rPr>
                <w:b/>
                <w:bCs/>
                <w:sz w:val="20"/>
                <w:szCs w:val="20"/>
              </w:rPr>
            </w:pPr>
            <w:r>
              <w:rPr>
                <w:b/>
                <w:bCs/>
                <w:sz w:val="20"/>
                <w:szCs w:val="20"/>
              </w:rPr>
              <w:t>15</w:t>
            </w:r>
          </w:p>
        </w:tc>
      </w:tr>
    </w:tbl>
    <w:p w:rsidR="003E6588" w:rsidRDefault="003E6588" w:rsidP="006A3011">
      <w:pPr>
        <w:ind w:left="1416"/>
        <w:jc w:val="both"/>
        <w:rPr>
          <w:sz w:val="16"/>
          <w:szCs w:val="16"/>
        </w:rPr>
      </w:pPr>
      <w:r>
        <w:rPr>
          <w:sz w:val="16"/>
          <w:szCs w:val="16"/>
        </w:rPr>
        <w:t xml:space="preserve">     </w:t>
      </w:r>
      <w:r w:rsidR="00855777">
        <w:rPr>
          <w:sz w:val="16"/>
          <w:szCs w:val="16"/>
        </w:rPr>
        <w:t xml:space="preserve">                </w:t>
      </w:r>
      <w:r>
        <w:rPr>
          <w:sz w:val="16"/>
          <w:szCs w:val="16"/>
        </w:rPr>
        <w:t xml:space="preserve">         Fonte: CorregPM</w:t>
      </w:r>
    </w:p>
    <w:p w:rsidR="003E6588" w:rsidRDefault="003E6588">
      <w:pPr>
        <w:ind w:left="1416"/>
        <w:rPr>
          <w:sz w:val="16"/>
          <w:szCs w:val="16"/>
        </w:rPr>
      </w:pPr>
    </w:p>
    <w:tbl>
      <w:tblPr>
        <w:tblW w:w="4862" w:type="dxa"/>
        <w:jc w:val="center"/>
        <w:tblInd w:w="23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3257"/>
        <w:gridCol w:w="1605"/>
      </w:tblGrid>
      <w:tr w:rsidR="003E6588" w:rsidTr="00855777">
        <w:trPr>
          <w:trHeight w:val="183"/>
          <w:jc w:val="center"/>
        </w:trPr>
        <w:tc>
          <w:tcPr>
            <w:tcW w:w="3257" w:type="dxa"/>
            <w:shd w:val="clear" w:color="auto" w:fill="auto"/>
            <w:vAlign w:val="center"/>
            <w:hideMark/>
          </w:tcPr>
          <w:p w:rsidR="003E6588" w:rsidRDefault="003E6588">
            <w:pPr>
              <w:rPr>
                <w:b/>
                <w:bCs/>
                <w:sz w:val="20"/>
                <w:szCs w:val="20"/>
              </w:rPr>
            </w:pPr>
            <w:r>
              <w:rPr>
                <w:b/>
                <w:bCs/>
                <w:sz w:val="20"/>
                <w:szCs w:val="20"/>
              </w:rPr>
              <w:t xml:space="preserve">Mortos de Folga </w:t>
            </w:r>
          </w:p>
        </w:tc>
        <w:tc>
          <w:tcPr>
            <w:tcW w:w="1605" w:type="dxa"/>
            <w:shd w:val="clear" w:color="auto" w:fill="auto"/>
            <w:vAlign w:val="center"/>
            <w:hideMark/>
          </w:tcPr>
          <w:p w:rsidR="003E6588" w:rsidRDefault="003E6588">
            <w:pPr>
              <w:rPr>
                <w:b/>
                <w:bCs/>
                <w:sz w:val="20"/>
                <w:szCs w:val="20"/>
              </w:rPr>
            </w:pPr>
          </w:p>
        </w:tc>
      </w:tr>
      <w:tr w:rsidR="003E6588" w:rsidTr="00855777">
        <w:trPr>
          <w:trHeight w:val="78"/>
          <w:jc w:val="center"/>
        </w:trPr>
        <w:tc>
          <w:tcPr>
            <w:tcW w:w="3257" w:type="dxa"/>
            <w:shd w:val="clear" w:color="auto" w:fill="auto"/>
            <w:noWrap/>
            <w:vAlign w:val="bottom"/>
            <w:hideMark/>
          </w:tcPr>
          <w:p w:rsidR="003E6588" w:rsidRDefault="003E6588" w:rsidP="006A3011">
            <w:pPr>
              <w:jc w:val="left"/>
              <w:rPr>
                <w:bCs/>
                <w:sz w:val="20"/>
                <w:szCs w:val="20"/>
              </w:rPr>
            </w:pPr>
            <w:r>
              <w:rPr>
                <w:bCs/>
                <w:sz w:val="20"/>
                <w:szCs w:val="20"/>
              </w:rPr>
              <w:t>Homicídio/Latrocínio</w:t>
            </w:r>
          </w:p>
        </w:tc>
        <w:tc>
          <w:tcPr>
            <w:tcW w:w="1605" w:type="dxa"/>
            <w:shd w:val="clear" w:color="auto" w:fill="auto"/>
            <w:hideMark/>
          </w:tcPr>
          <w:p w:rsidR="003E6588" w:rsidRDefault="003E6588">
            <w:pPr>
              <w:rPr>
                <w:sz w:val="20"/>
                <w:szCs w:val="20"/>
              </w:rPr>
            </w:pPr>
            <w:r>
              <w:rPr>
                <w:sz w:val="20"/>
                <w:szCs w:val="20"/>
              </w:rPr>
              <w:t>56</w:t>
            </w:r>
          </w:p>
        </w:tc>
      </w:tr>
      <w:tr w:rsidR="003E6588" w:rsidTr="00855777">
        <w:trPr>
          <w:trHeight w:val="124"/>
          <w:jc w:val="center"/>
        </w:trPr>
        <w:tc>
          <w:tcPr>
            <w:tcW w:w="3257" w:type="dxa"/>
            <w:shd w:val="clear" w:color="auto" w:fill="auto"/>
            <w:vAlign w:val="bottom"/>
            <w:hideMark/>
          </w:tcPr>
          <w:p w:rsidR="003E6588" w:rsidRDefault="003E6588" w:rsidP="006A3011">
            <w:pPr>
              <w:jc w:val="left"/>
              <w:rPr>
                <w:sz w:val="20"/>
                <w:szCs w:val="20"/>
              </w:rPr>
            </w:pPr>
            <w:r>
              <w:rPr>
                <w:sz w:val="20"/>
                <w:szCs w:val="20"/>
              </w:rPr>
              <w:t>Morte Acidental</w:t>
            </w:r>
          </w:p>
        </w:tc>
        <w:tc>
          <w:tcPr>
            <w:tcW w:w="1605" w:type="dxa"/>
            <w:shd w:val="clear" w:color="auto" w:fill="auto"/>
            <w:hideMark/>
          </w:tcPr>
          <w:p w:rsidR="003E6588" w:rsidRDefault="003E6588">
            <w:pPr>
              <w:rPr>
                <w:sz w:val="20"/>
                <w:szCs w:val="20"/>
              </w:rPr>
            </w:pPr>
            <w:r>
              <w:rPr>
                <w:sz w:val="20"/>
                <w:szCs w:val="20"/>
              </w:rPr>
              <w:t>1</w:t>
            </w:r>
          </w:p>
        </w:tc>
      </w:tr>
      <w:tr w:rsidR="003E6588" w:rsidTr="00855777">
        <w:trPr>
          <w:trHeight w:val="44"/>
          <w:jc w:val="center"/>
        </w:trPr>
        <w:tc>
          <w:tcPr>
            <w:tcW w:w="3257" w:type="dxa"/>
            <w:shd w:val="clear" w:color="auto" w:fill="auto"/>
            <w:vAlign w:val="bottom"/>
            <w:hideMark/>
          </w:tcPr>
          <w:p w:rsidR="003E6588" w:rsidRDefault="003E6588" w:rsidP="006A3011">
            <w:pPr>
              <w:jc w:val="left"/>
              <w:rPr>
                <w:sz w:val="20"/>
                <w:szCs w:val="20"/>
              </w:rPr>
            </w:pPr>
            <w:r>
              <w:rPr>
                <w:sz w:val="20"/>
                <w:szCs w:val="20"/>
              </w:rPr>
              <w:t>Suicídio</w:t>
            </w:r>
          </w:p>
        </w:tc>
        <w:tc>
          <w:tcPr>
            <w:tcW w:w="1605" w:type="dxa"/>
            <w:shd w:val="clear" w:color="auto" w:fill="auto"/>
            <w:hideMark/>
          </w:tcPr>
          <w:p w:rsidR="003E6588" w:rsidRDefault="003E6588">
            <w:pPr>
              <w:rPr>
                <w:sz w:val="20"/>
                <w:szCs w:val="20"/>
              </w:rPr>
            </w:pPr>
            <w:r>
              <w:rPr>
                <w:sz w:val="20"/>
                <w:szCs w:val="20"/>
              </w:rPr>
              <w:t>15</w:t>
            </w:r>
          </w:p>
        </w:tc>
      </w:tr>
      <w:tr w:rsidR="003E6588" w:rsidTr="00855777">
        <w:trPr>
          <w:trHeight w:val="74"/>
          <w:jc w:val="center"/>
        </w:trPr>
        <w:tc>
          <w:tcPr>
            <w:tcW w:w="3257" w:type="dxa"/>
            <w:shd w:val="clear" w:color="auto" w:fill="auto"/>
            <w:vAlign w:val="bottom"/>
            <w:hideMark/>
          </w:tcPr>
          <w:p w:rsidR="003E6588" w:rsidRDefault="003E6588" w:rsidP="006A3011">
            <w:pPr>
              <w:jc w:val="left"/>
              <w:rPr>
                <w:sz w:val="20"/>
                <w:szCs w:val="20"/>
              </w:rPr>
            </w:pPr>
            <w:r>
              <w:rPr>
                <w:sz w:val="20"/>
                <w:szCs w:val="20"/>
              </w:rPr>
              <w:t>Morte natural</w:t>
            </w:r>
          </w:p>
        </w:tc>
        <w:tc>
          <w:tcPr>
            <w:tcW w:w="1605" w:type="dxa"/>
            <w:shd w:val="clear" w:color="auto" w:fill="auto"/>
            <w:hideMark/>
          </w:tcPr>
          <w:p w:rsidR="003E6588" w:rsidRDefault="003E6588">
            <w:pPr>
              <w:rPr>
                <w:sz w:val="20"/>
                <w:szCs w:val="20"/>
              </w:rPr>
            </w:pPr>
            <w:r>
              <w:rPr>
                <w:sz w:val="20"/>
                <w:szCs w:val="20"/>
              </w:rPr>
              <w:t>15</w:t>
            </w:r>
          </w:p>
        </w:tc>
      </w:tr>
      <w:tr w:rsidR="003E6588" w:rsidTr="00855777">
        <w:trPr>
          <w:trHeight w:val="44"/>
          <w:jc w:val="center"/>
        </w:trPr>
        <w:tc>
          <w:tcPr>
            <w:tcW w:w="3257" w:type="dxa"/>
            <w:shd w:val="clear" w:color="auto" w:fill="auto"/>
            <w:vAlign w:val="bottom"/>
            <w:hideMark/>
          </w:tcPr>
          <w:p w:rsidR="003E6588" w:rsidRDefault="003E6588" w:rsidP="006A3011">
            <w:pPr>
              <w:jc w:val="left"/>
              <w:rPr>
                <w:sz w:val="20"/>
                <w:szCs w:val="20"/>
              </w:rPr>
            </w:pPr>
            <w:r>
              <w:rPr>
                <w:sz w:val="20"/>
                <w:szCs w:val="20"/>
              </w:rPr>
              <w:t>Afogamento</w:t>
            </w:r>
          </w:p>
        </w:tc>
        <w:tc>
          <w:tcPr>
            <w:tcW w:w="1605" w:type="dxa"/>
            <w:shd w:val="clear" w:color="auto" w:fill="auto"/>
            <w:hideMark/>
          </w:tcPr>
          <w:p w:rsidR="003E6588" w:rsidRDefault="003E6588">
            <w:pPr>
              <w:rPr>
                <w:sz w:val="20"/>
                <w:szCs w:val="20"/>
              </w:rPr>
            </w:pPr>
            <w:r>
              <w:rPr>
                <w:sz w:val="20"/>
                <w:szCs w:val="20"/>
              </w:rPr>
              <w:t>1</w:t>
            </w:r>
          </w:p>
        </w:tc>
      </w:tr>
      <w:tr w:rsidR="003E6588" w:rsidTr="00855777">
        <w:trPr>
          <w:trHeight w:val="44"/>
          <w:jc w:val="center"/>
        </w:trPr>
        <w:tc>
          <w:tcPr>
            <w:tcW w:w="3257" w:type="dxa"/>
            <w:shd w:val="clear" w:color="auto" w:fill="auto"/>
            <w:vAlign w:val="bottom"/>
            <w:hideMark/>
          </w:tcPr>
          <w:p w:rsidR="003E6588" w:rsidRDefault="003E6588" w:rsidP="006A3011">
            <w:pPr>
              <w:jc w:val="left"/>
              <w:rPr>
                <w:sz w:val="20"/>
                <w:szCs w:val="20"/>
              </w:rPr>
            </w:pPr>
            <w:r>
              <w:rPr>
                <w:sz w:val="20"/>
                <w:szCs w:val="20"/>
              </w:rPr>
              <w:t>Acidente com vítima</w:t>
            </w:r>
          </w:p>
        </w:tc>
        <w:tc>
          <w:tcPr>
            <w:tcW w:w="1605" w:type="dxa"/>
            <w:shd w:val="clear" w:color="auto" w:fill="auto"/>
            <w:hideMark/>
          </w:tcPr>
          <w:p w:rsidR="003E6588" w:rsidRDefault="003E6588">
            <w:pPr>
              <w:rPr>
                <w:sz w:val="20"/>
                <w:szCs w:val="20"/>
              </w:rPr>
            </w:pPr>
            <w:r>
              <w:rPr>
                <w:sz w:val="20"/>
                <w:szCs w:val="20"/>
              </w:rPr>
              <w:t>30</w:t>
            </w:r>
          </w:p>
        </w:tc>
      </w:tr>
      <w:tr w:rsidR="003E6588" w:rsidTr="00855777">
        <w:trPr>
          <w:trHeight w:val="44"/>
          <w:jc w:val="center"/>
        </w:trPr>
        <w:tc>
          <w:tcPr>
            <w:tcW w:w="3257" w:type="dxa"/>
            <w:shd w:val="clear" w:color="auto" w:fill="auto"/>
            <w:vAlign w:val="bottom"/>
            <w:hideMark/>
          </w:tcPr>
          <w:p w:rsidR="003E6588" w:rsidRDefault="003E6588">
            <w:pPr>
              <w:rPr>
                <w:b/>
                <w:bCs/>
                <w:sz w:val="20"/>
                <w:szCs w:val="20"/>
              </w:rPr>
            </w:pPr>
            <w:r>
              <w:rPr>
                <w:b/>
                <w:bCs/>
                <w:sz w:val="20"/>
                <w:szCs w:val="20"/>
              </w:rPr>
              <w:t>Total</w:t>
            </w:r>
          </w:p>
        </w:tc>
        <w:tc>
          <w:tcPr>
            <w:tcW w:w="1605" w:type="dxa"/>
            <w:shd w:val="clear" w:color="auto" w:fill="auto"/>
            <w:hideMark/>
          </w:tcPr>
          <w:p w:rsidR="003E6588" w:rsidRDefault="003E6588">
            <w:pPr>
              <w:rPr>
                <w:b/>
                <w:bCs/>
                <w:sz w:val="20"/>
                <w:szCs w:val="20"/>
              </w:rPr>
            </w:pPr>
            <w:r>
              <w:rPr>
                <w:b/>
                <w:bCs/>
                <w:sz w:val="20"/>
                <w:szCs w:val="20"/>
              </w:rPr>
              <w:t>118</w:t>
            </w:r>
          </w:p>
        </w:tc>
      </w:tr>
    </w:tbl>
    <w:p w:rsidR="003E6588" w:rsidRDefault="003E6588" w:rsidP="006A3011">
      <w:pPr>
        <w:ind w:left="1416"/>
        <w:jc w:val="both"/>
        <w:rPr>
          <w:sz w:val="16"/>
          <w:szCs w:val="16"/>
        </w:rPr>
      </w:pPr>
      <w:r>
        <w:rPr>
          <w:sz w:val="16"/>
          <w:szCs w:val="16"/>
        </w:rPr>
        <w:t xml:space="preserve">  </w:t>
      </w:r>
      <w:r w:rsidR="00855777">
        <w:rPr>
          <w:sz w:val="16"/>
          <w:szCs w:val="16"/>
        </w:rPr>
        <w:t xml:space="preserve">                </w:t>
      </w:r>
      <w:r>
        <w:rPr>
          <w:sz w:val="16"/>
          <w:szCs w:val="16"/>
        </w:rPr>
        <w:t xml:space="preserve">           Fonte: CorregPM</w:t>
      </w:r>
    </w:p>
    <w:tbl>
      <w:tblPr>
        <w:tblW w:w="6938" w:type="dxa"/>
        <w:jc w:val="center"/>
        <w:tblInd w:w="-7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5442"/>
        <w:gridCol w:w="1496"/>
      </w:tblGrid>
      <w:tr w:rsidR="003E6588" w:rsidTr="00855777">
        <w:trPr>
          <w:trHeight w:val="89"/>
          <w:jc w:val="center"/>
        </w:trPr>
        <w:tc>
          <w:tcPr>
            <w:tcW w:w="5442" w:type="dxa"/>
            <w:shd w:val="clear" w:color="auto" w:fill="auto"/>
            <w:vAlign w:val="center"/>
            <w:hideMark/>
          </w:tcPr>
          <w:p w:rsidR="003E6588" w:rsidRDefault="003E6588">
            <w:pPr>
              <w:rPr>
                <w:b/>
                <w:bCs/>
                <w:sz w:val="20"/>
                <w:szCs w:val="20"/>
              </w:rPr>
            </w:pPr>
            <w:r>
              <w:rPr>
                <w:b/>
                <w:bCs/>
                <w:sz w:val="20"/>
                <w:szCs w:val="20"/>
              </w:rPr>
              <w:lastRenderedPageBreak/>
              <w:t>HOMICÍDIO</w:t>
            </w:r>
          </w:p>
        </w:tc>
        <w:tc>
          <w:tcPr>
            <w:tcW w:w="1496" w:type="dxa"/>
            <w:shd w:val="clear" w:color="auto" w:fill="auto"/>
            <w:vAlign w:val="center"/>
            <w:hideMark/>
          </w:tcPr>
          <w:p w:rsidR="003E6588" w:rsidRDefault="003E6588">
            <w:pPr>
              <w:rPr>
                <w:b/>
                <w:bCs/>
                <w:color w:val="FF0000"/>
                <w:sz w:val="20"/>
                <w:szCs w:val="20"/>
              </w:rPr>
            </w:pPr>
          </w:p>
        </w:tc>
      </w:tr>
      <w:tr w:rsidR="003E6588" w:rsidTr="00855777">
        <w:trPr>
          <w:trHeight w:val="44"/>
          <w:jc w:val="center"/>
        </w:trPr>
        <w:tc>
          <w:tcPr>
            <w:tcW w:w="5442" w:type="dxa"/>
            <w:shd w:val="clear" w:color="auto" w:fill="auto"/>
            <w:vAlign w:val="bottom"/>
            <w:hideMark/>
          </w:tcPr>
          <w:p w:rsidR="003E6588" w:rsidRDefault="003E6588" w:rsidP="00855777">
            <w:pPr>
              <w:jc w:val="left"/>
              <w:rPr>
                <w:sz w:val="20"/>
                <w:szCs w:val="20"/>
              </w:rPr>
            </w:pPr>
            <w:r>
              <w:rPr>
                <w:sz w:val="20"/>
                <w:szCs w:val="20"/>
              </w:rPr>
              <w:t>PM de Serviço</w:t>
            </w:r>
          </w:p>
        </w:tc>
        <w:tc>
          <w:tcPr>
            <w:tcW w:w="1496" w:type="dxa"/>
            <w:shd w:val="clear" w:color="auto" w:fill="auto"/>
            <w:hideMark/>
          </w:tcPr>
          <w:p w:rsidR="003E6588" w:rsidRDefault="003E6588">
            <w:pPr>
              <w:rPr>
                <w:sz w:val="20"/>
                <w:szCs w:val="20"/>
              </w:rPr>
            </w:pPr>
            <w:r>
              <w:rPr>
                <w:sz w:val="20"/>
                <w:szCs w:val="20"/>
              </w:rPr>
              <w:t>8</w:t>
            </w:r>
          </w:p>
        </w:tc>
      </w:tr>
      <w:tr w:rsidR="003E6588" w:rsidTr="00855777">
        <w:trPr>
          <w:trHeight w:val="44"/>
          <w:jc w:val="center"/>
        </w:trPr>
        <w:tc>
          <w:tcPr>
            <w:tcW w:w="5442" w:type="dxa"/>
            <w:shd w:val="clear" w:color="auto" w:fill="auto"/>
            <w:vAlign w:val="bottom"/>
            <w:hideMark/>
          </w:tcPr>
          <w:p w:rsidR="003E6588" w:rsidRDefault="003E6588" w:rsidP="00855777">
            <w:pPr>
              <w:jc w:val="left"/>
              <w:rPr>
                <w:sz w:val="20"/>
                <w:szCs w:val="20"/>
              </w:rPr>
            </w:pPr>
            <w:r>
              <w:rPr>
                <w:sz w:val="20"/>
                <w:szCs w:val="20"/>
              </w:rPr>
              <w:t>PM de Folga</w:t>
            </w:r>
          </w:p>
        </w:tc>
        <w:tc>
          <w:tcPr>
            <w:tcW w:w="1496" w:type="dxa"/>
            <w:shd w:val="clear" w:color="auto" w:fill="auto"/>
            <w:hideMark/>
          </w:tcPr>
          <w:p w:rsidR="003E6588" w:rsidRDefault="003E6588">
            <w:pPr>
              <w:rPr>
                <w:sz w:val="20"/>
                <w:szCs w:val="20"/>
              </w:rPr>
            </w:pPr>
            <w:r>
              <w:rPr>
                <w:sz w:val="20"/>
                <w:szCs w:val="20"/>
              </w:rPr>
              <w:t>56</w:t>
            </w:r>
          </w:p>
        </w:tc>
      </w:tr>
      <w:tr w:rsidR="003E6588" w:rsidTr="00855777">
        <w:trPr>
          <w:trHeight w:val="76"/>
          <w:jc w:val="center"/>
        </w:trPr>
        <w:tc>
          <w:tcPr>
            <w:tcW w:w="5442" w:type="dxa"/>
            <w:shd w:val="clear" w:color="auto" w:fill="auto"/>
            <w:vAlign w:val="bottom"/>
            <w:hideMark/>
          </w:tcPr>
          <w:p w:rsidR="003E6588" w:rsidRDefault="003E6588" w:rsidP="00855777">
            <w:pPr>
              <w:jc w:val="left"/>
              <w:rPr>
                <w:sz w:val="20"/>
                <w:szCs w:val="20"/>
              </w:rPr>
            </w:pPr>
            <w:r>
              <w:rPr>
                <w:sz w:val="20"/>
                <w:szCs w:val="20"/>
              </w:rPr>
              <w:t>PM Inativo</w:t>
            </w:r>
          </w:p>
        </w:tc>
        <w:tc>
          <w:tcPr>
            <w:tcW w:w="1496" w:type="dxa"/>
            <w:shd w:val="clear" w:color="auto" w:fill="auto"/>
            <w:hideMark/>
          </w:tcPr>
          <w:p w:rsidR="003E6588" w:rsidRDefault="003E6588">
            <w:pPr>
              <w:rPr>
                <w:sz w:val="20"/>
                <w:szCs w:val="20"/>
              </w:rPr>
            </w:pPr>
            <w:r>
              <w:rPr>
                <w:sz w:val="20"/>
                <w:szCs w:val="20"/>
              </w:rPr>
              <w:t>15</w:t>
            </w:r>
          </w:p>
        </w:tc>
      </w:tr>
      <w:tr w:rsidR="003E6588" w:rsidTr="00855777">
        <w:trPr>
          <w:trHeight w:val="122"/>
          <w:jc w:val="center"/>
        </w:trPr>
        <w:tc>
          <w:tcPr>
            <w:tcW w:w="5442" w:type="dxa"/>
            <w:shd w:val="clear" w:color="auto" w:fill="auto"/>
            <w:vAlign w:val="bottom"/>
            <w:hideMark/>
          </w:tcPr>
          <w:p w:rsidR="003E6588" w:rsidRDefault="003E6588" w:rsidP="00855777">
            <w:pPr>
              <w:jc w:val="left"/>
              <w:rPr>
                <w:sz w:val="20"/>
                <w:szCs w:val="20"/>
              </w:rPr>
            </w:pPr>
            <w:r>
              <w:rPr>
                <w:sz w:val="20"/>
                <w:szCs w:val="20"/>
              </w:rPr>
              <w:t>Total de Homicídio</w:t>
            </w:r>
          </w:p>
        </w:tc>
        <w:tc>
          <w:tcPr>
            <w:tcW w:w="1496" w:type="dxa"/>
            <w:shd w:val="clear" w:color="auto" w:fill="auto"/>
            <w:hideMark/>
          </w:tcPr>
          <w:p w:rsidR="003E6588" w:rsidRDefault="003E6588">
            <w:pPr>
              <w:rPr>
                <w:sz w:val="20"/>
                <w:szCs w:val="20"/>
              </w:rPr>
            </w:pPr>
            <w:r>
              <w:rPr>
                <w:sz w:val="20"/>
                <w:szCs w:val="20"/>
              </w:rPr>
              <w:t>79</w:t>
            </w:r>
          </w:p>
        </w:tc>
      </w:tr>
      <w:tr w:rsidR="003E6588" w:rsidTr="00855777">
        <w:trPr>
          <w:trHeight w:val="44"/>
          <w:jc w:val="center"/>
        </w:trPr>
        <w:tc>
          <w:tcPr>
            <w:tcW w:w="5442" w:type="dxa"/>
            <w:shd w:val="clear" w:color="auto" w:fill="auto"/>
            <w:vAlign w:val="bottom"/>
            <w:hideMark/>
          </w:tcPr>
          <w:p w:rsidR="003E6588" w:rsidRDefault="003E6588" w:rsidP="00855777">
            <w:pPr>
              <w:jc w:val="left"/>
              <w:rPr>
                <w:sz w:val="20"/>
                <w:szCs w:val="20"/>
              </w:rPr>
            </w:pPr>
            <w:r>
              <w:rPr>
                <w:sz w:val="20"/>
                <w:szCs w:val="20"/>
              </w:rPr>
              <w:t>Outras Mortes (atropel, acid, suicídio etc) de serviço e de folga</w:t>
            </w:r>
          </w:p>
        </w:tc>
        <w:tc>
          <w:tcPr>
            <w:tcW w:w="1496" w:type="dxa"/>
            <w:shd w:val="clear" w:color="auto" w:fill="auto"/>
            <w:hideMark/>
          </w:tcPr>
          <w:p w:rsidR="003E6588" w:rsidRDefault="003E6588">
            <w:pPr>
              <w:rPr>
                <w:sz w:val="20"/>
                <w:szCs w:val="20"/>
              </w:rPr>
            </w:pPr>
            <w:r>
              <w:rPr>
                <w:sz w:val="20"/>
                <w:szCs w:val="20"/>
              </w:rPr>
              <w:t>69</w:t>
            </w:r>
          </w:p>
        </w:tc>
      </w:tr>
      <w:tr w:rsidR="003E6588" w:rsidTr="00855777">
        <w:trPr>
          <w:trHeight w:val="44"/>
          <w:jc w:val="center"/>
        </w:trPr>
        <w:tc>
          <w:tcPr>
            <w:tcW w:w="5442" w:type="dxa"/>
            <w:shd w:val="clear" w:color="auto" w:fill="auto"/>
            <w:vAlign w:val="bottom"/>
            <w:hideMark/>
          </w:tcPr>
          <w:p w:rsidR="003E6588" w:rsidRDefault="003E6588" w:rsidP="00855777">
            <w:pPr>
              <w:jc w:val="left"/>
              <w:rPr>
                <w:sz w:val="20"/>
                <w:szCs w:val="20"/>
              </w:rPr>
            </w:pPr>
            <w:r>
              <w:rPr>
                <w:sz w:val="20"/>
                <w:szCs w:val="20"/>
              </w:rPr>
              <w:t>Total de PM Mortos</w:t>
            </w:r>
          </w:p>
        </w:tc>
        <w:tc>
          <w:tcPr>
            <w:tcW w:w="1496" w:type="dxa"/>
            <w:shd w:val="clear" w:color="auto" w:fill="auto"/>
            <w:hideMark/>
          </w:tcPr>
          <w:p w:rsidR="003E6588" w:rsidRDefault="003E6588">
            <w:pPr>
              <w:rPr>
                <w:sz w:val="20"/>
                <w:szCs w:val="20"/>
              </w:rPr>
            </w:pPr>
            <w:r>
              <w:rPr>
                <w:sz w:val="20"/>
                <w:szCs w:val="20"/>
              </w:rPr>
              <w:t>148</w:t>
            </w:r>
          </w:p>
        </w:tc>
      </w:tr>
    </w:tbl>
    <w:p w:rsidR="003E6588" w:rsidRDefault="003E6588">
      <w:pPr>
        <w:pStyle w:val="Paragrafo"/>
        <w:spacing w:after="0" w:line="240" w:lineRule="auto"/>
        <w:ind w:left="1560" w:firstLine="0"/>
        <w:rPr>
          <w:rFonts w:ascii="Times New Roman" w:hAnsi="Times New Roman"/>
          <w:szCs w:val="24"/>
        </w:rPr>
      </w:pPr>
      <w:r>
        <w:rPr>
          <w:rFonts w:ascii="Times New Roman" w:hAnsi="Times New Roman"/>
          <w:sz w:val="16"/>
          <w:szCs w:val="16"/>
        </w:rPr>
        <w:t>Fonte: CorregPM</w:t>
      </w:r>
    </w:p>
    <w:p w:rsidR="003E6588" w:rsidRDefault="003E6588">
      <w:pPr>
        <w:pStyle w:val="Paragrafo"/>
        <w:spacing w:after="0" w:line="240" w:lineRule="auto"/>
        <w:ind w:firstLine="0"/>
        <w:rPr>
          <w:rFonts w:ascii="Times New Roman" w:hAnsi="Times New Roman"/>
          <w:szCs w:val="24"/>
        </w:rPr>
      </w:pPr>
    </w:p>
    <w:p w:rsidR="003E6588" w:rsidRDefault="003E6588">
      <w:pPr>
        <w:ind w:firstLine="1134"/>
        <w:jc w:val="both"/>
        <w:rPr>
          <w:b/>
          <w:shd w:val="clear" w:color="auto" w:fill="FFFFFF"/>
        </w:rPr>
      </w:pPr>
      <w:r>
        <w:rPr>
          <w:b/>
          <w:bCs/>
          <w:shd w:val="clear" w:color="auto" w:fill="FFFFFF"/>
        </w:rPr>
        <w:t>Operação Direção Segura - ODS - Principais Dados da Ods no Estado</w:t>
      </w:r>
    </w:p>
    <w:p w:rsidR="003E6588" w:rsidRDefault="003E6588">
      <w:pPr>
        <w:ind w:left="720"/>
        <w:rPr>
          <w:szCs w:val="16"/>
          <w:shd w:val="clear" w:color="auto" w:fill="FFFFFF"/>
        </w:rPr>
      </w:pPr>
    </w:p>
    <w:tbl>
      <w:tblPr>
        <w:tblW w:w="9283" w:type="dxa"/>
        <w:jc w:val="center"/>
        <w:tblInd w:w="21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tblPr>
      <w:tblGrid>
        <w:gridCol w:w="3958"/>
        <w:gridCol w:w="850"/>
        <w:gridCol w:w="690"/>
        <w:gridCol w:w="1152"/>
        <w:gridCol w:w="696"/>
        <w:gridCol w:w="974"/>
        <w:gridCol w:w="963"/>
      </w:tblGrid>
      <w:tr w:rsidR="003E6588" w:rsidTr="00855777">
        <w:trPr>
          <w:trHeight w:val="177"/>
          <w:jc w:val="center"/>
        </w:trPr>
        <w:tc>
          <w:tcPr>
            <w:tcW w:w="3958" w:type="dxa"/>
            <w:shd w:val="clear" w:color="auto" w:fill="auto"/>
            <w:noWrap/>
            <w:vAlign w:val="center"/>
            <w:hideMark/>
          </w:tcPr>
          <w:p w:rsidR="003E6588" w:rsidRDefault="003E6588">
            <w:pPr>
              <w:rPr>
                <w:b/>
                <w:bCs/>
                <w:sz w:val="20"/>
                <w:szCs w:val="20"/>
              </w:rPr>
            </w:pPr>
            <w:r>
              <w:rPr>
                <w:b/>
                <w:bCs/>
                <w:sz w:val="20"/>
                <w:szCs w:val="20"/>
              </w:rPr>
              <w:t>OPERAÇÃO DIREÇÃO SEGURA</w:t>
            </w:r>
          </w:p>
        </w:tc>
        <w:tc>
          <w:tcPr>
            <w:tcW w:w="850" w:type="dxa"/>
            <w:shd w:val="clear" w:color="auto" w:fill="auto"/>
            <w:noWrap/>
            <w:vAlign w:val="center"/>
            <w:hideMark/>
          </w:tcPr>
          <w:p w:rsidR="003E6588" w:rsidRDefault="003E6588">
            <w:pPr>
              <w:rPr>
                <w:b/>
                <w:bCs/>
                <w:sz w:val="20"/>
                <w:szCs w:val="20"/>
              </w:rPr>
            </w:pPr>
            <w:r>
              <w:rPr>
                <w:b/>
                <w:bCs/>
                <w:sz w:val="20"/>
                <w:szCs w:val="20"/>
              </w:rPr>
              <w:t>CPC</w:t>
            </w:r>
          </w:p>
        </w:tc>
        <w:tc>
          <w:tcPr>
            <w:tcW w:w="690" w:type="dxa"/>
            <w:shd w:val="clear" w:color="auto" w:fill="auto"/>
            <w:noWrap/>
            <w:vAlign w:val="center"/>
            <w:hideMark/>
          </w:tcPr>
          <w:p w:rsidR="003E6588" w:rsidRDefault="003E6588">
            <w:pPr>
              <w:rPr>
                <w:b/>
                <w:bCs/>
                <w:sz w:val="20"/>
                <w:szCs w:val="20"/>
              </w:rPr>
            </w:pPr>
            <w:r>
              <w:rPr>
                <w:b/>
                <w:bCs/>
                <w:sz w:val="20"/>
                <w:szCs w:val="20"/>
              </w:rPr>
              <w:t>CPM</w:t>
            </w:r>
          </w:p>
        </w:tc>
        <w:tc>
          <w:tcPr>
            <w:tcW w:w="1152" w:type="dxa"/>
            <w:shd w:val="clear" w:color="auto" w:fill="auto"/>
            <w:noWrap/>
            <w:vAlign w:val="center"/>
            <w:hideMark/>
          </w:tcPr>
          <w:p w:rsidR="003E6588" w:rsidRDefault="003E6588">
            <w:pPr>
              <w:rPr>
                <w:b/>
                <w:bCs/>
                <w:sz w:val="20"/>
                <w:szCs w:val="20"/>
              </w:rPr>
            </w:pPr>
            <w:r>
              <w:rPr>
                <w:b/>
                <w:bCs/>
                <w:sz w:val="20"/>
                <w:szCs w:val="20"/>
              </w:rPr>
              <w:t>INTERIOR</w:t>
            </w:r>
          </w:p>
        </w:tc>
        <w:tc>
          <w:tcPr>
            <w:tcW w:w="696" w:type="dxa"/>
            <w:shd w:val="clear" w:color="auto" w:fill="auto"/>
            <w:noWrap/>
            <w:vAlign w:val="center"/>
            <w:hideMark/>
          </w:tcPr>
          <w:p w:rsidR="003E6588" w:rsidRDefault="003E6588">
            <w:pPr>
              <w:rPr>
                <w:b/>
                <w:bCs/>
                <w:sz w:val="20"/>
                <w:szCs w:val="20"/>
              </w:rPr>
            </w:pPr>
            <w:r>
              <w:rPr>
                <w:b/>
                <w:bCs/>
                <w:sz w:val="20"/>
                <w:szCs w:val="20"/>
              </w:rPr>
              <w:t>CPRV</w:t>
            </w:r>
          </w:p>
        </w:tc>
        <w:tc>
          <w:tcPr>
            <w:tcW w:w="974" w:type="dxa"/>
            <w:shd w:val="clear" w:color="auto" w:fill="auto"/>
            <w:noWrap/>
            <w:vAlign w:val="center"/>
            <w:hideMark/>
          </w:tcPr>
          <w:p w:rsidR="003E6588" w:rsidRDefault="003E6588">
            <w:pPr>
              <w:rPr>
                <w:b/>
                <w:bCs/>
                <w:sz w:val="20"/>
                <w:szCs w:val="20"/>
              </w:rPr>
            </w:pPr>
            <w:r>
              <w:rPr>
                <w:b/>
                <w:bCs/>
                <w:sz w:val="20"/>
                <w:szCs w:val="20"/>
              </w:rPr>
              <w:t>CPTRAN</w:t>
            </w:r>
          </w:p>
        </w:tc>
        <w:tc>
          <w:tcPr>
            <w:tcW w:w="963" w:type="dxa"/>
            <w:shd w:val="clear" w:color="auto" w:fill="auto"/>
            <w:noWrap/>
            <w:vAlign w:val="center"/>
            <w:hideMark/>
          </w:tcPr>
          <w:p w:rsidR="003E6588" w:rsidRDefault="003E6588">
            <w:pPr>
              <w:rPr>
                <w:b/>
                <w:bCs/>
                <w:sz w:val="20"/>
                <w:szCs w:val="20"/>
              </w:rPr>
            </w:pPr>
            <w:r>
              <w:rPr>
                <w:b/>
                <w:bCs/>
                <w:sz w:val="20"/>
                <w:szCs w:val="20"/>
              </w:rPr>
              <w:t>ESTADO</w:t>
            </w:r>
          </w:p>
        </w:tc>
      </w:tr>
      <w:tr w:rsidR="003E6588" w:rsidTr="00855777">
        <w:trPr>
          <w:trHeight w:val="44"/>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Pessoas Abordadas</w:t>
            </w:r>
          </w:p>
        </w:tc>
        <w:tc>
          <w:tcPr>
            <w:tcW w:w="850" w:type="dxa"/>
            <w:shd w:val="clear" w:color="auto" w:fill="auto"/>
            <w:noWrap/>
            <w:vAlign w:val="center"/>
            <w:hideMark/>
          </w:tcPr>
          <w:p w:rsidR="003E6588" w:rsidRDefault="003E6588">
            <w:pPr>
              <w:rPr>
                <w:sz w:val="20"/>
                <w:szCs w:val="20"/>
              </w:rPr>
            </w:pPr>
            <w:r>
              <w:rPr>
                <w:sz w:val="20"/>
                <w:szCs w:val="20"/>
              </w:rPr>
              <w:t>34.998</w:t>
            </w:r>
          </w:p>
        </w:tc>
        <w:tc>
          <w:tcPr>
            <w:tcW w:w="690" w:type="dxa"/>
            <w:shd w:val="clear" w:color="auto" w:fill="auto"/>
            <w:noWrap/>
            <w:vAlign w:val="center"/>
            <w:hideMark/>
          </w:tcPr>
          <w:p w:rsidR="003E6588" w:rsidRDefault="003E6588">
            <w:pPr>
              <w:rPr>
                <w:sz w:val="20"/>
                <w:szCs w:val="20"/>
              </w:rPr>
            </w:pPr>
            <w:r>
              <w:rPr>
                <w:sz w:val="20"/>
                <w:szCs w:val="20"/>
              </w:rPr>
              <w:t>36.255</w:t>
            </w:r>
          </w:p>
        </w:tc>
        <w:tc>
          <w:tcPr>
            <w:tcW w:w="1152" w:type="dxa"/>
            <w:shd w:val="clear" w:color="auto" w:fill="auto"/>
            <w:noWrap/>
            <w:vAlign w:val="center"/>
            <w:hideMark/>
          </w:tcPr>
          <w:p w:rsidR="003E6588" w:rsidRDefault="003E6588">
            <w:pPr>
              <w:rPr>
                <w:sz w:val="20"/>
                <w:szCs w:val="20"/>
              </w:rPr>
            </w:pPr>
            <w:r>
              <w:rPr>
                <w:sz w:val="20"/>
                <w:szCs w:val="20"/>
              </w:rPr>
              <w:t>185.509</w:t>
            </w:r>
          </w:p>
        </w:tc>
        <w:tc>
          <w:tcPr>
            <w:tcW w:w="696" w:type="dxa"/>
            <w:shd w:val="clear" w:color="auto" w:fill="auto"/>
            <w:vAlign w:val="center"/>
            <w:hideMark/>
          </w:tcPr>
          <w:p w:rsidR="003E6588" w:rsidRDefault="003E6588">
            <w:pPr>
              <w:rPr>
                <w:sz w:val="20"/>
                <w:szCs w:val="20"/>
              </w:rPr>
            </w:pPr>
            <w:r>
              <w:rPr>
                <w:sz w:val="20"/>
                <w:szCs w:val="20"/>
              </w:rPr>
              <w:t>23.791</w:t>
            </w:r>
          </w:p>
        </w:tc>
        <w:tc>
          <w:tcPr>
            <w:tcW w:w="974" w:type="dxa"/>
            <w:shd w:val="clear" w:color="auto" w:fill="auto"/>
            <w:vAlign w:val="center"/>
            <w:hideMark/>
          </w:tcPr>
          <w:p w:rsidR="003E6588" w:rsidRDefault="003E6588">
            <w:pPr>
              <w:rPr>
                <w:sz w:val="20"/>
                <w:szCs w:val="20"/>
              </w:rPr>
            </w:pPr>
            <w:r>
              <w:rPr>
                <w:sz w:val="20"/>
                <w:szCs w:val="20"/>
              </w:rPr>
              <w:t>51.839</w:t>
            </w:r>
          </w:p>
        </w:tc>
        <w:tc>
          <w:tcPr>
            <w:tcW w:w="963" w:type="dxa"/>
            <w:shd w:val="clear" w:color="auto" w:fill="auto"/>
            <w:noWrap/>
            <w:vAlign w:val="center"/>
            <w:hideMark/>
          </w:tcPr>
          <w:p w:rsidR="003E6588" w:rsidRDefault="003E6588">
            <w:pPr>
              <w:rPr>
                <w:sz w:val="20"/>
                <w:szCs w:val="20"/>
              </w:rPr>
            </w:pPr>
            <w:r>
              <w:rPr>
                <w:sz w:val="20"/>
                <w:szCs w:val="20"/>
              </w:rPr>
              <w:t>332.392</w:t>
            </w:r>
          </w:p>
        </w:tc>
      </w:tr>
      <w:tr w:rsidR="003E6588" w:rsidTr="00855777">
        <w:trPr>
          <w:trHeight w:val="128"/>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Condutores submetidos ao teste Bafômetro</w:t>
            </w:r>
          </w:p>
        </w:tc>
        <w:tc>
          <w:tcPr>
            <w:tcW w:w="850" w:type="dxa"/>
            <w:shd w:val="clear" w:color="auto" w:fill="auto"/>
            <w:noWrap/>
            <w:vAlign w:val="center"/>
            <w:hideMark/>
          </w:tcPr>
          <w:p w:rsidR="003E6588" w:rsidRDefault="003E6588">
            <w:pPr>
              <w:rPr>
                <w:sz w:val="20"/>
                <w:szCs w:val="20"/>
              </w:rPr>
            </w:pPr>
            <w:r>
              <w:rPr>
                <w:sz w:val="20"/>
                <w:szCs w:val="20"/>
              </w:rPr>
              <w:t>1.601</w:t>
            </w:r>
          </w:p>
        </w:tc>
        <w:tc>
          <w:tcPr>
            <w:tcW w:w="690" w:type="dxa"/>
            <w:shd w:val="clear" w:color="auto" w:fill="auto"/>
            <w:noWrap/>
            <w:vAlign w:val="center"/>
            <w:hideMark/>
          </w:tcPr>
          <w:p w:rsidR="003E6588" w:rsidRDefault="003E6588">
            <w:pPr>
              <w:rPr>
                <w:sz w:val="20"/>
                <w:szCs w:val="20"/>
              </w:rPr>
            </w:pPr>
            <w:r>
              <w:rPr>
                <w:sz w:val="20"/>
                <w:szCs w:val="20"/>
              </w:rPr>
              <w:t>517</w:t>
            </w:r>
          </w:p>
        </w:tc>
        <w:tc>
          <w:tcPr>
            <w:tcW w:w="1152" w:type="dxa"/>
            <w:shd w:val="clear" w:color="auto" w:fill="auto"/>
            <w:noWrap/>
            <w:vAlign w:val="center"/>
            <w:hideMark/>
          </w:tcPr>
          <w:p w:rsidR="003E6588" w:rsidRDefault="003E6588">
            <w:pPr>
              <w:rPr>
                <w:sz w:val="20"/>
                <w:szCs w:val="20"/>
              </w:rPr>
            </w:pPr>
            <w:r>
              <w:rPr>
                <w:sz w:val="20"/>
                <w:szCs w:val="20"/>
              </w:rPr>
              <w:t>9.044</w:t>
            </w:r>
          </w:p>
        </w:tc>
        <w:tc>
          <w:tcPr>
            <w:tcW w:w="696" w:type="dxa"/>
            <w:shd w:val="clear" w:color="auto" w:fill="auto"/>
            <w:vAlign w:val="center"/>
            <w:hideMark/>
          </w:tcPr>
          <w:p w:rsidR="003E6588" w:rsidRDefault="003E6588">
            <w:pPr>
              <w:rPr>
                <w:sz w:val="20"/>
                <w:szCs w:val="20"/>
              </w:rPr>
            </w:pPr>
            <w:r>
              <w:rPr>
                <w:sz w:val="20"/>
                <w:szCs w:val="20"/>
              </w:rPr>
              <w:t>25.647</w:t>
            </w:r>
          </w:p>
        </w:tc>
        <w:tc>
          <w:tcPr>
            <w:tcW w:w="974" w:type="dxa"/>
            <w:shd w:val="clear" w:color="auto" w:fill="auto"/>
            <w:vAlign w:val="center"/>
            <w:hideMark/>
          </w:tcPr>
          <w:p w:rsidR="003E6588" w:rsidRDefault="003E6588">
            <w:pPr>
              <w:rPr>
                <w:sz w:val="20"/>
                <w:szCs w:val="20"/>
              </w:rPr>
            </w:pPr>
            <w:r>
              <w:rPr>
                <w:sz w:val="20"/>
                <w:szCs w:val="20"/>
              </w:rPr>
              <w:t>41.322</w:t>
            </w:r>
          </w:p>
        </w:tc>
        <w:tc>
          <w:tcPr>
            <w:tcW w:w="963" w:type="dxa"/>
            <w:shd w:val="clear" w:color="auto" w:fill="auto"/>
            <w:noWrap/>
            <w:vAlign w:val="center"/>
            <w:hideMark/>
          </w:tcPr>
          <w:p w:rsidR="003E6588" w:rsidRDefault="003E6588">
            <w:pPr>
              <w:rPr>
                <w:sz w:val="20"/>
                <w:szCs w:val="20"/>
              </w:rPr>
            </w:pPr>
            <w:r>
              <w:rPr>
                <w:sz w:val="20"/>
                <w:szCs w:val="20"/>
              </w:rPr>
              <w:t>78.131</w:t>
            </w:r>
          </w:p>
        </w:tc>
      </w:tr>
      <w:tr w:rsidR="003E6588" w:rsidTr="00855777">
        <w:trPr>
          <w:trHeight w:val="44"/>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Condutores que recusaram ao teste Bafômetro</w:t>
            </w:r>
          </w:p>
        </w:tc>
        <w:tc>
          <w:tcPr>
            <w:tcW w:w="850" w:type="dxa"/>
            <w:shd w:val="clear" w:color="auto" w:fill="auto"/>
            <w:noWrap/>
            <w:vAlign w:val="center"/>
            <w:hideMark/>
          </w:tcPr>
          <w:p w:rsidR="003E6588" w:rsidRDefault="003E6588">
            <w:pPr>
              <w:rPr>
                <w:sz w:val="20"/>
                <w:szCs w:val="20"/>
              </w:rPr>
            </w:pPr>
            <w:r>
              <w:rPr>
                <w:sz w:val="20"/>
                <w:szCs w:val="20"/>
              </w:rPr>
              <w:t>148</w:t>
            </w:r>
          </w:p>
        </w:tc>
        <w:tc>
          <w:tcPr>
            <w:tcW w:w="690" w:type="dxa"/>
            <w:shd w:val="clear" w:color="auto" w:fill="auto"/>
            <w:noWrap/>
            <w:vAlign w:val="center"/>
            <w:hideMark/>
          </w:tcPr>
          <w:p w:rsidR="003E6588" w:rsidRDefault="003E6588">
            <w:pPr>
              <w:rPr>
                <w:sz w:val="20"/>
                <w:szCs w:val="20"/>
              </w:rPr>
            </w:pPr>
            <w:r>
              <w:rPr>
                <w:sz w:val="20"/>
                <w:szCs w:val="20"/>
              </w:rPr>
              <w:t>133</w:t>
            </w:r>
          </w:p>
        </w:tc>
        <w:tc>
          <w:tcPr>
            <w:tcW w:w="1152" w:type="dxa"/>
            <w:shd w:val="clear" w:color="auto" w:fill="auto"/>
            <w:noWrap/>
            <w:vAlign w:val="center"/>
            <w:hideMark/>
          </w:tcPr>
          <w:p w:rsidR="003E6588" w:rsidRDefault="003E6588">
            <w:pPr>
              <w:rPr>
                <w:sz w:val="20"/>
                <w:szCs w:val="20"/>
              </w:rPr>
            </w:pPr>
            <w:r>
              <w:rPr>
                <w:sz w:val="20"/>
                <w:szCs w:val="20"/>
              </w:rPr>
              <w:t>1.741</w:t>
            </w:r>
          </w:p>
        </w:tc>
        <w:tc>
          <w:tcPr>
            <w:tcW w:w="696" w:type="dxa"/>
            <w:shd w:val="clear" w:color="auto" w:fill="auto"/>
            <w:vAlign w:val="center"/>
            <w:hideMark/>
          </w:tcPr>
          <w:p w:rsidR="003E6588" w:rsidRDefault="003E6588">
            <w:pPr>
              <w:rPr>
                <w:sz w:val="20"/>
                <w:szCs w:val="20"/>
              </w:rPr>
            </w:pPr>
            <w:r>
              <w:rPr>
                <w:sz w:val="20"/>
                <w:szCs w:val="20"/>
              </w:rPr>
              <w:t>173</w:t>
            </w:r>
          </w:p>
        </w:tc>
        <w:tc>
          <w:tcPr>
            <w:tcW w:w="974" w:type="dxa"/>
            <w:shd w:val="clear" w:color="auto" w:fill="auto"/>
            <w:vAlign w:val="center"/>
            <w:hideMark/>
          </w:tcPr>
          <w:p w:rsidR="003E6588" w:rsidRDefault="003E6588">
            <w:pPr>
              <w:rPr>
                <w:sz w:val="20"/>
                <w:szCs w:val="20"/>
              </w:rPr>
            </w:pPr>
            <w:r>
              <w:rPr>
                <w:sz w:val="20"/>
                <w:szCs w:val="20"/>
              </w:rPr>
              <w:t>1.855</w:t>
            </w:r>
          </w:p>
        </w:tc>
        <w:tc>
          <w:tcPr>
            <w:tcW w:w="963" w:type="dxa"/>
            <w:shd w:val="clear" w:color="auto" w:fill="auto"/>
            <w:noWrap/>
            <w:vAlign w:val="center"/>
            <w:hideMark/>
          </w:tcPr>
          <w:p w:rsidR="003E6588" w:rsidRDefault="003E6588">
            <w:pPr>
              <w:rPr>
                <w:sz w:val="20"/>
                <w:szCs w:val="20"/>
              </w:rPr>
            </w:pPr>
            <w:r>
              <w:rPr>
                <w:sz w:val="20"/>
                <w:szCs w:val="20"/>
              </w:rPr>
              <w:t>4.050</w:t>
            </w:r>
          </w:p>
        </w:tc>
      </w:tr>
      <w:tr w:rsidR="003E6588" w:rsidTr="00855777">
        <w:trPr>
          <w:trHeight w:val="193"/>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Quantidade flagrantes (art. 306 CTB)</w:t>
            </w:r>
          </w:p>
        </w:tc>
        <w:tc>
          <w:tcPr>
            <w:tcW w:w="850" w:type="dxa"/>
            <w:shd w:val="clear" w:color="auto" w:fill="auto"/>
            <w:noWrap/>
            <w:vAlign w:val="center"/>
            <w:hideMark/>
          </w:tcPr>
          <w:p w:rsidR="003E6588" w:rsidRDefault="003E6588">
            <w:pPr>
              <w:rPr>
                <w:sz w:val="20"/>
                <w:szCs w:val="20"/>
              </w:rPr>
            </w:pPr>
            <w:r>
              <w:rPr>
                <w:sz w:val="20"/>
                <w:szCs w:val="20"/>
              </w:rPr>
              <w:t>17</w:t>
            </w:r>
          </w:p>
        </w:tc>
        <w:tc>
          <w:tcPr>
            <w:tcW w:w="690" w:type="dxa"/>
            <w:shd w:val="clear" w:color="auto" w:fill="auto"/>
            <w:noWrap/>
            <w:vAlign w:val="center"/>
            <w:hideMark/>
          </w:tcPr>
          <w:p w:rsidR="003E6588" w:rsidRDefault="003E6588">
            <w:pPr>
              <w:rPr>
                <w:sz w:val="20"/>
                <w:szCs w:val="20"/>
              </w:rPr>
            </w:pPr>
            <w:r>
              <w:rPr>
                <w:sz w:val="20"/>
                <w:szCs w:val="20"/>
              </w:rPr>
              <w:t>22</w:t>
            </w:r>
          </w:p>
        </w:tc>
        <w:tc>
          <w:tcPr>
            <w:tcW w:w="1152" w:type="dxa"/>
            <w:shd w:val="clear" w:color="auto" w:fill="auto"/>
            <w:noWrap/>
            <w:vAlign w:val="center"/>
            <w:hideMark/>
          </w:tcPr>
          <w:p w:rsidR="003E6588" w:rsidRDefault="003E6588">
            <w:pPr>
              <w:rPr>
                <w:sz w:val="20"/>
                <w:szCs w:val="20"/>
              </w:rPr>
            </w:pPr>
            <w:r>
              <w:rPr>
                <w:sz w:val="20"/>
                <w:szCs w:val="20"/>
              </w:rPr>
              <w:t>356</w:t>
            </w:r>
          </w:p>
        </w:tc>
        <w:tc>
          <w:tcPr>
            <w:tcW w:w="696" w:type="dxa"/>
            <w:shd w:val="clear" w:color="auto" w:fill="auto"/>
            <w:vAlign w:val="center"/>
            <w:hideMark/>
          </w:tcPr>
          <w:p w:rsidR="003E6588" w:rsidRDefault="003E6588">
            <w:pPr>
              <w:rPr>
                <w:sz w:val="20"/>
                <w:szCs w:val="20"/>
              </w:rPr>
            </w:pPr>
            <w:r>
              <w:rPr>
                <w:sz w:val="20"/>
                <w:szCs w:val="20"/>
              </w:rPr>
              <w:t>398</w:t>
            </w:r>
          </w:p>
        </w:tc>
        <w:tc>
          <w:tcPr>
            <w:tcW w:w="974" w:type="dxa"/>
            <w:shd w:val="clear" w:color="auto" w:fill="auto"/>
            <w:vAlign w:val="center"/>
            <w:hideMark/>
          </w:tcPr>
          <w:p w:rsidR="003E6588" w:rsidRDefault="003E6588">
            <w:pPr>
              <w:rPr>
                <w:sz w:val="20"/>
                <w:szCs w:val="20"/>
              </w:rPr>
            </w:pPr>
            <w:r>
              <w:rPr>
                <w:sz w:val="20"/>
                <w:szCs w:val="20"/>
              </w:rPr>
              <w:t>10.486</w:t>
            </w:r>
          </w:p>
        </w:tc>
        <w:tc>
          <w:tcPr>
            <w:tcW w:w="963" w:type="dxa"/>
            <w:shd w:val="clear" w:color="auto" w:fill="auto"/>
            <w:noWrap/>
            <w:vAlign w:val="center"/>
            <w:hideMark/>
          </w:tcPr>
          <w:p w:rsidR="003E6588" w:rsidRDefault="003E6588">
            <w:pPr>
              <w:rPr>
                <w:sz w:val="20"/>
                <w:szCs w:val="20"/>
              </w:rPr>
            </w:pPr>
            <w:r>
              <w:rPr>
                <w:sz w:val="20"/>
                <w:szCs w:val="20"/>
              </w:rPr>
              <w:t>11.279</w:t>
            </w:r>
          </w:p>
        </w:tc>
      </w:tr>
      <w:tr w:rsidR="003E6588" w:rsidTr="00855777">
        <w:trPr>
          <w:trHeight w:val="51"/>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Veículos fiscalizados</w:t>
            </w:r>
          </w:p>
        </w:tc>
        <w:tc>
          <w:tcPr>
            <w:tcW w:w="850" w:type="dxa"/>
            <w:shd w:val="clear" w:color="auto" w:fill="auto"/>
            <w:noWrap/>
            <w:vAlign w:val="center"/>
            <w:hideMark/>
          </w:tcPr>
          <w:p w:rsidR="003E6588" w:rsidRDefault="003E6588">
            <w:pPr>
              <w:rPr>
                <w:sz w:val="20"/>
                <w:szCs w:val="20"/>
              </w:rPr>
            </w:pPr>
            <w:r>
              <w:rPr>
                <w:sz w:val="20"/>
                <w:szCs w:val="20"/>
              </w:rPr>
              <w:t>16.190</w:t>
            </w:r>
          </w:p>
        </w:tc>
        <w:tc>
          <w:tcPr>
            <w:tcW w:w="690" w:type="dxa"/>
            <w:shd w:val="clear" w:color="auto" w:fill="auto"/>
            <w:noWrap/>
            <w:vAlign w:val="center"/>
            <w:hideMark/>
          </w:tcPr>
          <w:p w:rsidR="003E6588" w:rsidRDefault="003E6588">
            <w:pPr>
              <w:rPr>
                <w:sz w:val="20"/>
                <w:szCs w:val="20"/>
              </w:rPr>
            </w:pPr>
            <w:r>
              <w:rPr>
                <w:sz w:val="20"/>
                <w:szCs w:val="20"/>
              </w:rPr>
              <w:t>14.874</w:t>
            </w:r>
          </w:p>
        </w:tc>
        <w:tc>
          <w:tcPr>
            <w:tcW w:w="1152" w:type="dxa"/>
            <w:shd w:val="clear" w:color="auto" w:fill="auto"/>
            <w:noWrap/>
            <w:vAlign w:val="center"/>
            <w:hideMark/>
          </w:tcPr>
          <w:p w:rsidR="003E6588" w:rsidRDefault="003E6588">
            <w:pPr>
              <w:rPr>
                <w:sz w:val="20"/>
                <w:szCs w:val="20"/>
              </w:rPr>
            </w:pPr>
            <w:r>
              <w:rPr>
                <w:sz w:val="20"/>
                <w:szCs w:val="20"/>
              </w:rPr>
              <w:t>105.765</w:t>
            </w:r>
          </w:p>
        </w:tc>
        <w:tc>
          <w:tcPr>
            <w:tcW w:w="696" w:type="dxa"/>
            <w:shd w:val="clear" w:color="auto" w:fill="auto"/>
            <w:vAlign w:val="center"/>
            <w:hideMark/>
          </w:tcPr>
          <w:p w:rsidR="003E6588" w:rsidRDefault="003E6588">
            <w:pPr>
              <w:rPr>
                <w:sz w:val="20"/>
                <w:szCs w:val="20"/>
              </w:rPr>
            </w:pPr>
            <w:r>
              <w:rPr>
                <w:sz w:val="20"/>
                <w:szCs w:val="20"/>
              </w:rPr>
              <w:t>39.859</w:t>
            </w:r>
          </w:p>
        </w:tc>
        <w:tc>
          <w:tcPr>
            <w:tcW w:w="974" w:type="dxa"/>
            <w:shd w:val="clear" w:color="auto" w:fill="auto"/>
            <w:vAlign w:val="center"/>
            <w:hideMark/>
          </w:tcPr>
          <w:p w:rsidR="003E6588" w:rsidRDefault="003E6588">
            <w:pPr>
              <w:rPr>
                <w:sz w:val="20"/>
                <w:szCs w:val="20"/>
              </w:rPr>
            </w:pPr>
            <w:r>
              <w:rPr>
                <w:sz w:val="20"/>
                <w:szCs w:val="20"/>
              </w:rPr>
              <w:t>7.202</w:t>
            </w:r>
          </w:p>
        </w:tc>
        <w:tc>
          <w:tcPr>
            <w:tcW w:w="963" w:type="dxa"/>
            <w:shd w:val="clear" w:color="auto" w:fill="auto"/>
            <w:noWrap/>
            <w:vAlign w:val="center"/>
            <w:hideMark/>
          </w:tcPr>
          <w:p w:rsidR="003E6588" w:rsidRDefault="003E6588">
            <w:pPr>
              <w:rPr>
                <w:sz w:val="20"/>
                <w:szCs w:val="20"/>
              </w:rPr>
            </w:pPr>
            <w:r>
              <w:rPr>
                <w:sz w:val="20"/>
                <w:szCs w:val="20"/>
              </w:rPr>
              <w:t>183.890</w:t>
            </w:r>
          </w:p>
        </w:tc>
      </w:tr>
      <w:tr w:rsidR="003E6588" w:rsidTr="00855777">
        <w:trPr>
          <w:trHeight w:val="83"/>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Veículos (removidos ou apreendidos)</w:t>
            </w:r>
          </w:p>
        </w:tc>
        <w:tc>
          <w:tcPr>
            <w:tcW w:w="850" w:type="dxa"/>
            <w:shd w:val="clear" w:color="auto" w:fill="auto"/>
            <w:noWrap/>
            <w:vAlign w:val="center"/>
            <w:hideMark/>
          </w:tcPr>
          <w:p w:rsidR="003E6588" w:rsidRDefault="003E6588">
            <w:pPr>
              <w:rPr>
                <w:sz w:val="20"/>
                <w:szCs w:val="20"/>
              </w:rPr>
            </w:pPr>
            <w:r>
              <w:rPr>
                <w:sz w:val="20"/>
                <w:szCs w:val="20"/>
              </w:rPr>
              <w:t>215</w:t>
            </w:r>
          </w:p>
        </w:tc>
        <w:tc>
          <w:tcPr>
            <w:tcW w:w="690" w:type="dxa"/>
            <w:shd w:val="clear" w:color="auto" w:fill="auto"/>
            <w:noWrap/>
            <w:vAlign w:val="center"/>
            <w:hideMark/>
          </w:tcPr>
          <w:p w:rsidR="003E6588" w:rsidRDefault="003E6588">
            <w:pPr>
              <w:rPr>
                <w:sz w:val="20"/>
                <w:szCs w:val="20"/>
              </w:rPr>
            </w:pPr>
            <w:r>
              <w:rPr>
                <w:sz w:val="20"/>
                <w:szCs w:val="20"/>
              </w:rPr>
              <w:t>1.027</w:t>
            </w:r>
          </w:p>
        </w:tc>
        <w:tc>
          <w:tcPr>
            <w:tcW w:w="1152" w:type="dxa"/>
            <w:shd w:val="clear" w:color="auto" w:fill="auto"/>
            <w:noWrap/>
            <w:vAlign w:val="center"/>
            <w:hideMark/>
          </w:tcPr>
          <w:p w:rsidR="003E6588" w:rsidRDefault="003E6588">
            <w:pPr>
              <w:rPr>
                <w:sz w:val="20"/>
                <w:szCs w:val="20"/>
              </w:rPr>
            </w:pPr>
            <w:r>
              <w:rPr>
                <w:sz w:val="20"/>
                <w:szCs w:val="20"/>
              </w:rPr>
              <w:t>3.428</w:t>
            </w:r>
          </w:p>
        </w:tc>
        <w:tc>
          <w:tcPr>
            <w:tcW w:w="696" w:type="dxa"/>
            <w:shd w:val="clear" w:color="auto" w:fill="auto"/>
            <w:vAlign w:val="center"/>
            <w:hideMark/>
          </w:tcPr>
          <w:p w:rsidR="003E6588" w:rsidRDefault="003E6588">
            <w:pPr>
              <w:rPr>
                <w:sz w:val="20"/>
                <w:szCs w:val="20"/>
              </w:rPr>
            </w:pPr>
            <w:r>
              <w:rPr>
                <w:sz w:val="20"/>
                <w:szCs w:val="20"/>
              </w:rPr>
              <w:t>1.430</w:t>
            </w:r>
          </w:p>
        </w:tc>
        <w:tc>
          <w:tcPr>
            <w:tcW w:w="974" w:type="dxa"/>
            <w:shd w:val="clear" w:color="auto" w:fill="auto"/>
            <w:vAlign w:val="center"/>
            <w:hideMark/>
          </w:tcPr>
          <w:p w:rsidR="003E6588" w:rsidRDefault="003E6588">
            <w:pPr>
              <w:rPr>
                <w:sz w:val="20"/>
                <w:szCs w:val="20"/>
              </w:rPr>
            </w:pPr>
            <w:r>
              <w:rPr>
                <w:sz w:val="20"/>
                <w:szCs w:val="20"/>
              </w:rPr>
              <w:t>837</w:t>
            </w:r>
          </w:p>
        </w:tc>
        <w:tc>
          <w:tcPr>
            <w:tcW w:w="963" w:type="dxa"/>
            <w:shd w:val="clear" w:color="auto" w:fill="auto"/>
            <w:noWrap/>
            <w:vAlign w:val="center"/>
            <w:hideMark/>
          </w:tcPr>
          <w:p w:rsidR="003E6588" w:rsidRDefault="003E6588">
            <w:pPr>
              <w:rPr>
                <w:sz w:val="20"/>
                <w:szCs w:val="20"/>
              </w:rPr>
            </w:pPr>
            <w:r>
              <w:rPr>
                <w:sz w:val="20"/>
                <w:szCs w:val="20"/>
              </w:rPr>
              <w:t>6.937</w:t>
            </w:r>
          </w:p>
        </w:tc>
      </w:tr>
      <w:tr w:rsidR="003E6588" w:rsidTr="00855777">
        <w:trPr>
          <w:trHeight w:val="129"/>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Motocicletas fiscalizadas</w:t>
            </w:r>
          </w:p>
        </w:tc>
        <w:tc>
          <w:tcPr>
            <w:tcW w:w="850" w:type="dxa"/>
            <w:shd w:val="clear" w:color="auto" w:fill="auto"/>
            <w:noWrap/>
            <w:vAlign w:val="center"/>
            <w:hideMark/>
          </w:tcPr>
          <w:p w:rsidR="003E6588" w:rsidRDefault="003E6588">
            <w:pPr>
              <w:rPr>
                <w:sz w:val="20"/>
                <w:szCs w:val="20"/>
              </w:rPr>
            </w:pPr>
            <w:r>
              <w:rPr>
                <w:sz w:val="20"/>
                <w:szCs w:val="20"/>
              </w:rPr>
              <w:t>15.088</w:t>
            </w:r>
          </w:p>
        </w:tc>
        <w:tc>
          <w:tcPr>
            <w:tcW w:w="690" w:type="dxa"/>
            <w:shd w:val="clear" w:color="auto" w:fill="auto"/>
            <w:noWrap/>
            <w:vAlign w:val="center"/>
            <w:hideMark/>
          </w:tcPr>
          <w:p w:rsidR="003E6588" w:rsidRDefault="003E6588">
            <w:pPr>
              <w:rPr>
                <w:sz w:val="20"/>
                <w:szCs w:val="20"/>
              </w:rPr>
            </w:pPr>
            <w:r>
              <w:rPr>
                <w:sz w:val="20"/>
                <w:szCs w:val="20"/>
              </w:rPr>
              <w:t>10.995</w:t>
            </w:r>
          </w:p>
        </w:tc>
        <w:tc>
          <w:tcPr>
            <w:tcW w:w="1152" w:type="dxa"/>
            <w:shd w:val="clear" w:color="auto" w:fill="auto"/>
            <w:noWrap/>
            <w:vAlign w:val="center"/>
            <w:hideMark/>
          </w:tcPr>
          <w:p w:rsidR="003E6588" w:rsidRDefault="003E6588">
            <w:pPr>
              <w:rPr>
                <w:sz w:val="20"/>
                <w:szCs w:val="20"/>
              </w:rPr>
            </w:pPr>
            <w:r>
              <w:rPr>
                <w:sz w:val="20"/>
                <w:szCs w:val="20"/>
              </w:rPr>
              <w:t>74.261</w:t>
            </w:r>
          </w:p>
        </w:tc>
        <w:tc>
          <w:tcPr>
            <w:tcW w:w="696" w:type="dxa"/>
            <w:shd w:val="clear" w:color="auto" w:fill="auto"/>
            <w:vAlign w:val="center"/>
            <w:hideMark/>
          </w:tcPr>
          <w:p w:rsidR="003E6588" w:rsidRDefault="003E6588">
            <w:pPr>
              <w:rPr>
                <w:sz w:val="20"/>
                <w:szCs w:val="20"/>
              </w:rPr>
            </w:pPr>
            <w:r>
              <w:rPr>
                <w:sz w:val="20"/>
                <w:szCs w:val="20"/>
              </w:rPr>
              <w:t>6.642</w:t>
            </w:r>
          </w:p>
        </w:tc>
        <w:tc>
          <w:tcPr>
            <w:tcW w:w="974" w:type="dxa"/>
            <w:shd w:val="clear" w:color="auto" w:fill="auto"/>
            <w:vAlign w:val="center"/>
            <w:hideMark/>
          </w:tcPr>
          <w:p w:rsidR="003E6588" w:rsidRDefault="003E6588">
            <w:pPr>
              <w:rPr>
                <w:sz w:val="20"/>
                <w:szCs w:val="20"/>
              </w:rPr>
            </w:pPr>
            <w:r>
              <w:rPr>
                <w:sz w:val="20"/>
                <w:szCs w:val="20"/>
              </w:rPr>
              <w:t>68</w:t>
            </w:r>
          </w:p>
        </w:tc>
        <w:tc>
          <w:tcPr>
            <w:tcW w:w="963" w:type="dxa"/>
            <w:shd w:val="clear" w:color="auto" w:fill="auto"/>
            <w:noWrap/>
            <w:vAlign w:val="center"/>
            <w:hideMark/>
          </w:tcPr>
          <w:p w:rsidR="003E6588" w:rsidRDefault="003E6588">
            <w:pPr>
              <w:rPr>
                <w:sz w:val="20"/>
                <w:szCs w:val="20"/>
              </w:rPr>
            </w:pPr>
            <w:r>
              <w:rPr>
                <w:sz w:val="20"/>
                <w:szCs w:val="20"/>
              </w:rPr>
              <w:t>107.054</w:t>
            </w:r>
          </w:p>
        </w:tc>
      </w:tr>
      <w:tr w:rsidR="003E6588" w:rsidTr="00855777">
        <w:trPr>
          <w:trHeight w:val="44"/>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Motocicletas (removidas ou apreendidas)</w:t>
            </w:r>
          </w:p>
        </w:tc>
        <w:tc>
          <w:tcPr>
            <w:tcW w:w="850" w:type="dxa"/>
            <w:shd w:val="clear" w:color="auto" w:fill="auto"/>
            <w:noWrap/>
            <w:vAlign w:val="center"/>
            <w:hideMark/>
          </w:tcPr>
          <w:p w:rsidR="003E6588" w:rsidRDefault="003E6588">
            <w:pPr>
              <w:rPr>
                <w:sz w:val="20"/>
                <w:szCs w:val="20"/>
              </w:rPr>
            </w:pPr>
            <w:r>
              <w:rPr>
                <w:sz w:val="20"/>
                <w:szCs w:val="20"/>
              </w:rPr>
              <w:t>442</w:t>
            </w:r>
          </w:p>
        </w:tc>
        <w:tc>
          <w:tcPr>
            <w:tcW w:w="690" w:type="dxa"/>
            <w:shd w:val="clear" w:color="auto" w:fill="auto"/>
            <w:noWrap/>
            <w:vAlign w:val="center"/>
            <w:hideMark/>
          </w:tcPr>
          <w:p w:rsidR="003E6588" w:rsidRDefault="003E6588">
            <w:pPr>
              <w:rPr>
                <w:sz w:val="20"/>
                <w:szCs w:val="20"/>
              </w:rPr>
            </w:pPr>
            <w:r>
              <w:rPr>
                <w:sz w:val="20"/>
                <w:szCs w:val="20"/>
              </w:rPr>
              <w:t>777</w:t>
            </w:r>
          </w:p>
        </w:tc>
        <w:tc>
          <w:tcPr>
            <w:tcW w:w="1152" w:type="dxa"/>
            <w:shd w:val="clear" w:color="auto" w:fill="auto"/>
            <w:noWrap/>
            <w:vAlign w:val="center"/>
            <w:hideMark/>
          </w:tcPr>
          <w:p w:rsidR="003E6588" w:rsidRDefault="003E6588">
            <w:pPr>
              <w:rPr>
                <w:sz w:val="20"/>
                <w:szCs w:val="20"/>
              </w:rPr>
            </w:pPr>
            <w:r>
              <w:rPr>
                <w:sz w:val="20"/>
                <w:szCs w:val="20"/>
              </w:rPr>
              <w:t>3.051</w:t>
            </w:r>
          </w:p>
        </w:tc>
        <w:tc>
          <w:tcPr>
            <w:tcW w:w="696" w:type="dxa"/>
            <w:shd w:val="clear" w:color="auto" w:fill="auto"/>
            <w:vAlign w:val="center"/>
            <w:hideMark/>
          </w:tcPr>
          <w:p w:rsidR="003E6588" w:rsidRDefault="003E6588">
            <w:pPr>
              <w:rPr>
                <w:sz w:val="20"/>
                <w:szCs w:val="20"/>
              </w:rPr>
            </w:pPr>
            <w:r>
              <w:rPr>
                <w:sz w:val="20"/>
                <w:szCs w:val="20"/>
              </w:rPr>
              <w:t>331</w:t>
            </w:r>
          </w:p>
        </w:tc>
        <w:tc>
          <w:tcPr>
            <w:tcW w:w="974" w:type="dxa"/>
            <w:shd w:val="clear" w:color="auto" w:fill="auto"/>
            <w:vAlign w:val="center"/>
            <w:hideMark/>
          </w:tcPr>
          <w:p w:rsidR="003E6588" w:rsidRDefault="003E6588">
            <w:pPr>
              <w:rPr>
                <w:sz w:val="20"/>
                <w:szCs w:val="20"/>
              </w:rPr>
            </w:pPr>
            <w:r>
              <w:rPr>
                <w:sz w:val="20"/>
                <w:szCs w:val="20"/>
              </w:rPr>
              <w:t>26</w:t>
            </w:r>
          </w:p>
        </w:tc>
        <w:tc>
          <w:tcPr>
            <w:tcW w:w="963" w:type="dxa"/>
            <w:shd w:val="clear" w:color="auto" w:fill="auto"/>
            <w:noWrap/>
            <w:vAlign w:val="center"/>
            <w:hideMark/>
          </w:tcPr>
          <w:p w:rsidR="003E6588" w:rsidRDefault="003E6588">
            <w:pPr>
              <w:rPr>
                <w:sz w:val="20"/>
                <w:szCs w:val="20"/>
              </w:rPr>
            </w:pPr>
            <w:r>
              <w:rPr>
                <w:sz w:val="20"/>
                <w:szCs w:val="20"/>
              </w:rPr>
              <w:t>4.627</w:t>
            </w:r>
          </w:p>
        </w:tc>
      </w:tr>
      <w:tr w:rsidR="003E6588" w:rsidTr="00855777">
        <w:trPr>
          <w:trHeight w:val="78"/>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Nº de AI confeccionados</w:t>
            </w:r>
          </w:p>
        </w:tc>
        <w:tc>
          <w:tcPr>
            <w:tcW w:w="850" w:type="dxa"/>
            <w:shd w:val="clear" w:color="auto" w:fill="auto"/>
            <w:noWrap/>
            <w:vAlign w:val="center"/>
            <w:hideMark/>
          </w:tcPr>
          <w:p w:rsidR="003E6588" w:rsidRDefault="003E6588">
            <w:pPr>
              <w:rPr>
                <w:sz w:val="20"/>
                <w:szCs w:val="20"/>
              </w:rPr>
            </w:pPr>
            <w:r>
              <w:rPr>
                <w:sz w:val="20"/>
                <w:szCs w:val="20"/>
              </w:rPr>
              <w:t>4.384</w:t>
            </w:r>
          </w:p>
        </w:tc>
        <w:tc>
          <w:tcPr>
            <w:tcW w:w="690" w:type="dxa"/>
            <w:shd w:val="clear" w:color="auto" w:fill="auto"/>
            <w:noWrap/>
            <w:vAlign w:val="center"/>
            <w:hideMark/>
          </w:tcPr>
          <w:p w:rsidR="003E6588" w:rsidRDefault="003E6588">
            <w:pPr>
              <w:rPr>
                <w:sz w:val="20"/>
                <w:szCs w:val="20"/>
              </w:rPr>
            </w:pPr>
            <w:r>
              <w:rPr>
                <w:sz w:val="20"/>
                <w:szCs w:val="20"/>
              </w:rPr>
              <w:t>7.232</w:t>
            </w:r>
          </w:p>
        </w:tc>
        <w:tc>
          <w:tcPr>
            <w:tcW w:w="1152" w:type="dxa"/>
            <w:shd w:val="clear" w:color="auto" w:fill="auto"/>
            <w:noWrap/>
            <w:vAlign w:val="center"/>
            <w:hideMark/>
          </w:tcPr>
          <w:p w:rsidR="003E6588" w:rsidRDefault="003E6588">
            <w:pPr>
              <w:rPr>
                <w:sz w:val="20"/>
                <w:szCs w:val="20"/>
              </w:rPr>
            </w:pPr>
            <w:r>
              <w:rPr>
                <w:sz w:val="20"/>
                <w:szCs w:val="20"/>
              </w:rPr>
              <w:t>31.938</w:t>
            </w:r>
          </w:p>
        </w:tc>
        <w:tc>
          <w:tcPr>
            <w:tcW w:w="696" w:type="dxa"/>
            <w:shd w:val="clear" w:color="auto" w:fill="auto"/>
            <w:vAlign w:val="center"/>
            <w:hideMark/>
          </w:tcPr>
          <w:p w:rsidR="003E6588" w:rsidRDefault="003E6588">
            <w:pPr>
              <w:rPr>
                <w:sz w:val="20"/>
                <w:szCs w:val="20"/>
              </w:rPr>
            </w:pPr>
            <w:r>
              <w:rPr>
                <w:sz w:val="20"/>
                <w:szCs w:val="20"/>
              </w:rPr>
              <w:t>37</w:t>
            </w:r>
          </w:p>
        </w:tc>
        <w:tc>
          <w:tcPr>
            <w:tcW w:w="974" w:type="dxa"/>
            <w:shd w:val="clear" w:color="auto" w:fill="auto"/>
            <w:vAlign w:val="center"/>
            <w:hideMark/>
          </w:tcPr>
          <w:p w:rsidR="003E6588" w:rsidRDefault="003E6588">
            <w:pPr>
              <w:rPr>
                <w:sz w:val="20"/>
                <w:szCs w:val="20"/>
              </w:rPr>
            </w:pPr>
            <w:r>
              <w:rPr>
                <w:sz w:val="20"/>
                <w:szCs w:val="20"/>
              </w:rPr>
              <w:t>15.865</w:t>
            </w:r>
          </w:p>
        </w:tc>
        <w:tc>
          <w:tcPr>
            <w:tcW w:w="963" w:type="dxa"/>
            <w:shd w:val="clear" w:color="auto" w:fill="auto"/>
            <w:noWrap/>
            <w:vAlign w:val="center"/>
            <w:hideMark/>
          </w:tcPr>
          <w:p w:rsidR="003E6588" w:rsidRDefault="003E6588">
            <w:pPr>
              <w:rPr>
                <w:sz w:val="20"/>
                <w:szCs w:val="20"/>
              </w:rPr>
            </w:pPr>
            <w:r>
              <w:rPr>
                <w:sz w:val="20"/>
                <w:szCs w:val="20"/>
              </w:rPr>
              <w:t>59.456</w:t>
            </w:r>
          </w:p>
        </w:tc>
      </w:tr>
      <w:tr w:rsidR="003E6588" w:rsidTr="00855777">
        <w:trPr>
          <w:trHeight w:val="124"/>
          <w:jc w:val="center"/>
        </w:trPr>
        <w:tc>
          <w:tcPr>
            <w:tcW w:w="3958" w:type="dxa"/>
            <w:shd w:val="clear" w:color="auto" w:fill="auto"/>
            <w:noWrap/>
            <w:vAlign w:val="center"/>
            <w:hideMark/>
          </w:tcPr>
          <w:p w:rsidR="003E6588" w:rsidRDefault="003E6588" w:rsidP="00855777">
            <w:pPr>
              <w:jc w:val="left"/>
              <w:rPr>
                <w:sz w:val="20"/>
                <w:szCs w:val="20"/>
              </w:rPr>
            </w:pPr>
            <w:r>
              <w:rPr>
                <w:sz w:val="20"/>
                <w:szCs w:val="20"/>
              </w:rPr>
              <w:t>Nº de AI confeccionados (ART. 165 CTB)</w:t>
            </w:r>
          </w:p>
        </w:tc>
        <w:tc>
          <w:tcPr>
            <w:tcW w:w="850" w:type="dxa"/>
            <w:shd w:val="clear" w:color="auto" w:fill="auto"/>
            <w:noWrap/>
            <w:vAlign w:val="center"/>
            <w:hideMark/>
          </w:tcPr>
          <w:p w:rsidR="003E6588" w:rsidRDefault="003E6588">
            <w:pPr>
              <w:rPr>
                <w:sz w:val="20"/>
                <w:szCs w:val="20"/>
              </w:rPr>
            </w:pPr>
            <w:r>
              <w:rPr>
                <w:sz w:val="20"/>
                <w:szCs w:val="20"/>
              </w:rPr>
              <w:t>219</w:t>
            </w:r>
          </w:p>
        </w:tc>
        <w:tc>
          <w:tcPr>
            <w:tcW w:w="690" w:type="dxa"/>
            <w:shd w:val="clear" w:color="auto" w:fill="auto"/>
            <w:noWrap/>
            <w:vAlign w:val="center"/>
            <w:hideMark/>
          </w:tcPr>
          <w:p w:rsidR="003E6588" w:rsidRDefault="003E6588">
            <w:pPr>
              <w:rPr>
                <w:sz w:val="20"/>
                <w:szCs w:val="20"/>
              </w:rPr>
            </w:pPr>
            <w:r>
              <w:rPr>
                <w:sz w:val="20"/>
                <w:szCs w:val="20"/>
              </w:rPr>
              <w:t>133</w:t>
            </w:r>
          </w:p>
        </w:tc>
        <w:tc>
          <w:tcPr>
            <w:tcW w:w="1152" w:type="dxa"/>
            <w:shd w:val="clear" w:color="auto" w:fill="auto"/>
            <w:noWrap/>
            <w:vAlign w:val="center"/>
            <w:hideMark/>
          </w:tcPr>
          <w:p w:rsidR="003E6588" w:rsidRDefault="003E6588">
            <w:pPr>
              <w:rPr>
                <w:sz w:val="20"/>
                <w:szCs w:val="20"/>
              </w:rPr>
            </w:pPr>
            <w:r>
              <w:rPr>
                <w:sz w:val="20"/>
                <w:szCs w:val="20"/>
              </w:rPr>
              <w:t>1.071</w:t>
            </w:r>
          </w:p>
        </w:tc>
        <w:tc>
          <w:tcPr>
            <w:tcW w:w="696" w:type="dxa"/>
            <w:shd w:val="clear" w:color="auto" w:fill="auto"/>
            <w:vAlign w:val="center"/>
            <w:hideMark/>
          </w:tcPr>
          <w:p w:rsidR="003E6588" w:rsidRDefault="003E6588">
            <w:pPr>
              <w:rPr>
                <w:sz w:val="20"/>
                <w:szCs w:val="20"/>
              </w:rPr>
            </w:pPr>
            <w:r>
              <w:rPr>
                <w:sz w:val="20"/>
                <w:szCs w:val="20"/>
              </w:rPr>
              <w:t>3.786</w:t>
            </w:r>
          </w:p>
        </w:tc>
        <w:tc>
          <w:tcPr>
            <w:tcW w:w="974" w:type="dxa"/>
            <w:shd w:val="clear" w:color="auto" w:fill="auto"/>
            <w:vAlign w:val="center"/>
            <w:hideMark/>
          </w:tcPr>
          <w:p w:rsidR="003E6588" w:rsidRDefault="003E6588">
            <w:pPr>
              <w:rPr>
                <w:sz w:val="20"/>
                <w:szCs w:val="20"/>
              </w:rPr>
            </w:pPr>
            <w:r>
              <w:rPr>
                <w:sz w:val="20"/>
                <w:szCs w:val="20"/>
              </w:rPr>
              <w:t>5.379</w:t>
            </w:r>
          </w:p>
        </w:tc>
        <w:tc>
          <w:tcPr>
            <w:tcW w:w="963" w:type="dxa"/>
            <w:shd w:val="clear" w:color="auto" w:fill="auto"/>
            <w:noWrap/>
            <w:vAlign w:val="center"/>
            <w:hideMark/>
          </w:tcPr>
          <w:p w:rsidR="003E6588" w:rsidRDefault="003E6588">
            <w:pPr>
              <w:rPr>
                <w:sz w:val="20"/>
                <w:szCs w:val="20"/>
              </w:rPr>
            </w:pPr>
            <w:r>
              <w:rPr>
                <w:sz w:val="20"/>
                <w:szCs w:val="20"/>
              </w:rPr>
              <w:t>10.588</w:t>
            </w:r>
          </w:p>
        </w:tc>
      </w:tr>
    </w:tbl>
    <w:p w:rsidR="003E6588" w:rsidRDefault="003E6588">
      <w:pPr>
        <w:rPr>
          <w:u w:val="single"/>
          <w:shd w:val="clear" w:color="auto" w:fill="FFFFFF"/>
        </w:rPr>
      </w:pPr>
    </w:p>
    <w:p w:rsidR="003E6588" w:rsidRDefault="003E6588">
      <w:pPr>
        <w:ind w:firstLine="1134"/>
        <w:jc w:val="both"/>
        <w:rPr>
          <w:u w:val="single"/>
          <w:shd w:val="clear" w:color="auto" w:fill="FFFFFF"/>
        </w:rPr>
      </w:pPr>
      <w:r>
        <w:rPr>
          <w:shd w:val="clear" w:color="auto" w:fill="FFFFFF"/>
        </w:rPr>
        <w:t>Nº de Reintegração de Posse realizadas pela Polícia Militar no Estado - 203</w:t>
      </w:r>
    </w:p>
    <w:p w:rsidR="003E6588" w:rsidRDefault="003E6588">
      <w:pPr>
        <w:pStyle w:val="Paragrafo"/>
        <w:spacing w:after="0" w:line="240" w:lineRule="auto"/>
        <w:ind w:firstLine="1134"/>
        <w:rPr>
          <w:rFonts w:ascii="Times New Roman" w:hAnsi="Times New Roman"/>
          <w:szCs w:val="24"/>
        </w:rPr>
      </w:pPr>
    </w:p>
    <w:p w:rsidR="003E6588" w:rsidRDefault="003E6588">
      <w:pPr>
        <w:pStyle w:val="Paragrafo"/>
        <w:spacing w:after="0" w:line="240" w:lineRule="auto"/>
        <w:ind w:firstLine="1134"/>
        <w:rPr>
          <w:rFonts w:ascii="Times New Roman" w:hAnsi="Times New Roman"/>
          <w:b/>
          <w:szCs w:val="24"/>
        </w:rPr>
      </w:pPr>
      <w:r>
        <w:rPr>
          <w:rFonts w:ascii="Times New Roman" w:hAnsi="Times New Roman"/>
          <w:b/>
          <w:szCs w:val="24"/>
        </w:rPr>
        <w:t>Polícia Ambiental</w:t>
      </w:r>
    </w:p>
    <w:p w:rsidR="003E6588" w:rsidRDefault="003E6588">
      <w:pPr>
        <w:pStyle w:val="Paragrafo"/>
        <w:spacing w:after="0" w:line="240" w:lineRule="auto"/>
        <w:ind w:firstLine="1134"/>
        <w:rPr>
          <w:rFonts w:ascii="Times New Roman" w:hAnsi="Times New Roman"/>
          <w:szCs w:val="24"/>
        </w:rPr>
      </w:pPr>
    </w:p>
    <w:p w:rsidR="003E6588" w:rsidRDefault="003E6588">
      <w:pPr>
        <w:ind w:firstLine="1134"/>
        <w:jc w:val="both"/>
      </w:pPr>
      <w:r>
        <w:t>Quantidade de armas de fogo apreendidas - 786.</w:t>
      </w:r>
    </w:p>
    <w:p w:rsidR="003E6588" w:rsidRDefault="003E6588">
      <w:pPr>
        <w:ind w:firstLine="1134"/>
        <w:jc w:val="both"/>
      </w:pPr>
    </w:p>
    <w:p w:rsidR="003E6588" w:rsidRDefault="003E6588">
      <w:pPr>
        <w:ind w:firstLine="1134"/>
        <w:jc w:val="both"/>
      </w:pPr>
      <w:r>
        <w:t>Propriedades rurais vistoriadas - 38.730.</w:t>
      </w:r>
    </w:p>
    <w:p w:rsidR="003E6588" w:rsidRDefault="003E6588">
      <w:pPr>
        <w:ind w:firstLine="1134"/>
        <w:jc w:val="both"/>
      </w:pPr>
    </w:p>
    <w:p w:rsidR="003E6588" w:rsidRDefault="003E6588">
      <w:pPr>
        <w:ind w:firstLine="1134"/>
        <w:jc w:val="both"/>
      </w:pPr>
      <w:r>
        <w:t>Prisão em flagrante de 471 infratores da lei.</w:t>
      </w:r>
    </w:p>
    <w:p w:rsidR="003E6588" w:rsidRDefault="003E6588">
      <w:pPr>
        <w:ind w:firstLine="1134"/>
        <w:jc w:val="both"/>
      </w:pPr>
    </w:p>
    <w:p w:rsidR="003E6588" w:rsidRDefault="003E6588">
      <w:pPr>
        <w:ind w:firstLine="1134"/>
        <w:jc w:val="both"/>
      </w:pPr>
      <w:r>
        <w:t>Lavrados 13.239 Autos de Infração Ambiental, com aplicação de R$ 246.671.030 em multas.</w:t>
      </w:r>
    </w:p>
    <w:p w:rsidR="003E6588" w:rsidRDefault="003E6588">
      <w:pPr>
        <w:ind w:firstLine="1134"/>
        <w:jc w:val="both"/>
      </w:pPr>
    </w:p>
    <w:p w:rsidR="003E6588" w:rsidRDefault="003E6588">
      <w:pPr>
        <w:ind w:firstLine="1134"/>
        <w:jc w:val="both"/>
      </w:pPr>
      <w:r>
        <w:t>Foram também apreendidos 25.297 aves e animais silvestres.</w:t>
      </w:r>
    </w:p>
    <w:p w:rsidR="003E6588" w:rsidRDefault="003E6588">
      <w:pPr>
        <w:ind w:firstLine="1134"/>
        <w:jc w:val="both"/>
      </w:pPr>
    </w:p>
    <w:p w:rsidR="003E6588" w:rsidRDefault="003E6588">
      <w:pPr>
        <w:ind w:firstLine="1134"/>
        <w:jc w:val="both"/>
      </w:pPr>
      <w:r>
        <w:t>Foram atendidas 29.845 denúncias pela Polícia Militar Ambiental.</w:t>
      </w:r>
    </w:p>
    <w:p w:rsidR="003E6588" w:rsidRDefault="003E6588">
      <w:pPr>
        <w:pStyle w:val="Paragrafo"/>
        <w:spacing w:after="0" w:line="240" w:lineRule="auto"/>
        <w:ind w:firstLine="1134"/>
        <w:rPr>
          <w:rFonts w:ascii="Times New Roman" w:hAnsi="Times New Roman"/>
          <w:szCs w:val="24"/>
        </w:rPr>
      </w:pPr>
    </w:p>
    <w:p w:rsidR="003E6588" w:rsidRDefault="003E6588">
      <w:pPr>
        <w:pStyle w:val="Paragrafo"/>
        <w:spacing w:after="0" w:line="240" w:lineRule="auto"/>
        <w:ind w:firstLine="1134"/>
        <w:rPr>
          <w:rFonts w:ascii="Times New Roman" w:hAnsi="Times New Roman"/>
        </w:rPr>
      </w:pPr>
      <w:r>
        <w:rPr>
          <w:rFonts w:ascii="Times New Roman" w:hAnsi="Times New Roman"/>
          <w:b/>
          <w:szCs w:val="24"/>
        </w:rPr>
        <w:t xml:space="preserve">Polícia Técnico-Científica - </w:t>
      </w:r>
      <w:r>
        <w:rPr>
          <w:rFonts w:ascii="Times New Roman" w:hAnsi="Times New Roman"/>
        </w:rPr>
        <w:t>Principais casos atendidos pelo IC e IML de maior repercussão midiática, com participação fundamental da SPTC:</w:t>
      </w:r>
    </w:p>
    <w:p w:rsidR="003E6588" w:rsidRDefault="003E6588">
      <w:pPr>
        <w:ind w:left="709" w:firstLine="707"/>
        <w:jc w:val="both"/>
      </w:pPr>
    </w:p>
    <w:p w:rsidR="003E6588" w:rsidRDefault="003E6588">
      <w:pPr>
        <w:ind w:firstLine="1134"/>
        <w:jc w:val="both"/>
      </w:pPr>
      <w:r>
        <w:t>Queda da aeronave do Presidenciável Eduardo Campos;</w:t>
      </w:r>
    </w:p>
    <w:p w:rsidR="003E6588" w:rsidRDefault="003E6588">
      <w:pPr>
        <w:ind w:firstLine="1134"/>
        <w:jc w:val="both"/>
      </w:pPr>
    </w:p>
    <w:p w:rsidR="003E6588" w:rsidRDefault="003E6588">
      <w:pPr>
        <w:ind w:firstLine="1134"/>
        <w:jc w:val="both"/>
      </w:pPr>
      <w:r>
        <w:lastRenderedPageBreak/>
        <w:t>Caso do esquartejamento do zelador da Zona Norte de São Paulo, com tentativa de ocultação dos restos mortais em Praia Grande;</w:t>
      </w:r>
    </w:p>
    <w:p w:rsidR="003E6588" w:rsidRDefault="003E6588">
      <w:pPr>
        <w:ind w:firstLine="1134"/>
        <w:jc w:val="both"/>
      </w:pPr>
    </w:p>
    <w:p w:rsidR="003E6588" w:rsidRDefault="003E6588">
      <w:pPr>
        <w:ind w:firstLine="1134"/>
        <w:jc w:val="both"/>
      </w:pPr>
      <w:r>
        <w:t>Morte de estudante que participava em festa na Universidade de São Paulo (USP);</w:t>
      </w:r>
    </w:p>
    <w:p w:rsidR="003E6588" w:rsidRDefault="003E6588">
      <w:pPr>
        <w:ind w:firstLine="1134"/>
        <w:jc w:val="both"/>
      </w:pPr>
    </w:p>
    <w:p w:rsidR="003E6588" w:rsidRDefault="003E6588">
      <w:pPr>
        <w:ind w:firstLine="1134"/>
        <w:jc w:val="both"/>
      </w:pPr>
      <w:r>
        <w:t>Caso corpo espostejado encontrado em Higienópolis;</w:t>
      </w:r>
    </w:p>
    <w:p w:rsidR="003E6588" w:rsidRDefault="003E6588">
      <w:pPr>
        <w:ind w:firstLine="1134"/>
        <w:jc w:val="both"/>
      </w:pPr>
    </w:p>
    <w:p w:rsidR="003E6588" w:rsidRDefault="003E6588">
      <w:pPr>
        <w:ind w:firstLine="1134"/>
        <w:jc w:val="both"/>
      </w:pPr>
      <w:r>
        <w:t>Desabamento no Rodoanel em Piracicaba;</w:t>
      </w:r>
    </w:p>
    <w:p w:rsidR="003E6588" w:rsidRDefault="003E6588">
      <w:pPr>
        <w:ind w:firstLine="1134"/>
        <w:jc w:val="both"/>
      </w:pPr>
    </w:p>
    <w:p w:rsidR="003E6588" w:rsidRDefault="003E6588">
      <w:pPr>
        <w:ind w:firstLine="1134"/>
        <w:jc w:val="both"/>
      </w:pPr>
      <w:r>
        <w:t>Queda de viga do monotrilho Linha 17 - Ouro.</w:t>
      </w:r>
    </w:p>
    <w:p w:rsidR="003E6588" w:rsidRDefault="003E6588">
      <w:pPr>
        <w:ind w:firstLine="1134"/>
        <w:jc w:val="both"/>
      </w:pPr>
    </w:p>
    <w:p w:rsidR="00CB0DF8" w:rsidRDefault="003E6588">
      <w:pPr>
        <w:pStyle w:val="PargrafodaLista"/>
        <w:ind w:left="0" w:firstLine="1134"/>
        <w:rPr>
          <w:rFonts w:ascii="Times New Roman" w:hAnsi="Times New Roman"/>
          <w:b/>
          <w:sz w:val="24"/>
        </w:rPr>
      </w:pPr>
      <w:r>
        <w:rPr>
          <w:rFonts w:ascii="Times New Roman" w:hAnsi="Times New Roman"/>
          <w:b/>
          <w:sz w:val="24"/>
        </w:rPr>
        <w:t>Número de atendimento e laudos produzidos pelos Institutos de Criminalística e Médico-Legal</w:t>
      </w:r>
    </w:p>
    <w:p w:rsidR="003E6588" w:rsidRDefault="003E6588">
      <w:pPr>
        <w:contextualSpacing/>
        <w:jc w:val="both"/>
      </w:pPr>
    </w:p>
    <w:p w:rsidR="003E6588" w:rsidRDefault="003E6588">
      <w:pPr>
        <w:ind w:firstLine="1134"/>
        <w:contextualSpacing/>
        <w:jc w:val="both"/>
        <w:rPr>
          <w:bCs/>
          <w:strike/>
          <w:color w:val="FF0000"/>
        </w:rPr>
      </w:pPr>
      <w:r>
        <w:rPr>
          <w:b/>
          <w:bCs/>
        </w:rPr>
        <w:t>Produtividade do Instituto de Criminalística</w:t>
      </w:r>
    </w:p>
    <w:p w:rsidR="003E6588" w:rsidRDefault="003E6588">
      <w:pPr>
        <w:contextualSpacing/>
        <w:jc w:val="both"/>
      </w:pPr>
    </w:p>
    <w:tbl>
      <w:tblPr>
        <w:tblW w:w="7229" w:type="dxa"/>
        <w:tblInd w:w="1488" w:type="dxa"/>
        <w:tblCellMar>
          <w:left w:w="70" w:type="dxa"/>
          <w:right w:w="70" w:type="dxa"/>
        </w:tblCellMar>
        <w:tblLook w:val="04A0"/>
      </w:tblPr>
      <w:tblGrid>
        <w:gridCol w:w="2410"/>
        <w:gridCol w:w="2551"/>
        <w:gridCol w:w="2268"/>
      </w:tblGrid>
      <w:tr w:rsidR="003E6588" w:rsidTr="00855777">
        <w:trPr>
          <w:trHeight w:val="90"/>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Região</w:t>
            </w:r>
          </w:p>
        </w:tc>
        <w:tc>
          <w:tcPr>
            <w:tcW w:w="2551" w:type="dxa"/>
            <w:tcBorders>
              <w:top w:val="single" w:sz="8" w:space="0" w:color="auto"/>
              <w:left w:val="nil"/>
              <w:bottom w:val="single" w:sz="8" w:space="0" w:color="auto"/>
              <w:right w:val="single" w:sz="4" w:space="0" w:color="auto"/>
            </w:tcBorders>
            <w:shd w:val="clear" w:color="auto" w:fill="auto"/>
            <w:noWrap/>
            <w:vAlign w:val="center"/>
            <w:hideMark/>
          </w:tcPr>
          <w:p w:rsidR="003E6588" w:rsidRDefault="003E6588">
            <w:pPr>
              <w:rPr>
                <w:b/>
                <w:bCs/>
                <w:sz w:val="20"/>
                <w:szCs w:val="20"/>
              </w:rPr>
            </w:pPr>
            <w:r>
              <w:rPr>
                <w:b/>
                <w:bCs/>
                <w:sz w:val="20"/>
                <w:szCs w:val="20"/>
              </w:rPr>
              <w:t>Casos Atendidos</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
                <w:bCs/>
                <w:sz w:val="20"/>
                <w:szCs w:val="20"/>
              </w:rPr>
            </w:pPr>
            <w:r>
              <w:rPr>
                <w:b/>
                <w:bCs/>
                <w:sz w:val="20"/>
                <w:szCs w:val="20"/>
              </w:rPr>
              <w:t>Laudos Expedidos</w:t>
            </w:r>
          </w:p>
        </w:tc>
      </w:tr>
      <w:tr w:rsidR="003E6588" w:rsidTr="00855777">
        <w:trPr>
          <w:trHeight w:val="79"/>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rsidP="00855777">
            <w:pPr>
              <w:jc w:val="left"/>
              <w:rPr>
                <w:bCs/>
                <w:sz w:val="20"/>
                <w:szCs w:val="20"/>
              </w:rPr>
            </w:pPr>
            <w:r>
              <w:rPr>
                <w:bCs/>
                <w:sz w:val="20"/>
                <w:szCs w:val="20"/>
              </w:rPr>
              <w:t>Interior</w:t>
            </w:r>
          </w:p>
        </w:tc>
        <w:tc>
          <w:tcPr>
            <w:tcW w:w="2551" w:type="dxa"/>
            <w:tcBorders>
              <w:top w:val="single" w:sz="8" w:space="0" w:color="auto"/>
              <w:left w:val="nil"/>
              <w:bottom w:val="single" w:sz="8" w:space="0" w:color="auto"/>
              <w:right w:val="single" w:sz="4" w:space="0" w:color="auto"/>
            </w:tcBorders>
            <w:shd w:val="clear" w:color="auto" w:fill="auto"/>
            <w:noWrap/>
            <w:vAlign w:val="center"/>
            <w:hideMark/>
          </w:tcPr>
          <w:p w:rsidR="003E6588" w:rsidRDefault="003E6588">
            <w:pPr>
              <w:rPr>
                <w:bCs/>
                <w:sz w:val="20"/>
                <w:szCs w:val="20"/>
              </w:rPr>
            </w:pPr>
            <w:r>
              <w:rPr>
                <w:bCs/>
                <w:sz w:val="20"/>
                <w:szCs w:val="20"/>
              </w:rPr>
              <w:t>334.679</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Cs/>
                <w:sz w:val="20"/>
                <w:szCs w:val="20"/>
              </w:rPr>
            </w:pPr>
            <w:r>
              <w:rPr>
                <w:bCs/>
                <w:sz w:val="20"/>
                <w:szCs w:val="20"/>
              </w:rPr>
              <w:t>266.516 (79,6%)</w:t>
            </w:r>
          </w:p>
        </w:tc>
      </w:tr>
      <w:tr w:rsidR="003E6588" w:rsidTr="00855777">
        <w:trPr>
          <w:trHeight w:val="70"/>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rsidP="00855777">
            <w:pPr>
              <w:jc w:val="left"/>
              <w:rPr>
                <w:bCs/>
                <w:sz w:val="20"/>
                <w:szCs w:val="20"/>
              </w:rPr>
            </w:pPr>
            <w:r>
              <w:rPr>
                <w:bCs/>
                <w:sz w:val="20"/>
                <w:szCs w:val="20"/>
              </w:rPr>
              <w:t>Capital</w:t>
            </w:r>
          </w:p>
        </w:tc>
        <w:tc>
          <w:tcPr>
            <w:tcW w:w="2551" w:type="dxa"/>
            <w:tcBorders>
              <w:top w:val="single" w:sz="8" w:space="0" w:color="auto"/>
              <w:left w:val="nil"/>
              <w:bottom w:val="single" w:sz="8" w:space="0" w:color="auto"/>
              <w:right w:val="single" w:sz="4" w:space="0" w:color="auto"/>
            </w:tcBorders>
            <w:shd w:val="clear" w:color="auto" w:fill="auto"/>
            <w:noWrap/>
            <w:vAlign w:val="center"/>
            <w:hideMark/>
          </w:tcPr>
          <w:p w:rsidR="003E6588" w:rsidRDefault="003E6588">
            <w:pPr>
              <w:rPr>
                <w:bCs/>
                <w:sz w:val="20"/>
                <w:szCs w:val="20"/>
              </w:rPr>
            </w:pPr>
            <w:r>
              <w:rPr>
                <w:bCs/>
                <w:sz w:val="20"/>
                <w:szCs w:val="20"/>
              </w:rPr>
              <w:t>168.722</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Cs/>
                <w:sz w:val="20"/>
                <w:szCs w:val="20"/>
              </w:rPr>
            </w:pPr>
            <w:r>
              <w:rPr>
                <w:bCs/>
                <w:sz w:val="20"/>
                <w:szCs w:val="20"/>
              </w:rPr>
              <w:t>159.057 (94,3%)</w:t>
            </w:r>
          </w:p>
        </w:tc>
      </w:tr>
      <w:tr w:rsidR="003E6588" w:rsidTr="00855777">
        <w:trPr>
          <w:trHeight w:val="201"/>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rsidP="00855777">
            <w:pPr>
              <w:jc w:val="left"/>
              <w:rPr>
                <w:bCs/>
                <w:sz w:val="20"/>
                <w:szCs w:val="20"/>
              </w:rPr>
            </w:pPr>
            <w:r>
              <w:rPr>
                <w:bCs/>
                <w:sz w:val="20"/>
                <w:szCs w:val="20"/>
              </w:rPr>
              <w:t>Macro SP</w:t>
            </w:r>
          </w:p>
        </w:tc>
        <w:tc>
          <w:tcPr>
            <w:tcW w:w="2551" w:type="dxa"/>
            <w:tcBorders>
              <w:top w:val="single" w:sz="8" w:space="0" w:color="auto"/>
              <w:left w:val="nil"/>
              <w:bottom w:val="single" w:sz="8" w:space="0" w:color="auto"/>
              <w:right w:val="single" w:sz="4" w:space="0" w:color="auto"/>
            </w:tcBorders>
            <w:shd w:val="clear" w:color="auto" w:fill="auto"/>
            <w:noWrap/>
            <w:vAlign w:val="center"/>
            <w:hideMark/>
          </w:tcPr>
          <w:p w:rsidR="003E6588" w:rsidRDefault="003E6588">
            <w:pPr>
              <w:rPr>
                <w:bCs/>
                <w:sz w:val="20"/>
                <w:szCs w:val="20"/>
              </w:rPr>
            </w:pPr>
            <w:r>
              <w:rPr>
                <w:bCs/>
                <w:sz w:val="20"/>
                <w:szCs w:val="20"/>
              </w:rPr>
              <w:t>83.491</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Cs/>
                <w:sz w:val="20"/>
                <w:szCs w:val="20"/>
              </w:rPr>
            </w:pPr>
            <w:r>
              <w:rPr>
                <w:bCs/>
                <w:sz w:val="20"/>
                <w:szCs w:val="20"/>
              </w:rPr>
              <w:t>81.515 (97,6%)</w:t>
            </w:r>
          </w:p>
        </w:tc>
      </w:tr>
      <w:tr w:rsidR="003E6588" w:rsidTr="00855777">
        <w:trPr>
          <w:trHeight w:val="192"/>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Total - Estado SP</w:t>
            </w:r>
          </w:p>
        </w:tc>
        <w:tc>
          <w:tcPr>
            <w:tcW w:w="2551" w:type="dxa"/>
            <w:tcBorders>
              <w:top w:val="single" w:sz="8" w:space="0" w:color="auto"/>
              <w:left w:val="nil"/>
              <w:bottom w:val="single" w:sz="8" w:space="0" w:color="auto"/>
              <w:right w:val="single" w:sz="4" w:space="0" w:color="auto"/>
            </w:tcBorders>
            <w:shd w:val="clear" w:color="auto" w:fill="auto"/>
            <w:noWrap/>
            <w:vAlign w:val="center"/>
            <w:hideMark/>
          </w:tcPr>
          <w:p w:rsidR="003E6588" w:rsidRDefault="003E6588">
            <w:pPr>
              <w:rPr>
                <w:b/>
                <w:bCs/>
                <w:sz w:val="20"/>
                <w:szCs w:val="20"/>
              </w:rPr>
            </w:pPr>
            <w:r>
              <w:rPr>
                <w:b/>
                <w:bCs/>
                <w:sz w:val="20"/>
                <w:szCs w:val="20"/>
              </w:rPr>
              <w:t>586.892</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
                <w:bCs/>
                <w:sz w:val="20"/>
                <w:szCs w:val="20"/>
              </w:rPr>
            </w:pPr>
            <w:r>
              <w:rPr>
                <w:b/>
                <w:bCs/>
                <w:sz w:val="20"/>
                <w:szCs w:val="20"/>
              </w:rPr>
              <w:t>507.088 (86,4%)</w:t>
            </w:r>
          </w:p>
        </w:tc>
      </w:tr>
    </w:tbl>
    <w:p w:rsidR="003E6588" w:rsidRDefault="003E6588">
      <w:pPr>
        <w:jc w:val="both"/>
      </w:pPr>
    </w:p>
    <w:p w:rsidR="003E6588" w:rsidRPr="00AC3233" w:rsidRDefault="003E6588">
      <w:pPr>
        <w:ind w:firstLine="1134"/>
        <w:jc w:val="both"/>
        <w:rPr>
          <w:b/>
          <w:bCs/>
          <w:strike/>
        </w:rPr>
      </w:pPr>
      <w:r>
        <w:rPr>
          <w:b/>
          <w:bCs/>
        </w:rPr>
        <w:t>Produtividade do Instituto Médico-Legal</w:t>
      </w:r>
    </w:p>
    <w:p w:rsidR="003E6588" w:rsidRDefault="003E6588">
      <w:pPr>
        <w:jc w:val="both"/>
      </w:pPr>
    </w:p>
    <w:tbl>
      <w:tblPr>
        <w:tblW w:w="7229" w:type="dxa"/>
        <w:tblInd w:w="1488" w:type="dxa"/>
        <w:tblCellMar>
          <w:left w:w="70" w:type="dxa"/>
          <w:right w:w="70" w:type="dxa"/>
        </w:tblCellMar>
        <w:tblLook w:val="04A0"/>
      </w:tblPr>
      <w:tblGrid>
        <w:gridCol w:w="2410"/>
        <w:gridCol w:w="2551"/>
        <w:gridCol w:w="2268"/>
      </w:tblGrid>
      <w:tr w:rsidR="003E6588" w:rsidTr="00855777">
        <w:trPr>
          <w:trHeight w:val="183"/>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Região</w:t>
            </w:r>
          </w:p>
        </w:tc>
        <w:tc>
          <w:tcPr>
            <w:tcW w:w="2551" w:type="dxa"/>
            <w:tcBorders>
              <w:top w:val="single" w:sz="8" w:space="0" w:color="auto"/>
              <w:left w:val="nil"/>
              <w:bottom w:val="single" w:sz="8" w:space="0" w:color="auto"/>
              <w:right w:val="single" w:sz="4" w:space="0" w:color="auto"/>
            </w:tcBorders>
            <w:shd w:val="clear" w:color="auto" w:fill="auto"/>
            <w:noWrap/>
            <w:vAlign w:val="center"/>
            <w:hideMark/>
          </w:tcPr>
          <w:p w:rsidR="003E6588" w:rsidRDefault="003E6588">
            <w:pPr>
              <w:rPr>
                <w:b/>
                <w:bCs/>
                <w:sz w:val="20"/>
                <w:szCs w:val="20"/>
              </w:rPr>
            </w:pPr>
            <w:r>
              <w:rPr>
                <w:b/>
                <w:bCs/>
                <w:sz w:val="20"/>
                <w:szCs w:val="20"/>
              </w:rPr>
              <w:t>Casos Atendidos</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
                <w:bCs/>
                <w:sz w:val="20"/>
                <w:szCs w:val="20"/>
              </w:rPr>
            </w:pPr>
            <w:r>
              <w:rPr>
                <w:b/>
                <w:bCs/>
                <w:sz w:val="20"/>
                <w:szCs w:val="20"/>
              </w:rPr>
              <w:t>Laudos Expedidos</w:t>
            </w:r>
          </w:p>
        </w:tc>
      </w:tr>
      <w:tr w:rsidR="003E6588" w:rsidTr="00855777">
        <w:trPr>
          <w:trHeight w:val="188"/>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rsidP="00855777">
            <w:pPr>
              <w:jc w:val="left"/>
              <w:rPr>
                <w:bCs/>
                <w:sz w:val="20"/>
                <w:szCs w:val="20"/>
              </w:rPr>
            </w:pPr>
            <w:r>
              <w:rPr>
                <w:bCs/>
                <w:sz w:val="20"/>
                <w:szCs w:val="20"/>
              </w:rPr>
              <w:t>Interior</w:t>
            </w:r>
          </w:p>
        </w:tc>
        <w:tc>
          <w:tcPr>
            <w:tcW w:w="2551" w:type="dxa"/>
            <w:tcBorders>
              <w:top w:val="single" w:sz="8" w:space="0" w:color="auto"/>
              <w:left w:val="nil"/>
              <w:bottom w:val="single" w:sz="8" w:space="0" w:color="auto"/>
              <w:right w:val="single" w:sz="4" w:space="0" w:color="auto"/>
            </w:tcBorders>
            <w:shd w:val="clear" w:color="auto" w:fill="auto"/>
            <w:noWrap/>
            <w:vAlign w:val="center"/>
          </w:tcPr>
          <w:p w:rsidR="003E6588" w:rsidRDefault="003E6588">
            <w:pPr>
              <w:rPr>
                <w:bCs/>
                <w:sz w:val="20"/>
                <w:szCs w:val="20"/>
              </w:rPr>
            </w:pPr>
            <w:r>
              <w:rPr>
                <w:bCs/>
                <w:sz w:val="20"/>
                <w:szCs w:val="20"/>
              </w:rPr>
              <w:t>228.656</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Cs/>
                <w:sz w:val="20"/>
                <w:szCs w:val="20"/>
              </w:rPr>
            </w:pPr>
            <w:r>
              <w:rPr>
                <w:bCs/>
                <w:sz w:val="20"/>
                <w:szCs w:val="20"/>
              </w:rPr>
              <w:t>222.150 (97,1%)</w:t>
            </w:r>
          </w:p>
        </w:tc>
      </w:tr>
      <w:tr w:rsidR="003E6588" w:rsidTr="00855777">
        <w:trPr>
          <w:trHeight w:val="163"/>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rsidP="00855777">
            <w:pPr>
              <w:jc w:val="left"/>
              <w:rPr>
                <w:bCs/>
                <w:sz w:val="20"/>
                <w:szCs w:val="20"/>
              </w:rPr>
            </w:pPr>
            <w:r>
              <w:rPr>
                <w:bCs/>
                <w:sz w:val="20"/>
                <w:szCs w:val="20"/>
              </w:rPr>
              <w:t>Capital</w:t>
            </w:r>
          </w:p>
        </w:tc>
        <w:tc>
          <w:tcPr>
            <w:tcW w:w="2551" w:type="dxa"/>
            <w:tcBorders>
              <w:top w:val="single" w:sz="8" w:space="0" w:color="auto"/>
              <w:left w:val="nil"/>
              <w:bottom w:val="single" w:sz="8" w:space="0" w:color="auto"/>
              <w:right w:val="single" w:sz="4" w:space="0" w:color="auto"/>
            </w:tcBorders>
            <w:shd w:val="clear" w:color="auto" w:fill="auto"/>
            <w:noWrap/>
            <w:vAlign w:val="center"/>
          </w:tcPr>
          <w:p w:rsidR="003E6588" w:rsidRDefault="003E6588">
            <w:pPr>
              <w:rPr>
                <w:bCs/>
                <w:sz w:val="20"/>
                <w:szCs w:val="20"/>
              </w:rPr>
            </w:pPr>
            <w:r>
              <w:rPr>
                <w:bCs/>
                <w:sz w:val="20"/>
                <w:szCs w:val="20"/>
              </w:rPr>
              <w:t>151.871</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Cs/>
                <w:sz w:val="20"/>
                <w:szCs w:val="20"/>
              </w:rPr>
            </w:pPr>
            <w:r>
              <w:rPr>
                <w:bCs/>
                <w:sz w:val="20"/>
                <w:szCs w:val="20"/>
              </w:rPr>
              <w:t>132.409 (87,2%)</w:t>
            </w:r>
          </w:p>
        </w:tc>
      </w:tr>
      <w:tr w:rsidR="003E6588" w:rsidTr="00855777">
        <w:trPr>
          <w:trHeight w:val="43"/>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rsidP="00855777">
            <w:pPr>
              <w:jc w:val="left"/>
              <w:rPr>
                <w:bCs/>
                <w:sz w:val="20"/>
                <w:szCs w:val="20"/>
              </w:rPr>
            </w:pPr>
            <w:r>
              <w:rPr>
                <w:bCs/>
                <w:sz w:val="20"/>
                <w:szCs w:val="20"/>
              </w:rPr>
              <w:t>Macro SP</w:t>
            </w:r>
          </w:p>
        </w:tc>
        <w:tc>
          <w:tcPr>
            <w:tcW w:w="2551" w:type="dxa"/>
            <w:tcBorders>
              <w:top w:val="single" w:sz="8" w:space="0" w:color="auto"/>
              <w:left w:val="nil"/>
              <w:bottom w:val="single" w:sz="8" w:space="0" w:color="auto"/>
              <w:right w:val="single" w:sz="4" w:space="0" w:color="auto"/>
            </w:tcBorders>
            <w:shd w:val="clear" w:color="auto" w:fill="auto"/>
            <w:noWrap/>
            <w:vAlign w:val="center"/>
          </w:tcPr>
          <w:p w:rsidR="003E6588" w:rsidRDefault="003E6588">
            <w:pPr>
              <w:rPr>
                <w:bCs/>
                <w:sz w:val="20"/>
                <w:szCs w:val="20"/>
              </w:rPr>
            </w:pPr>
            <w:r>
              <w:rPr>
                <w:bCs/>
                <w:sz w:val="20"/>
                <w:szCs w:val="20"/>
              </w:rPr>
              <w:t>75.529</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Cs/>
                <w:sz w:val="20"/>
                <w:szCs w:val="20"/>
              </w:rPr>
            </w:pPr>
            <w:r>
              <w:rPr>
                <w:bCs/>
                <w:sz w:val="20"/>
                <w:szCs w:val="20"/>
              </w:rPr>
              <w:t>73.328 (97%)</w:t>
            </w:r>
          </w:p>
        </w:tc>
      </w:tr>
      <w:tr w:rsidR="003E6588" w:rsidTr="00855777">
        <w:trPr>
          <w:trHeight w:val="43"/>
        </w:trPr>
        <w:tc>
          <w:tcPr>
            <w:tcW w:w="2410" w:type="dxa"/>
            <w:tcBorders>
              <w:top w:val="single" w:sz="8" w:space="0" w:color="auto"/>
              <w:bottom w:val="single" w:sz="8" w:space="0" w:color="auto"/>
              <w:right w:val="single" w:sz="8" w:space="0" w:color="auto"/>
            </w:tcBorders>
            <w:shd w:val="clear" w:color="auto" w:fill="auto"/>
            <w:noWrap/>
            <w:vAlign w:val="center"/>
            <w:hideMark/>
          </w:tcPr>
          <w:p w:rsidR="003E6588" w:rsidRDefault="003E6588">
            <w:pPr>
              <w:rPr>
                <w:b/>
                <w:bCs/>
                <w:sz w:val="20"/>
                <w:szCs w:val="20"/>
              </w:rPr>
            </w:pPr>
            <w:r>
              <w:rPr>
                <w:b/>
                <w:bCs/>
                <w:sz w:val="20"/>
                <w:szCs w:val="20"/>
              </w:rPr>
              <w:t>Total - Estado SP</w:t>
            </w:r>
          </w:p>
        </w:tc>
        <w:tc>
          <w:tcPr>
            <w:tcW w:w="2551" w:type="dxa"/>
            <w:tcBorders>
              <w:top w:val="single" w:sz="8" w:space="0" w:color="auto"/>
              <w:left w:val="nil"/>
              <w:bottom w:val="single" w:sz="8" w:space="0" w:color="auto"/>
              <w:right w:val="single" w:sz="4" w:space="0" w:color="auto"/>
            </w:tcBorders>
            <w:shd w:val="clear" w:color="auto" w:fill="auto"/>
            <w:noWrap/>
            <w:vAlign w:val="center"/>
            <w:hideMark/>
          </w:tcPr>
          <w:p w:rsidR="003E6588" w:rsidRDefault="003E6588">
            <w:pPr>
              <w:rPr>
                <w:b/>
                <w:bCs/>
                <w:sz w:val="20"/>
                <w:szCs w:val="20"/>
              </w:rPr>
            </w:pPr>
            <w:r>
              <w:rPr>
                <w:b/>
                <w:bCs/>
                <w:sz w:val="20"/>
                <w:szCs w:val="20"/>
              </w:rPr>
              <w:t>456.056</w:t>
            </w:r>
          </w:p>
        </w:tc>
        <w:tc>
          <w:tcPr>
            <w:tcW w:w="2268" w:type="dxa"/>
            <w:tcBorders>
              <w:top w:val="single" w:sz="8" w:space="0" w:color="auto"/>
              <w:left w:val="nil"/>
              <w:bottom w:val="single" w:sz="8" w:space="0" w:color="auto"/>
            </w:tcBorders>
            <w:shd w:val="clear" w:color="auto" w:fill="auto"/>
            <w:noWrap/>
            <w:vAlign w:val="center"/>
          </w:tcPr>
          <w:p w:rsidR="003E6588" w:rsidRDefault="003E6588">
            <w:pPr>
              <w:rPr>
                <w:b/>
                <w:bCs/>
                <w:sz w:val="20"/>
                <w:szCs w:val="20"/>
              </w:rPr>
            </w:pPr>
            <w:r>
              <w:rPr>
                <w:b/>
                <w:bCs/>
                <w:sz w:val="20"/>
                <w:szCs w:val="20"/>
              </w:rPr>
              <w:t>427.887 (93,8%)</w:t>
            </w:r>
          </w:p>
        </w:tc>
      </w:tr>
    </w:tbl>
    <w:p w:rsidR="003E6588" w:rsidRDefault="003E6588">
      <w:pPr>
        <w:pStyle w:val="MMTopic3"/>
        <w:keepLines/>
        <w:numPr>
          <w:ilvl w:val="2"/>
          <w:numId w:val="0"/>
        </w:numPr>
        <w:spacing w:before="0" w:after="0"/>
        <w:jc w:val="both"/>
        <w:rPr>
          <w:rFonts w:ascii="Times New Roman" w:hAnsi="Times New Roman"/>
          <w:szCs w:val="24"/>
        </w:rPr>
      </w:pPr>
    </w:p>
    <w:p w:rsidR="003E6588" w:rsidRDefault="003E6588" w:rsidP="00855777">
      <w:pPr>
        <w:ind w:firstLine="1134"/>
        <w:jc w:val="both"/>
        <w:rPr>
          <w:b/>
        </w:rPr>
      </w:pPr>
      <w:r>
        <w:rPr>
          <w:b/>
        </w:rPr>
        <w:t>Polícia Civil</w:t>
      </w:r>
    </w:p>
    <w:p w:rsidR="003E6588" w:rsidRDefault="003E6588">
      <w:pPr>
        <w:ind w:firstLine="1134"/>
      </w:pPr>
    </w:p>
    <w:p w:rsidR="00CB0DF8" w:rsidRDefault="003E6588">
      <w:pPr>
        <w:ind w:firstLine="1134"/>
        <w:jc w:val="both"/>
      </w:pPr>
      <w:r>
        <w:rPr>
          <w:b/>
        </w:rPr>
        <w:t xml:space="preserve">Prisões específicas e atividades de destaque - </w:t>
      </w:r>
      <w:r>
        <w:t>Atuação no caso de roubo à Empresa SAMSUNG.</w:t>
      </w:r>
    </w:p>
    <w:p w:rsidR="003E6588" w:rsidRDefault="003E6588">
      <w:pPr>
        <w:ind w:firstLine="1134"/>
        <w:jc w:val="both"/>
      </w:pPr>
    </w:p>
    <w:p w:rsidR="00CB0DF8" w:rsidRDefault="003E6588">
      <w:pPr>
        <w:ind w:firstLine="1134"/>
        <w:jc w:val="both"/>
      </w:pPr>
      <w:r>
        <w:rPr>
          <w:b/>
        </w:rPr>
        <w:t>Síntese -</w:t>
      </w:r>
      <w:r>
        <w:t xml:space="preserve"> Roubo praticado por quadrilha especializada. Foram subtraídos aparelhos de celulares e de informática, no valor total de R$ 20.000.000,00. Foram identificados os indiciados como autores do roubo praticado, que estão presos temporariamente. A maior parte dos produtos subtraídos foi localizada pelos policiais da DIG no Paraguai.</w:t>
      </w:r>
    </w:p>
    <w:p w:rsidR="003E6588" w:rsidRDefault="003E6588">
      <w:pPr>
        <w:ind w:firstLine="1134"/>
        <w:jc w:val="both"/>
      </w:pPr>
    </w:p>
    <w:p w:rsidR="003E6588" w:rsidRDefault="003E6588">
      <w:pPr>
        <w:ind w:firstLine="1134"/>
        <w:jc w:val="both"/>
      </w:pPr>
      <w:r>
        <w:t>Prisão do criminoso Rolidio Brasil Fontanela de Souza Gama, vulgo Monstro, assaltante de banco em atividade mais procurado do Estado - RDO nº 01/2014 1ª DVC.</w:t>
      </w:r>
    </w:p>
    <w:p w:rsidR="003E6588" w:rsidRDefault="003E6588">
      <w:pPr>
        <w:ind w:firstLine="1134"/>
        <w:jc w:val="both"/>
      </w:pPr>
    </w:p>
    <w:p w:rsidR="003E6588" w:rsidRDefault="003E6588">
      <w:pPr>
        <w:ind w:firstLine="1134"/>
        <w:jc w:val="both"/>
      </w:pPr>
      <w:r>
        <w:lastRenderedPageBreak/>
        <w:t>Prisão do criminoso mais procurado do Estado de São Paulo - Marcio Geraldo Alves Ferreira, vulgo Buda, integrante da organização criminosa PCC - RDO 542/14 - 1ª DVC.</w:t>
      </w:r>
    </w:p>
    <w:p w:rsidR="003E6588" w:rsidRDefault="003E6588"/>
    <w:p w:rsidR="003E6588" w:rsidRDefault="003E6588" w:rsidP="00855777">
      <w:pPr>
        <w:ind w:firstLine="1134"/>
        <w:jc w:val="both"/>
        <w:rPr>
          <w:b/>
        </w:rPr>
      </w:pPr>
      <w:r>
        <w:rPr>
          <w:b/>
        </w:rPr>
        <w:t>Atividades do DPPC</w:t>
      </w:r>
    </w:p>
    <w:p w:rsidR="003E6588" w:rsidRDefault="003E6588" w:rsidP="00855777">
      <w:pPr>
        <w:ind w:firstLine="1134"/>
        <w:jc w:val="both"/>
        <w:rPr>
          <w:b/>
        </w:rPr>
      </w:pPr>
    </w:p>
    <w:p w:rsidR="003E6588" w:rsidRDefault="003E6588" w:rsidP="00855777">
      <w:pPr>
        <w:ind w:firstLine="1134"/>
        <w:jc w:val="both"/>
      </w:pPr>
      <w:r>
        <w:t>Valores Recolhidos aos Cofres Públicos - 373.279.626,86</w:t>
      </w:r>
    </w:p>
    <w:p w:rsidR="003E6588" w:rsidRDefault="003E6588" w:rsidP="00855777">
      <w:pPr>
        <w:ind w:firstLine="1134"/>
        <w:jc w:val="both"/>
        <w:rPr>
          <w:b/>
        </w:rPr>
      </w:pPr>
    </w:p>
    <w:p w:rsidR="003E6588" w:rsidRDefault="003E6588" w:rsidP="00855777">
      <w:pPr>
        <w:ind w:firstLine="1134"/>
        <w:jc w:val="both"/>
      </w:pPr>
      <w:r>
        <w:t>Quantidade de Mercadorias e Produtos Inadequados Retirados de Circulação:</w:t>
      </w:r>
    </w:p>
    <w:p w:rsidR="003E6588" w:rsidRDefault="003E6588" w:rsidP="00855777">
      <w:pPr>
        <w:ind w:firstLine="1134"/>
        <w:jc w:val="both"/>
      </w:pPr>
    </w:p>
    <w:p w:rsidR="003E6588" w:rsidRDefault="003E6588" w:rsidP="00855777">
      <w:pPr>
        <w:ind w:firstLine="1134"/>
        <w:jc w:val="both"/>
      </w:pPr>
      <w:r>
        <w:t>Objetos - 422.545</w:t>
      </w:r>
    </w:p>
    <w:p w:rsidR="003E6588" w:rsidRDefault="003E6588" w:rsidP="00855777">
      <w:pPr>
        <w:ind w:firstLine="1134"/>
        <w:jc w:val="both"/>
      </w:pPr>
    </w:p>
    <w:p w:rsidR="003E6588" w:rsidRDefault="003E6588" w:rsidP="00855777">
      <w:pPr>
        <w:ind w:firstLine="1134"/>
        <w:jc w:val="both"/>
      </w:pPr>
      <w:r>
        <w:t>Alimentos - 1.553.338,71</w:t>
      </w:r>
    </w:p>
    <w:p w:rsidR="003E6588" w:rsidRDefault="003E6588" w:rsidP="00855777">
      <w:pPr>
        <w:ind w:firstLine="1134"/>
        <w:jc w:val="both"/>
      </w:pPr>
    </w:p>
    <w:p w:rsidR="003E6588" w:rsidRDefault="003E6588" w:rsidP="00855777">
      <w:pPr>
        <w:ind w:firstLine="1134"/>
        <w:jc w:val="both"/>
      </w:pPr>
      <w:r>
        <w:t>Medicamentos (gramas) - 2.708</w:t>
      </w:r>
    </w:p>
    <w:p w:rsidR="003E6588" w:rsidRDefault="003E6588" w:rsidP="00855777">
      <w:pPr>
        <w:jc w:val="both"/>
      </w:pPr>
    </w:p>
    <w:p w:rsidR="003E6588" w:rsidRDefault="003E6588">
      <w:pPr>
        <w:ind w:firstLine="1134"/>
        <w:jc w:val="both"/>
      </w:pPr>
      <w:r w:rsidRPr="00642F9B">
        <w:rPr>
          <w:b/>
        </w:rPr>
        <w:t xml:space="preserve">Atividades do </w:t>
      </w:r>
      <w:r w:rsidR="00CE42F3" w:rsidRPr="00CE42F3">
        <w:rPr>
          <w:b/>
        </w:rPr>
        <w:t>Laboratório de Tecnologia contra Lavagem de Dinheiro - LAB-LD (DIPOL)</w:t>
      </w:r>
      <w:r>
        <w:rPr>
          <w:b/>
        </w:rPr>
        <w:t xml:space="preserve"> - </w:t>
      </w:r>
      <w:r w:rsidR="00CE42F3" w:rsidRPr="00CE42F3">
        <w:t xml:space="preserve">Valores, bens e capitais estimados, identificados, com indício de ocultação, lavagem de dinheiro e </w:t>
      </w:r>
      <w:r>
        <w:t>procedência</w:t>
      </w:r>
      <w:r w:rsidR="00CE42F3" w:rsidRPr="00CE42F3">
        <w:t xml:space="preserve"> ilícita</w:t>
      </w:r>
      <w:r>
        <w:t xml:space="preserve"> - R$ </w:t>
      </w:r>
      <w:r w:rsidR="00CE42F3" w:rsidRPr="00CE42F3">
        <w:t>34.705.985,00</w:t>
      </w:r>
    </w:p>
    <w:p w:rsidR="00CB0DF8" w:rsidRDefault="00CB0DF8">
      <w:pPr>
        <w:ind w:firstLine="1134"/>
        <w:jc w:val="left"/>
      </w:pPr>
    </w:p>
    <w:p w:rsidR="003E6588" w:rsidRDefault="003E6588">
      <w:pPr>
        <w:rPr>
          <w:b/>
          <w:bCs/>
        </w:rPr>
      </w:pPr>
      <w:r>
        <w:br w:type="page"/>
      </w:r>
      <w:r>
        <w:rPr>
          <w:b/>
          <w:bCs/>
        </w:rPr>
        <w:lastRenderedPageBreak/>
        <w:t>SECRETARIA DOS TRANSPORTES METROPOLITANOS</w:t>
      </w:r>
    </w:p>
    <w:p w:rsidR="003E6588" w:rsidRDefault="003E6588"/>
    <w:p w:rsidR="003E6588" w:rsidRDefault="003E6588"/>
    <w:p w:rsidR="003E6588" w:rsidRDefault="003E6588">
      <w:pPr>
        <w:tabs>
          <w:tab w:val="num" w:pos="0"/>
        </w:tabs>
        <w:ind w:firstLine="1134"/>
        <w:jc w:val="both"/>
        <w:rPr>
          <w:bCs/>
          <w:iCs/>
        </w:rPr>
      </w:pPr>
      <w:r>
        <w:rPr>
          <w:bCs/>
          <w:iCs/>
        </w:rPr>
        <w:t xml:space="preserve">A </w:t>
      </w:r>
      <w:r w:rsidRPr="004965BF">
        <w:rPr>
          <w:bCs/>
          <w:iCs/>
        </w:rPr>
        <w:t>Secretaria de Transportes Metropolitanos</w:t>
      </w:r>
      <w:r>
        <w:rPr>
          <w:bCs/>
          <w:iCs/>
        </w:rPr>
        <w:t xml:space="preserve"> contou com plano de investimentos para o período 2011-2014</w:t>
      </w:r>
      <w:r w:rsidR="00F74CEB">
        <w:rPr>
          <w:bCs/>
          <w:iCs/>
        </w:rPr>
        <w:t>,</w:t>
      </w:r>
      <w:r>
        <w:rPr>
          <w:bCs/>
          <w:iCs/>
        </w:rPr>
        <w:t xml:space="preserve"> baseado nas seguintes diretrizes: inovação e modernização, ampliação da integração entre os diversos modais e continuidade dos projetos de expansão dos Sistemas.</w:t>
      </w:r>
    </w:p>
    <w:p w:rsidR="003E6588" w:rsidRDefault="003E6588">
      <w:pPr>
        <w:tabs>
          <w:tab w:val="num" w:pos="0"/>
        </w:tabs>
        <w:ind w:firstLine="1134"/>
        <w:jc w:val="both"/>
        <w:rPr>
          <w:bCs/>
          <w:iCs/>
        </w:rPr>
      </w:pPr>
    </w:p>
    <w:p w:rsidR="003E6588" w:rsidRDefault="003E6588">
      <w:pPr>
        <w:tabs>
          <w:tab w:val="num" w:pos="0"/>
        </w:tabs>
        <w:ind w:firstLine="1134"/>
        <w:jc w:val="both"/>
        <w:rPr>
          <w:bCs/>
          <w:iCs/>
        </w:rPr>
      </w:pPr>
      <w:r>
        <w:rPr>
          <w:bCs/>
          <w:iCs/>
        </w:rPr>
        <w:t xml:space="preserve">Foram contemplados no plano intervenções para ampliar a infraestrutura do transporte sobre trilhos e sobre pneus como: as novas linhas do Metrô e da CPTM, os novos serviços de monotrilho, os serviços com tecnologias de veiculo leve sobre trilhos - VLT e </w:t>
      </w:r>
      <w:r>
        <w:rPr>
          <w:bCs/>
          <w:i/>
          <w:iCs/>
        </w:rPr>
        <w:t>Bus Rapid Transit</w:t>
      </w:r>
      <w:r>
        <w:rPr>
          <w:bCs/>
          <w:iCs/>
        </w:rPr>
        <w:t xml:space="preserve"> - </w:t>
      </w:r>
      <w:r>
        <w:rPr>
          <w:bCs/>
          <w:i/>
          <w:iCs/>
        </w:rPr>
        <w:t>BRT</w:t>
      </w:r>
      <w:r>
        <w:rPr>
          <w:bCs/>
          <w:iCs/>
        </w:rPr>
        <w:t xml:space="preserve">, estes últimos sob responsabilidade da EMTU. </w:t>
      </w:r>
      <w:r w:rsidR="00F74CEB">
        <w:rPr>
          <w:bCs/>
          <w:iCs/>
        </w:rPr>
        <w:t xml:space="preserve">Foi </w:t>
      </w:r>
      <w:r>
        <w:rPr>
          <w:bCs/>
          <w:iCs/>
        </w:rPr>
        <w:t>continuado o processo de modernização do sistema ferroviário da CPTM e da EFCJ existentes</w:t>
      </w:r>
      <w:r w:rsidR="00F74CEB">
        <w:rPr>
          <w:bCs/>
          <w:iCs/>
        </w:rPr>
        <w:t>,</w:t>
      </w:r>
      <w:r>
        <w:rPr>
          <w:bCs/>
          <w:iCs/>
        </w:rPr>
        <w:t xml:space="preserve"> bem como ampliada a frota metroferroviária necessária para atender o aumento da demanda projetada por meio de novas aquisições de material rodante.</w:t>
      </w:r>
    </w:p>
    <w:p w:rsidR="003E6588" w:rsidRDefault="003E6588">
      <w:pPr>
        <w:tabs>
          <w:tab w:val="num" w:pos="0"/>
        </w:tabs>
        <w:ind w:firstLine="1134"/>
        <w:jc w:val="both"/>
        <w:rPr>
          <w:bCs/>
          <w:iCs/>
        </w:rPr>
      </w:pPr>
    </w:p>
    <w:p w:rsidR="003E6588" w:rsidRDefault="00F74CEB">
      <w:pPr>
        <w:tabs>
          <w:tab w:val="num" w:pos="0"/>
        </w:tabs>
        <w:ind w:firstLine="1134"/>
        <w:jc w:val="both"/>
        <w:rPr>
          <w:bCs/>
          <w:iCs/>
        </w:rPr>
      </w:pPr>
      <w:r>
        <w:rPr>
          <w:bCs/>
          <w:iCs/>
        </w:rPr>
        <w:t xml:space="preserve">Foram </w:t>
      </w:r>
      <w:r w:rsidR="003E6588">
        <w:rPr>
          <w:bCs/>
          <w:iCs/>
        </w:rPr>
        <w:t xml:space="preserve">desenvolvidas estratégias operacionais para atender a demanda crescente que se verificou no Sistema </w:t>
      </w:r>
      <w:r>
        <w:rPr>
          <w:bCs/>
          <w:iCs/>
        </w:rPr>
        <w:t>Metroferroviário.</w:t>
      </w:r>
    </w:p>
    <w:p w:rsidR="00F74CEB" w:rsidRDefault="00F74CEB">
      <w:pPr>
        <w:tabs>
          <w:tab w:val="num" w:pos="0"/>
        </w:tabs>
        <w:ind w:firstLine="1134"/>
        <w:jc w:val="both"/>
        <w:rPr>
          <w:bCs/>
          <w:iCs/>
        </w:rPr>
      </w:pPr>
    </w:p>
    <w:p w:rsidR="003E6588" w:rsidRDefault="003E6588">
      <w:pPr>
        <w:tabs>
          <w:tab w:val="num" w:pos="0"/>
        </w:tabs>
        <w:ind w:firstLine="1134"/>
        <w:jc w:val="both"/>
        <w:rPr>
          <w:bCs/>
          <w:iCs/>
        </w:rPr>
      </w:pPr>
      <w:r>
        <w:rPr>
          <w:bCs/>
          <w:iCs/>
        </w:rPr>
        <w:t>O plano de investimentos envolveu o desenvolvimento de estudos para implantação de ligações ferroviárias regionais entre a Região Metropolitana de São Paulo - RMSP e as demais Regiões Metropolitanas do Estado, prospectando mecanismos alternativos de financiamento da expansão</w:t>
      </w:r>
      <w:r w:rsidR="00F74CEB">
        <w:rPr>
          <w:bCs/>
          <w:iCs/>
        </w:rPr>
        <w:t>,</w:t>
      </w:r>
      <w:r>
        <w:rPr>
          <w:bCs/>
          <w:iCs/>
        </w:rPr>
        <w:t xml:space="preserve"> como as parcerias público privadas - PPPs.</w:t>
      </w:r>
    </w:p>
    <w:p w:rsidR="003E6588" w:rsidRDefault="003E6588">
      <w:pPr>
        <w:tabs>
          <w:tab w:val="num" w:pos="0"/>
        </w:tabs>
        <w:ind w:firstLine="1134"/>
        <w:jc w:val="both"/>
        <w:rPr>
          <w:bCs/>
          <w:iCs/>
        </w:rPr>
      </w:pPr>
    </w:p>
    <w:p w:rsidR="003E6588" w:rsidRDefault="003E6588">
      <w:pPr>
        <w:tabs>
          <w:tab w:val="num" w:pos="0"/>
        </w:tabs>
        <w:ind w:firstLine="1134"/>
        <w:jc w:val="both"/>
        <w:rPr>
          <w:bCs/>
          <w:iCs/>
        </w:rPr>
      </w:pPr>
      <w:r>
        <w:rPr>
          <w:bCs/>
          <w:iCs/>
        </w:rPr>
        <w:t>O fortalecimento institucional da STM foi perseguido com vista à melhoria dos índices de desempenho</w:t>
      </w:r>
      <w:r w:rsidR="00F74CEB">
        <w:rPr>
          <w:bCs/>
          <w:iCs/>
        </w:rPr>
        <w:t>,</w:t>
      </w:r>
      <w:r>
        <w:rPr>
          <w:bCs/>
          <w:iCs/>
        </w:rPr>
        <w:t xml:space="preserve"> tendo se iniciado o desenvolvimento de estudos para identificar a existência de fatores restritivos, analisar suas causas, oferecer diagnósticos e planos de ações e diretrizes estratégicas para atender os desafios futuros no médio e longo prazo.</w:t>
      </w:r>
    </w:p>
    <w:p w:rsidR="003E6588" w:rsidRDefault="003E6588">
      <w:pPr>
        <w:ind w:firstLine="1134"/>
        <w:jc w:val="both"/>
      </w:pPr>
    </w:p>
    <w:p w:rsidR="003E6588" w:rsidRDefault="003E6588">
      <w:pPr>
        <w:ind w:firstLine="1134"/>
        <w:jc w:val="both"/>
      </w:pPr>
    </w:p>
    <w:p w:rsidR="003E6588" w:rsidRDefault="003E6588">
      <w:pPr>
        <w:tabs>
          <w:tab w:val="left" w:pos="720"/>
        </w:tabs>
        <w:rPr>
          <w:b/>
        </w:rPr>
      </w:pPr>
      <w:r>
        <w:rPr>
          <w:b/>
        </w:rPr>
        <w:t>COMPANHIA DO METROPOLITANO DE SÃO PAULO - METRÔ</w:t>
      </w:r>
    </w:p>
    <w:p w:rsidR="003E6588" w:rsidRPr="00F74CEB" w:rsidRDefault="003E6588">
      <w:pPr>
        <w:tabs>
          <w:tab w:val="left" w:pos="720"/>
        </w:tabs>
        <w:ind w:firstLine="1134"/>
        <w:jc w:val="both"/>
      </w:pPr>
    </w:p>
    <w:p w:rsidR="003E6588" w:rsidRPr="00F74CEB" w:rsidRDefault="003E6588">
      <w:pPr>
        <w:tabs>
          <w:tab w:val="left" w:pos="720"/>
        </w:tabs>
        <w:ind w:firstLine="1134"/>
        <w:jc w:val="both"/>
      </w:pPr>
    </w:p>
    <w:p w:rsidR="003E6588" w:rsidRDefault="003E6588">
      <w:pPr>
        <w:ind w:firstLine="1134"/>
        <w:jc w:val="both"/>
      </w:pPr>
      <w:r>
        <w:t>Cinco grandes empreendimentos estão em andamento, dos quais quatro estão em obras ao mesmo tempo:</w:t>
      </w:r>
    </w:p>
    <w:p w:rsidR="003E6588" w:rsidRDefault="003E6588">
      <w:pPr>
        <w:ind w:firstLine="1134"/>
        <w:jc w:val="both"/>
      </w:pPr>
    </w:p>
    <w:p w:rsidR="003E6588" w:rsidRDefault="003E6588">
      <w:pPr>
        <w:ind w:firstLine="1134"/>
        <w:jc w:val="both"/>
      </w:pPr>
      <w:r>
        <w:t>- a extensão da Linha 2;</w:t>
      </w:r>
    </w:p>
    <w:p w:rsidR="003E6588" w:rsidRDefault="003E6588">
      <w:pPr>
        <w:ind w:firstLine="1134"/>
        <w:jc w:val="both"/>
      </w:pPr>
    </w:p>
    <w:p w:rsidR="003E6588" w:rsidRDefault="003E6588">
      <w:pPr>
        <w:ind w:firstLine="1134"/>
        <w:jc w:val="both"/>
      </w:pPr>
      <w:r>
        <w:t>- a segunda fase da Linha 4;</w:t>
      </w:r>
    </w:p>
    <w:p w:rsidR="003E6588" w:rsidRDefault="003E6588">
      <w:pPr>
        <w:ind w:firstLine="1134"/>
        <w:jc w:val="both"/>
      </w:pPr>
    </w:p>
    <w:p w:rsidR="003E6588" w:rsidRDefault="003E6588">
      <w:pPr>
        <w:ind w:firstLine="1134"/>
        <w:jc w:val="both"/>
      </w:pPr>
      <w:r>
        <w:t>- a extensão da Linha 5;</w:t>
      </w:r>
    </w:p>
    <w:p w:rsidR="003E6588" w:rsidRDefault="003E6588">
      <w:pPr>
        <w:ind w:firstLine="1134"/>
        <w:jc w:val="both"/>
      </w:pPr>
    </w:p>
    <w:p w:rsidR="003E6588" w:rsidRDefault="003E6588">
      <w:pPr>
        <w:ind w:firstLine="1134"/>
        <w:jc w:val="both"/>
      </w:pPr>
      <w:r>
        <w:t>- a implantação em monotrilho das Linhas 15 e 17.</w:t>
      </w:r>
    </w:p>
    <w:p w:rsidR="00F74CEB" w:rsidRDefault="00F74CEB">
      <w:pPr>
        <w:tabs>
          <w:tab w:val="left" w:pos="720"/>
        </w:tabs>
        <w:ind w:firstLine="1134"/>
        <w:jc w:val="both"/>
        <w:rPr>
          <w:b/>
        </w:rPr>
      </w:pPr>
    </w:p>
    <w:p w:rsidR="003E6588" w:rsidRDefault="003E6588">
      <w:pPr>
        <w:tabs>
          <w:tab w:val="left" w:pos="720"/>
        </w:tabs>
        <w:ind w:firstLine="1134"/>
        <w:jc w:val="both"/>
      </w:pPr>
      <w:r>
        <w:rPr>
          <w:b/>
        </w:rPr>
        <w:lastRenderedPageBreak/>
        <w:t xml:space="preserve">Linha 2 - Verde - Vila Prudente-Dutra - </w:t>
      </w:r>
      <w:r>
        <w:t xml:space="preserve">Com 14,4 km de extensão, ligando a Estação Vila Prudente do Metrô ao Município de Guarulhos, essa linha contará com 13 estações e um pátio de manutenção e atenderá aos moradores dos </w:t>
      </w:r>
      <w:r w:rsidR="00920D14">
        <w:t xml:space="preserve">Bairros </w:t>
      </w:r>
      <w:r>
        <w:t>Jardim Anália Franco, Vila Formosa, Vila Manchester, Aricanduva, Penha e Tiquatira em São Paulo e Ponte Grande e Vila Augusta</w:t>
      </w:r>
      <w:r w:rsidR="00920D14">
        <w:t>,</w:t>
      </w:r>
      <w:r>
        <w:t xml:space="preserve"> em Guarulhos. São previstas conexões com as Linhas 6 (Estação Anália Franco)</w:t>
      </w:r>
      <w:r w:rsidR="00920D14">
        <w:t>,</w:t>
      </w:r>
      <w:r>
        <w:t xml:space="preserve"> 3 (Estação Penha) e com as Linhas 12 e 13 da CPTM (Estação Tiquatira).</w:t>
      </w:r>
    </w:p>
    <w:p w:rsidR="003E6588" w:rsidRDefault="003E6588">
      <w:pPr>
        <w:tabs>
          <w:tab w:val="left" w:pos="720"/>
        </w:tabs>
        <w:ind w:firstLine="1134"/>
        <w:jc w:val="both"/>
      </w:pPr>
    </w:p>
    <w:p w:rsidR="003E6588" w:rsidRDefault="003E6588">
      <w:pPr>
        <w:tabs>
          <w:tab w:val="left" w:pos="720"/>
        </w:tabs>
        <w:ind w:firstLine="1134"/>
        <w:jc w:val="both"/>
      </w:pPr>
      <w:r>
        <w:t>Os projetos básicos civis da superestrutura da via permanente e de doze estações foram concluídos e encontram-se em elaboração os projetos da estação Ponte Grande.</w:t>
      </w:r>
    </w:p>
    <w:p w:rsidR="003E6588" w:rsidRDefault="003E6588">
      <w:pPr>
        <w:tabs>
          <w:tab w:val="left" w:pos="720"/>
        </w:tabs>
        <w:ind w:firstLine="1134"/>
        <w:jc w:val="both"/>
      </w:pPr>
    </w:p>
    <w:p w:rsidR="003E6588" w:rsidRDefault="003E6588">
      <w:pPr>
        <w:tabs>
          <w:tab w:val="left" w:pos="720"/>
        </w:tabs>
        <w:ind w:firstLine="1134"/>
        <w:jc w:val="both"/>
      </w:pPr>
      <w:r>
        <w:t>O processo de contratação para elaboração dos projetos executivos civis</w:t>
      </w:r>
      <w:r w:rsidR="00920D14">
        <w:t>,</w:t>
      </w:r>
      <w:r>
        <w:t xml:space="preserve"> bem como execução da obra civil (obra bruta, acabamento e via permanente) do trecho Vila-Prudente - Dutra e do pátio Paulo Freire (exceto Estação Ponte Grande) foi dividido em 8 lotes, cujos contratos foram assinados. As ordens de serviços para elaboração dos projetos executivos civis dos lotes 1, 3, 4 e 5 foram emitidas.</w:t>
      </w:r>
    </w:p>
    <w:p w:rsidR="003E6588" w:rsidRDefault="003E6588">
      <w:pPr>
        <w:tabs>
          <w:tab w:val="left" w:pos="720"/>
        </w:tabs>
        <w:ind w:firstLine="1134"/>
        <w:jc w:val="both"/>
      </w:pPr>
    </w:p>
    <w:p w:rsidR="003E6588" w:rsidRDefault="003E6588">
      <w:pPr>
        <w:tabs>
          <w:tab w:val="left" w:pos="720"/>
        </w:tabs>
        <w:ind w:firstLine="1134"/>
        <w:jc w:val="both"/>
      </w:pPr>
      <w:r>
        <w:t>Os projetos básicos de sistemas do trecho até Dutra e das treze estações estão em fase de desenvolvimento. A demanda prevista na fase de operação comercial é de 1.663.630 passageiros por dia.</w:t>
      </w:r>
    </w:p>
    <w:p w:rsidR="003E6588" w:rsidRDefault="003E6588">
      <w:pPr>
        <w:tabs>
          <w:tab w:val="left" w:pos="720"/>
        </w:tabs>
        <w:ind w:firstLine="1134"/>
        <w:jc w:val="both"/>
      </w:pPr>
    </w:p>
    <w:p w:rsidR="003E6588" w:rsidRDefault="003E6588">
      <w:pPr>
        <w:widowControl w:val="0"/>
        <w:suppressAutoHyphens/>
        <w:ind w:firstLine="1134"/>
        <w:jc w:val="both"/>
      </w:pPr>
      <w:r>
        <w:rPr>
          <w:b/>
        </w:rPr>
        <w:t xml:space="preserve">Linha 4 - Amarela - Luz-Largo do Taboão - </w:t>
      </w:r>
      <w:r>
        <w:t xml:space="preserve">A implantação da linha está sendo realizada em três fases. Primeira fase já concluída, com 12,8 km e </w:t>
      </w:r>
      <w:r w:rsidR="00920D14">
        <w:t xml:space="preserve">Pátio </w:t>
      </w:r>
      <w:r>
        <w:t xml:space="preserve">de </w:t>
      </w:r>
      <w:r w:rsidR="00920D14">
        <w:t xml:space="preserve">Manutenção </w:t>
      </w:r>
      <w:r>
        <w:t xml:space="preserve">Vila Sônia, com 6 </w:t>
      </w:r>
      <w:r w:rsidR="00920D14">
        <w:t xml:space="preserve">Estações </w:t>
      </w:r>
      <w:r>
        <w:t>em operação: Butantã, Pinheiros (integração com a Linha 9 da CPTM), Faria Lima, Paulista (integração com a Linha 2), República (integração com a Linha 3) e Luz (integração com a Linha 1 e com linhas da CPTM).</w:t>
      </w:r>
    </w:p>
    <w:p w:rsidR="003E6588" w:rsidRDefault="003E6588">
      <w:pPr>
        <w:widowControl w:val="0"/>
        <w:suppressAutoHyphens/>
        <w:ind w:firstLine="1134"/>
        <w:jc w:val="both"/>
      </w:pPr>
    </w:p>
    <w:p w:rsidR="003E6588" w:rsidRDefault="003E6588">
      <w:pPr>
        <w:widowControl w:val="0"/>
        <w:suppressAutoHyphens/>
        <w:ind w:firstLine="1134"/>
        <w:jc w:val="both"/>
      </w:pPr>
      <w:r>
        <w:t>Na Fase 2</w:t>
      </w:r>
      <w:r w:rsidR="00920D14">
        <w:t>,</w:t>
      </w:r>
      <w:r>
        <w:t xml:space="preserve"> estão sendo feitas obras de complementações em 3 Estações, São Paulo-Morumbi, Oscar Freire e Higienópolis-Mackenzie, complementação do Pátio Vila Sônia e a implantação do Terminal de Ônibus Vila Sônia (Trecho 1) e prolongamento do túnel e </w:t>
      </w:r>
      <w:r w:rsidR="00920D14">
        <w:t xml:space="preserve">Estação </w:t>
      </w:r>
      <w:r>
        <w:t>Vila Sônia (Trecho 2) com 1,5 km de via permanente e túnel. A Estação Fradique Coutinho foi inaugurada. Quando concluída, a Fase 2 tem demanda estimada de 808.040 passageiros por dia na fase de operação comercial.</w:t>
      </w:r>
    </w:p>
    <w:p w:rsidR="003E6588" w:rsidRDefault="003E6588">
      <w:pPr>
        <w:widowControl w:val="0"/>
        <w:suppressAutoHyphens/>
        <w:ind w:firstLine="1134"/>
        <w:jc w:val="both"/>
      </w:pPr>
    </w:p>
    <w:p w:rsidR="003E6588" w:rsidRDefault="003E6588">
      <w:pPr>
        <w:widowControl w:val="0"/>
        <w:suppressAutoHyphens/>
        <w:ind w:firstLine="1134"/>
        <w:jc w:val="both"/>
      </w:pPr>
      <w:r>
        <w:t>A Fase 3, trecho Vila Sônia - Largo do Taboão, terá 2,3 km de extensão, com implantação de duas novas Estações - Chácara do Jóquei e Largo do Taboão. Os projetos básicos de obra civil estão concluídos.</w:t>
      </w:r>
    </w:p>
    <w:p w:rsidR="003E6588" w:rsidRDefault="003E6588">
      <w:pPr>
        <w:tabs>
          <w:tab w:val="left" w:pos="720"/>
          <w:tab w:val="left" w:pos="8955"/>
        </w:tabs>
        <w:ind w:firstLine="1134"/>
        <w:jc w:val="both"/>
      </w:pPr>
    </w:p>
    <w:p w:rsidR="003E6588" w:rsidRDefault="003E6588">
      <w:pPr>
        <w:tabs>
          <w:tab w:val="left" w:pos="720"/>
        </w:tabs>
        <w:ind w:firstLine="1134"/>
        <w:jc w:val="both"/>
        <w:rPr>
          <w:strike/>
        </w:rPr>
      </w:pPr>
      <w:r>
        <w:rPr>
          <w:b/>
        </w:rPr>
        <w:t xml:space="preserve">Linha 5 </w:t>
      </w:r>
      <w:r w:rsidR="00920D14">
        <w:rPr>
          <w:b/>
        </w:rPr>
        <w:t>-</w:t>
      </w:r>
      <w:r>
        <w:rPr>
          <w:b/>
        </w:rPr>
        <w:t xml:space="preserve"> Lilás - Trecho Capão Redondo-Chácara Klabin - </w:t>
      </w:r>
      <w:r>
        <w:t>A linha está sendo ampliada com mais 11,5 km de via, pátio de manutenção e estacionamento Guido Caloi, 26 trens e 11 novas estações até Chácara Klabin, interligando com a Linha 1</w:t>
      </w:r>
      <w:r w:rsidR="00DA12B4">
        <w:t xml:space="preserve"> </w:t>
      </w:r>
      <w:r>
        <w:t>-</w:t>
      </w:r>
      <w:r w:rsidR="00DA12B4">
        <w:t xml:space="preserve"> </w:t>
      </w:r>
      <w:r>
        <w:t>Azul, na Estação Santa Cruz, com a Linha 2</w:t>
      </w:r>
      <w:r w:rsidR="00DA12B4">
        <w:t xml:space="preserve"> </w:t>
      </w:r>
      <w:r>
        <w:t>-</w:t>
      </w:r>
      <w:r w:rsidR="00DA12B4">
        <w:t xml:space="preserve"> </w:t>
      </w:r>
      <w:r>
        <w:t>Verde na Estação Chácara Klabin e com a futura Linha 17</w:t>
      </w:r>
      <w:r w:rsidR="00DA12B4">
        <w:t xml:space="preserve"> </w:t>
      </w:r>
      <w:r>
        <w:t>-</w:t>
      </w:r>
      <w:r w:rsidR="00DA12B4">
        <w:t xml:space="preserve"> </w:t>
      </w:r>
      <w:r>
        <w:t>Ouro na Estação Campo Belo, bem como ao Corredor Diadema - Morumbi, da EMTU/SP na Estação Brooklin.</w:t>
      </w:r>
    </w:p>
    <w:p w:rsidR="003E6588" w:rsidRDefault="003E6588">
      <w:pPr>
        <w:ind w:firstLine="1134"/>
        <w:jc w:val="both"/>
      </w:pPr>
    </w:p>
    <w:p w:rsidR="003E6588" w:rsidRDefault="003E6588">
      <w:pPr>
        <w:ind w:firstLine="1134"/>
        <w:jc w:val="both"/>
      </w:pPr>
      <w:r>
        <w:lastRenderedPageBreak/>
        <w:t>O Trecho Largo Treze-Adolfo Pinheiro entrou em operação comercial.</w:t>
      </w:r>
    </w:p>
    <w:p w:rsidR="003E6588" w:rsidRDefault="003E6588">
      <w:pPr>
        <w:ind w:firstLine="1134"/>
        <w:jc w:val="both"/>
      </w:pPr>
    </w:p>
    <w:p w:rsidR="003E6588" w:rsidRDefault="003E6588">
      <w:pPr>
        <w:ind w:firstLine="1134"/>
        <w:jc w:val="both"/>
      </w:pPr>
      <w:r>
        <w:t xml:space="preserve">Encontra-se em andamento as obras civis das </w:t>
      </w:r>
      <w:r w:rsidR="00920D14">
        <w:t xml:space="preserve">Estações </w:t>
      </w:r>
      <w:r>
        <w:t xml:space="preserve">e </w:t>
      </w:r>
      <w:r w:rsidR="00920D14">
        <w:t xml:space="preserve">Túneis </w:t>
      </w:r>
      <w:r>
        <w:t>no trecho Adolfo Pinheiro-Chácara Klabin.</w:t>
      </w:r>
    </w:p>
    <w:p w:rsidR="003E6588" w:rsidRDefault="003E6588">
      <w:pPr>
        <w:ind w:firstLine="1134"/>
        <w:jc w:val="both"/>
      </w:pPr>
    </w:p>
    <w:p w:rsidR="003E6588" w:rsidRDefault="003E6588">
      <w:pPr>
        <w:ind w:firstLine="1134"/>
        <w:jc w:val="both"/>
      </w:pPr>
      <w:r>
        <w:t>Estão em andamento os serviços contratados para fornecimento dos sistemas de alimentação elétrica, auxiliares, telecomunicações, sinalização e controle, controle de arrecadação e de passageiros e de 26 trens para o trecho Adolfo Pinheiro-Chácara Klabin.</w:t>
      </w:r>
    </w:p>
    <w:p w:rsidR="003E6588" w:rsidRDefault="003E6588">
      <w:pPr>
        <w:ind w:firstLine="1134"/>
        <w:jc w:val="both"/>
      </w:pPr>
    </w:p>
    <w:p w:rsidR="003E6588" w:rsidRDefault="003E6588">
      <w:pPr>
        <w:ind w:firstLine="1134"/>
        <w:jc w:val="both"/>
      </w:pPr>
      <w:r>
        <w:t>Quando concluída, a Linha 5 vai operar com 34 trens e com demanda prevista na fase de operação comercial de 879.140 passageiros por dia.</w:t>
      </w:r>
    </w:p>
    <w:p w:rsidR="003E6588" w:rsidRDefault="003E6588">
      <w:pPr>
        <w:ind w:firstLine="1134"/>
        <w:jc w:val="both"/>
      </w:pPr>
    </w:p>
    <w:p w:rsidR="003E6588" w:rsidRDefault="003E6588">
      <w:pPr>
        <w:tabs>
          <w:tab w:val="left" w:pos="720"/>
        </w:tabs>
        <w:ind w:firstLine="1134"/>
        <w:jc w:val="both"/>
      </w:pPr>
      <w:r>
        <w:rPr>
          <w:b/>
        </w:rPr>
        <w:t xml:space="preserve">Linha 15 - Prata - Ipiranga-Hospital Cidade Tiradentes - </w:t>
      </w:r>
      <w:r>
        <w:t>Em implantação</w:t>
      </w:r>
      <w:r w:rsidR="00920D14">
        <w:t>,</w:t>
      </w:r>
      <w:r>
        <w:t xml:space="preserve"> o sistema de monotrilho com 26,7 km, dois pátios de estacionamento e manutenção, 58 trens e 18 estações.</w:t>
      </w:r>
    </w:p>
    <w:p w:rsidR="003E6588" w:rsidRDefault="003E6588">
      <w:pPr>
        <w:tabs>
          <w:tab w:val="left" w:pos="720"/>
        </w:tabs>
        <w:ind w:firstLine="1134"/>
        <w:jc w:val="both"/>
      </w:pPr>
    </w:p>
    <w:p w:rsidR="003E6588" w:rsidRDefault="003E6588">
      <w:pPr>
        <w:tabs>
          <w:tab w:val="left" w:pos="720"/>
        </w:tabs>
        <w:ind w:firstLine="1134"/>
        <w:jc w:val="both"/>
      </w:pPr>
      <w:r>
        <w:t>O primeiro trecho Vila Prudente-São Mateus, com 13 km, é composto por 10 estações e um Pátio de Manutenção Oratório. Em execução a implantação das obras civis e sistemas entre Vila Prudente-Oratório, com 2,9 km. Este trecho iniciou a visita controlada, com ampliação do período de visita previsto.</w:t>
      </w:r>
    </w:p>
    <w:p w:rsidR="003E6588" w:rsidRDefault="003E6588">
      <w:pPr>
        <w:tabs>
          <w:tab w:val="left" w:pos="720"/>
        </w:tabs>
        <w:ind w:firstLine="1134"/>
        <w:jc w:val="both"/>
      </w:pPr>
    </w:p>
    <w:p w:rsidR="003E6588" w:rsidRDefault="003E6588">
      <w:pPr>
        <w:tabs>
          <w:tab w:val="left" w:pos="720"/>
        </w:tabs>
        <w:ind w:firstLine="1134"/>
        <w:jc w:val="both"/>
      </w:pPr>
      <w:r>
        <w:t>Estão sendo realizados os acabamentos de obra civil e os testes finais dos sistemas neste trecho, que irá operar com 4 trens.</w:t>
      </w:r>
    </w:p>
    <w:p w:rsidR="003E6588" w:rsidRDefault="003E6588">
      <w:pPr>
        <w:tabs>
          <w:tab w:val="left" w:pos="720"/>
        </w:tabs>
        <w:ind w:firstLine="1134"/>
        <w:jc w:val="both"/>
      </w:pPr>
    </w:p>
    <w:p w:rsidR="003E6588" w:rsidRDefault="003E6588">
      <w:pPr>
        <w:tabs>
          <w:tab w:val="left" w:pos="720"/>
        </w:tabs>
        <w:ind w:firstLine="1134"/>
        <w:jc w:val="both"/>
      </w:pPr>
      <w:r>
        <w:t>O início da operação do trecho Oratório-São Mateus prevê a entrada em operação de mais 23 trens.</w:t>
      </w:r>
    </w:p>
    <w:p w:rsidR="003E6588" w:rsidRDefault="003E6588">
      <w:pPr>
        <w:tabs>
          <w:tab w:val="left" w:pos="720"/>
        </w:tabs>
        <w:ind w:firstLine="1134"/>
        <w:jc w:val="both"/>
      </w:pPr>
    </w:p>
    <w:p w:rsidR="003E6588" w:rsidRDefault="003E6588">
      <w:pPr>
        <w:tabs>
          <w:tab w:val="left" w:pos="720"/>
        </w:tabs>
        <w:ind w:firstLine="1134"/>
        <w:jc w:val="both"/>
      </w:pPr>
      <w:r>
        <w:t>A demanda prevista na fase de operação comercial da linha completa é de 577.400 passageiros por dia.</w:t>
      </w:r>
    </w:p>
    <w:p w:rsidR="003E6588" w:rsidRDefault="003E6588">
      <w:pPr>
        <w:tabs>
          <w:tab w:val="left" w:pos="720"/>
        </w:tabs>
        <w:ind w:firstLine="1134"/>
        <w:jc w:val="both"/>
      </w:pPr>
    </w:p>
    <w:p w:rsidR="003E6588" w:rsidRDefault="003E6588">
      <w:pPr>
        <w:widowControl w:val="0"/>
        <w:suppressAutoHyphens/>
        <w:ind w:firstLine="1134"/>
        <w:jc w:val="both"/>
      </w:pPr>
      <w:r>
        <w:rPr>
          <w:b/>
        </w:rPr>
        <w:t xml:space="preserve">Linha 17 - Ouro - Jabaquara-São Paulo-Morumbi - </w:t>
      </w:r>
      <w:r>
        <w:t>Em monotrilho, a linha está sendo implantada por etapas e quando concluída fará conexões com as Linhas 1</w:t>
      </w:r>
      <w:r w:rsidR="00DA12B4">
        <w:t xml:space="preserve"> </w:t>
      </w:r>
      <w:r>
        <w:t>-</w:t>
      </w:r>
      <w:r w:rsidR="00DA12B4">
        <w:t xml:space="preserve"> </w:t>
      </w:r>
      <w:r>
        <w:t>Azul (Estação Jabaquara), 4</w:t>
      </w:r>
      <w:r w:rsidR="00DA12B4">
        <w:t xml:space="preserve"> </w:t>
      </w:r>
      <w:r>
        <w:t>-</w:t>
      </w:r>
      <w:r w:rsidR="00DA12B4">
        <w:t xml:space="preserve"> </w:t>
      </w:r>
      <w:r>
        <w:t>Amarela (Estação São Paulo-Morumbi) e 5</w:t>
      </w:r>
      <w:r w:rsidR="00DA12B4">
        <w:t xml:space="preserve"> </w:t>
      </w:r>
      <w:r>
        <w:t>-</w:t>
      </w:r>
      <w:r w:rsidR="00DA12B4">
        <w:t xml:space="preserve"> </w:t>
      </w:r>
      <w:r>
        <w:t>Lilás (Estação Campo Belo), bem como com a Linha 9</w:t>
      </w:r>
      <w:r w:rsidR="00DA12B4">
        <w:t xml:space="preserve"> </w:t>
      </w:r>
      <w:r>
        <w:t>-</w:t>
      </w:r>
      <w:r w:rsidR="00DA12B4">
        <w:t xml:space="preserve"> </w:t>
      </w:r>
      <w:r>
        <w:t>Esmeralda da CPTM (Estação Morumbi). Com 17,7 km e 18 estações, tem como principal característica a interligação com o Aeroporto de Congonhas.</w:t>
      </w:r>
    </w:p>
    <w:p w:rsidR="003E6588" w:rsidRDefault="003E6588">
      <w:pPr>
        <w:widowControl w:val="0"/>
        <w:suppressAutoHyphens/>
        <w:ind w:firstLine="1134"/>
        <w:jc w:val="both"/>
      </w:pPr>
    </w:p>
    <w:p w:rsidR="003E6588" w:rsidRDefault="003E6588">
      <w:pPr>
        <w:widowControl w:val="0"/>
        <w:suppressAutoHyphens/>
        <w:ind w:firstLine="1134"/>
        <w:jc w:val="both"/>
      </w:pPr>
      <w:r>
        <w:t xml:space="preserve">As obras do 1º trecho de vias entre as </w:t>
      </w:r>
      <w:r w:rsidR="00920D14">
        <w:t xml:space="preserve">Estações </w:t>
      </w:r>
      <w:r>
        <w:t>Vila Paulista - Congonhas - Estação Morumbi da Linha 9-Esmeralda da CPTM, com 7,7 km e 8 estações, foram iniciadas.</w:t>
      </w:r>
    </w:p>
    <w:p w:rsidR="003E6588" w:rsidRDefault="003E6588">
      <w:pPr>
        <w:widowControl w:val="0"/>
        <w:suppressAutoHyphens/>
        <w:ind w:firstLine="1134"/>
        <w:jc w:val="both"/>
      </w:pPr>
    </w:p>
    <w:p w:rsidR="003E6588" w:rsidRDefault="003E6588">
      <w:pPr>
        <w:tabs>
          <w:tab w:val="left" w:pos="720"/>
        </w:tabs>
        <w:ind w:firstLine="1134"/>
        <w:jc w:val="both"/>
      </w:pPr>
      <w:r>
        <w:t>A</w:t>
      </w:r>
      <w:r w:rsidR="00920D14">
        <w:t>s</w:t>
      </w:r>
      <w:r>
        <w:t xml:space="preserve"> implantaç</w:t>
      </w:r>
      <w:r w:rsidR="00920D14">
        <w:t>ões</w:t>
      </w:r>
      <w:r>
        <w:t xml:space="preserve"> do Pátio Água Espraiada e das estações do Trecho 1</w:t>
      </w:r>
      <w:r w:rsidR="009D7F1F">
        <w:t xml:space="preserve"> foram iniciadas</w:t>
      </w:r>
      <w:r>
        <w:t>.</w:t>
      </w:r>
    </w:p>
    <w:p w:rsidR="003E6588" w:rsidRDefault="003E6588">
      <w:pPr>
        <w:ind w:firstLine="1134"/>
        <w:jc w:val="both"/>
      </w:pPr>
    </w:p>
    <w:p w:rsidR="003E6588" w:rsidRDefault="003E6588">
      <w:pPr>
        <w:ind w:firstLine="1134"/>
        <w:jc w:val="both"/>
      </w:pPr>
      <w:r>
        <w:t>O trecho 2</w:t>
      </w:r>
      <w:r w:rsidR="00920D14">
        <w:t>,</w:t>
      </w:r>
      <w:r>
        <w:t xml:space="preserve"> entre as Estações São Paulo-Morumbi (Linha 4</w:t>
      </w:r>
      <w:r w:rsidR="00DA12B4">
        <w:t xml:space="preserve"> </w:t>
      </w:r>
      <w:r>
        <w:t>-</w:t>
      </w:r>
      <w:r w:rsidR="00DA12B4">
        <w:t xml:space="preserve"> </w:t>
      </w:r>
      <w:r>
        <w:t>Amarela) e Morumbi/CPTM, com 6,4 km e 5 estações, deverá ter implantação em duas etapas:</w:t>
      </w:r>
    </w:p>
    <w:p w:rsidR="009D7F1F" w:rsidRDefault="009D7F1F">
      <w:pPr>
        <w:overflowPunct w:val="0"/>
        <w:autoSpaceDE w:val="0"/>
        <w:autoSpaceDN w:val="0"/>
        <w:adjustRightInd w:val="0"/>
        <w:ind w:firstLine="1134"/>
        <w:jc w:val="both"/>
        <w:textAlignment w:val="baseline"/>
      </w:pPr>
    </w:p>
    <w:p w:rsidR="003E6588" w:rsidRDefault="003E6588">
      <w:pPr>
        <w:overflowPunct w:val="0"/>
        <w:autoSpaceDE w:val="0"/>
        <w:autoSpaceDN w:val="0"/>
        <w:adjustRightInd w:val="0"/>
        <w:ind w:firstLine="1134"/>
        <w:jc w:val="both"/>
        <w:textAlignment w:val="baseline"/>
        <w:rPr>
          <w:strike/>
        </w:rPr>
      </w:pPr>
      <w:r>
        <w:lastRenderedPageBreak/>
        <w:t>- de Morumbi/CPTM até Américo Maurano e</w:t>
      </w:r>
    </w:p>
    <w:p w:rsidR="009D7F1F" w:rsidRDefault="009D7F1F">
      <w:pPr>
        <w:overflowPunct w:val="0"/>
        <w:autoSpaceDE w:val="0"/>
        <w:autoSpaceDN w:val="0"/>
        <w:adjustRightInd w:val="0"/>
        <w:ind w:firstLine="1134"/>
        <w:jc w:val="both"/>
        <w:textAlignment w:val="baseline"/>
      </w:pPr>
    </w:p>
    <w:p w:rsidR="003E6588" w:rsidRDefault="003E6588">
      <w:pPr>
        <w:overflowPunct w:val="0"/>
        <w:autoSpaceDE w:val="0"/>
        <w:autoSpaceDN w:val="0"/>
        <w:adjustRightInd w:val="0"/>
        <w:ind w:firstLine="1134"/>
        <w:jc w:val="both"/>
        <w:textAlignment w:val="baseline"/>
        <w:rPr>
          <w:strike/>
        </w:rPr>
      </w:pPr>
      <w:r>
        <w:t>- de Américo Maurano até São Paulo-Morumbi (Linha 4</w:t>
      </w:r>
      <w:r w:rsidR="00DA12B4">
        <w:t xml:space="preserve"> </w:t>
      </w:r>
      <w:r>
        <w:t>-</w:t>
      </w:r>
      <w:r w:rsidR="00DA12B4">
        <w:t xml:space="preserve"> </w:t>
      </w:r>
      <w:r>
        <w:t>Amarela).</w:t>
      </w:r>
    </w:p>
    <w:p w:rsidR="003E6588" w:rsidRDefault="003E6588">
      <w:pPr>
        <w:ind w:firstLine="1134"/>
        <w:jc w:val="both"/>
      </w:pPr>
    </w:p>
    <w:p w:rsidR="003E6588" w:rsidRDefault="003E6588">
      <w:pPr>
        <w:ind w:firstLine="1134"/>
        <w:jc w:val="both"/>
        <w:rPr>
          <w:b/>
        </w:rPr>
      </w:pPr>
      <w:r>
        <w:t>O trecho 3</w:t>
      </w:r>
      <w:r w:rsidR="009D7F1F">
        <w:t>,</w:t>
      </w:r>
      <w:r>
        <w:t xml:space="preserve"> entre as </w:t>
      </w:r>
      <w:r w:rsidR="009D7F1F">
        <w:t xml:space="preserve">Estações </w:t>
      </w:r>
      <w:r>
        <w:t>Jabaquara (Linha 1</w:t>
      </w:r>
      <w:r w:rsidR="00DA12B4">
        <w:t xml:space="preserve"> </w:t>
      </w:r>
      <w:r>
        <w:t>-</w:t>
      </w:r>
      <w:r w:rsidR="00DA12B4">
        <w:t xml:space="preserve"> </w:t>
      </w:r>
      <w:r>
        <w:t>Azul) - Vila Paulista, com 3,5 km e 5 estações</w:t>
      </w:r>
      <w:r w:rsidR="009D7F1F">
        <w:t>,</w:t>
      </w:r>
      <w:r>
        <w:t xml:space="preserve"> completará a linha, cuja previsão de demanda é de 328.710 passageiros por dia na fase de operação comercial.</w:t>
      </w:r>
    </w:p>
    <w:p w:rsidR="003E6588" w:rsidRDefault="003E6588">
      <w:pPr>
        <w:ind w:firstLine="1134"/>
        <w:jc w:val="both"/>
        <w:rPr>
          <w:b/>
        </w:rPr>
      </w:pPr>
    </w:p>
    <w:p w:rsidR="003E6588" w:rsidRDefault="003E6588">
      <w:pPr>
        <w:widowControl w:val="0"/>
        <w:suppressAutoHyphens/>
        <w:ind w:firstLine="1134"/>
        <w:jc w:val="both"/>
        <w:rPr>
          <w:b/>
        </w:rPr>
      </w:pPr>
      <w:r>
        <w:rPr>
          <w:b/>
        </w:rPr>
        <w:t>Outros Empreendimentos</w:t>
      </w:r>
    </w:p>
    <w:p w:rsidR="003E6588" w:rsidRDefault="003E6588">
      <w:pPr>
        <w:tabs>
          <w:tab w:val="left" w:pos="720"/>
        </w:tabs>
        <w:ind w:firstLine="1134"/>
        <w:jc w:val="both"/>
      </w:pPr>
    </w:p>
    <w:p w:rsidR="003E6588" w:rsidRDefault="003E6588">
      <w:pPr>
        <w:tabs>
          <w:tab w:val="left" w:pos="720"/>
        </w:tabs>
        <w:ind w:firstLine="1134"/>
        <w:jc w:val="both"/>
      </w:pPr>
      <w:r>
        <w:rPr>
          <w:b/>
        </w:rPr>
        <w:t xml:space="preserve">Linha 6 - Laranja: Brasilândia-São Joaquim - </w:t>
      </w:r>
      <w:r>
        <w:t xml:space="preserve">Trecho de 15,9 km, pátio de manutenção, 23 trens e 15 estações, com integrações nas </w:t>
      </w:r>
      <w:r w:rsidR="009D7F1F">
        <w:t xml:space="preserve">Linhas </w:t>
      </w:r>
      <w:r>
        <w:t xml:space="preserve">1, 4 e a futura </w:t>
      </w:r>
      <w:r w:rsidR="009D7F1F">
        <w:t xml:space="preserve">Linha </w:t>
      </w:r>
      <w:r>
        <w:t xml:space="preserve">19 do Metrô e com as </w:t>
      </w:r>
      <w:r w:rsidR="009D7F1F">
        <w:t xml:space="preserve">Linhas </w:t>
      </w:r>
      <w:r>
        <w:t>7 e 8 da CPTM. A linha ligará a Região Noroeste de São Paulo ao Centro Expandido fazendo articulação de linhas de ônibus das regiões atendidas</w:t>
      </w:r>
      <w:r w:rsidR="009D7F1F">
        <w:t>,</w:t>
      </w:r>
      <w:r>
        <w:t xml:space="preserve"> propiciando reorganização do transporte coletivo. </w:t>
      </w:r>
      <w:r w:rsidR="009D7F1F">
        <w:t xml:space="preserve">Deverá </w:t>
      </w:r>
      <w:r>
        <w:t xml:space="preserve">reduzir a saturação de eixos de transporte existentes, como as </w:t>
      </w:r>
      <w:r w:rsidR="009D7F1F">
        <w:t xml:space="preserve">Linhas </w:t>
      </w:r>
      <w:r>
        <w:t>3 e 11, ampliando as conexões com a rede metroferroviária.</w:t>
      </w:r>
    </w:p>
    <w:p w:rsidR="003E6588" w:rsidRDefault="003E6588">
      <w:pPr>
        <w:tabs>
          <w:tab w:val="left" w:pos="720"/>
        </w:tabs>
        <w:ind w:firstLine="1134"/>
        <w:jc w:val="both"/>
      </w:pPr>
    </w:p>
    <w:p w:rsidR="003E6588" w:rsidRDefault="003E6588">
      <w:pPr>
        <w:tabs>
          <w:tab w:val="left" w:pos="720"/>
        </w:tabs>
        <w:ind w:firstLine="1134"/>
        <w:jc w:val="both"/>
        <w:rPr>
          <w:iCs/>
        </w:rPr>
      </w:pPr>
      <w:r>
        <w:t>Esta linha está sendo viabilizada por meio de PPP - Parceria Público Privada</w:t>
      </w:r>
      <w:r w:rsidR="00127B47">
        <w:t>,</w:t>
      </w:r>
      <w:r>
        <w:t xml:space="preserve"> com a contratação da concessionária com</w:t>
      </w:r>
      <w:r>
        <w:rPr>
          <w:iCs/>
        </w:rPr>
        <w:t xml:space="preserve"> prazo de 25 anos de concessão, sendo 6 anos para implantação da linha e mais 19 anos para operação. A demanda prevista para o trecho Brasilândia-São Joaquim é de 640.000 passageiros/dia.</w:t>
      </w:r>
    </w:p>
    <w:p w:rsidR="003E6588" w:rsidRDefault="003E6588">
      <w:pPr>
        <w:tabs>
          <w:tab w:val="left" w:pos="720"/>
        </w:tabs>
        <w:ind w:firstLine="1134"/>
        <w:jc w:val="both"/>
        <w:rPr>
          <w:iCs/>
        </w:rPr>
      </w:pPr>
    </w:p>
    <w:p w:rsidR="003E6588" w:rsidRDefault="00127B47">
      <w:pPr>
        <w:tabs>
          <w:tab w:val="left" w:pos="720"/>
        </w:tabs>
        <w:ind w:firstLine="1134"/>
        <w:jc w:val="both"/>
        <w:rPr>
          <w:iCs/>
        </w:rPr>
      </w:pPr>
      <w:r>
        <w:rPr>
          <w:iCs/>
        </w:rPr>
        <w:t xml:space="preserve">O </w:t>
      </w:r>
      <w:r w:rsidR="003E6588">
        <w:rPr>
          <w:iCs/>
        </w:rPr>
        <w:t xml:space="preserve">Consórcio Move São Paulo está procedendo </w:t>
      </w:r>
      <w:r w:rsidR="00215A9C">
        <w:rPr>
          <w:iCs/>
        </w:rPr>
        <w:t>à</w:t>
      </w:r>
      <w:r w:rsidR="003E6588">
        <w:rPr>
          <w:iCs/>
        </w:rPr>
        <w:t xml:space="preserve"> desapropriação das áreas para instalação dos canteiros.</w:t>
      </w:r>
    </w:p>
    <w:p w:rsidR="003E6588" w:rsidRDefault="003E6588">
      <w:pPr>
        <w:tabs>
          <w:tab w:val="left" w:pos="720"/>
        </w:tabs>
        <w:ind w:firstLine="1134"/>
        <w:jc w:val="both"/>
      </w:pPr>
    </w:p>
    <w:p w:rsidR="003E6588" w:rsidRDefault="003E6588">
      <w:pPr>
        <w:tabs>
          <w:tab w:val="left" w:pos="720"/>
        </w:tabs>
        <w:ind w:firstLine="1134"/>
        <w:jc w:val="both"/>
      </w:pPr>
      <w:r>
        <w:rPr>
          <w:b/>
        </w:rPr>
        <w:t xml:space="preserve">Linha 18 </w:t>
      </w:r>
      <w:r w:rsidR="00215A9C">
        <w:rPr>
          <w:b/>
        </w:rPr>
        <w:t>-</w:t>
      </w:r>
      <w:r>
        <w:rPr>
          <w:b/>
        </w:rPr>
        <w:t xml:space="preserve"> Bronze - Tamanduateí (SP) - Djalma Dutra (SBC) - </w:t>
      </w:r>
      <w:r>
        <w:t>Por meio</w:t>
      </w:r>
      <w:r>
        <w:rPr>
          <w:b/>
        </w:rPr>
        <w:t xml:space="preserve"> </w:t>
      </w:r>
      <w:r>
        <w:t>de</w:t>
      </w:r>
      <w:r>
        <w:rPr>
          <w:b/>
        </w:rPr>
        <w:t xml:space="preserve"> </w:t>
      </w:r>
      <w:r>
        <w:t>sistema de monotrilho</w:t>
      </w:r>
      <w:r w:rsidR="00215A9C">
        <w:t>,</w:t>
      </w:r>
      <w:r>
        <w:t xml:space="preserve"> ligará as </w:t>
      </w:r>
      <w:r w:rsidR="00215A9C">
        <w:t xml:space="preserve">Estações </w:t>
      </w:r>
      <w:r>
        <w:t xml:space="preserve">Tamanduateí (Metrô/CPTM)) a Djalma Dutra em São Bernardo do Campo (EMTU), com 15,7 km e 13 estações. A Linha atenderá simultaneamente os </w:t>
      </w:r>
      <w:r w:rsidR="00215A9C">
        <w:t xml:space="preserve">Municípios </w:t>
      </w:r>
      <w:r>
        <w:t>de São Caetano do Sul, São Bernardo do Campo, Santo André e São Paulo e polos educacionais do ABC: Uniban, Instituto Mauá, Universidade Metodista, Fundação Santo André e Universidade Municipal de São Caetano do Sul.</w:t>
      </w:r>
    </w:p>
    <w:p w:rsidR="003E6588" w:rsidRDefault="003E6588">
      <w:pPr>
        <w:tabs>
          <w:tab w:val="left" w:pos="720"/>
        </w:tabs>
        <w:ind w:firstLine="1134"/>
        <w:jc w:val="both"/>
      </w:pPr>
    </w:p>
    <w:p w:rsidR="003E6588" w:rsidRDefault="003E6588">
      <w:pPr>
        <w:tabs>
          <w:tab w:val="left" w:pos="720"/>
        </w:tabs>
        <w:ind w:firstLine="1134"/>
        <w:jc w:val="both"/>
        <w:rPr>
          <w:iCs/>
        </w:rPr>
      </w:pPr>
      <w:r>
        <w:t>A implantação desta linha está sendo viabilizada por meio de PPP - Parceria Público Privada</w:t>
      </w:r>
      <w:r>
        <w:rPr>
          <w:iCs/>
        </w:rPr>
        <w:t>. A assinatura do contrato, em nome da Concessionária do Monotrilho da Linha 18-Bronze S.A, se deu</w:t>
      </w:r>
      <w:r w:rsidR="00215A9C">
        <w:rPr>
          <w:iCs/>
        </w:rPr>
        <w:t>,</w:t>
      </w:r>
      <w:r>
        <w:rPr>
          <w:iCs/>
        </w:rPr>
        <w:t xml:space="preserve"> com prazo de vigência de 25 anos.</w:t>
      </w:r>
    </w:p>
    <w:p w:rsidR="003E6588" w:rsidRDefault="003E6588">
      <w:pPr>
        <w:tabs>
          <w:tab w:val="left" w:pos="720"/>
        </w:tabs>
        <w:ind w:firstLine="1134"/>
        <w:jc w:val="both"/>
        <w:rPr>
          <w:iCs/>
        </w:rPr>
      </w:pPr>
    </w:p>
    <w:p w:rsidR="003E6588" w:rsidRDefault="003E6588">
      <w:pPr>
        <w:tabs>
          <w:tab w:val="left" w:pos="720"/>
        </w:tabs>
        <w:ind w:firstLine="1134"/>
        <w:jc w:val="both"/>
      </w:pPr>
      <w:r>
        <w:rPr>
          <w:b/>
        </w:rPr>
        <w:t xml:space="preserve">Linha 20 - Rosa - Lapa-Rudge Ramos - </w:t>
      </w:r>
      <w:r>
        <w:t xml:space="preserve">A Linha 20, com custo estimado de R$ 9,5 bilhões e concebida com configuração perimetral, interligará os </w:t>
      </w:r>
      <w:r w:rsidR="00215A9C">
        <w:t xml:space="preserve">Municípios </w:t>
      </w:r>
      <w:r>
        <w:t>de São Paulo e São Bernardo do Campo. O trecho inicial Lapa-Moema terá 12,3 km e 14 estações e o trecho seguinte, Moema-Rudge Ramos (São Bernardo do Campo), terá 12,7 km e 10 estações.</w:t>
      </w:r>
    </w:p>
    <w:p w:rsidR="003E6588" w:rsidRDefault="003E6588">
      <w:pPr>
        <w:tabs>
          <w:tab w:val="left" w:pos="720"/>
        </w:tabs>
        <w:ind w:firstLine="1134"/>
        <w:jc w:val="both"/>
      </w:pPr>
    </w:p>
    <w:p w:rsidR="003E6588" w:rsidRDefault="003E6588">
      <w:pPr>
        <w:tabs>
          <w:tab w:val="left" w:pos="720"/>
        </w:tabs>
        <w:ind w:firstLine="1134"/>
        <w:jc w:val="both"/>
      </w:pPr>
      <w:r>
        <w:lastRenderedPageBreak/>
        <w:t>A escolha do trecho inicial Lapa-Moema, a ser implantado em subterrâneo, deu-se em função do grande potencial de expansão do atendimento da rede metroferroviária às áreas com concentração de empregos e com carência de transporte coletivo.</w:t>
      </w:r>
    </w:p>
    <w:p w:rsidR="003E6588" w:rsidRDefault="003E6588">
      <w:pPr>
        <w:tabs>
          <w:tab w:val="left" w:pos="720"/>
        </w:tabs>
        <w:ind w:firstLine="1134"/>
        <w:jc w:val="both"/>
      </w:pPr>
    </w:p>
    <w:p w:rsidR="003E6588" w:rsidRDefault="003E6588">
      <w:pPr>
        <w:tabs>
          <w:tab w:val="left" w:pos="720"/>
        </w:tabs>
        <w:ind w:firstLine="1134"/>
        <w:jc w:val="both"/>
        <w:rPr>
          <w:b/>
        </w:rPr>
      </w:pPr>
      <w:r>
        <w:t>Em virtude do Chamamento Público para apresentação de propostas por interessados à Manifestação de Interesse para desenvolvimento de estudos para modelagem, f</w:t>
      </w:r>
      <w:r>
        <w:rPr>
          <w:iCs/>
        </w:rPr>
        <w:t>oi apresentado estudo pela Invepar - Investimentos e Participações em Infraestrutura S/A, que segue em estruturação da modelagem final na Secretaria do Planejamento e Desenvolvimento Regional</w:t>
      </w:r>
      <w:r w:rsidR="009E5CC2">
        <w:rPr>
          <w:iCs/>
        </w:rPr>
        <w:t xml:space="preserve"> - SPDR</w:t>
      </w:r>
      <w:r>
        <w:rPr>
          <w:iCs/>
        </w:rPr>
        <w:t>, com participação do Banco Mundial.</w:t>
      </w:r>
    </w:p>
    <w:p w:rsidR="003E6588" w:rsidRDefault="003E6588">
      <w:pPr>
        <w:tabs>
          <w:tab w:val="left" w:pos="720"/>
        </w:tabs>
        <w:ind w:firstLine="1134"/>
        <w:jc w:val="both"/>
        <w:rPr>
          <w:b/>
        </w:rPr>
      </w:pPr>
    </w:p>
    <w:p w:rsidR="003E6588" w:rsidRDefault="003E6588">
      <w:pPr>
        <w:tabs>
          <w:tab w:val="left" w:pos="720"/>
        </w:tabs>
        <w:ind w:firstLine="1134"/>
        <w:jc w:val="both"/>
      </w:pPr>
      <w:r>
        <w:rPr>
          <w:b/>
        </w:rPr>
        <w:t xml:space="preserve">Modernização do </w:t>
      </w:r>
      <w:r w:rsidRPr="009E5CC2">
        <w:rPr>
          <w:b/>
        </w:rPr>
        <w:t>Si</w:t>
      </w:r>
      <w:r>
        <w:rPr>
          <w:b/>
        </w:rPr>
        <w:t xml:space="preserve">stema de Sinalização e Controle - </w:t>
      </w:r>
      <w:r>
        <w:t xml:space="preserve">O novo sistema </w:t>
      </w:r>
      <w:r>
        <w:rPr>
          <w:i/>
        </w:rPr>
        <w:t>CBTC - Communication-Based Train Control</w:t>
      </w:r>
      <w:r>
        <w:t xml:space="preserve"> está em implantação nas Linhas 1, 2 e 3 do Metrô. A implantação do sistema possibilitará acréscimo do número de trens e redução dos intervalos entre trens, diminuição do tempo de viagem devido ao aumento da velocidade média, redução da energia consumida em virtude do controle mais efetivo da movimentação dos trens, viabilidade de comunicações áudiovisuais em tempo real e maior eficiência e segurança nas comunicações de dados para os outros sistemas interconectados.</w:t>
      </w:r>
    </w:p>
    <w:p w:rsidR="003E6588" w:rsidRDefault="003E6588">
      <w:pPr>
        <w:tabs>
          <w:tab w:val="left" w:pos="720"/>
        </w:tabs>
        <w:ind w:firstLine="1134"/>
        <w:jc w:val="both"/>
      </w:pPr>
    </w:p>
    <w:p w:rsidR="003E6588" w:rsidRDefault="003E6588">
      <w:pPr>
        <w:ind w:firstLine="1134"/>
        <w:jc w:val="both"/>
        <w:rPr>
          <w:rFonts w:eastAsia="Calibri"/>
        </w:rPr>
      </w:pPr>
      <w:r>
        <w:rPr>
          <w:b/>
        </w:rPr>
        <w:t xml:space="preserve">Trens Modernizados - </w:t>
      </w:r>
      <w:r>
        <w:t>A modernização contempla sistema de ar</w:t>
      </w:r>
      <w:r>
        <w:rPr>
          <w:rFonts w:eastAsia="Calibri"/>
        </w:rPr>
        <w:t>-condicionado, câmeras de vigilância internas e externas, sistema de proteção contra incêndio, sistema de informação audiovisual, sistema de freios com controle de patinagem e deslizamento (melhora o desempenho em condições de baixa aderência, como na chuva), sistema de tração em corrente alternada, monitoramento contínuo dos equipamentos pelo operador, substituição do sistema de portas e inspeção, revisão e reparos na estrutura e nos truques dos trens. As unidades receberam melhora na ergonomia com o rearranjo interno e a substituição da iluminação.</w:t>
      </w:r>
    </w:p>
    <w:p w:rsidR="003E6588" w:rsidRDefault="003E6588">
      <w:pPr>
        <w:ind w:firstLine="1134"/>
        <w:jc w:val="both"/>
        <w:rPr>
          <w:rFonts w:eastAsia="Calibri"/>
        </w:rPr>
      </w:pPr>
    </w:p>
    <w:p w:rsidR="003E6588" w:rsidRDefault="003E6588">
      <w:pPr>
        <w:ind w:firstLine="1134"/>
        <w:jc w:val="both"/>
      </w:pPr>
      <w:r>
        <w:t>Foram modernizados 61 trens de um total de 98 trens. Desses trens modernizados</w:t>
      </w:r>
      <w:r w:rsidR="009E5CC2">
        <w:t>,</w:t>
      </w:r>
      <w:r>
        <w:t xml:space="preserve"> 23 trens iniciaram a operação comercial e os demais trens modernizados estão em testes ou aguardando a implantação do CBTC para início da operação.</w:t>
      </w:r>
    </w:p>
    <w:p w:rsidR="003E6588" w:rsidRDefault="003E6588">
      <w:pPr>
        <w:ind w:firstLine="1134"/>
        <w:jc w:val="both"/>
      </w:pPr>
    </w:p>
    <w:p w:rsidR="003E6588" w:rsidRPr="009E5CC2" w:rsidRDefault="003E6588">
      <w:pPr>
        <w:tabs>
          <w:tab w:val="left" w:pos="720"/>
        </w:tabs>
        <w:ind w:firstLine="1134"/>
        <w:jc w:val="both"/>
        <w:rPr>
          <w:u w:val="single"/>
        </w:rPr>
      </w:pPr>
    </w:p>
    <w:p w:rsidR="003E6588" w:rsidRDefault="003E6588">
      <w:pPr>
        <w:tabs>
          <w:tab w:val="left" w:pos="720"/>
        </w:tabs>
        <w:rPr>
          <w:b/>
        </w:rPr>
      </w:pPr>
      <w:r>
        <w:rPr>
          <w:b/>
        </w:rPr>
        <w:t xml:space="preserve">COMPANHIA PAULISTA DE TRENS METROPOLITANOS </w:t>
      </w:r>
      <w:r w:rsidR="009E5CC2">
        <w:rPr>
          <w:b/>
        </w:rPr>
        <w:t>-</w:t>
      </w:r>
      <w:r>
        <w:rPr>
          <w:b/>
        </w:rPr>
        <w:t xml:space="preserve"> CPTM</w:t>
      </w:r>
    </w:p>
    <w:p w:rsidR="003E6588" w:rsidRDefault="003E6588">
      <w:pPr>
        <w:tabs>
          <w:tab w:val="left" w:pos="720"/>
        </w:tabs>
        <w:ind w:firstLine="1134"/>
        <w:jc w:val="both"/>
      </w:pPr>
    </w:p>
    <w:p w:rsidR="003E6588" w:rsidRDefault="003E6588">
      <w:pPr>
        <w:tabs>
          <w:tab w:val="left" w:pos="720"/>
        </w:tabs>
        <w:ind w:firstLine="1134"/>
        <w:jc w:val="both"/>
      </w:pPr>
    </w:p>
    <w:p w:rsidR="003E6588" w:rsidRDefault="003E6588">
      <w:pPr>
        <w:ind w:firstLine="1134"/>
        <w:jc w:val="both"/>
      </w:pPr>
      <w:r>
        <w:t>A CPTM mant</w:t>
      </w:r>
      <w:r w:rsidR="009E5CC2">
        <w:t>eve</w:t>
      </w:r>
      <w:r>
        <w:t xml:space="preserve">, com frequência, a marca de 3 milhões de usuários </w:t>
      </w:r>
      <w:r w:rsidR="009E5CC2">
        <w:t>a</w:t>
      </w:r>
      <w:r>
        <w:t>o dia.</w:t>
      </w:r>
    </w:p>
    <w:p w:rsidR="003E6588" w:rsidRDefault="003E6588">
      <w:pPr>
        <w:ind w:firstLine="1134"/>
        <w:jc w:val="both"/>
      </w:pPr>
    </w:p>
    <w:p w:rsidR="003E6588" w:rsidRDefault="003E6588">
      <w:pPr>
        <w:ind w:firstLine="1134"/>
        <w:jc w:val="both"/>
      </w:pPr>
      <w:r>
        <w:t xml:space="preserve">As seis </w:t>
      </w:r>
      <w:r w:rsidR="009E5CC2">
        <w:t>Linhas</w:t>
      </w:r>
      <w:r>
        <w:t>: 7 (Luz-Francisco Morato-Jundiaí), 8 (Júlio Prestes-Itapevi), 9 (Osasco-Grajaú), 10 (Luz-Rio Grande da Serra), 11 (Luz-Estudantes</w:t>
      </w:r>
      <w:r w:rsidRPr="00B50B47">
        <w:t>) e</w:t>
      </w:r>
      <w:r>
        <w:t xml:space="preserve"> 12 (Brás-Calmon Viana) estão passando por obras de infraestrutura (sinalização, telecomunicações, energia, rede aérea, via permanente e construção de passarelas), além da modernização das estações, reconstrução da Estação Franco da Rocha (Linha 7) e readequação da Estação Domingos de Moraes (Linha 8), ambas já entregues.</w:t>
      </w:r>
    </w:p>
    <w:p w:rsidR="003E6588" w:rsidRDefault="003E6588">
      <w:pPr>
        <w:ind w:firstLine="1134"/>
        <w:jc w:val="both"/>
      </w:pPr>
      <w:r>
        <w:rPr>
          <w:b/>
        </w:rPr>
        <w:lastRenderedPageBreak/>
        <w:t xml:space="preserve">Extensão da Linha 9 entre Grajaú e Varginha - </w:t>
      </w:r>
      <w:r>
        <w:t xml:space="preserve"> Com 4,5 km, prevê a construção das </w:t>
      </w:r>
      <w:r w:rsidR="001F7D5C">
        <w:t xml:space="preserve">Estações </w:t>
      </w:r>
      <w:r>
        <w:t>Mendes-Vila Natal e Varginha, de viadutos ferroviários, de complexo viário e de pátio de estacionamento de trens. As obras civis estão em andamento.</w:t>
      </w:r>
    </w:p>
    <w:p w:rsidR="003E6588" w:rsidRDefault="003E6588">
      <w:pPr>
        <w:ind w:firstLine="1134"/>
        <w:jc w:val="both"/>
      </w:pPr>
    </w:p>
    <w:p w:rsidR="003E6588" w:rsidRDefault="003E6588">
      <w:pPr>
        <w:ind w:firstLine="1134"/>
        <w:jc w:val="both"/>
      </w:pPr>
      <w:r>
        <w:rPr>
          <w:b/>
        </w:rPr>
        <w:t xml:space="preserve">Linha 13 - Jade - Trem de Guarulhos - </w:t>
      </w:r>
      <w:r>
        <w:t xml:space="preserve">Em andamento as obras civis de implantação da linha de trem metropolitano que ligará os Municípios de São Paulo e Guarulhos, com acesso ao Aeroporto Internacional André Franco Montoro. Essa linha compartilhará parte da infraestrutura da Linha 12 com 12,2 km de nova via e prevê </w:t>
      </w:r>
      <w:r w:rsidR="001F7D5C">
        <w:t>a</w:t>
      </w:r>
      <w:r>
        <w:t>quisição de 8 novos trens, readequação da Estação Engenheiro Goulart e construção de duas estações: Guarulhos CECAP e Aeroporto Guarulhos.</w:t>
      </w:r>
    </w:p>
    <w:p w:rsidR="003E6588" w:rsidRDefault="003E6588">
      <w:pPr>
        <w:ind w:firstLine="1134"/>
        <w:jc w:val="both"/>
      </w:pPr>
    </w:p>
    <w:p w:rsidR="003E6588" w:rsidRDefault="003E6588">
      <w:pPr>
        <w:ind w:firstLine="1134"/>
        <w:jc w:val="both"/>
      </w:pPr>
      <w:r>
        <w:rPr>
          <w:b/>
        </w:rPr>
        <w:t xml:space="preserve">Estações Acessíveis - </w:t>
      </w:r>
      <w:r>
        <w:t xml:space="preserve">Prosseguem obras de reconstrução das </w:t>
      </w:r>
      <w:r w:rsidR="001F7D5C">
        <w:t>E</w:t>
      </w:r>
      <w:r>
        <w:t>stações Jaraguá (Linha 7), Osasco (Linha 9), Suzano, Ferraz de Vasconcelos e Poá (Linha 11). As novas edificações contam com escadas rolantes, itens de acessibilidade como elevadores, piso e rota táteis, comunicação em Braille, corrimãos e rampas adequadas, além de banheiros públicos comuns exclusivos para pessoas com deficiência ou mobilidade reduzida, garantindo melhores condições funcionais e de acessibilidade.</w:t>
      </w:r>
    </w:p>
    <w:p w:rsidR="003E6588" w:rsidRDefault="003E6588">
      <w:pPr>
        <w:ind w:firstLine="1134"/>
        <w:jc w:val="both"/>
      </w:pPr>
    </w:p>
    <w:p w:rsidR="003E6588" w:rsidRDefault="003E6588">
      <w:pPr>
        <w:ind w:firstLine="1134"/>
        <w:jc w:val="both"/>
      </w:pPr>
      <w:r>
        <w:rPr>
          <w:b/>
        </w:rPr>
        <w:t xml:space="preserve">Passarelas/Viadutos - </w:t>
      </w:r>
      <w:r>
        <w:t xml:space="preserve">Concluídas as obras das alças de acesso do Viaduto Caieiras (Linha 7) e das passarelas do </w:t>
      </w:r>
      <w:r w:rsidR="00DA12B4">
        <w:t xml:space="preserve">km </w:t>
      </w:r>
      <w:r>
        <w:t xml:space="preserve">26 (Linha 10) e da Cidade Jardim (Parque do Povo </w:t>
      </w:r>
      <w:r w:rsidR="001F7D5C">
        <w:t>-</w:t>
      </w:r>
      <w:r>
        <w:t xml:space="preserve"> Linha 9). Prosseguem as obras nas passarelas do </w:t>
      </w:r>
      <w:r w:rsidR="00DA12B4">
        <w:t xml:space="preserve">km </w:t>
      </w:r>
      <w:r>
        <w:t>33 (Linha 8) e nas duas para acesso à ciclovia (Linha 9): Vila Lobos e Jurubatuba.</w:t>
      </w:r>
    </w:p>
    <w:p w:rsidR="003E6588" w:rsidRDefault="003E6588">
      <w:pPr>
        <w:ind w:firstLine="1134"/>
        <w:jc w:val="both"/>
      </w:pPr>
    </w:p>
    <w:p w:rsidR="003E6588" w:rsidRDefault="003E6588">
      <w:pPr>
        <w:ind w:firstLine="1134"/>
        <w:jc w:val="both"/>
      </w:pPr>
      <w:r>
        <w:rPr>
          <w:b/>
        </w:rPr>
        <w:t>Via Permanente e Rede Aérea -</w:t>
      </w:r>
      <w:r>
        <w:t xml:space="preserve"> Prosseguem obras de readequação da via permanente e de rede aérea nas linhas da CPTM.</w:t>
      </w:r>
    </w:p>
    <w:p w:rsidR="003E6588" w:rsidRDefault="003E6588">
      <w:pPr>
        <w:ind w:firstLine="1134"/>
        <w:jc w:val="both"/>
      </w:pPr>
    </w:p>
    <w:p w:rsidR="003E6588" w:rsidRDefault="003E6588">
      <w:pPr>
        <w:ind w:firstLine="1134"/>
        <w:jc w:val="both"/>
      </w:pPr>
      <w:r>
        <w:rPr>
          <w:b/>
        </w:rPr>
        <w:t xml:space="preserve">Subestação/Seccionadoras de Energia Elétrica - </w:t>
      </w:r>
      <w:r>
        <w:t xml:space="preserve">Concluídas as obras das </w:t>
      </w:r>
      <w:r w:rsidR="001F7D5C">
        <w:t xml:space="preserve">Subestações </w:t>
      </w:r>
      <w:r>
        <w:t xml:space="preserve">de Campo Limpo Paulista (Linha 7), de Ipiranga (Linha 10) e de Guaianazes (Linha 11). Seguem em reforma as </w:t>
      </w:r>
      <w:r w:rsidR="001F7D5C">
        <w:t xml:space="preserve">Subestações </w:t>
      </w:r>
      <w:r>
        <w:t xml:space="preserve">de Caieiras e de Tietê (Linha 7), das </w:t>
      </w:r>
      <w:r w:rsidR="001F7D5C">
        <w:t xml:space="preserve">Subestações </w:t>
      </w:r>
      <w:r>
        <w:t>de Mauá e de Santo André (Linha 10), da subestação Calmon Viana (Linha 11) e das subestações Sebastião Gualberto e Ermelino Matarazzo (Linha 12). Essas intervenções irão aumentar a oferta de energia</w:t>
      </w:r>
      <w:r w:rsidR="001F7D5C">
        <w:t>,</w:t>
      </w:r>
      <w:r>
        <w:t xml:space="preserve"> propiciando redução de intervalo entre trens e ofertando mais lugares.</w:t>
      </w:r>
    </w:p>
    <w:p w:rsidR="003E6588" w:rsidRDefault="003E6588">
      <w:pPr>
        <w:ind w:firstLine="1134"/>
        <w:jc w:val="both"/>
        <w:rPr>
          <w:b/>
        </w:rPr>
      </w:pPr>
    </w:p>
    <w:p w:rsidR="003E6588" w:rsidRDefault="003E6588">
      <w:pPr>
        <w:pStyle w:val="western"/>
        <w:spacing w:before="0" w:beforeAutospacing="0" w:after="0"/>
        <w:ind w:firstLine="1134"/>
        <w:jc w:val="both"/>
        <w:rPr>
          <w:rFonts w:ascii="Times New Roman" w:hAnsi="Times New Roman" w:cs="Times New Roman"/>
        </w:rPr>
      </w:pPr>
      <w:r>
        <w:rPr>
          <w:rFonts w:ascii="Times New Roman" w:hAnsi="Times New Roman" w:cs="Times New Roman"/>
          <w:b/>
        </w:rPr>
        <w:t xml:space="preserve">Trens Novos - </w:t>
      </w:r>
      <w:r>
        <w:rPr>
          <w:rFonts w:ascii="Times New Roman" w:hAnsi="Times New Roman" w:cs="Times New Roman"/>
        </w:rPr>
        <w:t>Prossegue a fabricação dos 65 novos trens</w:t>
      </w:r>
      <w:r w:rsidR="001F7D5C">
        <w:rPr>
          <w:rFonts w:ascii="Times New Roman" w:hAnsi="Times New Roman" w:cs="Times New Roman"/>
        </w:rPr>
        <w:t>,</w:t>
      </w:r>
      <w:r>
        <w:rPr>
          <w:rFonts w:ascii="Times New Roman" w:hAnsi="Times New Roman" w:cs="Times New Roman"/>
        </w:rPr>
        <w:t xml:space="preserve"> que deverão ser incorporados à frota. Todos equipados com tecnologia de ponta</w:t>
      </w:r>
      <w:r w:rsidR="001F7D5C">
        <w:rPr>
          <w:rFonts w:ascii="Times New Roman" w:hAnsi="Times New Roman" w:cs="Times New Roman"/>
        </w:rPr>
        <w:t>,</w:t>
      </w:r>
      <w:r>
        <w:rPr>
          <w:rFonts w:ascii="Times New Roman" w:hAnsi="Times New Roman" w:cs="Times New Roman"/>
        </w:rPr>
        <w:t xml:space="preserve"> como ar-condicionado, câmeras de vigilância, sistema de informação audiovisual (monitores de vídeo e displays). Os trens são totalmente acessíveis para pessoas com deficiência ou mobilidade reduzida.</w:t>
      </w:r>
    </w:p>
    <w:p w:rsidR="003E6588" w:rsidRDefault="003E6588">
      <w:pPr>
        <w:pStyle w:val="western"/>
        <w:spacing w:before="0" w:beforeAutospacing="0" w:after="0"/>
        <w:ind w:firstLine="1134"/>
        <w:jc w:val="both"/>
        <w:rPr>
          <w:rFonts w:ascii="Times New Roman" w:hAnsi="Times New Roman" w:cs="Times New Roman"/>
          <w:b/>
        </w:rPr>
      </w:pPr>
    </w:p>
    <w:p w:rsidR="003E6588" w:rsidRDefault="003E6588">
      <w:pPr>
        <w:pStyle w:val="western"/>
        <w:spacing w:before="0" w:beforeAutospacing="0" w:after="0"/>
        <w:ind w:firstLine="1134"/>
        <w:jc w:val="both"/>
        <w:rPr>
          <w:rFonts w:ascii="Times New Roman" w:hAnsi="Times New Roman" w:cs="Times New Roman"/>
        </w:rPr>
      </w:pPr>
      <w:r>
        <w:rPr>
          <w:rFonts w:ascii="Times New Roman" w:hAnsi="Times New Roman" w:cs="Times New Roman"/>
          <w:b/>
        </w:rPr>
        <w:t xml:space="preserve">Expresso Leste até Suzano - </w:t>
      </w:r>
      <w:r>
        <w:rPr>
          <w:rFonts w:ascii="Times New Roman" w:hAnsi="Times New Roman" w:cs="Times New Roman"/>
        </w:rPr>
        <w:t xml:space="preserve">O serviço do expresso será ampliado até a </w:t>
      </w:r>
      <w:r w:rsidR="00025586">
        <w:rPr>
          <w:rFonts w:ascii="Times New Roman" w:hAnsi="Times New Roman" w:cs="Times New Roman"/>
        </w:rPr>
        <w:t xml:space="preserve">Estação </w:t>
      </w:r>
      <w:r>
        <w:rPr>
          <w:rFonts w:ascii="Times New Roman" w:hAnsi="Times New Roman" w:cs="Times New Roman"/>
        </w:rPr>
        <w:t>de Suzano.</w:t>
      </w:r>
      <w:r>
        <w:rPr>
          <w:rFonts w:ascii="Times New Roman" w:hAnsi="Times New Roman" w:cs="Times New Roman"/>
          <w:b/>
        </w:rPr>
        <w:t xml:space="preserve"> </w:t>
      </w:r>
      <w:r>
        <w:rPr>
          <w:rFonts w:ascii="Times New Roman" w:hAnsi="Times New Roman" w:cs="Times New Roman"/>
        </w:rPr>
        <w:t>Para isso, já foram adquiridos, fabricados e entregues nove trens novos</w:t>
      </w:r>
      <w:r w:rsidR="00025586">
        <w:rPr>
          <w:rFonts w:ascii="Times New Roman" w:hAnsi="Times New Roman" w:cs="Times New Roman"/>
        </w:rPr>
        <w:t>,</w:t>
      </w:r>
      <w:r>
        <w:rPr>
          <w:rFonts w:ascii="Times New Roman" w:hAnsi="Times New Roman" w:cs="Times New Roman"/>
        </w:rPr>
        <w:t xml:space="preserve"> que serão incorporados à frota. </w:t>
      </w:r>
      <w:r w:rsidR="00025586">
        <w:rPr>
          <w:rFonts w:ascii="Times New Roman" w:hAnsi="Times New Roman" w:cs="Times New Roman"/>
        </w:rPr>
        <w:t xml:space="preserve">Estão </w:t>
      </w:r>
      <w:r>
        <w:rPr>
          <w:rFonts w:ascii="Times New Roman" w:hAnsi="Times New Roman" w:cs="Times New Roman"/>
        </w:rPr>
        <w:t xml:space="preserve">em andamento as obras de infraestrutura, que contemplam modernização dos sistemas de sinalização, telecomunicações, energia, rede aérea, via permanente, além da reconstrução das </w:t>
      </w:r>
      <w:r w:rsidR="00025586">
        <w:rPr>
          <w:rFonts w:ascii="Times New Roman" w:hAnsi="Times New Roman" w:cs="Times New Roman"/>
        </w:rPr>
        <w:t xml:space="preserve">Estações </w:t>
      </w:r>
      <w:r>
        <w:rPr>
          <w:rFonts w:ascii="Times New Roman" w:hAnsi="Times New Roman" w:cs="Times New Roman"/>
        </w:rPr>
        <w:t>Ferraz de Vasconcelos, Poá e Suzano.</w:t>
      </w:r>
    </w:p>
    <w:p w:rsidR="003E6588" w:rsidRDefault="003E6588">
      <w:pPr>
        <w:pStyle w:val="western"/>
        <w:spacing w:before="0" w:beforeAutospacing="0" w:after="0"/>
        <w:ind w:firstLine="1134"/>
        <w:jc w:val="both"/>
        <w:rPr>
          <w:rFonts w:ascii="Times New Roman" w:hAnsi="Times New Roman" w:cs="Times New Roman"/>
        </w:rPr>
      </w:pPr>
    </w:p>
    <w:p w:rsidR="003E6588" w:rsidRDefault="003E6588">
      <w:pPr>
        <w:pStyle w:val="western"/>
        <w:spacing w:before="0" w:beforeAutospacing="0" w:after="0"/>
        <w:ind w:firstLine="1134"/>
        <w:jc w:val="both"/>
        <w:rPr>
          <w:rFonts w:ascii="Times New Roman" w:hAnsi="Times New Roman" w:cs="Times New Roman"/>
        </w:rPr>
      </w:pPr>
    </w:p>
    <w:p w:rsidR="003E6588" w:rsidRDefault="003E6588">
      <w:pPr>
        <w:pStyle w:val="western"/>
        <w:spacing w:before="0" w:beforeAutospacing="0" w:after="0"/>
        <w:ind w:firstLine="1134"/>
        <w:jc w:val="both"/>
        <w:rPr>
          <w:rFonts w:ascii="Times New Roman" w:hAnsi="Times New Roman" w:cs="Times New Roman"/>
          <w:b/>
        </w:rPr>
      </w:pPr>
      <w:r>
        <w:rPr>
          <w:rFonts w:ascii="Times New Roman" w:hAnsi="Times New Roman" w:cs="Times New Roman"/>
          <w:b/>
        </w:rPr>
        <w:lastRenderedPageBreak/>
        <w:t>Outros Empreendimentos</w:t>
      </w:r>
    </w:p>
    <w:p w:rsidR="003E6588" w:rsidRDefault="003E6588">
      <w:pPr>
        <w:ind w:firstLine="1134"/>
        <w:jc w:val="both"/>
      </w:pPr>
    </w:p>
    <w:p w:rsidR="003E6588" w:rsidRDefault="003E6588">
      <w:pPr>
        <w:widowControl w:val="0"/>
        <w:suppressAutoHyphens/>
        <w:ind w:firstLine="1134"/>
        <w:jc w:val="both"/>
      </w:pPr>
      <w:r>
        <w:rPr>
          <w:b/>
        </w:rPr>
        <w:t>Expresso ABC -</w:t>
      </w:r>
      <w:r>
        <w:t xml:space="preserve"> Implantação de serviço expresso, paralelo </w:t>
      </w:r>
      <w:r w:rsidR="00025586">
        <w:t>à</w:t>
      </w:r>
      <w:r>
        <w:t xml:space="preserve"> Linha 10, com paradas nas </w:t>
      </w:r>
      <w:r w:rsidR="00025586">
        <w:t xml:space="preserve">Estações </w:t>
      </w:r>
      <w:r>
        <w:t>Mauá, Santo André, São Caetano, Tamanduateí, Brás e Luz.</w:t>
      </w:r>
    </w:p>
    <w:p w:rsidR="003E6588" w:rsidRDefault="003E6588">
      <w:pPr>
        <w:widowControl w:val="0"/>
        <w:suppressAutoHyphens/>
        <w:ind w:firstLine="1134"/>
        <w:jc w:val="both"/>
      </w:pPr>
    </w:p>
    <w:p w:rsidR="003E6588" w:rsidRDefault="003E6588">
      <w:pPr>
        <w:widowControl w:val="0"/>
        <w:suppressAutoHyphens/>
        <w:ind w:firstLine="1134"/>
        <w:jc w:val="both"/>
      </w:pPr>
      <w:r>
        <w:t>Foram desenvolvidos estudos e</w:t>
      </w:r>
      <w:r w:rsidR="00025586">
        <w:t>,</w:t>
      </w:r>
      <w:r>
        <w:t xml:space="preserve"> por solicitação do Conselho Gestor das PPP’s, foram revisados e encaminhados os estudos de viabilidade econômico-financeira. O prosseguimento desse empreendimento vincula-se </w:t>
      </w:r>
      <w:r w:rsidR="00025586">
        <w:t>à</w:t>
      </w:r>
      <w:r>
        <w:t xml:space="preserve"> análise da Manifestação de Interesse Privado - MIP para estudos de ligações por trens regionais, operados pela iniciativa privada, para compor uma PPP.</w:t>
      </w:r>
    </w:p>
    <w:p w:rsidR="003E6588" w:rsidRDefault="003E6588">
      <w:pPr>
        <w:tabs>
          <w:tab w:val="left" w:pos="720"/>
        </w:tabs>
        <w:ind w:firstLine="1134"/>
        <w:jc w:val="both"/>
      </w:pPr>
    </w:p>
    <w:p w:rsidR="003E6588" w:rsidRDefault="003E6588">
      <w:pPr>
        <w:widowControl w:val="0"/>
        <w:suppressAutoHyphens/>
        <w:ind w:firstLine="1134"/>
        <w:jc w:val="both"/>
      </w:pPr>
      <w:r>
        <w:rPr>
          <w:b/>
        </w:rPr>
        <w:t>Modernização do trecho Itapevi - Amador Bueno -</w:t>
      </w:r>
      <w:r>
        <w:t xml:space="preserve"> Concluída a entrega do trecho que compreende 6,3 km de extensão e inclui a reconstrução das Estações Amador Bueno e Santa Rita e a reforma da via férrea.</w:t>
      </w:r>
    </w:p>
    <w:p w:rsidR="003E6588" w:rsidRDefault="003E6588">
      <w:pPr>
        <w:widowControl w:val="0"/>
        <w:suppressAutoHyphens/>
        <w:ind w:firstLine="1134"/>
        <w:jc w:val="both"/>
      </w:pPr>
    </w:p>
    <w:p w:rsidR="003E6588" w:rsidRDefault="003E6588">
      <w:pPr>
        <w:widowControl w:val="0"/>
        <w:suppressAutoHyphens/>
        <w:ind w:firstLine="1134"/>
        <w:jc w:val="both"/>
      </w:pPr>
      <w:r>
        <w:rPr>
          <w:b/>
        </w:rPr>
        <w:t xml:space="preserve">Expresso Jundiaí - </w:t>
      </w:r>
      <w:r>
        <w:t xml:space="preserve">Atenderá a necessidade de deslocamento entre Jundiaí, importante polo regional, e a </w:t>
      </w:r>
      <w:r w:rsidR="00025586">
        <w:t xml:space="preserve">Capital </w:t>
      </w:r>
      <w:r>
        <w:t>paulista, com</w:t>
      </w:r>
      <w:r w:rsidR="00025586">
        <w:t>o</w:t>
      </w:r>
      <w:r>
        <w:t xml:space="preserve"> meio de transporte rápido, econômico e não poluente. Serão cerca de 47 km de extensão e o tempo de percurso estimado é de 25 minutos. O prosseguimento desse empreendimento vincula-se </w:t>
      </w:r>
      <w:r w:rsidR="00025586">
        <w:t>à</w:t>
      </w:r>
      <w:r>
        <w:t xml:space="preserve"> análise da Manifestação de Interesse Privado - MIP para estudos de ligações por trens regionais.</w:t>
      </w:r>
    </w:p>
    <w:p w:rsidR="003E6588" w:rsidRDefault="003E6588">
      <w:pPr>
        <w:widowControl w:val="0"/>
        <w:suppressAutoHyphens/>
        <w:ind w:firstLine="1134"/>
        <w:jc w:val="both"/>
      </w:pPr>
    </w:p>
    <w:p w:rsidR="003E6588" w:rsidRDefault="003E6588">
      <w:pPr>
        <w:widowControl w:val="0"/>
        <w:suppressAutoHyphens/>
        <w:ind w:firstLine="1134"/>
        <w:jc w:val="both"/>
      </w:pPr>
      <w:r>
        <w:rPr>
          <w:b/>
        </w:rPr>
        <w:t xml:space="preserve">Outras Ligações Regionais - </w:t>
      </w:r>
      <w:r>
        <w:t>Estão sendo desenvolvidos estudos para implantação de ligações ferroviárias entre São Paulo e as cidades de</w:t>
      </w:r>
      <w:r>
        <w:rPr>
          <w:b/>
        </w:rPr>
        <w:t xml:space="preserve"> </w:t>
      </w:r>
      <w:r>
        <w:t>Sorocaba, Santos, Campinas e São José dos Campos. Os projetos funcionais para as ligações ferroviárias com as cidades de Sorocaba e de Santos estão concluídos, mas o prosseguimento desses empreendimentos vincula-se a análise da MIP para estudos de ligações por trens regionais.</w:t>
      </w:r>
    </w:p>
    <w:p w:rsidR="003E6588" w:rsidRDefault="003E6588">
      <w:pPr>
        <w:widowControl w:val="0"/>
        <w:suppressAutoHyphens/>
        <w:ind w:firstLine="1134"/>
        <w:jc w:val="both"/>
        <w:rPr>
          <w:b/>
        </w:rPr>
      </w:pPr>
    </w:p>
    <w:p w:rsidR="003E6588" w:rsidRDefault="003E6588">
      <w:pPr>
        <w:ind w:firstLine="1134"/>
        <w:jc w:val="both"/>
      </w:pPr>
      <w:r>
        <w:rPr>
          <w:b/>
        </w:rPr>
        <w:t>Expresso Turístico -</w:t>
      </w:r>
      <w:r>
        <w:t xml:space="preserve"> O transporte ferroviário de turismo regional contempla os destinos a Jundiaí, Mogi das Cruzes e Paranapiacaba, todos saindo da Estação da Luz aos sábados, domingos e feriados. Desde o início de operação</w:t>
      </w:r>
      <w:r w:rsidR="00025586">
        <w:t>,</w:t>
      </w:r>
      <w:r>
        <w:t xml:space="preserve"> o serviço transportou 83 mil turistas em 541 viagens. </w:t>
      </w:r>
      <w:r w:rsidR="00025586">
        <w:t>A</w:t>
      </w:r>
      <w:r>
        <w:t xml:space="preserve"> partir do início dos serviços, a ocupação média geral por viagem apresenta-se com índice de 88%.</w:t>
      </w:r>
    </w:p>
    <w:p w:rsidR="003E6588" w:rsidRDefault="003E6588">
      <w:pPr>
        <w:tabs>
          <w:tab w:val="left" w:pos="720"/>
        </w:tabs>
        <w:ind w:firstLine="1134"/>
        <w:jc w:val="both"/>
        <w:rPr>
          <w:b/>
        </w:rPr>
      </w:pPr>
    </w:p>
    <w:p w:rsidR="003E6588" w:rsidRDefault="003E6588">
      <w:pPr>
        <w:tabs>
          <w:tab w:val="left" w:pos="720"/>
        </w:tabs>
        <w:ind w:firstLine="1134"/>
        <w:jc w:val="both"/>
        <w:rPr>
          <w:b/>
        </w:rPr>
      </w:pPr>
    </w:p>
    <w:p w:rsidR="003E6588" w:rsidRDefault="003E6588">
      <w:pPr>
        <w:tabs>
          <w:tab w:val="left" w:pos="720"/>
        </w:tabs>
        <w:rPr>
          <w:b/>
        </w:rPr>
      </w:pPr>
      <w:r>
        <w:rPr>
          <w:b/>
        </w:rPr>
        <w:t>EMPRESA METROPOLITANA DE TRANSPORTES URBANOS - EMTU</w:t>
      </w:r>
    </w:p>
    <w:p w:rsidR="003E6588" w:rsidRDefault="003E6588">
      <w:pPr>
        <w:tabs>
          <w:tab w:val="left" w:pos="720"/>
        </w:tabs>
        <w:ind w:firstLine="1134"/>
        <w:jc w:val="both"/>
        <w:rPr>
          <w:b/>
          <w:u w:val="single"/>
        </w:rPr>
      </w:pPr>
    </w:p>
    <w:p w:rsidR="003E6588" w:rsidRDefault="003E6588">
      <w:pPr>
        <w:tabs>
          <w:tab w:val="left" w:pos="720"/>
        </w:tabs>
        <w:ind w:firstLine="1134"/>
        <w:jc w:val="both"/>
        <w:rPr>
          <w:b/>
          <w:u w:val="single"/>
        </w:rPr>
      </w:pPr>
    </w:p>
    <w:p w:rsidR="003E6588" w:rsidRDefault="003E6588">
      <w:pPr>
        <w:tabs>
          <w:tab w:val="left" w:pos="720"/>
        </w:tabs>
        <w:ind w:firstLine="1134"/>
        <w:jc w:val="both"/>
      </w:pPr>
      <w:r>
        <w:t xml:space="preserve">A área de atuação é formada pelas quatro </w:t>
      </w:r>
      <w:r w:rsidR="00025586">
        <w:t xml:space="preserve">Regiões Metropolitanas </w:t>
      </w:r>
      <w:r>
        <w:t xml:space="preserve">existentes no Estado: Região Metropolitana de São Paulo </w:t>
      </w:r>
      <w:r w:rsidR="00DA12B4">
        <w:t xml:space="preserve">- </w:t>
      </w:r>
      <w:r>
        <w:t xml:space="preserve">RMSP, Região Metropolitana da Baixada Santista </w:t>
      </w:r>
      <w:r w:rsidR="00DA12B4">
        <w:t xml:space="preserve">- </w:t>
      </w:r>
      <w:r>
        <w:t xml:space="preserve">RMBS, Região Metropolitana de Campinas </w:t>
      </w:r>
      <w:r w:rsidR="00DA12B4">
        <w:t xml:space="preserve">- </w:t>
      </w:r>
      <w:r>
        <w:t xml:space="preserve">RMC e Vale do Paraíba e Litoral Norte </w:t>
      </w:r>
      <w:r w:rsidR="00DA12B4">
        <w:t xml:space="preserve">- </w:t>
      </w:r>
      <w:r>
        <w:t xml:space="preserve">RMVP. Essas quatro </w:t>
      </w:r>
      <w:r w:rsidR="00025586">
        <w:t xml:space="preserve">Regiões Metropolitanas </w:t>
      </w:r>
      <w:r>
        <w:t>somam 106 municípios.</w:t>
      </w:r>
    </w:p>
    <w:p w:rsidR="003E6588" w:rsidRDefault="003E6588">
      <w:pPr>
        <w:tabs>
          <w:tab w:val="left" w:pos="720"/>
        </w:tabs>
        <w:ind w:firstLine="1134"/>
        <w:jc w:val="both"/>
      </w:pPr>
    </w:p>
    <w:p w:rsidR="003E6588" w:rsidRDefault="00025586">
      <w:pPr>
        <w:ind w:firstLine="1134"/>
        <w:jc w:val="both"/>
      </w:pPr>
      <w:r>
        <w:t xml:space="preserve">Foi </w:t>
      </w:r>
      <w:r w:rsidR="003E6588">
        <w:t>criada a Região Metropolitana de Sorocaba (Lei Complementar nº 1.241/2014)</w:t>
      </w:r>
      <w:r>
        <w:t>,</w:t>
      </w:r>
      <w:r w:rsidR="003E6588">
        <w:t xml:space="preserve"> composta por 26 municípios, sendo 11 deles localizados no eixo das Rodovias Castelo Branco e Raposo Tavares. A EMTU aguarda a transferência das linhas de ônibus pela ARTESP.</w:t>
      </w:r>
    </w:p>
    <w:p w:rsidR="003E6588" w:rsidRDefault="003E6588">
      <w:pPr>
        <w:pStyle w:val="Default"/>
        <w:ind w:firstLine="1134"/>
        <w:jc w:val="both"/>
        <w:rPr>
          <w:rFonts w:ascii="Times New Roman" w:hAnsi="Times New Roman"/>
          <w:lang w:eastAsia="en-US"/>
        </w:rPr>
      </w:pPr>
      <w:r>
        <w:rPr>
          <w:rFonts w:ascii="Times New Roman" w:hAnsi="Times New Roman"/>
          <w:b/>
        </w:rPr>
        <w:lastRenderedPageBreak/>
        <w:t xml:space="preserve">Corredor Metropolitano ABD - </w:t>
      </w:r>
      <w:r>
        <w:rPr>
          <w:rFonts w:ascii="Times New Roman" w:hAnsi="Times New Roman"/>
          <w:lang w:eastAsia="en-US"/>
        </w:rPr>
        <w:t>Concluídas as obras de acessibilidade para pessoas com deficiência nos Terminais Metropolitanos Piraporinha e São Mateus.</w:t>
      </w:r>
    </w:p>
    <w:p w:rsidR="003E6588" w:rsidRDefault="003E6588">
      <w:pPr>
        <w:pStyle w:val="Default"/>
        <w:ind w:firstLine="1134"/>
        <w:jc w:val="both"/>
        <w:rPr>
          <w:rFonts w:ascii="Times New Roman" w:hAnsi="Times New Roman"/>
          <w:b/>
        </w:rPr>
      </w:pPr>
    </w:p>
    <w:p w:rsidR="003E6588" w:rsidRDefault="003E6588">
      <w:pPr>
        <w:tabs>
          <w:tab w:val="left" w:pos="720"/>
        </w:tabs>
        <w:ind w:firstLine="1134"/>
        <w:jc w:val="both"/>
      </w:pPr>
      <w:r>
        <w:rPr>
          <w:b/>
        </w:rPr>
        <w:t xml:space="preserve">Corredor Metropolitano Guarulhos - São Paulo (Tucuruvi) - </w:t>
      </w:r>
      <w:r>
        <w:t>Entregue o Terminal Vila Galvão</w:t>
      </w:r>
      <w:r w:rsidR="00025586">
        <w:t>,</w:t>
      </w:r>
      <w:r>
        <w:t xml:space="preserve"> correspondente ao trecho Terminal Cecap - Vila Galvão</w:t>
      </w:r>
      <w:r w:rsidR="00025586">
        <w:t>,</w:t>
      </w:r>
      <w:r>
        <w:t xml:space="preserve"> e em execução as obras ao longo desse trecho de 9,5</w:t>
      </w:r>
      <w:r w:rsidR="00DA12B4">
        <w:t xml:space="preserve"> </w:t>
      </w:r>
      <w:r>
        <w:t>km.</w:t>
      </w:r>
    </w:p>
    <w:p w:rsidR="003E6588" w:rsidRDefault="003E6588">
      <w:pPr>
        <w:tabs>
          <w:tab w:val="left" w:pos="720"/>
        </w:tabs>
        <w:ind w:firstLine="1134"/>
        <w:jc w:val="both"/>
      </w:pPr>
    </w:p>
    <w:p w:rsidR="003E6588" w:rsidRDefault="003E6588">
      <w:pPr>
        <w:tabs>
          <w:tab w:val="left" w:pos="720"/>
          <w:tab w:val="left" w:pos="1134"/>
        </w:tabs>
        <w:ind w:firstLine="1134"/>
        <w:jc w:val="both"/>
      </w:pPr>
      <w:r>
        <w:rPr>
          <w:b/>
        </w:rPr>
        <w:t xml:space="preserve">Sistema Integrado da Região Metropolitana da Baixada Santista </w:t>
      </w:r>
      <w:r w:rsidR="00DA12B4">
        <w:rPr>
          <w:b/>
        </w:rPr>
        <w:t xml:space="preserve">- </w:t>
      </w:r>
      <w:r>
        <w:rPr>
          <w:b/>
        </w:rPr>
        <w:t xml:space="preserve">SIM - </w:t>
      </w:r>
      <w:r>
        <w:t xml:space="preserve">Rede de transporte coletivo estruturada por linha operada com a tecnologia Veículo Leve sobre Trilhos </w:t>
      </w:r>
      <w:r w:rsidR="00DA12B4">
        <w:t xml:space="preserve">- </w:t>
      </w:r>
      <w:r>
        <w:t>VLT integrada às linhas de ônibus municipais e intermunicipais.</w:t>
      </w:r>
    </w:p>
    <w:p w:rsidR="003E6588" w:rsidRDefault="003E6588">
      <w:pPr>
        <w:tabs>
          <w:tab w:val="left" w:pos="720"/>
        </w:tabs>
        <w:ind w:firstLine="1134"/>
        <w:jc w:val="both"/>
      </w:pPr>
    </w:p>
    <w:p w:rsidR="003E6588" w:rsidRDefault="003E6588">
      <w:pPr>
        <w:tabs>
          <w:tab w:val="left" w:pos="720"/>
        </w:tabs>
        <w:ind w:firstLine="1134"/>
        <w:jc w:val="both"/>
      </w:pPr>
      <w:r>
        <w:t xml:space="preserve">Em andamento a execução das obras civis para implantação do Lote 1 do VLT (entre Barreiros, em São Vicente e Conselheiro Nébias, em Santos), com 9,5 </w:t>
      </w:r>
      <w:r w:rsidR="00DA12B4">
        <w:t>km</w:t>
      </w:r>
      <w:r>
        <w:t>, 1 Terminal (Barreiros) e 13 estações de embarque do trecho prioritário da rede de VLT. Começaram, também, as obras do trecho complementar</w:t>
      </w:r>
      <w:r w:rsidR="00025586">
        <w:t>,</w:t>
      </w:r>
      <w:r>
        <w:t xml:space="preserve"> com 1,5 km que inclui a construção de edificações, oficinas e instalação de equipamentos no pátio de estacionamento e manobras Porto.</w:t>
      </w:r>
    </w:p>
    <w:p w:rsidR="003E6588" w:rsidRDefault="003E6588">
      <w:pPr>
        <w:ind w:firstLine="1134"/>
        <w:jc w:val="both"/>
      </w:pPr>
    </w:p>
    <w:p w:rsidR="003E6588" w:rsidRDefault="003E6588">
      <w:pPr>
        <w:ind w:firstLine="1134"/>
        <w:jc w:val="both"/>
      </w:pPr>
      <w:r>
        <w:t>Definido com a Prefeitura de Santos o traçado do Lote 2 (entre Conselheiro Nébias e Valongo)</w:t>
      </w:r>
      <w:r w:rsidR="00025586">
        <w:t>,</w:t>
      </w:r>
      <w:r>
        <w:t xml:space="preserve"> com 8 km. Para o Lote 3 (entre Barreiros e Samaritá), com 7,4 km, está em elaboração o projeto básico do trecho.</w:t>
      </w:r>
    </w:p>
    <w:p w:rsidR="003E6588" w:rsidRDefault="003E6588">
      <w:pPr>
        <w:ind w:firstLine="1134"/>
        <w:jc w:val="both"/>
      </w:pPr>
    </w:p>
    <w:p w:rsidR="003E6588" w:rsidRDefault="003E6588">
      <w:pPr>
        <w:ind w:firstLine="1134"/>
        <w:jc w:val="both"/>
      </w:pPr>
      <w:r>
        <w:t>A primeira composição - VLT chegou ao Brasil e permaneceu em operação por meio de visita controlada entre as Estações Mascarenhas de Moraes e José Monteiro, em São Vicente. Mais dois veículos chegarão da Espanha e os demais, de uma frota de 22, serão fabricados em Três Rios, no Rio de Janeiro.</w:t>
      </w:r>
    </w:p>
    <w:p w:rsidR="003E6588" w:rsidRDefault="003E6588">
      <w:pPr>
        <w:ind w:firstLine="1134"/>
        <w:jc w:val="both"/>
      </w:pPr>
    </w:p>
    <w:p w:rsidR="003E6588" w:rsidRDefault="003E6588">
      <w:pPr>
        <w:tabs>
          <w:tab w:val="left" w:pos="1134"/>
        </w:tabs>
        <w:ind w:firstLine="1134"/>
        <w:jc w:val="both"/>
      </w:pPr>
      <w:r>
        <w:t xml:space="preserve">Foi concluída com êxito a Licitação Internacional para a Concessão Patrocinada do Sistema Integrado Metropolitano da Região Metropolitana da Baixada Santista </w:t>
      </w:r>
      <w:r w:rsidR="00DA12B4">
        <w:t xml:space="preserve">- </w:t>
      </w:r>
      <w:r>
        <w:t>SIM RMBS, tendo o resultado sido homologado. Na PPP, o Governo do Estado investirá em obras civis, sistemas e na aquisição de 22 composições - VLT. O parceiro privado, por meio de contraprestação, investirá na aquisição de 11 composições - VLT e será responsável pela operação plena do SIM (ônibus do sistema Regular + VLT).</w:t>
      </w:r>
    </w:p>
    <w:p w:rsidR="003E6588" w:rsidRDefault="003E6588">
      <w:pPr>
        <w:tabs>
          <w:tab w:val="left" w:pos="720"/>
        </w:tabs>
        <w:ind w:firstLine="1134"/>
        <w:jc w:val="both"/>
      </w:pPr>
    </w:p>
    <w:p w:rsidR="003E6588" w:rsidRDefault="003E6588">
      <w:pPr>
        <w:tabs>
          <w:tab w:val="left" w:pos="720"/>
        </w:tabs>
        <w:ind w:firstLine="1134"/>
        <w:jc w:val="both"/>
        <w:rPr>
          <w:b/>
        </w:rPr>
      </w:pPr>
      <w:r>
        <w:rPr>
          <w:b/>
        </w:rPr>
        <w:t xml:space="preserve">Corredor Metropolitano Noroeste - RMC - </w:t>
      </w:r>
      <w:r w:rsidR="00025586">
        <w:t xml:space="preserve">Começaram </w:t>
      </w:r>
      <w:r>
        <w:t>as obras do trecho que abrange os Municípios de Nova Odessa, Americana e Santa Bárbara d’Oeste, com 24,35 km e 40 estações de Embarque e Desembarque, 3 Estações de Transferência (uma em cada município)</w:t>
      </w:r>
      <w:r w:rsidR="00025586">
        <w:t>,</w:t>
      </w:r>
      <w:r>
        <w:t xml:space="preserve"> 2 Terminais (Americana, Santa Bárbara D’Oeste) e reforma do Terminal em Nova Odessa, complexo viário e viaduto de transposição em Santa Bárbara.</w:t>
      </w:r>
    </w:p>
    <w:p w:rsidR="003E6588" w:rsidRDefault="003E6588">
      <w:pPr>
        <w:tabs>
          <w:tab w:val="left" w:pos="720"/>
        </w:tabs>
        <w:ind w:firstLine="1134"/>
        <w:jc w:val="both"/>
      </w:pPr>
    </w:p>
    <w:p w:rsidR="003E6588" w:rsidRDefault="003E6588">
      <w:pPr>
        <w:ind w:firstLine="1134"/>
        <w:jc w:val="both"/>
      </w:pPr>
      <w:r>
        <w:t>As obras do trecho Sumaré-Campinas</w:t>
      </w:r>
      <w:r w:rsidR="00025586">
        <w:t>,</w:t>
      </w:r>
      <w:r>
        <w:t xml:space="preserve"> com 3,7 km</w:t>
      </w:r>
      <w:r w:rsidR="00025586">
        <w:t>,</w:t>
      </w:r>
      <w:r>
        <w:t xml:space="preserve"> começaram com a extensão do corredor em Hortolândia, três Estações de Transferência (uma em Sumaré e duas em Hortolândia), Terminal de Integração (Hortolândia) e Parada II em Campinas. No trecho Variante Sumaré </w:t>
      </w:r>
      <w:r w:rsidR="00DA12B4">
        <w:t>-</w:t>
      </w:r>
      <w:r>
        <w:t xml:space="preserve"> Hortolândia</w:t>
      </w:r>
      <w:r w:rsidR="00025586">
        <w:t>,</w:t>
      </w:r>
      <w:r>
        <w:t xml:space="preserve"> com 7,4 </w:t>
      </w:r>
      <w:r>
        <w:lastRenderedPageBreak/>
        <w:t>km</w:t>
      </w:r>
      <w:r w:rsidR="00025586">
        <w:t>,</w:t>
      </w:r>
      <w:r>
        <w:t xml:space="preserve"> foram concluídos os estudos do projeto básico, que incluem a ligação Sumaré e Hortolândia, construção de sete pontes e viaduto.</w:t>
      </w:r>
    </w:p>
    <w:p w:rsidR="00025586" w:rsidRDefault="00025586">
      <w:pPr>
        <w:ind w:firstLine="1134"/>
        <w:jc w:val="both"/>
      </w:pPr>
    </w:p>
    <w:p w:rsidR="003E6588" w:rsidRDefault="003E6588">
      <w:pPr>
        <w:tabs>
          <w:tab w:val="left" w:pos="720"/>
        </w:tabs>
        <w:ind w:firstLine="1134"/>
        <w:jc w:val="both"/>
      </w:pPr>
      <w:r>
        <w:rPr>
          <w:b/>
        </w:rPr>
        <w:t xml:space="preserve">Corredor Metropolitano Itapevi - São Paulo (Butantã) - </w:t>
      </w:r>
      <w:r>
        <w:t xml:space="preserve">Interligará a Estação de Itapevi (CPTM) ao Terminal Vila </w:t>
      </w:r>
      <w:r w:rsidRPr="00025586">
        <w:t>Yara (23,7 km). Começaram</w:t>
      </w:r>
      <w:r>
        <w:t xml:space="preserve"> as obras dos Trechos Terminal Jandira - Terminal Carapicuíba</w:t>
      </w:r>
      <w:r w:rsidR="00025586">
        <w:t>,</w:t>
      </w:r>
      <w:r>
        <w:t xml:space="preserve"> com 8,8 </w:t>
      </w:r>
      <w:r w:rsidR="00025586">
        <w:t xml:space="preserve">km, </w:t>
      </w:r>
      <w:r>
        <w:t>e do Trecho Terminal Carapicuíba - Osasco km 21</w:t>
      </w:r>
      <w:r w:rsidR="00025586">
        <w:t>,</w:t>
      </w:r>
      <w:r>
        <w:t xml:space="preserve"> de 2,2 km, que inclui a construção de dois terminais, doze estações de embarque, um viaduto e alças de acesso.</w:t>
      </w:r>
    </w:p>
    <w:p w:rsidR="003E6588" w:rsidRDefault="003E6588">
      <w:pPr>
        <w:ind w:firstLine="1134"/>
        <w:jc w:val="both"/>
      </w:pPr>
    </w:p>
    <w:p w:rsidR="003E6588" w:rsidRDefault="003E6588">
      <w:pPr>
        <w:ind w:firstLine="1134"/>
        <w:jc w:val="both"/>
      </w:pPr>
      <w:r>
        <w:t>Continuam em execução as obras e serviços para implantação do primeiro trecho do Corredor Itapevi - São Paulo, com 5 km de extensão, compreendidos entre o futuro Terminal Metropolitano Itapevi até a Estação Jandira da CPTM.</w:t>
      </w:r>
    </w:p>
    <w:p w:rsidR="003E6588" w:rsidRDefault="003E6588">
      <w:pPr>
        <w:tabs>
          <w:tab w:val="left" w:pos="720"/>
        </w:tabs>
        <w:ind w:firstLine="1134"/>
        <w:jc w:val="both"/>
        <w:rPr>
          <w:b/>
        </w:rPr>
      </w:pPr>
    </w:p>
    <w:p w:rsidR="003E6588" w:rsidRDefault="003E6588">
      <w:pPr>
        <w:tabs>
          <w:tab w:val="left" w:pos="720"/>
        </w:tabs>
        <w:ind w:firstLine="1134"/>
        <w:jc w:val="both"/>
      </w:pPr>
      <w:r>
        <w:rPr>
          <w:b/>
        </w:rPr>
        <w:t xml:space="preserve">Programa de Corredores Metropolitanos </w:t>
      </w:r>
      <w:r w:rsidR="00025586">
        <w:rPr>
          <w:b/>
        </w:rPr>
        <w:t>-</w:t>
      </w:r>
      <w:r>
        <w:rPr>
          <w:b/>
        </w:rPr>
        <w:t xml:space="preserve"> PCM - </w:t>
      </w:r>
      <w:r>
        <w:t xml:space="preserve">Corredores Metropolitanos com tecnologia </w:t>
      </w:r>
      <w:r>
        <w:rPr>
          <w:i/>
        </w:rPr>
        <w:t>Bus Rapid Transit</w:t>
      </w:r>
      <w:r>
        <w:t xml:space="preserve"> </w:t>
      </w:r>
      <w:r>
        <w:rPr>
          <w:i/>
        </w:rPr>
        <w:t>- BRT</w:t>
      </w:r>
      <w:r>
        <w:t xml:space="preserve"> em execução de Projetos Funcionais, Básicos e Executivos</w:t>
      </w:r>
      <w:r w:rsidR="00025586">
        <w:t>,</w:t>
      </w:r>
      <w:r>
        <w:t xml:space="preserve"> em diversas fases de elaboração:</w:t>
      </w:r>
    </w:p>
    <w:p w:rsidR="003E6588" w:rsidRPr="00025586" w:rsidRDefault="003E6588">
      <w:pPr>
        <w:tabs>
          <w:tab w:val="left" w:pos="720"/>
        </w:tabs>
        <w:ind w:firstLine="1134"/>
        <w:jc w:val="both"/>
      </w:pPr>
    </w:p>
    <w:p w:rsidR="003E6588" w:rsidRDefault="003E6588">
      <w:pPr>
        <w:tabs>
          <w:tab w:val="left" w:pos="720"/>
        </w:tabs>
        <w:ind w:firstLine="1134"/>
        <w:jc w:val="both"/>
      </w:pPr>
      <w:r>
        <w:t>- BRT Perimetral Leste (Jacu Pêssego);</w:t>
      </w:r>
    </w:p>
    <w:p w:rsidR="003E6588" w:rsidRDefault="003E6588">
      <w:pPr>
        <w:tabs>
          <w:tab w:val="left" w:pos="720"/>
        </w:tabs>
        <w:ind w:firstLine="1134"/>
        <w:jc w:val="both"/>
      </w:pPr>
    </w:p>
    <w:p w:rsidR="003E6588" w:rsidRDefault="003E6588">
      <w:pPr>
        <w:tabs>
          <w:tab w:val="left" w:pos="720"/>
        </w:tabs>
        <w:ind w:firstLine="1134"/>
        <w:jc w:val="both"/>
      </w:pPr>
      <w:r>
        <w:t>- BRT Arujá - Itaquaquecetuba;</w:t>
      </w:r>
    </w:p>
    <w:p w:rsidR="003E6588" w:rsidRDefault="003E6588">
      <w:pPr>
        <w:tabs>
          <w:tab w:val="left" w:pos="720"/>
        </w:tabs>
        <w:ind w:firstLine="1134"/>
        <w:jc w:val="both"/>
      </w:pPr>
    </w:p>
    <w:p w:rsidR="003E6588" w:rsidRDefault="003E6588">
      <w:pPr>
        <w:tabs>
          <w:tab w:val="left" w:pos="720"/>
        </w:tabs>
        <w:ind w:firstLine="1134"/>
        <w:jc w:val="both"/>
      </w:pPr>
      <w:r>
        <w:t>- BRT Itapevi - Cotia;</w:t>
      </w:r>
    </w:p>
    <w:p w:rsidR="003E6588" w:rsidRDefault="003E6588">
      <w:pPr>
        <w:tabs>
          <w:tab w:val="left" w:pos="720"/>
        </w:tabs>
        <w:ind w:firstLine="1134"/>
        <w:jc w:val="both"/>
        <w:rPr>
          <w:i/>
        </w:rPr>
      </w:pPr>
    </w:p>
    <w:p w:rsidR="003E6588" w:rsidRDefault="003E6588">
      <w:pPr>
        <w:tabs>
          <w:tab w:val="left" w:pos="720"/>
        </w:tabs>
        <w:ind w:firstLine="1134"/>
        <w:jc w:val="both"/>
      </w:pPr>
      <w:r>
        <w:t>- BRT Alphaville - Cajamar;</w:t>
      </w:r>
    </w:p>
    <w:p w:rsidR="003E6588" w:rsidRDefault="003E6588">
      <w:pPr>
        <w:tabs>
          <w:tab w:val="left" w:pos="720"/>
        </w:tabs>
        <w:ind w:firstLine="1134"/>
        <w:jc w:val="both"/>
      </w:pPr>
    </w:p>
    <w:p w:rsidR="003E6588" w:rsidRDefault="003E6588">
      <w:pPr>
        <w:tabs>
          <w:tab w:val="left" w:pos="720"/>
        </w:tabs>
        <w:ind w:firstLine="1134"/>
        <w:jc w:val="both"/>
      </w:pPr>
      <w:r>
        <w:t>- BRT Metropolitano Litoral Sul</w:t>
      </w:r>
      <w:r>
        <w:rPr>
          <w:b/>
        </w:rPr>
        <w:t xml:space="preserve"> </w:t>
      </w:r>
      <w:r w:rsidR="00025586">
        <w:rPr>
          <w:b/>
        </w:rPr>
        <w:t>-</w:t>
      </w:r>
      <w:r w:rsidRPr="00025586">
        <w:rPr>
          <w:b/>
        </w:rPr>
        <w:t xml:space="preserve"> </w:t>
      </w:r>
      <w:r>
        <w:t>Ligação Praia Grande (Vila Caiçara) a São Vicente;</w:t>
      </w:r>
    </w:p>
    <w:p w:rsidR="003E6588" w:rsidRDefault="003E6588">
      <w:pPr>
        <w:tabs>
          <w:tab w:val="left" w:pos="720"/>
        </w:tabs>
        <w:ind w:firstLine="1134"/>
        <w:jc w:val="both"/>
      </w:pPr>
    </w:p>
    <w:p w:rsidR="003E6588" w:rsidRDefault="003E6588">
      <w:pPr>
        <w:ind w:firstLine="1134"/>
        <w:jc w:val="both"/>
      </w:pPr>
      <w:r>
        <w:t>- BRT Jacarei - São José dos Campos (22 km);</w:t>
      </w:r>
    </w:p>
    <w:p w:rsidR="003E6588" w:rsidRDefault="003E6588">
      <w:pPr>
        <w:ind w:firstLine="1134"/>
        <w:jc w:val="both"/>
      </w:pPr>
    </w:p>
    <w:p w:rsidR="003E6588" w:rsidRDefault="003E6588">
      <w:pPr>
        <w:tabs>
          <w:tab w:val="left" w:pos="720"/>
        </w:tabs>
        <w:ind w:firstLine="1134"/>
        <w:jc w:val="both"/>
      </w:pPr>
      <w:r>
        <w:t>- Corredor Metropolitano São José dos Campos - Pindamonhangaba (63 km).</w:t>
      </w:r>
    </w:p>
    <w:p w:rsidR="003E6588" w:rsidRPr="00DA12B4" w:rsidRDefault="003E6588">
      <w:pPr>
        <w:tabs>
          <w:tab w:val="left" w:pos="720"/>
        </w:tabs>
        <w:ind w:firstLine="1134"/>
        <w:jc w:val="both"/>
      </w:pPr>
    </w:p>
    <w:p w:rsidR="003E6588" w:rsidRDefault="003E6588">
      <w:pPr>
        <w:tabs>
          <w:tab w:val="left" w:pos="720"/>
        </w:tabs>
        <w:ind w:firstLine="1134"/>
        <w:jc w:val="both"/>
        <w:rPr>
          <w:b/>
          <w:color w:val="000000"/>
        </w:rPr>
      </w:pPr>
      <w:r>
        <w:rPr>
          <w:b/>
          <w:color w:val="000000"/>
        </w:rPr>
        <w:t>Planos, Programas e Serviços Especiais da EMTU</w:t>
      </w:r>
    </w:p>
    <w:p w:rsidR="003E6588" w:rsidRPr="00DA12B4" w:rsidRDefault="003E6588">
      <w:pPr>
        <w:tabs>
          <w:tab w:val="left" w:pos="720"/>
        </w:tabs>
        <w:ind w:firstLine="1134"/>
        <w:jc w:val="both"/>
        <w:rPr>
          <w:b/>
          <w:i/>
        </w:rPr>
      </w:pPr>
    </w:p>
    <w:p w:rsidR="003E6588" w:rsidRDefault="003E6588">
      <w:pPr>
        <w:tabs>
          <w:tab w:val="left" w:pos="720"/>
        </w:tabs>
        <w:ind w:firstLine="1134"/>
        <w:jc w:val="both"/>
        <w:rPr>
          <w:i/>
        </w:rPr>
      </w:pPr>
      <w:r>
        <w:rPr>
          <w:b/>
        </w:rPr>
        <w:t xml:space="preserve">Serviço Especial Conveniado </w:t>
      </w:r>
      <w:r w:rsidR="00025586">
        <w:rPr>
          <w:b/>
        </w:rPr>
        <w:t xml:space="preserve">- </w:t>
      </w:r>
      <w:r>
        <w:rPr>
          <w:b/>
        </w:rPr>
        <w:t>SEC - Ligado -</w:t>
      </w:r>
      <w:r>
        <w:t xml:space="preserve"> Transporte diferenciado (“porta a porta”) gratuito para pessoas com deficiência física ou mobilidade reduzida severa. A frota atual é composta de 342 veículos, sendo: 101 Operadores na RMC e 241 Operadores na RMSP.</w:t>
      </w:r>
    </w:p>
    <w:p w:rsidR="003E6588" w:rsidRDefault="003E6588">
      <w:pPr>
        <w:tabs>
          <w:tab w:val="left" w:pos="720"/>
        </w:tabs>
        <w:ind w:firstLine="1134"/>
        <w:jc w:val="both"/>
        <w:rPr>
          <w:b/>
        </w:rPr>
      </w:pPr>
    </w:p>
    <w:p w:rsidR="003E6588" w:rsidRDefault="003E6588">
      <w:pPr>
        <w:ind w:firstLine="1134"/>
        <w:jc w:val="both"/>
      </w:pPr>
      <w:r>
        <w:rPr>
          <w:b/>
        </w:rPr>
        <w:t>BOM nos Trilhos -</w:t>
      </w:r>
      <w:r>
        <w:t xml:space="preserve"> </w:t>
      </w:r>
      <w:r w:rsidR="00025586">
        <w:t xml:space="preserve">Os </w:t>
      </w:r>
      <w:r>
        <w:t>usuários passaram a contar com redução no pagamento da tarifa de R$ 1,35 por viagem, na integração entre as linhas intermunicipais entre as 39 cidades da RMSP com todas as linhas do Metrô e da CPTM, por meio do cartão BOM, nas modalidades Vale Transporte, Comum e Empresarial.</w:t>
      </w:r>
    </w:p>
    <w:p w:rsidR="003E6588" w:rsidRDefault="003E6588">
      <w:pPr>
        <w:ind w:firstLine="1134"/>
        <w:jc w:val="both"/>
      </w:pPr>
    </w:p>
    <w:p w:rsidR="003E6588" w:rsidRDefault="003E6588">
      <w:pPr>
        <w:tabs>
          <w:tab w:val="left" w:pos="720"/>
        </w:tabs>
        <w:ind w:firstLine="1134"/>
        <w:jc w:val="both"/>
      </w:pPr>
      <w:r>
        <w:rPr>
          <w:b/>
        </w:rPr>
        <w:lastRenderedPageBreak/>
        <w:t xml:space="preserve">Renovação da Frota - </w:t>
      </w:r>
      <w:r>
        <w:t xml:space="preserve">Foram entregues 516 </w:t>
      </w:r>
      <w:r w:rsidRPr="00AF161A">
        <w:t>ônibus novos</w:t>
      </w:r>
      <w:r>
        <w:t xml:space="preserve"> para operação nas </w:t>
      </w:r>
      <w:r w:rsidR="00AF161A">
        <w:t xml:space="preserve">Regiões Metropolitanas </w:t>
      </w:r>
      <w:r>
        <w:t>do Estado (288 na RMSP, 50 na RMC, 72 na RMBS e 106 na RMVPLN), beneficiando 2,4 milhões de passageiros por dia.</w:t>
      </w:r>
    </w:p>
    <w:p w:rsidR="003E6588" w:rsidRDefault="003E6588">
      <w:pPr>
        <w:ind w:firstLine="1134"/>
        <w:jc w:val="both"/>
        <w:rPr>
          <w:b/>
        </w:rPr>
      </w:pPr>
    </w:p>
    <w:p w:rsidR="003E6588" w:rsidRDefault="003E6588">
      <w:pPr>
        <w:ind w:firstLine="1134"/>
        <w:jc w:val="both"/>
      </w:pPr>
      <w:r>
        <w:rPr>
          <w:b/>
        </w:rPr>
        <w:t>Serviço Corujão -</w:t>
      </w:r>
      <w:r>
        <w:t xml:space="preserve"> Criado para garantir atendimento aos usuários, cinco linhas intermunicipais operam durante 24 horas nos finais de semana, a partir das sextas-feiras, na Zona Oeste da Capital, onde se concentram bares</w:t>
      </w:r>
      <w:r w:rsidR="00AF161A">
        <w:t>,</w:t>
      </w:r>
      <w:r>
        <w:t xml:space="preserve"> restaurantes e casas noturnas. A operação de oito linhas é prolongada para atender aos usuários das últimas viagens em diversas estações do Metrô.</w:t>
      </w:r>
    </w:p>
    <w:p w:rsidR="003E6588" w:rsidRDefault="003E6588">
      <w:pPr>
        <w:ind w:firstLine="1134"/>
        <w:jc w:val="both"/>
      </w:pPr>
    </w:p>
    <w:p w:rsidR="003E6588" w:rsidRDefault="003E6588">
      <w:pPr>
        <w:tabs>
          <w:tab w:val="left" w:pos="720"/>
          <w:tab w:val="left" w:pos="1134"/>
        </w:tabs>
        <w:ind w:firstLine="1134"/>
        <w:jc w:val="both"/>
        <w:rPr>
          <w:b/>
        </w:rPr>
      </w:pPr>
      <w:r>
        <w:rPr>
          <w:b/>
        </w:rPr>
        <w:t xml:space="preserve">Serviço Especial Copa do Mundo - </w:t>
      </w:r>
      <w:r>
        <w:t xml:space="preserve">Criada linha especial do Sistema </w:t>
      </w:r>
      <w:r>
        <w:rPr>
          <w:i/>
        </w:rPr>
        <w:t>Airport Bus Service</w:t>
      </w:r>
      <w:r w:rsidR="00AF161A">
        <w:rPr>
          <w:i/>
        </w:rPr>
        <w:t>,</w:t>
      </w:r>
      <w:r>
        <w:t xml:space="preserve"> que transportou cerca de 6 mil torcedores nos dias de jogos na Arena Corinthians durante a Copa do Mundo. </w:t>
      </w:r>
      <w:r w:rsidR="00AF161A">
        <w:t xml:space="preserve">Foram </w:t>
      </w:r>
      <w:r>
        <w:t>reforçadas as frotas de duas linhas do serviço.</w:t>
      </w:r>
    </w:p>
    <w:p w:rsidR="003E6588" w:rsidRDefault="003E6588">
      <w:pPr>
        <w:tabs>
          <w:tab w:val="left" w:pos="720"/>
        </w:tabs>
        <w:ind w:firstLine="1134"/>
        <w:jc w:val="both"/>
        <w:rPr>
          <w:b/>
        </w:rPr>
      </w:pPr>
    </w:p>
    <w:p w:rsidR="003E6588" w:rsidRDefault="003E6588">
      <w:pPr>
        <w:tabs>
          <w:tab w:val="left" w:pos="720"/>
        </w:tabs>
        <w:ind w:firstLine="1134"/>
        <w:jc w:val="both"/>
      </w:pPr>
      <w:r>
        <w:rPr>
          <w:b/>
        </w:rPr>
        <w:t>Programa ConscientizAR -</w:t>
      </w:r>
      <w:r>
        <w:t xml:space="preserve"> Tem como objetivo diminuir a emissão de poluentes dos ônibus dos sistemas regular e de fretamento. Nas quatro </w:t>
      </w:r>
      <w:r w:rsidR="00AF161A">
        <w:t>Regiões Metropolitanas</w:t>
      </w:r>
      <w:r>
        <w:t>, foram feitas 8, 5 mil inspeções nos veículos do sistema regular.</w:t>
      </w:r>
    </w:p>
    <w:p w:rsidR="003E6588" w:rsidRDefault="003E6588">
      <w:pPr>
        <w:tabs>
          <w:tab w:val="left" w:pos="720"/>
        </w:tabs>
        <w:ind w:firstLine="1134"/>
        <w:jc w:val="both"/>
      </w:pPr>
    </w:p>
    <w:p w:rsidR="003E6588" w:rsidRPr="00AF161A" w:rsidRDefault="003E6588">
      <w:pPr>
        <w:tabs>
          <w:tab w:val="left" w:pos="720"/>
        </w:tabs>
        <w:ind w:firstLine="1134"/>
        <w:jc w:val="both"/>
      </w:pPr>
    </w:p>
    <w:p w:rsidR="003E6588" w:rsidRDefault="003E6588">
      <w:pPr>
        <w:tabs>
          <w:tab w:val="left" w:pos="720"/>
        </w:tabs>
        <w:rPr>
          <w:b/>
          <w:color w:val="000000"/>
        </w:rPr>
      </w:pPr>
      <w:r>
        <w:rPr>
          <w:b/>
          <w:color w:val="000000"/>
        </w:rPr>
        <w:t>ESTRADA DE FERRO CAMPOS DO JORDÃO - EFCJ</w:t>
      </w:r>
    </w:p>
    <w:p w:rsidR="003E6588" w:rsidRDefault="003E6588">
      <w:pPr>
        <w:tabs>
          <w:tab w:val="left" w:pos="720"/>
        </w:tabs>
        <w:ind w:firstLine="1134"/>
        <w:jc w:val="both"/>
        <w:rPr>
          <w:color w:val="000000"/>
        </w:rPr>
      </w:pPr>
    </w:p>
    <w:p w:rsidR="003E6588" w:rsidRDefault="003E6588">
      <w:pPr>
        <w:tabs>
          <w:tab w:val="left" w:pos="720"/>
        </w:tabs>
        <w:ind w:firstLine="1134"/>
        <w:jc w:val="both"/>
        <w:rPr>
          <w:color w:val="000000"/>
        </w:rPr>
      </w:pPr>
    </w:p>
    <w:p w:rsidR="003E6588" w:rsidRDefault="003E6588">
      <w:pPr>
        <w:tabs>
          <w:tab w:val="left" w:pos="720"/>
        </w:tabs>
        <w:ind w:firstLine="1134"/>
        <w:jc w:val="both"/>
        <w:rPr>
          <w:color w:val="000000"/>
        </w:rPr>
      </w:pPr>
      <w:r>
        <w:rPr>
          <w:color w:val="000000"/>
        </w:rPr>
        <w:t>Pelos 47 km da ferrovia, que ligam Pindamonhangaba a Campos de Jordão, são oferecidos vários circuitos ferroviários, em diferentes extensões, horários de operação e tarifas. A EFCJ também administra os Parques de Capivari e Reino das Águas e o teleférico de Campos de Jordão.</w:t>
      </w:r>
    </w:p>
    <w:p w:rsidR="003E6588" w:rsidRDefault="003E6588">
      <w:pPr>
        <w:tabs>
          <w:tab w:val="left" w:pos="720"/>
        </w:tabs>
        <w:ind w:firstLine="1134"/>
        <w:jc w:val="both"/>
      </w:pPr>
    </w:p>
    <w:p w:rsidR="003E6588" w:rsidRDefault="003E6588">
      <w:pPr>
        <w:tabs>
          <w:tab w:val="left" w:pos="720"/>
        </w:tabs>
        <w:ind w:firstLine="1134"/>
        <w:jc w:val="both"/>
      </w:pPr>
      <w:r>
        <w:t>Ações, projetos e programas desenvolvidos para fortalecimento e modernização da Estrada de Ferro Campos do Jordão:</w:t>
      </w:r>
    </w:p>
    <w:p w:rsidR="003E6588" w:rsidRDefault="003E6588">
      <w:pPr>
        <w:tabs>
          <w:tab w:val="left" w:pos="720"/>
        </w:tabs>
        <w:ind w:firstLine="1134"/>
        <w:jc w:val="both"/>
      </w:pPr>
    </w:p>
    <w:p w:rsidR="003E6588" w:rsidRDefault="003E6588">
      <w:pPr>
        <w:tabs>
          <w:tab w:val="left" w:pos="720"/>
        </w:tabs>
        <w:ind w:firstLine="1134"/>
        <w:jc w:val="both"/>
      </w:pPr>
      <w:r>
        <w:rPr>
          <w:b/>
        </w:rPr>
        <w:t>Obras -</w:t>
      </w:r>
      <w:r>
        <w:t xml:space="preserve"> Conclusão das obras de recuperação dos pontos críticos das Estações e Paradas descritas:</w:t>
      </w:r>
      <w:r>
        <w:rPr>
          <w:b/>
        </w:rPr>
        <w:t xml:space="preserve"> </w:t>
      </w:r>
      <w:r>
        <w:t xml:space="preserve">Cerâmica, </w:t>
      </w:r>
      <w:r>
        <w:rPr>
          <w:bCs/>
        </w:rPr>
        <w:t>Expedicionário, São Judas, Eugenio Lefévre, Damas, Estação Turismo Pindamonhangaba, Estação Subúrbio Pindamonhangaba e Parada Viola</w:t>
      </w:r>
      <w:r w:rsidR="00AF161A">
        <w:rPr>
          <w:bCs/>
        </w:rPr>
        <w:t>,</w:t>
      </w:r>
      <w:r>
        <w:rPr>
          <w:bCs/>
        </w:rPr>
        <w:t xml:space="preserve"> bem como o</w:t>
      </w:r>
      <w:r>
        <w:t>bras na via permanente e modernização do material rodante. No Parque Capivari de Campos do Jordão, foram realizados os serviços de reforma do pedalinho e o teleférico recebeu nova iluminação ornamental e operacional e passou a operar na parte da noite. O serviço noturno operou experimentalmente;</w:t>
      </w:r>
    </w:p>
    <w:p w:rsidR="003E6588" w:rsidRDefault="003E6588">
      <w:pPr>
        <w:tabs>
          <w:tab w:val="left" w:pos="720"/>
        </w:tabs>
        <w:ind w:firstLine="1134"/>
        <w:jc w:val="both"/>
      </w:pPr>
    </w:p>
    <w:p w:rsidR="003E6588" w:rsidRDefault="003E6588">
      <w:pPr>
        <w:tabs>
          <w:tab w:val="left" w:pos="720"/>
        </w:tabs>
        <w:ind w:firstLine="1134"/>
        <w:jc w:val="both"/>
      </w:pPr>
      <w:r>
        <w:rPr>
          <w:b/>
        </w:rPr>
        <w:t>Bilhetagem Eletrônica e Integração entre as Estações -</w:t>
      </w:r>
      <w:r>
        <w:t xml:space="preserve"> O sistema de bilhetagem eletrônica foi implantado nos pontos de venda</w:t>
      </w:r>
      <w:r w:rsidR="00AF161A">
        <w:t>,</w:t>
      </w:r>
      <w:r>
        <w:t xml:space="preserve"> que passaram a ser interligados pelas Estações Pindamonhangaba, Eugênio Lefèvre, Abernéssia e Emílio Ribas;</w:t>
      </w:r>
    </w:p>
    <w:p w:rsidR="003E6588" w:rsidRDefault="003E6588">
      <w:pPr>
        <w:tabs>
          <w:tab w:val="left" w:pos="720"/>
        </w:tabs>
        <w:ind w:firstLine="1134"/>
        <w:jc w:val="both"/>
      </w:pPr>
    </w:p>
    <w:p w:rsidR="003E6588" w:rsidRDefault="003E6588">
      <w:pPr>
        <w:tabs>
          <w:tab w:val="left" w:pos="720"/>
        </w:tabs>
        <w:ind w:firstLine="1134"/>
        <w:jc w:val="both"/>
      </w:pPr>
      <w:r>
        <w:rPr>
          <w:b/>
        </w:rPr>
        <w:t>Centro de Memória Ferroviária da EFCJ em Pindamonhangaba -</w:t>
      </w:r>
      <w:r>
        <w:t xml:space="preserve"> Implantação e inauguração do Centro de Memória EFCJ</w:t>
      </w:r>
      <w:r w:rsidR="00AF161A">
        <w:t>,</w:t>
      </w:r>
      <w:r>
        <w:t xml:space="preserve"> que resgata a história da ferrovia, seus veículos e funcionários. Utilização do acervo histórico</w:t>
      </w:r>
      <w:r w:rsidR="00AF161A">
        <w:t>,</w:t>
      </w:r>
      <w:r>
        <w:t xml:space="preserve"> que passa a ser exposto na sede da </w:t>
      </w:r>
      <w:r w:rsidR="00AF161A">
        <w:t xml:space="preserve">Companhia </w:t>
      </w:r>
      <w:r>
        <w:t xml:space="preserve">em </w:t>
      </w:r>
      <w:r>
        <w:lastRenderedPageBreak/>
        <w:t>Pindamonhangaba. O local de funcionamento do Centro de Memória, onde antes funcionava o departamento pessoal</w:t>
      </w:r>
      <w:r w:rsidR="00AF161A">
        <w:t>,</w:t>
      </w:r>
      <w:r>
        <w:t xml:space="preserve"> foi reformado.</w:t>
      </w:r>
    </w:p>
    <w:p w:rsidR="003E6588" w:rsidRDefault="003E6588">
      <w:pPr>
        <w:tabs>
          <w:tab w:val="left" w:pos="720"/>
        </w:tabs>
        <w:ind w:firstLine="1134"/>
        <w:jc w:val="both"/>
      </w:pPr>
    </w:p>
    <w:p w:rsidR="003E6588" w:rsidRDefault="003E6588">
      <w:pPr>
        <w:tabs>
          <w:tab w:val="left" w:pos="720"/>
        </w:tabs>
        <w:ind w:firstLine="1134"/>
        <w:jc w:val="both"/>
        <w:rPr>
          <w:b/>
          <w:color w:val="000000"/>
        </w:rPr>
      </w:pPr>
    </w:p>
    <w:p w:rsidR="003E6588" w:rsidRDefault="003E6588">
      <w:pPr>
        <w:tabs>
          <w:tab w:val="left" w:pos="720"/>
        </w:tabs>
        <w:rPr>
          <w:color w:val="000000"/>
        </w:rPr>
      </w:pPr>
      <w:r>
        <w:rPr>
          <w:b/>
          <w:color w:val="000000"/>
        </w:rPr>
        <w:t>SECRETARIA DOS TRANSPORTES METROPOLITANOS - STM</w:t>
      </w:r>
    </w:p>
    <w:p w:rsidR="003E6588" w:rsidRDefault="003E6588">
      <w:pPr>
        <w:tabs>
          <w:tab w:val="left" w:pos="720"/>
        </w:tabs>
        <w:ind w:firstLine="1134"/>
        <w:jc w:val="both"/>
        <w:rPr>
          <w:b/>
        </w:rPr>
      </w:pPr>
    </w:p>
    <w:p w:rsidR="00AF161A" w:rsidRDefault="00AF161A">
      <w:pPr>
        <w:tabs>
          <w:tab w:val="left" w:pos="720"/>
        </w:tabs>
        <w:ind w:firstLine="1134"/>
        <w:jc w:val="both"/>
        <w:rPr>
          <w:b/>
        </w:rPr>
      </w:pPr>
    </w:p>
    <w:p w:rsidR="003E6588" w:rsidRDefault="003E6588">
      <w:pPr>
        <w:ind w:firstLine="1134"/>
        <w:jc w:val="both"/>
      </w:pPr>
      <w:r>
        <w:rPr>
          <w:b/>
        </w:rPr>
        <w:t xml:space="preserve">Implantação da Integração operacional e tarifária, </w:t>
      </w:r>
      <w:r w:rsidR="00AF161A">
        <w:rPr>
          <w:b/>
        </w:rPr>
        <w:t xml:space="preserve">por meio </w:t>
      </w:r>
      <w:r>
        <w:rPr>
          <w:b/>
        </w:rPr>
        <w:t xml:space="preserve">do Bilhete Ônibus Metropolitano BOM nas </w:t>
      </w:r>
      <w:r w:rsidR="00AF161A">
        <w:rPr>
          <w:b/>
        </w:rPr>
        <w:t xml:space="preserve">Estações </w:t>
      </w:r>
      <w:r>
        <w:rPr>
          <w:b/>
        </w:rPr>
        <w:t xml:space="preserve">do Metrô e CPTM - </w:t>
      </w:r>
      <w:r>
        <w:t xml:space="preserve">Foi finalizada a implantação da integração operacional e tarifária entre as linhas do Sistema de Transporte Coletivo de Ônibus Intermunicipal da Região Metropolitana de São Paulo e o Sistema Metroferroviário de Transporte de Passageiros, operado pela CPTM, pelo Metrô e Concessionária da Linha 4 do Metrô de São Paulo S/A - ViaQuatro, </w:t>
      </w:r>
      <w:r w:rsidR="00AF161A">
        <w:t xml:space="preserve">por meio </w:t>
      </w:r>
      <w:r>
        <w:t>do Cartão BOM.</w:t>
      </w:r>
    </w:p>
    <w:p w:rsidR="003E6588" w:rsidRDefault="003E6588">
      <w:pPr>
        <w:ind w:firstLine="1134"/>
        <w:jc w:val="both"/>
        <w:rPr>
          <w:b/>
          <w:bCs/>
        </w:rPr>
      </w:pPr>
    </w:p>
    <w:p w:rsidR="003E6588" w:rsidRDefault="003E6588">
      <w:pPr>
        <w:tabs>
          <w:tab w:val="left" w:pos="720"/>
        </w:tabs>
        <w:ind w:firstLine="1134"/>
        <w:jc w:val="both"/>
      </w:pPr>
      <w:r>
        <w:t>O objetivo é permitir a aceitação do BOM como meio de pagamento nas viagens integradas com o sistema metroferroviário, com benefício da redução tarifária.</w:t>
      </w:r>
    </w:p>
    <w:p w:rsidR="003E6588" w:rsidRDefault="003E6588">
      <w:pPr>
        <w:tabs>
          <w:tab w:val="left" w:pos="720"/>
        </w:tabs>
        <w:ind w:firstLine="1134"/>
        <w:jc w:val="both"/>
      </w:pPr>
    </w:p>
    <w:p w:rsidR="003E6588" w:rsidRDefault="003E6588">
      <w:pPr>
        <w:tabs>
          <w:tab w:val="left" w:pos="720"/>
        </w:tabs>
        <w:ind w:firstLine="1134"/>
        <w:jc w:val="both"/>
      </w:pPr>
      <w:r>
        <w:rPr>
          <w:b/>
        </w:rPr>
        <w:t xml:space="preserve">Bilhete Semanal - Trilhos e Integração Trilho-Ônibus Municipal de São Paulo - </w:t>
      </w:r>
      <w:r w:rsidR="00AF161A">
        <w:t xml:space="preserve">Teve </w:t>
      </w:r>
      <w:r>
        <w:t>início o funcionamento do Bilhete Semanal</w:t>
      </w:r>
      <w:r w:rsidR="00AF161A">
        <w:t>:</w:t>
      </w:r>
      <w:r>
        <w:t xml:space="preserve"> </w:t>
      </w:r>
      <w:r w:rsidR="00AF161A">
        <w:t>a</w:t>
      </w:r>
      <w:r>
        <w:t xml:space="preserve"> medida permite ao usuário fazer viagens exclusivas (Metrô e CPTM), pelo preço de R$ 38,00</w:t>
      </w:r>
      <w:r w:rsidR="00AF161A">
        <w:t>,</w:t>
      </w:r>
      <w:r>
        <w:t xml:space="preserve"> ou integradas Ônibus Municipal x Metrô/CPTM (R$ 60,00), pelo período de 7 dias.</w:t>
      </w:r>
    </w:p>
    <w:p w:rsidR="003E6588" w:rsidRDefault="003E6588">
      <w:pPr>
        <w:tabs>
          <w:tab w:val="left" w:pos="720"/>
        </w:tabs>
        <w:ind w:firstLine="1134"/>
        <w:jc w:val="both"/>
      </w:pPr>
    </w:p>
    <w:p w:rsidR="003E6588" w:rsidRDefault="003E6588">
      <w:pPr>
        <w:tabs>
          <w:tab w:val="left" w:pos="720"/>
        </w:tabs>
        <w:ind w:firstLine="1134"/>
        <w:jc w:val="both"/>
      </w:pPr>
      <w:r>
        <w:rPr>
          <w:b/>
        </w:rPr>
        <w:t>Bilhete 24 Horas - Trilhos e Integração Trilho-Ônibus Municipal de São Paulo -</w:t>
      </w:r>
      <w:r>
        <w:t xml:space="preserve"> </w:t>
      </w:r>
      <w:r w:rsidR="00DA09E3">
        <w:t xml:space="preserve">Teve </w:t>
      </w:r>
      <w:r>
        <w:t>início o funcionamento do Bilhete 24 Horas</w:t>
      </w:r>
      <w:r w:rsidR="00DA09E3">
        <w:t>:</w:t>
      </w:r>
      <w:r>
        <w:t xml:space="preserve"> </w:t>
      </w:r>
      <w:r w:rsidR="00DA09E3">
        <w:t>a</w:t>
      </w:r>
      <w:r>
        <w:t xml:space="preserve"> medida permite ao usuário fazer viagens exclusivas (Metrô e CPTM), pelo preço de R$ 10,00</w:t>
      </w:r>
      <w:r w:rsidR="00DA09E3">
        <w:t>,</w:t>
      </w:r>
      <w:r>
        <w:t xml:space="preserve"> ou integradas Ônibus Municipal x Metrô/CPTM (R$ 16,00), pelo período de 24 horas.</w:t>
      </w:r>
    </w:p>
    <w:p w:rsidR="003E6588" w:rsidRDefault="003E6588">
      <w:pPr>
        <w:tabs>
          <w:tab w:val="left" w:pos="720"/>
        </w:tabs>
        <w:ind w:firstLine="1134"/>
        <w:jc w:val="both"/>
        <w:rPr>
          <w:b/>
        </w:rPr>
      </w:pPr>
    </w:p>
    <w:p w:rsidR="003E6588" w:rsidRDefault="003E6588">
      <w:pPr>
        <w:tabs>
          <w:tab w:val="left" w:pos="720"/>
        </w:tabs>
        <w:ind w:firstLine="1134"/>
        <w:jc w:val="both"/>
        <w:rPr>
          <w:color w:val="000000"/>
        </w:rPr>
      </w:pPr>
      <w:r>
        <w:rPr>
          <w:b/>
          <w:color w:val="000000"/>
        </w:rPr>
        <w:t xml:space="preserve">Pesquisa de Origem e Destino </w:t>
      </w:r>
      <w:r w:rsidR="00DA12B4">
        <w:rPr>
          <w:b/>
          <w:color w:val="000000"/>
        </w:rPr>
        <w:t xml:space="preserve">- </w:t>
      </w:r>
      <w:r>
        <w:rPr>
          <w:b/>
          <w:color w:val="000000"/>
        </w:rPr>
        <w:t xml:space="preserve">OD da RMVPLN e da RM Sorocaba - </w:t>
      </w:r>
      <w:r>
        <w:rPr>
          <w:color w:val="000000"/>
        </w:rPr>
        <w:t xml:space="preserve">Encontra-se em fase final de execução a pesquisa de origem e destino domiciliar e de linha de contorno na Região Metropolitana do Vale do Paraíba e Litoral Norte - RMVPLN. </w:t>
      </w:r>
      <w:r w:rsidRPr="00DA09E3">
        <w:t>Foram entrevistados</w:t>
      </w:r>
      <w:r>
        <w:rPr>
          <w:color w:val="FF0000"/>
        </w:rPr>
        <w:t xml:space="preserve"> </w:t>
      </w:r>
      <w:r>
        <w:rPr>
          <w:color w:val="000000"/>
        </w:rPr>
        <w:t>9.700 domicílios</w:t>
      </w:r>
      <w:r w:rsidR="00DA09E3">
        <w:rPr>
          <w:color w:val="000000"/>
        </w:rPr>
        <w:t>,</w:t>
      </w:r>
      <w:r>
        <w:rPr>
          <w:color w:val="000000"/>
        </w:rPr>
        <w:t xml:space="preserve"> com objetivo de identificar características dos deslocamentos usuais da população para subsidiar planos regionais e setoriais urbanos e, especificamente, de transporte público.</w:t>
      </w:r>
    </w:p>
    <w:p w:rsidR="003E6588" w:rsidRDefault="003E6588">
      <w:pPr>
        <w:tabs>
          <w:tab w:val="left" w:pos="720"/>
        </w:tabs>
        <w:ind w:firstLine="1134"/>
        <w:jc w:val="both"/>
        <w:rPr>
          <w:color w:val="000000"/>
        </w:rPr>
      </w:pPr>
    </w:p>
    <w:p w:rsidR="003E6588" w:rsidRDefault="003E6588">
      <w:pPr>
        <w:tabs>
          <w:tab w:val="left" w:pos="720"/>
        </w:tabs>
        <w:ind w:firstLine="1134"/>
        <w:jc w:val="both"/>
        <w:rPr>
          <w:color w:val="000000"/>
        </w:rPr>
      </w:pPr>
      <w:r>
        <w:rPr>
          <w:b/>
          <w:color w:val="000000"/>
        </w:rPr>
        <w:t>Diagnóstico da Demanda no Sistema Metropolitano de Transporte sobre Trilhos</w:t>
      </w:r>
      <w:r>
        <w:rPr>
          <w:color w:val="000000"/>
        </w:rPr>
        <w:t xml:space="preserve"> - </w:t>
      </w:r>
      <w:r w:rsidR="00DA09E3">
        <w:rPr>
          <w:color w:val="000000"/>
        </w:rPr>
        <w:t>Encontra</w:t>
      </w:r>
      <w:r>
        <w:rPr>
          <w:color w:val="000000"/>
        </w:rPr>
        <w:t>-se em execução o projeto de diagnóstico da demanda no sistema metropolitano de transporte sobre trilhos, cujo objetivo é estudar o comportamento da demanda de passageiros, bem como avaliar os serviços operacionais do sistema Metrô e CPTM por meio de instrumentos matemáticos e computacionais que permitam a simulação da demanda a níveis estratégicos, táticos e operacionais, determinando o carregamento das linhas, o volume de transferências de passageiros, a simulação do fluxo de passageiros em 3D e de cenários operacionais distintos.</w:t>
      </w:r>
    </w:p>
    <w:p w:rsidR="003E6588" w:rsidRDefault="003E6588">
      <w:pPr>
        <w:tabs>
          <w:tab w:val="left" w:pos="720"/>
        </w:tabs>
        <w:ind w:firstLine="1134"/>
        <w:jc w:val="both"/>
        <w:rPr>
          <w:color w:val="000000"/>
        </w:rPr>
      </w:pPr>
    </w:p>
    <w:p w:rsidR="003E6588" w:rsidRDefault="003E6588">
      <w:pPr>
        <w:tabs>
          <w:tab w:val="left" w:pos="720"/>
        </w:tabs>
        <w:ind w:firstLine="1134"/>
        <w:jc w:val="both"/>
        <w:rPr>
          <w:color w:val="000000"/>
        </w:rPr>
      </w:pPr>
      <w:r>
        <w:rPr>
          <w:b/>
          <w:color w:val="000000"/>
        </w:rPr>
        <w:t>Projetos Executivos em Francisco Morato na RMSP</w:t>
      </w:r>
      <w:r>
        <w:rPr>
          <w:color w:val="000000"/>
        </w:rPr>
        <w:t xml:space="preserve"> - Iniciou-se o processo licitatório objetivando a contratação de projetos executivos no entorno da </w:t>
      </w:r>
      <w:r w:rsidR="00DA09E3">
        <w:rPr>
          <w:color w:val="000000"/>
        </w:rPr>
        <w:t xml:space="preserve">Estação </w:t>
      </w:r>
      <w:r>
        <w:rPr>
          <w:color w:val="000000"/>
        </w:rPr>
        <w:t xml:space="preserve">Francisco Morato da Linha 7 </w:t>
      </w:r>
      <w:r>
        <w:rPr>
          <w:color w:val="000000"/>
        </w:rPr>
        <w:lastRenderedPageBreak/>
        <w:t xml:space="preserve">da Companhia Paulista de Trens Metropolitanos </w:t>
      </w:r>
      <w:r w:rsidR="00DA09E3">
        <w:rPr>
          <w:color w:val="000000"/>
        </w:rPr>
        <w:t>-</w:t>
      </w:r>
      <w:r>
        <w:rPr>
          <w:color w:val="000000"/>
        </w:rPr>
        <w:t xml:space="preserve"> CPTM</w:t>
      </w:r>
      <w:r w:rsidR="00DA09E3">
        <w:rPr>
          <w:color w:val="000000"/>
        </w:rPr>
        <w:t>.</w:t>
      </w:r>
      <w:r>
        <w:rPr>
          <w:color w:val="000000"/>
        </w:rPr>
        <w:t xml:space="preserve"> O objetivo é melhorar as condições de acessibilidade e conforto aos pedestres usuários da passagem seca da Linha da CPTM, revitalizar as condições físicas e de segurança da passagem de nível, melhorar a inserção urbana do Terminal Leste.</w:t>
      </w:r>
    </w:p>
    <w:p w:rsidR="003E6588" w:rsidRDefault="003E6588">
      <w:pPr>
        <w:tabs>
          <w:tab w:val="left" w:pos="720"/>
        </w:tabs>
        <w:ind w:firstLine="1134"/>
        <w:jc w:val="both"/>
        <w:rPr>
          <w:b/>
          <w:color w:val="000000"/>
        </w:rPr>
      </w:pPr>
    </w:p>
    <w:p w:rsidR="003E6588" w:rsidRDefault="003E6588">
      <w:pPr>
        <w:tabs>
          <w:tab w:val="left" w:pos="720"/>
        </w:tabs>
        <w:ind w:firstLine="1134"/>
        <w:jc w:val="both"/>
      </w:pPr>
      <w:r>
        <w:rPr>
          <w:b/>
          <w:color w:val="000000"/>
        </w:rPr>
        <w:t>Projetos do Parque Capivari</w:t>
      </w:r>
      <w:r>
        <w:rPr>
          <w:color w:val="000000"/>
        </w:rPr>
        <w:t xml:space="preserve"> - </w:t>
      </w:r>
      <w:r>
        <w:rPr>
          <w:b/>
          <w:color w:val="000000"/>
        </w:rPr>
        <w:t>EFCJ</w:t>
      </w:r>
      <w:r>
        <w:rPr>
          <w:color w:val="000000"/>
        </w:rPr>
        <w:t xml:space="preserve"> - </w:t>
      </w:r>
      <w:r>
        <w:t>Concluída a elaboração de projeto básico da modernização e reurbanização do Parque Ferroviário Capivari, conjunto pertencente à Estrada de Ferro Campos do Jordão - EFCJ. O projeto executivo, já contratado, encontra-se em desenvolvimento</w:t>
      </w:r>
      <w:r w:rsidR="00DA09E3">
        <w:t>,</w:t>
      </w:r>
      <w:r>
        <w:t xml:space="preserve"> bem como a viabilização de recursos para implantação da obra.</w:t>
      </w:r>
    </w:p>
    <w:p w:rsidR="003E6588" w:rsidRDefault="003E6588">
      <w:pPr>
        <w:tabs>
          <w:tab w:val="left" w:pos="720"/>
        </w:tabs>
        <w:ind w:firstLine="1134"/>
        <w:jc w:val="both"/>
      </w:pPr>
    </w:p>
    <w:p w:rsidR="003E6588" w:rsidRDefault="003E6588">
      <w:pPr>
        <w:tabs>
          <w:tab w:val="left" w:pos="720"/>
        </w:tabs>
        <w:ind w:firstLine="1134"/>
        <w:jc w:val="both"/>
      </w:pPr>
      <w:r>
        <w:rPr>
          <w:b/>
          <w:color w:val="000000"/>
        </w:rPr>
        <w:t>Estudos para melhoria da gestão de empreendimentos -</w:t>
      </w:r>
      <w:r>
        <w:t xml:space="preserve"> Iniciados os trabalhos que contam com o apoio de serviços especializados de engenharia consultiva, para </w:t>
      </w:r>
      <w:r>
        <w:rPr>
          <w:bCs/>
          <w:iCs/>
        </w:rPr>
        <w:t>desenvolver estudos que visam identificar a existência de fatores restritivos ao melhor desempenho da gestão no setor de transportes metropolitanos, analisar suas causas, oferecer diagnósticos e planos de ações e diretrizes estratégicas para atender os desafios futuros no médio e longo prazo da STM.</w:t>
      </w:r>
    </w:p>
    <w:p w:rsidR="003E6588" w:rsidRDefault="003E6588">
      <w:pPr>
        <w:tabs>
          <w:tab w:val="left" w:pos="720"/>
        </w:tabs>
        <w:ind w:firstLine="1134"/>
        <w:jc w:val="both"/>
      </w:pPr>
    </w:p>
    <w:p w:rsidR="003E6588" w:rsidRDefault="003E6588">
      <w:pPr>
        <w:tabs>
          <w:tab w:val="left" w:pos="720"/>
        </w:tabs>
        <w:ind w:firstLine="1134"/>
        <w:jc w:val="both"/>
      </w:pPr>
      <w:r>
        <w:rPr>
          <w:b/>
        </w:rPr>
        <w:t>Gestão de empreendimentos prioritários</w:t>
      </w:r>
      <w:r>
        <w:t xml:space="preserve"> - Executad</w:t>
      </w:r>
      <w:r w:rsidR="00DA09E3">
        <w:t>a</w:t>
      </w:r>
      <w:r>
        <w:t xml:space="preserve"> a gestão do </w:t>
      </w:r>
      <w:r w:rsidRPr="00DA09E3">
        <w:rPr>
          <w:i/>
        </w:rPr>
        <w:t>portfólio</w:t>
      </w:r>
      <w:r w:rsidRPr="00DA09E3">
        <w:t xml:space="preserve"> </w:t>
      </w:r>
      <w:r>
        <w:t>de empreendimentos prioritários das empresas coligadas à STM e da própria STM, bem como desenvolvido estudo de otimização dos processos de implantação destes empreendimentos (fluxos de tempos e caminhos).</w:t>
      </w:r>
    </w:p>
    <w:p w:rsidR="003E6588" w:rsidRDefault="003E6588">
      <w:pPr>
        <w:ind w:firstLine="1134"/>
        <w:jc w:val="both"/>
      </w:pPr>
    </w:p>
    <w:p w:rsidR="003E6588" w:rsidRDefault="003E6588"/>
    <w:p w:rsidR="003E6588" w:rsidRDefault="003E6588">
      <w:pPr>
        <w:rPr>
          <w:b/>
        </w:rPr>
      </w:pPr>
      <w:r>
        <w:br w:type="page"/>
      </w:r>
      <w:r>
        <w:rPr>
          <w:b/>
        </w:rPr>
        <w:lastRenderedPageBreak/>
        <w:t>SECRETARIA DE TURISMO</w:t>
      </w:r>
    </w:p>
    <w:p w:rsidR="003E6588" w:rsidRDefault="003E6588"/>
    <w:p w:rsidR="003E6588" w:rsidRDefault="003E6588"/>
    <w:p w:rsidR="003E6588" w:rsidRDefault="003E6588">
      <w:pPr>
        <w:pStyle w:val="PargrafodaLista"/>
        <w:ind w:left="0" w:right="49" w:firstLine="1134"/>
        <w:rPr>
          <w:rFonts w:ascii="Times New Roman" w:hAnsi="Times New Roman"/>
          <w:sz w:val="24"/>
          <w:szCs w:val="24"/>
        </w:rPr>
      </w:pPr>
      <w:r>
        <w:rPr>
          <w:rFonts w:ascii="Times New Roman" w:hAnsi="Times New Roman"/>
          <w:b/>
          <w:sz w:val="24"/>
          <w:szCs w:val="24"/>
        </w:rPr>
        <w:t xml:space="preserve">Convênios Firmados - </w:t>
      </w:r>
      <w:r>
        <w:rPr>
          <w:rFonts w:ascii="Times New Roman" w:hAnsi="Times New Roman"/>
          <w:sz w:val="24"/>
          <w:szCs w:val="24"/>
        </w:rPr>
        <w:t>Foram</w:t>
      </w:r>
      <w:r>
        <w:rPr>
          <w:rFonts w:ascii="Times New Roman" w:hAnsi="Times New Roman"/>
          <w:color w:val="FF0000"/>
          <w:sz w:val="24"/>
          <w:szCs w:val="24"/>
        </w:rPr>
        <w:t xml:space="preserve"> </w:t>
      </w:r>
      <w:r>
        <w:rPr>
          <w:rFonts w:ascii="Times New Roman" w:hAnsi="Times New Roman"/>
          <w:sz w:val="24"/>
          <w:szCs w:val="24"/>
        </w:rPr>
        <w:t>firmados convênios com entidades e prefeituras:</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 xml:space="preserve">Federação de </w:t>
      </w:r>
      <w:r>
        <w:rPr>
          <w:rFonts w:ascii="Times New Roman" w:hAnsi="Times New Roman"/>
          <w:i/>
          <w:sz w:val="24"/>
          <w:szCs w:val="24"/>
        </w:rPr>
        <w:t>Conventions &amp; Visitors Bureaux</w:t>
      </w:r>
      <w:r>
        <w:rPr>
          <w:rFonts w:ascii="Times New Roman" w:hAnsi="Times New Roman"/>
          <w:sz w:val="24"/>
          <w:szCs w:val="24"/>
        </w:rPr>
        <w:t xml:space="preserve"> do Estado de São Paulo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Calendários de Festas e Eventos Oficiais do Estado de São Paulo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R$ 145.000,00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 xml:space="preserve">Federação de </w:t>
      </w:r>
      <w:r>
        <w:rPr>
          <w:rFonts w:ascii="Times New Roman" w:hAnsi="Times New Roman"/>
          <w:i/>
          <w:sz w:val="24"/>
          <w:szCs w:val="24"/>
        </w:rPr>
        <w:t>Conventions &amp; Visitors Bureaux</w:t>
      </w:r>
      <w:r>
        <w:rPr>
          <w:rFonts w:ascii="Times New Roman" w:hAnsi="Times New Roman"/>
          <w:sz w:val="24"/>
          <w:szCs w:val="24"/>
        </w:rPr>
        <w:t xml:space="preserve"> do Estado de São Paulo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100 Locais Imperdíveis do Estado de São Paulo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R$ 150.000,00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dos Artistas</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Evangelismo 2014</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R$ 150.000,00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Cultural e Esportiva de Piedade</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 xml:space="preserve">14ª Festa e Exposição do </w:t>
      </w:r>
      <w:r>
        <w:rPr>
          <w:rFonts w:ascii="Times New Roman" w:hAnsi="Times New Roman"/>
          <w:i/>
          <w:sz w:val="24"/>
          <w:szCs w:val="24"/>
        </w:rPr>
        <w:t>Kaki Fuyu</w:t>
      </w:r>
      <w:r>
        <w:rPr>
          <w:rFonts w:ascii="Times New Roman" w:hAnsi="Times New Roman"/>
          <w:sz w:val="24"/>
          <w:szCs w:val="24"/>
        </w:rPr>
        <w:t xml:space="preserve"> de Piedade</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R$ 149.602,72</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Pró Festa do Divino Espírito Santo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Festa do Divino Espírito Santo 2014 de Mogi das Cruzes</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R$ 150.000,00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Beneficente, Cultural e Esportiva de Lins</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58ª Exposição Agrícola de Lins e Região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R$ 60.000,00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dos Municípios de Interesse Cultural e Turístico - AMITUR</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 xml:space="preserve">Expo Artistas Paulistas e Congresso do Turismo Paulista </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R$ 75.000,00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dos Pequenos Produtores Rurais 12 de Outubro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Projeto Turismo Rural no Assentamento Rural Horto Vergel</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R$ 100.000,00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dos Floricultores da Região da Via Dutra</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23º Expo Aflord Arujá 2014</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R$ 50.000,00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Paulista de Turismo Rural - ABRATURR</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5º Encontro Paulista de Turismo Rural</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lastRenderedPageBreak/>
        <w:t>Valor:</w:t>
      </w:r>
      <w:r>
        <w:rPr>
          <w:rFonts w:ascii="Times New Roman" w:hAnsi="Times New Roman"/>
          <w:sz w:val="24"/>
          <w:szCs w:val="24"/>
        </w:rPr>
        <w:tab/>
        <w:t>R$ 100.000,00</w:t>
      </w:r>
    </w:p>
    <w:p w:rsidR="00DA12B4" w:rsidRDefault="00DA12B4">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Entidade:</w:t>
      </w:r>
      <w:r>
        <w:rPr>
          <w:rFonts w:ascii="Times New Roman" w:hAnsi="Times New Roman"/>
          <w:sz w:val="24"/>
          <w:szCs w:val="24"/>
        </w:rPr>
        <w:tab/>
        <w:t>Associação Cultural Esportiva de Colônia de Pinhal</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2º Festival da Nêspera</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R$ 60.000,00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Prefeitura Municipal de Tabatinga</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Festejos Comemorativos ao aniversário da Cidade</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R$ 80.000,00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Prefeitura Municipal de Santa Fé do Sul</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 xml:space="preserve">2ª Etapa do Campeonato Paulista de </w:t>
      </w:r>
      <w:r>
        <w:rPr>
          <w:rFonts w:ascii="Times New Roman" w:hAnsi="Times New Roman"/>
          <w:i/>
          <w:sz w:val="24"/>
          <w:szCs w:val="24"/>
        </w:rPr>
        <w:t>Jet Ski</w:t>
      </w:r>
      <w:r>
        <w:rPr>
          <w:rFonts w:ascii="Times New Roman" w:hAnsi="Times New Roman"/>
          <w:sz w:val="24"/>
          <w:szCs w:val="24"/>
        </w:rPr>
        <w:t xml:space="preserve"> Santa Fé do Sul</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R$ 19.540,00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Prefeitura Municipal de Jaci</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25ª Festa do Milho Verde de Jaci</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R$ 60.000,00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Prefeitura Municipal de Itanhaém</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1ª Semana Passos dos Jesuítas Anchieta</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R$ 60.000,00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Prefeitura Municipal de Pindamonhangaba</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1ª Festival Junino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R$ 200.000,00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Prefeitura Municipal de Rincão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14ª Arraia de Rincão</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R$ 50.000,00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Prefeitura Municipal de Atibaia</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31ª Festa do Morango do Campo dos Aleixos</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R$ 30.000,00</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Foram firmados contratos de repasse/convênios com a Caixa Econômica Federal na qualidade de mandatária do Ministério do Turismo, e para obras de infraestrutura turística em 25 municípios:</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Município: Sete Barras</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 xml:space="preserve">  Implantação da orla da margem esquerda do Rio Ribeira de Iguape</w:t>
      </w: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 xml:space="preserve">  R$ 556.000,00</w:t>
      </w:r>
    </w:p>
    <w:p w:rsidR="003E6588" w:rsidRDefault="003E6588">
      <w:pPr>
        <w:pStyle w:val="PargrafodaLista"/>
        <w:ind w:left="0" w:right="49" w:firstLine="1134"/>
        <w:rPr>
          <w:rFonts w:ascii="Times New Roman" w:hAnsi="Times New Roman"/>
          <w:sz w:val="24"/>
          <w:szCs w:val="24"/>
        </w:rPr>
      </w:pPr>
    </w:p>
    <w:p w:rsidR="00DA12B4" w:rsidRDefault="00DA12B4">
      <w:pPr>
        <w:pStyle w:val="PargrafodaLista"/>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lastRenderedPageBreak/>
        <w:t>Município:</w:t>
      </w:r>
      <w:r>
        <w:rPr>
          <w:rFonts w:ascii="Times New Roman" w:hAnsi="Times New Roman"/>
          <w:sz w:val="24"/>
          <w:szCs w:val="24"/>
        </w:rPr>
        <w:tab/>
        <w:t>Iguape</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da Rodoviária Municipal</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 xml:space="preserve">Valor: </w:t>
      </w:r>
      <w:r>
        <w:rPr>
          <w:rFonts w:ascii="Times New Roman" w:hAnsi="Times New Roman"/>
          <w:sz w:val="24"/>
          <w:szCs w:val="24"/>
        </w:rPr>
        <w:tab/>
      </w:r>
      <w:r>
        <w:rPr>
          <w:rFonts w:ascii="Times New Roman" w:hAnsi="Times New Roman"/>
          <w:sz w:val="24"/>
          <w:szCs w:val="24"/>
        </w:rPr>
        <w:tab/>
        <w:t>R$ 277.780,00</w:t>
      </w:r>
    </w:p>
    <w:p w:rsidR="003E6588" w:rsidRDefault="003E6588">
      <w:pPr>
        <w:pStyle w:val="PargrafodaLista"/>
        <w:tabs>
          <w:tab w:val="left" w:pos="2127"/>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Iguape</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do Parque Turístico Fonte do Senhor</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R$ 556.000,00</w:t>
      </w:r>
    </w:p>
    <w:p w:rsidR="003E6588" w:rsidRDefault="003E6588">
      <w:pPr>
        <w:pStyle w:val="PargrafodaLista"/>
        <w:tabs>
          <w:tab w:val="left" w:pos="2127"/>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Juquiá</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Implantação da Ciclovia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R$ 284.230,00</w:t>
      </w:r>
    </w:p>
    <w:p w:rsidR="003E6588" w:rsidRDefault="003E6588">
      <w:pPr>
        <w:pStyle w:val="PargrafodaLista"/>
        <w:tabs>
          <w:tab w:val="left" w:pos="2127"/>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Tapiraí</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Construção da Praça de Eventos</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R$ 284.230,00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Registro</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da Praça dos Expedicionários</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R$ 333.330,00</w:t>
      </w:r>
    </w:p>
    <w:p w:rsidR="003E6588" w:rsidRDefault="003E6588">
      <w:pPr>
        <w:pStyle w:val="PargrafodaLista"/>
        <w:tabs>
          <w:tab w:val="left" w:pos="2127"/>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Jacupiranga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Construção do Portal do Município</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R$ 333.330,00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Barra do Turvo</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Construção de Praça de Eventos</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R$ 333.330,00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Iporanga</w:t>
      </w:r>
    </w:p>
    <w:p w:rsidR="003E6588" w:rsidRDefault="003E6588">
      <w:pPr>
        <w:pStyle w:val="PargrafodaLista"/>
        <w:tabs>
          <w:tab w:val="left" w:pos="2127"/>
          <w:tab w:val="left" w:pos="2410"/>
        </w:tabs>
        <w:ind w:left="2410" w:right="49" w:hanging="1276"/>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Pavimentação e Drenagem do trecho que liga o bairro da Serra ao Núcleo Ouro Grosso do PETAR</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R$ 277.780,00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Peruíbe</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Urbanização da orla do Rio Preto</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R$ 280.600,00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Peruíbe</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do Espaço Turístico e Cultural Chico Latim</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R$ 280.600,00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Ubatuba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Iluminação e Paisagismo de Ciclovia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lastRenderedPageBreak/>
        <w:t>Valor:</w:t>
      </w:r>
      <w:r>
        <w:rPr>
          <w:rFonts w:ascii="Times New Roman" w:hAnsi="Times New Roman"/>
          <w:sz w:val="24"/>
          <w:szCs w:val="24"/>
        </w:rPr>
        <w:tab/>
      </w:r>
      <w:r>
        <w:rPr>
          <w:rFonts w:ascii="Times New Roman" w:hAnsi="Times New Roman"/>
          <w:sz w:val="24"/>
          <w:szCs w:val="24"/>
        </w:rPr>
        <w:tab/>
        <w:t>R$ 277.780,00</w:t>
      </w:r>
    </w:p>
    <w:p w:rsidR="003E6588" w:rsidRDefault="003E6588">
      <w:pPr>
        <w:pStyle w:val="PargrafodaLista"/>
        <w:tabs>
          <w:tab w:val="left" w:pos="2127"/>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Miracatu</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Construção do Portal do Município</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R$ 284.230,00</w:t>
      </w:r>
    </w:p>
    <w:p w:rsidR="00DA12B4" w:rsidRDefault="00DA12B4">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Jundiaí</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da Praça Cidade de São Paulo</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R$ 277.780,00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Várzea Paulista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Pavimentação e Drenagem da Rua José da Silva Leme</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R$ 277.780,00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Socorro</w:t>
      </w:r>
    </w:p>
    <w:p w:rsidR="003E6588" w:rsidRDefault="003E6588">
      <w:pPr>
        <w:pStyle w:val="PargrafodaLista"/>
        <w:tabs>
          <w:tab w:val="left" w:pos="2127"/>
          <w:tab w:val="left" w:pos="2410"/>
        </w:tabs>
        <w:ind w:left="2410" w:right="49" w:hanging="1276"/>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Recapeamento de trechos das Ruas Hallin Feres, João Conti, Antonio Lepoldino, Antonio Calafiori e Dr. Luiz Pizza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R$ 338.000,00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Guarujá</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Pavimentação e Drenagem na Rua Bandeirantes</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w:t>
      </w:r>
      <w:r>
        <w:rPr>
          <w:rFonts w:ascii="Times New Roman" w:hAnsi="Times New Roman"/>
          <w:sz w:val="24"/>
          <w:szCs w:val="24"/>
        </w:rPr>
        <w:tab/>
        <w:t>278.323,33</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Orlândia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da Praça dos Imigrantes</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R$ 284.230,00</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Brodowski</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Construção do Portal da Cidade</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R$ 300.925,92</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Cristais Paulistas</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Reforma e Ampliação do Parque de Exposição Municipal</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R$ 300.925,92</w:t>
      </w:r>
    </w:p>
    <w:p w:rsidR="003E6588" w:rsidRDefault="003E6588">
      <w:pPr>
        <w:pStyle w:val="PargrafodaLista"/>
        <w:tabs>
          <w:tab w:val="left" w:pos="2127"/>
        </w:tabs>
        <w:ind w:left="0" w:right="49" w:firstLine="1134"/>
        <w:rPr>
          <w:rFonts w:ascii="Times New Roman" w:hAnsi="Times New Roman"/>
          <w:sz w:val="24"/>
          <w:szCs w:val="24"/>
        </w:rPr>
      </w:pP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Guaíra</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r>
      <w:r>
        <w:rPr>
          <w:rFonts w:ascii="Times New Roman" w:hAnsi="Times New Roman"/>
          <w:sz w:val="24"/>
          <w:szCs w:val="24"/>
        </w:rPr>
        <w:tab/>
        <w:t>Revitalização do Parque Ecológico Lago Maracá</w:t>
      </w:r>
    </w:p>
    <w:p w:rsidR="003E6588" w:rsidRDefault="003E6588">
      <w:pPr>
        <w:pStyle w:val="PargrafodaLista"/>
        <w:tabs>
          <w:tab w:val="left" w:pos="2127"/>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r>
      <w:r>
        <w:rPr>
          <w:rFonts w:ascii="Times New Roman" w:hAnsi="Times New Roman"/>
          <w:sz w:val="24"/>
          <w:szCs w:val="24"/>
        </w:rPr>
        <w:tab/>
        <w:t>R$ 300.925,92</w:t>
      </w:r>
    </w:p>
    <w:p w:rsidR="003E6588" w:rsidRDefault="003E6588">
      <w:pPr>
        <w:pStyle w:val="PargrafodaLista"/>
        <w:tabs>
          <w:tab w:val="left" w:pos="2127"/>
          <w:tab w:val="left" w:pos="2410"/>
        </w:tabs>
        <w:ind w:left="0" w:right="49" w:firstLine="1134"/>
        <w:rPr>
          <w:rFonts w:ascii="Times New Roman" w:hAnsi="Times New Roman"/>
          <w:sz w:val="24"/>
          <w:szCs w:val="24"/>
        </w:rPr>
      </w:pP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Igarapava</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Revitalização da Praça Sinhá Junqueira e recapeamento das ruas do entorno</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R$ 300.925,92</w:t>
      </w:r>
    </w:p>
    <w:p w:rsidR="003E6588" w:rsidRDefault="003E6588">
      <w:pPr>
        <w:pStyle w:val="PargrafodaLista"/>
        <w:tabs>
          <w:tab w:val="left" w:pos="2410"/>
        </w:tabs>
        <w:ind w:left="0" w:right="49" w:firstLine="1134"/>
        <w:rPr>
          <w:rFonts w:ascii="Times New Roman" w:hAnsi="Times New Roman"/>
          <w:sz w:val="24"/>
          <w:szCs w:val="24"/>
        </w:rPr>
      </w:pP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lastRenderedPageBreak/>
        <w:t>Município:</w:t>
      </w:r>
      <w:r>
        <w:rPr>
          <w:rFonts w:ascii="Times New Roman" w:hAnsi="Times New Roman"/>
          <w:sz w:val="24"/>
          <w:szCs w:val="24"/>
        </w:rPr>
        <w:tab/>
        <w:t>Ituverava</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Melhorias na infraestrutura do Parque Recreio, Balduíno Nunes da Silva</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R$ 300.925,92</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Miguelópolis</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Calçadão e Urbanização da Praça Padre Antonio</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R$ 300.925,92</w:t>
      </w:r>
    </w:p>
    <w:p w:rsidR="00DA12B4" w:rsidRDefault="00DA12B4">
      <w:pPr>
        <w:pStyle w:val="PargrafodaLista"/>
        <w:tabs>
          <w:tab w:val="left" w:pos="2410"/>
        </w:tabs>
        <w:ind w:left="0" w:right="49" w:firstLine="1134"/>
        <w:rPr>
          <w:rFonts w:ascii="Times New Roman" w:hAnsi="Times New Roman"/>
          <w:sz w:val="24"/>
          <w:szCs w:val="24"/>
        </w:rPr>
      </w:pP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Patrocínio Paulista</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Construção do Centro de Atendimento ao Turista</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R$ 300.925,92</w:t>
      </w:r>
    </w:p>
    <w:p w:rsidR="003E6588" w:rsidRDefault="003E6588">
      <w:pPr>
        <w:pStyle w:val="PargrafodaLista"/>
        <w:tabs>
          <w:tab w:val="left" w:pos="2410"/>
        </w:tabs>
        <w:ind w:left="0" w:right="49" w:firstLine="1134"/>
        <w:rPr>
          <w:rFonts w:ascii="Times New Roman" w:hAnsi="Times New Roman"/>
          <w:sz w:val="24"/>
          <w:szCs w:val="24"/>
        </w:rPr>
      </w:pP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Pedregulho</w:t>
      </w:r>
    </w:p>
    <w:p w:rsidR="003E6588" w:rsidRDefault="003E6588">
      <w:pPr>
        <w:pStyle w:val="PargrafodaLista"/>
        <w:tabs>
          <w:tab w:val="left" w:pos="2410"/>
        </w:tabs>
        <w:ind w:left="2410" w:right="49" w:hanging="1276"/>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Revitalização da Praça Octávio Quércia para Implantação do Posto de Informação ao Turista</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R$ 300.925,93</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Município:</w:t>
      </w:r>
      <w:r>
        <w:rPr>
          <w:rFonts w:ascii="Times New Roman" w:hAnsi="Times New Roman"/>
          <w:sz w:val="24"/>
          <w:szCs w:val="24"/>
        </w:rPr>
        <w:tab/>
        <w:t>Ribeirão Corrente</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Objeto:</w:t>
      </w:r>
      <w:r>
        <w:rPr>
          <w:rFonts w:ascii="Times New Roman" w:hAnsi="Times New Roman"/>
          <w:sz w:val="24"/>
          <w:szCs w:val="24"/>
        </w:rPr>
        <w:tab/>
        <w:t>Implantação do Parque Bosque Cinquentenário</w:t>
      </w:r>
    </w:p>
    <w:p w:rsidR="003E6588" w:rsidRDefault="003E6588">
      <w:pPr>
        <w:pStyle w:val="PargrafodaLista"/>
        <w:tabs>
          <w:tab w:val="left" w:pos="2410"/>
        </w:tabs>
        <w:ind w:left="0" w:right="49" w:firstLine="1134"/>
        <w:rPr>
          <w:rFonts w:ascii="Times New Roman" w:hAnsi="Times New Roman"/>
          <w:sz w:val="24"/>
          <w:szCs w:val="24"/>
        </w:rPr>
      </w:pPr>
      <w:r>
        <w:rPr>
          <w:rFonts w:ascii="Times New Roman" w:hAnsi="Times New Roman"/>
          <w:sz w:val="24"/>
          <w:szCs w:val="24"/>
        </w:rPr>
        <w:t>Valor:</w:t>
      </w:r>
      <w:r>
        <w:rPr>
          <w:rFonts w:ascii="Times New Roman" w:hAnsi="Times New Roman"/>
          <w:sz w:val="24"/>
          <w:szCs w:val="24"/>
        </w:rPr>
        <w:tab/>
        <w:t>R$ 300.925,93</w:t>
      </w:r>
    </w:p>
    <w:p w:rsidR="003E6588" w:rsidRDefault="003E6588">
      <w:pPr>
        <w:ind w:right="49" w:firstLine="1134"/>
        <w:jc w:val="both"/>
      </w:pPr>
    </w:p>
    <w:p w:rsidR="003E6588" w:rsidRDefault="003E6588">
      <w:pPr>
        <w:pStyle w:val="PargrafodaLista"/>
        <w:widowControl w:val="0"/>
        <w:tabs>
          <w:tab w:val="left" w:pos="284"/>
        </w:tabs>
        <w:ind w:left="1134" w:right="49"/>
        <w:contextualSpacing w:val="0"/>
        <w:rPr>
          <w:rFonts w:ascii="Times New Roman" w:hAnsi="Times New Roman"/>
          <w:color w:val="000000"/>
          <w:sz w:val="24"/>
          <w:szCs w:val="24"/>
        </w:rPr>
      </w:pPr>
      <w:r>
        <w:rPr>
          <w:rFonts w:ascii="Times New Roman" w:hAnsi="Times New Roman"/>
          <w:b/>
          <w:color w:val="000000"/>
          <w:sz w:val="24"/>
          <w:szCs w:val="24"/>
        </w:rPr>
        <w:t xml:space="preserve">Projeto Roda SP - </w:t>
      </w:r>
      <w:r>
        <w:rPr>
          <w:rFonts w:ascii="Times New Roman" w:hAnsi="Times New Roman"/>
          <w:color w:val="000000"/>
          <w:sz w:val="24"/>
          <w:szCs w:val="24"/>
        </w:rPr>
        <w:t>Valor investido - R$ 3.524.000,00</w:t>
      </w:r>
    </w:p>
    <w:p w:rsidR="003E6588" w:rsidRDefault="003E6588">
      <w:pPr>
        <w:widowControl w:val="0"/>
        <w:ind w:right="49" w:firstLine="1134"/>
        <w:jc w:val="both"/>
        <w:rPr>
          <w:color w:val="0D0D0D"/>
        </w:rPr>
      </w:pPr>
    </w:p>
    <w:p w:rsidR="003E6588" w:rsidRDefault="003E6588">
      <w:pPr>
        <w:pStyle w:val="NormalWeb"/>
        <w:widowControl w:val="0"/>
        <w:tabs>
          <w:tab w:val="left" w:pos="567"/>
          <w:tab w:val="left" w:pos="2410"/>
        </w:tabs>
        <w:spacing w:before="0" w:beforeAutospacing="0" w:after="0" w:afterAutospacing="0"/>
        <w:ind w:right="51" w:firstLine="1134"/>
        <w:jc w:val="both"/>
        <w:rPr>
          <w:rFonts w:eastAsia="Calibri"/>
          <w:lang w:eastAsia="en-US"/>
        </w:rPr>
      </w:pPr>
      <w:r>
        <w:rPr>
          <w:rFonts w:eastAsia="Calibri"/>
          <w:lang w:eastAsia="en-US"/>
        </w:rPr>
        <w:t xml:space="preserve">O Roda SP visa promover e desenvolver o turismo paulista. É um projeto itinerante composto de frota de veículos de turismo que percorrem diversas regiões do Estado, acompanhando os grandes fluxos de turistas em festas, eventos e férias escolares. Consiste na realização de circuitos intermunicipais, tendo como pontos de parada os principais atrativos turísticos. É iniciativa inédita no </w:t>
      </w:r>
      <w:r w:rsidR="00957E14">
        <w:rPr>
          <w:rFonts w:eastAsia="Calibri"/>
          <w:lang w:eastAsia="en-US"/>
        </w:rPr>
        <w:t>País</w:t>
      </w:r>
      <w:r>
        <w:rPr>
          <w:rFonts w:eastAsia="Calibri"/>
          <w:lang w:eastAsia="en-US"/>
        </w:rPr>
        <w:t>, que ajuda a redistribuir as grandes concentrações de turistas para as cidades vizinhas dos grandes eventos com um produto turístico de alta qualidade e baixo custo.</w:t>
      </w:r>
    </w:p>
    <w:p w:rsidR="003E6588" w:rsidRDefault="003E6588">
      <w:pPr>
        <w:pStyle w:val="NormalWeb"/>
        <w:widowControl w:val="0"/>
        <w:tabs>
          <w:tab w:val="left" w:pos="567"/>
          <w:tab w:val="left" w:pos="2410"/>
        </w:tabs>
        <w:spacing w:before="0" w:beforeAutospacing="0" w:after="0" w:afterAutospacing="0"/>
        <w:ind w:right="51" w:firstLine="1134"/>
        <w:jc w:val="both"/>
        <w:rPr>
          <w:rFonts w:eastAsia="Calibri"/>
          <w:color w:val="000000"/>
          <w:lang w:eastAsia="en-US"/>
        </w:rPr>
      </w:pPr>
    </w:p>
    <w:p w:rsidR="003E6588" w:rsidRDefault="003E6588">
      <w:pPr>
        <w:pStyle w:val="NormalWeb"/>
        <w:widowControl w:val="0"/>
        <w:spacing w:before="0" w:beforeAutospacing="0" w:after="0" w:afterAutospacing="0"/>
        <w:ind w:right="51" w:firstLine="1134"/>
        <w:jc w:val="both"/>
      </w:pPr>
      <w:r>
        <w:rPr>
          <w:rFonts w:eastAsia="Calibri"/>
          <w:lang w:eastAsia="en-US"/>
        </w:rPr>
        <w:t xml:space="preserve">Os ônibus de turismo funcionam com o sistema embarque/desembarque, não sendo ônibus de </w:t>
      </w:r>
      <w:r>
        <w:rPr>
          <w:rFonts w:eastAsia="Calibri"/>
          <w:i/>
          <w:lang w:eastAsia="en-US"/>
        </w:rPr>
        <w:t>city-tour</w:t>
      </w:r>
      <w:r>
        <w:rPr>
          <w:rFonts w:eastAsia="Calibri"/>
          <w:lang w:eastAsia="en-US"/>
        </w:rPr>
        <w:t xml:space="preserve">, ou seja, os ônibus não ficam estacionados para aguardar o retorno do grupo, funciona como uma linha de ônibus com saídas regulares com tempo médio de 60 em 60 minutos durante todo o dia, assim o passageiro pode desembarcar do ônibus e embarcar no sequente. </w:t>
      </w:r>
      <w:r>
        <w:t>O turista adquire um ingresso que permite viajar o dia inteiro, subindo e descendo dos ônibus quantas vezes quiser, permanecendo nos pontos turísticos pelo tempo que desejar.</w:t>
      </w:r>
    </w:p>
    <w:p w:rsidR="003E6588" w:rsidRDefault="003E6588">
      <w:pPr>
        <w:widowControl w:val="0"/>
        <w:ind w:right="49" w:firstLine="1134"/>
        <w:jc w:val="both"/>
        <w:rPr>
          <w:color w:val="000000"/>
        </w:rPr>
      </w:pPr>
    </w:p>
    <w:p w:rsidR="003E6588" w:rsidRDefault="003E6588">
      <w:pPr>
        <w:pStyle w:val="NormalWeb"/>
        <w:widowControl w:val="0"/>
        <w:spacing w:before="0" w:beforeAutospacing="0" w:after="0" w:afterAutospacing="0"/>
        <w:ind w:right="51" w:firstLine="1134"/>
        <w:jc w:val="both"/>
        <w:rPr>
          <w:color w:val="000000"/>
        </w:rPr>
      </w:pPr>
      <w:r>
        <w:rPr>
          <w:rFonts w:eastAsia="Calibri"/>
          <w:b/>
          <w:color w:val="0D0D0D"/>
          <w:lang w:eastAsia="en-US"/>
        </w:rPr>
        <w:t xml:space="preserve">Frota de veículos - </w:t>
      </w:r>
      <w:r>
        <w:rPr>
          <w:i/>
          <w:color w:val="000000"/>
        </w:rPr>
        <w:t xml:space="preserve">Double deckers - </w:t>
      </w:r>
      <w:r>
        <w:rPr>
          <w:color w:val="000000"/>
        </w:rPr>
        <w:t>2; Convencionais: 2; Micro-ônibus: 10; Micro adaptado: 2 (acessível).</w:t>
      </w:r>
    </w:p>
    <w:p w:rsidR="003E6588" w:rsidRDefault="003E6588">
      <w:pPr>
        <w:widowControl w:val="0"/>
        <w:ind w:right="51" w:firstLine="1134"/>
        <w:jc w:val="both"/>
        <w:rPr>
          <w:color w:val="0D0D0D"/>
        </w:rPr>
      </w:pPr>
    </w:p>
    <w:p w:rsidR="003E6588" w:rsidRDefault="003E6588">
      <w:pPr>
        <w:widowControl w:val="0"/>
        <w:ind w:right="51" w:firstLine="1134"/>
        <w:jc w:val="both"/>
        <w:rPr>
          <w:color w:val="000000"/>
        </w:rPr>
      </w:pPr>
      <w:r>
        <w:rPr>
          <w:b/>
          <w:color w:val="0D0D0D"/>
        </w:rPr>
        <w:t xml:space="preserve">Sistema de Bilhetagem - </w:t>
      </w:r>
      <w:r>
        <w:rPr>
          <w:color w:val="000000"/>
        </w:rPr>
        <w:t xml:space="preserve">Os guias, dentro dos ônibus, possuem </w:t>
      </w:r>
      <w:r>
        <w:rPr>
          <w:i/>
          <w:color w:val="000000"/>
        </w:rPr>
        <w:t>smartphones</w:t>
      </w:r>
      <w:r>
        <w:rPr>
          <w:color w:val="000000"/>
        </w:rPr>
        <w:t xml:space="preserve"> para validação dos cartões de embarque. Por meio de sistema de monitoramento em tempo real, </w:t>
      </w:r>
      <w:r>
        <w:t>recebem</w:t>
      </w:r>
      <w:r>
        <w:rPr>
          <w:color w:val="000000"/>
        </w:rPr>
        <w:t xml:space="preserve"> as informações dos </w:t>
      </w:r>
      <w:r>
        <w:rPr>
          <w:i/>
          <w:color w:val="000000"/>
        </w:rPr>
        <w:t>smartphones</w:t>
      </w:r>
      <w:r>
        <w:rPr>
          <w:color w:val="000000"/>
        </w:rPr>
        <w:t xml:space="preserve"> sobre os embarques e desembarques em cada ponto de parada e a </w:t>
      </w:r>
      <w:r>
        <w:rPr>
          <w:color w:val="000000"/>
        </w:rPr>
        <w:lastRenderedPageBreak/>
        <w:t>localização dos ônibus. As informações recebidas são gerenciadas por uma base operacional do Roda SP. Os ingressos são válidos por 24 horas.</w:t>
      </w:r>
    </w:p>
    <w:p w:rsidR="003E6588" w:rsidRDefault="003E6588">
      <w:pPr>
        <w:widowControl w:val="0"/>
        <w:ind w:right="49" w:firstLine="1134"/>
        <w:jc w:val="both"/>
        <w:rPr>
          <w:color w:val="000000"/>
        </w:rPr>
      </w:pPr>
    </w:p>
    <w:p w:rsidR="003E6588" w:rsidRDefault="003E6588">
      <w:pPr>
        <w:widowControl w:val="0"/>
        <w:ind w:right="49" w:firstLine="1134"/>
        <w:jc w:val="both"/>
        <w:rPr>
          <w:color w:val="000000"/>
        </w:rPr>
      </w:pPr>
      <w:r>
        <w:rPr>
          <w:b/>
          <w:color w:val="0D0D0D"/>
        </w:rPr>
        <w:t xml:space="preserve">Atendimento ao Turista - </w:t>
      </w:r>
      <w:r>
        <w:rPr>
          <w:color w:val="0D0D0D"/>
        </w:rPr>
        <w:t>Feito através da linha</w:t>
      </w:r>
      <w:r>
        <w:rPr>
          <w:color w:val="000000"/>
        </w:rPr>
        <w:t xml:space="preserve"> 0300 745 0000, através dos </w:t>
      </w:r>
      <w:r>
        <w:rPr>
          <w:i/>
          <w:color w:val="000000"/>
        </w:rPr>
        <w:t>sites</w:t>
      </w:r>
      <w:r>
        <w:rPr>
          <w:color w:val="000000"/>
        </w:rPr>
        <w:t xml:space="preserve">, </w:t>
      </w:r>
      <w:r>
        <w:t>www.rodasp.com.br</w:t>
      </w:r>
      <w:r>
        <w:rPr>
          <w:color w:val="000000"/>
        </w:rPr>
        <w:t xml:space="preserve">, www.turismoemsaopaulo.com e www.turismo.sp.gov.br e pelo </w:t>
      </w:r>
      <w:r>
        <w:rPr>
          <w:i/>
          <w:color w:val="000000"/>
        </w:rPr>
        <w:t>e-mail</w:t>
      </w:r>
      <w:r>
        <w:rPr>
          <w:color w:val="000000"/>
        </w:rPr>
        <w:t xml:space="preserve"> </w:t>
      </w:r>
      <w:hyperlink r:id="rId72" w:history="1">
        <w:r>
          <w:rPr>
            <w:rStyle w:val="Hyperlink"/>
          </w:rPr>
          <w:t>rodasp@turismoemsaopaulo.com</w:t>
        </w:r>
      </w:hyperlink>
      <w:r>
        <w:rPr>
          <w:color w:val="000000"/>
        </w:rPr>
        <w:t>.</w:t>
      </w:r>
    </w:p>
    <w:p w:rsidR="003E6588" w:rsidRDefault="003E6588">
      <w:pPr>
        <w:widowControl w:val="0"/>
        <w:ind w:right="49" w:firstLine="1134"/>
        <w:jc w:val="both"/>
        <w:rPr>
          <w:color w:val="000000"/>
        </w:rPr>
      </w:pPr>
    </w:p>
    <w:p w:rsidR="003E6588" w:rsidRDefault="003E6588">
      <w:pPr>
        <w:widowControl w:val="0"/>
        <w:ind w:right="49" w:firstLine="1134"/>
        <w:jc w:val="both"/>
        <w:rPr>
          <w:b/>
          <w:bCs/>
          <w:color w:val="000000"/>
        </w:rPr>
      </w:pPr>
      <w:r>
        <w:rPr>
          <w:b/>
          <w:color w:val="000000"/>
        </w:rPr>
        <w:t xml:space="preserve">Divulgação - </w:t>
      </w:r>
      <w:r>
        <w:rPr>
          <w:color w:val="000000"/>
        </w:rPr>
        <w:t xml:space="preserve">Para cada etapa do Roda SP, são produzidos folhetos promocionais sobre o funcionamento do Programa e com fotos dos atrações turísticas de cada região, além de totens de sinalização em cada ponto de parada e divulgação em veículos midiáticos e mídias sociais </w:t>
      </w:r>
      <w:r>
        <w:rPr>
          <w:bCs/>
        </w:rPr>
        <w:t>www.facebook.com.br/programarodasp</w:t>
      </w:r>
      <w:r>
        <w:rPr>
          <w:b/>
          <w:bCs/>
          <w:color w:val="000000"/>
        </w:rPr>
        <w:t>.</w:t>
      </w:r>
    </w:p>
    <w:p w:rsidR="003E6588" w:rsidRDefault="003E6588">
      <w:pPr>
        <w:widowControl w:val="0"/>
        <w:ind w:right="49" w:firstLine="1134"/>
        <w:jc w:val="both"/>
        <w:rPr>
          <w:color w:val="000000"/>
        </w:rPr>
      </w:pPr>
    </w:p>
    <w:p w:rsidR="003E6588" w:rsidRDefault="003E6588">
      <w:pPr>
        <w:widowControl w:val="0"/>
        <w:ind w:right="49" w:firstLine="1134"/>
        <w:jc w:val="both"/>
        <w:rPr>
          <w:color w:val="000000"/>
        </w:rPr>
      </w:pPr>
      <w:r>
        <w:rPr>
          <w:b/>
          <w:color w:val="000000"/>
        </w:rPr>
        <w:t xml:space="preserve">Locução - </w:t>
      </w:r>
      <w:r>
        <w:rPr>
          <w:color w:val="000000"/>
        </w:rPr>
        <w:t>São produzidos textos com explicações dos atrativos turísticos dos municípios, analisados pelos próprios municípios e transformados em áudios em 3 idiomas (português, inglês e espanhol).</w:t>
      </w:r>
    </w:p>
    <w:p w:rsidR="003E6588" w:rsidRDefault="003E6588">
      <w:pPr>
        <w:widowControl w:val="0"/>
        <w:ind w:right="49" w:firstLine="1134"/>
        <w:jc w:val="both"/>
      </w:pPr>
    </w:p>
    <w:p w:rsidR="003E6588" w:rsidRDefault="003E6588">
      <w:pPr>
        <w:widowControl w:val="0"/>
        <w:ind w:right="49" w:firstLine="1134"/>
        <w:jc w:val="both"/>
        <w:rPr>
          <w:b/>
        </w:rPr>
      </w:pPr>
      <w:r>
        <w:rPr>
          <w:b/>
        </w:rPr>
        <w:t>Público</w:t>
      </w:r>
    </w:p>
    <w:p w:rsidR="003E6588" w:rsidRDefault="003E6588">
      <w:pPr>
        <w:widowControl w:val="0"/>
        <w:ind w:right="49" w:firstLine="1134"/>
        <w:jc w:val="both"/>
        <w:rPr>
          <w:b/>
        </w:rPr>
      </w:pPr>
    </w:p>
    <w:p w:rsidR="003E6588" w:rsidRDefault="003E6588">
      <w:pPr>
        <w:widowControl w:val="0"/>
        <w:ind w:right="49" w:firstLine="1134"/>
        <w:jc w:val="both"/>
        <w:rPr>
          <w:color w:val="000000"/>
        </w:rPr>
      </w:pPr>
      <w:r>
        <w:rPr>
          <w:color w:val="000000"/>
        </w:rPr>
        <w:t>- Turistas - 28.212</w:t>
      </w:r>
    </w:p>
    <w:p w:rsidR="003E6588" w:rsidRDefault="003E6588">
      <w:pPr>
        <w:widowControl w:val="0"/>
        <w:ind w:right="49" w:firstLine="1134"/>
        <w:jc w:val="both"/>
        <w:rPr>
          <w:color w:val="000000"/>
        </w:rPr>
      </w:pPr>
    </w:p>
    <w:p w:rsidR="003E6588" w:rsidRDefault="003E6588">
      <w:pPr>
        <w:widowControl w:val="0"/>
        <w:ind w:right="49" w:firstLine="1134"/>
        <w:jc w:val="both"/>
        <w:rPr>
          <w:color w:val="000000"/>
        </w:rPr>
      </w:pPr>
      <w:r>
        <w:rPr>
          <w:color w:val="000000"/>
        </w:rPr>
        <w:t>- Operações de embarques - 82.219</w:t>
      </w:r>
    </w:p>
    <w:p w:rsidR="003E6588" w:rsidRDefault="003E6588">
      <w:pPr>
        <w:widowControl w:val="0"/>
        <w:ind w:right="49" w:firstLine="1134"/>
        <w:jc w:val="both"/>
        <w:rPr>
          <w:u w:val="single"/>
        </w:rPr>
      </w:pPr>
    </w:p>
    <w:p w:rsidR="003E6588" w:rsidRPr="00DA12B4" w:rsidRDefault="003E6588">
      <w:pPr>
        <w:widowControl w:val="0"/>
        <w:ind w:right="49" w:firstLine="1134"/>
        <w:jc w:val="both"/>
        <w:rPr>
          <w:b/>
        </w:rPr>
      </w:pPr>
      <w:r>
        <w:rPr>
          <w:b/>
        </w:rPr>
        <w:t>Programação</w:t>
      </w:r>
    </w:p>
    <w:p w:rsidR="003E6588" w:rsidRDefault="003E6588">
      <w:pPr>
        <w:widowControl w:val="0"/>
        <w:ind w:right="49" w:firstLine="1134"/>
        <w:jc w:val="both"/>
      </w:pPr>
    </w:p>
    <w:p w:rsidR="003E6588" w:rsidRDefault="003E6588">
      <w:pPr>
        <w:widowControl w:val="0"/>
        <w:ind w:right="49" w:firstLine="1134"/>
        <w:jc w:val="both"/>
      </w:pPr>
      <w:r>
        <w:rPr>
          <w:b/>
        </w:rPr>
        <w:t xml:space="preserve">1.ª Etapa - Operação Litoral - </w:t>
      </w:r>
      <w:r>
        <w:t>Municípios -</w:t>
      </w:r>
      <w:r>
        <w:rPr>
          <w:b/>
        </w:rPr>
        <w:t xml:space="preserve"> </w:t>
      </w:r>
      <w:r>
        <w:t>Peruíbe, Itanhaém, Mongaguá, Praia Grande, São Vicente, Santos, Guarujá, Cubatão e Bertioga - Número de Embarques - 69.050.</w:t>
      </w:r>
    </w:p>
    <w:p w:rsidR="003E6588" w:rsidRDefault="003E6588">
      <w:pPr>
        <w:widowControl w:val="0"/>
        <w:ind w:right="49" w:firstLine="1134"/>
        <w:jc w:val="both"/>
      </w:pPr>
    </w:p>
    <w:p w:rsidR="003E6588" w:rsidRDefault="003E6588">
      <w:pPr>
        <w:widowControl w:val="0"/>
        <w:ind w:right="49" w:firstLine="1134"/>
        <w:jc w:val="both"/>
      </w:pPr>
      <w:r>
        <w:rPr>
          <w:b/>
        </w:rPr>
        <w:t xml:space="preserve">2ª Etapa - Roteiro teste Franca </w:t>
      </w:r>
      <w:r>
        <w:t>- Municípios - Franca, Cristais Paulista, Pedregulho e Rifaina.</w:t>
      </w:r>
    </w:p>
    <w:p w:rsidR="003E6588" w:rsidRDefault="003E6588">
      <w:pPr>
        <w:widowControl w:val="0"/>
        <w:ind w:right="49" w:firstLine="1134"/>
        <w:jc w:val="both"/>
        <w:rPr>
          <w:b/>
        </w:rPr>
      </w:pPr>
    </w:p>
    <w:p w:rsidR="003E6588" w:rsidRDefault="003E6588">
      <w:pPr>
        <w:widowControl w:val="0"/>
        <w:ind w:right="49" w:firstLine="1134"/>
        <w:jc w:val="both"/>
      </w:pPr>
      <w:r>
        <w:rPr>
          <w:b/>
        </w:rPr>
        <w:t xml:space="preserve">3ª Etapa - Realização de roteiro turístico no Congresso Estadual dos Municípios </w:t>
      </w:r>
      <w:r>
        <w:t>- Município - Campos do Jordão.</w:t>
      </w:r>
    </w:p>
    <w:p w:rsidR="003E6588" w:rsidRDefault="003E6588">
      <w:pPr>
        <w:widowControl w:val="0"/>
        <w:ind w:right="49" w:firstLine="1134"/>
        <w:jc w:val="both"/>
      </w:pPr>
    </w:p>
    <w:p w:rsidR="003E6588" w:rsidRDefault="003E6588">
      <w:pPr>
        <w:widowControl w:val="0"/>
        <w:ind w:right="49" w:firstLine="1134"/>
        <w:jc w:val="both"/>
      </w:pPr>
      <w:r>
        <w:rPr>
          <w:b/>
        </w:rPr>
        <w:t xml:space="preserve">4ª Etapa - Roteiro teste Águas de São Pedro </w:t>
      </w:r>
      <w:r>
        <w:t>- Municípios - Águas de São Pedro, São Pedro, Brotas, Piracicaba e Torrinha.</w:t>
      </w:r>
    </w:p>
    <w:p w:rsidR="003E6588" w:rsidRDefault="003E6588">
      <w:pPr>
        <w:widowControl w:val="0"/>
        <w:ind w:right="49" w:firstLine="1134"/>
        <w:jc w:val="both"/>
      </w:pPr>
    </w:p>
    <w:p w:rsidR="003E6588" w:rsidRDefault="003E6588">
      <w:pPr>
        <w:widowControl w:val="0"/>
        <w:ind w:right="49" w:firstLine="1134"/>
        <w:jc w:val="both"/>
      </w:pPr>
      <w:r>
        <w:rPr>
          <w:b/>
        </w:rPr>
        <w:t xml:space="preserve">5ª Etapa - Roteiro teste Circuito das Frutas </w:t>
      </w:r>
      <w:r>
        <w:t>- Municípios - Indaiatuba, Itatiba, Itupeva, Jarinu, Jundiaí, Louveira, Morungaba, Valinhos e Vinhedo.</w:t>
      </w:r>
    </w:p>
    <w:p w:rsidR="003E6588" w:rsidRDefault="003E6588">
      <w:pPr>
        <w:widowControl w:val="0"/>
        <w:ind w:right="49" w:firstLine="1134"/>
        <w:jc w:val="both"/>
        <w:rPr>
          <w:u w:val="single"/>
        </w:rPr>
      </w:pPr>
    </w:p>
    <w:p w:rsidR="003E6588" w:rsidRDefault="003E6588">
      <w:pPr>
        <w:widowControl w:val="0"/>
        <w:ind w:right="49" w:firstLine="1134"/>
        <w:jc w:val="both"/>
      </w:pPr>
      <w:r>
        <w:rPr>
          <w:b/>
        </w:rPr>
        <w:t xml:space="preserve">6ª Etapa - Roteiro Turístico em São Paulo e Cerimônia de Posse do Conselho Estadual de Turismo </w:t>
      </w:r>
      <w:r>
        <w:t>- Municípios - Mongaguá, Santos e Jambeiro.</w:t>
      </w:r>
    </w:p>
    <w:p w:rsidR="003E6588" w:rsidRDefault="003E6588">
      <w:pPr>
        <w:widowControl w:val="0"/>
        <w:ind w:right="49" w:firstLine="1134"/>
        <w:jc w:val="both"/>
      </w:pPr>
    </w:p>
    <w:p w:rsidR="003E6588" w:rsidRDefault="003E6588">
      <w:pPr>
        <w:widowControl w:val="0"/>
        <w:ind w:right="49" w:firstLine="1134"/>
        <w:jc w:val="both"/>
      </w:pPr>
      <w:r>
        <w:rPr>
          <w:b/>
        </w:rPr>
        <w:t>7ª Etapa - Roteiro teste Roda SP Litoral/Rota Calor no Coração -</w:t>
      </w:r>
      <w:r>
        <w:t xml:space="preserve"> Municípios - </w:t>
      </w:r>
      <w:r>
        <w:lastRenderedPageBreak/>
        <w:t>Peruíbe, Itanhaém, Mongaguá e Praia Grande</w:t>
      </w:r>
    </w:p>
    <w:p w:rsidR="003E6588" w:rsidRDefault="003E6588">
      <w:pPr>
        <w:widowControl w:val="0"/>
        <w:ind w:right="49" w:firstLine="1134"/>
        <w:jc w:val="both"/>
        <w:rPr>
          <w:u w:val="single"/>
        </w:rPr>
      </w:pPr>
    </w:p>
    <w:p w:rsidR="003E6588" w:rsidRDefault="003E6588">
      <w:pPr>
        <w:widowControl w:val="0"/>
        <w:ind w:right="49" w:firstLine="1134"/>
        <w:jc w:val="both"/>
      </w:pPr>
      <w:r>
        <w:rPr>
          <w:b/>
        </w:rPr>
        <w:t xml:space="preserve">8ª Etapa - Roteiro teste Roda SP Litoral/Rota Bem Receber </w:t>
      </w:r>
      <w:r>
        <w:t>- Municípios - Praia Grande, Santos e São Vicente.</w:t>
      </w:r>
    </w:p>
    <w:p w:rsidR="003E6588" w:rsidRDefault="003E6588">
      <w:pPr>
        <w:widowControl w:val="0"/>
        <w:ind w:right="49" w:firstLine="1134"/>
        <w:jc w:val="both"/>
      </w:pPr>
    </w:p>
    <w:p w:rsidR="003E6588" w:rsidRDefault="003E6588">
      <w:pPr>
        <w:widowControl w:val="0"/>
        <w:ind w:right="49" w:firstLine="1134"/>
        <w:jc w:val="both"/>
      </w:pPr>
      <w:r>
        <w:rPr>
          <w:b/>
        </w:rPr>
        <w:t xml:space="preserve">9ª Etapa - Roteiro teste Roda SP Litoral/Rota Caminhos do Mar </w:t>
      </w:r>
      <w:r>
        <w:t>- Municípios - Praia Grande, São Vicente, Santo e Cubatão.</w:t>
      </w:r>
    </w:p>
    <w:p w:rsidR="003E6588" w:rsidRDefault="003E6588">
      <w:pPr>
        <w:widowControl w:val="0"/>
        <w:ind w:right="49" w:firstLine="1134"/>
        <w:jc w:val="both"/>
      </w:pPr>
    </w:p>
    <w:p w:rsidR="003E6588" w:rsidRDefault="003E6588">
      <w:pPr>
        <w:widowControl w:val="0"/>
        <w:ind w:right="49" w:firstLine="1134"/>
        <w:jc w:val="both"/>
      </w:pPr>
      <w:r>
        <w:rPr>
          <w:b/>
        </w:rPr>
        <w:t xml:space="preserve">10ª Etapa - Roteiro teste Roda SP Litoral/Rota Navegantes </w:t>
      </w:r>
      <w:r>
        <w:t>- Municípios - Guarujá e Bertioga.</w:t>
      </w:r>
    </w:p>
    <w:p w:rsidR="003E6588" w:rsidRDefault="003E6588">
      <w:pPr>
        <w:widowControl w:val="0"/>
        <w:ind w:right="49" w:firstLine="1134"/>
        <w:jc w:val="both"/>
      </w:pPr>
      <w:r>
        <w:rPr>
          <w:b/>
        </w:rPr>
        <w:t xml:space="preserve">11ª Etapa - Atendimento as demandas do Fórum de Profissionais de Comunicação em Brotas </w:t>
      </w:r>
      <w:r>
        <w:t>- Município - Brotas.</w:t>
      </w:r>
    </w:p>
    <w:p w:rsidR="003E6588" w:rsidRDefault="003E6588">
      <w:pPr>
        <w:widowControl w:val="0"/>
        <w:ind w:right="49" w:firstLine="1134"/>
        <w:jc w:val="both"/>
      </w:pPr>
    </w:p>
    <w:p w:rsidR="003E6588" w:rsidRDefault="003E6588">
      <w:pPr>
        <w:widowControl w:val="0"/>
        <w:ind w:right="49" w:firstLine="1134"/>
        <w:jc w:val="both"/>
      </w:pPr>
      <w:r>
        <w:rPr>
          <w:b/>
        </w:rPr>
        <w:t xml:space="preserve">12ª Etapa - Roteiro turístico com grupo do Município de Santos </w:t>
      </w:r>
      <w:r>
        <w:t>- Municípios - Santos à Itanhaém.</w:t>
      </w:r>
    </w:p>
    <w:p w:rsidR="003E6588" w:rsidRDefault="003E6588">
      <w:pPr>
        <w:widowControl w:val="0"/>
        <w:ind w:right="49" w:firstLine="1134"/>
        <w:jc w:val="both"/>
      </w:pPr>
    </w:p>
    <w:p w:rsidR="003E6588" w:rsidRDefault="003E6588">
      <w:pPr>
        <w:widowControl w:val="0"/>
        <w:ind w:right="49" w:firstLine="1134"/>
        <w:jc w:val="both"/>
      </w:pPr>
      <w:r>
        <w:t>Devido a Semana de Anchieta, um grupo de terceira idade do SESC Santos foi levado para participação da Caminhada em Homenagem ao Padre José de Anchieta.</w:t>
      </w:r>
    </w:p>
    <w:p w:rsidR="003E6588" w:rsidRDefault="003E6588">
      <w:pPr>
        <w:widowControl w:val="0"/>
        <w:ind w:right="49" w:firstLine="1134"/>
        <w:jc w:val="both"/>
        <w:rPr>
          <w:u w:val="single"/>
        </w:rPr>
      </w:pPr>
    </w:p>
    <w:p w:rsidR="003E6588" w:rsidRDefault="003E6588">
      <w:pPr>
        <w:widowControl w:val="0"/>
        <w:ind w:right="49" w:firstLine="1134"/>
        <w:jc w:val="both"/>
      </w:pPr>
      <w:r>
        <w:rPr>
          <w:b/>
        </w:rPr>
        <w:t xml:space="preserve">13ª Etapa - Atendimento as demandas do Salão São Paulo de Turismo </w:t>
      </w:r>
      <w:r>
        <w:t>- Município - São Paulo.</w:t>
      </w:r>
    </w:p>
    <w:p w:rsidR="003E6588" w:rsidRDefault="003E6588">
      <w:pPr>
        <w:widowControl w:val="0"/>
        <w:ind w:right="49" w:firstLine="1134"/>
        <w:jc w:val="both"/>
      </w:pPr>
    </w:p>
    <w:p w:rsidR="003E6588" w:rsidRDefault="003E6588">
      <w:pPr>
        <w:widowControl w:val="0"/>
        <w:ind w:right="49" w:firstLine="1134"/>
        <w:jc w:val="both"/>
      </w:pPr>
      <w:r>
        <w:t xml:space="preserve">Para realização de </w:t>
      </w:r>
      <w:r>
        <w:rPr>
          <w:i/>
        </w:rPr>
        <w:t xml:space="preserve">transfers </w:t>
      </w:r>
      <w:r>
        <w:t>e realização de roteiros com os participantes do evento.</w:t>
      </w:r>
    </w:p>
    <w:p w:rsidR="003E6588" w:rsidRDefault="003E6588">
      <w:pPr>
        <w:widowControl w:val="0"/>
        <w:ind w:right="49" w:firstLine="1134"/>
        <w:jc w:val="both"/>
        <w:rPr>
          <w:u w:val="single"/>
        </w:rPr>
      </w:pPr>
    </w:p>
    <w:p w:rsidR="003E6588" w:rsidRDefault="003E6588">
      <w:pPr>
        <w:widowControl w:val="0"/>
        <w:ind w:right="49" w:firstLine="1134"/>
        <w:jc w:val="both"/>
      </w:pPr>
      <w:r>
        <w:rPr>
          <w:b/>
        </w:rPr>
        <w:t xml:space="preserve">14ª Etapa - Delegação Amitur </w:t>
      </w:r>
      <w:r>
        <w:t>- Municípios - Ilha Comprida, Cananéia e Jacupiranga.</w:t>
      </w:r>
    </w:p>
    <w:p w:rsidR="003E6588" w:rsidRDefault="003E6588">
      <w:pPr>
        <w:widowControl w:val="0"/>
        <w:ind w:right="49" w:firstLine="1134"/>
        <w:jc w:val="both"/>
      </w:pPr>
    </w:p>
    <w:p w:rsidR="003E6588" w:rsidRDefault="003E6588">
      <w:pPr>
        <w:widowControl w:val="0"/>
        <w:ind w:right="49" w:firstLine="1134"/>
        <w:jc w:val="both"/>
      </w:pPr>
      <w:r>
        <w:rPr>
          <w:b/>
        </w:rPr>
        <w:t xml:space="preserve">15ª Etapa - Escola Veiga Jr em Iguape </w:t>
      </w:r>
      <w:r>
        <w:t>- Municípios - Iguape à Santos</w:t>
      </w:r>
    </w:p>
    <w:p w:rsidR="003E6588" w:rsidRDefault="003E6588">
      <w:pPr>
        <w:widowControl w:val="0"/>
        <w:ind w:right="49" w:firstLine="1134"/>
        <w:jc w:val="both"/>
      </w:pPr>
    </w:p>
    <w:p w:rsidR="003E6588" w:rsidRDefault="003E6588">
      <w:pPr>
        <w:widowControl w:val="0"/>
        <w:ind w:right="49" w:firstLine="1134"/>
        <w:jc w:val="both"/>
      </w:pPr>
      <w:r>
        <w:t>Grupo de estudantes de Iguape para Santos para roteiro turístico na cidade.</w:t>
      </w:r>
    </w:p>
    <w:p w:rsidR="003E6588" w:rsidRDefault="003E6588">
      <w:pPr>
        <w:widowControl w:val="0"/>
        <w:ind w:right="49" w:firstLine="1134"/>
        <w:jc w:val="both"/>
        <w:rPr>
          <w:u w:val="single"/>
        </w:rPr>
      </w:pPr>
    </w:p>
    <w:p w:rsidR="003E6588" w:rsidRDefault="003E6588">
      <w:pPr>
        <w:widowControl w:val="0"/>
        <w:ind w:right="49" w:firstLine="1134"/>
        <w:jc w:val="both"/>
      </w:pPr>
      <w:r>
        <w:rPr>
          <w:b/>
        </w:rPr>
        <w:t xml:space="preserve">16ª Etapa - Festival Sabor São Paulo </w:t>
      </w:r>
      <w:r>
        <w:t>- Municípios - Araçatuba, Piracicaba, São José dos Campos e Olímpia à São Paulo.</w:t>
      </w:r>
    </w:p>
    <w:p w:rsidR="003E6588" w:rsidRDefault="003E6588">
      <w:pPr>
        <w:widowControl w:val="0"/>
        <w:ind w:right="49" w:firstLine="1134"/>
        <w:jc w:val="both"/>
      </w:pPr>
    </w:p>
    <w:p w:rsidR="003E6588" w:rsidRDefault="003E6588">
      <w:pPr>
        <w:widowControl w:val="0"/>
        <w:ind w:right="49" w:firstLine="1134"/>
        <w:jc w:val="both"/>
      </w:pPr>
      <w:r>
        <w:rPr>
          <w:i/>
        </w:rPr>
        <w:t xml:space="preserve">Transfers </w:t>
      </w:r>
      <w:r>
        <w:t>de artistas para o Festival Sabor São Paulo no Parque Villa Lobos.</w:t>
      </w:r>
    </w:p>
    <w:p w:rsidR="003E6588" w:rsidRDefault="003E6588">
      <w:pPr>
        <w:widowControl w:val="0"/>
        <w:ind w:right="49" w:firstLine="1134"/>
        <w:jc w:val="both"/>
      </w:pPr>
    </w:p>
    <w:p w:rsidR="003E6588" w:rsidRDefault="003E6588">
      <w:pPr>
        <w:pStyle w:val="PargrafodaLista"/>
        <w:widowControl w:val="0"/>
        <w:tabs>
          <w:tab w:val="left" w:pos="284"/>
        </w:tabs>
        <w:ind w:left="1134" w:right="49"/>
        <w:contextualSpacing w:val="0"/>
        <w:rPr>
          <w:rFonts w:ascii="Times New Roman" w:hAnsi="Times New Roman"/>
          <w:color w:val="000000"/>
          <w:sz w:val="24"/>
          <w:szCs w:val="24"/>
        </w:rPr>
      </w:pPr>
      <w:r>
        <w:rPr>
          <w:rFonts w:ascii="Times New Roman" w:hAnsi="Times New Roman"/>
          <w:b/>
          <w:color w:val="000000"/>
          <w:sz w:val="24"/>
          <w:szCs w:val="24"/>
        </w:rPr>
        <w:t xml:space="preserve">Programa Turismo do Saber - </w:t>
      </w:r>
      <w:r>
        <w:rPr>
          <w:rFonts w:ascii="Times New Roman" w:hAnsi="Times New Roman"/>
          <w:color w:val="000000"/>
          <w:sz w:val="24"/>
          <w:szCs w:val="24"/>
        </w:rPr>
        <w:t>Valor investido - R$ 610.300,00.</w:t>
      </w:r>
    </w:p>
    <w:p w:rsidR="003E6588" w:rsidRDefault="003E6588">
      <w:pPr>
        <w:pStyle w:val="PargrafodaLista"/>
        <w:widowControl w:val="0"/>
        <w:ind w:left="0" w:right="49" w:firstLine="1134"/>
        <w:contextualSpacing w:val="0"/>
        <w:rPr>
          <w:rFonts w:ascii="Times New Roman" w:hAnsi="Times New Roman"/>
          <w:color w:val="000000"/>
          <w:sz w:val="24"/>
          <w:szCs w:val="24"/>
          <w:u w:val="single"/>
        </w:rPr>
      </w:pPr>
    </w:p>
    <w:p w:rsidR="003E6588" w:rsidRDefault="003E6588">
      <w:pPr>
        <w:pStyle w:val="PargrafodaLista"/>
        <w:widowControl w:val="0"/>
        <w:ind w:left="0" w:right="49" w:firstLine="1134"/>
        <w:contextualSpacing w:val="0"/>
        <w:rPr>
          <w:rFonts w:ascii="Times New Roman" w:hAnsi="Times New Roman"/>
          <w:sz w:val="24"/>
          <w:szCs w:val="24"/>
        </w:rPr>
      </w:pPr>
      <w:r>
        <w:rPr>
          <w:rFonts w:ascii="Times New Roman" w:hAnsi="Times New Roman"/>
          <w:sz w:val="24"/>
          <w:szCs w:val="24"/>
        </w:rPr>
        <w:t>Conhecer a realidade e o potencial turístico de uma região do Estado de São Paulo diferente daquela em que reside. Beneficia estudantes da rede pública de ensino, na faixa etária dos 9 aos 11 anos. Foram 1.640 alunos da rede pública beneficiados, sendo 1.200 crianças atendidas na edição de janeiro (Interior na Praia) e 440 na edição de julho (Litoral no Campo).</w:t>
      </w:r>
    </w:p>
    <w:p w:rsidR="003E6588" w:rsidRDefault="003E6588">
      <w:pPr>
        <w:pStyle w:val="PargrafodaLista"/>
        <w:widowControl w:val="0"/>
        <w:ind w:left="0" w:right="49" w:firstLine="1134"/>
        <w:contextualSpacing w:val="0"/>
        <w:rPr>
          <w:rFonts w:ascii="Times New Roman" w:hAnsi="Times New Roman"/>
          <w:sz w:val="24"/>
          <w:szCs w:val="24"/>
        </w:rPr>
      </w:pPr>
    </w:p>
    <w:p w:rsidR="003E6588" w:rsidRDefault="003E6588">
      <w:pPr>
        <w:pStyle w:val="PargrafodaLista"/>
        <w:widowControl w:val="0"/>
        <w:ind w:left="0" w:right="49" w:firstLine="1134"/>
        <w:contextualSpacing w:val="0"/>
        <w:rPr>
          <w:rFonts w:ascii="Times New Roman" w:hAnsi="Times New Roman"/>
          <w:sz w:val="24"/>
          <w:szCs w:val="24"/>
        </w:rPr>
      </w:pPr>
      <w:r>
        <w:rPr>
          <w:rFonts w:ascii="Times New Roman" w:hAnsi="Times New Roman"/>
          <w:sz w:val="24"/>
          <w:szCs w:val="24"/>
        </w:rPr>
        <w:t xml:space="preserve">Parceira com as Secretarias do Meio Ambiente, Cultura e Educação, além de ARTESP e </w:t>
      </w:r>
      <w:r>
        <w:rPr>
          <w:rFonts w:ascii="Times New Roman" w:hAnsi="Times New Roman"/>
          <w:sz w:val="24"/>
          <w:szCs w:val="24"/>
        </w:rPr>
        <w:lastRenderedPageBreak/>
        <w:t>SABESP.</w:t>
      </w:r>
    </w:p>
    <w:p w:rsidR="003E6588" w:rsidRDefault="003E6588">
      <w:pPr>
        <w:widowControl w:val="0"/>
        <w:ind w:right="49" w:firstLine="1134"/>
        <w:jc w:val="both"/>
        <w:rPr>
          <w:color w:val="000000"/>
          <w:u w:val="single"/>
        </w:rPr>
      </w:pPr>
    </w:p>
    <w:p w:rsidR="003E6588" w:rsidRDefault="003E6588">
      <w:pPr>
        <w:widowControl w:val="0"/>
        <w:ind w:right="49" w:firstLine="1134"/>
        <w:jc w:val="both"/>
        <w:rPr>
          <w:b/>
          <w:color w:val="000000"/>
        </w:rPr>
      </w:pPr>
      <w:r>
        <w:rPr>
          <w:b/>
          <w:color w:val="000000"/>
        </w:rPr>
        <w:t>Interior na Praia</w:t>
      </w:r>
    </w:p>
    <w:p w:rsidR="003E6588" w:rsidRDefault="003E6588">
      <w:pPr>
        <w:widowControl w:val="0"/>
        <w:ind w:right="49" w:firstLine="1134"/>
        <w:jc w:val="both"/>
        <w:rPr>
          <w:b/>
          <w:color w:val="000000"/>
        </w:rPr>
      </w:pPr>
    </w:p>
    <w:p w:rsidR="003E6588" w:rsidRDefault="003E6588">
      <w:pPr>
        <w:widowControl w:val="0"/>
        <w:ind w:right="49" w:firstLine="1134"/>
        <w:jc w:val="both"/>
        <w:rPr>
          <w:color w:val="000000"/>
        </w:rPr>
      </w:pPr>
      <w:r>
        <w:rPr>
          <w:b/>
          <w:color w:val="000000"/>
        </w:rPr>
        <w:t>Municípios anfitriões</w:t>
      </w:r>
      <w:r>
        <w:rPr>
          <w:color w:val="000000"/>
        </w:rPr>
        <w:t xml:space="preserve"> - Bertioga, Cananéia, Caraguatatuba, Cubatão, Iguape, Ilha Comprida, Ilhabela, Itanhaém, Mongaguá, Praia Grande, Santos, São Vicente e Ubatuba.</w:t>
      </w:r>
    </w:p>
    <w:p w:rsidR="003E6588" w:rsidRDefault="003E6588">
      <w:pPr>
        <w:widowControl w:val="0"/>
        <w:tabs>
          <w:tab w:val="left" w:pos="709"/>
          <w:tab w:val="left" w:pos="10772"/>
        </w:tabs>
        <w:ind w:right="49" w:firstLine="1134"/>
        <w:jc w:val="both"/>
        <w:rPr>
          <w:color w:val="000000"/>
        </w:rPr>
      </w:pPr>
    </w:p>
    <w:p w:rsidR="003E6588" w:rsidRDefault="003E6588">
      <w:pPr>
        <w:widowControl w:val="0"/>
        <w:tabs>
          <w:tab w:val="left" w:pos="709"/>
          <w:tab w:val="left" w:pos="10772"/>
        </w:tabs>
        <w:ind w:right="49" w:firstLine="1134"/>
        <w:jc w:val="both"/>
        <w:rPr>
          <w:color w:val="000000"/>
        </w:rPr>
      </w:pPr>
      <w:r>
        <w:rPr>
          <w:b/>
          <w:color w:val="000000"/>
        </w:rPr>
        <w:t>Municípios visitantes</w:t>
      </w:r>
      <w:r>
        <w:rPr>
          <w:color w:val="000000"/>
        </w:rPr>
        <w:t xml:space="preserve"> - Altinópolis, Atibaia, Bauru, Brodowski, Brotas, Buritizal, Cabreúva, Cajuru, Cravinhos, Cristais Paulista, Franca, Guariba, Igarapava, Ipuã, Itirapuã, Ituverava, Jaboticabal, Jeriquara, Morro Agudo, Morungaba, Nuporanga, Orlândia, Patrocínio Paulista, Pedregulho, Pinhalzinho, Restinga, Ribeirão Corrente, Rifaina, Santa Rosa de Viterbo, São José da Bela Vista, Taquaritinga, Valinhos.</w:t>
      </w:r>
    </w:p>
    <w:p w:rsidR="003E6588" w:rsidRDefault="003E6588">
      <w:pPr>
        <w:widowControl w:val="0"/>
        <w:tabs>
          <w:tab w:val="left" w:pos="709"/>
          <w:tab w:val="left" w:pos="10772"/>
        </w:tabs>
        <w:ind w:right="49" w:firstLine="1134"/>
        <w:jc w:val="both"/>
        <w:rPr>
          <w:color w:val="000000"/>
        </w:rPr>
      </w:pPr>
    </w:p>
    <w:p w:rsidR="003E6588" w:rsidRDefault="003E6588">
      <w:pPr>
        <w:pStyle w:val="PargrafodaLista"/>
        <w:widowControl w:val="0"/>
        <w:tabs>
          <w:tab w:val="left" w:pos="284"/>
        </w:tabs>
        <w:ind w:left="1134" w:right="49"/>
        <w:contextualSpacing w:val="0"/>
        <w:rPr>
          <w:rFonts w:ascii="Times New Roman" w:hAnsi="Times New Roman"/>
          <w:b/>
          <w:color w:val="000000"/>
          <w:sz w:val="24"/>
          <w:szCs w:val="24"/>
        </w:rPr>
      </w:pPr>
      <w:r>
        <w:rPr>
          <w:rFonts w:ascii="Times New Roman" w:hAnsi="Times New Roman"/>
          <w:b/>
          <w:color w:val="000000"/>
          <w:sz w:val="24"/>
          <w:szCs w:val="24"/>
        </w:rPr>
        <w:t>Programa Caminha São Paulo</w:t>
      </w:r>
    </w:p>
    <w:p w:rsidR="003E6588" w:rsidRDefault="003E6588">
      <w:pPr>
        <w:pStyle w:val="PargrafodaLista"/>
        <w:widowControl w:val="0"/>
        <w:tabs>
          <w:tab w:val="left" w:pos="284"/>
        </w:tabs>
        <w:ind w:left="1134" w:right="49"/>
        <w:contextualSpacing w:val="0"/>
        <w:rPr>
          <w:rFonts w:ascii="Times New Roman" w:hAnsi="Times New Roman"/>
          <w:b/>
          <w:color w:val="000000"/>
          <w:sz w:val="24"/>
          <w:szCs w:val="24"/>
        </w:rPr>
      </w:pP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color w:val="000000"/>
          <w:sz w:val="24"/>
          <w:szCs w:val="24"/>
        </w:rPr>
        <w:t>Passos dos Jesuítas - Caminhos de Anchieta</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Rota Franciscana - Frei Galvão</w:t>
      </w:r>
    </w:p>
    <w:p w:rsidR="003E6588"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sz w:val="24"/>
          <w:szCs w:val="24"/>
        </w:rPr>
      </w:pPr>
      <w:r>
        <w:rPr>
          <w:rFonts w:ascii="Times New Roman" w:hAnsi="Times New Roman"/>
          <w:sz w:val="24"/>
          <w:szCs w:val="24"/>
        </w:rPr>
        <w:t>Rota Bandeirante - Fernão Dias</w:t>
      </w:r>
    </w:p>
    <w:p w:rsidR="003E6588" w:rsidRDefault="003E6588">
      <w:pPr>
        <w:pStyle w:val="PargrafodaLista"/>
        <w:ind w:left="0" w:right="49" w:firstLine="1134"/>
        <w:rPr>
          <w:rFonts w:ascii="Times New Roman" w:hAnsi="Times New Roman"/>
          <w:color w:val="000000"/>
          <w:sz w:val="24"/>
          <w:szCs w:val="24"/>
        </w:rPr>
      </w:pP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color w:val="000000"/>
          <w:sz w:val="24"/>
          <w:szCs w:val="24"/>
        </w:rPr>
        <w:t>Valor total investido - 650.120,00</w:t>
      </w:r>
    </w:p>
    <w:p w:rsidR="003E6588" w:rsidRPr="00F56889" w:rsidRDefault="003E6588">
      <w:pPr>
        <w:pStyle w:val="PargrafodaLista"/>
        <w:ind w:left="0" w:right="49" w:firstLine="1134"/>
        <w:rPr>
          <w:rFonts w:ascii="Times New Roman" w:hAnsi="Times New Roman"/>
          <w:sz w:val="24"/>
          <w:szCs w:val="24"/>
        </w:rPr>
      </w:pP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color w:val="000000"/>
          <w:sz w:val="24"/>
          <w:szCs w:val="24"/>
        </w:rPr>
        <w:t>Caminha São Paulo é um projeto turístico, implantado cujos objetivos são determinar o fluxo turístico permanente e atrativos naturais e monumentais dos municípios paulistas a partir do desenvolvimento de roteiros contemplados, que podem ser cumpridos a pé ou de bicicleta, inspirados em rotas percorridas por personagens históricos que ajudaram a compor o rico passado paulista.</w:t>
      </w:r>
    </w:p>
    <w:p w:rsidR="003E6588" w:rsidRDefault="003E6588">
      <w:pPr>
        <w:pStyle w:val="PargrafodaLista"/>
        <w:ind w:left="0" w:right="49" w:firstLine="1134"/>
        <w:rPr>
          <w:rFonts w:ascii="Times New Roman" w:hAnsi="Times New Roman"/>
          <w:color w:val="000000"/>
          <w:sz w:val="24"/>
          <w:szCs w:val="24"/>
        </w:rPr>
      </w:pP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color w:val="000000"/>
          <w:sz w:val="24"/>
          <w:szCs w:val="24"/>
        </w:rPr>
        <w:t xml:space="preserve">O Programa é inspirado no sucesso da mais famosa rota de pedestres do mundo: Caminho de Santiago de Compostela. Cada um dos caminhos é orientado por um portal na </w:t>
      </w:r>
      <w:r>
        <w:rPr>
          <w:rFonts w:ascii="Times New Roman" w:hAnsi="Times New Roman"/>
          <w:i/>
          <w:color w:val="000000"/>
          <w:sz w:val="24"/>
          <w:szCs w:val="24"/>
        </w:rPr>
        <w:t>internet</w:t>
      </w:r>
      <w:r>
        <w:rPr>
          <w:rFonts w:ascii="Times New Roman" w:hAnsi="Times New Roman"/>
          <w:color w:val="000000"/>
          <w:sz w:val="24"/>
          <w:szCs w:val="24"/>
        </w:rPr>
        <w:t xml:space="preserve"> onde o turista peregrino faz desde a sua inscrição até a impressão de seu certificado de participação. As rotas são monitoradas eletronicamente por meios de pórticos inteligentes, instalados nos diversos percursos. Um chip de memória, inserido em um cartão, faz a comunicação do caminhante com os pórticos, registrando, para a história, sua participação. O portal, que está apto a receber mensagens e fotos, permite interação com as diversas redes sociais e guarda registros da jornada para que parentes e amigos dos caminhantes acompanhem, na tela do computador, sua trajetória.</w:t>
      </w:r>
    </w:p>
    <w:p w:rsidR="003E6588" w:rsidRDefault="003E6588">
      <w:pPr>
        <w:pStyle w:val="PargrafodaLista"/>
        <w:ind w:left="0" w:right="49" w:firstLine="1134"/>
        <w:rPr>
          <w:rFonts w:ascii="Times New Roman" w:hAnsi="Times New Roman"/>
          <w:color w:val="000000"/>
          <w:sz w:val="24"/>
          <w:szCs w:val="24"/>
        </w:rPr>
      </w:pPr>
    </w:p>
    <w:p w:rsidR="003E6588" w:rsidRDefault="003E6588">
      <w:pPr>
        <w:pStyle w:val="PargrafodaLista"/>
        <w:ind w:left="0" w:right="49" w:firstLine="1134"/>
        <w:rPr>
          <w:rFonts w:ascii="Times New Roman" w:hAnsi="Times New Roman"/>
          <w:b/>
          <w:color w:val="000000"/>
          <w:sz w:val="24"/>
          <w:szCs w:val="24"/>
        </w:rPr>
      </w:pPr>
      <w:r>
        <w:rPr>
          <w:rFonts w:ascii="Times New Roman" w:hAnsi="Times New Roman"/>
          <w:b/>
          <w:color w:val="000000"/>
          <w:sz w:val="24"/>
          <w:szCs w:val="24"/>
        </w:rPr>
        <w:t>Dados Gerais</w:t>
      </w:r>
    </w:p>
    <w:p w:rsidR="003E6588" w:rsidRDefault="003E6588">
      <w:pPr>
        <w:pStyle w:val="PargrafodaLista"/>
        <w:ind w:left="0" w:right="49" w:firstLine="1134"/>
        <w:rPr>
          <w:rFonts w:ascii="Times New Roman" w:hAnsi="Times New Roman"/>
          <w:b/>
          <w:color w:val="000000"/>
          <w:sz w:val="24"/>
          <w:szCs w:val="24"/>
        </w:rPr>
      </w:pP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b/>
          <w:color w:val="000000"/>
          <w:sz w:val="24"/>
          <w:szCs w:val="24"/>
        </w:rPr>
        <w:t xml:space="preserve">Passos dos Jesuítas - </w:t>
      </w:r>
      <w:r>
        <w:rPr>
          <w:rFonts w:ascii="Times New Roman" w:hAnsi="Times New Roman"/>
          <w:color w:val="000000"/>
          <w:sz w:val="24"/>
          <w:szCs w:val="24"/>
        </w:rPr>
        <w:t>Passos dos Jesuítas Anchieta - rota pedestre que visa estimular a visitação aos atrativos turísticos dos 13 municípios contemplados, remontando os passos trilhados pelos missionários jesuítas, sobretudo o Padre Anchieta, durante suas ações de catequização e povoamento por terras paulistas.</w:t>
      </w: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color w:val="000000"/>
          <w:sz w:val="24"/>
          <w:szCs w:val="24"/>
        </w:rPr>
        <w:lastRenderedPageBreak/>
        <w:t>Municípios participantes - Bertioga, Caraguatatuba, Cubatão, Guarujá, Ilhabela, Itanhaém, Mongaguá, Peruíbe, Praia Grande, São Vicente, Santos, São Sebastião e Ubatuba.</w:t>
      </w:r>
    </w:p>
    <w:p w:rsidR="003E6588" w:rsidRDefault="003E6588">
      <w:pPr>
        <w:pStyle w:val="PargrafodaLista"/>
        <w:ind w:left="0" w:right="49" w:firstLine="1134"/>
        <w:rPr>
          <w:rFonts w:ascii="Times New Roman" w:hAnsi="Times New Roman"/>
          <w:color w:val="000000"/>
          <w:sz w:val="24"/>
          <w:szCs w:val="24"/>
        </w:rPr>
      </w:pPr>
    </w:p>
    <w:p w:rsidR="003E6588" w:rsidRDefault="003E6588">
      <w:pPr>
        <w:ind w:right="49" w:firstLine="1134"/>
        <w:jc w:val="both"/>
        <w:rPr>
          <w:color w:val="000000"/>
        </w:rPr>
      </w:pPr>
      <w:r>
        <w:rPr>
          <w:color w:val="000000"/>
        </w:rPr>
        <w:t>Total de caminhantes inscritos - 5.156</w:t>
      </w:r>
    </w:p>
    <w:p w:rsidR="003E6588" w:rsidRDefault="003E6588">
      <w:pPr>
        <w:ind w:right="49" w:firstLine="1134"/>
        <w:jc w:val="both"/>
        <w:rPr>
          <w:color w:val="000000"/>
        </w:rPr>
      </w:pPr>
    </w:p>
    <w:p w:rsidR="003E6588" w:rsidRDefault="003E6588">
      <w:pPr>
        <w:ind w:right="49" w:firstLine="1134"/>
        <w:jc w:val="both"/>
        <w:rPr>
          <w:color w:val="000000"/>
        </w:rPr>
      </w:pPr>
      <w:r>
        <w:rPr>
          <w:color w:val="000000"/>
        </w:rPr>
        <w:t>Total de caminhantes que finalizaram o percurso - 563</w:t>
      </w:r>
    </w:p>
    <w:p w:rsidR="003E6588" w:rsidRDefault="003E6588">
      <w:pPr>
        <w:pStyle w:val="PargrafodaLista"/>
        <w:ind w:left="0" w:right="49" w:firstLine="1134"/>
        <w:rPr>
          <w:rFonts w:ascii="Times New Roman" w:hAnsi="Times New Roman"/>
          <w:color w:val="000000"/>
          <w:sz w:val="24"/>
          <w:szCs w:val="24"/>
        </w:rPr>
      </w:pP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b/>
          <w:color w:val="000000"/>
          <w:sz w:val="24"/>
          <w:szCs w:val="24"/>
        </w:rPr>
        <w:t xml:space="preserve">Rota Franciscana - Frei Galvão - </w:t>
      </w:r>
      <w:r>
        <w:rPr>
          <w:rFonts w:ascii="Times New Roman" w:hAnsi="Times New Roman"/>
          <w:color w:val="000000"/>
          <w:sz w:val="24"/>
          <w:szCs w:val="24"/>
        </w:rPr>
        <w:t xml:space="preserve">Os caminhos percorridos por Frei Galvão apontam para a segunda metade do Século XVII e, no total, são 818 quilômetros, sendo 767 para os caminhantes, cortando duas das principais regiões turísticas do Estado, “Vale do Paraíba” e “Serras - Alto Tietê” </w:t>
      </w:r>
      <w:r w:rsidR="00F56889">
        <w:rPr>
          <w:rFonts w:ascii="Times New Roman" w:hAnsi="Times New Roman"/>
          <w:color w:val="000000"/>
          <w:sz w:val="24"/>
          <w:szCs w:val="24"/>
        </w:rPr>
        <w:t>-</w:t>
      </w:r>
      <w:r>
        <w:rPr>
          <w:rFonts w:ascii="Times New Roman" w:hAnsi="Times New Roman"/>
          <w:color w:val="000000"/>
          <w:sz w:val="24"/>
          <w:szCs w:val="24"/>
        </w:rPr>
        <w:t xml:space="preserve"> Cantareira, e outros 51 quilômetros a serem percorridos de trem, de Mogi das Cruzes até a Estação da Luz, em São Paulo.</w:t>
      </w:r>
    </w:p>
    <w:p w:rsidR="003E6588" w:rsidRDefault="003E6588">
      <w:pPr>
        <w:pStyle w:val="PargrafodaLista"/>
        <w:ind w:left="0" w:right="49" w:firstLine="1134"/>
        <w:rPr>
          <w:rFonts w:ascii="Times New Roman" w:hAnsi="Times New Roman"/>
          <w:color w:val="000000"/>
          <w:sz w:val="24"/>
          <w:szCs w:val="24"/>
        </w:rPr>
      </w:pPr>
    </w:p>
    <w:p w:rsidR="003E6588" w:rsidRDefault="003E6588">
      <w:pPr>
        <w:pStyle w:val="PargrafodaLista"/>
        <w:ind w:left="0" w:right="49" w:firstLine="1134"/>
        <w:rPr>
          <w:rFonts w:ascii="Times New Roman" w:hAnsi="Times New Roman"/>
          <w:color w:val="000000"/>
          <w:sz w:val="24"/>
          <w:szCs w:val="24"/>
        </w:rPr>
      </w:pPr>
      <w:r>
        <w:rPr>
          <w:rFonts w:ascii="Times New Roman" w:hAnsi="Times New Roman"/>
          <w:color w:val="000000"/>
          <w:sz w:val="24"/>
          <w:szCs w:val="24"/>
        </w:rPr>
        <w:t>Municípios participantes - Aparecida, Arapeí, Areias, Bananal, Cachoeira Paulista, Campos do Jordão, Canas, Cruzeiro, Cunha, Guararema, Guaratinguetá, Lagoinha, Lavrinhas, Lorena, Mogi das Cruzes, Monteiro Lobato, Paraibuna, Pindamonhangaba, Piquete, Redenção da Serra, Roseira, Santo Antonio do Pinhal, São Bento do Sapucaí, São Francisco Xavier (São José dos Campos), São José do Barreiro, São Luiz do Paraitinga, Silveiras, Santa Branca, Taubaté, Tremembé e São Paulo.</w:t>
      </w:r>
    </w:p>
    <w:p w:rsidR="003E6588" w:rsidRDefault="003E6588">
      <w:pPr>
        <w:pStyle w:val="PargrafodaLista"/>
        <w:ind w:left="0" w:right="49" w:firstLine="1134"/>
        <w:rPr>
          <w:rFonts w:ascii="Times New Roman" w:hAnsi="Times New Roman"/>
          <w:color w:val="000000"/>
          <w:sz w:val="24"/>
          <w:szCs w:val="24"/>
        </w:rPr>
      </w:pPr>
    </w:p>
    <w:p w:rsidR="003E6588" w:rsidRDefault="003E6588">
      <w:pPr>
        <w:ind w:right="49" w:firstLine="1134"/>
        <w:jc w:val="both"/>
        <w:rPr>
          <w:color w:val="000000"/>
        </w:rPr>
      </w:pPr>
      <w:r>
        <w:rPr>
          <w:color w:val="000000"/>
        </w:rPr>
        <w:t>Total de caminhantes inscritos - 828</w:t>
      </w:r>
    </w:p>
    <w:p w:rsidR="003E6588" w:rsidRDefault="003E6588">
      <w:pPr>
        <w:ind w:right="49" w:firstLine="1134"/>
        <w:jc w:val="both"/>
        <w:rPr>
          <w:color w:val="000000"/>
        </w:rPr>
      </w:pPr>
    </w:p>
    <w:p w:rsidR="003E6588" w:rsidRDefault="003E6588">
      <w:pPr>
        <w:ind w:right="49" w:firstLine="1134"/>
        <w:jc w:val="both"/>
        <w:rPr>
          <w:color w:val="000000"/>
        </w:rPr>
      </w:pPr>
      <w:r>
        <w:rPr>
          <w:color w:val="000000"/>
        </w:rPr>
        <w:t>Total de caminhantes que finalizaram o percurso - 493</w:t>
      </w:r>
    </w:p>
    <w:p w:rsidR="003E6588" w:rsidRDefault="003E6588">
      <w:pPr>
        <w:pStyle w:val="PargrafodaLista"/>
        <w:ind w:left="0" w:right="49" w:firstLine="1134"/>
        <w:rPr>
          <w:rFonts w:ascii="Times New Roman" w:hAnsi="Times New Roman"/>
          <w:color w:val="000000"/>
          <w:sz w:val="24"/>
          <w:szCs w:val="24"/>
        </w:rPr>
      </w:pPr>
    </w:p>
    <w:p w:rsidR="003E6588" w:rsidRDefault="003E6588">
      <w:pPr>
        <w:pStyle w:val="PargrafodaLista"/>
        <w:widowControl w:val="0"/>
        <w:ind w:left="0" w:right="49" w:firstLine="1134"/>
        <w:rPr>
          <w:rFonts w:ascii="Times New Roman" w:hAnsi="Times New Roman"/>
          <w:color w:val="000000"/>
          <w:sz w:val="24"/>
          <w:szCs w:val="24"/>
        </w:rPr>
      </w:pPr>
      <w:r>
        <w:rPr>
          <w:rFonts w:ascii="Times New Roman" w:hAnsi="Times New Roman"/>
          <w:b/>
          <w:color w:val="000000"/>
          <w:sz w:val="24"/>
          <w:szCs w:val="24"/>
        </w:rPr>
        <w:t xml:space="preserve">Rota Bandeirante - Fernão Dias - </w:t>
      </w:r>
      <w:r>
        <w:rPr>
          <w:rFonts w:ascii="Times New Roman" w:hAnsi="Times New Roman"/>
          <w:color w:val="000000"/>
          <w:sz w:val="24"/>
          <w:szCs w:val="24"/>
        </w:rPr>
        <w:t>Criada para estimular a visitação dos atrativos turísticos naturais e monumentais de 12 municípios do interior paulista que fizeram parte da expedição territorial, também chamada de “bandeira”, realizada por Fernão Dias Paes Leme na procura de riquezas minerais, em especial as famosas esmeraldas.</w:t>
      </w:r>
    </w:p>
    <w:p w:rsidR="003E6588" w:rsidRDefault="003E6588">
      <w:pPr>
        <w:pStyle w:val="PargrafodaLista"/>
        <w:widowControl w:val="0"/>
        <w:ind w:left="0" w:right="49" w:firstLine="1134"/>
        <w:rPr>
          <w:rFonts w:ascii="Times New Roman" w:hAnsi="Times New Roman"/>
          <w:color w:val="000000"/>
          <w:sz w:val="24"/>
          <w:szCs w:val="24"/>
        </w:rPr>
      </w:pPr>
    </w:p>
    <w:p w:rsidR="003E6588" w:rsidRDefault="003E6588">
      <w:pPr>
        <w:pStyle w:val="PargrafodaLista"/>
        <w:widowControl w:val="0"/>
        <w:ind w:left="0" w:right="49" w:firstLine="1134"/>
        <w:contextualSpacing w:val="0"/>
        <w:rPr>
          <w:rFonts w:ascii="Times New Roman" w:hAnsi="Times New Roman"/>
          <w:color w:val="000000"/>
          <w:sz w:val="24"/>
          <w:szCs w:val="24"/>
        </w:rPr>
      </w:pPr>
      <w:r>
        <w:rPr>
          <w:rFonts w:ascii="Times New Roman" w:hAnsi="Times New Roman"/>
          <w:color w:val="000000"/>
          <w:sz w:val="24"/>
          <w:szCs w:val="24"/>
        </w:rPr>
        <w:t>Em um roteiro de 520 km é possível redescobrir toda história, cultura e tradições dos Municípios de Atibaia, Bom Jesus dos Perdões, Bragança Paulista, Guarulhos, Joanópolis, Mairiporã, Nazaré Paulista, Pedra Bela, Pinhalzinho, Piracaia, Tuiuti e Vargem.</w:t>
      </w:r>
    </w:p>
    <w:p w:rsidR="003E6588" w:rsidRDefault="003E6588">
      <w:pPr>
        <w:pStyle w:val="PargrafodaLista"/>
        <w:widowControl w:val="0"/>
        <w:ind w:left="0" w:right="49" w:firstLine="1134"/>
        <w:contextualSpacing w:val="0"/>
        <w:rPr>
          <w:rFonts w:ascii="Times New Roman" w:hAnsi="Times New Roman"/>
          <w:sz w:val="24"/>
          <w:szCs w:val="24"/>
        </w:rPr>
      </w:pPr>
    </w:p>
    <w:p w:rsidR="003E6588" w:rsidRDefault="003E6588">
      <w:pPr>
        <w:pStyle w:val="PargrafodaLista"/>
        <w:widowControl w:val="0"/>
        <w:tabs>
          <w:tab w:val="left" w:pos="284"/>
        </w:tabs>
        <w:ind w:left="0" w:right="49" w:firstLine="1134"/>
        <w:contextualSpacing w:val="0"/>
        <w:rPr>
          <w:rFonts w:ascii="Times New Roman" w:hAnsi="Times New Roman"/>
          <w:color w:val="000000"/>
          <w:sz w:val="24"/>
          <w:szCs w:val="24"/>
        </w:rPr>
      </w:pPr>
      <w:r>
        <w:rPr>
          <w:rFonts w:ascii="Times New Roman" w:hAnsi="Times New Roman"/>
          <w:b/>
          <w:color w:val="000000"/>
          <w:sz w:val="24"/>
          <w:szCs w:val="24"/>
        </w:rPr>
        <w:t xml:space="preserve">Festival Gastronômico Sabor de São Paulo - </w:t>
      </w:r>
      <w:r>
        <w:rPr>
          <w:rFonts w:ascii="Times New Roman" w:hAnsi="Times New Roman"/>
          <w:color w:val="000000"/>
          <w:sz w:val="24"/>
          <w:szCs w:val="24"/>
        </w:rPr>
        <w:t>Valor total investido - R$ 2.980.000,00 - Tem como objetivos: consolidar a gastronomia paulista como um dos principais produtos associados ao turismo, valorizando a produção dos alimentos locais e típicos, aspectos culturais, costumes e artesanato; revelar e valorizar o talento dos recursos humanos ligados à gastronomia; confirmar o turismo e produtos associados como atividade econômica estratégica para a geração de emprego, renda e desenvolvimento regional; promover a inclusão da iniciativa no Calendário Oficial do Estado como forma de apoio e divulgação do conteúdo da Carta de São Paulo de Gastronomia e Sustentabilidade; contribuir para a ampliação do fluxo turístico nas regiões do Estado; valorizar um produto típico da região.</w:t>
      </w:r>
    </w:p>
    <w:p w:rsidR="003E6588" w:rsidRDefault="003E6588">
      <w:pPr>
        <w:widowControl w:val="0"/>
        <w:ind w:right="49" w:firstLine="1134"/>
        <w:jc w:val="both"/>
        <w:rPr>
          <w:color w:val="000000"/>
        </w:rPr>
      </w:pPr>
    </w:p>
    <w:p w:rsidR="003E6588" w:rsidRDefault="003E6588">
      <w:pPr>
        <w:widowControl w:val="0"/>
        <w:ind w:right="49" w:firstLine="1134"/>
        <w:jc w:val="both"/>
        <w:rPr>
          <w:color w:val="000000"/>
        </w:rPr>
      </w:pPr>
      <w:r>
        <w:rPr>
          <w:color w:val="000000"/>
        </w:rPr>
        <w:lastRenderedPageBreak/>
        <w:t xml:space="preserve">O Festival tem dois momentos em cada macrorregião. No primeiro momento, são selecionadas 10 receitas, dentre todas as receitas inscritas através do site </w:t>
      </w:r>
      <w:r>
        <w:rPr>
          <w:i/>
          <w:color w:val="000000"/>
        </w:rPr>
        <w:t>www.sabordesaopaulo.com.br</w:t>
      </w:r>
      <w:r>
        <w:rPr>
          <w:color w:val="000000"/>
        </w:rPr>
        <w:t>, a critério da comissão julgadora formada por profissionais da área, da Secretaria de Turismo e do SENAC. Esses pratos são considerados os mais relevantes e icônicos das macrorregiões. No segundo momento, as 10 receitas selecionadas são apresentadas por um dia na cidade-anfitriã da região, onde é realizado um evento de degustação pública. Os finalistas são avaliados pelo público e por júri especializado, que escolhe as receitas vencedoras da etapa. Os selecionados de cada etapa participam da etapa final do Festival Gastronômico e integram o Guia Turístico-Gastronômico de São Paulo. Podem participar do festival todas as pessoas que criam, fazem e comercializam pratos com forte identidade gastronômica e turística com seu município ou região.</w:t>
      </w:r>
    </w:p>
    <w:p w:rsidR="003E6588" w:rsidRDefault="003E6588">
      <w:pPr>
        <w:widowControl w:val="0"/>
        <w:ind w:right="49" w:firstLine="1134"/>
        <w:jc w:val="both"/>
        <w:rPr>
          <w:color w:val="000000"/>
        </w:rPr>
      </w:pPr>
    </w:p>
    <w:p w:rsidR="003E6588" w:rsidRDefault="003E6588" w:rsidP="00424182">
      <w:pPr>
        <w:widowControl w:val="0"/>
        <w:tabs>
          <w:tab w:val="left" w:pos="10773"/>
        </w:tabs>
        <w:ind w:right="49" w:firstLine="1134"/>
        <w:jc w:val="both"/>
      </w:pPr>
      <w:r>
        <w:t>Municípios representados com receitas inscritas - 187</w:t>
      </w:r>
    </w:p>
    <w:p w:rsidR="003E6588" w:rsidRDefault="003E6588" w:rsidP="00424182">
      <w:pPr>
        <w:widowControl w:val="0"/>
        <w:tabs>
          <w:tab w:val="left" w:pos="10773"/>
        </w:tabs>
        <w:ind w:right="49" w:firstLine="1134"/>
        <w:jc w:val="both"/>
      </w:pPr>
    </w:p>
    <w:p w:rsidR="003E6588" w:rsidRDefault="003E6588" w:rsidP="00424182">
      <w:pPr>
        <w:widowControl w:val="0"/>
        <w:tabs>
          <w:tab w:val="left" w:pos="10773"/>
        </w:tabs>
        <w:ind w:right="49" w:firstLine="1134"/>
        <w:jc w:val="both"/>
      </w:pPr>
      <w:r>
        <w:t>Municípios anfitriões - Sorocaba, São José do Rio Preto, Taubaté, Marília, Santo André, Barretos, Registro, Araçatuba, Ribeirão Preto, Franca, Presidente Prudente, Campinas, Bauru, São Carlos, Santos e a grande final em São Paulo.</w:t>
      </w:r>
    </w:p>
    <w:p w:rsidR="003E6588" w:rsidRDefault="003E6588" w:rsidP="00424182">
      <w:pPr>
        <w:widowControl w:val="0"/>
        <w:tabs>
          <w:tab w:val="left" w:pos="10773"/>
        </w:tabs>
        <w:ind w:right="49" w:firstLine="1134"/>
        <w:jc w:val="both"/>
      </w:pPr>
    </w:p>
    <w:p w:rsidR="003E6588" w:rsidRDefault="003E6588" w:rsidP="00424182">
      <w:pPr>
        <w:widowControl w:val="0"/>
        <w:tabs>
          <w:tab w:val="left" w:pos="10773"/>
        </w:tabs>
        <w:ind w:right="49" w:firstLine="1134"/>
        <w:jc w:val="both"/>
      </w:pPr>
      <w:r>
        <w:t>Público - 110 mil pessoas.</w:t>
      </w:r>
    </w:p>
    <w:p w:rsidR="003E6588" w:rsidRDefault="003E6588">
      <w:pPr>
        <w:widowControl w:val="0"/>
        <w:tabs>
          <w:tab w:val="left" w:pos="10773"/>
        </w:tabs>
        <w:ind w:right="49" w:firstLine="709"/>
        <w:jc w:val="both"/>
      </w:pPr>
    </w:p>
    <w:p w:rsidR="003E6588" w:rsidRDefault="003E6588">
      <w:pPr>
        <w:pStyle w:val="PargrafodaLista"/>
        <w:widowControl w:val="0"/>
        <w:tabs>
          <w:tab w:val="left" w:pos="284"/>
        </w:tabs>
        <w:ind w:left="0" w:right="49" w:firstLine="1134"/>
        <w:contextualSpacing w:val="0"/>
        <w:rPr>
          <w:rFonts w:ascii="Times New Roman" w:hAnsi="Times New Roman"/>
          <w:sz w:val="24"/>
          <w:szCs w:val="24"/>
        </w:rPr>
      </w:pPr>
      <w:r>
        <w:rPr>
          <w:rFonts w:ascii="Times New Roman" w:hAnsi="Times New Roman"/>
          <w:b/>
          <w:sz w:val="24"/>
          <w:szCs w:val="24"/>
        </w:rPr>
        <w:t xml:space="preserve">PDTR - Programa de Desenvolvimento do Turismo Regional - </w:t>
      </w:r>
      <w:r>
        <w:rPr>
          <w:rFonts w:ascii="Times New Roman" w:hAnsi="Times New Roman"/>
          <w:color w:val="000000"/>
          <w:sz w:val="24"/>
          <w:szCs w:val="24"/>
        </w:rPr>
        <w:t xml:space="preserve">Valor total investido - 8.590.000,00 - </w:t>
      </w:r>
      <w:r>
        <w:rPr>
          <w:rFonts w:ascii="Times New Roman" w:hAnsi="Times New Roman"/>
          <w:sz w:val="24"/>
          <w:szCs w:val="24"/>
        </w:rPr>
        <w:t>Tem por objetivos estimular o deslocamento da população residente em cidades vizinhas ao município anfitrião de modo a aumentar o consumo de bens e serviços, fortalecendo a economia, e consolidar calendário de apoio a festas e eventos que tenham cunho turístico e promovam o crescimento regional.</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A partir das solicitações enviadas pelos municípios e das demandas identificadas pela equipe técnica da Secretaria de Turismo, são celebrados termos de cooperação técnica com os municípios anfitriões, onde compete à Pasta a viabilização, por meio de contratos de infraestrutura física para os eventos e festas, tendo a contrapartida das Prefeituras/Entidades na disponibilização das programações.</w:t>
      </w:r>
    </w:p>
    <w:p w:rsidR="003E6588" w:rsidRDefault="003E6588">
      <w:pPr>
        <w:widowControl w:val="0"/>
        <w:tabs>
          <w:tab w:val="left" w:pos="10773"/>
        </w:tabs>
        <w:ind w:right="49" w:firstLine="1134"/>
        <w:jc w:val="both"/>
        <w:rPr>
          <w:b/>
        </w:rPr>
      </w:pPr>
    </w:p>
    <w:p w:rsidR="003E6588" w:rsidRDefault="003E6588">
      <w:pPr>
        <w:widowControl w:val="0"/>
        <w:tabs>
          <w:tab w:val="left" w:pos="10773"/>
        </w:tabs>
        <w:ind w:right="49" w:firstLine="1134"/>
        <w:jc w:val="both"/>
      </w:pPr>
      <w:r>
        <w:t>Total de eventos atendidos - 61</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Total de municípios atendidos – 46</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Municípios atendidos - Américo de Campos, Analândia, Auriflama, Bálsamo, Cajati, Cananéia, Cardoso, Cosmorama, Cubatão, Eldorado, Fernandópolis, Gastão Vidigal, Ibitinga, Igarapava, Iguape, Itirapina, Jaci, Jacupiranga, Juquiá, Limeira, Mineiros do Tietê, Mongaguá, Orlândia, Palmeira d’Oeste, Parisi, Pedro de Toledo, Pirapora do Bom Jesus, Poá, Populina, Registro, Ribeirão Preto, Rosana, Santa Albertina, Santa Fé do Sul, Santos, São Carlos, São Francisco, São João das Duas Pontes, São José do Rio Pardo, Serra Negra, Socorro, Suzano, Tapiraí, Urânia, Vargem Grande do Sul, Votuporanga.</w:t>
      </w:r>
    </w:p>
    <w:p w:rsidR="003E6588" w:rsidRDefault="003E6588">
      <w:pPr>
        <w:widowControl w:val="0"/>
        <w:tabs>
          <w:tab w:val="left" w:pos="10773"/>
        </w:tabs>
        <w:ind w:right="49" w:firstLine="1134"/>
        <w:jc w:val="both"/>
        <w:rPr>
          <w:color w:val="000000"/>
        </w:rPr>
      </w:pPr>
    </w:p>
    <w:p w:rsidR="003E6588" w:rsidRDefault="003E6588">
      <w:pPr>
        <w:widowControl w:val="0"/>
        <w:tabs>
          <w:tab w:val="left" w:pos="10773"/>
        </w:tabs>
        <w:ind w:right="49" w:firstLine="1134"/>
        <w:jc w:val="both"/>
        <w:rPr>
          <w:color w:val="000000"/>
        </w:rPr>
      </w:pPr>
      <w:r>
        <w:rPr>
          <w:color w:val="000000"/>
        </w:rPr>
        <w:lastRenderedPageBreak/>
        <w:t>Público estimado - 1.165.000 pessoas</w:t>
      </w:r>
    </w:p>
    <w:p w:rsidR="003E6588" w:rsidRDefault="003E6588">
      <w:pPr>
        <w:widowControl w:val="0"/>
        <w:tabs>
          <w:tab w:val="left" w:pos="10773"/>
        </w:tabs>
        <w:ind w:right="49" w:firstLine="1134"/>
        <w:jc w:val="both"/>
        <w:rPr>
          <w:u w:val="single"/>
        </w:rPr>
      </w:pPr>
    </w:p>
    <w:p w:rsidR="003E6588" w:rsidRDefault="003E6588">
      <w:pPr>
        <w:widowControl w:val="0"/>
        <w:tabs>
          <w:tab w:val="left" w:pos="10773"/>
        </w:tabs>
        <w:ind w:right="49" w:firstLine="1134"/>
        <w:jc w:val="both"/>
      </w:pPr>
      <w:r>
        <w:rPr>
          <w:b/>
        </w:rPr>
        <w:t xml:space="preserve">Festival de Verão Pé na Areia - </w:t>
      </w:r>
      <w:r>
        <w:t>Inserido do PDTR, tem como objetivo ampliar o fluxo turístico a partir de programação atraente ao público turista e residente, estabelecendo cronograma de atividades e apresentações que motivem o turista a permanecer por período maior na região, movimentando os negócios e consolidando o turismo no Estado como atividade estratégica para a geração de emprego e renda. Durante a temporada de verão, parte dos municípios do Litoral Paulista recebem uma arena multiuso com palco, arquibancadas, espaço de apoio (tendas), cercamento com gradil, montada nas faixas de areia das principais e mais movimentadas praias das cidades. A arena recebe infraestrutura de água encanada, energia elétrica e banheiros químicos.</w:t>
      </w:r>
    </w:p>
    <w:p w:rsidR="003E6588" w:rsidRDefault="003E6588">
      <w:pPr>
        <w:widowControl w:val="0"/>
        <w:tabs>
          <w:tab w:val="left" w:pos="709"/>
          <w:tab w:val="left" w:pos="10773"/>
        </w:tabs>
        <w:ind w:right="49" w:firstLine="1134"/>
        <w:jc w:val="both"/>
      </w:pPr>
    </w:p>
    <w:p w:rsidR="003E6588" w:rsidRDefault="003E6588">
      <w:pPr>
        <w:widowControl w:val="0"/>
        <w:tabs>
          <w:tab w:val="left" w:pos="709"/>
          <w:tab w:val="left" w:pos="10773"/>
        </w:tabs>
        <w:ind w:right="49" w:firstLine="1134"/>
        <w:jc w:val="both"/>
      </w:pPr>
      <w:r>
        <w:t xml:space="preserve">As programações são diversificadas, incluindo atividades nas áreas da saúde, esporte e cultura, de responsabilidade dos municípios, durante todos os finais de semana. A Secretaria de Turismo oferece programação diurna e </w:t>
      </w:r>
      <w:r>
        <w:rPr>
          <w:i/>
        </w:rPr>
        <w:t>show</w:t>
      </w:r>
      <w:r>
        <w:t xml:space="preserve"> de médio porte, em um dos finais de semana, além de orientações de conscientização ambiental e sustentabilidade entre crianças, jovens, adultos e idosos.</w:t>
      </w:r>
    </w:p>
    <w:p w:rsidR="003E6588" w:rsidRDefault="003E6588">
      <w:pPr>
        <w:widowControl w:val="0"/>
        <w:tabs>
          <w:tab w:val="left" w:pos="709"/>
          <w:tab w:val="left" w:pos="10773"/>
        </w:tabs>
        <w:ind w:right="49" w:firstLine="1134"/>
        <w:jc w:val="both"/>
      </w:pPr>
    </w:p>
    <w:p w:rsidR="003E6588" w:rsidRDefault="003E6588">
      <w:pPr>
        <w:widowControl w:val="0"/>
        <w:tabs>
          <w:tab w:val="left" w:pos="709"/>
          <w:tab w:val="left" w:pos="10773"/>
        </w:tabs>
        <w:ind w:right="49" w:firstLine="1134"/>
        <w:jc w:val="both"/>
      </w:pPr>
      <w:r>
        <w:t>O Festival promove a integração das cidades do litoral, complementando a oferta turística durante a temporada, tornando-se um agente consolidador da permanência do turista na região. As arenas são utilizadas, ainda, como espaço de promoção de turismo.</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Municípios participantes - Bertioga, Cananéia, Caraguatatuba, Cubatão, Ilhabela, Ilha Comprida, Iguape, Itanhaém, Guarujá, Mongaguá, Praia Grande, Peruíbe, Santos, São Sebastião, São Vicente e Ubatuba.</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Montagem de 5 arenas nas seguintes praias - Praia da Enseada, em Bertioga; Posto 10 - Jardim Virginia, no Guarujá; Espaço Durval Marieto Júnior, em Ilha Comprida; Praia do Sonho, em Itanhaém; Praia Barequeçaba, em São Sebastião.</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 xml:space="preserve">Atividades desenvolvidas - Ginástica para terceira idade, oficina de </w:t>
      </w:r>
      <w:r>
        <w:rPr>
          <w:i/>
        </w:rPr>
        <w:t>voleibol</w:t>
      </w:r>
      <w:r>
        <w:t xml:space="preserve">, aeróbica e lambaeróbica, futebol de sabão, festival de balonismo, festival de pipas, oficinas de reciclagem, </w:t>
      </w:r>
      <w:r>
        <w:rPr>
          <w:i/>
        </w:rPr>
        <w:t>shows</w:t>
      </w:r>
      <w:r>
        <w:t xml:space="preserve"> musicais.</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Estimativa de público participante - 380 mil pessoas</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rPr>
          <w:color w:val="000000"/>
        </w:rPr>
        <w:t>Público beneficiado - 900.000 pessoas</w:t>
      </w:r>
    </w:p>
    <w:p w:rsidR="003E6588" w:rsidRPr="00F56889" w:rsidRDefault="003E6588">
      <w:pPr>
        <w:pStyle w:val="PargrafodaLista"/>
        <w:widowControl w:val="0"/>
        <w:tabs>
          <w:tab w:val="left" w:pos="10773"/>
        </w:tabs>
        <w:ind w:left="0" w:right="49" w:firstLine="1134"/>
        <w:contextualSpacing w:val="0"/>
        <w:rPr>
          <w:rFonts w:ascii="Times New Roman" w:hAnsi="Times New Roman"/>
          <w:sz w:val="24"/>
          <w:szCs w:val="24"/>
        </w:rPr>
      </w:pPr>
    </w:p>
    <w:p w:rsidR="003E6588" w:rsidRDefault="003E6588">
      <w:pPr>
        <w:pStyle w:val="PargrafodaLista"/>
        <w:widowControl w:val="0"/>
        <w:tabs>
          <w:tab w:val="left" w:pos="284"/>
          <w:tab w:val="left" w:pos="10773"/>
        </w:tabs>
        <w:ind w:left="0" w:right="49" w:firstLine="1134"/>
        <w:contextualSpacing w:val="0"/>
        <w:rPr>
          <w:rFonts w:ascii="Times New Roman" w:hAnsi="Times New Roman"/>
          <w:sz w:val="24"/>
          <w:szCs w:val="24"/>
        </w:rPr>
      </w:pPr>
      <w:r>
        <w:rPr>
          <w:rFonts w:ascii="Times New Roman" w:hAnsi="Times New Roman"/>
          <w:b/>
          <w:sz w:val="24"/>
          <w:szCs w:val="24"/>
        </w:rPr>
        <w:t xml:space="preserve">CADASTUR - Cadastro Turístico - </w:t>
      </w:r>
      <w:r>
        <w:rPr>
          <w:rFonts w:ascii="Times New Roman" w:hAnsi="Times New Roman"/>
          <w:sz w:val="24"/>
          <w:szCs w:val="24"/>
        </w:rPr>
        <w:t>O Cadastur é o Sistema Nacional de Cadastro de Operadores Turísticos, pessoas físicas e jurídicas, que atuam na cadeia produtiva do turismo, formalizando e legalizando os prestadores de serviços junto às instâncias estadual e federal da atividade turística.</w:t>
      </w:r>
    </w:p>
    <w:p w:rsidR="003E6588" w:rsidRDefault="003E6588">
      <w:pPr>
        <w:widowControl w:val="0"/>
        <w:tabs>
          <w:tab w:val="left" w:pos="10773"/>
        </w:tabs>
        <w:ind w:right="49" w:firstLine="1134"/>
        <w:jc w:val="both"/>
      </w:pPr>
    </w:p>
    <w:p w:rsidR="003E6588" w:rsidRDefault="003E6588">
      <w:pPr>
        <w:widowControl w:val="0"/>
        <w:tabs>
          <w:tab w:val="left" w:pos="10773"/>
        </w:tabs>
        <w:ind w:right="49" w:firstLine="1134"/>
        <w:jc w:val="both"/>
      </w:pPr>
      <w:r>
        <w:t xml:space="preserve">Entre as vantagens de estar cadastrado é possível apontar a possibilidade de participação em eventos, feiras e ações realizadas pelo Ministério do Turismo e pela Embratur, e o acesso a linhas </w:t>
      </w:r>
      <w:r>
        <w:lastRenderedPageBreak/>
        <w:t xml:space="preserve">de financiamento específicas para o turismo, por meio de bancos oficiais e participação em programa de qualificação e a oportunidade de negócios por meio do cadastramento nos </w:t>
      </w:r>
      <w:r w:rsidRPr="00F56889">
        <w:rPr>
          <w:i/>
        </w:rPr>
        <w:t xml:space="preserve">sites </w:t>
      </w:r>
      <w:r>
        <w:rPr>
          <w:i/>
        </w:rPr>
        <w:t>www.viajamais.com.br, www.vaibrasil.com.br e www.portaldehospedagem.com.br</w:t>
      </w:r>
      <w:r>
        <w:t>, entre outros.</w:t>
      </w:r>
    </w:p>
    <w:p w:rsidR="003E6588" w:rsidRDefault="003E6588">
      <w:pPr>
        <w:widowControl w:val="0"/>
        <w:tabs>
          <w:tab w:val="left" w:pos="10773"/>
        </w:tabs>
        <w:ind w:right="49" w:firstLine="1134"/>
        <w:jc w:val="both"/>
      </w:pPr>
    </w:p>
    <w:p w:rsidR="003E6588" w:rsidRPr="00F56889" w:rsidRDefault="003E6588">
      <w:pPr>
        <w:widowControl w:val="0"/>
        <w:tabs>
          <w:tab w:val="left" w:pos="10773"/>
        </w:tabs>
        <w:ind w:right="49" w:firstLine="1134"/>
        <w:jc w:val="both"/>
        <w:rPr>
          <w:u w:val="single"/>
        </w:rPr>
      </w:pPr>
      <w:r>
        <w:t xml:space="preserve">Foram realizados </w:t>
      </w:r>
      <w:r>
        <w:rPr>
          <w:color w:val="000000"/>
        </w:rPr>
        <w:t>4.386</w:t>
      </w:r>
      <w:r>
        <w:t xml:space="preserve"> cadastros.</w:t>
      </w:r>
    </w:p>
    <w:p w:rsidR="003E6588" w:rsidRDefault="003E6588">
      <w:pPr>
        <w:tabs>
          <w:tab w:val="left" w:pos="10773"/>
        </w:tabs>
        <w:ind w:right="49" w:firstLine="1134"/>
        <w:jc w:val="both"/>
      </w:pPr>
    </w:p>
    <w:p w:rsidR="003E6588" w:rsidRDefault="003E6588">
      <w:pPr>
        <w:tabs>
          <w:tab w:val="left" w:pos="10773"/>
        </w:tabs>
        <w:ind w:right="49" w:firstLine="1134"/>
        <w:jc w:val="both"/>
        <w:rPr>
          <w:b/>
        </w:rPr>
      </w:pPr>
      <w:r>
        <w:rPr>
          <w:b/>
        </w:rPr>
        <w:t>CPETUR - Companhia Paulista de Eventos e Turismo</w:t>
      </w:r>
    </w:p>
    <w:p w:rsidR="003E6588" w:rsidRDefault="003E6588">
      <w:pPr>
        <w:tabs>
          <w:tab w:val="left" w:pos="10773"/>
        </w:tabs>
        <w:ind w:right="49" w:firstLine="1134"/>
        <w:jc w:val="both"/>
        <w:rPr>
          <w:color w:val="000000"/>
          <w:u w:val="single"/>
        </w:rPr>
      </w:pPr>
    </w:p>
    <w:p w:rsidR="003E6588" w:rsidRDefault="003E6588">
      <w:pPr>
        <w:tabs>
          <w:tab w:val="left" w:pos="10773"/>
        </w:tabs>
        <w:ind w:right="49" w:firstLine="1134"/>
        <w:jc w:val="both"/>
        <w:rPr>
          <w:b/>
          <w:color w:val="000000"/>
        </w:rPr>
      </w:pPr>
      <w:r>
        <w:rPr>
          <w:b/>
          <w:color w:val="000000"/>
        </w:rPr>
        <w:t>Diretoria de Marketing</w:t>
      </w:r>
    </w:p>
    <w:p w:rsidR="003E6588" w:rsidRDefault="003E6588">
      <w:pPr>
        <w:tabs>
          <w:tab w:val="left" w:pos="10773"/>
        </w:tabs>
        <w:ind w:right="49" w:firstLine="1134"/>
        <w:jc w:val="both"/>
        <w:rPr>
          <w:b/>
          <w:color w:val="000000"/>
          <w:u w:val="single"/>
        </w:rPr>
      </w:pPr>
    </w:p>
    <w:p w:rsidR="003E6588" w:rsidRDefault="003E6588">
      <w:pPr>
        <w:tabs>
          <w:tab w:val="left" w:pos="10773"/>
        </w:tabs>
        <w:ind w:right="49" w:firstLine="1134"/>
        <w:jc w:val="both"/>
        <w:rPr>
          <w:b/>
          <w:color w:val="000000"/>
        </w:rPr>
      </w:pPr>
      <w:r>
        <w:rPr>
          <w:b/>
          <w:color w:val="000000"/>
        </w:rPr>
        <w:t>Feiras em parceria com a Secretaria de Turismo</w:t>
      </w:r>
    </w:p>
    <w:p w:rsidR="003E6588" w:rsidRDefault="003E6588">
      <w:pPr>
        <w:tabs>
          <w:tab w:val="left" w:pos="10773"/>
        </w:tabs>
        <w:ind w:right="49" w:firstLine="1134"/>
        <w:jc w:val="both"/>
        <w:rPr>
          <w:b/>
          <w:color w:val="000000"/>
        </w:rPr>
      </w:pPr>
    </w:p>
    <w:p w:rsidR="003E6588" w:rsidRDefault="003E6588">
      <w:pPr>
        <w:tabs>
          <w:tab w:val="left" w:pos="10773"/>
        </w:tabs>
        <w:ind w:right="49" w:firstLine="1134"/>
        <w:jc w:val="both"/>
        <w:rPr>
          <w:b/>
          <w:bCs/>
          <w:color w:val="000000"/>
        </w:rPr>
      </w:pPr>
      <w:r>
        <w:rPr>
          <w:b/>
          <w:bCs/>
          <w:color w:val="000000"/>
        </w:rPr>
        <w:t>Atuação da CPETUR</w:t>
      </w:r>
    </w:p>
    <w:p w:rsidR="00F56889" w:rsidRDefault="00F56889">
      <w:pPr>
        <w:tabs>
          <w:tab w:val="left" w:pos="10773"/>
        </w:tabs>
        <w:ind w:right="49" w:firstLine="1134"/>
        <w:jc w:val="both"/>
        <w:rPr>
          <w:b/>
          <w:bCs/>
          <w:color w:val="000000"/>
        </w:rPr>
      </w:pPr>
    </w:p>
    <w:p w:rsidR="003E6588" w:rsidRDefault="00F56889" w:rsidP="00F56889">
      <w:pPr>
        <w:ind w:right="49" w:firstLine="1134"/>
        <w:jc w:val="both"/>
        <w:rPr>
          <w:bCs/>
          <w:color w:val="000000"/>
        </w:rPr>
      </w:pPr>
      <w:r>
        <w:rPr>
          <w:bCs/>
          <w:color w:val="000000"/>
        </w:rPr>
        <w:t xml:space="preserve">- </w:t>
      </w:r>
      <w:r w:rsidR="003E6588">
        <w:rPr>
          <w:bCs/>
          <w:color w:val="000000"/>
        </w:rPr>
        <w:t>Contratação do espaço;</w:t>
      </w:r>
    </w:p>
    <w:p w:rsidR="003E6588" w:rsidRDefault="003E6588" w:rsidP="00F56889">
      <w:pPr>
        <w:ind w:right="49" w:firstLine="1134"/>
        <w:jc w:val="both"/>
        <w:rPr>
          <w:bCs/>
          <w:color w:val="000000"/>
        </w:rPr>
      </w:pPr>
    </w:p>
    <w:p w:rsidR="003E6588" w:rsidRDefault="00F56889" w:rsidP="00F56889">
      <w:pPr>
        <w:ind w:right="49" w:firstLine="1134"/>
        <w:jc w:val="both"/>
        <w:rPr>
          <w:bCs/>
          <w:color w:val="000000"/>
        </w:rPr>
      </w:pPr>
      <w:r>
        <w:rPr>
          <w:bCs/>
          <w:color w:val="000000"/>
        </w:rPr>
        <w:t xml:space="preserve">- </w:t>
      </w:r>
      <w:r w:rsidR="003E6588">
        <w:rPr>
          <w:bCs/>
          <w:color w:val="000000"/>
        </w:rPr>
        <w:t>Definição do conceito do estande e linha criativa;</w:t>
      </w:r>
    </w:p>
    <w:p w:rsidR="003E6588" w:rsidRDefault="003E6588" w:rsidP="00F56889">
      <w:pPr>
        <w:ind w:right="49" w:firstLine="1134"/>
        <w:jc w:val="both"/>
        <w:rPr>
          <w:bCs/>
          <w:color w:val="000000"/>
        </w:rPr>
      </w:pPr>
    </w:p>
    <w:p w:rsidR="003E6588" w:rsidRDefault="00F56889" w:rsidP="00F56889">
      <w:pPr>
        <w:tabs>
          <w:tab w:val="left" w:pos="1418"/>
        </w:tabs>
        <w:ind w:right="49" w:firstLine="1134"/>
        <w:jc w:val="both"/>
        <w:rPr>
          <w:bCs/>
          <w:color w:val="000000"/>
        </w:rPr>
      </w:pPr>
      <w:r>
        <w:rPr>
          <w:bCs/>
          <w:color w:val="000000"/>
        </w:rPr>
        <w:t xml:space="preserve">- </w:t>
      </w:r>
      <w:r w:rsidR="003E6588">
        <w:rPr>
          <w:bCs/>
          <w:color w:val="000000"/>
        </w:rPr>
        <w:t>Contratação de fornecedores;</w:t>
      </w:r>
    </w:p>
    <w:p w:rsidR="003E6588" w:rsidRDefault="003E6588" w:rsidP="00F56889">
      <w:pPr>
        <w:tabs>
          <w:tab w:val="left" w:pos="1418"/>
        </w:tabs>
        <w:ind w:right="49" w:firstLine="1134"/>
        <w:jc w:val="both"/>
        <w:rPr>
          <w:bCs/>
          <w:color w:val="000000"/>
        </w:rPr>
      </w:pPr>
    </w:p>
    <w:p w:rsidR="003E6588" w:rsidRDefault="00F56889" w:rsidP="00F56889">
      <w:pPr>
        <w:ind w:right="49" w:firstLine="1134"/>
        <w:jc w:val="both"/>
        <w:rPr>
          <w:bCs/>
          <w:color w:val="000000"/>
        </w:rPr>
      </w:pPr>
      <w:r>
        <w:rPr>
          <w:bCs/>
          <w:color w:val="000000"/>
        </w:rPr>
        <w:t xml:space="preserve">- </w:t>
      </w:r>
      <w:r w:rsidR="003E6588">
        <w:rPr>
          <w:bCs/>
          <w:color w:val="000000"/>
        </w:rPr>
        <w:t>Acompanhamento da montagem e desmontagem do estande;</w:t>
      </w:r>
    </w:p>
    <w:p w:rsidR="003E6588" w:rsidRDefault="003E6588" w:rsidP="00F56889">
      <w:pPr>
        <w:ind w:right="49" w:firstLine="1134"/>
        <w:jc w:val="both"/>
        <w:rPr>
          <w:bCs/>
          <w:color w:val="000000"/>
        </w:rPr>
      </w:pPr>
    </w:p>
    <w:p w:rsidR="003E6588" w:rsidRDefault="00F56889" w:rsidP="00F56889">
      <w:pPr>
        <w:ind w:right="49" w:firstLine="1134"/>
        <w:jc w:val="both"/>
        <w:rPr>
          <w:bCs/>
          <w:color w:val="000000"/>
        </w:rPr>
      </w:pPr>
      <w:r>
        <w:rPr>
          <w:bCs/>
          <w:color w:val="000000"/>
        </w:rPr>
        <w:t xml:space="preserve">- </w:t>
      </w:r>
      <w:r w:rsidR="003E6588">
        <w:rPr>
          <w:bCs/>
          <w:color w:val="000000"/>
        </w:rPr>
        <w:t>Produção de materiais (vídeos, brindes);</w:t>
      </w:r>
    </w:p>
    <w:p w:rsidR="003E6588" w:rsidRDefault="003E6588" w:rsidP="00F56889">
      <w:pPr>
        <w:ind w:right="49" w:firstLine="1134"/>
        <w:jc w:val="both"/>
        <w:rPr>
          <w:bCs/>
          <w:color w:val="000000"/>
        </w:rPr>
      </w:pPr>
    </w:p>
    <w:p w:rsidR="003E6588" w:rsidRDefault="00F56889" w:rsidP="00F56889">
      <w:pPr>
        <w:ind w:right="49" w:firstLine="1134"/>
        <w:jc w:val="both"/>
        <w:rPr>
          <w:bCs/>
          <w:color w:val="000000"/>
        </w:rPr>
      </w:pPr>
      <w:r>
        <w:rPr>
          <w:bCs/>
          <w:color w:val="000000"/>
        </w:rPr>
        <w:t xml:space="preserve">- </w:t>
      </w:r>
      <w:r w:rsidR="003E6588">
        <w:rPr>
          <w:bCs/>
          <w:color w:val="000000"/>
        </w:rPr>
        <w:t>Organização dos participantes (roteiros, circuitos turísticos e entidades);</w:t>
      </w:r>
    </w:p>
    <w:p w:rsidR="003E6588" w:rsidRDefault="003E6588" w:rsidP="00F56889">
      <w:pPr>
        <w:ind w:right="49" w:firstLine="1134"/>
        <w:jc w:val="both"/>
        <w:rPr>
          <w:bCs/>
          <w:color w:val="000000"/>
        </w:rPr>
      </w:pPr>
    </w:p>
    <w:p w:rsidR="003E6588" w:rsidRDefault="00F56889" w:rsidP="00F56889">
      <w:pPr>
        <w:ind w:right="49" w:firstLine="1134"/>
        <w:jc w:val="both"/>
        <w:rPr>
          <w:bCs/>
          <w:color w:val="000000"/>
        </w:rPr>
      </w:pPr>
      <w:r>
        <w:rPr>
          <w:bCs/>
          <w:color w:val="000000"/>
        </w:rPr>
        <w:t xml:space="preserve">- </w:t>
      </w:r>
      <w:r w:rsidR="003E6588">
        <w:rPr>
          <w:bCs/>
          <w:color w:val="000000"/>
        </w:rPr>
        <w:t xml:space="preserve">Captação e formatação de atrações (degustações de produtos, manifestações artísticas e culturais, sorteios de atividades no Estado, estúdio fotográfico em </w:t>
      </w:r>
      <w:r w:rsidR="003E6588">
        <w:rPr>
          <w:bCs/>
          <w:i/>
          <w:color w:val="000000"/>
        </w:rPr>
        <w:t>Chroma Key</w:t>
      </w:r>
      <w:r w:rsidR="003E6588">
        <w:rPr>
          <w:bCs/>
          <w:color w:val="000000"/>
        </w:rPr>
        <w:t xml:space="preserve"> com entrega de fotos temáticas gratuitas);</w:t>
      </w:r>
    </w:p>
    <w:p w:rsidR="003E6588" w:rsidRDefault="003E6588" w:rsidP="00F56889">
      <w:pPr>
        <w:ind w:right="49" w:firstLine="1134"/>
        <w:jc w:val="both"/>
        <w:rPr>
          <w:bCs/>
          <w:color w:val="000000"/>
        </w:rPr>
      </w:pPr>
    </w:p>
    <w:p w:rsidR="003E6588" w:rsidRDefault="00F56889" w:rsidP="00F56889">
      <w:pPr>
        <w:ind w:right="49" w:firstLine="1134"/>
        <w:jc w:val="both"/>
        <w:rPr>
          <w:bCs/>
          <w:color w:val="000000"/>
        </w:rPr>
      </w:pPr>
      <w:r>
        <w:rPr>
          <w:bCs/>
          <w:color w:val="000000"/>
        </w:rPr>
        <w:t xml:space="preserve">- </w:t>
      </w:r>
      <w:r w:rsidR="003E6588">
        <w:rPr>
          <w:bCs/>
          <w:color w:val="000000"/>
        </w:rPr>
        <w:t xml:space="preserve">Desenvolvimento de </w:t>
      </w:r>
      <w:r w:rsidR="003E6588">
        <w:rPr>
          <w:bCs/>
          <w:i/>
          <w:color w:val="000000"/>
        </w:rPr>
        <w:t>newsletter</w:t>
      </w:r>
      <w:r w:rsidR="003E6588">
        <w:rPr>
          <w:bCs/>
          <w:color w:val="000000"/>
        </w:rPr>
        <w:t xml:space="preserve"> e envio para o </w:t>
      </w:r>
      <w:r w:rsidR="003E6588">
        <w:rPr>
          <w:bCs/>
          <w:i/>
          <w:color w:val="000000"/>
        </w:rPr>
        <w:t>mailing</w:t>
      </w:r>
      <w:r w:rsidR="003E6588">
        <w:rPr>
          <w:bCs/>
          <w:color w:val="000000"/>
        </w:rPr>
        <w:t>;</w:t>
      </w:r>
    </w:p>
    <w:p w:rsidR="003E6588" w:rsidRDefault="003E6588">
      <w:pPr>
        <w:ind w:right="49"/>
        <w:jc w:val="both"/>
        <w:rPr>
          <w:bCs/>
          <w:color w:val="000000"/>
        </w:rPr>
      </w:pPr>
    </w:p>
    <w:p w:rsidR="003E6588" w:rsidRDefault="003E6588">
      <w:pPr>
        <w:tabs>
          <w:tab w:val="left" w:pos="10773"/>
        </w:tabs>
        <w:ind w:right="49" w:firstLine="1134"/>
        <w:jc w:val="both"/>
        <w:rPr>
          <w:color w:val="000000"/>
        </w:rPr>
      </w:pPr>
      <w:r>
        <w:rPr>
          <w:b/>
          <w:bCs/>
          <w:color w:val="000000"/>
        </w:rPr>
        <w:t xml:space="preserve">Feiras realizadas(os) </w:t>
      </w:r>
      <w:r w:rsidR="00F56889">
        <w:rPr>
          <w:b/>
          <w:bCs/>
          <w:color w:val="000000"/>
        </w:rPr>
        <w:t>-</w:t>
      </w:r>
      <w:r>
        <w:rPr>
          <w:b/>
          <w:bCs/>
          <w:color w:val="000000"/>
        </w:rPr>
        <w:t xml:space="preserve"> “</w:t>
      </w:r>
      <w:r>
        <w:rPr>
          <w:color w:val="000000"/>
        </w:rPr>
        <w:t>58º CEM - Congresso Estadual de Municípios”, Campos do Jordão. Público: 10.000 visitantes (prefeitos, deputados, autoridades do turismo e do Governo); “FEIPESCA - Feira de Pesca Esportiva”, São Paulo. Público: 50.000 visitantes; “</w:t>
      </w:r>
      <w:r>
        <w:rPr>
          <w:i/>
          <w:color w:val="000000"/>
        </w:rPr>
        <w:t>WTM Latin America</w:t>
      </w:r>
      <w:r>
        <w:rPr>
          <w:color w:val="000000"/>
        </w:rPr>
        <w:t xml:space="preserve"> - </w:t>
      </w:r>
      <w:r>
        <w:rPr>
          <w:i/>
          <w:color w:val="000000"/>
        </w:rPr>
        <w:t xml:space="preserve">World Travel Market”, </w:t>
      </w:r>
      <w:r>
        <w:rPr>
          <w:color w:val="000000"/>
        </w:rPr>
        <w:t>São Paulo. Público: 7.000 visitantes; “</w:t>
      </w:r>
      <w:r>
        <w:rPr>
          <w:i/>
          <w:color w:val="000000"/>
        </w:rPr>
        <w:t>Adventure Sports Fair”.</w:t>
      </w:r>
      <w:r>
        <w:rPr>
          <w:color w:val="000000"/>
        </w:rPr>
        <w:t xml:space="preserve"> Feira de esportes e turismo, São Paulo. Público: 54.000 visitantes; “37ª AVIESTUR - Feira de Turismo da AVIESP”, Holambra. Público: 5.000 visitantes; “Salão São Paulo de Turismo”, São Paulo. Público: 15.000 visitantes; “42ª ABAV - Feira das Américas”, São Paulo. Público: 28.000 visitantes; “Semana Mesa SP”, São Paulo. Público: 10.000 visitantes.</w:t>
      </w:r>
    </w:p>
    <w:p w:rsidR="003E6588" w:rsidRDefault="003E6588">
      <w:pPr>
        <w:tabs>
          <w:tab w:val="left" w:pos="10773"/>
        </w:tabs>
        <w:ind w:right="49" w:firstLine="1134"/>
        <w:jc w:val="both"/>
        <w:rPr>
          <w:color w:val="000000"/>
        </w:rPr>
      </w:pPr>
    </w:p>
    <w:p w:rsidR="003E6588" w:rsidRDefault="003E6588">
      <w:pPr>
        <w:pStyle w:val="PargrafodaLista"/>
        <w:tabs>
          <w:tab w:val="left" w:pos="10773"/>
        </w:tabs>
        <w:ind w:left="0" w:right="49" w:firstLine="1134"/>
        <w:contextualSpacing w:val="0"/>
        <w:rPr>
          <w:rFonts w:ascii="Times New Roman" w:hAnsi="Times New Roman"/>
          <w:bCs/>
          <w:color w:val="000000"/>
          <w:sz w:val="24"/>
          <w:szCs w:val="24"/>
        </w:rPr>
      </w:pPr>
      <w:r>
        <w:rPr>
          <w:rFonts w:ascii="Times New Roman" w:hAnsi="Times New Roman"/>
          <w:b/>
          <w:color w:val="000000"/>
          <w:sz w:val="24"/>
          <w:szCs w:val="24"/>
        </w:rPr>
        <w:t xml:space="preserve">Projeto “Goal to Brasil” em parceria com a EMBRATUR - </w:t>
      </w:r>
      <w:r>
        <w:rPr>
          <w:rFonts w:ascii="Times New Roman" w:hAnsi="Times New Roman"/>
          <w:bCs/>
          <w:color w:val="000000"/>
          <w:sz w:val="24"/>
          <w:szCs w:val="24"/>
        </w:rPr>
        <w:t xml:space="preserve">Promoção do Brasil e cidades-sede da Copa do Mundo 2014 como destinos turísticos, em países prioritários definidos pelo </w:t>
      </w:r>
      <w:r>
        <w:rPr>
          <w:rFonts w:ascii="Times New Roman" w:hAnsi="Times New Roman"/>
          <w:bCs/>
          <w:color w:val="000000"/>
          <w:sz w:val="24"/>
          <w:szCs w:val="24"/>
        </w:rPr>
        <w:lastRenderedPageBreak/>
        <w:t xml:space="preserve">Plano Aquarela 2020. Os eventos tiveram o formato de </w:t>
      </w:r>
      <w:r>
        <w:rPr>
          <w:rFonts w:ascii="Times New Roman" w:hAnsi="Times New Roman"/>
          <w:bCs/>
          <w:i/>
          <w:color w:val="000000"/>
          <w:sz w:val="24"/>
          <w:szCs w:val="24"/>
        </w:rPr>
        <w:t>workshops</w:t>
      </w:r>
      <w:r>
        <w:rPr>
          <w:rFonts w:ascii="Times New Roman" w:hAnsi="Times New Roman"/>
          <w:bCs/>
          <w:color w:val="000000"/>
          <w:sz w:val="24"/>
          <w:szCs w:val="24"/>
        </w:rPr>
        <w:t xml:space="preserve">, com salão dedicado à exposição das 12 cidades, tendo uma delas, chamada de “Cidade Anfitriã”, como destaque em cada </w:t>
      </w:r>
      <w:r w:rsidR="00957E14">
        <w:rPr>
          <w:rFonts w:ascii="Times New Roman" w:hAnsi="Times New Roman"/>
          <w:bCs/>
          <w:color w:val="000000"/>
          <w:sz w:val="24"/>
          <w:szCs w:val="24"/>
        </w:rPr>
        <w:t>país</w:t>
      </w:r>
      <w:r>
        <w:rPr>
          <w:rFonts w:ascii="Times New Roman" w:hAnsi="Times New Roman"/>
          <w:bCs/>
          <w:color w:val="000000"/>
          <w:sz w:val="24"/>
          <w:szCs w:val="24"/>
        </w:rPr>
        <w:t>. Houve programação de atividades educacionais, voltadas aos agentes de viagens, quando foram oferecidos treinamentos sobre aspectos turísticos do Brasil e das cidades-sede. Ao realizar os treinamentos, os agentes de viagens receberam certificado que os qualificou como integrantes do “Time de Especialistas em Brasil” (</w:t>
      </w:r>
      <w:r>
        <w:rPr>
          <w:rFonts w:ascii="Times New Roman" w:hAnsi="Times New Roman"/>
          <w:bCs/>
          <w:i/>
          <w:color w:val="000000"/>
          <w:sz w:val="24"/>
          <w:szCs w:val="24"/>
        </w:rPr>
        <w:t>Brazil Experts Team</w:t>
      </w:r>
      <w:r>
        <w:rPr>
          <w:rFonts w:ascii="Times New Roman" w:hAnsi="Times New Roman"/>
          <w:bCs/>
          <w:color w:val="000000"/>
          <w:sz w:val="24"/>
          <w:szCs w:val="24"/>
        </w:rPr>
        <w:t xml:space="preserve"> - </w:t>
      </w:r>
      <w:r>
        <w:rPr>
          <w:rFonts w:ascii="Times New Roman" w:hAnsi="Times New Roman"/>
          <w:bCs/>
          <w:i/>
          <w:color w:val="000000"/>
          <w:sz w:val="24"/>
          <w:szCs w:val="24"/>
        </w:rPr>
        <w:t>BET</w:t>
      </w:r>
      <w:r>
        <w:rPr>
          <w:rFonts w:ascii="Times New Roman" w:hAnsi="Times New Roman"/>
          <w:bCs/>
          <w:color w:val="000000"/>
          <w:sz w:val="24"/>
          <w:szCs w:val="24"/>
        </w:rPr>
        <w:t xml:space="preserve">), com inclusão no programa de relacionamento da EMBRATUR, com dados divulgados nos portais na </w:t>
      </w:r>
      <w:r>
        <w:rPr>
          <w:rFonts w:ascii="Times New Roman" w:hAnsi="Times New Roman"/>
          <w:bCs/>
          <w:i/>
          <w:color w:val="000000"/>
          <w:sz w:val="24"/>
          <w:szCs w:val="24"/>
        </w:rPr>
        <w:t>internet</w:t>
      </w:r>
      <w:r>
        <w:rPr>
          <w:rFonts w:ascii="Times New Roman" w:hAnsi="Times New Roman"/>
          <w:bCs/>
          <w:color w:val="000000"/>
          <w:sz w:val="24"/>
          <w:szCs w:val="24"/>
        </w:rPr>
        <w:t xml:space="preserve">, incluídos em </w:t>
      </w:r>
      <w:r>
        <w:rPr>
          <w:rFonts w:ascii="Times New Roman" w:hAnsi="Times New Roman"/>
          <w:bCs/>
          <w:i/>
          <w:color w:val="000000"/>
          <w:sz w:val="24"/>
          <w:szCs w:val="24"/>
        </w:rPr>
        <w:t>famtours</w:t>
      </w:r>
      <w:r>
        <w:rPr>
          <w:rFonts w:ascii="Times New Roman" w:hAnsi="Times New Roman"/>
          <w:bCs/>
          <w:color w:val="000000"/>
          <w:sz w:val="24"/>
          <w:szCs w:val="24"/>
        </w:rPr>
        <w:t xml:space="preserve"> e em treinamentos </w:t>
      </w:r>
      <w:r>
        <w:rPr>
          <w:rFonts w:ascii="Times New Roman" w:hAnsi="Times New Roman"/>
          <w:bCs/>
          <w:i/>
          <w:color w:val="000000"/>
          <w:sz w:val="24"/>
          <w:szCs w:val="24"/>
        </w:rPr>
        <w:t>on line</w:t>
      </w:r>
      <w:r>
        <w:rPr>
          <w:rFonts w:ascii="Times New Roman" w:hAnsi="Times New Roman"/>
          <w:bCs/>
          <w:color w:val="000000"/>
          <w:sz w:val="24"/>
          <w:szCs w:val="24"/>
        </w:rPr>
        <w:t xml:space="preserve"> e presenciais.</w:t>
      </w:r>
    </w:p>
    <w:p w:rsidR="003E6588" w:rsidRDefault="003E6588">
      <w:pPr>
        <w:pStyle w:val="PargrafodaLista"/>
        <w:tabs>
          <w:tab w:val="left" w:pos="10773"/>
        </w:tabs>
        <w:ind w:left="0" w:right="49" w:firstLine="1134"/>
        <w:contextualSpacing w:val="0"/>
        <w:rPr>
          <w:bCs/>
          <w:color w:val="000000"/>
        </w:rPr>
      </w:pPr>
    </w:p>
    <w:p w:rsidR="003E6588" w:rsidRDefault="003E6588">
      <w:pPr>
        <w:tabs>
          <w:tab w:val="left" w:pos="10773"/>
        </w:tabs>
        <w:ind w:right="49" w:firstLine="1134"/>
        <w:jc w:val="both"/>
        <w:rPr>
          <w:bCs/>
          <w:color w:val="000000"/>
        </w:rPr>
      </w:pPr>
      <w:r>
        <w:rPr>
          <w:bCs/>
          <w:color w:val="000000"/>
        </w:rPr>
        <w:t>O formato contemplou - Coletiva de Imprensa, Rodada de Negócios, Treinamento de agentes de viagens, Exposição de destinos indutores brasileiros e vivências brasileiras - ambiente dedicado a apresentação do País por meio de sua gastronomia e cultura.</w:t>
      </w:r>
    </w:p>
    <w:p w:rsidR="003E6588" w:rsidRDefault="003E6588">
      <w:pPr>
        <w:pStyle w:val="PargrafodaLista"/>
        <w:tabs>
          <w:tab w:val="left" w:pos="10773"/>
        </w:tabs>
        <w:ind w:left="0" w:right="49" w:firstLine="1134"/>
        <w:rPr>
          <w:rFonts w:ascii="Times New Roman" w:hAnsi="Times New Roman"/>
          <w:color w:val="000000"/>
          <w:sz w:val="24"/>
          <w:szCs w:val="24"/>
        </w:rPr>
      </w:pPr>
    </w:p>
    <w:p w:rsidR="003E6588" w:rsidRDefault="003E6588">
      <w:pPr>
        <w:pStyle w:val="PargrafodaLista"/>
        <w:tabs>
          <w:tab w:val="left" w:pos="10773"/>
        </w:tabs>
        <w:ind w:left="0" w:right="49" w:firstLine="1134"/>
        <w:contextualSpacing w:val="0"/>
        <w:rPr>
          <w:rFonts w:ascii="Times New Roman" w:hAnsi="Times New Roman"/>
          <w:b/>
          <w:color w:val="000000"/>
          <w:sz w:val="24"/>
          <w:szCs w:val="24"/>
        </w:rPr>
      </w:pPr>
      <w:r>
        <w:rPr>
          <w:rFonts w:ascii="Times New Roman" w:hAnsi="Times New Roman"/>
          <w:b/>
          <w:color w:val="000000"/>
          <w:sz w:val="24"/>
          <w:szCs w:val="24"/>
        </w:rPr>
        <w:t>Convênios</w:t>
      </w:r>
    </w:p>
    <w:p w:rsidR="003E6588" w:rsidRDefault="003E6588">
      <w:pPr>
        <w:pStyle w:val="PargrafodaLista"/>
        <w:tabs>
          <w:tab w:val="left" w:pos="10773"/>
        </w:tabs>
        <w:ind w:left="0" w:right="49" w:firstLine="1134"/>
        <w:contextualSpacing w:val="0"/>
        <w:rPr>
          <w:rFonts w:ascii="Times New Roman" w:hAnsi="Times New Roman"/>
          <w:color w:val="000000"/>
          <w:sz w:val="24"/>
          <w:szCs w:val="24"/>
          <w:u w:val="single"/>
        </w:rPr>
      </w:pPr>
    </w:p>
    <w:p w:rsidR="003E6588" w:rsidRDefault="003E6588">
      <w:pPr>
        <w:pStyle w:val="PargrafodaLista"/>
        <w:tabs>
          <w:tab w:val="left" w:pos="10773"/>
        </w:tabs>
        <w:ind w:left="0" w:right="49" w:firstLine="1134"/>
        <w:contextualSpacing w:val="0"/>
        <w:rPr>
          <w:rFonts w:ascii="Times New Roman" w:hAnsi="Times New Roman"/>
          <w:color w:val="000000"/>
          <w:sz w:val="24"/>
          <w:szCs w:val="24"/>
        </w:rPr>
      </w:pPr>
      <w:r>
        <w:rPr>
          <w:rFonts w:ascii="Times New Roman" w:hAnsi="Times New Roman"/>
          <w:b/>
          <w:color w:val="000000"/>
          <w:sz w:val="24"/>
          <w:szCs w:val="24"/>
        </w:rPr>
        <w:t xml:space="preserve">Convênios em execução - </w:t>
      </w:r>
      <w:r>
        <w:rPr>
          <w:rFonts w:ascii="Times New Roman" w:hAnsi="Times New Roman"/>
          <w:color w:val="000000"/>
          <w:sz w:val="24"/>
          <w:szCs w:val="24"/>
        </w:rPr>
        <w:t>Convênio com a EMBRATUR</w:t>
      </w:r>
    </w:p>
    <w:p w:rsidR="003E6588" w:rsidRDefault="003E6588">
      <w:pPr>
        <w:pStyle w:val="PargrafodaLista"/>
        <w:tabs>
          <w:tab w:val="left" w:pos="10773"/>
        </w:tabs>
        <w:ind w:left="0" w:right="49" w:firstLine="1134"/>
        <w:contextualSpacing w:val="0"/>
        <w:rPr>
          <w:rFonts w:ascii="Times New Roman" w:hAnsi="Times New Roman"/>
          <w:color w:val="000000"/>
          <w:sz w:val="24"/>
          <w:szCs w:val="24"/>
        </w:rPr>
      </w:pPr>
    </w:p>
    <w:p w:rsidR="003E6588" w:rsidRDefault="003E6588">
      <w:pPr>
        <w:pStyle w:val="PargrafodaLista"/>
        <w:tabs>
          <w:tab w:val="left" w:pos="10773"/>
        </w:tabs>
        <w:ind w:left="0" w:right="49" w:firstLine="1134"/>
        <w:contextualSpacing w:val="0"/>
        <w:rPr>
          <w:rFonts w:ascii="Times New Roman" w:hAnsi="Times New Roman"/>
          <w:color w:val="000000"/>
          <w:sz w:val="24"/>
          <w:szCs w:val="24"/>
        </w:rPr>
      </w:pPr>
      <w:r>
        <w:rPr>
          <w:rFonts w:ascii="Times New Roman" w:hAnsi="Times New Roman"/>
          <w:bCs/>
          <w:color w:val="000000"/>
          <w:sz w:val="24"/>
          <w:szCs w:val="24"/>
        </w:rPr>
        <w:t xml:space="preserve">Objeto - </w:t>
      </w:r>
      <w:r>
        <w:rPr>
          <w:rFonts w:ascii="Times New Roman" w:hAnsi="Times New Roman"/>
          <w:color w:val="000000"/>
          <w:sz w:val="24"/>
          <w:szCs w:val="24"/>
        </w:rPr>
        <w:t>Produção de material promocional para comunicação e divulgação de produtos, destinos e roteiros turísticos do Estado com recurso da Verba Descentralizada Internacional 2012.</w:t>
      </w:r>
    </w:p>
    <w:p w:rsidR="003E6588" w:rsidRDefault="003E6588">
      <w:pPr>
        <w:pStyle w:val="PargrafodaLista"/>
        <w:tabs>
          <w:tab w:val="left" w:pos="10773"/>
        </w:tabs>
        <w:ind w:left="0" w:right="49" w:firstLine="1134"/>
        <w:rPr>
          <w:rFonts w:ascii="Times New Roman" w:hAnsi="Times New Roman"/>
          <w:color w:val="000000"/>
          <w:sz w:val="24"/>
          <w:szCs w:val="24"/>
        </w:rPr>
      </w:pPr>
    </w:p>
    <w:p w:rsidR="003E6588" w:rsidRDefault="003E6588">
      <w:pPr>
        <w:pStyle w:val="PargrafodaLista"/>
        <w:tabs>
          <w:tab w:val="left" w:pos="10773"/>
        </w:tabs>
        <w:ind w:left="0" w:right="49" w:firstLine="1134"/>
        <w:rPr>
          <w:rFonts w:ascii="Times New Roman" w:hAnsi="Times New Roman"/>
          <w:bCs/>
          <w:color w:val="000000"/>
          <w:sz w:val="24"/>
          <w:szCs w:val="24"/>
        </w:rPr>
      </w:pPr>
      <w:r>
        <w:rPr>
          <w:rFonts w:ascii="Times New Roman" w:hAnsi="Times New Roman"/>
          <w:bCs/>
          <w:color w:val="000000"/>
          <w:sz w:val="24"/>
          <w:szCs w:val="24"/>
        </w:rPr>
        <w:t>Contempla - Contratação de agência de publicidade gráfica para produção dos seguintes materiais:</w:t>
      </w:r>
    </w:p>
    <w:p w:rsidR="003E6588" w:rsidRDefault="003E6588">
      <w:pPr>
        <w:pStyle w:val="PargrafodaLista"/>
        <w:tabs>
          <w:tab w:val="left" w:pos="10773"/>
        </w:tabs>
        <w:ind w:left="0" w:right="49" w:firstLine="1134"/>
        <w:rPr>
          <w:rFonts w:ascii="Times New Roman" w:hAnsi="Times New Roman"/>
          <w:bCs/>
          <w:color w:val="000000"/>
          <w:sz w:val="24"/>
          <w:szCs w:val="24"/>
        </w:rPr>
      </w:pPr>
    </w:p>
    <w:p w:rsidR="003E6588" w:rsidRDefault="003E6588" w:rsidP="00F56889">
      <w:pPr>
        <w:pStyle w:val="PargrafodaLista"/>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Livro com Luva; </w:t>
      </w:r>
      <w:r>
        <w:rPr>
          <w:rFonts w:ascii="Times New Roman" w:hAnsi="Times New Roman"/>
          <w:bCs/>
          <w:i/>
          <w:color w:val="000000"/>
          <w:sz w:val="24"/>
          <w:szCs w:val="24"/>
        </w:rPr>
        <w:t>Folder;</w:t>
      </w:r>
      <w:r>
        <w:rPr>
          <w:rFonts w:ascii="Times New Roman" w:hAnsi="Times New Roman"/>
          <w:bCs/>
          <w:color w:val="000000"/>
          <w:sz w:val="24"/>
          <w:szCs w:val="24"/>
        </w:rPr>
        <w:t xml:space="preserve"> </w:t>
      </w:r>
      <w:r>
        <w:rPr>
          <w:rFonts w:ascii="Times New Roman" w:hAnsi="Times New Roman"/>
          <w:bCs/>
          <w:i/>
          <w:color w:val="000000"/>
          <w:sz w:val="24"/>
          <w:szCs w:val="24"/>
        </w:rPr>
        <w:t>Folder</w:t>
      </w:r>
      <w:r>
        <w:rPr>
          <w:rFonts w:ascii="Times New Roman" w:hAnsi="Times New Roman"/>
          <w:bCs/>
          <w:color w:val="000000"/>
          <w:sz w:val="24"/>
          <w:szCs w:val="24"/>
        </w:rPr>
        <w:t xml:space="preserve"> Estado SP;Catálogo Estado SP com 24 páginas; Mapa Estado SP; Bloco de anotações com 50 folhas; Sacola; Brinde - </w:t>
      </w:r>
      <w:r>
        <w:rPr>
          <w:rFonts w:ascii="Times New Roman" w:hAnsi="Times New Roman"/>
          <w:bCs/>
          <w:i/>
          <w:color w:val="000000"/>
          <w:sz w:val="24"/>
          <w:szCs w:val="24"/>
        </w:rPr>
        <w:t xml:space="preserve">Pendrive </w:t>
      </w:r>
      <w:r>
        <w:rPr>
          <w:rFonts w:ascii="Times New Roman" w:hAnsi="Times New Roman"/>
          <w:bCs/>
          <w:color w:val="000000"/>
          <w:sz w:val="24"/>
          <w:szCs w:val="24"/>
        </w:rPr>
        <w:t>Chaveiro 2 GB; e Brinde - Caneta Marca Texto.</w:t>
      </w:r>
    </w:p>
    <w:p w:rsidR="003E6588" w:rsidRDefault="003E6588">
      <w:pPr>
        <w:pStyle w:val="PargrafodaLista"/>
        <w:ind w:left="1134" w:right="49"/>
        <w:contextualSpacing w:val="0"/>
        <w:rPr>
          <w:rFonts w:ascii="Times New Roman" w:hAnsi="Times New Roman"/>
          <w:bCs/>
          <w:color w:val="000000"/>
          <w:sz w:val="24"/>
          <w:szCs w:val="24"/>
        </w:rPr>
      </w:pPr>
    </w:p>
    <w:p w:rsidR="003E6588" w:rsidRDefault="003E6588">
      <w:pPr>
        <w:pStyle w:val="PargrafodaLista"/>
        <w:tabs>
          <w:tab w:val="left" w:pos="10773"/>
        </w:tabs>
        <w:ind w:left="0" w:right="49" w:firstLine="1134"/>
        <w:rPr>
          <w:rFonts w:ascii="Times New Roman" w:hAnsi="Times New Roman"/>
          <w:b/>
          <w:bCs/>
          <w:color w:val="000000"/>
          <w:sz w:val="24"/>
          <w:szCs w:val="24"/>
        </w:rPr>
      </w:pPr>
      <w:r>
        <w:rPr>
          <w:rFonts w:ascii="Times New Roman" w:hAnsi="Times New Roman"/>
          <w:b/>
          <w:bCs/>
          <w:color w:val="000000"/>
          <w:sz w:val="24"/>
          <w:szCs w:val="24"/>
        </w:rPr>
        <w:t>Tarefas executadas</w:t>
      </w:r>
    </w:p>
    <w:p w:rsidR="003E6588" w:rsidRDefault="003E6588">
      <w:pPr>
        <w:pStyle w:val="PargrafodaLista"/>
        <w:tabs>
          <w:tab w:val="left" w:pos="10773"/>
        </w:tabs>
        <w:ind w:left="0" w:right="49" w:firstLine="1134"/>
        <w:rPr>
          <w:rFonts w:ascii="Times New Roman" w:hAnsi="Times New Roman"/>
          <w:b/>
          <w:bCs/>
          <w:color w:val="000000"/>
          <w:sz w:val="24"/>
          <w:szCs w:val="24"/>
        </w:rPr>
      </w:pPr>
    </w:p>
    <w:p w:rsidR="003E6588" w:rsidRDefault="00F56889" w:rsidP="00F56889">
      <w:pPr>
        <w:pStyle w:val="PargrafodaLista"/>
        <w:tabs>
          <w:tab w:val="left" w:pos="1418"/>
        </w:tabs>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Acompanhamento detalhado de todos os materiais produzidos junto a agência de publicidade; tradução nas versões inglês e espanhol;</w:t>
      </w:r>
    </w:p>
    <w:p w:rsidR="003E6588" w:rsidRDefault="003E6588" w:rsidP="00F56889">
      <w:pPr>
        <w:pStyle w:val="PargrafodaLista"/>
        <w:tabs>
          <w:tab w:val="left" w:pos="1418"/>
        </w:tabs>
        <w:ind w:left="0" w:right="49" w:firstLine="1134"/>
        <w:contextualSpacing w:val="0"/>
        <w:rPr>
          <w:rFonts w:ascii="Times New Roman" w:hAnsi="Times New Roman"/>
          <w:bCs/>
          <w:color w:val="000000"/>
          <w:sz w:val="24"/>
          <w:szCs w:val="24"/>
        </w:rPr>
      </w:pPr>
    </w:p>
    <w:p w:rsidR="003E6588" w:rsidRDefault="00F56889" w:rsidP="00F56889">
      <w:pPr>
        <w:pStyle w:val="PargrafodaLista"/>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Envio de relatório de execução parcial para a EMBRATUR;</w:t>
      </w:r>
    </w:p>
    <w:p w:rsidR="003E6588" w:rsidRDefault="003E6588" w:rsidP="00F56889">
      <w:pPr>
        <w:pStyle w:val="PargrafodaLista"/>
        <w:ind w:left="0" w:right="49" w:firstLine="1134"/>
        <w:contextualSpacing w:val="0"/>
        <w:rPr>
          <w:rFonts w:ascii="Times New Roman" w:hAnsi="Times New Roman"/>
          <w:bCs/>
          <w:color w:val="000000"/>
          <w:sz w:val="24"/>
          <w:szCs w:val="24"/>
        </w:rPr>
      </w:pPr>
    </w:p>
    <w:p w:rsidR="003E6588" w:rsidRDefault="00F56889" w:rsidP="00F56889">
      <w:pPr>
        <w:pStyle w:val="PargrafodaLista"/>
        <w:tabs>
          <w:tab w:val="left" w:pos="1418"/>
        </w:tabs>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 xml:space="preserve">Pregão </w:t>
      </w:r>
      <w:r w:rsidR="003E6588">
        <w:rPr>
          <w:rFonts w:ascii="Times New Roman" w:hAnsi="Times New Roman"/>
          <w:bCs/>
          <w:sz w:val="24"/>
          <w:szCs w:val="24"/>
        </w:rPr>
        <w:t>gráfico concluído, sendo contratada a empresa a SP Graf e Editora Ltda.</w:t>
      </w:r>
    </w:p>
    <w:p w:rsidR="003E6588" w:rsidRDefault="003E6588" w:rsidP="00F56889">
      <w:pPr>
        <w:pStyle w:val="PargrafodaLista"/>
        <w:tabs>
          <w:tab w:val="left" w:pos="1418"/>
        </w:tabs>
        <w:ind w:left="0" w:right="49" w:firstLine="1134"/>
        <w:contextualSpacing w:val="0"/>
        <w:rPr>
          <w:rFonts w:ascii="Times New Roman" w:hAnsi="Times New Roman"/>
          <w:bCs/>
          <w:color w:val="000000"/>
          <w:sz w:val="24"/>
          <w:szCs w:val="24"/>
        </w:rPr>
      </w:pPr>
    </w:p>
    <w:p w:rsidR="003E6588" w:rsidRDefault="00F56889" w:rsidP="00F56889">
      <w:pPr>
        <w:pStyle w:val="PargrafodaLista"/>
        <w:tabs>
          <w:tab w:val="left" w:pos="1418"/>
        </w:tabs>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Aditamento da vigência do contrato junto à EMBRATUR;</w:t>
      </w:r>
    </w:p>
    <w:p w:rsidR="003E6588" w:rsidRDefault="003E6588" w:rsidP="00F56889">
      <w:pPr>
        <w:pStyle w:val="PargrafodaLista"/>
        <w:tabs>
          <w:tab w:val="left" w:pos="1418"/>
        </w:tabs>
        <w:ind w:left="0" w:right="49" w:firstLine="1134"/>
        <w:contextualSpacing w:val="0"/>
        <w:rPr>
          <w:rFonts w:ascii="Times New Roman" w:hAnsi="Times New Roman"/>
          <w:bCs/>
          <w:color w:val="000000"/>
          <w:sz w:val="24"/>
          <w:szCs w:val="24"/>
        </w:rPr>
      </w:pPr>
    </w:p>
    <w:p w:rsidR="003E6588" w:rsidRDefault="00F56889" w:rsidP="00F56889">
      <w:pPr>
        <w:pStyle w:val="PargrafodaLista"/>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 xml:space="preserve">Aditamento da vigência do contrato dos fornecedores </w:t>
      </w:r>
      <w:r w:rsidR="003E6588">
        <w:rPr>
          <w:rFonts w:ascii="Times New Roman" w:hAnsi="Times New Roman"/>
          <w:bCs/>
          <w:i/>
          <w:color w:val="000000"/>
          <w:sz w:val="24"/>
          <w:szCs w:val="24"/>
        </w:rPr>
        <w:t xml:space="preserve">Elleven </w:t>
      </w:r>
      <w:r w:rsidR="003E6588">
        <w:rPr>
          <w:rFonts w:ascii="Times New Roman" w:hAnsi="Times New Roman"/>
          <w:bCs/>
          <w:color w:val="000000"/>
          <w:sz w:val="24"/>
          <w:szCs w:val="24"/>
        </w:rPr>
        <w:t>Comunicação (agência publicitária) e SP Graf (gráfica licitada);</w:t>
      </w:r>
    </w:p>
    <w:p w:rsidR="003E6588" w:rsidRDefault="003E6588">
      <w:pPr>
        <w:pStyle w:val="PargrafodaLista"/>
        <w:ind w:left="0" w:right="49"/>
        <w:contextualSpacing w:val="0"/>
        <w:rPr>
          <w:rFonts w:ascii="Times New Roman" w:hAnsi="Times New Roman"/>
          <w:bCs/>
          <w:color w:val="000000"/>
          <w:sz w:val="24"/>
          <w:szCs w:val="24"/>
        </w:rPr>
      </w:pPr>
    </w:p>
    <w:p w:rsidR="003E6588" w:rsidRDefault="00F56889">
      <w:pPr>
        <w:tabs>
          <w:tab w:val="left" w:pos="10773"/>
        </w:tabs>
        <w:ind w:right="49" w:firstLine="1134"/>
        <w:jc w:val="both"/>
        <w:rPr>
          <w:bCs/>
          <w:color w:val="000000"/>
        </w:rPr>
      </w:pPr>
      <w:r>
        <w:rPr>
          <w:color w:val="000000"/>
        </w:rPr>
        <w:t xml:space="preserve">- </w:t>
      </w:r>
      <w:r w:rsidR="003E6588">
        <w:rPr>
          <w:color w:val="000000"/>
        </w:rPr>
        <w:t xml:space="preserve">Convênio celebrado com a EMBRATUR - </w:t>
      </w:r>
      <w:r w:rsidR="003E6588">
        <w:rPr>
          <w:bCs/>
          <w:color w:val="000000"/>
        </w:rPr>
        <w:t xml:space="preserve">Operacionalização do Convênio </w:t>
      </w:r>
      <w:r w:rsidR="003E6588">
        <w:rPr>
          <w:color w:val="000000"/>
        </w:rPr>
        <w:t xml:space="preserve">nº 792501/2013 </w:t>
      </w:r>
      <w:r w:rsidR="003E6588">
        <w:rPr>
          <w:bCs/>
          <w:color w:val="000000"/>
        </w:rPr>
        <w:t>(EMBRATUR) para a Secretaria de Turismo.</w:t>
      </w:r>
    </w:p>
    <w:p w:rsidR="003E6588" w:rsidRDefault="003E6588">
      <w:pPr>
        <w:pStyle w:val="PargrafodaLista"/>
        <w:tabs>
          <w:tab w:val="left" w:pos="10773"/>
        </w:tabs>
        <w:ind w:left="0" w:right="49" w:firstLine="1134"/>
        <w:rPr>
          <w:rFonts w:ascii="Times New Roman" w:hAnsi="Times New Roman"/>
          <w:bCs/>
          <w:color w:val="000000"/>
          <w:sz w:val="24"/>
          <w:szCs w:val="24"/>
        </w:rPr>
      </w:pPr>
      <w:r>
        <w:rPr>
          <w:rFonts w:ascii="Times New Roman" w:hAnsi="Times New Roman"/>
          <w:bCs/>
          <w:color w:val="000000"/>
          <w:sz w:val="24"/>
          <w:szCs w:val="24"/>
        </w:rPr>
        <w:lastRenderedPageBreak/>
        <w:t>Objeto - Comunicação e divulgação dos produtos e destinos paulistas no mercado internacional - Verba Descentralizada 2013, mediante produção de Banco de Imagem; Aplicativo para o Portal de Turismo e Ferramenta de Comunicação Digital</w:t>
      </w:r>
    </w:p>
    <w:p w:rsidR="003E6588" w:rsidRDefault="003E6588">
      <w:pPr>
        <w:pStyle w:val="PargrafodaLista"/>
        <w:tabs>
          <w:tab w:val="left" w:pos="10773"/>
        </w:tabs>
        <w:ind w:left="0" w:right="49" w:firstLine="1134"/>
        <w:rPr>
          <w:rFonts w:ascii="Times New Roman" w:hAnsi="Times New Roman"/>
          <w:bCs/>
          <w:color w:val="000000"/>
          <w:sz w:val="24"/>
          <w:szCs w:val="24"/>
        </w:rPr>
      </w:pPr>
    </w:p>
    <w:p w:rsidR="003E6588" w:rsidRDefault="003E6588">
      <w:pPr>
        <w:pStyle w:val="PargrafodaLista"/>
        <w:tabs>
          <w:tab w:val="left" w:pos="10773"/>
        </w:tabs>
        <w:ind w:left="0" w:right="49" w:firstLine="1134"/>
        <w:rPr>
          <w:rFonts w:ascii="Times New Roman" w:hAnsi="Times New Roman"/>
          <w:bCs/>
          <w:color w:val="000000"/>
          <w:sz w:val="24"/>
          <w:szCs w:val="24"/>
        </w:rPr>
      </w:pPr>
      <w:r>
        <w:rPr>
          <w:rFonts w:ascii="Times New Roman" w:hAnsi="Times New Roman"/>
          <w:bCs/>
          <w:color w:val="000000"/>
          <w:sz w:val="24"/>
          <w:szCs w:val="24"/>
        </w:rPr>
        <w:t>Contempla - Três ferramentas para comunicação e divulgação de produtos e destinos paulistas no mercado internacional:</w:t>
      </w:r>
    </w:p>
    <w:p w:rsidR="003E6588" w:rsidRDefault="003E6588">
      <w:pPr>
        <w:pStyle w:val="PargrafodaLista"/>
        <w:tabs>
          <w:tab w:val="left" w:pos="10773"/>
        </w:tabs>
        <w:ind w:left="0" w:right="49" w:firstLine="1134"/>
        <w:rPr>
          <w:rFonts w:ascii="Times New Roman" w:hAnsi="Times New Roman"/>
          <w:bCs/>
          <w:color w:val="000000"/>
          <w:sz w:val="24"/>
          <w:szCs w:val="24"/>
        </w:rPr>
      </w:pPr>
    </w:p>
    <w:p w:rsidR="003E6588" w:rsidRDefault="003E6588">
      <w:pPr>
        <w:pStyle w:val="PargrafodaLista"/>
        <w:tabs>
          <w:tab w:val="left" w:pos="10773"/>
        </w:tabs>
        <w:ind w:left="0" w:right="49" w:firstLine="1134"/>
        <w:rPr>
          <w:rFonts w:ascii="Times New Roman" w:hAnsi="Times New Roman"/>
          <w:bCs/>
          <w:color w:val="000000"/>
          <w:sz w:val="24"/>
          <w:szCs w:val="24"/>
        </w:rPr>
      </w:pPr>
      <w:r>
        <w:rPr>
          <w:rFonts w:ascii="Times New Roman" w:hAnsi="Times New Roman"/>
          <w:bCs/>
          <w:color w:val="000000"/>
          <w:sz w:val="24"/>
          <w:szCs w:val="24"/>
        </w:rPr>
        <w:t>Aplicativo composto pelo conteúdo do Portal de Turismo em São Paulo (</w:t>
      </w:r>
      <w:hyperlink r:id="rId73" w:history="1">
        <w:r>
          <w:rPr>
            <w:rFonts w:ascii="Times New Roman" w:hAnsi="Times New Roman"/>
            <w:bCs/>
            <w:color w:val="000000"/>
            <w:sz w:val="24"/>
            <w:szCs w:val="24"/>
          </w:rPr>
          <w:t>www.turismoemsaopaulo.com</w:t>
        </w:r>
      </w:hyperlink>
      <w:r>
        <w:rPr>
          <w:rFonts w:ascii="Times New Roman" w:hAnsi="Times New Roman"/>
          <w:bCs/>
          <w:color w:val="000000"/>
          <w:sz w:val="24"/>
          <w:szCs w:val="24"/>
        </w:rPr>
        <w:t>);</w:t>
      </w:r>
    </w:p>
    <w:p w:rsidR="003E6588" w:rsidRDefault="003E6588">
      <w:pPr>
        <w:pStyle w:val="PargrafodaLista"/>
        <w:tabs>
          <w:tab w:val="left" w:pos="10773"/>
        </w:tabs>
        <w:ind w:left="0" w:right="49" w:firstLine="1134"/>
        <w:rPr>
          <w:rFonts w:ascii="Times New Roman" w:hAnsi="Times New Roman"/>
          <w:bCs/>
          <w:color w:val="000000"/>
          <w:sz w:val="24"/>
          <w:szCs w:val="24"/>
        </w:rPr>
      </w:pPr>
    </w:p>
    <w:p w:rsidR="003E6588" w:rsidRDefault="003E6588">
      <w:pPr>
        <w:pStyle w:val="PargrafodaLista"/>
        <w:tabs>
          <w:tab w:val="left" w:pos="10773"/>
        </w:tabs>
        <w:ind w:left="0" w:right="49" w:firstLine="1134"/>
        <w:rPr>
          <w:rFonts w:ascii="Times New Roman" w:hAnsi="Times New Roman"/>
          <w:bCs/>
          <w:color w:val="000000"/>
          <w:sz w:val="24"/>
          <w:szCs w:val="24"/>
        </w:rPr>
      </w:pPr>
      <w:r>
        <w:rPr>
          <w:rFonts w:ascii="Times New Roman" w:hAnsi="Times New Roman"/>
          <w:bCs/>
          <w:color w:val="000000"/>
          <w:sz w:val="24"/>
          <w:szCs w:val="24"/>
        </w:rPr>
        <w:t>Banco de Imagens moderno e diferenciado, promovendo a segmentação turística;</w:t>
      </w:r>
    </w:p>
    <w:p w:rsidR="003E6588" w:rsidRDefault="003E6588">
      <w:pPr>
        <w:pStyle w:val="PargrafodaLista"/>
        <w:tabs>
          <w:tab w:val="left" w:pos="10773"/>
        </w:tabs>
        <w:ind w:left="0" w:right="49" w:firstLine="1134"/>
        <w:rPr>
          <w:rFonts w:ascii="Times New Roman" w:hAnsi="Times New Roman"/>
          <w:bCs/>
          <w:color w:val="000000"/>
          <w:sz w:val="24"/>
          <w:szCs w:val="24"/>
        </w:rPr>
      </w:pPr>
    </w:p>
    <w:p w:rsidR="003E6588" w:rsidRDefault="003E6588">
      <w:pPr>
        <w:pStyle w:val="PargrafodaLista"/>
        <w:tabs>
          <w:tab w:val="left" w:pos="10773"/>
        </w:tabs>
        <w:ind w:left="0" w:right="49" w:firstLine="1134"/>
        <w:rPr>
          <w:rFonts w:ascii="Times New Roman" w:hAnsi="Times New Roman"/>
          <w:bCs/>
          <w:color w:val="000000"/>
          <w:sz w:val="24"/>
          <w:szCs w:val="24"/>
        </w:rPr>
      </w:pPr>
      <w:r>
        <w:rPr>
          <w:rFonts w:ascii="Times New Roman" w:hAnsi="Times New Roman"/>
          <w:bCs/>
          <w:color w:val="000000"/>
          <w:sz w:val="24"/>
          <w:szCs w:val="24"/>
        </w:rPr>
        <w:t>Ferramenta comunicação digital.</w:t>
      </w:r>
    </w:p>
    <w:p w:rsidR="003E6588" w:rsidRDefault="003E6588">
      <w:pPr>
        <w:pStyle w:val="PargrafodaLista"/>
        <w:tabs>
          <w:tab w:val="left" w:pos="10773"/>
        </w:tabs>
        <w:ind w:left="0" w:right="49" w:firstLine="1134"/>
        <w:rPr>
          <w:rFonts w:ascii="Times New Roman" w:hAnsi="Times New Roman"/>
          <w:bCs/>
          <w:color w:val="000000"/>
          <w:sz w:val="24"/>
          <w:szCs w:val="24"/>
        </w:rPr>
      </w:pPr>
    </w:p>
    <w:p w:rsidR="003E6588" w:rsidRDefault="003E6588">
      <w:pPr>
        <w:pStyle w:val="PargrafodaLista"/>
        <w:tabs>
          <w:tab w:val="left" w:pos="10773"/>
        </w:tabs>
        <w:ind w:left="0" w:right="49" w:firstLine="1134"/>
        <w:rPr>
          <w:rFonts w:ascii="Times New Roman" w:hAnsi="Times New Roman"/>
          <w:b/>
          <w:bCs/>
          <w:color w:val="000000"/>
          <w:sz w:val="24"/>
          <w:szCs w:val="24"/>
        </w:rPr>
      </w:pPr>
      <w:r>
        <w:rPr>
          <w:rFonts w:ascii="Times New Roman" w:hAnsi="Times New Roman"/>
          <w:b/>
          <w:bCs/>
          <w:color w:val="000000"/>
          <w:sz w:val="24"/>
          <w:szCs w:val="24"/>
        </w:rPr>
        <w:t>Tarefas executadas</w:t>
      </w:r>
    </w:p>
    <w:p w:rsidR="003E6588" w:rsidRDefault="003E6588">
      <w:pPr>
        <w:pStyle w:val="PargrafodaLista"/>
        <w:tabs>
          <w:tab w:val="left" w:pos="10773"/>
        </w:tabs>
        <w:ind w:left="0" w:right="49" w:firstLine="1134"/>
        <w:rPr>
          <w:rFonts w:ascii="Times New Roman" w:hAnsi="Times New Roman"/>
          <w:b/>
          <w:bCs/>
          <w:color w:val="000000"/>
          <w:sz w:val="24"/>
          <w:szCs w:val="24"/>
        </w:rPr>
      </w:pPr>
    </w:p>
    <w:p w:rsidR="003E6588" w:rsidRDefault="00F56889" w:rsidP="00F56889">
      <w:pPr>
        <w:pStyle w:val="PargrafodaLista"/>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Acompanhamento dos trâmites juntos ao Banco do Brasil para darmos início ao processo de licitação;</w:t>
      </w:r>
    </w:p>
    <w:p w:rsidR="003E6588" w:rsidRDefault="003E6588" w:rsidP="00F56889">
      <w:pPr>
        <w:pStyle w:val="PargrafodaLista"/>
        <w:ind w:left="0" w:right="49" w:firstLine="1134"/>
        <w:contextualSpacing w:val="0"/>
        <w:rPr>
          <w:rFonts w:ascii="Times New Roman" w:hAnsi="Times New Roman"/>
          <w:bCs/>
          <w:color w:val="000000"/>
          <w:sz w:val="24"/>
          <w:szCs w:val="24"/>
        </w:rPr>
      </w:pPr>
    </w:p>
    <w:p w:rsidR="003E6588" w:rsidRDefault="00F56889" w:rsidP="00F56889">
      <w:pPr>
        <w:pStyle w:val="PargrafodaLista"/>
        <w:tabs>
          <w:tab w:val="left" w:pos="1418"/>
        </w:tabs>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Elaboração dos cadernos técnicos para os processos licitatórios - Banco de Imagens, Aplicativo do Portal e Ferramenta Digital;</w:t>
      </w:r>
    </w:p>
    <w:p w:rsidR="003E6588" w:rsidRDefault="003E6588" w:rsidP="00F56889">
      <w:pPr>
        <w:pStyle w:val="PargrafodaLista"/>
        <w:tabs>
          <w:tab w:val="left" w:pos="1418"/>
        </w:tabs>
        <w:ind w:left="0" w:right="49" w:firstLine="1134"/>
        <w:contextualSpacing w:val="0"/>
        <w:rPr>
          <w:rFonts w:ascii="Times New Roman" w:hAnsi="Times New Roman"/>
          <w:bCs/>
          <w:color w:val="000000"/>
          <w:sz w:val="24"/>
          <w:szCs w:val="24"/>
        </w:rPr>
      </w:pPr>
    </w:p>
    <w:p w:rsidR="003E6588" w:rsidRDefault="00F56889" w:rsidP="00F56889">
      <w:pPr>
        <w:pStyle w:val="PargrafodaLista"/>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Elaboração de ficha para levantamento de atrativos das 200 cidades que compõe o Banco de Imagens - Anexo III;</w:t>
      </w:r>
    </w:p>
    <w:p w:rsidR="003E6588" w:rsidRDefault="003E6588" w:rsidP="00F56889">
      <w:pPr>
        <w:pStyle w:val="PargrafodaLista"/>
        <w:ind w:left="0" w:right="49" w:firstLine="1134"/>
        <w:contextualSpacing w:val="0"/>
        <w:rPr>
          <w:rFonts w:ascii="Times New Roman" w:hAnsi="Times New Roman"/>
          <w:bCs/>
          <w:color w:val="000000"/>
          <w:sz w:val="24"/>
          <w:szCs w:val="24"/>
        </w:rPr>
      </w:pPr>
    </w:p>
    <w:p w:rsidR="003E6588" w:rsidRDefault="00F56889" w:rsidP="00F56889">
      <w:pPr>
        <w:pStyle w:val="PargrafodaLista"/>
        <w:tabs>
          <w:tab w:val="left" w:pos="1418"/>
        </w:tabs>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Envio das fichas para as prefeituras das cidades pela equipe da Coordenadoria de Turismo;</w:t>
      </w:r>
    </w:p>
    <w:p w:rsidR="003E6588" w:rsidRDefault="003E6588" w:rsidP="00F56889">
      <w:pPr>
        <w:pStyle w:val="PargrafodaLista"/>
        <w:tabs>
          <w:tab w:val="left" w:pos="1418"/>
        </w:tabs>
        <w:ind w:left="0" w:right="49" w:firstLine="1134"/>
        <w:contextualSpacing w:val="0"/>
        <w:rPr>
          <w:rFonts w:ascii="Times New Roman" w:hAnsi="Times New Roman"/>
          <w:bCs/>
          <w:color w:val="000000"/>
          <w:sz w:val="24"/>
          <w:szCs w:val="24"/>
        </w:rPr>
      </w:pPr>
    </w:p>
    <w:p w:rsidR="003E6588" w:rsidRDefault="00F56889" w:rsidP="00F56889">
      <w:pPr>
        <w:pStyle w:val="PargrafodaLista"/>
        <w:tabs>
          <w:tab w:val="left" w:pos="1418"/>
        </w:tabs>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Realização de pesquisa de opinião sobre criação de aplicativo do Portal de Turismo do Estado - Anexo IV;</w:t>
      </w:r>
    </w:p>
    <w:p w:rsidR="003E6588" w:rsidRDefault="003E6588" w:rsidP="00F56889">
      <w:pPr>
        <w:pStyle w:val="PargrafodaLista"/>
        <w:tabs>
          <w:tab w:val="left" w:pos="1418"/>
        </w:tabs>
        <w:ind w:left="0" w:right="49" w:firstLine="1134"/>
        <w:contextualSpacing w:val="0"/>
        <w:rPr>
          <w:rFonts w:ascii="Times New Roman" w:hAnsi="Times New Roman"/>
          <w:bCs/>
          <w:color w:val="000000"/>
          <w:sz w:val="24"/>
          <w:szCs w:val="24"/>
        </w:rPr>
      </w:pPr>
    </w:p>
    <w:p w:rsidR="003E6588" w:rsidRDefault="00F56889" w:rsidP="00F56889">
      <w:pPr>
        <w:pStyle w:val="PargrafodaLista"/>
        <w:tabs>
          <w:tab w:val="left" w:pos="1418"/>
        </w:tabs>
        <w:ind w:left="0" w:right="49" w:firstLine="1134"/>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Ferramenta Digital, Banco de Imagens e Aplicativo - Pregão Eletrônico realizado;</w:t>
      </w:r>
    </w:p>
    <w:p w:rsidR="003E6588" w:rsidRDefault="003E6588" w:rsidP="00F56889">
      <w:pPr>
        <w:pStyle w:val="PargrafodaLista"/>
        <w:tabs>
          <w:tab w:val="left" w:pos="1418"/>
        </w:tabs>
        <w:ind w:left="0" w:right="49" w:firstLine="1134"/>
        <w:contextualSpacing w:val="0"/>
        <w:rPr>
          <w:rFonts w:ascii="Times New Roman" w:hAnsi="Times New Roman"/>
          <w:bCs/>
          <w:color w:val="000000"/>
          <w:sz w:val="24"/>
          <w:szCs w:val="24"/>
        </w:rPr>
      </w:pPr>
    </w:p>
    <w:p w:rsidR="003E6588" w:rsidRDefault="003E6588">
      <w:pPr>
        <w:pStyle w:val="PargrafodaLista"/>
        <w:tabs>
          <w:tab w:val="left" w:pos="10773"/>
        </w:tabs>
        <w:ind w:left="0" w:right="49" w:firstLine="1134"/>
        <w:contextualSpacing w:val="0"/>
        <w:rPr>
          <w:rFonts w:ascii="Times New Roman" w:hAnsi="Times New Roman"/>
          <w:color w:val="000000"/>
          <w:sz w:val="24"/>
          <w:szCs w:val="24"/>
        </w:rPr>
      </w:pPr>
      <w:r>
        <w:rPr>
          <w:rFonts w:ascii="Times New Roman" w:hAnsi="Times New Roman"/>
          <w:b/>
          <w:color w:val="000000"/>
          <w:sz w:val="24"/>
          <w:szCs w:val="24"/>
        </w:rPr>
        <w:t xml:space="preserve">Portal de Turismo do Estado - </w:t>
      </w:r>
      <w:r>
        <w:rPr>
          <w:rFonts w:ascii="Times New Roman" w:hAnsi="Times New Roman"/>
          <w:color w:val="000000"/>
          <w:sz w:val="24"/>
          <w:szCs w:val="24"/>
        </w:rPr>
        <w:t xml:space="preserve">Convênio com a EMBRATUR para a construção do primeiro portal do negócio do turismo do Estado, com foco nos turistas (público final) e </w:t>
      </w:r>
      <w:r>
        <w:rPr>
          <w:rFonts w:ascii="Times New Roman" w:hAnsi="Times New Roman"/>
          <w:i/>
          <w:sz w:val="24"/>
          <w:szCs w:val="24"/>
        </w:rPr>
        <w:t>trade</w:t>
      </w:r>
      <w:r>
        <w:rPr>
          <w:rFonts w:ascii="Times New Roman" w:hAnsi="Times New Roman"/>
          <w:sz w:val="24"/>
          <w:szCs w:val="24"/>
        </w:rPr>
        <w:t xml:space="preserve"> </w:t>
      </w:r>
      <w:r>
        <w:rPr>
          <w:rFonts w:ascii="Times New Roman" w:hAnsi="Times New Roman"/>
          <w:color w:val="000000"/>
          <w:sz w:val="24"/>
          <w:szCs w:val="24"/>
        </w:rPr>
        <w:t>(operadores e agentes de viagem), contendo informações dos 645 destinos paulistas em 3 idiomas (português, inglês e espanhol), integrado às principais mídias sociais da atualidade.</w:t>
      </w:r>
    </w:p>
    <w:p w:rsidR="003E6588" w:rsidRDefault="003E6588">
      <w:pPr>
        <w:tabs>
          <w:tab w:val="left" w:pos="10773"/>
        </w:tabs>
        <w:ind w:right="49" w:firstLine="1134"/>
        <w:jc w:val="both"/>
        <w:rPr>
          <w:color w:val="000000"/>
        </w:rPr>
      </w:pPr>
    </w:p>
    <w:p w:rsidR="003E6588" w:rsidRDefault="003E6588">
      <w:pPr>
        <w:tabs>
          <w:tab w:val="left" w:pos="10773"/>
        </w:tabs>
        <w:ind w:right="49" w:firstLine="1134"/>
        <w:jc w:val="both"/>
        <w:rPr>
          <w:b/>
          <w:color w:val="000000"/>
        </w:rPr>
      </w:pPr>
      <w:r>
        <w:rPr>
          <w:b/>
          <w:color w:val="000000"/>
        </w:rPr>
        <w:t>Tarefas executadas</w:t>
      </w:r>
    </w:p>
    <w:p w:rsidR="003E6588" w:rsidRDefault="003E6588">
      <w:pPr>
        <w:tabs>
          <w:tab w:val="left" w:pos="10773"/>
        </w:tabs>
        <w:ind w:right="49" w:firstLine="1134"/>
        <w:jc w:val="both"/>
        <w:rPr>
          <w:b/>
          <w:color w:val="000000"/>
        </w:rPr>
      </w:pP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Atualização quinzenal do conteúdo “Top 5” dicas;</w:t>
      </w:r>
    </w:p>
    <w:p w:rsidR="003E6588" w:rsidRDefault="003E6588">
      <w:pPr>
        <w:pStyle w:val="PargrafodaLista"/>
        <w:ind w:left="1134" w:right="49"/>
        <w:contextualSpacing w:val="0"/>
        <w:rPr>
          <w:rFonts w:ascii="Times New Roman" w:hAnsi="Times New Roman"/>
          <w:bCs/>
          <w:color w:val="000000"/>
          <w:sz w:val="24"/>
          <w:szCs w:val="24"/>
        </w:rPr>
      </w:pP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Seleção mensal de imagens para calendário de eventos;</w:t>
      </w: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lastRenderedPageBreak/>
        <w:t xml:space="preserve">- </w:t>
      </w:r>
      <w:r w:rsidR="003E6588">
        <w:rPr>
          <w:rFonts w:ascii="Times New Roman" w:hAnsi="Times New Roman"/>
          <w:bCs/>
          <w:color w:val="000000"/>
          <w:sz w:val="24"/>
          <w:szCs w:val="24"/>
        </w:rPr>
        <w:t xml:space="preserve">Seleção bimestral de novas imagens para o topo da </w:t>
      </w:r>
      <w:r w:rsidR="003E6588">
        <w:rPr>
          <w:rFonts w:ascii="Times New Roman" w:hAnsi="Times New Roman"/>
          <w:bCs/>
          <w:i/>
          <w:color w:val="000000"/>
          <w:sz w:val="24"/>
          <w:szCs w:val="24"/>
        </w:rPr>
        <w:t>homepage</w:t>
      </w:r>
      <w:r w:rsidR="003E6588">
        <w:rPr>
          <w:rFonts w:ascii="Times New Roman" w:hAnsi="Times New Roman"/>
          <w:bCs/>
          <w:color w:val="000000"/>
          <w:sz w:val="24"/>
          <w:szCs w:val="24"/>
        </w:rPr>
        <w:t>;</w:t>
      </w:r>
    </w:p>
    <w:p w:rsidR="003E6588" w:rsidRDefault="003E6588">
      <w:pPr>
        <w:pStyle w:val="PargrafodaLista"/>
        <w:ind w:left="1134" w:right="49"/>
        <w:contextualSpacing w:val="0"/>
        <w:rPr>
          <w:rFonts w:ascii="Times New Roman" w:hAnsi="Times New Roman"/>
          <w:bCs/>
          <w:color w:val="000000"/>
          <w:sz w:val="24"/>
          <w:szCs w:val="24"/>
        </w:rPr>
      </w:pP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Envio da listagem de cidades aniversariantes do mês para inserção via A2 Comunicação;</w:t>
      </w:r>
    </w:p>
    <w:p w:rsidR="003E6588" w:rsidRDefault="003E6588">
      <w:pPr>
        <w:pStyle w:val="PargrafodaLista"/>
        <w:ind w:left="0" w:right="49"/>
        <w:contextualSpacing w:val="0"/>
        <w:rPr>
          <w:rFonts w:ascii="Times New Roman" w:hAnsi="Times New Roman"/>
          <w:bCs/>
          <w:color w:val="000000"/>
          <w:sz w:val="24"/>
          <w:szCs w:val="24"/>
        </w:rPr>
      </w:pP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 xml:space="preserve">Aprovação/alteração de novos </w:t>
      </w:r>
      <w:r w:rsidR="003E6588">
        <w:rPr>
          <w:rFonts w:ascii="Times New Roman" w:hAnsi="Times New Roman"/>
          <w:bCs/>
          <w:i/>
          <w:color w:val="000000"/>
          <w:sz w:val="24"/>
          <w:szCs w:val="24"/>
        </w:rPr>
        <w:t>layouts</w:t>
      </w:r>
      <w:r w:rsidR="003E6588">
        <w:rPr>
          <w:rFonts w:ascii="Times New Roman" w:hAnsi="Times New Roman"/>
          <w:bCs/>
          <w:color w:val="000000"/>
          <w:sz w:val="24"/>
          <w:szCs w:val="24"/>
        </w:rPr>
        <w:t>;</w:t>
      </w:r>
    </w:p>
    <w:p w:rsidR="003E6588" w:rsidRDefault="003E6588">
      <w:pPr>
        <w:pStyle w:val="PargrafodaLista"/>
        <w:tabs>
          <w:tab w:val="left" w:pos="10773"/>
        </w:tabs>
        <w:ind w:left="0" w:right="49" w:firstLine="1134"/>
        <w:contextualSpacing w:val="0"/>
        <w:rPr>
          <w:rFonts w:ascii="Times New Roman" w:hAnsi="Times New Roman"/>
          <w:bCs/>
          <w:color w:val="000000"/>
          <w:sz w:val="24"/>
          <w:szCs w:val="24"/>
        </w:rPr>
      </w:pPr>
    </w:p>
    <w:p w:rsidR="003E6588" w:rsidRDefault="003E6588">
      <w:pPr>
        <w:pStyle w:val="PargrafodaLista"/>
        <w:tabs>
          <w:tab w:val="left" w:pos="10773"/>
        </w:tabs>
        <w:ind w:left="0" w:right="49" w:firstLine="1134"/>
        <w:contextualSpacing w:val="0"/>
        <w:rPr>
          <w:rFonts w:ascii="Times New Roman" w:hAnsi="Times New Roman"/>
          <w:bCs/>
          <w:sz w:val="24"/>
          <w:szCs w:val="24"/>
        </w:rPr>
      </w:pPr>
      <w:r>
        <w:rPr>
          <w:rFonts w:ascii="Times New Roman" w:hAnsi="Times New Roman"/>
          <w:b/>
          <w:sz w:val="24"/>
          <w:szCs w:val="24"/>
        </w:rPr>
        <w:t>Projeto “Rotas de São Paulo”</w:t>
      </w:r>
      <w:r>
        <w:rPr>
          <w:rFonts w:ascii="Times New Roman" w:hAnsi="Times New Roman"/>
          <w:sz w:val="24"/>
          <w:szCs w:val="24"/>
        </w:rPr>
        <w:t xml:space="preserve"> - </w:t>
      </w:r>
      <w:r>
        <w:rPr>
          <w:rFonts w:ascii="Times New Roman" w:hAnsi="Times New Roman"/>
          <w:bCs/>
          <w:sz w:val="24"/>
          <w:szCs w:val="24"/>
        </w:rPr>
        <w:t>Convênio celebrado entre a CPETUR e o Ministério do Turismo para criação e divulgação de material promocional do Estado em três idiomas. Seu conteúdo conta com o levantamento de dados de atrações, hotéis e restaurantes que o Guia Quatro Rodas avalia e classifica anonimamente há 45 anos.</w:t>
      </w:r>
    </w:p>
    <w:p w:rsidR="00F56889" w:rsidRDefault="00F56889">
      <w:pPr>
        <w:pStyle w:val="PargrafodaLista"/>
        <w:tabs>
          <w:tab w:val="left" w:pos="10773"/>
        </w:tabs>
        <w:ind w:left="0" w:right="49" w:firstLine="1134"/>
        <w:contextualSpacing w:val="0"/>
        <w:rPr>
          <w:rFonts w:ascii="Times New Roman" w:hAnsi="Times New Roman"/>
          <w:bCs/>
          <w:sz w:val="24"/>
          <w:szCs w:val="24"/>
        </w:rPr>
      </w:pPr>
    </w:p>
    <w:p w:rsidR="003E6588" w:rsidRDefault="003E6588">
      <w:pPr>
        <w:ind w:right="49" w:firstLine="1134"/>
        <w:jc w:val="both"/>
        <w:rPr>
          <w:bCs/>
        </w:rPr>
      </w:pPr>
      <w:r>
        <w:rPr>
          <w:bCs/>
        </w:rPr>
        <w:t xml:space="preserve">Atualização e acompanhamento de inserção de conteúdo no </w:t>
      </w:r>
      <w:r>
        <w:rPr>
          <w:bCs/>
          <w:i/>
        </w:rPr>
        <w:t>site</w:t>
      </w:r>
      <w:r>
        <w:rPr>
          <w:bCs/>
        </w:rPr>
        <w:t xml:space="preserve"> Rotas de São Paulo (</w:t>
      </w:r>
      <w:hyperlink r:id="rId74" w:history="1">
        <w:r>
          <w:t>www.rotasdesaopaulo.com.br</w:t>
        </w:r>
      </w:hyperlink>
      <w:r>
        <w:rPr>
          <w:bCs/>
        </w:rPr>
        <w:t>);</w:t>
      </w:r>
    </w:p>
    <w:p w:rsidR="003E6588" w:rsidRDefault="003E6588">
      <w:pPr>
        <w:tabs>
          <w:tab w:val="left" w:pos="10773"/>
        </w:tabs>
        <w:ind w:right="49" w:firstLine="1134"/>
        <w:jc w:val="both"/>
        <w:rPr>
          <w:bCs/>
          <w:color w:val="000000"/>
        </w:rPr>
      </w:pPr>
    </w:p>
    <w:p w:rsidR="003E6588" w:rsidRDefault="003E6588">
      <w:pPr>
        <w:pStyle w:val="PargrafodaLista"/>
        <w:tabs>
          <w:tab w:val="left" w:pos="10773"/>
        </w:tabs>
        <w:ind w:left="0" w:right="49" w:firstLine="1134"/>
        <w:contextualSpacing w:val="0"/>
        <w:rPr>
          <w:rFonts w:ascii="Times New Roman" w:hAnsi="Times New Roman"/>
          <w:color w:val="000000"/>
          <w:sz w:val="24"/>
          <w:szCs w:val="24"/>
        </w:rPr>
      </w:pPr>
      <w:r>
        <w:rPr>
          <w:rFonts w:ascii="Times New Roman" w:hAnsi="Times New Roman"/>
          <w:b/>
          <w:color w:val="000000"/>
          <w:sz w:val="24"/>
          <w:szCs w:val="24"/>
        </w:rPr>
        <w:t xml:space="preserve">Abastecimento do </w:t>
      </w:r>
      <w:r w:rsidRPr="00C40279">
        <w:rPr>
          <w:rFonts w:ascii="Times New Roman" w:hAnsi="Times New Roman"/>
          <w:b/>
          <w:i/>
          <w:color w:val="000000"/>
          <w:sz w:val="24"/>
          <w:szCs w:val="24"/>
        </w:rPr>
        <w:t>Blog</w:t>
      </w:r>
      <w:r>
        <w:rPr>
          <w:rFonts w:ascii="Times New Roman" w:hAnsi="Times New Roman"/>
          <w:b/>
          <w:color w:val="000000"/>
          <w:sz w:val="24"/>
          <w:szCs w:val="24"/>
        </w:rPr>
        <w:t xml:space="preserve"> da CPETUR e das redes sociais do Portal de Turismo e TUR.SP - </w:t>
      </w:r>
      <w:r>
        <w:rPr>
          <w:rFonts w:ascii="Times New Roman" w:hAnsi="Times New Roman"/>
          <w:color w:val="000000"/>
          <w:sz w:val="24"/>
          <w:szCs w:val="24"/>
        </w:rPr>
        <w:t xml:space="preserve">Atualização diária das ferramentas digitais de comunicação e divulgação do turismo no Estado, com as principais atividades e ações do setor. A equipe de </w:t>
      </w:r>
      <w:r>
        <w:rPr>
          <w:rFonts w:ascii="Times New Roman" w:hAnsi="Times New Roman"/>
          <w:i/>
          <w:color w:val="000000"/>
          <w:sz w:val="24"/>
          <w:szCs w:val="24"/>
        </w:rPr>
        <w:t>marketing</w:t>
      </w:r>
      <w:r>
        <w:rPr>
          <w:rFonts w:ascii="Times New Roman" w:hAnsi="Times New Roman"/>
          <w:color w:val="000000"/>
          <w:sz w:val="24"/>
          <w:szCs w:val="24"/>
        </w:rPr>
        <w:t xml:space="preserve"> da CPETUR é responsável pelo abastecimento, atualização e monitoramento diário nos seguintes canais de comunicação:</w:t>
      </w:r>
    </w:p>
    <w:p w:rsidR="003E6588" w:rsidRDefault="003E6588">
      <w:pPr>
        <w:pStyle w:val="PargrafodaLista"/>
        <w:tabs>
          <w:tab w:val="left" w:pos="10773"/>
        </w:tabs>
        <w:ind w:left="0" w:right="49" w:firstLine="1134"/>
        <w:contextualSpacing w:val="0"/>
        <w:rPr>
          <w:color w:val="000000"/>
        </w:rPr>
      </w:pP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 xml:space="preserve">Abastecimento do perfil “turismoemsaopaulo” no </w:t>
      </w:r>
      <w:r w:rsidR="003E6588">
        <w:rPr>
          <w:rFonts w:ascii="Times New Roman" w:hAnsi="Times New Roman"/>
          <w:bCs/>
          <w:i/>
          <w:color w:val="000000"/>
          <w:sz w:val="24"/>
          <w:szCs w:val="24"/>
        </w:rPr>
        <w:t>Facebook, Twitter, Youtube</w:t>
      </w:r>
      <w:r w:rsidR="003E6588">
        <w:rPr>
          <w:rFonts w:ascii="Times New Roman" w:hAnsi="Times New Roman"/>
          <w:bCs/>
          <w:color w:val="000000"/>
          <w:sz w:val="24"/>
          <w:szCs w:val="24"/>
        </w:rPr>
        <w:t xml:space="preserve"> e </w:t>
      </w:r>
      <w:r w:rsidR="003E6588">
        <w:rPr>
          <w:rFonts w:ascii="Times New Roman" w:hAnsi="Times New Roman"/>
          <w:bCs/>
          <w:i/>
          <w:color w:val="000000"/>
          <w:sz w:val="24"/>
          <w:szCs w:val="24"/>
        </w:rPr>
        <w:t>Flickr</w:t>
      </w:r>
      <w:r w:rsidR="003E6588">
        <w:rPr>
          <w:rFonts w:ascii="Times New Roman" w:hAnsi="Times New Roman"/>
          <w:bCs/>
          <w:color w:val="000000"/>
          <w:sz w:val="24"/>
          <w:szCs w:val="24"/>
        </w:rPr>
        <w:t>;</w:t>
      </w:r>
    </w:p>
    <w:p w:rsidR="003E6588" w:rsidRDefault="003E6588">
      <w:pPr>
        <w:pStyle w:val="PargrafodaLista"/>
        <w:ind w:left="1134" w:right="49"/>
        <w:contextualSpacing w:val="0"/>
        <w:rPr>
          <w:rFonts w:ascii="Times New Roman" w:hAnsi="Times New Roman"/>
          <w:bCs/>
          <w:color w:val="000000"/>
          <w:sz w:val="24"/>
          <w:szCs w:val="24"/>
        </w:rPr>
      </w:pP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 xml:space="preserve">Abastecimento do </w:t>
      </w:r>
      <w:r w:rsidR="003E6588">
        <w:rPr>
          <w:rFonts w:ascii="Times New Roman" w:hAnsi="Times New Roman"/>
          <w:bCs/>
          <w:i/>
          <w:color w:val="000000"/>
          <w:sz w:val="24"/>
          <w:szCs w:val="24"/>
        </w:rPr>
        <w:t>Blog</w:t>
      </w:r>
      <w:r w:rsidR="003E6588">
        <w:rPr>
          <w:rFonts w:ascii="Times New Roman" w:hAnsi="Times New Roman"/>
          <w:bCs/>
          <w:color w:val="000000"/>
          <w:sz w:val="24"/>
          <w:szCs w:val="24"/>
        </w:rPr>
        <w:t xml:space="preserve"> da CPETUR (</w:t>
      </w:r>
      <w:hyperlink r:id="rId75" w:history="1">
        <w:r w:rsidR="003E6588">
          <w:rPr>
            <w:rFonts w:ascii="Times New Roman" w:hAnsi="Times New Roman"/>
            <w:color w:val="000000"/>
            <w:sz w:val="24"/>
            <w:szCs w:val="24"/>
          </w:rPr>
          <w:t>www.tursp.com</w:t>
        </w:r>
      </w:hyperlink>
      <w:r w:rsidR="003E6588">
        <w:rPr>
          <w:rFonts w:ascii="Times New Roman" w:hAnsi="Times New Roman"/>
          <w:bCs/>
          <w:color w:val="000000"/>
          <w:sz w:val="24"/>
          <w:szCs w:val="24"/>
        </w:rPr>
        <w:t>);</w:t>
      </w:r>
    </w:p>
    <w:p w:rsidR="003E6588" w:rsidRDefault="003E6588">
      <w:pPr>
        <w:pStyle w:val="PargrafodaLista"/>
        <w:ind w:left="0" w:right="49"/>
        <w:contextualSpacing w:val="0"/>
        <w:rPr>
          <w:rFonts w:ascii="Times New Roman" w:hAnsi="Times New Roman"/>
          <w:bCs/>
          <w:color w:val="000000"/>
          <w:sz w:val="24"/>
          <w:szCs w:val="24"/>
        </w:rPr>
      </w:pPr>
    </w:p>
    <w:p w:rsidR="003E6588" w:rsidRDefault="00F56889" w:rsidP="00F56889">
      <w:pPr>
        <w:pStyle w:val="PargrafodaLista"/>
        <w:ind w:left="1134" w:right="49"/>
        <w:contextualSpacing w:val="0"/>
        <w:rPr>
          <w:rFonts w:ascii="Times New Roman" w:hAnsi="Times New Roman"/>
          <w:bCs/>
          <w:color w:val="000000"/>
          <w:sz w:val="24"/>
          <w:szCs w:val="24"/>
        </w:rPr>
      </w:pPr>
      <w:r>
        <w:rPr>
          <w:rFonts w:ascii="Times New Roman" w:hAnsi="Times New Roman"/>
          <w:bCs/>
          <w:color w:val="000000"/>
          <w:sz w:val="24"/>
          <w:szCs w:val="24"/>
        </w:rPr>
        <w:t xml:space="preserve">- </w:t>
      </w:r>
      <w:r w:rsidR="003E6588">
        <w:rPr>
          <w:rFonts w:ascii="Times New Roman" w:hAnsi="Times New Roman"/>
          <w:bCs/>
          <w:color w:val="000000"/>
          <w:sz w:val="24"/>
          <w:szCs w:val="24"/>
        </w:rPr>
        <w:t xml:space="preserve">Abastecimento do perfil da CPETUR no </w:t>
      </w:r>
      <w:r w:rsidR="003E6588">
        <w:rPr>
          <w:rFonts w:ascii="Times New Roman" w:hAnsi="Times New Roman"/>
          <w:bCs/>
          <w:i/>
          <w:color w:val="000000"/>
          <w:sz w:val="24"/>
          <w:szCs w:val="24"/>
        </w:rPr>
        <w:t>Facebook, Twitter, Youtube</w:t>
      </w:r>
      <w:r w:rsidR="003E6588">
        <w:rPr>
          <w:rFonts w:ascii="Times New Roman" w:hAnsi="Times New Roman"/>
          <w:bCs/>
          <w:color w:val="000000"/>
          <w:sz w:val="24"/>
          <w:szCs w:val="24"/>
        </w:rPr>
        <w:t xml:space="preserve">, e </w:t>
      </w:r>
      <w:r w:rsidR="003E6588">
        <w:rPr>
          <w:rFonts w:ascii="Times New Roman" w:hAnsi="Times New Roman"/>
          <w:bCs/>
          <w:i/>
          <w:color w:val="000000"/>
          <w:sz w:val="24"/>
          <w:szCs w:val="24"/>
        </w:rPr>
        <w:t>Flickr</w:t>
      </w:r>
      <w:r w:rsidR="003E6588">
        <w:rPr>
          <w:rFonts w:ascii="Times New Roman" w:hAnsi="Times New Roman"/>
          <w:bCs/>
          <w:color w:val="000000"/>
          <w:sz w:val="24"/>
          <w:szCs w:val="24"/>
        </w:rPr>
        <w:t>.</w:t>
      </w:r>
    </w:p>
    <w:p w:rsidR="003E6588" w:rsidRDefault="003E6588">
      <w:pPr>
        <w:tabs>
          <w:tab w:val="left" w:pos="10773"/>
        </w:tabs>
        <w:ind w:right="49" w:firstLine="1134"/>
        <w:jc w:val="both"/>
        <w:rPr>
          <w:color w:val="000000"/>
          <w:u w:val="single"/>
        </w:rPr>
      </w:pPr>
    </w:p>
    <w:p w:rsidR="003E6588" w:rsidRDefault="003E6588">
      <w:pPr>
        <w:pStyle w:val="NormalWeb"/>
        <w:tabs>
          <w:tab w:val="left" w:pos="567"/>
          <w:tab w:val="left" w:pos="10773"/>
        </w:tabs>
        <w:spacing w:before="0" w:beforeAutospacing="0" w:after="0" w:afterAutospacing="0"/>
        <w:ind w:right="49" w:firstLine="1134"/>
        <w:jc w:val="both"/>
        <w:rPr>
          <w:color w:val="000000"/>
        </w:rPr>
      </w:pPr>
      <w:r>
        <w:rPr>
          <w:rFonts w:eastAsia="Calibri"/>
          <w:b/>
          <w:color w:val="000000"/>
          <w:lang w:eastAsia="en-US"/>
        </w:rPr>
        <w:t xml:space="preserve">Programas Sabor de São Paulo e Caminha SP - </w:t>
      </w:r>
      <w:r>
        <w:rPr>
          <w:color w:val="000000"/>
        </w:rPr>
        <w:t>Apoio direto às equipes técnicas da Secretaria de Turismo, na definição de estratégias e execução operacional das etapas regionais e final do Festival Gastronômico “Sabor de São Paulo”. Em relação ao Programa Caminha SP, participação nas reuniões de formatação da nova rota que passa a compor o Programa “Rota Bandeirante - Fernão Dias”, com a definição do roteiro e medições.</w:t>
      </w:r>
    </w:p>
    <w:p w:rsidR="003E6588" w:rsidRDefault="003E6588" w:rsidP="00F56889">
      <w:pPr>
        <w:tabs>
          <w:tab w:val="left" w:pos="10773"/>
        </w:tabs>
        <w:ind w:right="49" w:firstLine="1134"/>
        <w:jc w:val="both"/>
        <w:rPr>
          <w:color w:val="000000"/>
        </w:rPr>
      </w:pPr>
    </w:p>
    <w:p w:rsidR="003E6588" w:rsidRDefault="003E6588">
      <w:pPr>
        <w:tabs>
          <w:tab w:val="left" w:pos="10773"/>
        </w:tabs>
        <w:ind w:right="49" w:firstLine="1134"/>
        <w:jc w:val="both"/>
      </w:pPr>
      <w:r>
        <w:rPr>
          <w:b/>
          <w:bCs/>
          <w:color w:val="000000"/>
        </w:rPr>
        <w:t xml:space="preserve">Diretoria Administrativa e Financeira - </w:t>
      </w:r>
      <w:r>
        <w:t>A Diretoria Administrativa e Financeira desenvolveu e proporcionou os recursos humanos, programas de tecnologia da informação, suprimentos, suporte operacional e controle administrativo e financeiro, necessários ao exercício das atividades.</w:t>
      </w:r>
    </w:p>
    <w:p w:rsidR="003E6588" w:rsidRDefault="003E6588">
      <w:pPr>
        <w:tabs>
          <w:tab w:val="left" w:pos="10773"/>
        </w:tabs>
        <w:ind w:right="49" w:firstLine="1134"/>
        <w:jc w:val="both"/>
      </w:pPr>
    </w:p>
    <w:p w:rsidR="003E6588" w:rsidRDefault="003E6588">
      <w:pPr>
        <w:tabs>
          <w:tab w:val="left" w:pos="10773"/>
        </w:tabs>
        <w:ind w:right="49" w:firstLine="1134"/>
        <w:jc w:val="both"/>
        <w:rPr>
          <w:bCs/>
          <w:color w:val="000000"/>
        </w:rPr>
      </w:pPr>
      <w:r>
        <w:rPr>
          <w:b/>
          <w:bCs/>
          <w:color w:val="000000"/>
        </w:rPr>
        <w:t xml:space="preserve">Convênio celebrado </w:t>
      </w:r>
      <w:r>
        <w:rPr>
          <w:b/>
          <w:bCs/>
        </w:rPr>
        <w:t xml:space="preserve">com Federação das Associações de Províncias do Japão no Brasil (KENREN) - </w:t>
      </w:r>
      <w:r>
        <w:rPr>
          <w:bCs/>
          <w:color w:val="000000"/>
        </w:rPr>
        <w:t>Valor investido - Isento</w:t>
      </w:r>
    </w:p>
    <w:p w:rsidR="003E6588" w:rsidRDefault="003E6588">
      <w:pPr>
        <w:tabs>
          <w:tab w:val="left" w:pos="10773"/>
        </w:tabs>
        <w:ind w:right="49" w:firstLine="1134"/>
        <w:jc w:val="both"/>
        <w:rPr>
          <w:bCs/>
          <w:color w:val="000000"/>
        </w:rPr>
      </w:pPr>
    </w:p>
    <w:p w:rsidR="003E6588" w:rsidRDefault="003E6588">
      <w:pPr>
        <w:tabs>
          <w:tab w:val="left" w:pos="10773"/>
        </w:tabs>
        <w:ind w:right="49" w:firstLine="1134"/>
        <w:jc w:val="both"/>
        <w:rPr>
          <w:bCs/>
          <w:color w:val="000000"/>
        </w:rPr>
      </w:pPr>
      <w:r>
        <w:rPr>
          <w:bCs/>
          <w:color w:val="000000"/>
        </w:rPr>
        <w:t>Receita Bruta CPETUR em contrapartida aos serviços de captação do patrocínio: repasse de 10% dos recursos financeiros arrecadados com apoio da empresa - R$ 5.000,00</w:t>
      </w:r>
    </w:p>
    <w:p w:rsidR="003E6588" w:rsidRDefault="003E6588">
      <w:pPr>
        <w:tabs>
          <w:tab w:val="left" w:pos="10773"/>
        </w:tabs>
        <w:ind w:right="49" w:firstLine="1134"/>
        <w:jc w:val="both"/>
        <w:rPr>
          <w:bCs/>
          <w:color w:val="000000"/>
        </w:rPr>
      </w:pPr>
    </w:p>
    <w:p w:rsidR="003E6588" w:rsidRDefault="003E6588">
      <w:pPr>
        <w:tabs>
          <w:tab w:val="left" w:pos="10773"/>
        </w:tabs>
        <w:ind w:right="49" w:firstLine="1134"/>
        <w:jc w:val="both"/>
        <w:rPr>
          <w:bCs/>
          <w:color w:val="000000"/>
        </w:rPr>
      </w:pPr>
      <w:r>
        <w:rPr>
          <w:bCs/>
          <w:color w:val="000000"/>
        </w:rPr>
        <w:lastRenderedPageBreak/>
        <w:t xml:space="preserve">Objeto - Atuação conjunta para execução do evento “17º Festival do Japão 2014”, no Centro de Exposições Imigrantes </w:t>
      </w:r>
      <w:r w:rsidR="00F56889">
        <w:rPr>
          <w:bCs/>
          <w:color w:val="000000"/>
        </w:rPr>
        <w:t xml:space="preserve">- </w:t>
      </w:r>
      <w:r>
        <w:rPr>
          <w:bCs/>
          <w:color w:val="000000"/>
        </w:rPr>
        <w:t>CEI</w:t>
      </w:r>
      <w:r w:rsidR="00F56889">
        <w:rPr>
          <w:bCs/>
          <w:color w:val="000000"/>
        </w:rPr>
        <w:t>, São Paulo</w:t>
      </w:r>
      <w:r>
        <w:rPr>
          <w:bCs/>
          <w:color w:val="000000"/>
        </w:rPr>
        <w:t xml:space="preserve">, incluído nos Calendários Oficiais de Eventos do Estado e do Município de São Paulo, compreendendo </w:t>
      </w:r>
      <w:r>
        <w:rPr>
          <w:bCs/>
          <w:i/>
          <w:color w:val="000000"/>
        </w:rPr>
        <w:t>shows</w:t>
      </w:r>
      <w:r>
        <w:rPr>
          <w:bCs/>
          <w:color w:val="000000"/>
        </w:rPr>
        <w:t xml:space="preserve"> musicais, atrações culturais, danças típicas, culinária, exposições culturais, cerimônia do chá e atividades gratuitas para crianças, jovens e adultos.</w:t>
      </w:r>
    </w:p>
    <w:p w:rsidR="003E6588" w:rsidRPr="00F56889" w:rsidRDefault="003E6588">
      <w:pPr>
        <w:tabs>
          <w:tab w:val="left" w:pos="10773"/>
        </w:tabs>
        <w:ind w:right="49" w:firstLine="1134"/>
        <w:jc w:val="both"/>
        <w:rPr>
          <w:bCs/>
        </w:rPr>
      </w:pPr>
    </w:p>
    <w:p w:rsidR="003E6588" w:rsidRDefault="003E6588">
      <w:pPr>
        <w:tabs>
          <w:tab w:val="left" w:pos="10773"/>
        </w:tabs>
        <w:ind w:right="49" w:firstLine="1134"/>
        <w:jc w:val="both"/>
        <w:rPr>
          <w:bCs/>
          <w:color w:val="000000"/>
        </w:rPr>
      </w:pPr>
      <w:r>
        <w:rPr>
          <w:bCs/>
          <w:color w:val="000000"/>
        </w:rPr>
        <w:t>Atividade - Apoio e promoção para a realização do evento, incluindo serviços de captação do patrocínio. Produção executiva a cargo da Federação das Associações de Províncias do Japão no Brasil (KENREN).</w:t>
      </w:r>
    </w:p>
    <w:p w:rsidR="003E6588" w:rsidRDefault="003E6588">
      <w:pPr>
        <w:tabs>
          <w:tab w:val="left" w:pos="10773"/>
        </w:tabs>
        <w:ind w:right="49" w:firstLine="1134"/>
        <w:jc w:val="both"/>
        <w:rPr>
          <w:bCs/>
          <w:color w:val="000000"/>
        </w:rPr>
      </w:pPr>
    </w:p>
    <w:p w:rsidR="003E6588" w:rsidRDefault="003E6588">
      <w:pPr>
        <w:tabs>
          <w:tab w:val="left" w:pos="10773"/>
        </w:tabs>
        <w:ind w:right="49" w:firstLine="1134"/>
        <w:jc w:val="both"/>
        <w:rPr>
          <w:bCs/>
          <w:color w:val="000000"/>
        </w:rPr>
      </w:pPr>
      <w:r>
        <w:rPr>
          <w:bCs/>
          <w:color w:val="000000"/>
        </w:rPr>
        <w:t>Público estimado - 180.000 visitantes.</w:t>
      </w:r>
    </w:p>
    <w:p w:rsidR="003E6588" w:rsidRDefault="003E6588">
      <w:pPr>
        <w:tabs>
          <w:tab w:val="left" w:pos="10773"/>
        </w:tabs>
        <w:ind w:right="49" w:firstLine="1134"/>
        <w:jc w:val="both"/>
        <w:rPr>
          <w:bCs/>
          <w:color w:val="000000"/>
        </w:rPr>
      </w:pPr>
    </w:p>
    <w:p w:rsidR="003E6588" w:rsidRDefault="003E6588">
      <w:pPr>
        <w:tabs>
          <w:tab w:val="left" w:pos="10773"/>
        </w:tabs>
        <w:ind w:right="49" w:firstLine="1134"/>
        <w:jc w:val="both"/>
      </w:pPr>
      <w:r>
        <w:t>Com o intuito de geração de receita, a CPETUR recuperou créditos tributários, reflexo de ajustes de outras receitas apuradas, no montante de R$ 4.190,95, compensados e reduzidos de despesas futuras.</w:t>
      </w:r>
    </w:p>
    <w:p w:rsidR="003E6588" w:rsidRDefault="003E6588">
      <w:pPr>
        <w:tabs>
          <w:tab w:val="left" w:pos="10773"/>
        </w:tabs>
        <w:ind w:right="49" w:firstLine="1134"/>
        <w:rPr>
          <w:u w:val="single"/>
        </w:rPr>
      </w:pPr>
    </w:p>
    <w:p w:rsidR="003E6588" w:rsidRDefault="003E6588">
      <w:pPr>
        <w:tabs>
          <w:tab w:val="left" w:pos="10773"/>
        </w:tabs>
        <w:ind w:right="49" w:firstLine="1134"/>
        <w:jc w:val="both"/>
        <w:rPr>
          <w:b/>
        </w:rPr>
      </w:pPr>
      <w:r>
        <w:rPr>
          <w:b/>
        </w:rPr>
        <w:t>Diretoria de Projetos Estratégicos - DPE</w:t>
      </w:r>
    </w:p>
    <w:p w:rsidR="003E6588" w:rsidRDefault="003E6588">
      <w:pPr>
        <w:tabs>
          <w:tab w:val="left" w:pos="10773"/>
        </w:tabs>
        <w:ind w:right="49" w:firstLine="1134"/>
        <w:jc w:val="both"/>
        <w:rPr>
          <w:b/>
        </w:rPr>
      </w:pPr>
    </w:p>
    <w:p w:rsidR="003E6588" w:rsidRDefault="00F56889">
      <w:pPr>
        <w:tabs>
          <w:tab w:val="left" w:pos="10773"/>
        </w:tabs>
        <w:ind w:right="49" w:firstLine="1134"/>
        <w:jc w:val="both"/>
      </w:pPr>
      <w:r>
        <w:rPr>
          <w:b/>
        </w:rPr>
        <w:t>Projeto -</w:t>
      </w:r>
      <w:r w:rsidR="003E6588">
        <w:rPr>
          <w:b/>
        </w:rPr>
        <w:t xml:space="preserve"> “Participação de São Paulo na Copa do Mundo da FIFA Brasil 2014” - </w:t>
      </w:r>
      <w:r w:rsidR="003E6588">
        <w:t xml:space="preserve">Com o apoio operacional e executivo da Diretoria de Projetos Estratégicos e coordenado pela Secretaria de Planejamento e Desenvolvimento Regional, o Comitê Paulista teve como atribuições a articulação entre os </w:t>
      </w:r>
      <w:r w:rsidR="003E6588">
        <w:rPr>
          <w:bCs/>
        </w:rPr>
        <w:t xml:space="preserve">órgãos </w:t>
      </w:r>
      <w:r w:rsidR="003E6588">
        <w:t>da Administração Pública Estadual e a adoção das ações necessárias para realização da Copa do Mundo FIFA em São Paulo.</w:t>
      </w:r>
    </w:p>
    <w:p w:rsidR="003E6588" w:rsidRDefault="003E6588">
      <w:pPr>
        <w:tabs>
          <w:tab w:val="left" w:pos="10773"/>
        </w:tabs>
        <w:ind w:right="49" w:firstLine="1134"/>
        <w:jc w:val="both"/>
      </w:pPr>
    </w:p>
    <w:p w:rsidR="003E6588" w:rsidRDefault="003E6588">
      <w:pPr>
        <w:tabs>
          <w:tab w:val="left" w:pos="10773"/>
        </w:tabs>
        <w:ind w:right="49" w:firstLine="1134"/>
        <w:jc w:val="both"/>
      </w:pPr>
      <w:r>
        <w:t xml:space="preserve">São Paulo recebeu seis jogos da Copa do Mundo. A cidade vivenciou intensa movimentação de visitantes e imprensa, vindos de diferentes partes do </w:t>
      </w:r>
      <w:r w:rsidR="00957E14">
        <w:t>País</w:t>
      </w:r>
      <w:r>
        <w:t xml:space="preserve"> e do mundo.</w:t>
      </w:r>
    </w:p>
    <w:p w:rsidR="003E6588" w:rsidRDefault="003E6588">
      <w:pPr>
        <w:tabs>
          <w:tab w:val="left" w:pos="10773"/>
        </w:tabs>
        <w:ind w:right="49" w:firstLine="1134"/>
        <w:jc w:val="both"/>
      </w:pPr>
    </w:p>
    <w:p w:rsidR="003E6588" w:rsidRDefault="003E6588">
      <w:pPr>
        <w:tabs>
          <w:tab w:val="left" w:pos="10773"/>
        </w:tabs>
        <w:ind w:right="49" w:firstLine="1134"/>
        <w:jc w:val="both"/>
      </w:pPr>
      <w:r>
        <w:t>Cada órgão do Governo empenhou suas competências para bem receber e realizar o evento. O comitê, por meio da CPETUR, acompanhou, participou e contribuiu tecnicamente para o desenvolvimento dos projetos e planos operacionais.</w:t>
      </w:r>
    </w:p>
    <w:p w:rsidR="003E6588" w:rsidRDefault="003E6588">
      <w:pPr>
        <w:tabs>
          <w:tab w:val="left" w:pos="10773"/>
        </w:tabs>
        <w:ind w:right="49" w:firstLine="1134"/>
        <w:jc w:val="both"/>
      </w:pPr>
    </w:p>
    <w:p w:rsidR="003E6588" w:rsidRDefault="003E6588">
      <w:pPr>
        <w:tabs>
          <w:tab w:val="left" w:pos="10773"/>
        </w:tabs>
        <w:ind w:right="49" w:firstLine="1134"/>
        <w:jc w:val="both"/>
      </w:pPr>
      <w:r>
        <w:t>O Governo paulista alcançou seus objetivos como sede do Mundial, por meio dos investimentos e melhorias viárias na zona leste da Capital, que são um legado para a região; utilizou o transporte público existente como acesso prioritário dos torcedores ao estádio; promoveu os atrativos turísticos do Estado e incentivou a participação da população.</w:t>
      </w:r>
    </w:p>
    <w:p w:rsidR="003E6588" w:rsidRDefault="003E6588">
      <w:pPr>
        <w:shd w:val="clear" w:color="auto" w:fill="FFFFFF"/>
        <w:tabs>
          <w:tab w:val="left" w:pos="10773"/>
        </w:tabs>
        <w:ind w:right="49" w:firstLine="1134"/>
        <w:jc w:val="both"/>
        <w:rPr>
          <w:b/>
          <w:bCs/>
        </w:rPr>
      </w:pPr>
    </w:p>
    <w:p w:rsidR="003E6588" w:rsidRDefault="003E6588">
      <w:pPr>
        <w:shd w:val="clear" w:color="auto" w:fill="FFFFFF"/>
        <w:tabs>
          <w:tab w:val="left" w:pos="10773"/>
        </w:tabs>
        <w:ind w:right="49" w:firstLine="1134"/>
        <w:jc w:val="both"/>
      </w:pPr>
      <w:r>
        <w:rPr>
          <w:b/>
          <w:bCs/>
        </w:rPr>
        <w:t xml:space="preserve">CIDADE - BASE Centro de Treinamento de Seleções </w:t>
      </w:r>
      <w:r w:rsidR="00F56889">
        <w:rPr>
          <w:b/>
          <w:bCs/>
        </w:rPr>
        <w:t xml:space="preserve">- CTS </w:t>
      </w:r>
      <w:r>
        <w:rPr>
          <w:b/>
          <w:bCs/>
        </w:rPr>
        <w:t xml:space="preserve">- </w:t>
      </w:r>
      <w:r>
        <w:t>São Paulo foi o Estado que recebeu o maior número de seleções durante o Mundial. 15 das 31 seleções estrangeiras que disputaram o torneio escolheram o Estado como base. A maioria delas se hospedou no interior paulista.</w:t>
      </w:r>
    </w:p>
    <w:p w:rsidR="003E6588" w:rsidRDefault="003E6588">
      <w:pPr>
        <w:shd w:val="clear" w:color="auto" w:fill="FFFFFF"/>
        <w:tabs>
          <w:tab w:val="left" w:pos="10773"/>
        </w:tabs>
        <w:ind w:right="49" w:firstLine="1134"/>
        <w:jc w:val="both"/>
      </w:pPr>
    </w:p>
    <w:p w:rsidR="003E6588" w:rsidRDefault="003E6588">
      <w:pPr>
        <w:tabs>
          <w:tab w:val="left" w:pos="10773"/>
        </w:tabs>
        <w:ind w:right="49" w:firstLine="1134"/>
        <w:jc w:val="both"/>
        <w:textAlignment w:val="baseline"/>
      </w:pPr>
      <w:r>
        <w:lastRenderedPageBreak/>
        <w:t>Diversas atividades, coordenadas pela DPE, entre acompanhamento de reformas, planejamentos operacionais, seminários, reuniões e visitas técnicas foram realizadas para garantir que a estadia das mesmas tivesse pleno êxito em suas respectivas preparações para a Copa do Mundo.</w:t>
      </w:r>
    </w:p>
    <w:p w:rsidR="003E6588" w:rsidRPr="00F56889" w:rsidRDefault="003E6588">
      <w:pPr>
        <w:tabs>
          <w:tab w:val="left" w:pos="10773"/>
        </w:tabs>
        <w:ind w:right="49" w:firstLine="1134"/>
        <w:jc w:val="both"/>
        <w:textAlignment w:val="baseline"/>
      </w:pPr>
    </w:p>
    <w:p w:rsidR="003E6588" w:rsidRDefault="003E6588">
      <w:pPr>
        <w:shd w:val="clear" w:color="auto" w:fill="FFFFFF"/>
        <w:tabs>
          <w:tab w:val="left" w:pos="10773"/>
        </w:tabs>
        <w:ind w:right="49" w:firstLine="1134"/>
        <w:jc w:val="both"/>
      </w:pPr>
      <w:r>
        <w:t>Acompanhamento da conclusão e entrega dos projetos de construção e reforma de equipamentos esportivos e hoteleiros nas cidades pré-selecionadas;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Atuação junto à DESENVOLVE SP para validação e acompanhamento da execução de projetos de investimentos nos Centros de Treinamento de Seleções;</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rPr>
          <w:color w:val="000000"/>
        </w:rPr>
      </w:pPr>
      <w:r>
        <w:t>Participação na organização e interlocução com o São Paulo F.C., assim como com membros da COESGE (Comissão Estadual de Segurança Pública para Grandes Eventos) e da segurança do Consulado Americano, para a pré-temporada da seleção de futebol dos Estados Unidos no centro de Treinamento Frederico Germano Menzem (CT SPFC Barra Funda), que seria o respectivo CTS para o período da Copa do Mundo; acompanhamento da simulação e execução das escoltas da mesma seleção e avaliação de erros e acertos da operação, com vistas ao aperfeiçoamento das escoltas que seriam realizadas;</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rPr>
          <w:color w:val="000000"/>
        </w:rPr>
      </w:pPr>
      <w:r>
        <w:t>Organização de reunião em conjunto com a Assessoria Especial para Assuntos Internacionais do Governo do Estado para tratar da parceria entre os consulados e as cidades que abrigariam os Centros de Treinamento de Seleções;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Reuniões preparatórias com os Consulados de: Bélgica, França, Alemanha, EUA, Holanda e Canadá sobre as ações de São Paulo para a Copa do Mundo e do Comitê Paulista;</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Participação em reunião com representantes da ARTESP e do DER sobre planejamento do deslocamento das delegações pelas rodovias estaduais, bem como desenvolvimento de comunicação visual específica para a sinalização dos equipamentos e entradas dessas cidades;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Participação e apoio na organização do Seminário de Gramados do Comitê Organizador Local</w:t>
      </w:r>
      <w:r w:rsidR="00F56889">
        <w:rPr>
          <w:color w:val="000000"/>
        </w:rPr>
        <w:t xml:space="preserve"> - COL</w:t>
      </w:r>
      <w:r>
        <w:rPr>
          <w:color w:val="000000"/>
        </w:rPr>
        <w:t xml:space="preserve"> com representantes dos CTs Paulistas;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Organização e coordenação de reunião, na Secretaria da Segurança Pública, com representantes das forças policiais do Estado de São Paulo, representantes das regiões que viriam a ser Centro de Treinamento de Seleções;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Reunião com a Sabesp para estabelecer protocolos de ações nas cidades que receberiam seleções;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Organização de Seminários em CTs Paulistas como Sorocaba, Itu, Porto Feliz e Campinas para apresentar as oportunidades da Copa aos municípios paulistas;</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lastRenderedPageBreak/>
        <w:t>Acompanhamento junto às delegações e municípios nas tratativas finais para a escolha dos Centros de Treinamento (elaboração de documentos, logística e infraestrutura, tradução e apresentação de projetos);</w:t>
      </w:r>
    </w:p>
    <w:p w:rsidR="003E6588" w:rsidRDefault="003E6588">
      <w:pPr>
        <w:shd w:val="clear" w:color="auto" w:fill="FFFFFF"/>
        <w:tabs>
          <w:tab w:val="left" w:pos="10773"/>
        </w:tabs>
        <w:ind w:right="49" w:firstLine="1134"/>
        <w:jc w:val="both"/>
        <w:rPr>
          <w:i/>
          <w:color w:val="000000"/>
        </w:rPr>
      </w:pPr>
    </w:p>
    <w:p w:rsidR="003E6588" w:rsidRDefault="003E6588">
      <w:pPr>
        <w:shd w:val="clear" w:color="auto" w:fill="FFFFFF"/>
        <w:tabs>
          <w:tab w:val="left" w:pos="10773"/>
        </w:tabs>
        <w:ind w:right="49" w:firstLine="1134"/>
        <w:jc w:val="both"/>
      </w:pPr>
      <w:r>
        <w:rPr>
          <w:color w:val="000000"/>
        </w:rPr>
        <w:t xml:space="preserve">Planejamento </w:t>
      </w:r>
      <w:r>
        <w:t>e acompanhamento das visitas das delegações do Japão, França, Bélgica, Rússia, Argélia, México, Costa Rica, Costa do Marfim, Colômbia, Honduras, EUA, Irã, Nigéria, Bósnia Herzegovina e Portugal;</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Planejamento e apoio logístico em 20 inspeções de gramado por técnicos do COL e da STRI (empresa de consultoria contratada pela FIFA para avaliação de gramados), nos 15 CTs Paulistas;</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Apoio e orientação às Cidades Centro de Treinamento de Seleções na comunicação visual e decoração em acordo com as respectivas seleções que receberiam;</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Acompanhamento dos planos de sinalização e de divulgação das cidades durante o evento;</w:t>
      </w:r>
    </w:p>
    <w:p w:rsidR="00F56889" w:rsidRDefault="00F56889">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Definição e execução de atividades artísticas e culturais junto ao receptivo das 12 delegações, assim como a participação junto à organização do receptivo, treinos abertos e partidas das 15 seleções que se hospedaram em São Paulo;</w:t>
      </w:r>
    </w:p>
    <w:p w:rsidR="003E6588" w:rsidRDefault="003E6588">
      <w:pPr>
        <w:shd w:val="clear" w:color="auto" w:fill="FFFFFF"/>
        <w:tabs>
          <w:tab w:val="left" w:pos="10773"/>
        </w:tabs>
        <w:ind w:right="49" w:firstLine="1134"/>
        <w:jc w:val="both"/>
        <w:rPr>
          <w:b/>
        </w:rPr>
      </w:pPr>
    </w:p>
    <w:p w:rsidR="003E6588" w:rsidRDefault="003E6588">
      <w:pPr>
        <w:shd w:val="clear" w:color="auto" w:fill="FFFFFF"/>
        <w:tabs>
          <w:tab w:val="left" w:pos="10773"/>
        </w:tabs>
        <w:ind w:right="49" w:firstLine="1134"/>
        <w:jc w:val="both"/>
      </w:pPr>
      <w:r>
        <w:rPr>
          <w:b/>
        </w:rPr>
        <w:t xml:space="preserve">Roteiros Paulistas - </w:t>
      </w:r>
      <w:r>
        <w:t>O Guia “Roteiros Paulistas” foi desenvolvido para apresentar a diversidade de atrativos do Estado para os turistas da Copa. No Guia existem 55 destinos, distribuídos pelos municípios localizados até 300 km da Capital.</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Além da descrição das atividades e atrações a serem visitadas nos destinos, há também informações detalhadas sobre como chegar, onde comer e onde ficar.</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xml:space="preserve">Através do guia era possível escolher o destino de acordo com o tempo disponível ou por diferentes temas (“Sol e Praia”, “Aventura e Natureza”, “Lazer e Cultura” e “Comer e Beber”). </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Atividades realizadas pela DPE para elaboração do guia:</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w:t>
      </w:r>
      <w:r>
        <w:rPr>
          <w:b/>
          <w:i/>
        </w:rPr>
        <w:t xml:space="preserve"> </w:t>
      </w:r>
      <w:r>
        <w:t>Levantamento e validação de dados turísticos e hoteleiros para a elaboração dos roteiros turísticos com base na publicação “Rotas de São Paulo”</w:t>
      </w:r>
      <w:r>
        <w:rPr>
          <w:i/>
        </w:rPr>
        <w:t xml:space="preserve"> </w:t>
      </w:r>
      <w:r>
        <w:t>e pesquisa aplicada aos municípios;</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Elaboração de roteiros para os 55 destinos definidos;</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Desenvolvimento de projeto gráfico, diagramação e impressão do material bilíngue (inglês e espanhol);</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Desenvolvimento e produção de vídeo institucional para a divulgação do material;</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lastRenderedPageBreak/>
        <w:t>- Produção do evento de lançamento do guia no Auditório do Museu do Futebol;</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xml:space="preserve">- Produção de material de apoio à divulgação dos Roteiros como </w:t>
      </w:r>
      <w:r>
        <w:rPr>
          <w:i/>
        </w:rPr>
        <w:t>tags</w:t>
      </w:r>
      <w:r>
        <w:t xml:space="preserve"> de bagagem, mapas e porta passaporte;</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Atualização e revisão de conteúdo de classificação dos meios de hospedagem e alimentação conforme guia “Quatro Rodas 2014”;</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Desenvolvimento e Produção da versão eletrônica do Guia;</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 xml:space="preserve">- Distribuição do Guia para as cidades, ABIH, SPCV&amp;B e </w:t>
      </w:r>
      <w:r>
        <w:rPr>
          <w:i/>
        </w:rPr>
        <w:t>trade</w:t>
      </w:r>
      <w:r>
        <w:t xml:space="preserve"> turístico de São Paulo.</w:t>
      </w:r>
    </w:p>
    <w:p w:rsidR="003E6588" w:rsidRDefault="003E6588">
      <w:pPr>
        <w:shd w:val="clear" w:color="auto" w:fill="FFFFFF"/>
        <w:tabs>
          <w:tab w:val="left" w:pos="10773"/>
        </w:tabs>
        <w:ind w:right="49" w:firstLine="1134"/>
        <w:jc w:val="both"/>
        <w:rPr>
          <w:b/>
        </w:rPr>
      </w:pPr>
    </w:p>
    <w:p w:rsidR="003E6588" w:rsidRDefault="003E6588">
      <w:pPr>
        <w:shd w:val="clear" w:color="auto" w:fill="FFFFFF"/>
        <w:tabs>
          <w:tab w:val="left" w:pos="10773"/>
        </w:tabs>
        <w:ind w:right="49" w:firstLine="1134"/>
        <w:jc w:val="both"/>
      </w:pPr>
      <w:r>
        <w:rPr>
          <w:b/>
        </w:rPr>
        <w:t xml:space="preserve">4KM - </w:t>
      </w:r>
      <w:r>
        <w:t>Desenvolvido com o objetivo de</w:t>
      </w:r>
      <w:r>
        <w:rPr>
          <w:color w:val="FF0000"/>
        </w:rPr>
        <w:t xml:space="preserve"> </w:t>
      </w:r>
      <w:r>
        <w:t>tornar-se a maior intervenção de grafitti a céu aberto da América Latina, o projeto 4KM coloriu 10 mil metros quadrados do muro entre as Estações Patriarca e Corinthians-Itaquera do Metrô, incentivando a expressão artística na Zona Leste de São Paulo. Foram realizados:</w:t>
      </w:r>
    </w:p>
    <w:p w:rsidR="003E6588" w:rsidRDefault="003E6588">
      <w:pPr>
        <w:pStyle w:val="NormalWeb"/>
        <w:shd w:val="clear" w:color="auto" w:fill="FFFFFF"/>
        <w:tabs>
          <w:tab w:val="left" w:pos="10773"/>
        </w:tabs>
        <w:spacing w:before="0" w:beforeAutospacing="0" w:after="0" w:afterAutospacing="0"/>
        <w:ind w:right="49" w:firstLine="1134"/>
        <w:jc w:val="both"/>
      </w:pPr>
    </w:p>
    <w:p w:rsidR="003E6588" w:rsidRDefault="003E6588">
      <w:pPr>
        <w:pStyle w:val="NormalWeb"/>
        <w:shd w:val="clear" w:color="auto" w:fill="FFFFFF"/>
        <w:tabs>
          <w:tab w:val="left" w:pos="10773"/>
        </w:tabs>
        <w:spacing w:before="0" w:beforeAutospacing="0" w:after="0" w:afterAutospacing="0"/>
        <w:ind w:right="49" w:firstLine="1134"/>
        <w:jc w:val="both"/>
      </w:pPr>
      <w:r>
        <w:t>- Definição das diretrizes e elaboração de caderno técnico para contratação de logística e apoio operacional para execução do projeto;</w:t>
      </w:r>
    </w:p>
    <w:p w:rsidR="003E6588" w:rsidRDefault="003E6588">
      <w:pPr>
        <w:pStyle w:val="NormalWeb"/>
        <w:shd w:val="clear" w:color="auto" w:fill="FFFFFF"/>
        <w:tabs>
          <w:tab w:val="left" w:pos="10773"/>
        </w:tabs>
        <w:spacing w:before="0" w:beforeAutospacing="0" w:after="0" w:afterAutospacing="0"/>
        <w:ind w:right="49" w:firstLine="1134"/>
        <w:jc w:val="both"/>
      </w:pP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r>
        <w:rPr>
          <w:shd w:val="clear" w:color="auto" w:fill="FFFFFF"/>
        </w:rPr>
        <w:t>- Obtenção junto à Secretaria dos Transportes Metropolitanos das devidas autorizações para a realização dos projetos;</w:t>
      </w: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r>
        <w:rPr>
          <w:shd w:val="clear" w:color="auto" w:fill="FFFFFF"/>
        </w:rPr>
        <w:t>- Acompanhamento do processo seletivo dos 389 artistas inscritos;</w:t>
      </w: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r>
        <w:rPr>
          <w:shd w:val="clear" w:color="auto" w:fill="FFFFFF"/>
        </w:rPr>
        <w:t>- Seleção de 70 trabalhos de 502 apresentados;</w:t>
      </w: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r>
        <w:rPr>
          <w:shd w:val="clear" w:color="auto" w:fill="FFFFFF"/>
        </w:rPr>
        <w:t>- Divulgação e validação dos projetos aprovados;</w:t>
      </w: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r>
        <w:rPr>
          <w:shd w:val="clear" w:color="auto" w:fill="FFFFFF"/>
        </w:rPr>
        <w:t>- Participação em reuniões de orientação aos artistas selecionados;</w:t>
      </w: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r>
        <w:rPr>
          <w:shd w:val="clear" w:color="auto" w:fill="FFFFFF"/>
        </w:rPr>
        <w:t>- Organização e produção do evento de lançamento na Estação Patriarca do Metrô;</w:t>
      </w: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r>
        <w:rPr>
          <w:shd w:val="clear" w:color="auto" w:fill="FFFFFF"/>
        </w:rPr>
        <w:t>- Acompanhamento da execução e desenvolvimento artístico;</w:t>
      </w:r>
    </w:p>
    <w:p w:rsidR="003E6588" w:rsidRDefault="003E6588">
      <w:pPr>
        <w:pStyle w:val="NormalWeb"/>
        <w:shd w:val="clear" w:color="auto" w:fill="FFFFFF"/>
        <w:tabs>
          <w:tab w:val="left" w:pos="10773"/>
        </w:tabs>
        <w:spacing w:before="0" w:beforeAutospacing="0" w:after="0" w:afterAutospacing="0"/>
        <w:ind w:right="49" w:firstLine="1134"/>
        <w:jc w:val="both"/>
        <w:rPr>
          <w:shd w:val="clear" w:color="auto" w:fill="FFFFFF"/>
        </w:rPr>
      </w:pPr>
    </w:p>
    <w:p w:rsidR="003E6588" w:rsidRDefault="003E6588">
      <w:pPr>
        <w:shd w:val="clear" w:color="auto" w:fill="FFFFFF"/>
        <w:tabs>
          <w:tab w:val="left" w:pos="10773"/>
        </w:tabs>
        <w:ind w:right="49" w:firstLine="1134"/>
        <w:jc w:val="both"/>
      </w:pPr>
      <w:r>
        <w:t>- Desenvolvimento de projeto gráfico, diagramação e impressão da intervenção artística.</w:t>
      </w:r>
    </w:p>
    <w:p w:rsidR="003E6588" w:rsidRDefault="003E6588">
      <w:pPr>
        <w:tabs>
          <w:tab w:val="left" w:pos="10773"/>
        </w:tabs>
        <w:ind w:right="49" w:firstLine="1134"/>
        <w:jc w:val="both"/>
        <w:rPr>
          <w:b/>
        </w:rPr>
      </w:pPr>
    </w:p>
    <w:p w:rsidR="003E6588" w:rsidRDefault="003E6588">
      <w:pPr>
        <w:tabs>
          <w:tab w:val="left" w:pos="10773"/>
        </w:tabs>
        <w:ind w:right="49" w:firstLine="1134"/>
        <w:jc w:val="both"/>
      </w:pPr>
      <w:r>
        <w:rPr>
          <w:b/>
        </w:rPr>
        <w:t xml:space="preserve">Esculturas SP Parade - </w:t>
      </w:r>
      <w:r>
        <w:t>Iniciativa da CPETUR e da Secretaria de Turismo, com apoio da Secretaria de Planejamento e Desenvolvimento Regional, com o objetivo de promover a customização de 96 esculturas confeccionadas em fibra de vidro, inspiradas no tema “Futebol em São Paulo”.</w:t>
      </w:r>
    </w:p>
    <w:p w:rsidR="003E6588" w:rsidRDefault="003E6588">
      <w:pPr>
        <w:tabs>
          <w:tab w:val="left" w:pos="10773"/>
        </w:tabs>
        <w:ind w:right="49" w:firstLine="1134"/>
        <w:jc w:val="both"/>
      </w:pPr>
    </w:p>
    <w:p w:rsidR="003E6588" w:rsidRDefault="003E6588">
      <w:pPr>
        <w:tabs>
          <w:tab w:val="left" w:pos="10773"/>
        </w:tabs>
        <w:ind w:right="49" w:firstLine="1134"/>
        <w:jc w:val="both"/>
      </w:pPr>
      <w:r>
        <w:t xml:space="preserve">Além dos municípios que receberam seleções (CTS), outros 18 participaram do projeto e customizaram as esculturas com artistas locais, ampliando a participação da população, o interesse dos </w:t>
      </w:r>
      <w:r>
        <w:lastRenderedPageBreak/>
        <w:t>visitantes e entrando no clima do evento esportivo - Aparecida, Araraquara, Atibaia, Campos do Jordão, Franca, Ibitinga, Ibiúna, Iguape, Ilhabela, Itanhaém, Jambeiro, Mongaguá, São Carlos, São José dos Campos, Socorro, Tabatinga, Taubaté e Valinhos.</w:t>
      </w:r>
    </w:p>
    <w:p w:rsidR="003E6588" w:rsidRDefault="003E6588">
      <w:pPr>
        <w:tabs>
          <w:tab w:val="left" w:pos="10773"/>
        </w:tabs>
        <w:ind w:right="49" w:firstLine="1134"/>
        <w:jc w:val="both"/>
      </w:pPr>
    </w:p>
    <w:p w:rsidR="003E6588" w:rsidRDefault="003E6588">
      <w:pPr>
        <w:tabs>
          <w:tab w:val="left" w:pos="10773"/>
        </w:tabs>
        <w:ind w:right="49" w:firstLine="1134"/>
        <w:jc w:val="both"/>
      </w:pPr>
      <w:r>
        <w:t>Coube à Diretoria de Projetos Estratégicos:</w:t>
      </w:r>
    </w:p>
    <w:p w:rsidR="003E6588" w:rsidRDefault="003E6588">
      <w:pPr>
        <w:tabs>
          <w:tab w:val="left" w:pos="10773"/>
        </w:tabs>
        <w:ind w:right="49" w:firstLine="1134"/>
        <w:jc w:val="both"/>
      </w:pPr>
    </w:p>
    <w:p w:rsidR="003E6588" w:rsidRDefault="003E6588">
      <w:pPr>
        <w:pStyle w:val="NormalWeb"/>
        <w:shd w:val="clear" w:color="auto" w:fill="FFFFFF"/>
        <w:tabs>
          <w:tab w:val="left" w:pos="10773"/>
        </w:tabs>
        <w:spacing w:before="0" w:beforeAutospacing="0" w:after="0" w:afterAutospacing="0"/>
        <w:ind w:right="49" w:firstLine="1134"/>
        <w:jc w:val="both"/>
      </w:pPr>
      <w:r>
        <w:t>- Elaboração de diretrizes e caderno técnico para contratação das peças;</w:t>
      </w:r>
    </w:p>
    <w:p w:rsidR="003E6588" w:rsidRDefault="003E6588">
      <w:pPr>
        <w:pStyle w:val="NormalWeb"/>
        <w:shd w:val="clear" w:color="auto" w:fill="FFFFFF"/>
        <w:tabs>
          <w:tab w:val="left" w:pos="10773"/>
        </w:tabs>
        <w:spacing w:before="0" w:beforeAutospacing="0" w:after="0" w:afterAutospacing="0"/>
        <w:ind w:right="49" w:firstLine="1134"/>
        <w:jc w:val="both"/>
      </w:pPr>
    </w:p>
    <w:p w:rsidR="003E6588" w:rsidRDefault="003E6588">
      <w:pPr>
        <w:pStyle w:val="NormalWeb"/>
        <w:shd w:val="clear" w:color="auto" w:fill="FFFFFF"/>
        <w:tabs>
          <w:tab w:val="left" w:pos="10773"/>
        </w:tabs>
        <w:spacing w:before="0" w:beforeAutospacing="0" w:after="0" w:afterAutospacing="0"/>
        <w:ind w:right="49" w:firstLine="1134"/>
        <w:jc w:val="both"/>
      </w:pPr>
      <w:r>
        <w:t>- A definição junto a Secretaria de Turismo das cidades e logística de distribuição das peças;</w:t>
      </w:r>
    </w:p>
    <w:p w:rsidR="003E6588" w:rsidRDefault="003E6588">
      <w:pPr>
        <w:pStyle w:val="NormalWeb"/>
        <w:shd w:val="clear" w:color="auto" w:fill="FFFFFF"/>
        <w:tabs>
          <w:tab w:val="left" w:pos="10773"/>
        </w:tabs>
        <w:spacing w:before="0" w:beforeAutospacing="0" w:after="0" w:afterAutospacing="0"/>
        <w:ind w:right="49" w:firstLine="1134"/>
        <w:jc w:val="both"/>
      </w:pPr>
    </w:p>
    <w:p w:rsidR="003E6588" w:rsidRDefault="003E6588">
      <w:pPr>
        <w:tabs>
          <w:tab w:val="left" w:pos="10773"/>
        </w:tabs>
        <w:ind w:right="49" w:firstLine="1134"/>
        <w:jc w:val="both"/>
      </w:pPr>
      <w:r>
        <w:t>- Acompanhamento da execução do projeto.</w:t>
      </w:r>
    </w:p>
    <w:p w:rsidR="003E6588" w:rsidRDefault="003E6588">
      <w:pPr>
        <w:shd w:val="clear" w:color="auto" w:fill="FFFFFF"/>
        <w:tabs>
          <w:tab w:val="left" w:pos="10773"/>
        </w:tabs>
        <w:ind w:right="49" w:firstLine="1134"/>
        <w:jc w:val="both"/>
        <w:rPr>
          <w:b/>
        </w:rPr>
      </w:pPr>
    </w:p>
    <w:p w:rsidR="003E6588" w:rsidRDefault="003E6588">
      <w:pPr>
        <w:shd w:val="clear" w:color="auto" w:fill="FFFFFF"/>
        <w:tabs>
          <w:tab w:val="left" w:pos="10773"/>
        </w:tabs>
        <w:ind w:right="49" w:firstLine="1134"/>
        <w:jc w:val="both"/>
        <w:rPr>
          <w:bCs/>
        </w:rPr>
      </w:pPr>
      <w:r>
        <w:rPr>
          <w:b/>
        </w:rPr>
        <w:t xml:space="preserve">GOL </w:t>
      </w:r>
      <w:r w:rsidR="00F56889">
        <w:rPr>
          <w:b/>
        </w:rPr>
        <w:t>-</w:t>
      </w:r>
      <w:r>
        <w:rPr>
          <w:b/>
        </w:rPr>
        <w:t xml:space="preserve"> Guia de Orientação Local - </w:t>
      </w:r>
      <w:r>
        <w:rPr>
          <w:bCs/>
        </w:rPr>
        <w:t>Foi elaborado com objetivo de orientar os municípios paulistas sobre a preparação do Estado para a Copa do Mundo e elencar as oportunidades indiretas geradas pelo evento.</w:t>
      </w:r>
    </w:p>
    <w:p w:rsidR="003E6588" w:rsidRDefault="003E6588">
      <w:pPr>
        <w:shd w:val="clear" w:color="auto" w:fill="FFFFFF"/>
        <w:tabs>
          <w:tab w:val="left" w:pos="10773"/>
        </w:tabs>
        <w:ind w:right="49" w:firstLine="1134"/>
        <w:jc w:val="both"/>
        <w:rPr>
          <w:bCs/>
        </w:rPr>
      </w:pPr>
    </w:p>
    <w:p w:rsidR="003E6588" w:rsidRDefault="003E6588">
      <w:pPr>
        <w:shd w:val="clear" w:color="auto" w:fill="FFFFFF"/>
        <w:tabs>
          <w:tab w:val="left" w:pos="10773"/>
        </w:tabs>
        <w:ind w:right="49" w:firstLine="1134"/>
        <w:jc w:val="both"/>
        <w:rPr>
          <w:bCs/>
        </w:rPr>
      </w:pPr>
      <w:r>
        <w:rPr>
          <w:bCs/>
        </w:rPr>
        <w:t>De forma ilustrada e objetiva, o guia elencou informações a respeito dos direitos comerciais da FIFA e regras para exibição dos jogos.</w:t>
      </w:r>
    </w:p>
    <w:p w:rsidR="003E6588" w:rsidRDefault="003E6588">
      <w:pPr>
        <w:shd w:val="clear" w:color="auto" w:fill="FFFFFF"/>
        <w:tabs>
          <w:tab w:val="left" w:pos="10773"/>
        </w:tabs>
        <w:ind w:right="49" w:firstLine="1134"/>
        <w:jc w:val="both"/>
        <w:rPr>
          <w:bCs/>
        </w:rPr>
      </w:pPr>
    </w:p>
    <w:p w:rsidR="003E6588" w:rsidRDefault="003E6588">
      <w:pPr>
        <w:shd w:val="clear" w:color="auto" w:fill="FFFFFF"/>
        <w:tabs>
          <w:tab w:val="left" w:pos="10773"/>
        </w:tabs>
        <w:ind w:right="49" w:firstLine="1134"/>
        <w:jc w:val="both"/>
        <w:rPr>
          <w:bCs/>
        </w:rPr>
      </w:pPr>
      <w:r>
        <w:rPr>
          <w:bCs/>
        </w:rPr>
        <w:t>O lançamento ocorreu nos Municípios de Santos, Campinas, Itu, Águas de Lindóia, São Carlos, Mogi das Cruzes, Ribeirão Preto, Guarulhos, Ubatuba, Sorocaba, Campos do Jordão, Capital e foi apresentado para o Conselho Estadual de Turismo.</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A atuação da Câmara Temática da Copa do Conselho Estadual de Turismo teve a coordenação da ABIH e a participação de entidades membros do Conselho Estadual de Turismo de S</w:t>
      </w:r>
      <w:r w:rsidR="00F56889">
        <w:t xml:space="preserve">ão </w:t>
      </w:r>
      <w:r>
        <w:t>P</w:t>
      </w:r>
      <w:r w:rsidR="00F56889">
        <w:t>aulo</w:t>
      </w:r>
      <w:r>
        <w:t xml:space="preserve">, como ABRAJET, SPCVB, SPTURIS, APRECESP, ABRASEL, ABAV, UBRAFE, AMITUR, ABBTUR, assim como Comitê Paulista da Copa, SPCOPA, Secretarias do Governo Estadual, CPETUR (DPE), Ministérios do Turismo e Esporte, Prefeituras, e </w:t>
      </w:r>
      <w:r>
        <w:rPr>
          <w:i/>
        </w:rPr>
        <w:t>Fifa</w:t>
      </w:r>
      <w:r>
        <w:t xml:space="preserve"> </w:t>
      </w:r>
      <w:r>
        <w:rPr>
          <w:i/>
        </w:rPr>
        <w:t>Hospitality</w:t>
      </w:r>
      <w:r>
        <w:t xml:space="preserve">. A Câmara teve como objetivos integrar as ações entre o </w:t>
      </w:r>
      <w:r>
        <w:rPr>
          <w:i/>
        </w:rPr>
        <w:t>trade</w:t>
      </w:r>
      <w:r>
        <w:t xml:space="preserve"> turístico, Fifa e Governo, promover e desenvolver o turismo paulista, qualificar a mão-de-obra, e melhorar a infraestrutura dos hotéis e produtos turísticos.</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A DPE esteve presente nas reuniões da Câmara desde sua criação, ocorrendo em São Paulo e em algumas cidades do Interior. Houve 4 reuniões da Câmara Temática da Copa.</w:t>
      </w:r>
    </w:p>
    <w:p w:rsidR="003E6588" w:rsidRDefault="003E6588">
      <w:pPr>
        <w:shd w:val="clear" w:color="auto" w:fill="FFFFFF"/>
        <w:tabs>
          <w:tab w:val="left" w:pos="10773"/>
        </w:tabs>
        <w:ind w:right="49" w:firstLine="1134"/>
        <w:jc w:val="both"/>
        <w:rPr>
          <w:u w:val="single"/>
        </w:rPr>
      </w:pPr>
    </w:p>
    <w:p w:rsidR="003E6588" w:rsidRDefault="003E6588">
      <w:pPr>
        <w:shd w:val="clear" w:color="auto" w:fill="FFFFFF"/>
        <w:tabs>
          <w:tab w:val="left" w:pos="10773"/>
        </w:tabs>
        <w:ind w:right="49" w:firstLine="1134"/>
        <w:jc w:val="both"/>
      </w:pPr>
      <w:r>
        <w:rPr>
          <w:b/>
        </w:rPr>
        <w:t xml:space="preserve">Projeto “Família em Campo” - </w:t>
      </w:r>
      <w:r>
        <w:t>A DPE auxiliou a Secretaria da Educação na elaboração e execução do projeto que consistiu na inclusão do tema no calendário das escolas estaduais que integram o Programa Escola da Família por meio de atividades relacionadas ao futebol e à Copa do Mundo, envolvendo a comunidade de 2.700 escolas da rede de ensino estadual.</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Uma das iniciativas do Programa foi o concurso “Bola da Família”, onde participantes de 91 diretorias de ensino decoraram 2.603 bolas e elegeram suas 15 finalistas e 3 vencedoras.</w:t>
      </w:r>
    </w:p>
    <w:p w:rsidR="008D16A4" w:rsidRDefault="008D16A4">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pPr>
      <w:r>
        <w:t>Outra iniciativa foi o “Torneio da Família”, campeonato disputado entre as comunidades, envolvendo 3.000 pessoas de 189 escolas. A partida final foi realizada no Estádio da Vila Belmiro, em Santos.</w:t>
      </w:r>
    </w:p>
    <w:p w:rsidR="003E6588" w:rsidRDefault="003E6588">
      <w:pPr>
        <w:shd w:val="clear" w:color="auto" w:fill="FFFFFF"/>
        <w:tabs>
          <w:tab w:val="left" w:pos="10773"/>
        </w:tabs>
        <w:ind w:right="49" w:firstLine="1134"/>
        <w:jc w:val="both"/>
        <w:rPr>
          <w:bCs/>
          <w:u w:val="single"/>
        </w:rPr>
      </w:pPr>
    </w:p>
    <w:p w:rsidR="003E6588" w:rsidRDefault="003E6588">
      <w:pPr>
        <w:shd w:val="clear" w:color="auto" w:fill="FFFFFF"/>
        <w:tabs>
          <w:tab w:val="left" w:pos="10773"/>
        </w:tabs>
        <w:ind w:right="49" w:firstLine="1134"/>
        <w:jc w:val="both"/>
        <w:rPr>
          <w:bCs/>
        </w:rPr>
      </w:pPr>
      <w:r>
        <w:rPr>
          <w:b/>
          <w:bCs/>
        </w:rPr>
        <w:t xml:space="preserve">Planos Operacionais - Elaboração e Execução - </w:t>
      </w:r>
      <w:r>
        <w:t xml:space="preserve">A DPE trabalhou na elaboração e execução dos Planos de Mobilidade, Segurança e Saúde, assim como </w:t>
      </w:r>
      <w:r>
        <w:rPr>
          <w:bCs/>
        </w:rPr>
        <w:t>nas reuniões das 9 Câmaras Temáticas:</w:t>
      </w:r>
    </w:p>
    <w:p w:rsidR="003E6588" w:rsidRDefault="003E6588">
      <w:pPr>
        <w:tabs>
          <w:tab w:val="left" w:pos="10773"/>
        </w:tabs>
        <w:ind w:right="49" w:firstLine="1134"/>
        <w:jc w:val="both"/>
        <w:rPr>
          <w:b/>
        </w:rPr>
      </w:pPr>
    </w:p>
    <w:p w:rsidR="003E6588" w:rsidRDefault="003E6588">
      <w:pPr>
        <w:tabs>
          <w:tab w:val="left" w:pos="10773"/>
        </w:tabs>
        <w:ind w:right="49" w:firstLine="1134"/>
        <w:jc w:val="both"/>
      </w:pPr>
      <w:r>
        <w:rPr>
          <w:b/>
        </w:rPr>
        <w:t>Mobilidade -</w:t>
      </w:r>
      <w:r>
        <w:t xml:space="preserve"> Foi elaborado por meio da integração do trabalho das Secretarias dos Transportes Metropolitanos, d</w:t>
      </w:r>
      <w:r w:rsidR="008D16A4">
        <w:t>a</w:t>
      </w:r>
      <w:r>
        <w:t xml:space="preserve"> Segurança Pública e órgãos municipais com o objetivo de atender a demanda da Copa - torcedores, delegações e autoridades -, interferindo o mínimo possível na rotina da cidade.</w:t>
      </w:r>
    </w:p>
    <w:p w:rsidR="003E6588" w:rsidRDefault="003E6588">
      <w:pPr>
        <w:tabs>
          <w:tab w:val="left" w:pos="10773"/>
        </w:tabs>
        <w:ind w:right="49" w:firstLine="1134"/>
        <w:jc w:val="both"/>
      </w:pPr>
    </w:p>
    <w:p w:rsidR="003E6588" w:rsidRDefault="003E6588">
      <w:pPr>
        <w:tabs>
          <w:tab w:val="left" w:pos="10773"/>
        </w:tabs>
        <w:ind w:right="49" w:firstLine="1134"/>
        <w:jc w:val="both"/>
      </w:pPr>
      <w:r>
        <w:t>O plano considerou como acesso prioritário ao estádio o uso do transporte sobre trilhos, aproveitando as estações Artur Alvim e Corinthians-Itaquera, das linhas 3 do Metrô e 11 da CPTM, localizadas a poucos metros dos portões principais.</w:t>
      </w:r>
    </w:p>
    <w:p w:rsidR="003E6588" w:rsidRDefault="003E6588">
      <w:pPr>
        <w:tabs>
          <w:tab w:val="left" w:pos="10773"/>
        </w:tabs>
        <w:ind w:right="49" w:firstLine="1134"/>
        <w:jc w:val="both"/>
        <w:rPr>
          <w:b/>
        </w:rPr>
      </w:pPr>
    </w:p>
    <w:p w:rsidR="003E6588" w:rsidRDefault="003E6588">
      <w:pPr>
        <w:tabs>
          <w:tab w:val="left" w:pos="10773"/>
        </w:tabs>
        <w:ind w:right="49" w:firstLine="1134"/>
        <w:jc w:val="both"/>
      </w:pPr>
      <w:r>
        <w:t>Durante os 6 jogos, mais de 345 mil pessoas utilizaram essas opções para ir ao estádio, resultando em média de 57,5 mil pessoas por dia. Esse número foi impulsionado pela adesão dos torcedores ao “Expresso da Copa”, operação especial da CPTM que percorreu o trecho do centro da cidade até Itaquera em 19 minutos.</w:t>
      </w:r>
    </w:p>
    <w:p w:rsidR="003E6588" w:rsidRDefault="003E6588">
      <w:pPr>
        <w:tabs>
          <w:tab w:val="left" w:pos="10773"/>
        </w:tabs>
        <w:ind w:right="49" w:firstLine="1134"/>
        <w:jc w:val="both"/>
      </w:pPr>
    </w:p>
    <w:p w:rsidR="003E6588" w:rsidRDefault="003E6588">
      <w:pPr>
        <w:tabs>
          <w:tab w:val="left" w:pos="10773"/>
        </w:tabs>
        <w:ind w:right="49" w:firstLine="1134"/>
        <w:jc w:val="both"/>
      </w:pPr>
      <w:r>
        <w:t>O plano de mobilidade contemplou os deslocamentos pelas rotas protocolares e operações especiais no entorno dos hotéis oficiais, dos aeroportos e dos 15 centros de treinamentos paulistas que receberam delegações.</w:t>
      </w:r>
    </w:p>
    <w:p w:rsidR="003E6588" w:rsidRDefault="003E6588">
      <w:pPr>
        <w:tabs>
          <w:tab w:val="left" w:pos="10773"/>
        </w:tabs>
        <w:ind w:right="49" w:firstLine="1134"/>
        <w:jc w:val="both"/>
      </w:pPr>
    </w:p>
    <w:p w:rsidR="003E6588" w:rsidRDefault="003E6588">
      <w:pPr>
        <w:tabs>
          <w:tab w:val="left" w:pos="10773"/>
        </w:tabs>
        <w:ind w:right="49" w:firstLine="1134"/>
        <w:jc w:val="both"/>
      </w:pPr>
      <w:r>
        <w:t>A DPE teve papel fundamental na elaboração e na participação da execução do Plano de Mobilidade junto aos órgãos competentes durante o evento, participando também de reuniões ao fim de cada jogo com os entes responsáveis, para ajustes nos jogos seguintes.</w:t>
      </w:r>
    </w:p>
    <w:p w:rsidR="003E6588" w:rsidRDefault="003E6588">
      <w:pPr>
        <w:tabs>
          <w:tab w:val="left" w:pos="10773"/>
        </w:tabs>
        <w:ind w:right="49" w:firstLine="1134"/>
        <w:jc w:val="both"/>
        <w:rPr>
          <w:b/>
        </w:rPr>
      </w:pPr>
    </w:p>
    <w:p w:rsidR="003E6588" w:rsidRDefault="003E6588">
      <w:pPr>
        <w:tabs>
          <w:tab w:val="left" w:pos="10773"/>
        </w:tabs>
        <w:ind w:right="49" w:firstLine="1134"/>
        <w:jc w:val="both"/>
      </w:pPr>
      <w:r>
        <w:rPr>
          <w:b/>
        </w:rPr>
        <w:t>Segurança -</w:t>
      </w:r>
      <w:r>
        <w:t xml:space="preserve"> A elaboração do plano e sua execução ocorreram de forma colaborativa entre as forças de segurança. A DPE participou das Oficinas Temáticas da Secretaria Extraordinária de Segurança de Grandes Eventos do Ministério da Justiça, que desenvolveram os protocolos operacionais utilizados no evento.</w:t>
      </w:r>
    </w:p>
    <w:p w:rsidR="003E6588" w:rsidRDefault="003E6588">
      <w:pPr>
        <w:tabs>
          <w:tab w:val="left" w:pos="10773"/>
        </w:tabs>
        <w:ind w:right="49" w:firstLine="1134"/>
        <w:jc w:val="both"/>
      </w:pPr>
    </w:p>
    <w:p w:rsidR="003E6588" w:rsidRDefault="003E6588">
      <w:pPr>
        <w:tabs>
          <w:tab w:val="left" w:pos="10773"/>
        </w:tabs>
        <w:ind w:right="49" w:firstLine="1134"/>
        <w:jc w:val="both"/>
      </w:pPr>
      <w:r>
        <w:t xml:space="preserve">Foi implantado o Centro Integrado de Comando e Controle Regional </w:t>
      </w:r>
      <w:r w:rsidR="008D16A4">
        <w:t xml:space="preserve">- </w:t>
      </w:r>
      <w:r>
        <w:t>CICCR, na região da Luz, que monitorou, durante o evento e 24 horas por dia, as principais áreas da Capital e reuniu representantes de áreas estratégicas (saúde, transporte, e serviços essenciais), de modo a garantir agilidade e eficiência das ações. Também foi um recurso importante para o acompanhamento do fluxo de torcedores em tempo real para o estádio pela equipe que participou da operação nos dias de jogos.</w:t>
      </w:r>
    </w:p>
    <w:p w:rsidR="003E6588" w:rsidRDefault="003E6588">
      <w:pPr>
        <w:tabs>
          <w:tab w:val="left" w:pos="10773"/>
        </w:tabs>
        <w:ind w:right="49" w:firstLine="1134"/>
        <w:jc w:val="both"/>
      </w:pPr>
    </w:p>
    <w:p w:rsidR="008D16A4" w:rsidRDefault="008D16A4">
      <w:pPr>
        <w:tabs>
          <w:tab w:val="left" w:pos="10773"/>
        </w:tabs>
        <w:ind w:right="49" w:firstLine="1134"/>
        <w:jc w:val="both"/>
      </w:pPr>
    </w:p>
    <w:p w:rsidR="008D16A4" w:rsidRDefault="008D16A4">
      <w:pPr>
        <w:tabs>
          <w:tab w:val="left" w:pos="10773"/>
        </w:tabs>
        <w:ind w:right="49" w:firstLine="1134"/>
        <w:jc w:val="both"/>
      </w:pPr>
    </w:p>
    <w:p w:rsidR="003E6588" w:rsidRDefault="003E6588">
      <w:pPr>
        <w:tabs>
          <w:tab w:val="left" w:pos="10773"/>
        </w:tabs>
        <w:ind w:right="49" w:firstLine="1134"/>
        <w:jc w:val="both"/>
      </w:pPr>
      <w:r>
        <w:t xml:space="preserve">Todo o trabalho de planejamento e operação resultou na eficácia da segurança durante o período da Copa, fruto do trabalho integrado entre as forças de segurança de todos os níveis de governo e a criação, na Polícia Militar, do Comando de Policiamento Copa (CPCopa), preparado para as demandas extraordinárias do evento com 4.500 policiais. A CPCopa atuou em 40 locais estratégicos, incluindo o estádio, </w:t>
      </w:r>
      <w:r>
        <w:rPr>
          <w:i/>
        </w:rPr>
        <w:t>FIFA Fan Fest</w:t>
      </w:r>
      <w:r>
        <w:t>, estações de trem e metrô, Aeroporto de Guarulhos, centros de treinamento, imediações de hotéis e pontos turísticos. Foram realizadas reuniões no Comitê integrando a Segurança com as demais áreas de operação.</w:t>
      </w:r>
    </w:p>
    <w:p w:rsidR="003E6588" w:rsidRDefault="003E6588">
      <w:pPr>
        <w:tabs>
          <w:tab w:val="left" w:pos="10773"/>
        </w:tabs>
        <w:ind w:right="49" w:firstLine="1134"/>
        <w:jc w:val="both"/>
        <w:rPr>
          <w:b/>
        </w:rPr>
      </w:pPr>
    </w:p>
    <w:p w:rsidR="003E6588" w:rsidRDefault="003E6588">
      <w:pPr>
        <w:tabs>
          <w:tab w:val="left" w:pos="10773"/>
        </w:tabs>
        <w:ind w:right="49" w:firstLine="1134"/>
        <w:jc w:val="both"/>
        <w:rPr>
          <w:color w:val="000000"/>
        </w:rPr>
      </w:pPr>
      <w:r>
        <w:rPr>
          <w:b/>
          <w:color w:val="000000"/>
        </w:rPr>
        <w:t>Saúde -</w:t>
      </w:r>
      <w:r>
        <w:rPr>
          <w:color w:val="000000"/>
        </w:rPr>
        <w:t xml:space="preserve"> Em sintonia com as diretrizes estratégicas para o evento, a Secretaria da Saúde definiu um plano de contingência inédito para grandes eventos, elaborado de forma a garantir o atendimento médico de vítimas em caso de desastres. Todos os hospitais estaduais da Região Metropolitana e a Fundação Pró-Sangue elaboraram seus respectivos planos. Durante os jogos, equipes do Grupo de Resgate e Atenção às Urgências e Emergências </w:t>
      </w:r>
      <w:r w:rsidR="008D16A4">
        <w:rPr>
          <w:color w:val="000000"/>
        </w:rPr>
        <w:t xml:space="preserve">- </w:t>
      </w:r>
      <w:r>
        <w:rPr>
          <w:color w:val="000000"/>
        </w:rPr>
        <w:t>GRAU ficaram de prontidão nas imediações da Arena Corinthians com antídotos e equipamentos especiais para assistência a vítimas de bioterrorismo e emergências químicas. Atuou na área de vigilância sanitária e epidemiológica, monitorando os municípios que receberam delegações estrangeiras.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A DPE participou e acompanhou ao longo do ano o detalhamento do Plano e sua execução.</w:t>
      </w:r>
    </w:p>
    <w:p w:rsidR="003E6588" w:rsidRDefault="003E6588">
      <w:pPr>
        <w:shd w:val="clear" w:color="auto" w:fill="FFFFFF"/>
        <w:tabs>
          <w:tab w:val="left" w:pos="10773"/>
        </w:tabs>
        <w:ind w:right="49" w:firstLine="1134"/>
        <w:jc w:val="both"/>
        <w:rPr>
          <w:bCs/>
        </w:rPr>
      </w:pPr>
    </w:p>
    <w:p w:rsidR="003E6588" w:rsidRDefault="003E6588">
      <w:pPr>
        <w:shd w:val="clear" w:color="auto" w:fill="FFFFFF"/>
        <w:tabs>
          <w:tab w:val="left" w:pos="10773"/>
        </w:tabs>
        <w:ind w:right="49" w:firstLine="1134"/>
        <w:jc w:val="both"/>
        <w:rPr>
          <w:bCs/>
        </w:rPr>
      </w:pPr>
      <w:r>
        <w:rPr>
          <w:bCs/>
        </w:rPr>
        <w:t>No âmbito da saúde foi realizada, em São Paulo, a “Oficina de Verificação das Ações de Saúde em Eventos de Massa” como instrumento de autoavaliação para planos operativos. Coube à DPE solicitar a indicação de representantes de diversas Secretarias de Estado para que participassem desses fóruns técnicos, propondo ações e trocando experiências entre as cidades-sede.</w:t>
      </w:r>
    </w:p>
    <w:p w:rsidR="003E6588" w:rsidRDefault="003E6588">
      <w:pPr>
        <w:shd w:val="clear" w:color="auto" w:fill="FFFFFF"/>
        <w:tabs>
          <w:tab w:val="left" w:pos="10773"/>
        </w:tabs>
        <w:ind w:right="49" w:firstLine="1134"/>
        <w:jc w:val="both"/>
        <w:rPr>
          <w:bCs/>
        </w:rPr>
      </w:pPr>
    </w:p>
    <w:p w:rsidR="003E6588" w:rsidRDefault="003E6588">
      <w:pPr>
        <w:shd w:val="clear" w:color="auto" w:fill="FFFFFF"/>
        <w:tabs>
          <w:tab w:val="left" w:pos="10773"/>
        </w:tabs>
        <w:ind w:right="49" w:firstLine="1134"/>
        <w:jc w:val="both"/>
        <w:rPr>
          <w:bCs/>
        </w:rPr>
      </w:pPr>
      <w:r>
        <w:rPr>
          <w:bCs/>
        </w:rPr>
        <w:t>Podemos destacar as seguintes atividades:</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rPr>
          <w:color w:val="000000"/>
        </w:rPr>
      </w:pPr>
      <w:r>
        <w:rPr>
          <w:color w:val="000000"/>
        </w:rPr>
        <w:t xml:space="preserve">- Realização de Reunião com setores da Saúde para implementação do atendimento emergencial no entorno do estádio e na </w:t>
      </w:r>
      <w:r>
        <w:rPr>
          <w:i/>
          <w:color w:val="000000"/>
        </w:rPr>
        <w:t>FIFA Fan Fest</w:t>
      </w:r>
      <w:r>
        <w:rPr>
          <w:color w:val="000000"/>
        </w:rPr>
        <w:t>;</w:t>
      </w:r>
    </w:p>
    <w:p w:rsidR="003E6588" w:rsidRDefault="003E6588">
      <w:pPr>
        <w:shd w:val="clear" w:color="auto" w:fill="FFFFFF"/>
        <w:tabs>
          <w:tab w:val="left" w:pos="10773"/>
        </w:tabs>
        <w:ind w:right="49" w:firstLine="1134"/>
        <w:jc w:val="both"/>
        <w:rPr>
          <w:color w:val="000000"/>
        </w:rPr>
      </w:pPr>
    </w:p>
    <w:p w:rsidR="003E6588" w:rsidRDefault="003E6588">
      <w:pPr>
        <w:shd w:val="clear" w:color="auto" w:fill="FFFFFF"/>
        <w:tabs>
          <w:tab w:val="left" w:pos="10773"/>
        </w:tabs>
        <w:ind w:right="49" w:firstLine="1134"/>
        <w:jc w:val="both"/>
      </w:pPr>
      <w:r>
        <w:rPr>
          <w:color w:val="000000"/>
        </w:rPr>
        <w:t xml:space="preserve">- </w:t>
      </w:r>
      <w:r>
        <w:t>Participação em Reunião com representantes dos setores de Saúde para elaboração de simulado de mesa para o entorno do estádio;</w:t>
      </w:r>
    </w:p>
    <w:p w:rsidR="003E6588" w:rsidRDefault="003E6588">
      <w:pPr>
        <w:shd w:val="clear" w:color="auto" w:fill="FFFFFF"/>
        <w:tabs>
          <w:tab w:val="left" w:pos="10773"/>
        </w:tabs>
        <w:ind w:right="49" w:firstLine="1134"/>
        <w:jc w:val="both"/>
        <w:rPr>
          <w:shd w:val="clear" w:color="auto" w:fill="FFFFFF"/>
        </w:rPr>
      </w:pPr>
    </w:p>
    <w:p w:rsidR="003E6588" w:rsidRDefault="003E6588">
      <w:pPr>
        <w:shd w:val="clear" w:color="auto" w:fill="FFFFFF"/>
        <w:tabs>
          <w:tab w:val="left" w:pos="10773"/>
        </w:tabs>
        <w:ind w:right="49" w:firstLine="1134"/>
        <w:jc w:val="both"/>
        <w:rPr>
          <w:b/>
        </w:rPr>
      </w:pPr>
      <w:r>
        <w:rPr>
          <w:shd w:val="clear" w:color="auto" w:fill="FFFFFF"/>
        </w:rPr>
        <w:t>- Participação, em Manaus, da “XIV Reunião de Câmara Temática de Saúde para a Copa do Mundo da FIFA 2014”: acompanhamento da participação estadual;</w:t>
      </w:r>
    </w:p>
    <w:p w:rsidR="003E6588" w:rsidRDefault="003E6588">
      <w:pPr>
        <w:shd w:val="clear" w:color="auto" w:fill="FFFFFF"/>
        <w:tabs>
          <w:tab w:val="left" w:pos="10773"/>
        </w:tabs>
        <w:ind w:right="49" w:firstLine="1134"/>
        <w:jc w:val="both"/>
      </w:pPr>
    </w:p>
    <w:p w:rsidR="003E6588" w:rsidRDefault="003E6588">
      <w:pPr>
        <w:shd w:val="clear" w:color="auto" w:fill="FFFFFF"/>
        <w:tabs>
          <w:tab w:val="left" w:pos="10773"/>
        </w:tabs>
        <w:ind w:right="49" w:firstLine="1134"/>
        <w:jc w:val="both"/>
        <w:rPr>
          <w:b/>
          <w:color w:val="000000"/>
        </w:rPr>
      </w:pPr>
      <w:r>
        <w:t>- Acompanhamento da “15ª Reunião da Câmara Temática de Saúde para Eventos de Massa Copa do Mundo FIFA 2014”, realizada em Brasília/DF, com o objetivo de compartilhar as experiências exitosas e debater as ações de saúde a serem aprimoradas, nas três esferas de gestão do Sistema Único de Saúde (SUS), relacionadas à Copa do Mundo 2014, bem como identificar elementos estruturantes a serem adotados nos próximos eventos de massa.</w:t>
      </w:r>
    </w:p>
    <w:p w:rsidR="008D16A4" w:rsidRDefault="008D16A4">
      <w:pPr>
        <w:shd w:val="clear" w:color="auto" w:fill="FFFFFF"/>
        <w:tabs>
          <w:tab w:val="left" w:pos="10773"/>
        </w:tabs>
        <w:ind w:right="49" w:firstLine="1134"/>
        <w:jc w:val="both"/>
        <w:rPr>
          <w:bCs/>
          <w:u w:val="single"/>
        </w:rPr>
      </w:pPr>
    </w:p>
    <w:p w:rsidR="008D16A4" w:rsidRDefault="008D16A4">
      <w:pPr>
        <w:shd w:val="clear" w:color="auto" w:fill="FFFFFF"/>
        <w:tabs>
          <w:tab w:val="left" w:pos="10773"/>
        </w:tabs>
        <w:ind w:right="49" w:firstLine="1134"/>
        <w:jc w:val="both"/>
        <w:rPr>
          <w:bCs/>
          <w:u w:val="single"/>
        </w:rPr>
      </w:pPr>
    </w:p>
    <w:p w:rsidR="003E6588" w:rsidRDefault="003E6588">
      <w:pPr>
        <w:shd w:val="clear" w:color="auto" w:fill="FFFFFF"/>
        <w:tabs>
          <w:tab w:val="left" w:pos="10773"/>
        </w:tabs>
        <w:ind w:right="49" w:firstLine="1134"/>
        <w:jc w:val="both"/>
        <w:rPr>
          <w:b/>
        </w:rPr>
      </w:pPr>
      <w:r>
        <w:rPr>
          <w:b/>
          <w:bCs/>
        </w:rPr>
        <w:lastRenderedPageBreak/>
        <w:t>Câmaras Temáticas</w:t>
      </w:r>
    </w:p>
    <w:p w:rsidR="003E6588" w:rsidRDefault="003E6588">
      <w:pPr>
        <w:tabs>
          <w:tab w:val="left" w:pos="10773"/>
        </w:tabs>
        <w:ind w:right="49" w:firstLine="1134"/>
        <w:jc w:val="both"/>
        <w:rPr>
          <w:bCs/>
          <w:u w:val="single"/>
        </w:rPr>
      </w:pPr>
    </w:p>
    <w:p w:rsidR="003E6588" w:rsidRDefault="003E6588">
      <w:pPr>
        <w:tabs>
          <w:tab w:val="left" w:pos="10773"/>
        </w:tabs>
        <w:ind w:right="49" w:firstLine="1134"/>
        <w:jc w:val="both"/>
        <w:rPr>
          <w:bCs/>
        </w:rPr>
      </w:pPr>
      <w:r>
        <w:rPr>
          <w:b/>
          <w:bCs/>
        </w:rPr>
        <w:t xml:space="preserve">Meio-Ambiente e Sustentabilidade - </w:t>
      </w:r>
      <w:r>
        <w:rPr>
          <w:bCs/>
        </w:rPr>
        <w:t>Na área do meio ambiente, o Comitê colaborou com informações para a elaboração do inventário de emissões de gases de efeito estufa (GEE) antes e durante o evento, por consultoria contratada pelo Ministério do Meio Ambiente. Foram realizados:</w:t>
      </w:r>
    </w:p>
    <w:p w:rsidR="003E6588" w:rsidRDefault="003E6588">
      <w:pPr>
        <w:tabs>
          <w:tab w:val="left" w:pos="10773"/>
        </w:tabs>
        <w:ind w:right="49" w:firstLine="1134"/>
        <w:jc w:val="both"/>
        <w:rPr>
          <w:b/>
          <w:bCs/>
        </w:rPr>
      </w:pPr>
    </w:p>
    <w:p w:rsidR="003E6588" w:rsidRDefault="003E6588">
      <w:pPr>
        <w:shd w:val="clear" w:color="auto" w:fill="FFFFFF"/>
        <w:tabs>
          <w:tab w:val="left" w:pos="10773"/>
        </w:tabs>
        <w:ind w:right="49" w:firstLine="1134"/>
        <w:jc w:val="both"/>
      </w:pPr>
      <w:r>
        <w:t>- Acompanhamento das ações de Meio Ambiente e Sustentabilidade junto aos órgãos competentes durante o evento;</w:t>
      </w:r>
    </w:p>
    <w:p w:rsidR="003E6588" w:rsidRDefault="003E6588">
      <w:pPr>
        <w:shd w:val="clear" w:color="auto" w:fill="FFFFFF"/>
        <w:tabs>
          <w:tab w:val="left" w:pos="10773"/>
        </w:tabs>
        <w:ind w:right="49" w:firstLine="1134"/>
        <w:jc w:val="both"/>
        <w:rPr>
          <w:b/>
        </w:rPr>
      </w:pPr>
    </w:p>
    <w:p w:rsidR="003E6588" w:rsidRDefault="003E6588">
      <w:pPr>
        <w:shd w:val="clear" w:color="auto" w:fill="FFFFFF"/>
        <w:tabs>
          <w:tab w:val="left" w:pos="10773"/>
        </w:tabs>
        <w:ind w:right="49" w:firstLine="1134"/>
        <w:jc w:val="both"/>
      </w:pPr>
      <w:r>
        <w:t>- Validação de informações junto ao Ministério do Meio Ambiente para a conclusão do inventário pós-Copa;</w:t>
      </w:r>
    </w:p>
    <w:p w:rsidR="003E6588" w:rsidRDefault="003E6588">
      <w:pPr>
        <w:shd w:val="clear" w:color="auto" w:fill="FFFFFF"/>
        <w:tabs>
          <w:tab w:val="left" w:pos="10773"/>
        </w:tabs>
        <w:ind w:right="49" w:firstLine="1134"/>
        <w:jc w:val="both"/>
        <w:rPr>
          <w:b/>
        </w:rPr>
      </w:pPr>
    </w:p>
    <w:p w:rsidR="003E6588" w:rsidRDefault="003E6588">
      <w:pPr>
        <w:tabs>
          <w:tab w:val="left" w:pos="10773"/>
        </w:tabs>
        <w:ind w:right="49" w:firstLine="1134"/>
        <w:jc w:val="both"/>
        <w:rPr>
          <w:bCs/>
        </w:rPr>
      </w:pPr>
      <w:r>
        <w:rPr>
          <w:bCs/>
        </w:rPr>
        <w:t>- Análise da documentação enviada pelo Ministério do Meio Ambiente para a elaboração do Relatório do Inventário de Emissão de Gases Efeito Estufa;</w:t>
      </w:r>
    </w:p>
    <w:p w:rsidR="003E6588" w:rsidRDefault="003E6588">
      <w:pPr>
        <w:tabs>
          <w:tab w:val="left" w:pos="10773"/>
        </w:tabs>
        <w:ind w:right="49" w:firstLine="1134"/>
        <w:jc w:val="both"/>
        <w:rPr>
          <w:bCs/>
        </w:rPr>
      </w:pPr>
    </w:p>
    <w:p w:rsidR="003E6588" w:rsidRDefault="003E6588">
      <w:pPr>
        <w:tabs>
          <w:tab w:val="left" w:pos="10773"/>
        </w:tabs>
        <w:ind w:right="49" w:firstLine="1134"/>
        <w:jc w:val="both"/>
        <w:rPr>
          <w:bCs/>
        </w:rPr>
      </w:pPr>
      <w:r>
        <w:rPr>
          <w:bCs/>
        </w:rPr>
        <w:t>- Reunião com a Prefeitura de São Paulo para validação dos dados, solicitação de correções e devido acompanhamento da revisão.</w:t>
      </w:r>
    </w:p>
    <w:p w:rsidR="003E6588" w:rsidRDefault="003E6588">
      <w:pPr>
        <w:shd w:val="clear" w:color="auto" w:fill="FFFFFF"/>
        <w:tabs>
          <w:tab w:val="left" w:pos="10773"/>
        </w:tabs>
        <w:ind w:right="49" w:firstLine="1134"/>
        <w:jc w:val="both"/>
        <w:rPr>
          <w:u w:val="single"/>
        </w:rPr>
      </w:pPr>
    </w:p>
    <w:p w:rsidR="003E6588" w:rsidRDefault="003E6588">
      <w:pPr>
        <w:shd w:val="clear" w:color="auto" w:fill="FFFFFF"/>
        <w:tabs>
          <w:tab w:val="left" w:pos="10773"/>
        </w:tabs>
        <w:ind w:right="49" w:firstLine="1134"/>
        <w:jc w:val="both"/>
      </w:pPr>
      <w:r>
        <w:rPr>
          <w:b/>
        </w:rPr>
        <w:t xml:space="preserve">Infraestrutura (Energia) - </w:t>
      </w:r>
      <w:r>
        <w:t xml:space="preserve">A Secretaria de Energia, o Ministério de Minas e Energia e as empresas distribuidoras e transmissoras elaboraram plano de ação conjunta, que envolveu a adequação de cronogramas e monitoramento. O sistema de distribuição foi reforçado nos principais pontos estratégicos da Região Metropolitana, entre eles os aeroportos paulistas e a Arena Corinthians. As ações se estenderam aos 12 municípios paulistas que hospedaram 15 das 32 seleções participantes do Mundial. </w:t>
      </w:r>
      <w:r>
        <w:rPr>
          <w:color w:val="222222"/>
        </w:rPr>
        <w:t xml:space="preserve">A atuação da DPE tangeu articulação entre os entes privados (empresas do setor), governo federal e estadual. </w:t>
      </w:r>
      <w:r>
        <w:t>Atividades realizadas:</w:t>
      </w:r>
    </w:p>
    <w:p w:rsidR="003E6588" w:rsidRDefault="003E6588">
      <w:pPr>
        <w:shd w:val="clear" w:color="auto" w:fill="FFFFFF"/>
        <w:tabs>
          <w:tab w:val="left" w:pos="10773"/>
        </w:tabs>
        <w:ind w:right="49" w:firstLine="1134"/>
        <w:jc w:val="both"/>
      </w:pPr>
    </w:p>
    <w:p w:rsidR="003E6588" w:rsidRDefault="003E6588">
      <w:pPr>
        <w:tabs>
          <w:tab w:val="left" w:pos="10773"/>
        </w:tabs>
        <w:ind w:right="49" w:firstLine="1134"/>
        <w:jc w:val="both"/>
      </w:pPr>
      <w:r>
        <w:t xml:space="preserve">Organização e participação em reuniões com representantes do Ministério de Minas e Energia, ONS, Secretaria de Energia e empresas do setor elétrico, com o objetivo de discutir: atendimento de eletricidade em Centros de Treinamento de Seleções e da infraestrutura para a realização dos eventos (aeroportos, transporte público, hotéis, hospitais) nos municípios paulistas; </w:t>
      </w:r>
      <w:r>
        <w:rPr>
          <w:color w:val="000000"/>
        </w:rPr>
        <w:t>estruturas críticas para a Copa (em conjunto com o Exército);</w:t>
      </w:r>
      <w:r>
        <w:t xml:space="preserve"> integração dos planos de operação, manutenção e comunicação; manutenção das redes de transmissão; monitoramento das obras do setor elétrico; acompanhamento das ações de Energia junto aos órgãos competentes.</w:t>
      </w:r>
    </w:p>
    <w:p w:rsidR="003E6588" w:rsidRDefault="003E6588">
      <w:pPr>
        <w:shd w:val="clear" w:color="auto" w:fill="FFFFFF"/>
        <w:tabs>
          <w:tab w:val="left" w:pos="10773"/>
        </w:tabs>
        <w:ind w:right="49" w:firstLine="1134"/>
        <w:jc w:val="both"/>
        <w:rPr>
          <w:b/>
        </w:rPr>
      </w:pPr>
    </w:p>
    <w:p w:rsidR="003E6588" w:rsidRDefault="003E6588">
      <w:pPr>
        <w:shd w:val="clear" w:color="auto" w:fill="FFFFFF"/>
        <w:tabs>
          <w:tab w:val="left" w:pos="851"/>
          <w:tab w:val="left" w:pos="10773"/>
        </w:tabs>
        <w:ind w:right="49" w:firstLine="1134"/>
        <w:jc w:val="both"/>
      </w:pPr>
      <w:r>
        <w:rPr>
          <w:b/>
        </w:rPr>
        <w:t xml:space="preserve">Transparência - </w:t>
      </w:r>
      <w:r>
        <w:t xml:space="preserve">Nos debates sobre transparência, o GESP foi representado pela Corregedoria Geral da Administração </w:t>
      </w:r>
      <w:r w:rsidR="008D16A4">
        <w:t xml:space="preserve">- </w:t>
      </w:r>
      <w:r>
        <w:t>CGA, participando das discussões promovidas pela respectiva câmara e pelos órgãos de controle, além de atuação junto ao PROCON e ouvidoria de órgãos públicos. O trabalho resultou na implementação de políticas e instrumentos de transparência na preparação e realização do evento.</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pPr>
      <w:r>
        <w:t>Ações da DPE acerca do tema transparência:</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pPr>
      <w:r>
        <w:lastRenderedPageBreak/>
        <w:t xml:space="preserve">- Desenvolvimento e atualização do </w:t>
      </w:r>
      <w:r>
        <w:rPr>
          <w:i/>
        </w:rPr>
        <w:t>site</w:t>
      </w:r>
      <w:r>
        <w:t xml:space="preserve"> www.copa2014.sp.gov.br com informações relativas aos preparativos de São Paulo para o evento, além do envio da </w:t>
      </w:r>
      <w:r>
        <w:rPr>
          <w:i/>
        </w:rPr>
        <w:t>newsletter</w:t>
      </w:r>
      <w:r>
        <w:t xml:space="preserve"> semanal do Comitê Paulista aos servidores do Governo estadual; participação nas audiências públicas e atendimento à imprensa.</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pPr>
      <w:r>
        <w:rPr>
          <w:color w:val="000000"/>
        </w:rPr>
        <w:t>- Resposta às solicitações de órgãos e institutos relacionados com a transparência.</w:t>
      </w:r>
    </w:p>
    <w:p w:rsidR="003E6588" w:rsidRDefault="003E6588">
      <w:pPr>
        <w:tabs>
          <w:tab w:val="left" w:pos="851"/>
          <w:tab w:val="left" w:pos="10773"/>
        </w:tabs>
        <w:ind w:right="49" w:firstLine="1134"/>
        <w:jc w:val="both"/>
        <w:rPr>
          <w:b/>
        </w:rPr>
      </w:pPr>
    </w:p>
    <w:p w:rsidR="003E6588" w:rsidRDefault="003E6588">
      <w:pPr>
        <w:tabs>
          <w:tab w:val="left" w:pos="851"/>
          <w:tab w:val="left" w:pos="10773"/>
        </w:tabs>
        <w:ind w:right="49" w:firstLine="1134"/>
        <w:jc w:val="both"/>
        <w:rPr>
          <w:bCs/>
        </w:rPr>
      </w:pPr>
      <w:r>
        <w:rPr>
          <w:b/>
        </w:rPr>
        <w:t xml:space="preserve">Programa Brasil Voluntário - Sede São Paulo - </w:t>
      </w:r>
      <w:r>
        <w:rPr>
          <w:bCs/>
        </w:rPr>
        <w:t>Programa</w:t>
      </w:r>
      <w:r>
        <w:rPr>
          <w:b/>
          <w:bCs/>
        </w:rPr>
        <w:t xml:space="preserve"> </w:t>
      </w:r>
      <w:r>
        <w:rPr>
          <w:bCs/>
        </w:rPr>
        <w:t>coordenado pelo Governo Federal, com o objetivo de complementar o atendimento ao visitante nas áreas não cobertas pelo Programa de Voluntários da FIFA.</w:t>
      </w:r>
    </w:p>
    <w:p w:rsidR="003E6588" w:rsidRDefault="003E6588">
      <w:pPr>
        <w:tabs>
          <w:tab w:val="left" w:pos="851"/>
          <w:tab w:val="left" w:pos="10773"/>
        </w:tabs>
        <w:ind w:right="49" w:firstLine="1134"/>
        <w:jc w:val="both"/>
        <w:rPr>
          <w:bCs/>
        </w:rPr>
      </w:pPr>
    </w:p>
    <w:p w:rsidR="003E6588" w:rsidRDefault="003E6588">
      <w:pPr>
        <w:tabs>
          <w:tab w:val="left" w:pos="851"/>
          <w:tab w:val="left" w:pos="10773"/>
        </w:tabs>
        <w:ind w:right="49" w:firstLine="1134"/>
        <w:jc w:val="both"/>
        <w:rPr>
          <w:bCs/>
        </w:rPr>
      </w:pPr>
      <w:r>
        <w:rPr>
          <w:bCs/>
        </w:rPr>
        <w:t>O Comitê Paulista, por meio da DPE, e a SPCopa da Prefeitura de São Paulo coordenaram as atividades do programa, envolvendo planejamento, estruturação e treinamento. 1.100 voluntários atuaram em áreas de grande fluxo, como pontos turísticos, aeroportos, estações de metrô e entorno da arena. Ações realizadas:</w:t>
      </w:r>
    </w:p>
    <w:p w:rsidR="003E6588" w:rsidRDefault="003E6588">
      <w:pPr>
        <w:tabs>
          <w:tab w:val="left" w:pos="851"/>
          <w:tab w:val="left" w:pos="10773"/>
        </w:tabs>
        <w:ind w:right="49" w:firstLine="1134"/>
        <w:jc w:val="both"/>
        <w:rPr>
          <w:bCs/>
        </w:rPr>
      </w:pPr>
    </w:p>
    <w:p w:rsidR="003E6588" w:rsidRDefault="003E6588">
      <w:pPr>
        <w:shd w:val="clear" w:color="auto" w:fill="FFFFFF"/>
        <w:tabs>
          <w:tab w:val="left" w:pos="851"/>
          <w:tab w:val="left" w:pos="10773"/>
        </w:tabs>
        <w:ind w:right="49" w:firstLine="1134"/>
        <w:jc w:val="both"/>
      </w:pPr>
      <w:r>
        <w:t>- Participação em reuniões para definição e organização do programa de voluntários;</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pPr>
      <w:r>
        <w:t>- Participação em reuniões com as empresas do sistema metro-ferroviário e dos aeroportos de São Paulo (Viracopos, Congonhas e Cumbica) para definição dos trabalhos e alocação dos voluntários;</w:t>
      </w:r>
    </w:p>
    <w:p w:rsidR="003E6588" w:rsidRDefault="003E6588">
      <w:pPr>
        <w:shd w:val="clear" w:color="auto" w:fill="FFFFFF"/>
        <w:tabs>
          <w:tab w:val="left" w:pos="851"/>
          <w:tab w:val="left" w:pos="10773"/>
        </w:tabs>
        <w:ind w:right="49" w:firstLine="1134"/>
        <w:jc w:val="both"/>
        <w:rPr>
          <w:color w:val="000000"/>
        </w:rPr>
      </w:pPr>
    </w:p>
    <w:p w:rsidR="003E6588" w:rsidRDefault="003E6588">
      <w:pPr>
        <w:shd w:val="clear" w:color="auto" w:fill="FFFFFF"/>
        <w:tabs>
          <w:tab w:val="left" w:pos="851"/>
          <w:tab w:val="left" w:pos="10773"/>
        </w:tabs>
        <w:ind w:right="49" w:firstLine="1134"/>
        <w:jc w:val="both"/>
        <w:rPr>
          <w:color w:val="000000"/>
        </w:rPr>
      </w:pPr>
      <w:r>
        <w:rPr>
          <w:color w:val="000000"/>
        </w:rPr>
        <w:t>- Acompanhamento das inscrições do programa e visitas a entidades e universidades para apresentação do programa e de como se inscrever;</w:t>
      </w:r>
    </w:p>
    <w:p w:rsidR="008D16A4" w:rsidRDefault="008D16A4">
      <w:pPr>
        <w:shd w:val="clear" w:color="auto" w:fill="FFFFFF"/>
        <w:tabs>
          <w:tab w:val="left" w:pos="851"/>
          <w:tab w:val="left" w:pos="10773"/>
        </w:tabs>
        <w:ind w:right="49" w:firstLine="1134"/>
        <w:jc w:val="both"/>
        <w:rPr>
          <w:color w:val="000000"/>
        </w:rPr>
      </w:pPr>
    </w:p>
    <w:p w:rsidR="003E6588" w:rsidRDefault="003E6588">
      <w:pPr>
        <w:shd w:val="clear" w:color="auto" w:fill="FFFFFF"/>
        <w:tabs>
          <w:tab w:val="left" w:pos="851"/>
          <w:tab w:val="left" w:pos="10773"/>
        </w:tabs>
        <w:ind w:right="49" w:firstLine="1134"/>
        <w:jc w:val="both"/>
        <w:rPr>
          <w:color w:val="000000"/>
        </w:rPr>
      </w:pPr>
      <w:r>
        <w:t>- Acompanhamento da Seleção dos Voluntários;</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rPr>
          <w:color w:val="000000"/>
        </w:rPr>
      </w:pPr>
      <w:r>
        <w:t>- Participação e realização de treinamento para os voluntários;</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rPr>
          <w:color w:val="000000"/>
        </w:rPr>
      </w:pPr>
      <w:r>
        <w:t>- Montagem do Centro de Apoio aos Voluntários na FATEC Itaquera;</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rPr>
          <w:color w:val="000000"/>
        </w:rPr>
      </w:pPr>
      <w:r>
        <w:t>- Produção de material de apoio à sinalização e comunicação visual dos voluntários como mãos de identificação, cadeiras de salva-vidas, balcões de informações e mapa indicativos.</w:t>
      </w:r>
    </w:p>
    <w:p w:rsidR="003E6588" w:rsidRDefault="003E6588">
      <w:pPr>
        <w:tabs>
          <w:tab w:val="left" w:pos="851"/>
          <w:tab w:val="left" w:pos="10773"/>
        </w:tabs>
        <w:ind w:right="49" w:firstLine="1134"/>
        <w:jc w:val="both"/>
        <w:rPr>
          <w:b/>
        </w:rPr>
      </w:pPr>
    </w:p>
    <w:p w:rsidR="003E6588" w:rsidRDefault="003E6588">
      <w:pPr>
        <w:tabs>
          <w:tab w:val="left" w:pos="851"/>
          <w:tab w:val="left" w:pos="10773"/>
        </w:tabs>
        <w:ind w:right="49" w:firstLine="1134"/>
        <w:jc w:val="both"/>
        <w:rPr>
          <w:b/>
        </w:rPr>
      </w:pPr>
      <w:r>
        <w:rPr>
          <w:b/>
        </w:rPr>
        <w:t>Legado</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pPr>
      <w:r>
        <w:t>- Participação no evento "Rodada da Copa Segundo Tempo: Reflexões sobre o Pós Copa do Mundo da FIFA 2014 no Contexto do Turismo", na Escola de Artes, Ciências e Humanidades da Universidade de São Paulo (EACH-USP).</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pPr>
      <w:r>
        <w:t xml:space="preserve">- Reunião com o Centro de Gestão e Estudos Estratégicos </w:t>
      </w:r>
      <w:r w:rsidR="008D16A4">
        <w:t xml:space="preserve">- </w:t>
      </w:r>
      <w:r>
        <w:t>CGEE e Ministério do Esporte em Brasília para tratar sobre a organização das oficinas sobre legado em São Paulo.</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pPr>
      <w:r>
        <w:lastRenderedPageBreak/>
        <w:t>- Realização de levantamento, conjuntamente com a Prefeitura de São Paulo, dos dados de capacitação, bem como identificação das demais ações em outros tipos de legados nas esferas ambientais, urbanas, esportivas e infraestrutura, entregue ao Ministério do Esporte. Estiveram envolvidas no levantamento as Secretarias de Turismo, Transportes Metropolitanos (CPTM e Metrô), Segurança Pública, Desenvolvimento Econômico, Ciência, Tecnologia e Inovação (Programa Via Rápida - Idiomas).</w:t>
      </w:r>
    </w:p>
    <w:p w:rsidR="003E6588" w:rsidRDefault="003E6588">
      <w:pPr>
        <w:shd w:val="clear" w:color="auto" w:fill="FFFFFF"/>
        <w:tabs>
          <w:tab w:val="left" w:pos="851"/>
          <w:tab w:val="left" w:pos="10773"/>
        </w:tabs>
        <w:ind w:right="49" w:firstLine="1134"/>
        <w:jc w:val="both"/>
      </w:pPr>
    </w:p>
    <w:p w:rsidR="003E6588" w:rsidRPr="008D16A4" w:rsidRDefault="003E6588">
      <w:pPr>
        <w:shd w:val="clear" w:color="auto" w:fill="FFFFFF"/>
        <w:tabs>
          <w:tab w:val="left" w:pos="851"/>
          <w:tab w:val="left" w:pos="10773"/>
        </w:tabs>
        <w:ind w:right="49" w:firstLine="1134"/>
        <w:jc w:val="both"/>
      </w:pPr>
      <w:r>
        <w:t>- Levantamento de dados e atualização de informações ao Ministério do Esporte para o “Seminário de Legado da Copa do Mundo”, realizado no Rio de Janeiro;</w:t>
      </w:r>
    </w:p>
    <w:p w:rsidR="003E6588" w:rsidRDefault="003E6588">
      <w:pPr>
        <w:shd w:val="clear" w:color="auto" w:fill="FFFFFF"/>
        <w:tabs>
          <w:tab w:val="left" w:pos="851"/>
          <w:tab w:val="left" w:pos="10773"/>
        </w:tabs>
        <w:ind w:right="49" w:firstLine="1134"/>
        <w:jc w:val="both"/>
        <w:rPr>
          <w:i/>
        </w:rPr>
      </w:pPr>
    </w:p>
    <w:p w:rsidR="003E6588" w:rsidRDefault="003E6588">
      <w:pPr>
        <w:shd w:val="clear" w:color="auto" w:fill="FFFFFF"/>
        <w:tabs>
          <w:tab w:val="left" w:pos="851"/>
          <w:tab w:val="left" w:pos="10773"/>
        </w:tabs>
        <w:ind w:right="49" w:firstLine="1134"/>
        <w:jc w:val="both"/>
      </w:pPr>
      <w:r>
        <w:rPr>
          <w:i/>
        </w:rPr>
        <w:t xml:space="preserve">- </w:t>
      </w:r>
      <w:r w:rsidRPr="008D16A4">
        <w:t>Participação de reunião com ABIH e</w:t>
      </w:r>
      <w:r>
        <w:rPr>
          <w:i/>
        </w:rPr>
        <w:t xml:space="preserve"> Convention</w:t>
      </w:r>
      <w:r>
        <w:t xml:space="preserve"> </w:t>
      </w:r>
      <w:r w:rsidRPr="008D16A4">
        <w:rPr>
          <w:i/>
        </w:rPr>
        <w:t>Bureau</w:t>
      </w:r>
      <w:r>
        <w:t xml:space="preserve"> SP sobre ações do turismo no Estado durante a Copa.</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pPr>
      <w:r>
        <w:t>-Levantamento do impacto do projeto de Centro de Treinamento nas cidades que receberam delegações durante a Copa (Águas de Lindóia, Campinas, Guarujá, Itu, Ribeirão Preto, Santos e Sorocaba).</w:t>
      </w:r>
    </w:p>
    <w:p w:rsidR="003E6588" w:rsidRDefault="003E6588">
      <w:pPr>
        <w:tabs>
          <w:tab w:val="left" w:pos="851"/>
          <w:tab w:val="left" w:pos="10773"/>
        </w:tabs>
        <w:ind w:right="49" w:firstLine="1134"/>
        <w:jc w:val="both"/>
        <w:rPr>
          <w:b/>
        </w:rPr>
      </w:pPr>
    </w:p>
    <w:p w:rsidR="003E6588" w:rsidRDefault="003E6588">
      <w:pPr>
        <w:tabs>
          <w:tab w:val="left" w:pos="851"/>
          <w:tab w:val="left" w:pos="10773"/>
        </w:tabs>
        <w:ind w:right="49" w:firstLine="1134"/>
        <w:jc w:val="both"/>
      </w:pPr>
      <w:r>
        <w:rPr>
          <w:b/>
        </w:rPr>
        <w:t xml:space="preserve">Arena Corinthians </w:t>
      </w:r>
      <w:r>
        <w:t xml:space="preserve">- Participação em reuniões com os responsáveis pela “Arena Corinthians” (Sport Club Corinthians Paulista e Construtora Odebrecht) para acompanhamento e execução das adequações do projeto do estádio aos requisitos da FIFA; reuniões com FIFA/COL, Polícia Militar e Corpo de Bombeiros para identificação de pendências e ações mitigadoras; Dersa, Secretaria Municipal de Desenvolvimento Urbano, Companhia de Engenharia de Tráfego </w:t>
      </w:r>
      <w:r w:rsidR="008D16A4">
        <w:t xml:space="preserve">- </w:t>
      </w:r>
      <w:r>
        <w:t>CET e demais órgãos competentes para ajuste do viário do entorno do estádio; participação nas visitas técnicas de inspeção da FIFA/COL ao estádio.</w:t>
      </w:r>
    </w:p>
    <w:p w:rsidR="003E6588" w:rsidRDefault="003E6588">
      <w:pPr>
        <w:tabs>
          <w:tab w:val="left" w:pos="851"/>
          <w:tab w:val="left" w:pos="10773"/>
        </w:tabs>
        <w:ind w:right="49" w:firstLine="1134"/>
        <w:jc w:val="both"/>
        <w:rPr>
          <w:b/>
        </w:rPr>
      </w:pPr>
    </w:p>
    <w:p w:rsidR="003E6588" w:rsidRDefault="003E6588">
      <w:pPr>
        <w:tabs>
          <w:tab w:val="left" w:pos="851"/>
          <w:tab w:val="left" w:pos="10773"/>
        </w:tabs>
        <w:ind w:right="49" w:firstLine="1134"/>
        <w:jc w:val="both"/>
        <w:rPr>
          <w:b/>
        </w:rPr>
      </w:pPr>
      <w:r>
        <w:rPr>
          <w:b/>
        </w:rPr>
        <w:t>Estruturas complementares</w:t>
      </w:r>
    </w:p>
    <w:p w:rsidR="003E6588" w:rsidRDefault="003E6588">
      <w:pPr>
        <w:tabs>
          <w:tab w:val="left" w:pos="851"/>
          <w:tab w:val="left" w:pos="10773"/>
        </w:tabs>
        <w:ind w:right="49" w:firstLine="1134"/>
        <w:jc w:val="both"/>
        <w:rPr>
          <w:b/>
        </w:rPr>
      </w:pPr>
    </w:p>
    <w:p w:rsidR="003E6588" w:rsidRDefault="003E6588">
      <w:pPr>
        <w:tabs>
          <w:tab w:val="left" w:pos="851"/>
          <w:tab w:val="left" w:pos="10773"/>
        </w:tabs>
        <w:ind w:right="49" w:firstLine="1134"/>
        <w:jc w:val="both"/>
      </w:pPr>
      <w:r>
        <w:t>Participação na elaboração da planta geral do evento (Masterplan) e no estudo de fluxo de multidão do estádio até as estações de Metrô e CPTM. Cessão de área da Escola Técnica do Estado de São Paulo (ETEC) para o Centro de Credenciamento da FIFA; apoio aos voluntários, à cerimônia de abertura e estruturação de base operacional do Comitê Paulista na Zona Leste;</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pPr>
      <w:r>
        <w:t>Participação de reuniões preparatórias com órgãos públicos, representantes do Corinthians e FIFA para a implementação de planos operacionais nos jogos-teste na Arena Corinthians;</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pPr>
      <w:r>
        <w:t>Participação nos eventos-teste na Arena Corinthians, para testar atividades operacionais como fluxo de pessoas, sinalização, atendimento médico, escoltas, credenciamento do perímetro externo, implementação de base operacional dos órgãos públicos na ETEC;</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pPr>
      <w:r>
        <w:t>Participação em reuniões pós-evento, para ajustes e implementação dos Planos Operacionais para os jogos;</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pPr>
      <w:r>
        <w:lastRenderedPageBreak/>
        <w:t>Apoio para implementação do perímetro de segurança nos dias de jogos e acompanhamento das ações dos órgãos reesposáveis durante o evento.</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rPr>
          <w:b/>
        </w:rPr>
      </w:pPr>
      <w:r>
        <w:rPr>
          <w:b/>
        </w:rPr>
        <w:t>Encerramento de atividades</w:t>
      </w:r>
    </w:p>
    <w:p w:rsidR="003E6588" w:rsidRDefault="003E6588">
      <w:pPr>
        <w:tabs>
          <w:tab w:val="left" w:pos="851"/>
          <w:tab w:val="left" w:pos="10773"/>
        </w:tabs>
        <w:ind w:right="49" w:firstLine="1134"/>
        <w:jc w:val="both"/>
      </w:pPr>
    </w:p>
    <w:p w:rsidR="003E6588" w:rsidRDefault="003E6588">
      <w:pPr>
        <w:tabs>
          <w:tab w:val="left" w:pos="851"/>
          <w:tab w:val="left" w:pos="10773"/>
        </w:tabs>
        <w:ind w:right="49" w:firstLine="1134"/>
        <w:jc w:val="both"/>
      </w:pPr>
      <w:r>
        <w:t>Produção do relatório “2007-2014 - Da convocação ao apito final - As atividades do Comitê Paulista nos preparativos para a realização da Copa do Mundo da FIFA”. Este material teve como objetivo reunir as atividades relacionadas aos preparativos do Governo do Estado para a realização da Copa, com envolvimento da DPE por meio da Secretaria Executiva do Comitê Paulista;</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pPr>
      <w:r>
        <w:t>Organização da reunião de encerramento das atividades formais do Comitê Paulista 2014, realizada no Palácio dos Bandeirantes Foi realizada apresentação sobre os resultados do evento e entregue a publicação produzida pela DPE aos participantes do evento.</w:t>
      </w:r>
    </w:p>
    <w:p w:rsidR="003E6588" w:rsidRDefault="003E6588">
      <w:pPr>
        <w:shd w:val="clear" w:color="auto" w:fill="FFFFFF"/>
        <w:tabs>
          <w:tab w:val="left" w:pos="851"/>
          <w:tab w:val="left" w:pos="10773"/>
        </w:tabs>
        <w:ind w:right="49" w:firstLine="1134"/>
        <w:jc w:val="both"/>
      </w:pPr>
    </w:p>
    <w:p w:rsidR="003E6588" w:rsidRDefault="003E6588">
      <w:pPr>
        <w:shd w:val="clear" w:color="auto" w:fill="FFFFFF"/>
        <w:tabs>
          <w:tab w:val="left" w:pos="851"/>
          <w:tab w:val="left" w:pos="10773"/>
        </w:tabs>
        <w:ind w:right="49" w:firstLine="1134"/>
        <w:jc w:val="both"/>
        <w:rPr>
          <w:b/>
        </w:rPr>
      </w:pPr>
      <w:r>
        <w:rPr>
          <w:b/>
        </w:rPr>
        <w:t>Turismo - Copa do Mundo</w:t>
      </w:r>
    </w:p>
    <w:p w:rsidR="003E6588" w:rsidRDefault="003E6588">
      <w:pPr>
        <w:shd w:val="clear" w:color="auto" w:fill="FFFFFF"/>
        <w:ind w:right="49" w:firstLine="1134"/>
        <w:jc w:val="both"/>
      </w:pPr>
    </w:p>
    <w:p w:rsidR="003E6588" w:rsidRDefault="003E6588">
      <w:pPr>
        <w:shd w:val="clear" w:color="auto" w:fill="FFFFFF"/>
        <w:ind w:right="49" w:firstLine="1134"/>
        <w:jc w:val="both"/>
      </w:pPr>
      <w:r>
        <w:t>Total de turistas</w:t>
      </w:r>
      <w:r>
        <w:tab/>
      </w:r>
      <w:r>
        <w:tab/>
      </w:r>
      <w:r>
        <w:tab/>
      </w:r>
      <w:r>
        <w:tab/>
      </w:r>
      <w:r>
        <w:tab/>
      </w:r>
      <w:r>
        <w:tab/>
        <w:t>541.780</w:t>
      </w:r>
    </w:p>
    <w:p w:rsidR="003E6588" w:rsidRDefault="003E6588">
      <w:pPr>
        <w:shd w:val="clear" w:color="auto" w:fill="FFFFFF"/>
        <w:ind w:right="49" w:firstLine="1134"/>
        <w:jc w:val="both"/>
      </w:pPr>
    </w:p>
    <w:p w:rsidR="003E6588" w:rsidRDefault="003E6588">
      <w:pPr>
        <w:shd w:val="clear" w:color="auto" w:fill="FFFFFF"/>
        <w:ind w:right="49" w:firstLine="1134"/>
        <w:jc w:val="both"/>
      </w:pPr>
      <w:r>
        <w:t>Turistas brasileiros na Capital</w:t>
      </w:r>
      <w:r>
        <w:tab/>
      </w:r>
      <w:r>
        <w:tab/>
      </w:r>
      <w:r>
        <w:tab/>
      </w:r>
      <w:r>
        <w:tab/>
        <w:t>320.282</w:t>
      </w:r>
    </w:p>
    <w:p w:rsidR="003E6588" w:rsidRDefault="003E6588">
      <w:pPr>
        <w:shd w:val="clear" w:color="auto" w:fill="FFFFFF"/>
        <w:ind w:right="49" w:firstLine="1134"/>
        <w:jc w:val="both"/>
      </w:pPr>
    </w:p>
    <w:p w:rsidR="003E6588" w:rsidRDefault="003E6588">
      <w:pPr>
        <w:shd w:val="clear" w:color="auto" w:fill="FFFFFF"/>
        <w:ind w:right="49" w:firstLine="1134"/>
        <w:jc w:val="both"/>
      </w:pPr>
      <w:r>
        <w:t>Turistas estrangeiros na Capital</w:t>
      </w:r>
      <w:r>
        <w:tab/>
      </w:r>
      <w:r>
        <w:tab/>
      </w:r>
      <w:r>
        <w:tab/>
      </w:r>
      <w:r>
        <w:tab/>
        <w:t>221.498</w:t>
      </w:r>
    </w:p>
    <w:p w:rsidR="003E6588" w:rsidRDefault="003E6588">
      <w:pPr>
        <w:shd w:val="clear" w:color="auto" w:fill="FFFFFF"/>
        <w:ind w:right="49" w:firstLine="1134"/>
        <w:jc w:val="both"/>
      </w:pPr>
    </w:p>
    <w:p w:rsidR="003E6588" w:rsidRDefault="003E6588">
      <w:pPr>
        <w:shd w:val="clear" w:color="auto" w:fill="FFFFFF"/>
        <w:ind w:right="49" w:firstLine="1134"/>
        <w:jc w:val="both"/>
      </w:pPr>
      <w:r>
        <w:t>Impacto econômico</w:t>
      </w:r>
      <w:r>
        <w:tab/>
      </w:r>
      <w:r>
        <w:tab/>
      </w:r>
      <w:r>
        <w:tab/>
      </w:r>
      <w:r>
        <w:tab/>
      </w:r>
      <w:r>
        <w:tab/>
        <w:t>1,8 bilhão</w:t>
      </w:r>
    </w:p>
    <w:p w:rsidR="003E6588" w:rsidRDefault="003E6588">
      <w:pPr>
        <w:shd w:val="clear" w:color="auto" w:fill="FFFFFF"/>
        <w:ind w:right="49" w:firstLine="1134"/>
        <w:jc w:val="both"/>
      </w:pPr>
    </w:p>
    <w:p w:rsidR="003E6588" w:rsidRDefault="003E6588">
      <w:pPr>
        <w:shd w:val="clear" w:color="auto" w:fill="FFFFFF"/>
        <w:ind w:right="49" w:firstLine="1134"/>
        <w:jc w:val="both"/>
      </w:pPr>
      <w:r>
        <w:t>Perfil do turista</w:t>
      </w:r>
      <w:r>
        <w:tab/>
      </w:r>
      <w:r>
        <w:tab/>
      </w:r>
      <w:r>
        <w:tab/>
      </w:r>
      <w:r>
        <w:tab/>
      </w:r>
      <w:r>
        <w:tab/>
      </w:r>
      <w:r>
        <w:tab/>
        <w:t>homem, entre 30 e 39 anos</w:t>
      </w:r>
    </w:p>
    <w:p w:rsidR="003E6588" w:rsidRDefault="003E6588">
      <w:pPr>
        <w:shd w:val="clear" w:color="auto" w:fill="FFFFFF"/>
        <w:ind w:right="49" w:firstLine="1134"/>
        <w:jc w:val="both"/>
      </w:pPr>
    </w:p>
    <w:p w:rsidR="003E6588" w:rsidRDefault="003E6588">
      <w:pPr>
        <w:shd w:val="clear" w:color="auto" w:fill="FFFFFF"/>
        <w:ind w:right="49" w:firstLine="1134"/>
        <w:jc w:val="both"/>
      </w:pPr>
      <w:r>
        <w:t>Turistas que usaram metrô/Trem</w:t>
      </w:r>
      <w:r>
        <w:tab/>
      </w:r>
      <w:r>
        <w:tab/>
      </w:r>
      <w:r>
        <w:tab/>
        <w:t>43% (56% dos estrangeiros)</w:t>
      </w:r>
    </w:p>
    <w:p w:rsidR="003E6588" w:rsidRDefault="003E6588">
      <w:pPr>
        <w:shd w:val="clear" w:color="auto" w:fill="FFFFFF"/>
        <w:ind w:right="49" w:firstLine="1134"/>
        <w:jc w:val="both"/>
      </w:pPr>
    </w:p>
    <w:p w:rsidR="003E6588" w:rsidRDefault="003E6588">
      <w:pPr>
        <w:shd w:val="clear" w:color="auto" w:fill="FFFFFF"/>
        <w:ind w:right="49" w:firstLine="1134"/>
        <w:jc w:val="both"/>
      </w:pPr>
      <w:r>
        <w:t>Cidades paulistas visitadas por estrangeiros</w:t>
      </w:r>
      <w:r>
        <w:tab/>
      </w:r>
      <w:r>
        <w:tab/>
        <w:t>66</w:t>
      </w:r>
    </w:p>
    <w:p w:rsidR="003E6588" w:rsidRDefault="003E6588">
      <w:pPr>
        <w:shd w:val="clear" w:color="auto" w:fill="FFFFFF"/>
        <w:ind w:right="49" w:firstLine="1134"/>
        <w:jc w:val="both"/>
      </w:pPr>
    </w:p>
    <w:p w:rsidR="003E6588" w:rsidRDefault="003E6588">
      <w:pPr>
        <w:shd w:val="clear" w:color="auto" w:fill="FFFFFF"/>
        <w:ind w:right="49" w:firstLine="1134"/>
        <w:jc w:val="both"/>
      </w:pPr>
      <w:r>
        <w:t>Cidades paulistas mais visitadas</w:t>
      </w:r>
      <w:r>
        <w:tab/>
      </w:r>
      <w:r>
        <w:tab/>
      </w:r>
      <w:r>
        <w:tab/>
      </w:r>
      <w:r>
        <w:tab/>
        <w:t>São Paulo, Santos e Guarujá</w:t>
      </w:r>
    </w:p>
    <w:p w:rsidR="003E6588" w:rsidRDefault="003E6588">
      <w:pPr>
        <w:shd w:val="clear" w:color="auto" w:fill="FFFFFF"/>
        <w:ind w:right="49" w:firstLine="1134"/>
        <w:jc w:val="both"/>
      </w:pPr>
    </w:p>
    <w:p w:rsidR="003E6588" w:rsidRDefault="003E6588">
      <w:pPr>
        <w:shd w:val="clear" w:color="auto" w:fill="FFFFFF"/>
        <w:ind w:right="49" w:firstLine="1134"/>
        <w:jc w:val="both"/>
      </w:pPr>
      <w:r>
        <w:t>Aumento na visitação a pontos turísticos</w:t>
      </w:r>
      <w:r>
        <w:tab/>
      </w:r>
      <w:r>
        <w:tab/>
        <w:t>20%</w:t>
      </w:r>
    </w:p>
    <w:p w:rsidR="003E6588" w:rsidRDefault="003E6588">
      <w:pPr>
        <w:shd w:val="clear" w:color="auto" w:fill="FFFFFF"/>
        <w:ind w:right="49" w:firstLine="1134"/>
        <w:jc w:val="both"/>
      </w:pPr>
    </w:p>
    <w:p w:rsidR="003E6588" w:rsidRPr="008D16A4" w:rsidRDefault="003E6588">
      <w:pPr>
        <w:ind w:right="49"/>
        <w:jc w:val="both"/>
      </w:pPr>
    </w:p>
    <w:p w:rsidR="003E6588" w:rsidRDefault="003E6588">
      <w:pPr>
        <w:ind w:right="49"/>
        <w:rPr>
          <w:b/>
        </w:rPr>
      </w:pPr>
      <w:r>
        <w:rPr>
          <w:b/>
        </w:rPr>
        <w:t xml:space="preserve">DEPARTAMENTO DE APOIO E DESENVOLVIMENTO DAS ESTÂNCIAS </w:t>
      </w:r>
      <w:r w:rsidR="00424182">
        <w:rPr>
          <w:b/>
        </w:rPr>
        <w:t xml:space="preserve">- </w:t>
      </w:r>
      <w:r>
        <w:rPr>
          <w:b/>
        </w:rPr>
        <w:t>DADE</w:t>
      </w:r>
    </w:p>
    <w:p w:rsidR="003E6588" w:rsidRDefault="003E6588">
      <w:pPr>
        <w:ind w:right="49"/>
        <w:rPr>
          <w:b/>
        </w:rPr>
      </w:pPr>
    </w:p>
    <w:p w:rsidR="003E6588" w:rsidRDefault="003E6588">
      <w:pPr>
        <w:ind w:right="49"/>
        <w:rPr>
          <w:b/>
        </w:rPr>
      </w:pPr>
    </w:p>
    <w:p w:rsidR="003E6588" w:rsidRDefault="003E6588">
      <w:pPr>
        <w:ind w:right="49" w:firstLine="1134"/>
        <w:jc w:val="both"/>
      </w:pPr>
      <w:r>
        <w:t>O Departamento de Apoio ao Desenvolvimento das Estâncias - DADE, foi criado através da L</w:t>
      </w:r>
      <w:r>
        <w:rPr>
          <w:bCs/>
        </w:rPr>
        <w:t>ei nº 6.470/1989</w:t>
      </w:r>
      <w:r>
        <w:t xml:space="preserve"> para gerir o Fundo de Melhoria das Estâncias. Suas atribuições são:</w:t>
      </w:r>
    </w:p>
    <w:p w:rsidR="003E6588" w:rsidRDefault="003E6588">
      <w:pPr>
        <w:ind w:right="49" w:firstLine="1134"/>
        <w:jc w:val="both"/>
      </w:pPr>
    </w:p>
    <w:p w:rsidR="003E6588" w:rsidRDefault="008D16A4" w:rsidP="008D16A4">
      <w:pPr>
        <w:ind w:right="49" w:firstLine="1134"/>
        <w:jc w:val="both"/>
      </w:pPr>
      <w:r>
        <w:t xml:space="preserve">- </w:t>
      </w:r>
      <w:r w:rsidR="003E6588">
        <w:t>Elaborar convênios com os municípios estâncias com a finalidade de fomentar o seu desenvolvimento;</w:t>
      </w:r>
    </w:p>
    <w:p w:rsidR="003E6588" w:rsidRDefault="008D16A4" w:rsidP="008D16A4">
      <w:pPr>
        <w:ind w:right="49" w:firstLine="1134"/>
        <w:jc w:val="both"/>
      </w:pPr>
      <w:r>
        <w:lastRenderedPageBreak/>
        <w:t xml:space="preserve">- </w:t>
      </w:r>
      <w:r w:rsidR="003E6588">
        <w:t>Elaborar plano permanente e dinâmico para desenvolvimento integrado das estâncias de qualquer natureza, existentes ou que venham a ser criadas no Estado, estabelecendo seu agrupamento em regiões de acordo com suas características e cujos interesses sejam afins, bem como delimitando as áreas com destaque ao incremento do turismo;</w:t>
      </w:r>
    </w:p>
    <w:p w:rsidR="003E6588" w:rsidRDefault="003E6588" w:rsidP="008D16A4">
      <w:pPr>
        <w:ind w:right="49" w:firstLine="1134"/>
        <w:jc w:val="both"/>
      </w:pPr>
    </w:p>
    <w:p w:rsidR="003E6588" w:rsidRDefault="008D16A4" w:rsidP="008D16A4">
      <w:pPr>
        <w:ind w:right="49" w:firstLine="1134"/>
        <w:jc w:val="both"/>
      </w:pPr>
      <w:r>
        <w:t xml:space="preserve">- </w:t>
      </w:r>
      <w:r w:rsidR="003E6588">
        <w:t>Promover a implantação, coordenação, execução e fiscalização dos programas estabelecidos pelo plano;</w:t>
      </w:r>
    </w:p>
    <w:p w:rsidR="003E6588" w:rsidRDefault="003E6588" w:rsidP="008D16A4">
      <w:pPr>
        <w:ind w:right="49" w:firstLine="1134"/>
        <w:jc w:val="both"/>
      </w:pPr>
    </w:p>
    <w:p w:rsidR="003E6588" w:rsidRDefault="008D16A4" w:rsidP="008D16A4">
      <w:pPr>
        <w:ind w:right="49" w:firstLine="1134"/>
        <w:jc w:val="both"/>
      </w:pPr>
      <w:r>
        <w:t xml:space="preserve">- </w:t>
      </w:r>
      <w:r w:rsidR="003E6588">
        <w:t>Promover estudos e pesquisas relacionados com o desenvolvimento das estâncias, bem como o preparo de pessoal técnico-especializado;</w:t>
      </w:r>
    </w:p>
    <w:p w:rsidR="003E6588" w:rsidRDefault="003E6588" w:rsidP="008D16A4">
      <w:pPr>
        <w:ind w:right="49" w:firstLine="1134"/>
        <w:jc w:val="both"/>
      </w:pPr>
    </w:p>
    <w:p w:rsidR="003E6588" w:rsidRDefault="008D16A4" w:rsidP="008D16A4">
      <w:pPr>
        <w:ind w:right="49" w:firstLine="1134"/>
        <w:jc w:val="both"/>
      </w:pPr>
      <w:r>
        <w:t xml:space="preserve">- </w:t>
      </w:r>
      <w:r w:rsidR="003E6588">
        <w:t>Diligenciar junto aos órgãos públicos visando à consignação de verbas ou dotações orçamentárias destinadas à melhoria das estâncias e seu desenvolvimento turístico;</w:t>
      </w:r>
    </w:p>
    <w:p w:rsidR="003E6588" w:rsidRDefault="003E6588">
      <w:pPr>
        <w:ind w:right="49" w:firstLine="1276"/>
        <w:jc w:val="both"/>
      </w:pPr>
    </w:p>
    <w:p w:rsidR="003E6588" w:rsidRDefault="003E6588">
      <w:pPr>
        <w:ind w:right="49" w:firstLine="1134"/>
        <w:jc w:val="both"/>
      </w:pPr>
      <w:r>
        <w:t>Os recursos disponibilizados às Estâncias por meio de convênios são provenientes do Fundo de Melhoria das Estâncias, (artigo 146 da Constituição do Estado; Lei nº 7.862/1992).</w:t>
      </w:r>
    </w:p>
    <w:p w:rsidR="003E6588" w:rsidRDefault="003E6588">
      <w:pPr>
        <w:ind w:right="49" w:firstLine="1134"/>
        <w:jc w:val="both"/>
      </w:pPr>
    </w:p>
    <w:p w:rsidR="003E6588" w:rsidRDefault="003E6588">
      <w:pPr>
        <w:ind w:right="49" w:firstLine="1134"/>
        <w:jc w:val="both"/>
      </w:pPr>
      <w:r>
        <w:t>Para se beneficiar dos recursos disponíveis, os municípios estâncias apresentam ao DADE plano de trabalho, determinando quais os objetos dos convênios a serem celebrados.</w:t>
      </w:r>
    </w:p>
    <w:p w:rsidR="003E6588" w:rsidRDefault="003E6588">
      <w:pPr>
        <w:ind w:right="49" w:firstLine="1134"/>
        <w:jc w:val="both"/>
      </w:pPr>
    </w:p>
    <w:p w:rsidR="003E6588" w:rsidRDefault="003E6588">
      <w:pPr>
        <w:ind w:right="49" w:firstLine="1134"/>
        <w:jc w:val="both"/>
      </w:pPr>
      <w:r>
        <w:t>Referidos planos são apresentados ao Conselho de Orientação e Controle - COC, do Fundo de Melhorias das Estâncias, para aprovação e elaboração de Projeto.</w:t>
      </w:r>
    </w:p>
    <w:p w:rsidR="003E6588" w:rsidRDefault="003E6588">
      <w:pPr>
        <w:ind w:right="49" w:firstLine="1134"/>
        <w:jc w:val="both"/>
      </w:pPr>
    </w:p>
    <w:p w:rsidR="003E6588" w:rsidRDefault="003E6588">
      <w:pPr>
        <w:ind w:right="49" w:firstLine="1134"/>
        <w:jc w:val="both"/>
      </w:pPr>
      <w:r>
        <w:t xml:space="preserve">Atualizamos o Manual de Formalização de Convênios e Prestação de Contas do DADE, disponível no </w:t>
      </w:r>
      <w:r>
        <w:rPr>
          <w:i/>
        </w:rPr>
        <w:t>site</w:t>
      </w:r>
      <w:r>
        <w:t xml:space="preserve"> da Secretaria de Turismo.</w:t>
      </w:r>
    </w:p>
    <w:p w:rsidR="003E6588" w:rsidRDefault="003E6588">
      <w:pPr>
        <w:ind w:right="49" w:firstLine="1134"/>
        <w:jc w:val="both"/>
      </w:pPr>
    </w:p>
    <w:p w:rsidR="003E6588" w:rsidRDefault="003E6588">
      <w:pPr>
        <w:ind w:right="49" w:firstLine="1134"/>
        <w:jc w:val="both"/>
      </w:pPr>
      <w:r>
        <w:t>Estâncias do DADE: 67</w:t>
      </w:r>
    </w:p>
    <w:p w:rsidR="003E6588" w:rsidRDefault="003E6588">
      <w:pPr>
        <w:ind w:right="49" w:firstLine="1134"/>
        <w:jc w:val="both"/>
      </w:pPr>
    </w:p>
    <w:p w:rsidR="003E6588" w:rsidRDefault="008D16A4" w:rsidP="008D16A4">
      <w:pPr>
        <w:ind w:left="1134" w:right="49"/>
        <w:jc w:val="both"/>
      </w:pPr>
      <w:r>
        <w:t xml:space="preserve">- </w:t>
      </w:r>
      <w:r w:rsidR="003E6588">
        <w:t>Estâncias Balneárias - 15 municípios</w:t>
      </w:r>
    </w:p>
    <w:p w:rsidR="003E6588" w:rsidRDefault="003E6588">
      <w:pPr>
        <w:ind w:left="1134" w:right="49"/>
        <w:jc w:val="both"/>
      </w:pPr>
    </w:p>
    <w:p w:rsidR="003E6588" w:rsidRDefault="008D16A4" w:rsidP="008D16A4">
      <w:pPr>
        <w:ind w:left="1134" w:right="49"/>
        <w:jc w:val="both"/>
      </w:pPr>
      <w:r>
        <w:t xml:space="preserve">- </w:t>
      </w:r>
      <w:r w:rsidR="003E6588">
        <w:t>Estâncias Climáticas - 12 municípios</w:t>
      </w:r>
    </w:p>
    <w:p w:rsidR="003E6588" w:rsidRDefault="003E6588">
      <w:pPr>
        <w:ind w:right="49"/>
        <w:jc w:val="both"/>
      </w:pPr>
    </w:p>
    <w:p w:rsidR="003E6588" w:rsidRDefault="008D16A4" w:rsidP="008D16A4">
      <w:pPr>
        <w:ind w:left="1134" w:right="49"/>
        <w:jc w:val="both"/>
      </w:pPr>
      <w:r>
        <w:t xml:space="preserve">- </w:t>
      </w:r>
      <w:r w:rsidR="003E6588">
        <w:t>Estâncias Hidrominerais - 11 municípios</w:t>
      </w:r>
    </w:p>
    <w:p w:rsidR="003E6588" w:rsidRDefault="003E6588">
      <w:pPr>
        <w:ind w:left="1134" w:right="49"/>
        <w:jc w:val="both"/>
      </w:pPr>
    </w:p>
    <w:p w:rsidR="003E6588" w:rsidRDefault="008D16A4" w:rsidP="008D16A4">
      <w:pPr>
        <w:ind w:left="1134" w:right="51"/>
        <w:jc w:val="both"/>
      </w:pPr>
      <w:r>
        <w:t xml:space="preserve">- </w:t>
      </w:r>
      <w:r w:rsidR="003E6588">
        <w:t>Estâncias Turísticas - 29 municípios</w:t>
      </w:r>
    </w:p>
    <w:p w:rsidR="003E6588" w:rsidRDefault="003E6588">
      <w:pPr>
        <w:ind w:right="51"/>
      </w:pPr>
    </w:p>
    <w:p w:rsidR="003E6588" w:rsidRDefault="003E6588">
      <w:pPr>
        <w:ind w:right="49" w:firstLine="1134"/>
        <w:jc w:val="both"/>
      </w:pPr>
      <w:r>
        <w:t>Foram formalizados, assinados e empenhados 243 convênios para 66 municípios estância, no valor de R$ 281.863.039,33.</w:t>
      </w:r>
    </w:p>
    <w:p w:rsidR="003E6588" w:rsidRDefault="003E6588">
      <w:pPr>
        <w:ind w:right="49" w:firstLine="1134"/>
        <w:jc w:val="both"/>
      </w:pPr>
    </w:p>
    <w:p w:rsidR="003E6588" w:rsidRDefault="003E6588">
      <w:pPr>
        <w:ind w:right="49" w:firstLine="1134"/>
        <w:jc w:val="both"/>
      </w:pPr>
      <w:r>
        <w:t>Foram classificados como Estâncias Turísticas os municípios de Brotas, Guaratinguetá e Olímpia, que passarão a receber recursos do DADE a partir de 2015, totalizando 70 municípios estâncias.</w:t>
      </w:r>
    </w:p>
    <w:p w:rsidR="003E6588" w:rsidRDefault="003E6588">
      <w:pPr>
        <w:rPr>
          <w:b/>
          <w:bCs/>
        </w:rPr>
      </w:pPr>
      <w:r>
        <w:br w:type="page"/>
      </w:r>
      <w:r>
        <w:rPr>
          <w:b/>
          <w:bCs/>
        </w:rPr>
        <w:lastRenderedPageBreak/>
        <w:t>PROCURADORIA GERAL DO ESTADO</w:t>
      </w:r>
    </w:p>
    <w:p w:rsidR="003E6588" w:rsidRDefault="003E6588"/>
    <w:p w:rsidR="003E6588" w:rsidRDefault="003E6588"/>
    <w:p w:rsidR="003E6588" w:rsidRDefault="003E6588">
      <w:pPr>
        <w:ind w:firstLine="1134"/>
        <w:jc w:val="both"/>
        <w:rPr>
          <w:color w:val="000000"/>
        </w:rPr>
      </w:pPr>
      <w:r>
        <w:rPr>
          <w:b/>
          <w:color w:val="000000"/>
        </w:rPr>
        <w:t xml:space="preserve">Atribuições Institucionais - </w:t>
      </w:r>
      <w:r>
        <w:rPr>
          <w:color w:val="000000"/>
        </w:rPr>
        <w:t xml:space="preserve">A Procuradoria Geral do Estado de São Paulo </w:t>
      </w:r>
      <w:r>
        <w:t>-</w:t>
      </w:r>
      <w:r>
        <w:rPr>
          <w:color w:val="000000"/>
        </w:rPr>
        <w:t xml:space="preserve"> PGE é instituição de natureza permanente, essencial à Administração Pública Estadual, vinculada diretamente ao Governador. Definidas como essenciais à Justiça, suas atribuições estão previstas no artigo 132 da Constituição Federal, no artigo 98 e seguintes da Constituição Estadual, e na Lei Complementar n</w:t>
      </w:r>
      <w:r w:rsidR="00445FA7">
        <w:rPr>
          <w:color w:val="000000"/>
        </w:rPr>
        <w:t>º</w:t>
      </w:r>
      <w:r>
        <w:rPr>
          <w:color w:val="000000"/>
        </w:rPr>
        <w:t xml:space="preserve"> 478</w:t>
      </w:r>
      <w:r w:rsidR="00445FA7">
        <w:rPr>
          <w:color w:val="000000"/>
        </w:rPr>
        <w:t>/</w:t>
      </w:r>
      <w:r>
        <w:rPr>
          <w:color w:val="000000"/>
        </w:rPr>
        <w:t>1986, Lei Orgânica da PGE.</w:t>
      </w:r>
    </w:p>
    <w:p w:rsidR="003E6588" w:rsidRDefault="003E6588">
      <w:pPr>
        <w:tabs>
          <w:tab w:val="left" w:pos="1080"/>
        </w:tabs>
        <w:ind w:firstLine="1134"/>
        <w:jc w:val="both"/>
        <w:rPr>
          <w:color w:val="000000"/>
        </w:rPr>
      </w:pPr>
    </w:p>
    <w:p w:rsidR="003E6588" w:rsidRDefault="003E6588">
      <w:pPr>
        <w:tabs>
          <w:tab w:val="left" w:pos="1080"/>
        </w:tabs>
        <w:ind w:firstLine="1134"/>
        <w:jc w:val="both"/>
        <w:rPr>
          <w:color w:val="000000"/>
        </w:rPr>
      </w:pPr>
      <w:r>
        <w:rPr>
          <w:color w:val="000000"/>
        </w:rPr>
        <w:t xml:space="preserve">Compete à Instituição a representação judicial e extrajudicial do Estado e suas autarquias, inclusive as de regime especial, exceto as universidades públicas; o exercício das atividades </w:t>
      </w:r>
      <w:r>
        <w:rPr>
          <w:iCs/>
          <w:color w:val="000000"/>
        </w:rPr>
        <w:t>de consultoria e assessoramento jurídico do Poder Executivo e das entidades autárquicas; o assessoramento jurídico e técnico-legislativo ao Governador do Estado e a realização de procedimentos administrativos, inclusive disciplinares, não regulados por lei especial.</w:t>
      </w:r>
    </w:p>
    <w:p w:rsidR="003E6588" w:rsidRDefault="003E6588">
      <w:pPr>
        <w:tabs>
          <w:tab w:val="left" w:pos="1080"/>
        </w:tabs>
        <w:ind w:firstLine="1134"/>
        <w:jc w:val="both"/>
        <w:rPr>
          <w:color w:val="000000"/>
        </w:rPr>
      </w:pPr>
    </w:p>
    <w:p w:rsidR="003E6588" w:rsidRDefault="003E6588">
      <w:pPr>
        <w:tabs>
          <w:tab w:val="left" w:pos="1080"/>
        </w:tabs>
        <w:ind w:firstLine="1134"/>
        <w:jc w:val="both"/>
        <w:rPr>
          <w:color w:val="000000"/>
        </w:rPr>
      </w:pPr>
      <w:r>
        <w:rPr>
          <w:color w:val="000000"/>
        </w:rPr>
        <w:t>Para fins de atuação uniforme e coordenada, vinculam-se à PGE os órgãos jurídicos das universidades públicas estaduais, das empresas públicas, das sociedades de economia mista sob controle do Estado e das fundações estaduais.</w:t>
      </w:r>
    </w:p>
    <w:p w:rsidR="003E6588" w:rsidRDefault="003E6588">
      <w:pPr>
        <w:tabs>
          <w:tab w:val="left" w:pos="1080"/>
        </w:tabs>
        <w:ind w:firstLine="1134"/>
        <w:jc w:val="both"/>
        <w:rPr>
          <w:color w:val="000000"/>
        </w:rPr>
      </w:pPr>
    </w:p>
    <w:p w:rsidR="003E6588" w:rsidRDefault="003E6588">
      <w:pPr>
        <w:tabs>
          <w:tab w:val="left" w:pos="1080"/>
        </w:tabs>
        <w:ind w:firstLine="1134"/>
        <w:jc w:val="both"/>
        <w:rPr>
          <w:color w:val="000000"/>
        </w:rPr>
      </w:pPr>
      <w:r>
        <w:rPr>
          <w:color w:val="000000"/>
        </w:rPr>
        <w:t>Principais atividades desenvolvidas:</w:t>
      </w:r>
    </w:p>
    <w:p w:rsidR="003E6588" w:rsidRDefault="003E6588">
      <w:pPr>
        <w:pStyle w:val="PargrafodaLista"/>
        <w:ind w:left="0" w:firstLine="1134"/>
        <w:rPr>
          <w:rFonts w:ascii="Times New Roman" w:hAnsi="Times New Roman"/>
          <w:b/>
          <w:color w:val="000000"/>
          <w:sz w:val="24"/>
          <w:szCs w:val="24"/>
        </w:rPr>
      </w:pPr>
    </w:p>
    <w:p w:rsidR="003E6588" w:rsidRDefault="003E6588">
      <w:pPr>
        <w:pStyle w:val="PargrafodaLista"/>
        <w:ind w:left="0" w:firstLine="1134"/>
        <w:rPr>
          <w:rFonts w:ascii="Times New Roman" w:hAnsi="Times New Roman"/>
          <w:b/>
          <w:color w:val="000000"/>
          <w:sz w:val="24"/>
          <w:szCs w:val="24"/>
        </w:rPr>
      </w:pPr>
      <w:r>
        <w:rPr>
          <w:rFonts w:ascii="Times New Roman" w:hAnsi="Times New Roman"/>
          <w:b/>
          <w:color w:val="000000"/>
          <w:sz w:val="24"/>
          <w:szCs w:val="24"/>
        </w:rPr>
        <w:t xml:space="preserve">Área do Contencioso Geral - </w:t>
      </w:r>
      <w:r>
        <w:rPr>
          <w:rFonts w:ascii="Times New Roman" w:hAnsi="Times New Roman"/>
          <w:color w:val="000000"/>
          <w:sz w:val="24"/>
          <w:szCs w:val="24"/>
        </w:rPr>
        <w:t>Simultaneamente à adoção de novas medidas visando a redução da litigiosidade, acentuou-se o trabalho de reestruturação e reorganização da área do contencioso geral, envolvendo as seguintes providências:</w:t>
      </w:r>
    </w:p>
    <w:p w:rsidR="003E6588" w:rsidRDefault="003E6588">
      <w:pPr>
        <w:pStyle w:val="PargrafodaLista"/>
        <w:ind w:left="0" w:firstLine="1134"/>
        <w:rPr>
          <w:rFonts w:ascii="Times New Roman" w:hAnsi="Times New Roman"/>
          <w:b/>
          <w:bCs/>
          <w:color w:val="000000"/>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b/>
          <w:bCs/>
          <w:color w:val="000000"/>
          <w:sz w:val="24"/>
          <w:szCs w:val="24"/>
        </w:rPr>
        <w:t xml:space="preserve">Racionalização na Designação de Audiências Trabalhistas - </w:t>
      </w:r>
      <w:r>
        <w:rPr>
          <w:rFonts w:ascii="Times New Roman" w:hAnsi="Times New Roman"/>
          <w:color w:val="000000"/>
          <w:sz w:val="24"/>
          <w:szCs w:val="24"/>
        </w:rPr>
        <w:t>Atendendo a requerimento conjunto da PGE</w:t>
      </w:r>
      <w:r>
        <w:rPr>
          <w:rFonts w:ascii="Times New Roman" w:hAnsi="Times New Roman"/>
          <w:sz w:val="24"/>
          <w:szCs w:val="24"/>
        </w:rPr>
        <w:t>, Advocacia Geral da União e Procuradoria Geral do Município, foi publicada no Diário Oficial da União do dia 24 de abril de 2014 a Recomendação CR nº 64/2014, editada pela Corregedoria Regional do Tribunal do Trabalho da 2ª Região, que alterou a Recomendação CR nº 47/2008.</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A recomendação é no sentido de que os juízes vinculados ao aludido Tribunal se abstenham de designar audiência quando for parte a União, o Estado, os Municípios, as Autarquias ou as Fundações instituídas e mantidas pelo poder público que não exploram atividade econômica, bem como, nas ações em que se discute a atribuição de responsabilidade subsidiária à Fazenda Pública, nas quais - via de regra - a realização de audiência é requerida pela parte autora, inclusive em virtude da possibilidade de celebração de acordo com a empregadora, seja facultativa a presença do ente público na audiência.</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b/>
          <w:sz w:val="24"/>
          <w:szCs w:val="24"/>
        </w:rPr>
      </w:pPr>
      <w:r>
        <w:rPr>
          <w:rFonts w:ascii="Times New Roman" w:hAnsi="Times New Roman"/>
          <w:color w:val="000000"/>
          <w:sz w:val="24"/>
          <w:szCs w:val="24"/>
        </w:rPr>
        <w:t xml:space="preserve">A medida busca </w:t>
      </w:r>
      <w:r>
        <w:rPr>
          <w:rFonts w:ascii="Times New Roman" w:hAnsi="Times New Roman"/>
          <w:sz w:val="24"/>
          <w:szCs w:val="24"/>
        </w:rPr>
        <w:t>evitar a designação de audiências cujos resultados serão inócuos, permitindo-se que sejam concentrados esforços nos casos em que a atuação do Procurador do Estado em audiência seja determinante para o êxito dos interesses do Estado em juízo.</w:t>
      </w:r>
    </w:p>
    <w:p w:rsidR="003E6588" w:rsidRDefault="003E6588">
      <w:pPr>
        <w:pStyle w:val="PargrafodaLista"/>
        <w:ind w:left="0" w:firstLine="1134"/>
        <w:rPr>
          <w:rFonts w:ascii="Times New Roman" w:hAnsi="Times New Roman"/>
          <w:b/>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lastRenderedPageBreak/>
        <w:t xml:space="preserve">Alteração nas Rotinas do Contencioso Geral - </w:t>
      </w:r>
      <w:r>
        <w:rPr>
          <w:rFonts w:ascii="Times New Roman" w:hAnsi="Times New Roman"/>
          <w:color w:val="000000"/>
          <w:sz w:val="24"/>
          <w:szCs w:val="24"/>
        </w:rPr>
        <w:t>Transcorridos quase dois anos de vigência das Rotinas do Contencioso Geral, constatou-se a necessidade de se promover alterações pontuais a tal regramento com a finalidade de aperfeiçoar a atuação dos Procuradores do Estado na representação da Fazenda Pública em juízo.</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Em vista disto, foi editada a Resolução PGE nº 8</w:t>
      </w:r>
      <w:r w:rsidR="00445FA7">
        <w:rPr>
          <w:rFonts w:ascii="Times New Roman" w:hAnsi="Times New Roman"/>
          <w:color w:val="000000"/>
          <w:sz w:val="24"/>
          <w:szCs w:val="24"/>
        </w:rPr>
        <w:t>/</w:t>
      </w:r>
      <w:r>
        <w:rPr>
          <w:rFonts w:ascii="Times New Roman" w:hAnsi="Times New Roman"/>
          <w:color w:val="000000"/>
          <w:sz w:val="24"/>
          <w:szCs w:val="24"/>
        </w:rPr>
        <w:t>2014, que alterou dispositivos das Rotinas do Contencioso Geral, aprovadas pela Resolução PGE nº 22</w:t>
      </w:r>
      <w:r w:rsidR="00445FA7">
        <w:rPr>
          <w:rFonts w:ascii="Times New Roman" w:hAnsi="Times New Roman"/>
          <w:color w:val="000000"/>
          <w:sz w:val="24"/>
          <w:szCs w:val="24"/>
        </w:rPr>
        <w:t>/</w:t>
      </w:r>
      <w:r>
        <w:rPr>
          <w:rFonts w:ascii="Times New Roman" w:hAnsi="Times New Roman"/>
          <w:color w:val="000000"/>
          <w:sz w:val="24"/>
          <w:szCs w:val="24"/>
        </w:rPr>
        <w:t xml:space="preserve">2012, promovendo </w:t>
      </w:r>
      <w:r>
        <w:rPr>
          <w:rFonts w:ascii="Times New Roman" w:hAnsi="Times New Roman"/>
          <w:sz w:val="24"/>
          <w:szCs w:val="24"/>
        </w:rPr>
        <w:t>ajustes de sintonia fina que encampam, inclusive, diversas sugestões formuladas pelos próprios Procuradores do Estado, conferindo-lhes maior autonomia, bem como às Unidades</w:t>
      </w:r>
      <w:r>
        <w:rPr>
          <w:rFonts w:ascii="Times New Roman" w:hAnsi="Times New Roman"/>
          <w:color w:val="000000"/>
          <w:sz w:val="24"/>
          <w:szCs w:val="24"/>
        </w:rPr>
        <w:t xml:space="preserve"> da PGE, eliminando trâmites e desburocratizando procedimentos, valendo destacar as principais alterações:</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Recursos de agravo de instrumento e embargos declaratórios: a não interposição estará a juízo do Procurador, independentemente de comunicação à Chefia, salvo nos casos de acompanhamento especial e nas vedações legais à decisão liminar. De toda forma, deve haver justificativa lançada pelo Procurador;</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Apelação: a dispensa passa a ser de atribuição da Chefia da Unidade, salvo nos casos de acompanhamento especial. Para os casos de dispensa genérica, não há necessidade de comunicação à Chefia, devendo haver o encerramento da pendência de forma justificada;</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Agravo de Petição: foi incluído entre as hipóteses de dispensa de interposição, sob critério da Chefia da Unidade;</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xml:space="preserve">- Embargos à Execução: haverá dispensa de ajuizamento, independentemente de comunicação à Chefia da Unidade, se o cálculo estiver correto, devendo a memória de nosso contador ou os cálculos elaborados </w:t>
      </w:r>
      <w:r>
        <w:rPr>
          <w:rFonts w:ascii="Times New Roman" w:hAnsi="Times New Roman"/>
          <w:sz w:val="24"/>
          <w:szCs w:val="24"/>
        </w:rPr>
        <w:t>pelo Procurador</w:t>
      </w:r>
      <w:r>
        <w:rPr>
          <w:rFonts w:ascii="Times New Roman" w:hAnsi="Times New Roman"/>
          <w:color w:val="000000"/>
          <w:sz w:val="24"/>
          <w:szCs w:val="24"/>
        </w:rPr>
        <w:t xml:space="preserve"> serem encartados na pasta digital, ou, ainda, se a diferença apurada for inferior a 50 UFESP;</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Elevação do limite para o não ajuizamento das ações de reparação civil para 600 UFESP, independentemente de autorização pela Chefia da Unidade, bastando anotar a justificativa e formular a proposta para devolução do expediente;</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Execução de honorários: não havendo pagamento ou infrutífera a penhora online, fica autorizada a extinção do processo se o valor for inferior a 600 UFESP;</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Obrigação de fazer: o procedimento foi simplificado, eliminando-se a necessidade de análise pelas Chefias. Com a medida, prioriza-se a celeridade no cumprimento das decisões judiciais.</w:t>
      </w:r>
    </w:p>
    <w:p w:rsidR="003E6588" w:rsidRDefault="003E6588">
      <w:pPr>
        <w:pStyle w:val="PargrafodaLista"/>
        <w:ind w:left="1134"/>
        <w:rPr>
          <w:rFonts w:ascii="Times New Roman" w:hAnsi="Times New Roman"/>
          <w:b/>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b/>
          <w:color w:val="000000"/>
          <w:sz w:val="24"/>
          <w:szCs w:val="24"/>
        </w:rPr>
        <w:t xml:space="preserve">Novas instalações da CEFAP - Coordenadoria de Execuções contra a Fazenda Pública da Capital - </w:t>
      </w:r>
      <w:r>
        <w:rPr>
          <w:rFonts w:ascii="Times New Roman" w:hAnsi="Times New Roman"/>
          <w:color w:val="000000"/>
          <w:sz w:val="24"/>
          <w:szCs w:val="24"/>
        </w:rPr>
        <w:t>A CEFAP, que antes ocupava o 4º andar do prédio da Rua Maria Paula nº 67, teve suas instalações ampliadas e passou a ocupar o 10º, o 11º e o 13º andares do prédio. Os três pavimentos receberam ampla reforma, que propiciou a melhora significativa das condições de trabalho.</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sz w:val="24"/>
          <w:szCs w:val="24"/>
        </w:rPr>
      </w:pPr>
      <w:r>
        <w:rPr>
          <w:rFonts w:ascii="Times New Roman" w:hAnsi="Times New Roman"/>
          <w:color w:val="000000"/>
          <w:sz w:val="24"/>
          <w:szCs w:val="24"/>
        </w:rPr>
        <w:lastRenderedPageBreak/>
        <w:t>A Coordenadoria de Execuções contra a Fazenda Pública da Capital - CEFP foi criada pela Resolução PGE nº 12</w:t>
      </w:r>
      <w:r w:rsidR="00CE0664">
        <w:rPr>
          <w:rFonts w:ascii="Times New Roman" w:hAnsi="Times New Roman"/>
          <w:color w:val="000000"/>
          <w:sz w:val="24"/>
          <w:szCs w:val="24"/>
        </w:rPr>
        <w:t>/</w:t>
      </w:r>
      <w:r>
        <w:rPr>
          <w:rFonts w:ascii="Times New Roman" w:hAnsi="Times New Roman"/>
          <w:color w:val="000000"/>
          <w:sz w:val="24"/>
          <w:szCs w:val="24"/>
        </w:rPr>
        <w:t xml:space="preserve">2009, vinculada ao gabinete da Procuradoria Judicial, para acompanhar, nas fases de liquidação e execução, os processos originários de algumas </w:t>
      </w:r>
      <w:r>
        <w:rPr>
          <w:rFonts w:ascii="Times New Roman" w:hAnsi="Times New Roman"/>
          <w:sz w:val="24"/>
          <w:szCs w:val="24"/>
        </w:rPr>
        <w:t>Subprocuradorias daquela Unidade.</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Após a edição da Resolução PGE nº 11</w:t>
      </w:r>
      <w:r w:rsidR="00CE0664">
        <w:rPr>
          <w:rFonts w:ascii="Times New Roman" w:hAnsi="Times New Roman"/>
          <w:color w:val="000000"/>
          <w:sz w:val="24"/>
          <w:szCs w:val="24"/>
        </w:rPr>
        <w:t>/2</w:t>
      </w:r>
      <w:r>
        <w:rPr>
          <w:rFonts w:ascii="Times New Roman" w:hAnsi="Times New Roman"/>
          <w:color w:val="000000"/>
          <w:sz w:val="24"/>
          <w:szCs w:val="24"/>
        </w:rPr>
        <w:t xml:space="preserve">013, a CEFAP (nova denominação da </w:t>
      </w:r>
      <w:r w:rsidRPr="00CE0664">
        <w:rPr>
          <w:rFonts w:ascii="Times New Roman" w:hAnsi="Times New Roman"/>
          <w:sz w:val="24"/>
          <w:szCs w:val="24"/>
        </w:rPr>
        <w:t>CEFP)</w:t>
      </w:r>
      <w:r>
        <w:rPr>
          <w:rFonts w:ascii="Times New Roman" w:hAnsi="Times New Roman"/>
          <w:color w:val="000000"/>
          <w:sz w:val="24"/>
          <w:szCs w:val="24"/>
        </w:rPr>
        <w:t xml:space="preserve"> passou a vincular-se à Subprocuradoria Geral do Estado da Área do Contencioso Geral e teve sua competência alargada para:</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exercer a representação judicial do Estado e de suas autarquias nos processos em fase de liquidação e de execução de sentença, até atendimento final ao requisitório judicial nas ações que tramitam nas unidades sediadas na Capital subordinadas à Subprocuradoria Geral do Estado da Área do Contencioso Geral;</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acompanhar os recursos oriundos das Procuradorias Regionais relativos à matéria;</w:t>
      </w:r>
    </w:p>
    <w:p w:rsidR="003E6588" w:rsidRDefault="003E6588">
      <w:pPr>
        <w:pStyle w:val="PargrafodaLista"/>
        <w:ind w:left="0" w:firstLine="1134"/>
        <w:rPr>
          <w:rFonts w:ascii="Times New Roman" w:hAnsi="Times New Roman"/>
          <w:color w:val="000000"/>
          <w:sz w:val="24"/>
          <w:szCs w:val="24"/>
        </w:rPr>
      </w:pPr>
    </w:p>
    <w:p w:rsidR="003E6588" w:rsidRDefault="003E6588">
      <w:pPr>
        <w:pStyle w:val="PargrafodaLista"/>
        <w:ind w:left="0" w:firstLine="1134"/>
        <w:rPr>
          <w:rFonts w:ascii="Times New Roman" w:hAnsi="Times New Roman"/>
          <w:color w:val="000000"/>
          <w:sz w:val="24"/>
          <w:szCs w:val="24"/>
        </w:rPr>
      </w:pPr>
      <w:r>
        <w:rPr>
          <w:rFonts w:ascii="Times New Roman" w:hAnsi="Times New Roman"/>
          <w:color w:val="000000"/>
          <w:sz w:val="24"/>
          <w:szCs w:val="24"/>
        </w:rPr>
        <w:t>- cadastrar os precatórios e requisitórios de pequeno valor da Administração Direta; e,</w:t>
      </w:r>
    </w:p>
    <w:p w:rsidR="003E658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 acompanhar o processamento administrativo dos precatórios expedidos pelos tribunais, bem como a elaboração de minutas de informações e o acompanhamento, perante os juízos e tribunais de origem dos requisitórios, dos pedidos de sequestro relativos às execuções sob seu acompanhamento.</w:t>
      </w:r>
    </w:p>
    <w:p w:rsidR="003E658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 xml:space="preserve">Para fazer frente ao aumento de atribuições, a CEFAP teve seu quadro de </w:t>
      </w:r>
      <w:r>
        <w:t>Procuradores, servidores e estagiários aumentado desde sua criação. Atualmente são 24 procuradores que, somados aos servidores da PGE, estagiários</w:t>
      </w:r>
      <w:r>
        <w:rPr>
          <w:color w:val="000000"/>
        </w:rPr>
        <w:t xml:space="preserve"> de direito e digitadores terceirizados, cuidam das execuções movidas contra a Fazenda Pública da Capital e requisitórios judiciais.</w:t>
      </w:r>
    </w:p>
    <w:p w:rsidR="003E658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Trata-se de importante especialização que vem permitindo uma atuação cada vez mais eficiente da PGE na defesa do erário.</w:t>
      </w:r>
    </w:p>
    <w:p w:rsidR="003E6588" w:rsidRDefault="003E6588">
      <w:pPr>
        <w:adjustRightInd w:val="0"/>
        <w:ind w:left="1134"/>
        <w:jc w:val="both"/>
        <w:rPr>
          <w:b/>
          <w:color w:val="000000"/>
        </w:rPr>
      </w:pPr>
    </w:p>
    <w:p w:rsidR="003E6588" w:rsidRDefault="003E6588">
      <w:pPr>
        <w:adjustRightInd w:val="0"/>
        <w:ind w:firstLine="1134"/>
        <w:jc w:val="both"/>
        <w:rPr>
          <w:color w:val="000000"/>
        </w:rPr>
      </w:pPr>
      <w:r>
        <w:rPr>
          <w:b/>
          <w:color w:val="000000"/>
        </w:rPr>
        <w:t xml:space="preserve">Criação do setor de apoio ao cumprimento de obrigações de fazer na Procuradoria Judicial - </w:t>
      </w:r>
      <w:r>
        <w:rPr>
          <w:color w:val="000000"/>
        </w:rPr>
        <w:t>Conforme Ordem de Serviço GPJ nº 04</w:t>
      </w:r>
      <w:r w:rsidR="00CE0664">
        <w:rPr>
          <w:color w:val="000000"/>
        </w:rPr>
        <w:t>/</w:t>
      </w:r>
      <w:r>
        <w:rPr>
          <w:color w:val="000000"/>
        </w:rPr>
        <w:t>2014, foi criado, no âmbito da Procuradoria Judicial, o Setor de Apoio ao Cumprimento de Obrigações de Fazer.</w:t>
      </w:r>
    </w:p>
    <w:p w:rsidR="003E658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 xml:space="preserve">A criação do setor surgiu da necessidade de controle mais efetivo para o cumprimento de obrigações de fazer advindas de decisões judiciais transitadas em julgado e, sobretudo, com o intuito de auxiliar os </w:t>
      </w:r>
      <w:r>
        <w:t>Procura</w:t>
      </w:r>
      <w:r>
        <w:rPr>
          <w:color w:val="000000"/>
        </w:rPr>
        <w:t>dores do Estado na obtenção de informações junto aos órgãos responsáveis pelo atendimento da determinação judicial.</w:t>
      </w:r>
    </w:p>
    <w:p w:rsidR="003E658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O setor tem as seguintes atribuições:</w:t>
      </w:r>
    </w:p>
    <w:p w:rsidR="003E6588" w:rsidRDefault="003E6588">
      <w:pPr>
        <w:adjustRightInd w:val="0"/>
        <w:ind w:firstLine="1134"/>
        <w:jc w:val="both"/>
        <w:rPr>
          <w:color w:val="000000"/>
        </w:rPr>
      </w:pPr>
    </w:p>
    <w:p w:rsidR="003E6588" w:rsidRDefault="003E6588">
      <w:pPr>
        <w:adjustRightInd w:val="0"/>
        <w:ind w:firstLine="1134"/>
        <w:jc w:val="both"/>
        <w:rPr>
          <w:color w:val="000000"/>
        </w:rPr>
      </w:pPr>
      <w:r>
        <w:rPr>
          <w:color w:val="000000"/>
        </w:rPr>
        <w:t>- manter interlocução com os representantes de órgãos e entidades a quem caiba o cumprimento das respectivas obrigações de fazer;</w:t>
      </w:r>
    </w:p>
    <w:p w:rsidR="003E6588" w:rsidRDefault="003E6588">
      <w:pPr>
        <w:adjustRightInd w:val="0"/>
        <w:ind w:firstLine="1134"/>
        <w:jc w:val="both"/>
      </w:pPr>
      <w:r>
        <w:rPr>
          <w:color w:val="000000"/>
        </w:rPr>
        <w:lastRenderedPageBreak/>
        <w:t xml:space="preserve">- elaborar planilhas de controle de prazos, informando </w:t>
      </w:r>
      <w:r>
        <w:t>os Procuradores oficiantes sobre o estágio do trâmite administrativo e diligenciar para que seu cumprimento se realize de forma mais célere possível; e</w:t>
      </w:r>
    </w:p>
    <w:p w:rsidR="003E6588" w:rsidRDefault="003E6588">
      <w:pPr>
        <w:adjustRightInd w:val="0"/>
        <w:ind w:firstLine="1134"/>
        <w:jc w:val="both"/>
      </w:pPr>
    </w:p>
    <w:p w:rsidR="003E6588" w:rsidRDefault="003E6588">
      <w:pPr>
        <w:adjustRightInd w:val="0"/>
        <w:ind w:firstLine="1134"/>
        <w:jc w:val="both"/>
        <w:rPr>
          <w:color w:val="000000"/>
        </w:rPr>
      </w:pPr>
      <w:r>
        <w:t>- redigir minutas de ofícios para revisão dos Procuradores que atuem nos feitos, bem como encaminhar mensagens eletrônicas aos órgãos e entes com o fim de agilização</w:t>
      </w:r>
      <w:r>
        <w:rPr>
          <w:color w:val="000000"/>
        </w:rPr>
        <w:t xml:space="preserve"> de procedimentos e providências.</w:t>
      </w:r>
    </w:p>
    <w:p w:rsidR="003E6588" w:rsidRDefault="003E6588">
      <w:pPr>
        <w:pStyle w:val="PargrafodaLista"/>
        <w:adjustRightInd w:val="0"/>
        <w:ind w:left="1134"/>
        <w:rPr>
          <w:rFonts w:ascii="Times New Roman" w:hAnsi="Times New Roman"/>
          <w:b/>
          <w:color w:val="000000"/>
          <w:sz w:val="24"/>
          <w:szCs w:val="24"/>
        </w:rPr>
      </w:pPr>
    </w:p>
    <w:p w:rsidR="003E6588" w:rsidRDefault="003E6588">
      <w:pPr>
        <w:pStyle w:val="PargrafodaLista"/>
        <w:adjustRightInd w:val="0"/>
        <w:ind w:left="0" w:firstLine="1134"/>
        <w:rPr>
          <w:rFonts w:ascii="Times New Roman" w:hAnsi="Times New Roman"/>
          <w:color w:val="000000"/>
          <w:sz w:val="24"/>
          <w:szCs w:val="24"/>
        </w:rPr>
      </w:pPr>
      <w:r>
        <w:rPr>
          <w:rFonts w:ascii="Times New Roman" w:hAnsi="Times New Roman"/>
          <w:b/>
          <w:color w:val="000000"/>
          <w:sz w:val="24"/>
          <w:szCs w:val="24"/>
        </w:rPr>
        <w:t xml:space="preserve">Treinamento para o sistema PJE - </w:t>
      </w:r>
      <w:r>
        <w:rPr>
          <w:rFonts w:ascii="Times New Roman" w:hAnsi="Times New Roman"/>
          <w:color w:val="000000"/>
          <w:sz w:val="24"/>
          <w:szCs w:val="24"/>
        </w:rPr>
        <w:t>Houve a promoção de curso, em conjunto com o Centro de Estudos da Procuradoria Geral do Estado de São Paulo, realizado na Escola Judicial do Tribunal, voltado à capacitação de servidores da PGE para o uso da ferramenta “Assistente de Procuradoria” do sistema PJe adotado pelo Tribunal Regional do Trabalho da 15ª Região (TRT-15).</w:t>
      </w:r>
    </w:p>
    <w:p w:rsidR="003E6588" w:rsidRDefault="003E6588">
      <w:pPr>
        <w:pStyle w:val="PargrafodaLista"/>
        <w:adjustRightInd w:val="0"/>
        <w:ind w:left="0" w:firstLine="1134"/>
        <w:rPr>
          <w:rFonts w:ascii="Times New Roman" w:hAnsi="Times New Roman"/>
          <w:color w:val="000000"/>
          <w:sz w:val="24"/>
          <w:szCs w:val="24"/>
        </w:rPr>
      </w:pPr>
    </w:p>
    <w:p w:rsidR="003E6588" w:rsidRDefault="003E6588">
      <w:pPr>
        <w:pStyle w:val="PargrafodaLista"/>
        <w:adjustRightInd w:val="0"/>
        <w:ind w:left="0" w:firstLine="1134"/>
        <w:rPr>
          <w:rFonts w:ascii="Times New Roman" w:hAnsi="Times New Roman"/>
          <w:color w:val="000000"/>
          <w:sz w:val="24"/>
          <w:szCs w:val="24"/>
        </w:rPr>
      </w:pPr>
      <w:r>
        <w:rPr>
          <w:rFonts w:ascii="Times New Roman" w:hAnsi="Times New Roman"/>
          <w:color w:val="000000"/>
          <w:sz w:val="24"/>
          <w:szCs w:val="24"/>
        </w:rPr>
        <w:t xml:space="preserve">Com tal iniciativa busca-se a qualificação dos servidores da PGE para auxiliar os </w:t>
      </w:r>
      <w:r>
        <w:rPr>
          <w:rFonts w:ascii="Times New Roman" w:hAnsi="Times New Roman"/>
          <w:sz w:val="24"/>
          <w:szCs w:val="24"/>
        </w:rPr>
        <w:t>Pr</w:t>
      </w:r>
      <w:r>
        <w:rPr>
          <w:rFonts w:ascii="Times New Roman" w:hAnsi="Times New Roman"/>
          <w:color w:val="000000"/>
          <w:sz w:val="24"/>
          <w:szCs w:val="24"/>
        </w:rPr>
        <w:t>ocuradores do Estado lotados nas Procuradorias Regionais que atuam perante o Tribunal Regional do Trabalho da 15ª Região, na utilização do sistema PJe.</w:t>
      </w:r>
    </w:p>
    <w:p w:rsidR="003E6588" w:rsidRDefault="003E6588">
      <w:pPr>
        <w:pStyle w:val="PargrafodaLista"/>
        <w:adjustRightInd w:val="0"/>
        <w:ind w:left="1134"/>
        <w:rPr>
          <w:rFonts w:ascii="Times New Roman" w:hAnsi="Times New Roman"/>
          <w:b/>
          <w:color w:val="000000"/>
          <w:sz w:val="24"/>
          <w:szCs w:val="24"/>
        </w:rPr>
      </w:pPr>
    </w:p>
    <w:p w:rsidR="003E6588" w:rsidRDefault="003E6588">
      <w:pPr>
        <w:pStyle w:val="PargrafodaLista"/>
        <w:adjustRightInd w:val="0"/>
        <w:ind w:left="0" w:firstLine="1134"/>
        <w:rPr>
          <w:rFonts w:ascii="Times New Roman" w:hAnsi="Times New Roman"/>
          <w:b/>
          <w:bCs/>
          <w:color w:val="000000"/>
          <w:sz w:val="24"/>
          <w:szCs w:val="24"/>
        </w:rPr>
      </w:pPr>
      <w:r>
        <w:rPr>
          <w:rFonts w:ascii="Times New Roman" w:hAnsi="Times New Roman"/>
          <w:b/>
          <w:color w:val="000000"/>
          <w:sz w:val="24"/>
          <w:szCs w:val="24"/>
        </w:rPr>
        <w:t xml:space="preserve">Sistema dos Juizados Especiais - </w:t>
      </w:r>
      <w:r>
        <w:rPr>
          <w:rFonts w:ascii="Times New Roman" w:hAnsi="Times New Roman"/>
          <w:bCs/>
          <w:color w:val="000000"/>
          <w:sz w:val="24"/>
          <w:szCs w:val="24"/>
        </w:rPr>
        <w:t>Conclusão dos trabalhos do grupo instituído para estudar</w:t>
      </w:r>
      <w:r>
        <w:rPr>
          <w:rFonts w:ascii="Times New Roman" w:hAnsi="Times New Roman"/>
          <w:b/>
          <w:bCs/>
          <w:color w:val="000000"/>
          <w:sz w:val="24"/>
          <w:szCs w:val="24"/>
        </w:rPr>
        <w:t xml:space="preserve"> alterações no sistema dos juizados especiais</w:t>
      </w:r>
      <w:r>
        <w:rPr>
          <w:rFonts w:ascii="Times New Roman" w:hAnsi="Times New Roman"/>
          <w:bCs/>
          <w:color w:val="000000"/>
          <w:sz w:val="24"/>
          <w:szCs w:val="24"/>
        </w:rPr>
        <w:t>, constituído pela Resolução PGE nº 25</w:t>
      </w:r>
      <w:r>
        <w:rPr>
          <w:rFonts w:ascii="Times New Roman" w:hAnsi="Times New Roman"/>
          <w:bCs/>
          <w:sz w:val="24"/>
          <w:szCs w:val="24"/>
        </w:rPr>
        <w:t>/2013,</w:t>
      </w:r>
      <w:r>
        <w:rPr>
          <w:rFonts w:ascii="Times New Roman" w:hAnsi="Times New Roman"/>
          <w:bCs/>
          <w:color w:val="000000"/>
          <w:sz w:val="24"/>
          <w:szCs w:val="24"/>
        </w:rPr>
        <w:t xml:space="preserve"> cujo relatório final será submetido ao Senhor Procurador Geral para exame e definição da estratégia de encaminhamento.</w:t>
      </w:r>
    </w:p>
    <w:p w:rsidR="003E6588" w:rsidRDefault="003E6588">
      <w:pPr>
        <w:pStyle w:val="PargrafodaLista"/>
        <w:tabs>
          <w:tab w:val="left" w:pos="284"/>
        </w:tabs>
        <w:autoSpaceDE w:val="0"/>
        <w:autoSpaceDN w:val="0"/>
        <w:adjustRightInd w:val="0"/>
        <w:ind w:left="1134"/>
        <w:rPr>
          <w:rFonts w:ascii="Times New Roman" w:hAnsi="Times New Roman"/>
          <w:b/>
          <w:bCs/>
          <w:color w:val="000000"/>
          <w:sz w:val="24"/>
          <w:szCs w:val="24"/>
        </w:rPr>
      </w:pPr>
    </w:p>
    <w:p w:rsidR="003E6588" w:rsidRDefault="003E6588">
      <w:pPr>
        <w:pStyle w:val="PargrafodaLista"/>
        <w:tabs>
          <w:tab w:val="left" w:pos="284"/>
        </w:tabs>
        <w:autoSpaceDE w:val="0"/>
        <w:autoSpaceDN w:val="0"/>
        <w:adjustRightInd w:val="0"/>
        <w:ind w:left="1134"/>
        <w:rPr>
          <w:rFonts w:ascii="Times New Roman" w:hAnsi="Times New Roman"/>
          <w:b/>
          <w:bCs/>
          <w:color w:val="000000"/>
          <w:sz w:val="24"/>
          <w:szCs w:val="24"/>
        </w:rPr>
      </w:pPr>
      <w:r>
        <w:rPr>
          <w:rFonts w:ascii="Times New Roman" w:hAnsi="Times New Roman"/>
          <w:b/>
          <w:bCs/>
          <w:color w:val="000000"/>
          <w:sz w:val="24"/>
          <w:szCs w:val="24"/>
        </w:rPr>
        <w:t>Autarquias</w:t>
      </w:r>
    </w:p>
    <w:p w:rsidR="003E6588" w:rsidRDefault="003E6588">
      <w:pPr>
        <w:pStyle w:val="PargrafodaLista"/>
        <w:tabs>
          <w:tab w:val="left" w:pos="284"/>
        </w:tabs>
        <w:autoSpaceDE w:val="0"/>
        <w:autoSpaceDN w:val="0"/>
        <w:adjustRightInd w:val="0"/>
        <w:ind w:left="0" w:firstLine="1134"/>
        <w:rPr>
          <w:rFonts w:ascii="Times New Roman" w:hAnsi="Times New Roman"/>
          <w:b/>
          <w:bCs/>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b/>
          <w:bCs/>
          <w:color w:val="000000"/>
          <w:sz w:val="24"/>
          <w:szCs w:val="24"/>
        </w:rPr>
      </w:pPr>
      <w:r>
        <w:rPr>
          <w:rFonts w:ascii="Times New Roman" w:hAnsi="Times New Roman"/>
          <w:b/>
          <w:bCs/>
          <w:color w:val="000000"/>
          <w:sz w:val="24"/>
          <w:szCs w:val="24"/>
        </w:rPr>
        <w:t xml:space="preserve">Assunção do contencioso integral do </w:t>
      </w:r>
      <w:r>
        <w:rPr>
          <w:rFonts w:ascii="Times New Roman" w:hAnsi="Times New Roman"/>
          <w:bCs/>
          <w:sz w:val="24"/>
          <w:szCs w:val="24"/>
        </w:rPr>
        <w:t xml:space="preserve">Instituto de Assistência Médica ao Servidor Público Estadual - </w:t>
      </w:r>
      <w:r>
        <w:rPr>
          <w:rFonts w:ascii="Times New Roman" w:hAnsi="Times New Roman"/>
          <w:b/>
          <w:bCs/>
          <w:sz w:val="24"/>
          <w:szCs w:val="24"/>
        </w:rPr>
        <w:t>IAMSPE</w:t>
      </w:r>
      <w:r>
        <w:rPr>
          <w:rFonts w:ascii="Times New Roman" w:hAnsi="Times New Roman"/>
          <w:bCs/>
          <w:sz w:val="24"/>
          <w:szCs w:val="24"/>
        </w:rPr>
        <w:t xml:space="preserve">, devidamente formalizada </w:t>
      </w:r>
      <w:r>
        <w:rPr>
          <w:rFonts w:ascii="Times New Roman" w:hAnsi="Times New Roman"/>
          <w:bCs/>
          <w:color w:val="000000"/>
          <w:sz w:val="24"/>
          <w:szCs w:val="24"/>
        </w:rPr>
        <w:t>pela Resolução Conjunta PGE-IAMSPE nº 1</w:t>
      </w:r>
      <w:r>
        <w:rPr>
          <w:rFonts w:ascii="Times New Roman" w:hAnsi="Times New Roman"/>
          <w:bCs/>
          <w:sz w:val="24"/>
          <w:szCs w:val="24"/>
        </w:rPr>
        <w:t>/2014,</w:t>
      </w:r>
      <w:r>
        <w:rPr>
          <w:rFonts w:ascii="Times New Roman" w:hAnsi="Times New Roman"/>
          <w:bCs/>
          <w:color w:val="000000"/>
          <w:sz w:val="24"/>
          <w:szCs w:val="24"/>
        </w:rPr>
        <w:t xml:space="preserve"> publicada no Diário Oficial de 30 de julho de 2014.</w:t>
      </w:r>
    </w:p>
    <w:p w:rsidR="003E6588" w:rsidRDefault="003E6588">
      <w:pPr>
        <w:pStyle w:val="PargrafodaLista"/>
        <w:tabs>
          <w:tab w:val="left" w:pos="284"/>
        </w:tabs>
        <w:autoSpaceDE w:val="0"/>
        <w:autoSpaceDN w:val="0"/>
        <w:adjustRightInd w:val="0"/>
        <w:ind w:left="1134"/>
        <w:rPr>
          <w:rFonts w:ascii="Times New Roman" w:hAnsi="Times New Roman"/>
          <w:b/>
          <w:bCs/>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bCs/>
          <w:strike/>
          <w:color w:val="000000"/>
          <w:sz w:val="24"/>
          <w:szCs w:val="24"/>
        </w:rPr>
      </w:pPr>
      <w:r>
        <w:rPr>
          <w:rFonts w:ascii="Times New Roman" w:hAnsi="Times New Roman"/>
          <w:b/>
          <w:bCs/>
          <w:color w:val="000000"/>
          <w:sz w:val="24"/>
          <w:szCs w:val="24"/>
        </w:rPr>
        <w:t xml:space="preserve">TAC na Área da Educação - </w:t>
      </w:r>
      <w:r>
        <w:rPr>
          <w:rFonts w:ascii="Times New Roman" w:hAnsi="Times New Roman"/>
          <w:bCs/>
          <w:color w:val="000000"/>
          <w:sz w:val="24"/>
          <w:szCs w:val="24"/>
        </w:rPr>
        <w:t xml:space="preserve">Assinatura de Termo de Ajustamento de Conduta - TAC em </w:t>
      </w:r>
      <w:r>
        <w:rPr>
          <w:rFonts w:ascii="Times New Roman" w:hAnsi="Times New Roman"/>
          <w:bCs/>
          <w:sz w:val="24"/>
          <w:szCs w:val="24"/>
        </w:rPr>
        <w:t>26/2/2014</w:t>
      </w:r>
      <w:r>
        <w:rPr>
          <w:rFonts w:ascii="Times New Roman" w:hAnsi="Times New Roman"/>
          <w:bCs/>
          <w:color w:val="000000"/>
          <w:sz w:val="24"/>
          <w:szCs w:val="24"/>
        </w:rPr>
        <w:t>, com a participação da Secretaria da Educação e Ministério Público Estadual, fruto de intenso trabalho conjunto das áreas do Contencioso Geral e da Consultoria Geral da PGE, além de representantes da SE e membros do MPE, que encerra compromisso de tornar todos os prédios escolares acessíveis para deficientes físicos e pessoas com mobilidade reduzida, num prazo de 15 anos, segundo cronograma de obras trienal.</w:t>
      </w: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r>
        <w:rPr>
          <w:rFonts w:ascii="Times New Roman" w:hAnsi="Times New Roman"/>
          <w:bCs/>
          <w:color w:val="000000"/>
          <w:sz w:val="24"/>
          <w:szCs w:val="24"/>
        </w:rPr>
        <w:t>O pacto firmado e as respectivas adesões implicam consequente extinção de diversas ações civis públicas propostas e evitam o ajuizamento de novas demandas nessa matéria, a exemplo do que ocorreu após as Secretarias da Educação e da Saúde subscreverem o TAC para a contratação de cuidadores para alunos deficientes físicos das escolas estaduais, que também contou com a participação efetiva da PGE.</w:t>
      </w: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b/>
          <w:bCs/>
          <w:color w:val="000000"/>
          <w:sz w:val="24"/>
          <w:szCs w:val="24"/>
        </w:rPr>
      </w:pPr>
      <w:r>
        <w:rPr>
          <w:rFonts w:ascii="Times New Roman" w:hAnsi="Times New Roman"/>
          <w:bCs/>
          <w:color w:val="000000"/>
          <w:sz w:val="24"/>
          <w:szCs w:val="24"/>
        </w:rPr>
        <w:t>Mais uma proposta encaminhada pela PGE no bojo de seu programa de redução da litigiosidade acaba de se transformar em lei.</w:t>
      </w: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r>
        <w:rPr>
          <w:rFonts w:ascii="Times New Roman" w:hAnsi="Times New Roman"/>
          <w:b/>
          <w:bCs/>
          <w:color w:val="000000"/>
          <w:sz w:val="24"/>
          <w:szCs w:val="24"/>
        </w:rPr>
        <w:lastRenderedPageBreak/>
        <w:t>Lei Complementar nº 1.249</w:t>
      </w:r>
      <w:r>
        <w:rPr>
          <w:rFonts w:ascii="Times New Roman" w:hAnsi="Times New Roman"/>
          <w:b/>
          <w:bCs/>
          <w:sz w:val="24"/>
          <w:szCs w:val="24"/>
        </w:rPr>
        <w:t xml:space="preserve">/2014 – abono de permanência aos policiais - </w:t>
      </w:r>
      <w:r>
        <w:rPr>
          <w:rFonts w:ascii="Times New Roman" w:hAnsi="Times New Roman"/>
          <w:bCs/>
          <w:sz w:val="24"/>
          <w:szCs w:val="24"/>
        </w:rPr>
        <w:t xml:space="preserve">A Lei Complementar nº 1.249/2014, prevê </w:t>
      </w:r>
      <w:r>
        <w:rPr>
          <w:rFonts w:ascii="Times New Roman" w:hAnsi="Times New Roman"/>
          <w:bCs/>
          <w:color w:val="000000"/>
          <w:sz w:val="24"/>
          <w:szCs w:val="24"/>
        </w:rPr>
        <w:t>o pagamento de abono de permanência aos policiais militares que tenham completado as exigências de transferência para inatividade a pedido e que optem por permanecer em atividade.</w:t>
      </w: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r>
        <w:rPr>
          <w:rFonts w:ascii="Times New Roman" w:hAnsi="Times New Roman"/>
          <w:bCs/>
          <w:color w:val="000000"/>
          <w:sz w:val="24"/>
          <w:szCs w:val="24"/>
        </w:rPr>
        <w:t xml:space="preserve">A litigiosidade exacerbada acerca desse tema já havia sido detectada pela área do Contencioso Geral, quando foi autorizada pelo </w:t>
      </w:r>
      <w:r>
        <w:rPr>
          <w:rFonts w:ascii="Times New Roman" w:hAnsi="Times New Roman"/>
          <w:bCs/>
          <w:sz w:val="24"/>
          <w:szCs w:val="24"/>
        </w:rPr>
        <w:t>Procurador Geral</w:t>
      </w:r>
      <w:r>
        <w:rPr>
          <w:rFonts w:ascii="Times New Roman" w:hAnsi="Times New Roman"/>
          <w:bCs/>
          <w:color w:val="000000"/>
          <w:sz w:val="24"/>
          <w:szCs w:val="24"/>
        </w:rPr>
        <w:t xml:space="preserve"> do Estado a edição da Orientação Normativa nº 31, que conferiu a dispensa genérica de recursos contra decisões judiciais que reconheciam o direito dos militares à percepção do abono de permanência, desde que preenchidos os requisitos do artigo 40, § 19, da Constituição Federal.</w:t>
      </w: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r>
        <w:rPr>
          <w:rFonts w:ascii="Times New Roman" w:hAnsi="Times New Roman"/>
          <w:bCs/>
          <w:color w:val="000000"/>
          <w:sz w:val="24"/>
          <w:szCs w:val="24"/>
        </w:rPr>
        <w:t>O expediente administrativo que tratava do tema seguiu para a Casa Civil com proposta de alteração legislativa para previsão do benefício, medida ora encampada com a promulgação da referida lei.</w:t>
      </w:r>
    </w:p>
    <w:p w:rsidR="003E6588" w:rsidRDefault="003E6588">
      <w:pPr>
        <w:pStyle w:val="PargrafodaLista"/>
        <w:tabs>
          <w:tab w:val="left" w:pos="284"/>
        </w:tabs>
        <w:autoSpaceDE w:val="0"/>
        <w:autoSpaceDN w:val="0"/>
        <w:adjustRightInd w:val="0"/>
        <w:ind w:left="0" w:firstLine="1134"/>
        <w:rPr>
          <w:rFonts w:ascii="Times New Roman" w:hAnsi="Times New Roman"/>
          <w:bCs/>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b/>
          <w:bCs/>
          <w:color w:val="000000"/>
          <w:sz w:val="24"/>
          <w:szCs w:val="24"/>
        </w:rPr>
      </w:pPr>
      <w:r>
        <w:rPr>
          <w:rFonts w:ascii="Times New Roman" w:hAnsi="Times New Roman"/>
          <w:bCs/>
          <w:color w:val="000000"/>
          <w:sz w:val="24"/>
          <w:szCs w:val="24"/>
        </w:rPr>
        <w:t xml:space="preserve">Trata-se de mais uma importante medida do </w:t>
      </w:r>
      <w:r w:rsidRPr="001415DB">
        <w:rPr>
          <w:rFonts w:ascii="Times New Roman" w:hAnsi="Times New Roman"/>
          <w:bCs/>
          <w:color w:val="000000"/>
          <w:sz w:val="24"/>
          <w:szCs w:val="24"/>
        </w:rPr>
        <w:t>programa de redução da litigiosidade</w:t>
      </w:r>
      <w:r>
        <w:rPr>
          <w:rFonts w:ascii="Times New Roman" w:hAnsi="Times New Roman"/>
          <w:bCs/>
          <w:color w:val="000000"/>
          <w:sz w:val="24"/>
          <w:szCs w:val="24"/>
        </w:rPr>
        <w:t>, que vem sendo executado pela PGE, com reflexos imediatos em milhares de ações judiciais.</w:t>
      </w:r>
    </w:p>
    <w:p w:rsidR="003E6588" w:rsidRDefault="003E6588">
      <w:pPr>
        <w:pStyle w:val="PargrafodaLista"/>
        <w:tabs>
          <w:tab w:val="left" w:pos="284"/>
        </w:tabs>
        <w:autoSpaceDE w:val="0"/>
        <w:autoSpaceDN w:val="0"/>
        <w:adjustRightInd w:val="0"/>
        <w:ind w:left="1134"/>
        <w:rPr>
          <w:rFonts w:ascii="Times New Roman" w:hAnsi="Times New Roman"/>
          <w:b/>
          <w:bCs/>
          <w:color w:val="000000"/>
          <w:sz w:val="24"/>
          <w:szCs w:val="24"/>
        </w:rPr>
      </w:pPr>
    </w:p>
    <w:p w:rsidR="003E6588" w:rsidRDefault="003E6588">
      <w:pPr>
        <w:pStyle w:val="PargrafodaLista"/>
        <w:tabs>
          <w:tab w:val="left" w:pos="284"/>
        </w:tabs>
        <w:autoSpaceDE w:val="0"/>
        <w:autoSpaceDN w:val="0"/>
        <w:adjustRightInd w:val="0"/>
        <w:ind w:left="1134"/>
        <w:rPr>
          <w:rFonts w:ascii="Times New Roman" w:hAnsi="Times New Roman"/>
          <w:b/>
          <w:bCs/>
          <w:color w:val="000000"/>
          <w:sz w:val="24"/>
          <w:szCs w:val="24"/>
        </w:rPr>
      </w:pPr>
      <w:r>
        <w:rPr>
          <w:rFonts w:ascii="Times New Roman" w:hAnsi="Times New Roman"/>
          <w:b/>
          <w:bCs/>
          <w:color w:val="000000"/>
          <w:sz w:val="24"/>
          <w:szCs w:val="24"/>
        </w:rPr>
        <w:t>Orientação, integração e uniformização da forma de atuação</w:t>
      </w:r>
    </w:p>
    <w:p w:rsidR="003E6588" w:rsidRDefault="003E6588">
      <w:pPr>
        <w:pStyle w:val="PargrafodaLista"/>
        <w:tabs>
          <w:tab w:val="left" w:pos="284"/>
        </w:tabs>
        <w:autoSpaceDE w:val="0"/>
        <w:autoSpaceDN w:val="0"/>
        <w:adjustRightInd w:val="0"/>
        <w:ind w:left="1134"/>
        <w:rPr>
          <w:rFonts w:ascii="Times New Roman" w:hAnsi="Times New Roman"/>
          <w:b/>
          <w:bCs/>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Além da implantação das novas Rotinas, foram editados </w:t>
      </w:r>
      <w:r w:rsidRPr="001415DB">
        <w:rPr>
          <w:rFonts w:ascii="Times New Roman" w:hAnsi="Times New Roman"/>
          <w:color w:val="000000"/>
          <w:sz w:val="24"/>
          <w:szCs w:val="24"/>
        </w:rPr>
        <w:t>12 novos comunicados</w:t>
      </w:r>
      <w:r>
        <w:rPr>
          <w:rFonts w:ascii="Times New Roman" w:hAnsi="Times New Roman"/>
          <w:color w:val="000000"/>
          <w:sz w:val="24"/>
          <w:szCs w:val="24"/>
        </w:rPr>
        <w:t xml:space="preserve"> conferindo orientação à atuação </w:t>
      </w:r>
      <w:r>
        <w:rPr>
          <w:rFonts w:ascii="Times New Roman" w:hAnsi="Times New Roman"/>
          <w:sz w:val="24"/>
          <w:szCs w:val="24"/>
        </w:rPr>
        <w:t>dos Procuradores</w:t>
      </w:r>
      <w:r>
        <w:rPr>
          <w:rFonts w:ascii="Times New Roman" w:hAnsi="Times New Roman"/>
          <w:color w:val="000000"/>
          <w:sz w:val="24"/>
          <w:szCs w:val="24"/>
        </w:rPr>
        <w:t xml:space="preserve"> do Estado sobre os mais variados temas, evitando dúvidas quanto à forma ou ao conteúdo da linha de defesa do Estado, uniformizando a atuação institucional.</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Para buscar maior integração entre os órgãos de contencioso da PGE, realizou-se o “IV Encontro de Procuradores do Estado da Área do Contencioso Geral”, ocorrido por ocasião do 50º Curso de Atualização Jurídica - Encontro Estadual de Procuradores do Estado, oportunidade em que foram discutidos temas de interesse geral da área, tais como a exposição do panorama do Contencioso Geral, o Projeto do novo Código de Processo Civil, Execução contra a Fazenda Pública, além da palestra “Tensões entre liberdade e igualdade na democracia contemporânea”, proferida pelo filósofo Luiz Felipe Pondé.</w:t>
      </w:r>
    </w:p>
    <w:p w:rsidR="003E6588" w:rsidRDefault="003E6588">
      <w:pPr>
        <w:pStyle w:val="PargrafodaLista"/>
        <w:tabs>
          <w:tab w:val="left" w:pos="284"/>
        </w:tabs>
        <w:autoSpaceDE w:val="0"/>
        <w:autoSpaceDN w:val="0"/>
        <w:adjustRightInd w:val="0"/>
        <w:ind w:left="0"/>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Edição de </w:t>
      </w:r>
      <w:r w:rsidRPr="001415DB">
        <w:rPr>
          <w:rFonts w:ascii="Times New Roman" w:hAnsi="Times New Roman"/>
          <w:color w:val="000000"/>
          <w:sz w:val="24"/>
          <w:szCs w:val="24"/>
        </w:rPr>
        <w:t>3 novas orientações normativas</w:t>
      </w:r>
      <w:r>
        <w:rPr>
          <w:rFonts w:ascii="Times New Roman" w:hAnsi="Times New Roman"/>
          <w:color w:val="000000"/>
          <w:sz w:val="24"/>
          <w:szCs w:val="24"/>
        </w:rPr>
        <w:t xml:space="preserve"> autorizando a dispensa de interposição de recursos versando sobre diversos temas em que o Poder Judiciário já consolidou entendimento desfavorável às teses fazendárias.</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Edição da </w:t>
      </w:r>
      <w:r w:rsidRPr="001415DB">
        <w:rPr>
          <w:rFonts w:ascii="Times New Roman" w:hAnsi="Times New Roman"/>
          <w:color w:val="000000"/>
          <w:sz w:val="24"/>
          <w:szCs w:val="24"/>
        </w:rPr>
        <w:t>Resolução PGE nº 21</w:t>
      </w:r>
      <w:r w:rsidR="001415DB">
        <w:rPr>
          <w:rFonts w:ascii="Times New Roman" w:hAnsi="Times New Roman"/>
          <w:color w:val="000000"/>
          <w:sz w:val="24"/>
          <w:szCs w:val="24"/>
        </w:rPr>
        <w:t>/</w:t>
      </w:r>
      <w:r w:rsidRPr="001415DB">
        <w:rPr>
          <w:rFonts w:ascii="Times New Roman" w:hAnsi="Times New Roman"/>
          <w:color w:val="000000"/>
          <w:sz w:val="24"/>
          <w:szCs w:val="24"/>
        </w:rPr>
        <w:t>2014,</w:t>
      </w:r>
      <w:r>
        <w:rPr>
          <w:rFonts w:ascii="Times New Roman" w:hAnsi="Times New Roman"/>
          <w:color w:val="000000"/>
          <w:sz w:val="24"/>
          <w:szCs w:val="24"/>
        </w:rPr>
        <w:t xml:space="preserve"> que, considerando o grande número de audiências trabalhistas com que se defrontam os órgãos de execução da PGE, assim como a necessidade de racionalizar o serviço e evitar o gasto desnecessário de tempo e recursos públicos, autorizou a fixação do entendimento de que o Procurador do Estado responsável pelo acompanhamento da ação, sempre que entender que o não comparecimento à audiência designada não causará prejuízos ao Estado, poderá se omitir na prática de tal ato, desde que: tenha realizado o prévio protocolo da defesa; conte com a </w:t>
      </w:r>
      <w:r>
        <w:rPr>
          <w:rFonts w:ascii="Times New Roman" w:hAnsi="Times New Roman"/>
          <w:color w:val="000000"/>
          <w:sz w:val="24"/>
          <w:szCs w:val="24"/>
        </w:rPr>
        <w:lastRenderedPageBreak/>
        <w:t>anuência da sua chefia imediata; e, justifique sua omissão mediante registro na pasta de acompanhamento do processo.</w:t>
      </w:r>
    </w:p>
    <w:p w:rsidR="003E6588" w:rsidRDefault="003E6588">
      <w:pPr>
        <w:pStyle w:val="PargrafodaLista"/>
        <w:tabs>
          <w:tab w:val="left" w:pos="284"/>
        </w:tabs>
        <w:autoSpaceDE w:val="0"/>
        <w:autoSpaceDN w:val="0"/>
        <w:adjustRightInd w:val="0"/>
        <w:ind w:left="0"/>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b/>
          <w:color w:val="000000"/>
          <w:sz w:val="24"/>
          <w:szCs w:val="24"/>
        </w:rPr>
        <w:t>Implantação do novo parque de servidores de virtualização e da solução de alta disponibilidade de banco de dados</w:t>
      </w:r>
      <w:r>
        <w:rPr>
          <w:rFonts w:ascii="Times New Roman" w:hAnsi="Times New Roman"/>
          <w:color w:val="000000"/>
          <w:sz w:val="24"/>
          <w:szCs w:val="24"/>
        </w:rPr>
        <w:t>, o que propiciou substancial melhora no desempenho do sistema de controle de processos judiciais PGE.net.</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Sem essa ampliação da capacidade de processamento não seria possível acompanhar o cronograma do </w:t>
      </w:r>
      <w:r>
        <w:t>Tribunal de Justiça do Estado de São Paulo</w:t>
      </w:r>
      <w:r>
        <w:rPr>
          <w:color w:val="000000"/>
        </w:rPr>
        <w:t xml:space="preserve"> para a expansão do processo eletrônico nas comarcas do interior, especialmente os processos de execução fiscal eletrônica, cujo volume de ações é muito grande.</w:t>
      </w:r>
    </w:p>
    <w:p w:rsidR="003E6588" w:rsidRDefault="003E6588">
      <w:pPr>
        <w:ind w:firstLine="1134"/>
        <w:jc w:val="both"/>
        <w:rPr>
          <w:color w:val="000000"/>
        </w:rPr>
      </w:pPr>
    </w:p>
    <w:p w:rsidR="003E6588" w:rsidRDefault="003E6588">
      <w:pPr>
        <w:ind w:firstLine="1134"/>
        <w:jc w:val="both"/>
        <w:rPr>
          <w:color w:val="000000"/>
        </w:rPr>
      </w:pPr>
      <w:r>
        <w:rPr>
          <w:color w:val="000000"/>
        </w:rPr>
        <w:t>A melhoria do funcionamento do sistema foi atestada e aprovada por 90% dos usuários.</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Decisões Judiciais Relevantes - </w:t>
      </w:r>
      <w:r>
        <w:rPr>
          <w:color w:val="000000"/>
        </w:rPr>
        <w:t>Devem ser registradas importantes vitórias judiciais obtidas pela Procuradoria Geral do Estado, seja porque viabilizaram a concretização de políticas públicas traçadas pelo Estado, seja porque importaram em significativa economia ao erário estadual ou, ainda, evitaram graves danos à Administração Pública.</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Considerando a atuação do Contencioso Geral da PGE em processos que interessam diretamente à </w:t>
      </w:r>
      <w:r>
        <w:rPr>
          <w:b/>
          <w:color w:val="000000"/>
        </w:rPr>
        <w:t>Secretaria da Fazenda</w:t>
      </w:r>
      <w:r>
        <w:rPr>
          <w:color w:val="000000"/>
        </w:rPr>
        <w:t>, merecem registro as seguintes decisões:</w:t>
      </w:r>
    </w:p>
    <w:p w:rsidR="003E6588" w:rsidRDefault="003E6588">
      <w:pPr>
        <w:ind w:firstLine="1134"/>
        <w:jc w:val="both"/>
        <w:rPr>
          <w:color w:val="000000"/>
        </w:rPr>
      </w:pPr>
    </w:p>
    <w:p w:rsidR="003E6588" w:rsidRDefault="003E6588">
      <w:pPr>
        <w:pStyle w:val="PargrafodaLista"/>
        <w:tabs>
          <w:tab w:val="left" w:pos="0"/>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Suspensão de pagamento de precatório de valor superior a R$ 190 milhões, referente À condenação em desapropriação indireta no Parque Estadual da Serra do Mar. A decisão foi proferida em ação proposta pelo Estado para anular a condenação originária, com fundamento na falsidade de prova e na ofensa ao princípio da justa indenização. Embora o Estado tivesse obtido a liminar em primeiro grau, o TJSP revogou a decisão, que foi restabelecida pelo Superior Tribunal de Justiça.</w:t>
      </w:r>
    </w:p>
    <w:p w:rsidR="003E6588" w:rsidRDefault="003E6588">
      <w:pPr>
        <w:pStyle w:val="PargrafodaLista"/>
        <w:tabs>
          <w:tab w:val="left" w:pos="0"/>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0"/>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Suspensão da liminar que mandava aplicar o teto do</w:t>
      </w:r>
      <w:r>
        <w:rPr>
          <w:rFonts w:ascii="Times New Roman" w:hAnsi="Times New Roman"/>
          <w:color w:val="FF0000"/>
          <w:sz w:val="24"/>
          <w:szCs w:val="24"/>
        </w:rPr>
        <w:t xml:space="preserve"> </w:t>
      </w:r>
      <w:r>
        <w:rPr>
          <w:rFonts w:ascii="Times New Roman" w:hAnsi="Times New Roman"/>
          <w:sz w:val="24"/>
          <w:szCs w:val="24"/>
        </w:rPr>
        <w:t>Supremo Tribunal Federal</w:t>
      </w:r>
      <w:r>
        <w:rPr>
          <w:rFonts w:ascii="Times New Roman" w:hAnsi="Times New Roman"/>
          <w:color w:val="000000"/>
          <w:sz w:val="24"/>
          <w:szCs w:val="24"/>
        </w:rPr>
        <w:t xml:space="preserve"> a defensores públicos, obtida em agravo de instrumento interposto pelo Estado contra decisão proferida pela 13ª Vara da Fazenda Pública da Capital (proc. nº 1004415-59.2014.8.26.0053). Cuida-se de ação coletiva ajuizada pela Associação Paulista dos Defensores Públicos, que autorizava a exclusão da incidência do subteto remuneratório previsto no artigo 37, inciso XI, da Constituição Federal, em relação aos seus associados. Acolhendo os argumentos apresentados pela PGE, a desembargadora Luciana Bresciani, da 2ª Câmara de Direito Público do Tribunal de Justiça </w:t>
      </w:r>
      <w:r w:rsidR="001415DB">
        <w:rPr>
          <w:rFonts w:ascii="Times New Roman" w:hAnsi="Times New Roman"/>
          <w:color w:val="000000"/>
          <w:sz w:val="24"/>
          <w:szCs w:val="24"/>
        </w:rPr>
        <w:t xml:space="preserve">do Estado de São Paulo - </w:t>
      </w:r>
      <w:r>
        <w:rPr>
          <w:rFonts w:ascii="Times New Roman" w:hAnsi="Times New Roman"/>
          <w:color w:val="000000"/>
          <w:sz w:val="24"/>
          <w:szCs w:val="24"/>
        </w:rPr>
        <w:t>TJSP, deferiu a suspensão.</w:t>
      </w:r>
    </w:p>
    <w:p w:rsidR="003E6588" w:rsidRDefault="003E6588">
      <w:pPr>
        <w:pStyle w:val="PargrafodaLista"/>
        <w:tabs>
          <w:tab w:val="left" w:pos="0"/>
          <w:tab w:val="left" w:pos="284"/>
        </w:tabs>
        <w:ind w:left="0"/>
        <w:contextualSpacing w:val="0"/>
        <w:rPr>
          <w:rFonts w:ascii="Times New Roman" w:hAnsi="Times New Roman"/>
          <w:color w:val="000000"/>
          <w:sz w:val="24"/>
          <w:szCs w:val="24"/>
        </w:rPr>
      </w:pPr>
    </w:p>
    <w:p w:rsidR="003E6588" w:rsidRDefault="003E6588">
      <w:pPr>
        <w:pStyle w:val="PargrafodaLista"/>
        <w:tabs>
          <w:tab w:val="left" w:pos="0"/>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Sequestro de precatórios. Acolhendo entendimento reiteradamente sustentado pelo Estado, o TJSP, revendo posicionamento anterior, passou a considerar incabível o sequestro de rendas, enquanto o Supremo Tribunal Federal não decidir a modulação dos efeitos do julgamento das ADI’s 4357 e 4425, dada a vigência da Emenda Constitucional nº 62/2009. Até então, após o julgamento das referidas ADI’s, o TJSP vinha considerando inaplicável a EC 62/2009 aos precatórios expedidos antes de sua entrada em vigor e decretando sequestros sob os mais variados fundamentos. Proferida em sede </w:t>
      </w:r>
      <w:r>
        <w:rPr>
          <w:rFonts w:ascii="Times New Roman" w:hAnsi="Times New Roman"/>
          <w:color w:val="000000"/>
          <w:sz w:val="24"/>
          <w:szCs w:val="24"/>
        </w:rPr>
        <w:lastRenderedPageBreak/>
        <w:t>de mandado de segurança contra ato do presidente do Tribunal que extinguira pedido de sequestro apresentado por credor do Estado (proc. nº 0063704-36.2013.8.26.0000), a decisão, tomada por votação unânime do Órgão Especial do TJSP, não apenas confirmou a extinção como também declarou incabível o sequestro dentro do panorama jurídico atual. Com isso, além de evitar o recrudescimento da litigiosidade nessa matéria, a decisão abre a possibilidade de revisão de decisões já proferidas e livra o erário paulista de um grande passivo contingente (que, apenas no caso do Estado, já ultrapassa a cifra de R$ 2 bilhões).</w:t>
      </w:r>
    </w:p>
    <w:p w:rsidR="003E6588" w:rsidRDefault="003E6588">
      <w:pPr>
        <w:pStyle w:val="PargrafodaLista"/>
        <w:tabs>
          <w:tab w:val="left" w:pos="0"/>
          <w:tab w:val="left" w:pos="284"/>
        </w:tabs>
        <w:ind w:left="1134"/>
        <w:contextualSpacing w:val="0"/>
        <w:rPr>
          <w:rFonts w:ascii="Times New Roman" w:hAnsi="Times New Roman"/>
          <w:color w:val="000000"/>
          <w:sz w:val="24"/>
          <w:szCs w:val="24"/>
        </w:rPr>
      </w:pPr>
    </w:p>
    <w:p w:rsidR="003E6588" w:rsidRDefault="003E6588">
      <w:pPr>
        <w:pStyle w:val="PargrafodaLista"/>
        <w:tabs>
          <w:tab w:val="left" w:pos="0"/>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FEPASA - Complementação de Aposentadoria - Na Reclamação Trabalhista nº 1357-42.2011.5.15.0113, por meio da qual diversas autoras pretendiam que as suas complementações de aposentadorias e pensões fossem reajustadas, bem como que fosse determinado o pagamento de diferenças pretéritas, alegava-se que o piso salarial da categoria dos ferroviários havia sido fixado em 2,5 salários mínimos, pelo que, em virtude do disposto no art. 4º, §</w:t>
      </w:r>
      <w:r w:rsidR="001415DB">
        <w:rPr>
          <w:rFonts w:ascii="Times New Roman" w:hAnsi="Times New Roman"/>
          <w:color w:val="000000"/>
          <w:sz w:val="24"/>
          <w:szCs w:val="24"/>
        </w:rPr>
        <w:t xml:space="preserve"> </w:t>
      </w:r>
      <w:r>
        <w:rPr>
          <w:rFonts w:ascii="Times New Roman" w:hAnsi="Times New Roman"/>
          <w:color w:val="000000"/>
          <w:sz w:val="24"/>
          <w:szCs w:val="24"/>
        </w:rPr>
        <w:t>2º, da Lei nº 9.343/1996, as complementações por elas percebidas deveriam ser reajustadas na mesma proporção dos reajustes concedidos ao salário mínimo, de maneira a se preservar a diferença percentual originalmente existente entre as classes do plano de cargos e salários. Os pleitos aduzidos foram julgados improcedentes pela 5ª Vara do Trabalho de Ribeirão Preto. Adotando entendimento diverso, porém, o Tribunal Regional do Trabalho da 15ª Região reformou a aludida sentença, declarando que a majoração do piso mínimo da categoria para a Classe 702 gerou, às demais classes, o direito de reajustamento de seus proventos de complementação de aposentadoria, na mesma proporção. Em face do acórdão proferido, a Procuradoria Regional de Campinas interpôs recurso de revista. O TST acolheu a tese sustentada pela Procuradoria ao julgar improcedentes os pedidos formulados na reclamação, ressaltando que a jurisprudência da Corte Superior, em diversos precedentes, tem firmado o entendimento de que a utilização do salário mínimo como parâmetro para estabelecer o valor de diferenças de complementação de aposentadoria e pensão viola o artigo 7º, inciso IV, da Constituição Federal, ante a expressa vedação de vinculação dos proventos ao salário mínimo, e que a pretensão de diferenças de complementação de aposentadoria decorrentes da adoção do piso salarial no valor correspondente a 2,5 salários mínimos, fixados em norma coletiva, mostra-se incompatível com a disposição contida no artigo 7°, inciso IV, da Constituição Federal e na Súmula Vinculante nº 4 do STF, que vedam a vinculação dos proventos de aposentadoria e pensão ao salário mínimo.</w:t>
      </w:r>
    </w:p>
    <w:p w:rsidR="003E6588" w:rsidRDefault="003E6588">
      <w:pPr>
        <w:pStyle w:val="PargrafodaLista"/>
        <w:tabs>
          <w:tab w:val="left" w:pos="0"/>
          <w:tab w:val="left" w:pos="284"/>
        </w:tabs>
        <w:ind w:left="0"/>
        <w:contextualSpacing w:val="0"/>
        <w:rPr>
          <w:rFonts w:ascii="Times New Roman" w:hAnsi="Times New Roman"/>
          <w:color w:val="000000"/>
          <w:sz w:val="24"/>
          <w:szCs w:val="24"/>
        </w:rPr>
      </w:pPr>
    </w:p>
    <w:p w:rsidR="003E6588" w:rsidRDefault="003E6588">
      <w:pPr>
        <w:pStyle w:val="PargrafodaLista"/>
        <w:tabs>
          <w:tab w:val="left" w:pos="0"/>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Decisão do Ministro Luiz Fux, do STF, que garantiu a continuidade da aplicação da sistemática de correção monetária e dos juros previstos na Lei nº 11.960/</w:t>
      </w:r>
      <w:r w:rsidR="001415DB">
        <w:rPr>
          <w:rFonts w:ascii="Times New Roman" w:hAnsi="Times New Roman"/>
          <w:color w:val="000000"/>
          <w:sz w:val="24"/>
          <w:szCs w:val="24"/>
        </w:rPr>
        <w:t>20</w:t>
      </w:r>
      <w:r>
        <w:rPr>
          <w:rFonts w:ascii="Times New Roman" w:hAnsi="Times New Roman"/>
          <w:color w:val="000000"/>
          <w:sz w:val="24"/>
          <w:szCs w:val="24"/>
        </w:rPr>
        <w:t>09, até que ocorra a modulação dos efeitos das declarações de inconstitucionalidade proferidas nas ADIs 4.357 e 4.425.</w:t>
      </w:r>
    </w:p>
    <w:p w:rsidR="003E6588" w:rsidRDefault="003E6588">
      <w:pPr>
        <w:pStyle w:val="PargrafodaLista"/>
        <w:tabs>
          <w:tab w:val="left" w:pos="0"/>
          <w:tab w:val="left" w:pos="284"/>
        </w:tabs>
        <w:ind w:left="0"/>
        <w:contextualSpacing w:val="0"/>
        <w:rPr>
          <w:rFonts w:ascii="Times New Roman" w:hAnsi="Times New Roman"/>
          <w:color w:val="000000"/>
          <w:sz w:val="24"/>
          <w:szCs w:val="24"/>
        </w:rPr>
      </w:pPr>
    </w:p>
    <w:p w:rsidR="003E6588" w:rsidRDefault="003E6588">
      <w:pPr>
        <w:tabs>
          <w:tab w:val="left" w:pos="284"/>
        </w:tabs>
        <w:autoSpaceDE w:val="0"/>
        <w:autoSpaceDN w:val="0"/>
        <w:adjustRightInd w:val="0"/>
        <w:ind w:firstLine="1134"/>
        <w:jc w:val="both"/>
        <w:rPr>
          <w:color w:val="000000"/>
        </w:rPr>
      </w:pPr>
      <w:r>
        <w:rPr>
          <w:color w:val="000000"/>
        </w:rPr>
        <w:t xml:space="preserve">Vale destacar as decisões relevantes a respeito da </w:t>
      </w:r>
      <w:r w:rsidRPr="001415DB">
        <w:rPr>
          <w:color w:val="000000"/>
        </w:rPr>
        <w:t>Política Previdenciária</w:t>
      </w:r>
      <w:r>
        <w:rPr>
          <w:color w:val="000000"/>
        </w:rPr>
        <w:t xml:space="preserve"> do Estado de São Paulo:</w:t>
      </w:r>
    </w:p>
    <w:p w:rsidR="003E6588" w:rsidRDefault="003E6588">
      <w:pPr>
        <w:tabs>
          <w:tab w:val="left" w:pos="284"/>
        </w:tabs>
        <w:autoSpaceDE w:val="0"/>
        <w:autoSpaceDN w:val="0"/>
        <w:adjustRightInd w:val="0"/>
        <w:jc w:val="both"/>
        <w:rPr>
          <w:color w:val="000000"/>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iCs/>
          <w:color w:val="000000"/>
          <w:sz w:val="24"/>
          <w:szCs w:val="24"/>
        </w:rPr>
        <w:t>Reajuste de aposentadoria de servidores - Decisão da Ministra Rosa Weber, do STF, julgou procedente a Reclamação - RCL 14945 e cassou acórdão do TJSP que condenou a SPPREV a reajustar os benefícios previdenciários de servidores estaduais, com base no artigo 15 da Lei nº 10.887/2004, que se encontra com eficácia suspensa por decisão do STF.</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iCs/>
          <w:color w:val="000000"/>
          <w:sz w:val="24"/>
          <w:szCs w:val="24"/>
        </w:rPr>
        <w:lastRenderedPageBreak/>
        <w:t xml:space="preserve">Decisão da Presidência do TJSP, confirmada posteriormente pelo Órgão Especial dessa Corte, que suspendeu liminares concedidas em Mandados de Segurança que afastavam </w:t>
      </w:r>
      <w:r>
        <w:rPr>
          <w:rFonts w:ascii="Times New Roman" w:hAnsi="Times New Roman"/>
          <w:color w:val="000000"/>
          <w:sz w:val="24"/>
          <w:szCs w:val="24"/>
        </w:rPr>
        <w:t>a imediata aplicabilidade da L</w:t>
      </w:r>
      <w:r w:rsidR="001415DB">
        <w:rPr>
          <w:rFonts w:ascii="Times New Roman" w:hAnsi="Times New Roman"/>
          <w:color w:val="000000"/>
          <w:sz w:val="24"/>
          <w:szCs w:val="24"/>
        </w:rPr>
        <w:t xml:space="preserve">ei </w:t>
      </w:r>
      <w:r>
        <w:rPr>
          <w:rFonts w:ascii="Times New Roman" w:hAnsi="Times New Roman"/>
          <w:color w:val="000000"/>
          <w:sz w:val="24"/>
          <w:szCs w:val="24"/>
        </w:rPr>
        <w:t>C</w:t>
      </w:r>
      <w:r w:rsidR="001415DB">
        <w:rPr>
          <w:rFonts w:ascii="Times New Roman" w:hAnsi="Times New Roman"/>
          <w:color w:val="000000"/>
          <w:sz w:val="24"/>
          <w:szCs w:val="24"/>
        </w:rPr>
        <w:t>omplementar</w:t>
      </w:r>
      <w:r>
        <w:rPr>
          <w:rFonts w:ascii="Times New Roman" w:hAnsi="Times New Roman"/>
          <w:color w:val="000000"/>
          <w:sz w:val="24"/>
          <w:szCs w:val="24"/>
        </w:rPr>
        <w:t xml:space="preserve"> </w:t>
      </w:r>
      <w:r w:rsidR="001415DB">
        <w:rPr>
          <w:rFonts w:ascii="Times New Roman" w:hAnsi="Times New Roman"/>
          <w:color w:val="000000"/>
          <w:sz w:val="24"/>
          <w:szCs w:val="24"/>
        </w:rPr>
        <w:t xml:space="preserve">nº </w:t>
      </w:r>
      <w:r>
        <w:rPr>
          <w:rFonts w:ascii="Times New Roman" w:hAnsi="Times New Roman"/>
          <w:color w:val="000000"/>
          <w:sz w:val="24"/>
          <w:szCs w:val="24"/>
        </w:rPr>
        <w:t>144/</w:t>
      </w:r>
      <w:r w:rsidR="001415DB">
        <w:rPr>
          <w:rFonts w:ascii="Times New Roman" w:hAnsi="Times New Roman"/>
          <w:color w:val="000000"/>
          <w:sz w:val="24"/>
          <w:szCs w:val="24"/>
        </w:rPr>
        <w:t>20</w:t>
      </w:r>
      <w:r>
        <w:rPr>
          <w:rFonts w:ascii="Times New Roman" w:hAnsi="Times New Roman"/>
          <w:color w:val="000000"/>
          <w:sz w:val="24"/>
          <w:szCs w:val="24"/>
        </w:rPr>
        <w:t>14, que prevê a aposentadoria compulsória aos 65 anos de idade dos policiais civis e para permanência nos cargos que ocupam até os 70 anos de idade.</w:t>
      </w:r>
    </w:p>
    <w:p w:rsidR="003E6588" w:rsidRDefault="003E6588">
      <w:pPr>
        <w:pStyle w:val="PargrafodaLista"/>
        <w:tabs>
          <w:tab w:val="left" w:pos="284"/>
        </w:tabs>
        <w:autoSpaceDE w:val="0"/>
        <w:autoSpaceDN w:val="0"/>
        <w:adjustRightInd w:val="0"/>
        <w:ind w:left="1134"/>
        <w:contextualSpacing w:val="0"/>
        <w:rPr>
          <w:rFonts w:ascii="Times New Roman" w:hAnsi="Times New Roman"/>
          <w:color w:val="000000"/>
          <w:sz w:val="24"/>
          <w:szCs w:val="24"/>
        </w:rPr>
      </w:pPr>
    </w:p>
    <w:p w:rsidR="003E6588" w:rsidRDefault="003E6588">
      <w:pPr>
        <w:tabs>
          <w:tab w:val="left" w:pos="284"/>
        </w:tabs>
        <w:autoSpaceDE w:val="0"/>
        <w:autoSpaceDN w:val="0"/>
        <w:adjustRightInd w:val="0"/>
        <w:ind w:firstLine="1134"/>
        <w:jc w:val="both"/>
        <w:rPr>
          <w:color w:val="000000"/>
        </w:rPr>
      </w:pPr>
      <w:r>
        <w:rPr>
          <w:color w:val="000000"/>
        </w:rPr>
        <w:t xml:space="preserve">Entre as vitórias obtidas em processos judiciais afetos à área da </w:t>
      </w:r>
      <w:r w:rsidRPr="001415DB">
        <w:rPr>
          <w:color w:val="000000"/>
        </w:rPr>
        <w:t>Segurança Pública,</w:t>
      </w:r>
      <w:r>
        <w:rPr>
          <w:color w:val="000000"/>
        </w:rPr>
        <w:t xml:space="preserve"> destacam-se:</w:t>
      </w:r>
    </w:p>
    <w:p w:rsidR="003E6588" w:rsidRDefault="003E6588">
      <w:pPr>
        <w:tabs>
          <w:tab w:val="left" w:pos="284"/>
        </w:tabs>
        <w:autoSpaceDE w:val="0"/>
        <w:autoSpaceDN w:val="0"/>
        <w:adjustRightInd w:val="0"/>
        <w:jc w:val="both"/>
        <w:rPr>
          <w:color w:val="000000"/>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da 3ª Câmara do TJSP que suspendeu a liminar que proibia a Polícia Militar de usar balas de borracha para conter manifestantes, proferida pela 10ª Vara da Fazenda Pública da Capital, que havia proibido o uso do armamento. A Defensoria Pública de São Paulo ingressou com a ação contra o uso das balas de borracha e conseguiu a proibição em 1ª instância. Determinou-se que em 30 dias fosse elaborado plano de trabalho para atuação da Polícia Militar em protestos, seguindo as ordenações indicadas pela Defensoria Pública, sob pena de multa diária fixada em R$ 100 mil.</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Decisão da 11ª Câmara de Direito Público do TJSP que reformou sentença proferida em </w:t>
      </w:r>
      <w:r>
        <w:rPr>
          <w:rFonts w:ascii="Times New Roman" w:hAnsi="Times New Roman"/>
          <w:sz w:val="24"/>
          <w:szCs w:val="24"/>
        </w:rPr>
        <w:t>Ação Civil Pública movida pelo Ministério Público que obrigava a desativação da carceragem do 8º Distrito Policial de Guarulhos.</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da 2ª Câmara Extraordinária de Direito Público do TJSP que reformou sentença que condenou o Estado a pagar indenização a repórter fotográfico, atingido por bala de borracha durante manifestação na Avenida Paulista, que trabalhava e foi ferido durante a cobertura jornalística do movimento.</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do TJSP em agravo de instrumento que suspendeu decisão do Juízo da 2ª Vara de Jandira, em execução de título judicial movida pelo Ministério Público Estadual, que havia recebido apelação interposta de sentença de rejeição dos embargos à execução apenas no efeito devolutivo, com implicações na gestão da cadeia pública de Jandira, que já se encontrava desativada.</w:t>
      </w:r>
    </w:p>
    <w:p w:rsidR="003E6588" w:rsidRDefault="003E6588">
      <w:pPr>
        <w:pStyle w:val="PargrafodaLista"/>
        <w:tabs>
          <w:tab w:val="left" w:pos="284"/>
        </w:tabs>
        <w:autoSpaceDE w:val="0"/>
        <w:autoSpaceDN w:val="0"/>
        <w:adjustRightInd w:val="0"/>
        <w:ind w:left="0"/>
        <w:contextualSpacing w:val="0"/>
        <w:rPr>
          <w:rFonts w:ascii="Times New Roman" w:hAnsi="Times New Roman"/>
          <w:color w:val="000000"/>
          <w:sz w:val="24"/>
          <w:szCs w:val="24"/>
        </w:rPr>
      </w:pPr>
    </w:p>
    <w:p w:rsidR="003E6588" w:rsidRDefault="003E6588">
      <w:pPr>
        <w:tabs>
          <w:tab w:val="left" w:pos="284"/>
          <w:tab w:val="left" w:pos="1350"/>
        </w:tabs>
        <w:adjustRightInd w:val="0"/>
        <w:ind w:firstLine="1134"/>
        <w:jc w:val="both"/>
        <w:rPr>
          <w:color w:val="000000"/>
        </w:rPr>
      </w:pPr>
      <w:r>
        <w:rPr>
          <w:color w:val="000000"/>
        </w:rPr>
        <w:t xml:space="preserve">A Procuradoria Geral do Estado obteve importantes vitórias judiciais diretamente relacionadas à </w:t>
      </w:r>
      <w:r w:rsidRPr="001415DB">
        <w:rPr>
          <w:color w:val="000000"/>
        </w:rPr>
        <w:t>Política Penitenciária</w:t>
      </w:r>
      <w:r>
        <w:rPr>
          <w:color w:val="000000"/>
        </w:rPr>
        <w:t xml:space="preserve"> do Estado:</w:t>
      </w:r>
    </w:p>
    <w:p w:rsidR="003E6588" w:rsidRDefault="003E6588">
      <w:pPr>
        <w:tabs>
          <w:tab w:val="left" w:pos="284"/>
          <w:tab w:val="left" w:pos="1350"/>
        </w:tabs>
        <w:adjustRightInd w:val="0"/>
        <w:ind w:firstLine="1134"/>
        <w:jc w:val="both"/>
        <w:rPr>
          <w:color w:val="000000"/>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do Órgão Especial do TJSP que manteve a suspensão de liminar que garantia banho aquecido a presos, ao negar provimento a agravo regimental interposto pela Defensoria Pública do Estado.</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Suspensão, pela Presidência do TJSP, da liminar que fixava equipes médicas em presídio de Ribeirão Preto, concedida em ação civil pública ajuizada pela Defensoria Pública, para determinar ao Estado a imediata instalação de equipes mínimas de saúde na Penitenciária Masculina de Ribeirão Preto, nos termos da Portaria Interministerial nº 1.777/2003 ou, subsidiariamente, nos termos da Deliberação da Comissão de Intergestores Bipartite do Estado de São Paulo nº 62/2012. A liminar foi concedida parcialmente, determinando que o Estado instale, no prazo de 45 dias, duas equipes médicas.</w:t>
      </w:r>
    </w:p>
    <w:p w:rsidR="003E6588" w:rsidRDefault="003E6588">
      <w:pPr>
        <w:pStyle w:val="PargrafodaLista"/>
        <w:tabs>
          <w:tab w:val="left" w:pos="284"/>
        </w:tabs>
        <w:autoSpaceDE w:val="0"/>
        <w:autoSpaceDN w:val="0"/>
        <w:adjustRightInd w:val="0"/>
        <w:ind w:left="0"/>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lastRenderedPageBreak/>
        <w:t>- Decisão do TJSP, em apelação que manteve a sentença de improcedência em ação civil pública ajuizada pelo MP, que objetivava a transferência das presas recolhidas na cadeia de Ubatuba.</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Suspensão, pela Presidência do TJSP, de tutela antecipada concedida em ação civil pública movida pela Defensoria Pública Estadual, que havia obstado o encaminhamento e o recebimento de presos no CDP de Americana, até que fosse reduzida a população carcerária e atingida a capacidade máxima da unidade.</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Suspensão, pela Presidência do TJSP, de tutela antecipada concedida em ação civil pública movida pelo MP, que determinou, no prazo de trinta dias, o fornecimento dos meios para viabilizar a visita de um clínico geral e um psiquiatra, por oito horas diárias, em cinco unidades prisionais em Tremembé.</w:t>
      </w:r>
    </w:p>
    <w:p w:rsidR="003E6588" w:rsidRDefault="003E6588">
      <w:pPr>
        <w:pStyle w:val="PargrafodaLista"/>
        <w:tabs>
          <w:tab w:val="left" w:pos="284"/>
        </w:tabs>
        <w:autoSpaceDE w:val="0"/>
        <w:autoSpaceDN w:val="0"/>
        <w:adjustRightInd w:val="0"/>
        <w:ind w:left="0"/>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Sentença que julgou improcedente ação civil pública ajuizada pelo MP, que questionava aspectos do licenciamento ambiental da unidade de Santa Cruz da Conceição, confirmando o entendimento de que o licenciamento ambiental foi juridicamente adequado para o empreendimento em questão.</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Julgamento da 13ª Câmara de Direito Público que manteve a decisão que negou liminar para manutenção de equipes mínimas de saúde na Penitenciária I de Avaré, em ação civil pública movida pela Defensoria Pública.</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Suspensão, pela Presidência do TJSP, de liminar que determinava a implantação de duas equipes de saúde no </w:t>
      </w:r>
      <w:r>
        <w:rPr>
          <w:rFonts w:ascii="Times New Roman" w:hAnsi="Times New Roman"/>
          <w:bCs/>
          <w:color w:val="000000"/>
          <w:sz w:val="24"/>
          <w:szCs w:val="24"/>
        </w:rPr>
        <w:t>CDP de Serra Azul, em ação civil pública movida pela Defensoria Pública</w:t>
      </w:r>
      <w:r>
        <w:rPr>
          <w:rFonts w:ascii="Times New Roman" w:hAnsi="Times New Roman"/>
          <w:color w:val="000000"/>
          <w:sz w:val="24"/>
          <w:szCs w:val="24"/>
        </w:rPr>
        <w:t>.</w:t>
      </w:r>
    </w:p>
    <w:p w:rsidR="003E6588" w:rsidRDefault="003E6588">
      <w:pPr>
        <w:pStyle w:val="PargrafodaLista"/>
        <w:tabs>
          <w:tab w:val="left" w:pos="284"/>
        </w:tabs>
        <w:autoSpaceDE w:val="0"/>
        <w:autoSpaceDN w:val="0"/>
        <w:adjustRightInd w:val="0"/>
        <w:ind w:left="0"/>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color w:val="000000"/>
          <w:sz w:val="24"/>
          <w:szCs w:val="24"/>
        </w:rPr>
      </w:pPr>
      <w:r>
        <w:rPr>
          <w:rFonts w:ascii="Times New Roman" w:hAnsi="Times New Roman"/>
          <w:color w:val="000000"/>
          <w:sz w:val="24"/>
          <w:szCs w:val="24"/>
        </w:rPr>
        <w:t xml:space="preserve">Atuação judicial da Procuradoria Geral do Estado em defesa dos projetos existentes no âmbito da </w:t>
      </w:r>
      <w:r w:rsidRPr="001415DB">
        <w:rPr>
          <w:rFonts w:ascii="Times New Roman" w:hAnsi="Times New Roman"/>
          <w:color w:val="000000"/>
          <w:sz w:val="24"/>
          <w:szCs w:val="24"/>
        </w:rPr>
        <w:t>Secretaria da Educação</w:t>
      </w:r>
      <w:r>
        <w:rPr>
          <w:rFonts w:ascii="Times New Roman" w:hAnsi="Times New Roman"/>
          <w:color w:val="000000"/>
          <w:sz w:val="24"/>
          <w:szCs w:val="24"/>
        </w:rPr>
        <w:t>:</w:t>
      </w:r>
    </w:p>
    <w:p w:rsidR="003E6588" w:rsidRDefault="003E6588">
      <w:pPr>
        <w:pStyle w:val="PargrafodaLista"/>
        <w:tabs>
          <w:tab w:val="left" w:pos="284"/>
        </w:tabs>
        <w:autoSpaceDE w:val="0"/>
        <w:autoSpaceDN w:val="0"/>
        <w:adjustRightInd w:val="0"/>
        <w:ind w:left="0"/>
        <w:rPr>
          <w:rFonts w:ascii="Times New Roman" w:hAnsi="Times New Roman"/>
          <w:color w:val="000000"/>
          <w:sz w:val="24"/>
          <w:szCs w:val="24"/>
        </w:rPr>
      </w:pPr>
    </w:p>
    <w:p w:rsidR="003E6588" w:rsidRDefault="003E6588">
      <w:pPr>
        <w:pStyle w:val="PargrafodaLista"/>
        <w:tabs>
          <w:tab w:val="left" w:pos="284"/>
          <w:tab w:val="left" w:pos="567"/>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do TJSP em apelação que reformou sentença proferida em Ação Civil Pública que havia determinado a realização de obras para proporcionar acessibilidade de todas as 56 escolas estaduais da região de Bauru, bem como o transporte para cada aluno portador de deficiência.</w:t>
      </w:r>
    </w:p>
    <w:p w:rsidR="003E6588" w:rsidRDefault="003E6588">
      <w:pPr>
        <w:pStyle w:val="PargrafodaLista"/>
        <w:tabs>
          <w:tab w:val="left" w:pos="284"/>
          <w:tab w:val="left" w:pos="567"/>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 w:val="left" w:pos="567"/>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do TJSP que cassou liminar concedida em Ação Civil Pública que determinava a remoção de alunos de escola estadual de Itapevi, para reforma geral, incluindo acessibilidade.</w:t>
      </w:r>
    </w:p>
    <w:p w:rsidR="003E6588" w:rsidRDefault="003E6588">
      <w:pPr>
        <w:pStyle w:val="PargrafodaLista"/>
        <w:tabs>
          <w:tab w:val="left" w:pos="284"/>
          <w:tab w:val="left" w:pos="567"/>
        </w:tabs>
        <w:autoSpaceDE w:val="0"/>
        <w:autoSpaceDN w:val="0"/>
        <w:adjustRightInd w:val="0"/>
        <w:ind w:left="0"/>
        <w:contextualSpacing w:val="0"/>
        <w:rPr>
          <w:rFonts w:ascii="Times New Roman" w:hAnsi="Times New Roman"/>
          <w:color w:val="000000"/>
          <w:sz w:val="24"/>
          <w:szCs w:val="24"/>
        </w:rPr>
      </w:pPr>
    </w:p>
    <w:p w:rsidR="003E6588" w:rsidRDefault="003E6588">
      <w:pPr>
        <w:tabs>
          <w:tab w:val="left" w:pos="284"/>
        </w:tabs>
        <w:ind w:firstLine="1134"/>
        <w:jc w:val="both"/>
        <w:rPr>
          <w:color w:val="000000"/>
        </w:rPr>
      </w:pPr>
      <w:r>
        <w:rPr>
          <w:color w:val="000000"/>
        </w:rPr>
        <w:t xml:space="preserve">Na área da </w:t>
      </w:r>
      <w:r w:rsidRPr="001415DB">
        <w:rPr>
          <w:color w:val="000000"/>
        </w:rPr>
        <w:t>Saúde Pública</w:t>
      </w:r>
      <w:r>
        <w:rPr>
          <w:color w:val="000000"/>
        </w:rPr>
        <w:t>, mencionam-se as seguintes vitórias:</w:t>
      </w:r>
    </w:p>
    <w:p w:rsidR="003E6588" w:rsidRDefault="003E6588">
      <w:pPr>
        <w:tabs>
          <w:tab w:val="left" w:pos="284"/>
        </w:tabs>
        <w:ind w:firstLine="1134"/>
        <w:jc w:val="both"/>
        <w:rPr>
          <w:color w:val="000000"/>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Autistas - Liminar obtida em medida cautelar preparatória de ação civil pública ajuizada pelo Estado, que garantiu a continuidade de tratamento de saúde a 110 autistas. Os pacientes já estavam sendo atendidos por entidade conveniada com a Secretaria da Saúde, que recebeu recursos públicos para o tratamento dos pacientes até 21 de março de 2014, data prevista para o encerramento do ajuste. Em que pese a entidade conveniada ter manifestado por diversas vezes a intenção em renovar o referido convênio, notificou, subitamente, o Secretário da Saúde informando que não renovaria o ajuste, </w:t>
      </w:r>
      <w:r>
        <w:rPr>
          <w:rFonts w:ascii="Times New Roman" w:hAnsi="Times New Roman"/>
          <w:color w:val="000000"/>
          <w:sz w:val="24"/>
          <w:szCs w:val="24"/>
        </w:rPr>
        <w:lastRenderedPageBreak/>
        <w:t>deixando de cumprir o prazo final previsto no convênio e comprometendo a continuidade na prestação desse serviço público essencial.</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Restrição cadastral da Fundação Pró-Sangue. O ministro do Supremo Tribunal Federal, Luiz Fux julgou procedente a Ação Cautelar </w:t>
      </w:r>
      <w:r w:rsidR="001415DB">
        <w:rPr>
          <w:rFonts w:ascii="Times New Roman" w:hAnsi="Times New Roman"/>
          <w:color w:val="000000"/>
          <w:sz w:val="24"/>
          <w:szCs w:val="24"/>
        </w:rPr>
        <w:t xml:space="preserve">- </w:t>
      </w:r>
      <w:r>
        <w:rPr>
          <w:rFonts w:ascii="Times New Roman" w:hAnsi="Times New Roman"/>
          <w:color w:val="000000"/>
          <w:sz w:val="24"/>
          <w:szCs w:val="24"/>
        </w:rPr>
        <w:t xml:space="preserve">AC 3048 e afastou a inscrição do Estado de São Paulo no Cadastro Único de Exigências para Transferências Voluntárias (Cauc) e no Sistema Integrado de Administração Financeira </w:t>
      </w:r>
      <w:r w:rsidR="001415DB">
        <w:rPr>
          <w:rFonts w:ascii="Times New Roman" w:hAnsi="Times New Roman"/>
          <w:color w:val="000000"/>
          <w:sz w:val="24"/>
          <w:szCs w:val="24"/>
        </w:rPr>
        <w:t xml:space="preserve">- </w:t>
      </w:r>
      <w:r>
        <w:rPr>
          <w:rFonts w:ascii="Times New Roman" w:hAnsi="Times New Roman"/>
          <w:color w:val="000000"/>
          <w:sz w:val="24"/>
          <w:szCs w:val="24"/>
        </w:rPr>
        <w:t xml:space="preserve">Siafi, feita pela União </w:t>
      </w:r>
      <w:r>
        <w:rPr>
          <w:rFonts w:ascii="Times New Roman" w:hAnsi="Times New Roman"/>
          <w:sz w:val="24"/>
          <w:szCs w:val="24"/>
        </w:rPr>
        <w:t>em razão</w:t>
      </w:r>
      <w:r>
        <w:rPr>
          <w:rFonts w:ascii="Times New Roman" w:hAnsi="Times New Roman"/>
          <w:color w:val="000000"/>
          <w:sz w:val="24"/>
          <w:szCs w:val="24"/>
        </w:rPr>
        <w:t xml:space="preserve"> da suposta inadimplência de entidade da administração indireta estadual, a Fundação Pró-Sangue.</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Importação do medicamento “Lenalidomide - marca REVLIMID”. O TJSP afastou determinação da 1ª Vara da Fazenda Pública de São Bernardo do Campo que obrigava o depósito de R$ 124 mil, referente a seis meses de importação desse medicamento. Em razão do procedimento moroso de aquisição junto à importadora, o magistrado determinou o depósito da quantia de R$ 124 mil (equivalente a seis meses de importação) para fins de aquisição direta pelo paciente no prazo de 10 dias, sob pena de multa diária de R$ 5 mil.</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O Estado de São Paulo ajuizou ações civis públicas em face de três grandes laboratórios farmacêuticos internacionais (Genzyme, Biomarin e Shire), visando o ressarcimento de despesas com a aquisição, em cumprimento a decisões judiciais, de medicamentos fabricados por tais laboratórios e utilizados em participantes de pesquisas clínicas por eles realizadas. Com o intuito de obter o registro de tais medicamentos na Agência Nacional da Vigilância Sanitária (Anvisa) e, por conseguinte, a ampla possibilidade de comercialização no Brasil, esses laboratórios ministraram a pacientes portadores de determinadas doenças raras os medicamentos por eles fabricados, sem custo algum inicialmente, no intuito de comprovarem, por meio desta experimentação, a eficácia de tais novos medicamentos. Porém, após o resultado positivo, ao paciente não era mais disponibilizado o medicamento de forma gratuita, e, em razão do seu altíssimo custo, ele era induzido a buscar o fornecimento junto ao Poder Público. Os pedidos em todas as demandas contemplam o ressarcimento material dos gastos do Estado, bem como danos morais coletivos, além da obrigação de fornecimento, pelos réus, dos medicamentos a serem entregues aos pacientes que já ajuizaram ação judicial e a outros que futuramente o fizerem. O valor a ser ressarcido </w:t>
      </w:r>
      <w:r>
        <w:rPr>
          <w:rFonts w:ascii="Times New Roman" w:hAnsi="Times New Roman"/>
          <w:sz w:val="24"/>
          <w:szCs w:val="24"/>
        </w:rPr>
        <w:t>alcança</w:t>
      </w:r>
      <w:r>
        <w:rPr>
          <w:rFonts w:ascii="Times New Roman" w:hAnsi="Times New Roman"/>
          <w:color w:val="000000"/>
          <w:sz w:val="24"/>
          <w:szCs w:val="24"/>
        </w:rPr>
        <w:t xml:space="preserve"> R$ 243.454.996,27 (somatória das três demandas).</w:t>
      </w:r>
    </w:p>
    <w:p w:rsidR="003E6588" w:rsidRDefault="003E6588">
      <w:pPr>
        <w:pStyle w:val="PargrafodaLista"/>
        <w:tabs>
          <w:tab w:val="left" w:pos="284"/>
        </w:tabs>
        <w:ind w:left="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da 7ª Câmara de Direito Público do TJSP que denegou a segurança concedida para fornecimento do medicamento LOMITAPIDA - sem registro na ANVISA, na Comarca de Taubaté.</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do TJSP que cassou liminar que obrigava o fornecimento do medicamento SOFOSVUBIR, sem registro na ANVISA, concedida em ação movida na Comarca da Capital.</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do TJSP em apelação que reformou sentença proferida em habilitação em Ação Civil Pública ajuizada por autista, desobrigando da imposição de ressarcimento das mensalidades escolares, diante de indicação de escola conveniada pelo Estado.</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lastRenderedPageBreak/>
        <w:t>- Decisão do Colégio Recursal de Jales que cassou liminar que obrigava o Estado a fornecer aparelho de ginástica (simulador de caminhada).</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Sentença que julgou improcedente ação civil pública ajuizada pela Associação Brasileira de Familiares, Amigos e Portadores de Transtornos Afetivos - ABRATA visando o fornecimento de novos medicamentos a pacientes portadores da doença de Transtorno Bipolar, presentes e futuros, de todo Estado de São Paulo.</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tabs>
          <w:tab w:val="left" w:pos="284"/>
        </w:tabs>
        <w:ind w:firstLine="1134"/>
        <w:jc w:val="both"/>
        <w:rPr>
          <w:color w:val="000000"/>
        </w:rPr>
      </w:pPr>
      <w:r>
        <w:rPr>
          <w:color w:val="000000"/>
        </w:rPr>
        <w:t xml:space="preserve">No que toca a processos envolvendo as </w:t>
      </w:r>
      <w:r w:rsidRPr="001415DB">
        <w:rPr>
          <w:color w:val="000000"/>
        </w:rPr>
        <w:t>Políticas Públicas na Área dos Transportes</w:t>
      </w:r>
      <w:r>
        <w:rPr>
          <w:color w:val="000000"/>
        </w:rPr>
        <w:t>, a Procuradoria Geral do Estado logrou obter importantes vitórias:</w:t>
      </w:r>
    </w:p>
    <w:p w:rsidR="003E6588" w:rsidRDefault="003E6588">
      <w:pPr>
        <w:tabs>
          <w:tab w:val="left" w:pos="284"/>
        </w:tabs>
        <w:jc w:val="both"/>
        <w:rPr>
          <w:color w:val="000000"/>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Cobrança do </w:t>
      </w:r>
      <w:r w:rsidRPr="001415DB">
        <w:rPr>
          <w:rFonts w:ascii="Times New Roman" w:hAnsi="Times New Roman"/>
          <w:color w:val="000000"/>
          <w:sz w:val="24"/>
          <w:szCs w:val="24"/>
        </w:rPr>
        <w:t>Eixo Suspenso</w:t>
      </w:r>
      <w:r>
        <w:rPr>
          <w:rFonts w:ascii="Times New Roman" w:hAnsi="Times New Roman"/>
          <w:color w:val="000000"/>
          <w:sz w:val="24"/>
          <w:szCs w:val="24"/>
        </w:rPr>
        <w:t xml:space="preserve"> nos pedágios das rodovias - Vitória em julgamento no Superior Tribunal de Justiça, em duas ações movidas por 10 concessionárias que pleiteavam ressarcimento de prejuízo pela não cobrança de pedágio para os eixos suspensos. A vitória significou uma economia de R$ 13,5 bilhões e evitará um repasse aos usuários de aumento da ordem de 40% nas tarifas de pedágio. Inicialmente, o julgamento no STJ havia sido desfavorável ao Estado e à ARTESP. Todavia, a turma julgadora acolheu os embargos de declaração interpostos pela PGE para modificar o julgamento, de modo favorável ao Poder Público.</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Foram suspensas diversas liminares que permitiam </w:t>
      </w:r>
      <w:r w:rsidRPr="001415DB">
        <w:rPr>
          <w:rFonts w:ascii="Times New Roman" w:hAnsi="Times New Roman"/>
          <w:color w:val="000000"/>
          <w:sz w:val="24"/>
          <w:szCs w:val="24"/>
        </w:rPr>
        <w:t>aumento da tarifa de pedágio</w:t>
      </w:r>
      <w:r>
        <w:rPr>
          <w:rFonts w:ascii="Times New Roman" w:hAnsi="Times New Roman"/>
          <w:color w:val="000000"/>
          <w:sz w:val="24"/>
          <w:szCs w:val="24"/>
        </w:rPr>
        <w:t xml:space="preserve">. As concessionárias pretendiam aumento com base na inflação medida pelo Índice Nacional de Preços ao Consumidor Amplo - IPCA, de 6,37%, valor superior ao reajuste anual autorizado pela </w:t>
      </w:r>
      <w:r>
        <w:rPr>
          <w:rFonts w:ascii="Times New Roman" w:hAnsi="Times New Roman"/>
          <w:sz w:val="24"/>
          <w:szCs w:val="24"/>
        </w:rPr>
        <w:t>ARTESP.</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Decisão do Órgão Especial do TJSP que julgou procedente Ação Direta de Inconstitucionalidade ajuizada pelo Governador do Estado, declarando a inconstitucionalidade da legislação municipal de Cubatão (artigo 1º da Lei nº 1.894/1990 e artigo 1º do Decreto nº 10.048/2013), que, ao restringir o horário de funcionamento dos </w:t>
      </w:r>
      <w:r w:rsidRPr="001415DB">
        <w:rPr>
          <w:rFonts w:ascii="Times New Roman" w:hAnsi="Times New Roman"/>
          <w:color w:val="000000"/>
          <w:sz w:val="24"/>
          <w:szCs w:val="24"/>
        </w:rPr>
        <w:t>pátios reguladores de estacionamentos para caminhões que se dirigiam ao Porto de Santos,</w:t>
      </w:r>
      <w:r>
        <w:rPr>
          <w:rFonts w:ascii="Times New Roman" w:hAnsi="Times New Roman"/>
          <w:color w:val="000000"/>
          <w:sz w:val="24"/>
          <w:szCs w:val="24"/>
        </w:rPr>
        <w:t xml:space="preserve"> causou verdadeiro caos no Sistema Anchieta-Imigrantes, com infindáveis congestionamentos.</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Radares - Revogação de liminar pelo Juízo da 14ª Vara da Fazenda Pública da Capital, em Mandado de Segurança que paralisava a licitação do DER para </w:t>
      </w:r>
      <w:r w:rsidRPr="009836FF">
        <w:rPr>
          <w:rFonts w:ascii="Times New Roman" w:hAnsi="Times New Roman"/>
          <w:color w:val="000000"/>
          <w:sz w:val="24"/>
          <w:szCs w:val="24"/>
        </w:rPr>
        <w:t>contratação de empresa para prestação de serviços técnicos especializados para apoio no controle do trânsito</w:t>
      </w:r>
      <w:r>
        <w:rPr>
          <w:rFonts w:ascii="Times New Roman" w:hAnsi="Times New Roman"/>
          <w:color w:val="000000"/>
          <w:sz w:val="24"/>
          <w:szCs w:val="24"/>
        </w:rPr>
        <w:t>, por meio da utilização de equipamentos e sistemas que de forma integrada executem, simultaneamente, o monitoramento, registro e parametrização de imagens e dados dos fluxos de veículos, o cálculo do tempo médio de deslocamento de veículos, geração de dados estatísticos, implantação de infraestrutura de comunicação de dados e imagens, além do fornecimento de sistema de informações e orientações aos usuários das rodovias, em tempo real e de forma centralizada, nas rodovias sob responsabilidade do DER.</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Decisão proferida pela 12ª Câmara de Direito Público do TJSP, que </w:t>
      </w:r>
      <w:r w:rsidRPr="009836FF">
        <w:rPr>
          <w:rFonts w:ascii="Times New Roman" w:hAnsi="Times New Roman"/>
          <w:bCs/>
          <w:color w:val="000000"/>
          <w:sz w:val="24"/>
          <w:szCs w:val="24"/>
        </w:rPr>
        <w:t>suspendeu liminar</w:t>
      </w:r>
      <w:r>
        <w:rPr>
          <w:rFonts w:ascii="Times New Roman" w:hAnsi="Times New Roman"/>
          <w:color w:val="000000"/>
          <w:sz w:val="24"/>
          <w:szCs w:val="24"/>
        </w:rPr>
        <w:t xml:space="preserve"> concedida em ação movida pela São Paulo Transporte S/A, que obrigava a Polícia Militar a manter a circulação e tráfego de ônibus nas vias da Capital, especialmente nos corredores e faixas exclusivas, e fixava multa diária de R$ 50 mil, em caso de descumprimento.</w:t>
      </w: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lastRenderedPageBreak/>
        <w:t>- Acórdão do TJSP que julgou improcedente ação rescisória ajuizada por Elektro - Eletricidade e Serviços S/A contra o DER, Centrovias, SPVIAS, Rodovia das Colinas, Renovias, Intervias, Ecovias e DERSA, que envolvia a cobrança pela utilização da faixa de domínio das concessionárias de energia elétrica.</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Rodoanel - Liminar concedida no agravo de instrumento interposto pelo DER contra decisão do juízo de primeiro grau que deferiu o levantamento de mais de R$ 65 milhões na ação de desapropriação ajuizada em face de Fernando Luiz Nabuco de Abreu, referente ao Rodoanel Trecho Norte, com ordem de devolução da quantia levantada, redução dos honorários do perito e nomeação de novo perito.</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Ajuizamento de ações anulatórias de termos aditivos relacionados a contratos de concessão de rodovias paulistas que ensejaram prorrogação, baseados em cálculos equivocados, conforme atestado pela FIPE.</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tabs>
          <w:tab w:val="left" w:pos="284"/>
        </w:tabs>
        <w:autoSpaceDE w:val="0"/>
        <w:autoSpaceDN w:val="0"/>
        <w:adjustRightInd w:val="0"/>
        <w:ind w:firstLine="1134"/>
        <w:jc w:val="both"/>
        <w:rPr>
          <w:color w:val="000000"/>
        </w:rPr>
      </w:pPr>
      <w:r>
        <w:rPr>
          <w:color w:val="000000"/>
        </w:rPr>
        <w:t xml:space="preserve">Nas questões referentes ao </w:t>
      </w:r>
      <w:r w:rsidRPr="009836FF">
        <w:rPr>
          <w:color w:val="000000"/>
        </w:rPr>
        <w:t>Meio Ambiente</w:t>
      </w:r>
      <w:r>
        <w:rPr>
          <w:color w:val="000000"/>
        </w:rPr>
        <w:t>, o Contencioso Geral da PGE destaca as seguintes ações e vitórias judiciais:</w:t>
      </w:r>
    </w:p>
    <w:p w:rsidR="003E6588" w:rsidRDefault="003E6588">
      <w:pPr>
        <w:tabs>
          <w:tab w:val="left" w:pos="284"/>
        </w:tabs>
        <w:autoSpaceDE w:val="0"/>
        <w:autoSpaceDN w:val="0"/>
        <w:adjustRightInd w:val="0"/>
        <w:jc w:val="both"/>
        <w:rPr>
          <w:color w:val="000000"/>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9836FF">
        <w:rPr>
          <w:rFonts w:ascii="Times New Roman" w:hAnsi="Times New Roman"/>
          <w:color w:val="000000"/>
          <w:sz w:val="24"/>
          <w:szCs w:val="24"/>
        </w:rPr>
        <w:t>Reversão de condenação milionária</w:t>
      </w:r>
      <w:r>
        <w:rPr>
          <w:rFonts w:ascii="Times New Roman" w:hAnsi="Times New Roman"/>
          <w:color w:val="000000"/>
          <w:sz w:val="24"/>
          <w:szCs w:val="24"/>
        </w:rPr>
        <w:t xml:space="preserve"> em desapropriação na Serra do Mar, junto ao 4º Grupo de Câmaras de Direito Público do TJSP, em ação rescisória proposta pelo Estado contra a petrolífera COMPANHIA PETROQUÍMICA BRASILEIRA COPEBRÁS, relativa a área situada nas encostas da Serra do Mar em Cubatão, abrangida pelo Parque Estadual da Serra do Mar. Tratou-se, originariamente, de ação de indenização por suposta desapropriação indireta - por apossamento administrativo - em que a COPEBRÁS pretendeu ser indenizada por ser proprietária de área no Município de Cubatão, em que se encontrava seu estabelecimento industrial (na base da área), situado no km 62 da Via Cubatão-Piaçaguera (atual Rodovia Cônego Domênico Rangoni). Com a rejeição total da postulação indenizatória, o Estado deixará de desembolsar cerca de R$ 200 milhões de reais.</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favorável do TJSP em Ação Direta de Inconstitucionalidade ajuizada pelo MP em face da lei estadual que criou o Mosaico de Unidades de Conservação Juréia Itatins, reorganizando o território da antiga Estação Ecológica Juréia Itatins. A ação foi julgada improcedente pelo Órgão Especial do TJSP, estando pendente de julgamento recurso extraordinário interposto pelo MP.</w:t>
      </w:r>
    </w:p>
    <w:p w:rsidR="003E6588" w:rsidRDefault="003E6588">
      <w:pPr>
        <w:pStyle w:val="PargrafodaLista"/>
        <w:tabs>
          <w:tab w:val="left" w:pos="284"/>
        </w:tabs>
        <w:autoSpaceDE w:val="0"/>
        <w:autoSpaceDN w:val="0"/>
        <w:adjustRightInd w:val="0"/>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Acordo feito em ação de desapropriação indireta a respeito de área inserida no Parque Estadual da Serra do Mar. A ação encontrava-se em fase de execução. O valor pretendido pela autora era de 1,5 bilhão de reais. O acordo foi feito por 280 milhões de reais.</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Decisão que reconsiderou liminar concedida em Ação Civil Pública ajuizada pela Defensoria Pública, que paralisava a criação de nova Unidade de Conservação da Natureza - Parque Estadual do Taquari, por supostos problemas relacionados ao licenciamento ambiental.</w:t>
      </w: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contextualSpacing w:val="0"/>
        <w:rPr>
          <w:rFonts w:ascii="Times New Roman" w:hAnsi="Times New Roman"/>
          <w:color w:val="000000"/>
          <w:sz w:val="24"/>
          <w:szCs w:val="24"/>
        </w:rPr>
      </w:pPr>
      <w:r>
        <w:rPr>
          <w:rFonts w:ascii="Times New Roman" w:hAnsi="Times New Roman"/>
          <w:color w:val="000000"/>
          <w:sz w:val="24"/>
          <w:szCs w:val="24"/>
        </w:rPr>
        <w:t>- Caso Rio Turvo - Decisão do STJ que suspendeu a exigibilidade de precatório até decisão final da ação ajuizada pelo Estado para desconstituir o julgado que gerou referido débito.</w:t>
      </w:r>
    </w:p>
    <w:p w:rsidR="003E6588" w:rsidRDefault="003E6588">
      <w:pPr>
        <w:tabs>
          <w:tab w:val="left" w:pos="284"/>
        </w:tabs>
        <w:ind w:firstLine="1134"/>
        <w:jc w:val="both"/>
        <w:rPr>
          <w:color w:val="000000"/>
        </w:rPr>
      </w:pPr>
      <w:r>
        <w:rPr>
          <w:color w:val="000000"/>
        </w:rPr>
        <w:lastRenderedPageBreak/>
        <w:t xml:space="preserve">No que diz respeito à </w:t>
      </w:r>
      <w:r w:rsidRPr="009836FF">
        <w:rPr>
          <w:color w:val="000000"/>
        </w:rPr>
        <w:t>Política de Saneamento e Gestão dos Recursos Hídricos</w:t>
      </w:r>
      <w:r>
        <w:rPr>
          <w:color w:val="000000"/>
        </w:rPr>
        <w:t>, vale destacar:</w:t>
      </w:r>
    </w:p>
    <w:p w:rsidR="003E6588" w:rsidRDefault="003E6588">
      <w:pPr>
        <w:tabs>
          <w:tab w:val="left" w:pos="284"/>
        </w:tabs>
        <w:ind w:firstLine="1134"/>
        <w:jc w:val="both"/>
        <w:rPr>
          <w:color w:val="000000"/>
        </w:rPr>
      </w:pPr>
    </w:p>
    <w:p w:rsidR="003E6588" w:rsidRDefault="003E6588">
      <w:pPr>
        <w:pStyle w:val="PargrafodaLista"/>
        <w:tabs>
          <w:tab w:val="center"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Sistema Cantareira - Suspensão, pelo TRF -3, da liminar que determinava </w:t>
      </w:r>
      <w:r w:rsidRPr="009836FF">
        <w:rPr>
          <w:rFonts w:ascii="Times New Roman" w:hAnsi="Times New Roman"/>
          <w:color w:val="000000"/>
          <w:sz w:val="24"/>
          <w:szCs w:val="24"/>
        </w:rPr>
        <w:t>revisão da vazão do Sistema Cantareira.</w:t>
      </w:r>
      <w:r>
        <w:rPr>
          <w:rFonts w:ascii="Times New Roman" w:hAnsi="Times New Roman"/>
          <w:color w:val="000000"/>
          <w:sz w:val="24"/>
          <w:szCs w:val="24"/>
        </w:rPr>
        <w:t xml:space="preserve"> O presidente do Tribunal Regional Federal da 3ª Região (TRF-3) determinou a suspensão da tutela antecipada que havia sido concedida pelo juízo da 3ª Vara Federal de Piracicaba, a qual obrigava a revisão, pela Agência Nacional de Águas - ANA e pelo Departamento de Águas e Energia Elétrica do Estado de São Paulo - DAEE, da vazão de retirada do Sistema Cantareira.</w:t>
      </w:r>
    </w:p>
    <w:p w:rsidR="003E6588" w:rsidRDefault="003E6588">
      <w:pPr>
        <w:pStyle w:val="PargrafodaLista"/>
        <w:tabs>
          <w:tab w:val="center" w:pos="284"/>
        </w:tabs>
        <w:ind w:left="0" w:firstLine="1134"/>
        <w:rPr>
          <w:rFonts w:ascii="Times New Roman" w:hAnsi="Times New Roman"/>
          <w:color w:val="000000"/>
          <w:sz w:val="24"/>
          <w:szCs w:val="24"/>
        </w:rPr>
      </w:pPr>
    </w:p>
    <w:p w:rsidR="003E6588" w:rsidRDefault="003E6588">
      <w:pPr>
        <w:pStyle w:val="PargrafodaLista"/>
        <w:tabs>
          <w:tab w:val="center"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Piscinões - Decisão do TJSP em agravo de instrumento contra decisão de primeiro grau que concedeu liminar à agravada para suspender licitação para serviços de limpeza e manutenção de piscinões, por considerar que a modalidade de pregão não poderia ser aplicada em serviços de tal complexidade.  Foi concedido efeito suspensivo, autorizando a continuidade do certame e da respectiva contratação.</w:t>
      </w:r>
    </w:p>
    <w:p w:rsidR="003E6588" w:rsidRDefault="003E6588">
      <w:pPr>
        <w:pStyle w:val="PargrafodaLista"/>
        <w:ind w:firstLine="1134"/>
        <w:rPr>
          <w:rFonts w:ascii="Times New Roman" w:hAnsi="Times New Roman"/>
          <w:color w:val="000000"/>
          <w:sz w:val="24"/>
          <w:szCs w:val="24"/>
        </w:rPr>
      </w:pPr>
    </w:p>
    <w:p w:rsidR="003E6588" w:rsidRDefault="003E6588">
      <w:pPr>
        <w:pStyle w:val="PargrafodaLista"/>
        <w:tabs>
          <w:tab w:val="center" w:pos="284"/>
        </w:tabs>
        <w:ind w:left="0" w:firstLine="1134"/>
        <w:rPr>
          <w:rFonts w:ascii="Times New Roman" w:hAnsi="Times New Roman"/>
          <w:color w:val="000000"/>
          <w:sz w:val="24"/>
          <w:szCs w:val="24"/>
        </w:rPr>
      </w:pPr>
      <w:r>
        <w:rPr>
          <w:rFonts w:ascii="Times New Roman" w:hAnsi="Times New Roman"/>
          <w:color w:val="000000"/>
          <w:sz w:val="24"/>
          <w:szCs w:val="24"/>
        </w:rPr>
        <w:t xml:space="preserve">No que toca à gestão do </w:t>
      </w:r>
      <w:r w:rsidRPr="009836FF">
        <w:rPr>
          <w:rFonts w:ascii="Times New Roman" w:hAnsi="Times New Roman"/>
          <w:color w:val="000000"/>
          <w:sz w:val="24"/>
          <w:szCs w:val="24"/>
        </w:rPr>
        <w:t>Patrimônio Imobiliário e Regularização Fundiária</w:t>
      </w:r>
      <w:r>
        <w:rPr>
          <w:rFonts w:ascii="Times New Roman" w:hAnsi="Times New Roman"/>
          <w:color w:val="000000"/>
          <w:sz w:val="24"/>
          <w:szCs w:val="24"/>
        </w:rPr>
        <w:t>, vale relatar os seguintes feitos:</w:t>
      </w:r>
    </w:p>
    <w:p w:rsidR="003E6588" w:rsidRDefault="003E6588">
      <w:pPr>
        <w:pStyle w:val="PargrafodaLista"/>
        <w:tabs>
          <w:tab w:val="center" w:pos="284"/>
        </w:tabs>
        <w:ind w:left="0" w:firstLine="1134"/>
        <w:rPr>
          <w:rFonts w:ascii="Times New Roman" w:hAnsi="Times New Roman"/>
          <w:color w:val="000000"/>
          <w:sz w:val="24"/>
          <w:szCs w:val="24"/>
        </w:rPr>
      </w:pPr>
    </w:p>
    <w:p w:rsidR="003E6588" w:rsidRDefault="003E6588">
      <w:pPr>
        <w:ind w:firstLine="1134"/>
        <w:jc w:val="both"/>
        <w:rPr>
          <w:color w:val="000000"/>
        </w:rPr>
      </w:pPr>
      <w:r>
        <w:t>- Mais de duas mil desapropriações (judiciais e amigáveis) para viabilizar a construção do empreendimento Rodoanel - Trecho Norte</w:t>
      </w:r>
      <w:r>
        <w:rPr>
          <w:color w:val="000000"/>
        </w:rPr>
        <w:t>;</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 Decisão da Presidência do TJSP, que suspendeu tutela antecipada concedida em ação civil pública movida pela Defensoria Pública contra o Estado, capaz de obstar o andamento de relevantes projetos relativos ao programa de Parcerias Público-Privadas - </w:t>
      </w:r>
      <w:r>
        <w:t>PPP</w:t>
      </w:r>
      <w:r>
        <w:rPr>
          <w:color w:val="000000"/>
        </w:rPr>
        <w:t>, pois paralisava as concorrências públicas designadas para alienação de 60 imóveis estaduais, localizados no Bairro do Brooklin e do Campo Belo, e impedia a obtenção de vultosos recursos, necessários à integralização do capital social da Companhia Paulista de Parcerias - CPP. Referida decisão foi confirmada pelo Órgão Especial do TJSP, no julgamento do agravo regimental interposto pela Defensoria Pública.</w:t>
      </w:r>
    </w:p>
    <w:p w:rsidR="003E6588" w:rsidRDefault="003E6588">
      <w:pPr>
        <w:ind w:firstLine="1134"/>
        <w:jc w:val="both"/>
      </w:pPr>
    </w:p>
    <w:p w:rsidR="003E6588" w:rsidRPr="009836FF" w:rsidRDefault="003E6588">
      <w:pPr>
        <w:ind w:firstLine="1134"/>
        <w:jc w:val="both"/>
      </w:pPr>
      <w:r>
        <w:t>- Acórdão do TJSP que, em sede de apelação, confirmou a sentença de procedência da ação discriminatória referente ao 10º Perímetro de Capão Bonito, preservando os interesses do Estado e</w:t>
      </w:r>
      <w:r>
        <w:rPr>
          <w:color w:val="000000"/>
        </w:rPr>
        <w:t>m área de 33.000 hectares.</w:t>
      </w:r>
    </w:p>
    <w:p w:rsidR="003E6588" w:rsidRPr="009836FF" w:rsidRDefault="003E6588">
      <w:pPr>
        <w:ind w:left="1134"/>
        <w:jc w:val="both"/>
      </w:pPr>
    </w:p>
    <w:p w:rsidR="003E6588" w:rsidRDefault="003E6588">
      <w:pPr>
        <w:ind w:firstLine="1134"/>
        <w:jc w:val="both"/>
        <w:rPr>
          <w:color w:val="000000"/>
        </w:rPr>
      </w:pPr>
      <w:r>
        <w:rPr>
          <w:color w:val="000000"/>
        </w:rPr>
        <w:t xml:space="preserve">Merece destaque, na área de </w:t>
      </w:r>
      <w:r w:rsidRPr="009836FF">
        <w:rPr>
          <w:color w:val="000000"/>
        </w:rPr>
        <w:t>Gestão Pública - Recursos Humanos:</w:t>
      </w:r>
    </w:p>
    <w:p w:rsidR="003E6588" w:rsidRDefault="003E6588">
      <w:pPr>
        <w:ind w:firstLine="1134"/>
        <w:jc w:val="both"/>
        <w:rPr>
          <w:color w:val="000000"/>
        </w:rPr>
      </w:pPr>
    </w:p>
    <w:p w:rsidR="003E6588" w:rsidRDefault="003E6588">
      <w:pPr>
        <w:ind w:firstLine="1134"/>
        <w:jc w:val="both"/>
        <w:rPr>
          <w:color w:val="000000"/>
        </w:rPr>
      </w:pPr>
      <w:r>
        <w:rPr>
          <w:b/>
          <w:color w:val="000000"/>
        </w:rPr>
        <w:t xml:space="preserve">- </w:t>
      </w:r>
      <w:r w:rsidRPr="009836FF">
        <w:rPr>
          <w:color w:val="000000"/>
        </w:rPr>
        <w:t xml:space="preserve">Greve de agentes penitenciários </w:t>
      </w:r>
      <w:r>
        <w:rPr>
          <w:color w:val="000000"/>
        </w:rPr>
        <w:t xml:space="preserve">- A PGE obteve liminar em medida cautelar contra os três principais sindicatos que representam a categoria (Sindicato dos Agentes de Segurança Penitenciária do Estado de São Paulo - Sindasp; Sindicato dos Funcionários do Sistema Prisional do Estado de São Paulo - Sifuspesp; e Sindicato dos Servidores Públicos do Sistema Penitenciário Paulista - Sindcop), que determinou às referidas entidades sindicais que se abstivessem de praticar ou incentivar a prática por terceiros de qualquer ato destinado a impedir o ingresso ou saída das unidades prisionais do Estado de São Paulo de quem quer que por lei ou em virtude das atividades que desempenha esteja autorizado a fazê-lo, especialmente a saída ou entrada de veículos destinados à transferência, entrega ou transporte </w:t>
      </w:r>
      <w:r>
        <w:rPr>
          <w:color w:val="000000"/>
        </w:rPr>
        <w:lastRenderedPageBreak/>
        <w:t>de detentos; e de praticar atos que obstem ou dificultem o pleno exercício dos direitos da população carcerária, em especial o direito de visitas, o trabalho</w:t>
      </w:r>
      <w:r>
        <w:t>, o estudo e o direito de assistência em geral, prestado por advogados, profissionais da saúde, entre outros. Foi fixada multa de R$ 100 mil para cada dia de descumprimento em cada unidade prisional da requerente. Na esfera extrajudicial, em sede de mediação, a PGE traçou estratégia conjunta com o Ministério Público do Trabalho da 2ª Região, que culminou com a realização de reunião, em</w:t>
      </w:r>
      <w:r>
        <w:rPr>
          <w:b/>
        </w:rPr>
        <w:t xml:space="preserve"> </w:t>
      </w:r>
      <w:r>
        <w:t>que tal órgão sugeriu a suspensão da greve por 48 horas para retomada das negociações</w:t>
      </w:r>
      <w:r>
        <w:rPr>
          <w:color w:val="000000"/>
        </w:rPr>
        <w:t>. A proposta foi acolhida nas assembleias realizadas pela categoria, que veio a encerrar a paralisação.</w:t>
      </w:r>
    </w:p>
    <w:p w:rsidR="003E6588" w:rsidRDefault="003E6588">
      <w:pPr>
        <w:ind w:left="1134"/>
        <w:jc w:val="both"/>
        <w:rPr>
          <w:b/>
          <w:color w:val="000000"/>
        </w:rPr>
      </w:pPr>
    </w:p>
    <w:p w:rsidR="003E6588" w:rsidRDefault="003E6588">
      <w:pPr>
        <w:pStyle w:val="Ttulo4"/>
        <w:tabs>
          <w:tab w:val="left" w:pos="284"/>
        </w:tabs>
        <w:spacing w:before="0" w:after="0"/>
        <w:ind w:firstLine="1134"/>
        <w:jc w:val="both"/>
        <w:rPr>
          <w:b w:val="0"/>
          <w:color w:val="000000"/>
          <w:sz w:val="24"/>
          <w:szCs w:val="24"/>
          <w:lang w:val="pt-BR"/>
        </w:rPr>
      </w:pPr>
      <w:r>
        <w:rPr>
          <w:color w:val="000000"/>
          <w:sz w:val="24"/>
          <w:szCs w:val="24"/>
          <w:lang w:val="pt-BR"/>
        </w:rPr>
        <w:t xml:space="preserve">- </w:t>
      </w:r>
      <w:r w:rsidRPr="009836FF">
        <w:rPr>
          <w:b w:val="0"/>
          <w:color w:val="000000"/>
          <w:sz w:val="24"/>
          <w:szCs w:val="24"/>
          <w:lang w:val="pt-BR"/>
        </w:rPr>
        <w:t>Concurso dos Agentes Fiscais de Renda</w:t>
      </w:r>
      <w:r>
        <w:rPr>
          <w:color w:val="000000"/>
          <w:sz w:val="24"/>
          <w:szCs w:val="24"/>
          <w:lang w:val="pt-BR"/>
        </w:rPr>
        <w:t xml:space="preserve"> </w:t>
      </w:r>
      <w:r>
        <w:rPr>
          <w:b w:val="0"/>
          <w:color w:val="000000"/>
          <w:sz w:val="24"/>
          <w:szCs w:val="24"/>
          <w:lang w:val="pt-BR"/>
        </w:rPr>
        <w:t>- Decisão do STJ que extinguiu mandado de segurança impetrado pela Associação dos Concursados Aprovados no Concurso de Agente Fiscal de Rendas do Estado de São Paulo - ACAFRESP, evitando a nomeação de candidatos aprovados em concurso realizado no ano de 1986, para preenchimento de cargos de Agente Fiscal de Rendas do Estado.</w:t>
      </w:r>
    </w:p>
    <w:p w:rsidR="003E6588" w:rsidRDefault="003E6588">
      <w:pPr>
        <w:ind w:firstLine="1134"/>
        <w:rPr>
          <w:lang w:eastAsia="en-US"/>
        </w:rPr>
      </w:pPr>
    </w:p>
    <w:p w:rsidR="003E6588" w:rsidRDefault="003E6588">
      <w:pPr>
        <w:pStyle w:val="Ttulo4"/>
        <w:tabs>
          <w:tab w:val="left" w:pos="284"/>
        </w:tabs>
        <w:spacing w:before="0" w:after="0"/>
        <w:ind w:firstLine="1134"/>
        <w:jc w:val="both"/>
        <w:rPr>
          <w:b w:val="0"/>
          <w:color w:val="000000"/>
          <w:sz w:val="24"/>
          <w:szCs w:val="24"/>
          <w:lang w:val="pt-BR"/>
        </w:rPr>
      </w:pPr>
      <w:r>
        <w:rPr>
          <w:b w:val="0"/>
          <w:color w:val="000000"/>
          <w:sz w:val="24"/>
          <w:szCs w:val="24"/>
          <w:lang w:val="pt-BR"/>
        </w:rPr>
        <w:t>- Sentença que negou mandado de segurança impetrado por 48 médicos que pretendiam pontuação adicional no processo seletivo de residência médica da Secretaria da Saúde, em razão de sua participação no PROVAB.</w:t>
      </w:r>
    </w:p>
    <w:p w:rsidR="003E6588" w:rsidRDefault="003E6588">
      <w:pPr>
        <w:ind w:firstLine="1134"/>
        <w:rPr>
          <w:lang w:eastAsia="en-US"/>
        </w:rPr>
      </w:pPr>
    </w:p>
    <w:p w:rsidR="003E6588" w:rsidRDefault="003E6588">
      <w:pPr>
        <w:pStyle w:val="Ttulo4"/>
        <w:tabs>
          <w:tab w:val="left" w:pos="284"/>
        </w:tabs>
        <w:spacing w:before="0" w:after="0"/>
        <w:ind w:firstLine="1134"/>
        <w:jc w:val="both"/>
        <w:rPr>
          <w:b w:val="0"/>
          <w:color w:val="000000"/>
          <w:sz w:val="24"/>
          <w:szCs w:val="24"/>
          <w:lang w:val="pt-BR"/>
        </w:rPr>
      </w:pPr>
      <w:r>
        <w:rPr>
          <w:b w:val="0"/>
          <w:color w:val="000000"/>
          <w:sz w:val="24"/>
          <w:szCs w:val="24"/>
          <w:lang w:val="pt-BR"/>
        </w:rPr>
        <w:t>- Reconsideração da decisão liminar que, em mandado de segurança impetrado por candidato que se dizia prejudicado, paralisava a totalidade do concurso para ingresso nos quadros do DETRAN/SP, possibilitando a rápida retomada do certame.</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Dentre as vitórias judiciais em processos que versam sobre assuntos afetos à </w:t>
      </w:r>
      <w:r w:rsidRPr="009836FF">
        <w:rPr>
          <w:color w:val="000000"/>
        </w:rPr>
        <w:t>Justiça e Defesa da Cidadania,</w:t>
      </w:r>
      <w:r>
        <w:rPr>
          <w:color w:val="000000"/>
        </w:rPr>
        <w:t xml:space="preserve"> merecem destaque:</w:t>
      </w:r>
    </w:p>
    <w:p w:rsidR="003E6588" w:rsidRDefault="003E6588">
      <w:pPr>
        <w:ind w:firstLine="1134"/>
        <w:jc w:val="both"/>
        <w:rPr>
          <w:color w:val="000000"/>
        </w:rPr>
      </w:pPr>
    </w:p>
    <w:p w:rsidR="003E6588" w:rsidRDefault="003E6588">
      <w:pPr>
        <w:pStyle w:val="PargrafodaLista"/>
        <w:tabs>
          <w:tab w:val="center"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Gratuidade no transporte coletivo aos idosos. Atuação da PGE junto ao STF que assegurou a declaração de constitucionalidade da Lei nº 12.277/2006, a qual assegurava gratuidade no transporte coletivo intermunicipal aos maiores de 65 anos. A norma garantia o direito à gratuidade reservando uma vaga por veículo para idosos com renda igual ou inferior a dois salários mínimos. Vale assinalar que pouco antes do referido julgamento, entretanto, a </w:t>
      </w:r>
      <w:r>
        <w:rPr>
          <w:rFonts w:ascii="Times New Roman" w:hAnsi="Times New Roman"/>
          <w:sz w:val="24"/>
          <w:szCs w:val="24"/>
        </w:rPr>
        <w:t>mencionada lei</w:t>
      </w:r>
      <w:r>
        <w:rPr>
          <w:rFonts w:ascii="Times New Roman" w:hAnsi="Times New Roman"/>
          <w:color w:val="000000"/>
          <w:sz w:val="24"/>
          <w:szCs w:val="24"/>
        </w:rPr>
        <w:t xml:space="preserve"> havia sido revogada pela Lei nº 15.179/2013, sendo certo que esta garante aos maiores de 60 anos gratuidade no serviço intermunicipal de transporte coletivo de passageiros de característica rodoviária convencional. A constitucionalidade declarada pelo STF, porém, ratifica o direito à gratuidade concedida pelo Estado.</w:t>
      </w:r>
    </w:p>
    <w:p w:rsidR="003E6588" w:rsidRDefault="003E6588">
      <w:pPr>
        <w:pStyle w:val="PargrafodaLista"/>
        <w:tabs>
          <w:tab w:val="center" w:pos="284"/>
        </w:tabs>
        <w:ind w:left="0" w:firstLine="1134"/>
        <w:contextualSpacing w:val="0"/>
        <w:rPr>
          <w:rFonts w:ascii="Times New Roman" w:hAnsi="Times New Roman"/>
          <w:color w:val="000000"/>
          <w:sz w:val="24"/>
          <w:szCs w:val="24"/>
        </w:rPr>
      </w:pPr>
    </w:p>
    <w:p w:rsidR="003E6588" w:rsidRDefault="003E6588">
      <w:pPr>
        <w:pStyle w:val="PargrafodaLista"/>
        <w:tabs>
          <w:tab w:val="center"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t xml:space="preserve">- Perícias do IMESC - Acórdão do TJSP que julgou extinta sem julgamento de mérito </w:t>
      </w:r>
      <w:r>
        <w:rPr>
          <w:rFonts w:ascii="Times New Roman" w:hAnsi="Times New Roman"/>
          <w:sz w:val="24"/>
          <w:szCs w:val="24"/>
        </w:rPr>
        <w:t>aç</w:t>
      </w:r>
      <w:r>
        <w:rPr>
          <w:rFonts w:ascii="Times New Roman" w:hAnsi="Times New Roman"/>
          <w:color w:val="000000"/>
          <w:sz w:val="24"/>
          <w:szCs w:val="24"/>
        </w:rPr>
        <w:t>ão civil pública ajuizada pelo MP em face do IMESC e do Estado de São Paulo, em decorrência dos alegados atrasos na realização de perícias médico-legais requisitadas, prejudicando o andamento de processos. O TJSP reformou a sentença de procedência proferida em primeira instância, sob o fundamento de que a pretensão envolve matéria orçamentária e dotação específica, razão pela qual não cabe ao Poder Judiciário prover eventual omissão, sob pena de ofensa ao princípio de separação de poderes.</w:t>
      </w:r>
    </w:p>
    <w:p w:rsidR="003E6588" w:rsidRDefault="003E6588">
      <w:pPr>
        <w:pStyle w:val="PargrafodaLista"/>
        <w:ind w:firstLine="1134"/>
        <w:rPr>
          <w:rFonts w:ascii="Times New Roman" w:hAnsi="Times New Roman"/>
          <w:color w:val="000000"/>
          <w:sz w:val="24"/>
          <w:szCs w:val="24"/>
        </w:rPr>
      </w:pPr>
    </w:p>
    <w:p w:rsidR="003E6588" w:rsidRDefault="003E6588">
      <w:pPr>
        <w:pStyle w:val="PargrafodaLista"/>
        <w:tabs>
          <w:tab w:val="center" w:pos="284"/>
        </w:tabs>
        <w:ind w:left="0" w:firstLine="1134"/>
        <w:contextualSpacing w:val="0"/>
        <w:rPr>
          <w:rFonts w:ascii="Times New Roman" w:hAnsi="Times New Roman"/>
          <w:color w:val="000000"/>
          <w:sz w:val="24"/>
          <w:szCs w:val="24"/>
        </w:rPr>
      </w:pPr>
      <w:r>
        <w:rPr>
          <w:rFonts w:ascii="Times New Roman" w:hAnsi="Times New Roman"/>
          <w:color w:val="000000"/>
          <w:sz w:val="24"/>
          <w:szCs w:val="24"/>
        </w:rPr>
        <w:lastRenderedPageBreak/>
        <w:t>- Decisão liminar deferida pelo do STF que suspendeu decisão do CNJ, que determinava ao TJSP a edição de ato normativo estabelecendo regras e critérios objetivos e impessoais para as designações dos Juízes Auxiliares na Capital.</w:t>
      </w:r>
    </w:p>
    <w:p w:rsidR="003E6588" w:rsidRDefault="003E6588">
      <w:pPr>
        <w:pStyle w:val="PargrafodaLista"/>
        <w:ind w:firstLine="1134"/>
        <w:rPr>
          <w:rFonts w:ascii="Times New Roman" w:hAnsi="Times New Roman"/>
          <w:color w:val="000000"/>
          <w:sz w:val="24"/>
          <w:szCs w:val="24"/>
        </w:rPr>
      </w:pPr>
    </w:p>
    <w:p w:rsidR="003E6588" w:rsidRDefault="003E6588">
      <w:pPr>
        <w:pStyle w:val="PargrafodaLista"/>
        <w:tabs>
          <w:tab w:val="left" w:pos="284"/>
        </w:tabs>
        <w:autoSpaceDE w:val="0"/>
        <w:autoSpaceDN w:val="0"/>
        <w:adjustRightInd w:val="0"/>
        <w:ind w:left="0" w:firstLine="1134"/>
        <w:rPr>
          <w:rFonts w:ascii="Times New Roman" w:hAnsi="Times New Roman"/>
          <w:color w:val="000000"/>
          <w:sz w:val="24"/>
          <w:szCs w:val="24"/>
        </w:rPr>
      </w:pPr>
      <w:r>
        <w:rPr>
          <w:rFonts w:ascii="Times New Roman" w:hAnsi="Times New Roman"/>
          <w:b/>
          <w:color w:val="000000"/>
          <w:sz w:val="24"/>
          <w:szCs w:val="24"/>
        </w:rPr>
        <w:t xml:space="preserve">Área do Contencioso Tributário-Fiscal - </w:t>
      </w:r>
      <w:r>
        <w:rPr>
          <w:rFonts w:ascii="Times New Roman" w:hAnsi="Times New Roman"/>
          <w:color w:val="000000"/>
          <w:sz w:val="24"/>
          <w:szCs w:val="24"/>
        </w:rPr>
        <w:t xml:space="preserve">A Área do Contencioso Tributário-Fiscal vem concentrando esforços no saneamento do estoque da dívida ativa, nas atividades de incremento da arrecadação tributária e no mapeamento das ações judiciais de natureza tributário-fiscal em que a Fazenda Pública Estadual seja parte ou </w:t>
      </w:r>
      <w:r>
        <w:rPr>
          <w:rFonts w:ascii="Times New Roman" w:hAnsi="Times New Roman"/>
          <w:sz w:val="24"/>
          <w:szCs w:val="24"/>
        </w:rPr>
        <w:t>tenha</w:t>
      </w:r>
      <w:r>
        <w:rPr>
          <w:rFonts w:ascii="Times New Roman" w:hAnsi="Times New Roman"/>
          <w:color w:val="000000"/>
          <w:sz w:val="24"/>
          <w:szCs w:val="24"/>
        </w:rPr>
        <w:t xml:space="preserve"> interesse, de modo a permitir uniformidade de atuação dos Procuradores junto aos Tribunais locais e superiores, com vistas à formação e consolidação de jurisprudência favorável aos interesses do Estado de São Paulo.</w:t>
      </w:r>
    </w:p>
    <w:p w:rsidR="003E6588" w:rsidRDefault="003E6588">
      <w:pPr>
        <w:tabs>
          <w:tab w:val="left" w:pos="284"/>
        </w:tabs>
        <w:autoSpaceDE w:val="0"/>
        <w:autoSpaceDN w:val="0"/>
        <w:adjustRightInd w:val="0"/>
        <w:ind w:firstLine="1134"/>
        <w:jc w:val="both"/>
        <w:rPr>
          <w:color w:val="000000"/>
        </w:rPr>
      </w:pPr>
    </w:p>
    <w:p w:rsidR="003E6588" w:rsidRDefault="003E6588">
      <w:pPr>
        <w:tabs>
          <w:tab w:val="left" w:pos="284"/>
        </w:tabs>
        <w:autoSpaceDE w:val="0"/>
        <w:autoSpaceDN w:val="0"/>
        <w:adjustRightInd w:val="0"/>
        <w:ind w:firstLine="1134"/>
        <w:jc w:val="both"/>
        <w:rPr>
          <w:color w:val="000000"/>
        </w:rPr>
      </w:pPr>
      <w:r>
        <w:rPr>
          <w:color w:val="000000"/>
        </w:rPr>
        <w:t>Além da sua Assessoria, integram a Área do Contencioso Tributário-Fiscal as Coordenadorias da Dívida Ativa, de Recuperação de Ativos e de Leilões Judiciais, donde destacamos as seguintes atividades:</w:t>
      </w:r>
    </w:p>
    <w:p w:rsidR="003E6588" w:rsidRDefault="003E6588">
      <w:pPr>
        <w:tabs>
          <w:tab w:val="left" w:pos="284"/>
        </w:tabs>
        <w:autoSpaceDE w:val="0"/>
        <w:autoSpaceDN w:val="0"/>
        <w:adjustRightInd w:val="0"/>
        <w:ind w:firstLine="1134"/>
        <w:jc w:val="both"/>
        <w:rPr>
          <w:color w:val="000000"/>
        </w:rPr>
      </w:pPr>
    </w:p>
    <w:p w:rsidR="003E6588" w:rsidRDefault="003E6588">
      <w:pPr>
        <w:tabs>
          <w:tab w:val="left" w:pos="284"/>
        </w:tabs>
        <w:autoSpaceDE w:val="0"/>
        <w:autoSpaceDN w:val="0"/>
        <w:adjustRightInd w:val="0"/>
        <w:ind w:firstLine="1134"/>
        <w:jc w:val="both"/>
        <w:rPr>
          <w:color w:val="000000"/>
        </w:rPr>
      </w:pPr>
      <w:r>
        <w:rPr>
          <w:color w:val="000000"/>
        </w:rPr>
        <w:t xml:space="preserve">A </w:t>
      </w:r>
      <w:r w:rsidRPr="009836FF">
        <w:rPr>
          <w:color w:val="000000"/>
        </w:rPr>
        <w:t>Coordenadoria da Dívida Ativa, responsável</w:t>
      </w:r>
      <w:r>
        <w:rPr>
          <w:color w:val="000000"/>
        </w:rPr>
        <w:t xml:space="preserve"> pelo controle e gestão da dívida ativa, implementou várias medidas, valendo destacar:</w:t>
      </w:r>
    </w:p>
    <w:p w:rsidR="003E6588" w:rsidRDefault="003E6588">
      <w:pPr>
        <w:tabs>
          <w:tab w:val="left" w:pos="284"/>
        </w:tabs>
        <w:autoSpaceDE w:val="0"/>
        <w:autoSpaceDN w:val="0"/>
        <w:adjustRightInd w:val="0"/>
        <w:ind w:firstLine="1134"/>
        <w:jc w:val="both"/>
        <w:rPr>
          <w:color w:val="000000"/>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9836FF">
        <w:rPr>
          <w:rFonts w:ascii="Times New Roman" w:hAnsi="Times New Roman"/>
          <w:color w:val="000000"/>
          <w:sz w:val="24"/>
          <w:szCs w:val="24"/>
        </w:rPr>
        <w:t>Saneamento da dívida ativa,</w:t>
      </w:r>
      <w:r>
        <w:rPr>
          <w:rFonts w:ascii="Times New Roman" w:hAnsi="Times New Roman"/>
          <w:color w:val="000000"/>
          <w:sz w:val="24"/>
          <w:szCs w:val="24"/>
        </w:rPr>
        <w:t xml:space="preserve"> prosseguindo na fase II, etapa “a” desse projeto, com a análise dos 1007 maiores débitos decorrentes de autuação fiscal de ICMS, envolvendo a cifra de R$ 31 bilhões. Os demais 16</w:t>
      </w:r>
      <w:r>
        <w:rPr>
          <w:rFonts w:ascii="Times New Roman" w:hAnsi="Times New Roman"/>
          <w:color w:val="FF0000"/>
          <w:sz w:val="24"/>
          <w:szCs w:val="24"/>
        </w:rPr>
        <w:t>.</w:t>
      </w:r>
      <w:r>
        <w:rPr>
          <w:rFonts w:ascii="Times New Roman" w:hAnsi="Times New Roman"/>
          <w:color w:val="000000"/>
          <w:sz w:val="24"/>
          <w:szCs w:val="24"/>
        </w:rPr>
        <w:t>000 débitos, (todos de valor superior a R$ 1 milhão), estão sendo analisados de forma pulverizada pela SEFAZ e PGE. Este trabalho tem como finalidade sanear a base de dados, principalmente dos maiores débitos encaminhados pela Secretaria da Fazenda em junho/2007 (legado), conferindo maior verossimilhança ao estoque da dívida ativa do Estado.</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9836FF">
        <w:rPr>
          <w:rFonts w:ascii="Times New Roman" w:hAnsi="Times New Roman"/>
          <w:color w:val="000000"/>
          <w:sz w:val="24"/>
          <w:szCs w:val="24"/>
        </w:rPr>
        <w:t>Segmentação do estoque da dívida ativa</w:t>
      </w:r>
      <w:r>
        <w:rPr>
          <w:rFonts w:ascii="Times New Roman" w:hAnsi="Times New Roman"/>
          <w:color w:val="000000"/>
          <w:sz w:val="24"/>
          <w:szCs w:val="24"/>
        </w:rPr>
        <w:t>, com a classificação de cada débito conforme a situação do contribuinte (falido, cassado, não encontrado, suspenso, ativo, inativo) e seu efetivo faturamento, de modo a identificar os débitos de maior possibilidade de recuperação e estabelecer metas de arrecadação. Por meio desse estudo, realizado em parceria com a SEFAZ, foi indicada provisão de créditos de difícil recuperação correspondente a aproximadamente R$ 144,2 bilhões, representando cerca de 52% do total da dívida ativa (R$ 276.038.399.003,30).</w:t>
      </w:r>
    </w:p>
    <w:p w:rsidR="003E6588" w:rsidRDefault="003E6588">
      <w:pPr>
        <w:pStyle w:val="PargrafodaLista"/>
        <w:tabs>
          <w:tab w:val="left" w:pos="284"/>
        </w:tabs>
        <w:ind w:left="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9836FF">
        <w:rPr>
          <w:rFonts w:ascii="Times New Roman" w:hAnsi="Times New Roman"/>
          <w:color w:val="000000"/>
          <w:sz w:val="24"/>
          <w:szCs w:val="24"/>
        </w:rPr>
        <w:t>Execução fiscal eletrônica</w:t>
      </w:r>
      <w:r>
        <w:rPr>
          <w:rFonts w:ascii="Times New Roman" w:hAnsi="Times New Roman"/>
          <w:color w:val="000000"/>
          <w:sz w:val="24"/>
          <w:szCs w:val="24"/>
        </w:rPr>
        <w:t xml:space="preserve">, implantada na Comarca da Capital e em algumas Comarcas do interior, conforme cronograma do Tribunal de Justiça, sendo o ajuizamento e a tramitação processual (citação, intimações, manifestações, penhora de ativos, penhora de imóveis e veículos), realizados eletronicamente. Tal sistema, além de trazer maior economicidade, pois dispensa gastos com papel, impressão e transporte de autos, traz maior celeridade processual, abreviando o tempo necessário para a realização dos atos processuais, o que deve refletir em incremento da arrecadação. Buscou-se o aprimoramento do sistema de automação judicial (PGE.net </w:t>
      </w:r>
      <w:r w:rsidR="009836FF">
        <w:rPr>
          <w:rFonts w:ascii="Times New Roman" w:hAnsi="Times New Roman"/>
          <w:color w:val="000000"/>
          <w:sz w:val="24"/>
          <w:szCs w:val="24"/>
        </w:rPr>
        <w:t>-</w:t>
      </w:r>
      <w:r>
        <w:rPr>
          <w:rFonts w:ascii="Times New Roman" w:hAnsi="Times New Roman"/>
          <w:color w:val="000000"/>
          <w:sz w:val="24"/>
          <w:szCs w:val="24"/>
        </w:rPr>
        <w:t xml:space="preserve"> módulo de execução fiscal eletrônica), bem como sua integração com o sistema mantido pelo Tribunal de Justiça (e-SAJ), possibilitando melhor performance e compartilhamento de dados.</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lastRenderedPageBreak/>
        <w:t xml:space="preserve">- </w:t>
      </w:r>
      <w:r w:rsidRPr="009836FF">
        <w:rPr>
          <w:rFonts w:ascii="Times New Roman" w:hAnsi="Times New Roman"/>
          <w:color w:val="000000"/>
          <w:sz w:val="24"/>
          <w:szCs w:val="24"/>
        </w:rPr>
        <w:t xml:space="preserve">Protesto em lote de débitos de ICMS, IPVA, Multas Administrativas, e PROCON, </w:t>
      </w:r>
      <w:r>
        <w:rPr>
          <w:rFonts w:ascii="Times New Roman" w:hAnsi="Times New Roman"/>
          <w:color w:val="000000"/>
          <w:sz w:val="24"/>
          <w:szCs w:val="24"/>
        </w:rPr>
        <w:t>realizado por meio do módulo de protesto eletrônico do Sistema da Dívida Ativa, totalmente automatizado, desde a remessa dos títulos até a emissão da carta de anuência. Esse módulo eletrônico permite, inclusive, a seleção por faixa de valores, localidade, segmento econômico ou espécie de débito. Foram objeto de protesto 530.000 débitos, entre ICMS Declarado, IPVA e Multas Administrativas, com a arrecadação de R$ 500 milhões, equivalente a 16,8% do total levado a protesto.</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Implementação do Programa Especial de Parcelamento (PEP-II do ICMS),</w:t>
      </w:r>
      <w:r>
        <w:rPr>
          <w:rFonts w:ascii="Times New Roman" w:hAnsi="Times New Roman"/>
          <w:b/>
          <w:color w:val="000000"/>
          <w:sz w:val="24"/>
          <w:szCs w:val="24"/>
        </w:rPr>
        <w:t xml:space="preserve"> </w:t>
      </w:r>
      <w:r>
        <w:rPr>
          <w:rFonts w:ascii="Times New Roman" w:hAnsi="Times New Roman"/>
          <w:color w:val="000000"/>
          <w:sz w:val="24"/>
          <w:szCs w:val="24"/>
        </w:rPr>
        <w:t xml:space="preserve">autorizado pelo Decreto nº 60.444/2014, sendo disponibilizado e acessível por meio do endereço eletrônico </w:t>
      </w:r>
      <w:hyperlink r:id="rId76" w:history="1">
        <w:r>
          <w:rPr>
            <w:rFonts w:ascii="Times New Roman" w:hAnsi="Times New Roman"/>
            <w:color w:val="000000"/>
            <w:sz w:val="24"/>
            <w:szCs w:val="24"/>
          </w:rPr>
          <w:t>www.pepdoicms.sp.gov.br</w:t>
        </w:r>
      </w:hyperlink>
      <w:r>
        <w:rPr>
          <w:rFonts w:ascii="Times New Roman" w:hAnsi="Times New Roman"/>
          <w:color w:val="000000"/>
          <w:sz w:val="24"/>
          <w:szCs w:val="24"/>
        </w:rPr>
        <w:t>, com adesão correspondente a R$ 9,1 bilhões. Esse programa contou com a participação da SEFAZ e possibilitou o pagamento de débitos de ICMS com descontos nas multas e juros, além de redução nos honorários advocatícios para os débitos inscritos e ajuizados, tendo gerado arrecadação da ordem de R$ 1,4 bilhão, sendo que R$ 771,3 milhões correspondem à dívida inscrita.</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Implementação do Programa de Parcelamento de Débitos (PPD),</w:t>
      </w:r>
      <w:r>
        <w:rPr>
          <w:rFonts w:ascii="Times New Roman" w:hAnsi="Times New Roman"/>
          <w:b/>
          <w:color w:val="000000"/>
          <w:sz w:val="24"/>
          <w:szCs w:val="24"/>
        </w:rPr>
        <w:t xml:space="preserve"> </w:t>
      </w:r>
      <w:r>
        <w:rPr>
          <w:rFonts w:ascii="Times New Roman" w:hAnsi="Times New Roman"/>
          <w:color w:val="000000"/>
          <w:sz w:val="24"/>
          <w:szCs w:val="24"/>
        </w:rPr>
        <w:t>autorizado pelo Decreto nº 60.443/2014, sendo disponibilizado e acessível por meio do endereço eletrônico www.ppd2014.sp.gov.br, com adesão correspondente a R$ 582,4 milhões. Esse programa possibilitou o pagamento de débitos inscritos de natureza tributária e não tributária de diversas origens (IPVA, ITCMD doação e ITCMD “causa mortis”, taxa judiciária, multas administrativas, multas contratuais, multas penais, reposição de vencimentos, ressarcimentos e restituições), com descontos nas multas e juros, além de redução nos honorários advocatícios para os débitos inscritos e ajuizados, tendo gerado arrecadação da ordem de R$ 424,1 milhões.</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Gestão dos débitos que se ajustam às disposições da Lei nº 14.272/2010,</w:t>
      </w:r>
      <w:r>
        <w:rPr>
          <w:rFonts w:ascii="Times New Roman" w:hAnsi="Times New Roman"/>
          <w:color w:val="000000"/>
          <w:sz w:val="24"/>
          <w:szCs w:val="24"/>
        </w:rPr>
        <w:t xml:space="preserve"> possibilitando o efetivo gerenciamento do ajuizamento dos débitos inscritos, bem como a desistência de execução fiscal de pequeno valor (até 600 UFESPs por CPF/CNPJ), conforme disciplinado por meio da Resolução PGE nº 45/2011, na redação dada pela Resolução PGE nº 33/2013. Deixarão de ser ajuizados 5.863.231 débitos, base essa que será levada a protesto eletrônico da certidão de dívida ativa, sendo mantida a pendência no CADIN Estadual, ressalvados os casos de prescrição tributária.</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 xml:space="preserve">Desenvolvimento do novo </w:t>
      </w:r>
      <w:r w:rsidRPr="00351168">
        <w:rPr>
          <w:rFonts w:ascii="Times New Roman" w:hAnsi="Times New Roman"/>
          <w:i/>
          <w:color w:val="000000"/>
          <w:sz w:val="24"/>
          <w:szCs w:val="24"/>
        </w:rPr>
        <w:t>Site</w:t>
      </w:r>
      <w:r w:rsidRPr="00351168">
        <w:rPr>
          <w:rFonts w:ascii="Times New Roman" w:hAnsi="Times New Roman"/>
          <w:color w:val="000000"/>
          <w:sz w:val="24"/>
          <w:szCs w:val="24"/>
        </w:rPr>
        <w:t xml:space="preserve"> do Contribuinte, </w:t>
      </w:r>
      <w:r>
        <w:rPr>
          <w:rFonts w:ascii="Times New Roman" w:hAnsi="Times New Roman"/>
          <w:color w:val="000000"/>
          <w:sz w:val="24"/>
          <w:szCs w:val="24"/>
        </w:rPr>
        <w:t xml:space="preserve">em fase de homologação, que ampliará a facilidade de acesso ao cidadão, permitindo agendamento de atendimento e apresentação de demandas administrativas via </w:t>
      </w:r>
      <w:r>
        <w:rPr>
          <w:rFonts w:ascii="Times New Roman" w:hAnsi="Times New Roman"/>
          <w:i/>
          <w:color w:val="000000"/>
          <w:sz w:val="24"/>
          <w:szCs w:val="24"/>
        </w:rPr>
        <w:t>web</w:t>
      </w:r>
      <w:r>
        <w:rPr>
          <w:rFonts w:ascii="Times New Roman" w:hAnsi="Times New Roman"/>
          <w:color w:val="000000"/>
          <w:sz w:val="24"/>
          <w:szCs w:val="24"/>
        </w:rPr>
        <w:t>.</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Realização de melhorias no Sistema da Dívida Ativa</w:t>
      </w:r>
      <w:r>
        <w:rPr>
          <w:rFonts w:ascii="Times New Roman" w:hAnsi="Times New Roman"/>
          <w:color w:val="000000"/>
          <w:sz w:val="24"/>
          <w:szCs w:val="24"/>
        </w:rPr>
        <w:t>,</w:t>
      </w:r>
      <w:r>
        <w:rPr>
          <w:rFonts w:ascii="Times New Roman" w:hAnsi="Times New Roman"/>
          <w:b/>
          <w:color w:val="000000"/>
          <w:sz w:val="24"/>
          <w:szCs w:val="24"/>
        </w:rPr>
        <w:t xml:space="preserve"> </w:t>
      </w:r>
      <w:r>
        <w:rPr>
          <w:rFonts w:ascii="Times New Roman" w:hAnsi="Times New Roman"/>
          <w:color w:val="000000"/>
          <w:sz w:val="24"/>
          <w:szCs w:val="24"/>
        </w:rPr>
        <w:t>com o incremento da disponibilização de ferramentas que permitem operações por lote, atingindo inúmeros débitos, facilitando o cumprimento de decisões judiciais e administrativas que envolvam muitas dívidas.</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Disponibilização de módulo eletrônico de extração de relatórios no Sistema da Dívida Ativa,</w:t>
      </w:r>
      <w:r>
        <w:rPr>
          <w:rFonts w:ascii="Times New Roman" w:hAnsi="Times New Roman"/>
          <w:color w:val="000000"/>
          <w:sz w:val="24"/>
          <w:szCs w:val="24"/>
        </w:rPr>
        <w:t xml:space="preserve"> dispensando a intervenção manual e possibilitando a geração </w:t>
      </w:r>
      <w:r>
        <w:rPr>
          <w:rFonts w:ascii="Times New Roman" w:hAnsi="Times New Roman"/>
          <w:i/>
          <w:color w:val="000000"/>
          <w:sz w:val="24"/>
          <w:szCs w:val="24"/>
        </w:rPr>
        <w:t>on line</w:t>
      </w:r>
      <w:r>
        <w:rPr>
          <w:rFonts w:ascii="Times New Roman" w:hAnsi="Times New Roman"/>
          <w:color w:val="000000"/>
          <w:sz w:val="24"/>
          <w:szCs w:val="24"/>
        </w:rPr>
        <w:t xml:space="preserve"> dos dados de arrecadação, estoque da dívida ativa, inscrição, ajuizamento, protesto e segmentação, além de relatórios gerenciais para os usuários da PGE (Secretarias, CETESB e PROCON).</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lastRenderedPageBreak/>
        <w:t xml:space="preserve">- </w:t>
      </w:r>
      <w:r w:rsidRPr="00351168">
        <w:rPr>
          <w:rFonts w:ascii="Times New Roman" w:hAnsi="Times New Roman"/>
          <w:color w:val="000000"/>
          <w:sz w:val="24"/>
          <w:szCs w:val="24"/>
        </w:rPr>
        <w:t>Automatização das rotinas de liquidação, rompimento e revinculação do PEP e PPD,</w:t>
      </w:r>
      <w:r>
        <w:rPr>
          <w:rFonts w:ascii="Times New Roman" w:hAnsi="Times New Roman"/>
          <w:color w:val="000000"/>
          <w:sz w:val="24"/>
          <w:szCs w:val="24"/>
        </w:rPr>
        <w:t xml:space="preserve"> possibilitando maior agilidade, tanto na baixa dos débitos e extinção das respectivas execuções fiscais quanto no prosseguimento da cobrança em caso de rompimento do parcelamento especial.</w:t>
      </w:r>
    </w:p>
    <w:p w:rsidR="003E6588" w:rsidRDefault="003E6588">
      <w:pPr>
        <w:pStyle w:val="PargrafodaLista"/>
        <w:tabs>
          <w:tab w:val="left" w:pos="284"/>
        </w:tabs>
        <w:ind w:left="0" w:firstLine="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 xml:space="preserve">Adequação do Sistema da Dívida Ativa para cadastramento dos dados dos débitos constituídos pelas Autarquias e Fundações, </w:t>
      </w:r>
      <w:r>
        <w:rPr>
          <w:rFonts w:ascii="Times New Roman" w:hAnsi="Times New Roman"/>
          <w:color w:val="000000"/>
          <w:sz w:val="24"/>
          <w:szCs w:val="24"/>
        </w:rPr>
        <w:t>decorrente da assunção</w:t>
      </w:r>
      <w:r>
        <w:rPr>
          <w:rFonts w:ascii="Times New Roman" w:hAnsi="Times New Roman"/>
          <w:b/>
          <w:color w:val="000000"/>
          <w:sz w:val="24"/>
          <w:szCs w:val="24"/>
        </w:rPr>
        <w:t xml:space="preserve"> </w:t>
      </w:r>
      <w:r>
        <w:rPr>
          <w:rFonts w:ascii="Times New Roman" w:hAnsi="Times New Roman"/>
          <w:color w:val="000000"/>
          <w:sz w:val="24"/>
          <w:szCs w:val="24"/>
        </w:rPr>
        <w:t>do contencioso tributário fiscal do DAESP, da SPPREV, do IPESP, da Fundação Parque Zoológico de São Paulo, do DAEE, da ARTESP, da ARSESP, do IPEM e do DETRAN-SP. Estão sendo realizados ajustes no Sistema da Dívida Ativa, com a inclusão técnica do órgão e a especificação dos débitos, a fim de possibilitar sua disponibilização para as demais Autarquias.</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strike/>
          <w:color w:val="000000"/>
          <w:sz w:val="24"/>
          <w:szCs w:val="24"/>
        </w:rPr>
      </w:pPr>
      <w:r>
        <w:rPr>
          <w:rFonts w:ascii="Times New Roman" w:hAnsi="Times New Roman"/>
          <w:b/>
          <w:color w:val="000000"/>
          <w:sz w:val="24"/>
          <w:szCs w:val="24"/>
        </w:rPr>
        <w:t xml:space="preserve">- </w:t>
      </w:r>
      <w:r w:rsidRPr="00351168">
        <w:rPr>
          <w:rFonts w:ascii="Times New Roman" w:hAnsi="Times New Roman"/>
          <w:color w:val="000000"/>
          <w:sz w:val="24"/>
          <w:szCs w:val="24"/>
        </w:rPr>
        <w:t>Treinamento das Secretarias de Estado para o cadastramento de dados de débitos no Sistema da Dívida Ativa.</w:t>
      </w:r>
      <w:r>
        <w:rPr>
          <w:rFonts w:ascii="Times New Roman" w:hAnsi="Times New Roman"/>
          <w:color w:val="000000"/>
          <w:sz w:val="24"/>
          <w:szCs w:val="24"/>
        </w:rPr>
        <w:t xml:space="preserve"> Finalizada a capacitação dos servidores das Secretarias de Estado para inserção de dados de débitos visando à geração eletrônica da inscrição pelo Sistema da Dívida Ativa. Destaca-se o treinamento realizado no âmbito da Secretaria da Segurança Pública, uma das maiores e mais complexas dentro da estrutura estadual. Foram treinados 70 servidores, integrantes do Corpo de Bombeiros, Polícia Civil, Corregedoria Geral da Polícia Civil, Superintendência da Polícia Científica e Gabinete do Secretário Titular da Pasta.</w:t>
      </w:r>
    </w:p>
    <w:p w:rsidR="003E6588" w:rsidRDefault="003E6588">
      <w:pPr>
        <w:pStyle w:val="PargrafodaLista"/>
        <w:tabs>
          <w:tab w:val="left" w:pos="284"/>
        </w:tabs>
        <w:ind w:left="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E42696">
        <w:rPr>
          <w:rFonts w:ascii="Times New Roman" w:hAnsi="Times New Roman"/>
          <w:color w:val="000000"/>
          <w:sz w:val="24"/>
          <w:szCs w:val="24"/>
        </w:rPr>
        <w:t xml:space="preserve">Capacitação jurídica dos servidores da PGE para os temas práticos que envolvam a atuação nos setores de expediente da Área do Contencioso Tributário-Fiscal. </w:t>
      </w:r>
      <w:r>
        <w:rPr>
          <w:rFonts w:ascii="Times New Roman" w:hAnsi="Times New Roman"/>
          <w:color w:val="000000"/>
          <w:sz w:val="24"/>
          <w:szCs w:val="24"/>
        </w:rPr>
        <w:t>Foram capacitados 140 servidores da PGE, em curso de oito horas/aula, inteiramente apostilado, ministrado pelos integrantes da Coordenadoria da Dívida Ativa e da SUBG-CTF, sendo analisados e aperfeiçoados os procedimentos administrativos e atividades diárias dos servidores nas Unidades. O curso teve excelente avaliação dos servidores, que participaram ativamente, apresentando casos concretos e sugestões de aprofundamento.</w:t>
      </w:r>
    </w:p>
    <w:p w:rsidR="003E6588" w:rsidRDefault="003E6588">
      <w:pPr>
        <w:pStyle w:val="PargrafodaLista"/>
        <w:tabs>
          <w:tab w:val="left" w:pos="284"/>
        </w:tabs>
        <w:ind w:left="1134"/>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E42696">
        <w:rPr>
          <w:rFonts w:ascii="Times New Roman" w:hAnsi="Times New Roman"/>
          <w:color w:val="000000"/>
          <w:sz w:val="24"/>
          <w:szCs w:val="24"/>
        </w:rPr>
        <w:t>Instituição de régua de cobrança,</w:t>
      </w:r>
      <w:r>
        <w:rPr>
          <w:rFonts w:ascii="Times New Roman" w:hAnsi="Times New Roman"/>
          <w:color w:val="000000"/>
          <w:sz w:val="24"/>
          <w:szCs w:val="24"/>
        </w:rPr>
        <w:t xml:space="preserve"> que permitirá monitorar os pagamentos efetuados pelos contribuintes, comunicando-os via mensagem eletrônica da proximidade do vencimento das parcelas e da ocorrência de atrasos. Trata-se de trabalho preventivo que visa evitar o rompimento dos parcelamentos em andamento e consequente perda de arrecadação. Para o PPI, o PEP e o PPD, os contribuintes com parcela em atraso já estão sendo notificados por meio de mensagem eletrônica do Sistema da Dívida Ativa para o endereço eletrônico informado quando da adesão ao programa. Também estão sendo encaminhadas as informações de atraso no pagamento das parcelas do PPI/PEP/PPD à SEFAZ para que seja providenciada a notificação no Domicílio Eletrônico do Contribuinte - DEC.</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E42696">
        <w:rPr>
          <w:rFonts w:ascii="Times New Roman" w:hAnsi="Times New Roman"/>
          <w:color w:val="000000"/>
          <w:sz w:val="24"/>
          <w:szCs w:val="24"/>
        </w:rPr>
        <w:t>Iniciados estudos para a implantação de sistema gerencial de indicadores da dívida ativa,</w:t>
      </w:r>
      <w:r>
        <w:rPr>
          <w:rFonts w:ascii="Times New Roman" w:hAnsi="Times New Roman"/>
          <w:b/>
          <w:color w:val="000000"/>
          <w:sz w:val="24"/>
          <w:szCs w:val="24"/>
        </w:rPr>
        <w:t xml:space="preserve"> </w:t>
      </w:r>
      <w:r>
        <w:rPr>
          <w:rFonts w:ascii="Times New Roman" w:hAnsi="Times New Roman"/>
          <w:color w:val="000000"/>
          <w:sz w:val="24"/>
          <w:szCs w:val="24"/>
        </w:rPr>
        <w:t>seguindo a recomendação do Tribunal de Contas do Estado</w:t>
      </w:r>
      <w:r>
        <w:rPr>
          <w:rFonts w:ascii="Times New Roman" w:hAnsi="Times New Roman"/>
          <w:b/>
          <w:color w:val="000000"/>
          <w:sz w:val="24"/>
          <w:szCs w:val="24"/>
        </w:rPr>
        <w:t xml:space="preserve">, </w:t>
      </w:r>
      <w:r>
        <w:rPr>
          <w:rFonts w:ascii="Times New Roman" w:hAnsi="Times New Roman"/>
          <w:color w:val="000000"/>
          <w:sz w:val="24"/>
          <w:szCs w:val="24"/>
        </w:rPr>
        <w:t xml:space="preserve">que possibilitará a aferição de relatórios numéricos e gráficos sobre a </w:t>
      </w:r>
      <w:r>
        <w:rPr>
          <w:rFonts w:ascii="Times New Roman" w:hAnsi="Times New Roman"/>
          <w:i/>
          <w:color w:val="000000"/>
          <w:sz w:val="24"/>
          <w:szCs w:val="24"/>
        </w:rPr>
        <w:t>performance</w:t>
      </w:r>
      <w:r>
        <w:rPr>
          <w:rFonts w:ascii="Times New Roman" w:hAnsi="Times New Roman"/>
          <w:color w:val="000000"/>
          <w:sz w:val="24"/>
          <w:szCs w:val="24"/>
        </w:rPr>
        <w:t xml:space="preserve"> da dívida ativa, inclusive com dados comparativos por Unidade, Regionais, Seccionais, Comarca e Banca Fiscal, concorrendo para o melhor planejamento e gestão das atividades de cobrança. Para definirmos os nossos indicadores, conhecemos aqueles utilizados pela Secretaria da Fazenda - SEFAZ e pela Procuradoria Geral da Fazenda Nacional - PGFN, </w:t>
      </w:r>
      <w:r>
        <w:rPr>
          <w:rFonts w:ascii="Times New Roman" w:hAnsi="Times New Roman"/>
          <w:color w:val="000000"/>
          <w:sz w:val="24"/>
          <w:szCs w:val="24"/>
        </w:rPr>
        <w:lastRenderedPageBreak/>
        <w:t>bem como os sistemas de geração de relatórios gerenciais. A SEFAZ vem trabalhando com DW/BO desde 2000, sendo inquestionável sua eficiência em termos de planejamento estratégico e operatividade. A PGFN também possui DW/BO há alguns anos e credita sua atual eficiência na fixação de metas a essa ferramenta, apta a extrair informações gerenciais de vários sistemas. Foi solicitada a especificação básica do projeto e o cronograma de desenvolvimento à PRODESP, bem como o custo desse sistema. Também solicitada uma proposta à ORACLE, responsável pelo desenvolvimento do mesmo tipo de ferramenta utilizada pela SEFAZ e pela PGFN.</w:t>
      </w:r>
    </w:p>
    <w:p w:rsidR="003E6588" w:rsidRDefault="003E6588">
      <w:pPr>
        <w:pStyle w:val="PargrafodaLista"/>
        <w:tabs>
          <w:tab w:val="left" w:pos="284"/>
        </w:tabs>
        <w:ind w:left="0"/>
        <w:contextualSpacing w:val="0"/>
        <w:rPr>
          <w:rFonts w:ascii="Times New Roman" w:hAnsi="Times New Roman"/>
          <w:color w:val="000000"/>
          <w:sz w:val="24"/>
          <w:szCs w:val="24"/>
        </w:rPr>
      </w:pPr>
    </w:p>
    <w:p w:rsidR="003E6588" w:rsidRDefault="003E6588">
      <w:pPr>
        <w:pStyle w:val="PargrafodaLista"/>
        <w:tabs>
          <w:tab w:val="left" w:pos="284"/>
        </w:tabs>
        <w:ind w:left="0" w:firstLine="1134"/>
        <w:contextualSpacing w:val="0"/>
        <w:rPr>
          <w:rFonts w:ascii="Times New Roman" w:hAnsi="Times New Roman"/>
          <w:color w:val="000000"/>
          <w:sz w:val="24"/>
          <w:szCs w:val="24"/>
        </w:rPr>
      </w:pPr>
      <w:r>
        <w:rPr>
          <w:rFonts w:ascii="Times New Roman" w:hAnsi="Times New Roman"/>
          <w:b/>
          <w:color w:val="000000"/>
          <w:sz w:val="24"/>
          <w:szCs w:val="24"/>
        </w:rPr>
        <w:t xml:space="preserve">- </w:t>
      </w:r>
      <w:r w:rsidRPr="00E42696">
        <w:rPr>
          <w:rFonts w:ascii="Times New Roman" w:hAnsi="Times New Roman"/>
          <w:color w:val="000000"/>
          <w:sz w:val="24"/>
          <w:szCs w:val="24"/>
        </w:rPr>
        <w:t>Movimentação da Dívida Ativa -</w:t>
      </w:r>
      <w:r>
        <w:rPr>
          <w:rFonts w:ascii="Times New Roman" w:hAnsi="Times New Roman"/>
          <w:b/>
          <w:color w:val="000000"/>
          <w:sz w:val="24"/>
          <w:szCs w:val="24"/>
        </w:rPr>
        <w:t xml:space="preserve"> </w:t>
      </w:r>
      <w:r>
        <w:rPr>
          <w:rFonts w:ascii="Times New Roman" w:hAnsi="Times New Roman"/>
          <w:color w:val="000000"/>
          <w:sz w:val="24"/>
          <w:szCs w:val="24"/>
        </w:rPr>
        <w:t>A</w:t>
      </w:r>
      <w:r>
        <w:rPr>
          <w:rFonts w:ascii="Times New Roman" w:hAnsi="Times New Roman"/>
          <w:b/>
          <w:color w:val="000000"/>
          <w:sz w:val="24"/>
          <w:szCs w:val="24"/>
        </w:rPr>
        <w:t xml:space="preserve"> </w:t>
      </w:r>
      <w:r>
        <w:rPr>
          <w:rFonts w:ascii="Times New Roman" w:hAnsi="Times New Roman"/>
          <w:color w:val="000000"/>
          <w:sz w:val="24"/>
          <w:szCs w:val="24"/>
        </w:rPr>
        <w:t>Procuradoria Geral do Estado promoveu a inscrição em dívida ativa de 3.141.145 débitos, no total de R$ 25.898.628.697,36. Observados os parâmetros estabelecidos na Lei nº 14.272/2010 e na Resolução PGE nº 45/2011, foram ajuizados 286.181 débitos</w:t>
      </w:r>
      <w:r>
        <w:rPr>
          <w:rFonts w:ascii="Times New Roman" w:hAnsi="Times New Roman"/>
          <w:b/>
          <w:color w:val="000000"/>
          <w:sz w:val="24"/>
          <w:szCs w:val="24"/>
        </w:rPr>
        <w:t xml:space="preserve">, </w:t>
      </w:r>
      <w:r>
        <w:rPr>
          <w:rFonts w:ascii="Times New Roman" w:hAnsi="Times New Roman"/>
          <w:color w:val="000000"/>
          <w:sz w:val="24"/>
          <w:szCs w:val="24"/>
        </w:rPr>
        <w:t>agrupados em 153.357 execuções fiscais, no montante de R$ 29.265.225.841,97. A arrecadação da dívida ativa atingiu a cifra de R$ 2.911.225.324,30.</w:t>
      </w:r>
    </w:p>
    <w:p w:rsidR="003E6588" w:rsidRDefault="003E6588">
      <w:pPr>
        <w:pStyle w:val="PargrafodaLista"/>
        <w:rPr>
          <w:rFonts w:ascii="Times New Roman" w:hAnsi="Times New Roman"/>
          <w:color w:val="000000"/>
          <w:sz w:val="24"/>
          <w:szCs w:val="24"/>
        </w:rPr>
      </w:pPr>
    </w:p>
    <w:p w:rsidR="003E6588" w:rsidRDefault="003E6588">
      <w:pPr>
        <w:tabs>
          <w:tab w:val="left" w:pos="1080"/>
        </w:tabs>
        <w:ind w:firstLine="1134"/>
        <w:jc w:val="both"/>
        <w:rPr>
          <w:color w:val="000000"/>
        </w:rPr>
      </w:pPr>
      <w:r>
        <w:rPr>
          <w:b/>
          <w:color w:val="000000"/>
        </w:rPr>
        <w:t>Coordenadoria de Recuperação de Ativos</w:t>
      </w:r>
      <w:r>
        <w:rPr>
          <w:color w:val="000000"/>
        </w:rPr>
        <w:t xml:space="preserve"> - tem por atribuições planejar e executar medidas que visam incrementar a recuperação do crédito tributário-fiscal e identificar e combater ações judiciais que veiculem teses com potencial reflexo negativo para a arrecadação do Estado destacou-se com várias ações:</w:t>
      </w:r>
    </w:p>
    <w:p w:rsidR="003E6588" w:rsidRDefault="003E6588">
      <w:pPr>
        <w:tabs>
          <w:tab w:val="left" w:pos="1080"/>
        </w:tabs>
        <w:ind w:firstLine="1134"/>
        <w:jc w:val="both"/>
        <w:rPr>
          <w:color w:val="000000"/>
        </w:rPr>
      </w:pPr>
    </w:p>
    <w:p w:rsidR="003E6588" w:rsidRDefault="003E6588">
      <w:pPr>
        <w:tabs>
          <w:tab w:val="left" w:pos="284"/>
        </w:tabs>
        <w:ind w:firstLine="1134"/>
        <w:jc w:val="both"/>
        <w:rPr>
          <w:color w:val="000000"/>
        </w:rPr>
      </w:pPr>
      <w:r>
        <w:rPr>
          <w:b/>
          <w:color w:val="000000"/>
        </w:rPr>
        <w:t xml:space="preserve">- </w:t>
      </w:r>
      <w:r w:rsidRPr="00E42696">
        <w:rPr>
          <w:color w:val="000000"/>
        </w:rPr>
        <w:t>Mapeamento e acompanhamento de ações emblemáticas no Tribunal de Justiça e nos Tribunais Superiores,</w:t>
      </w:r>
      <w:r>
        <w:rPr>
          <w:b/>
          <w:color w:val="000000"/>
        </w:rPr>
        <w:t xml:space="preserve"> </w:t>
      </w:r>
      <w:r>
        <w:rPr>
          <w:color w:val="000000"/>
        </w:rPr>
        <w:t>selecionadas com a participação da SEFAZ. São ações que veiculam tese relevante e de maior impacto financeiro ao erário paulista, para acompanhamento especial e prioritário pela Unidade/PGE, com elaboração e entrega de memoriais aos magistrados e a realização de sustentações orais. Destaca-se a operação "de olho na bomba", em que restou consolidada a jurisprudência do Tribunal de Justiça favorável ao Estado de São Paulo, com mais de 86% de vitória. Nessa linha, o estudo jurisprudencial no Tribunal de Justiça de São Paulo e nos Tribunais Superiores permitiu a elaboração da Orientação Normativa SUBG-CTF nº 11</w:t>
      </w:r>
      <w:r w:rsidR="00E42696">
        <w:rPr>
          <w:color w:val="000000"/>
        </w:rPr>
        <w:t>/</w:t>
      </w:r>
      <w:r>
        <w:rPr>
          <w:color w:val="000000"/>
        </w:rPr>
        <w:t>2014, que dispensou a interposição de recursos em face de decisão judicial, inclusive do Juizado Especial, que declare a prescrição quinquenal do IPVA, contado o lustro do fato gerador dessa exação. Esta medida evitará o manejo de 270.000 novos recursos pelos Procuradores do Estado, permitindo a concentração dos esforços nos casos de maior interesse e probabilidade de êxito pelo Estado.</w:t>
      </w:r>
    </w:p>
    <w:p w:rsidR="003E6588" w:rsidRDefault="003E6588">
      <w:pPr>
        <w:tabs>
          <w:tab w:val="left" w:pos="284"/>
        </w:tabs>
        <w:ind w:left="1134"/>
        <w:jc w:val="both"/>
        <w:rPr>
          <w:color w:val="000000"/>
        </w:rPr>
      </w:pPr>
    </w:p>
    <w:p w:rsidR="003E6588" w:rsidRDefault="003E6588">
      <w:pPr>
        <w:tabs>
          <w:tab w:val="left" w:pos="284"/>
        </w:tabs>
        <w:ind w:firstLine="1134"/>
        <w:jc w:val="both"/>
        <w:rPr>
          <w:color w:val="000000"/>
        </w:rPr>
      </w:pPr>
      <w:r>
        <w:rPr>
          <w:b/>
          <w:color w:val="000000"/>
        </w:rPr>
        <w:t xml:space="preserve">- </w:t>
      </w:r>
      <w:r w:rsidRPr="00E42696">
        <w:rPr>
          <w:color w:val="000000"/>
        </w:rPr>
        <w:t xml:space="preserve">Participação do Estado de São Paulo como </w:t>
      </w:r>
      <w:r w:rsidRPr="00E42696">
        <w:rPr>
          <w:i/>
          <w:color w:val="000000"/>
        </w:rPr>
        <w:t>amicus curiae</w:t>
      </w:r>
      <w:r>
        <w:rPr>
          <w:color w:val="000000"/>
        </w:rPr>
        <w:t xml:space="preserve"> nas ações de interesse da Fazenda do Estado de São Paulo em trâmite perante o Supremo Tribunal Federal e o Superior Tribunal de Justiça.</w:t>
      </w:r>
    </w:p>
    <w:p w:rsidR="003E6588" w:rsidRDefault="003E6588">
      <w:pPr>
        <w:tabs>
          <w:tab w:val="left" w:pos="284"/>
        </w:tabs>
        <w:ind w:firstLine="1134"/>
        <w:jc w:val="both"/>
        <w:rPr>
          <w:color w:val="000000"/>
        </w:rPr>
      </w:pPr>
    </w:p>
    <w:p w:rsidR="003E6588" w:rsidRDefault="003E6588">
      <w:pPr>
        <w:tabs>
          <w:tab w:val="left" w:pos="284"/>
        </w:tabs>
        <w:ind w:firstLine="1134"/>
        <w:jc w:val="both"/>
        <w:rPr>
          <w:color w:val="000000"/>
        </w:rPr>
      </w:pPr>
      <w:r>
        <w:rPr>
          <w:b/>
          <w:color w:val="000000"/>
        </w:rPr>
        <w:t xml:space="preserve">- </w:t>
      </w:r>
      <w:r w:rsidRPr="00E42696">
        <w:rPr>
          <w:color w:val="000000"/>
        </w:rPr>
        <w:t>Divulgação de jurisprudência e notícias relacionadas à Área do Contencioso Tributário-Fiscal</w:t>
      </w:r>
      <w:r>
        <w:rPr>
          <w:b/>
          <w:color w:val="000000"/>
        </w:rPr>
        <w:t xml:space="preserve"> - </w:t>
      </w:r>
      <w:r>
        <w:rPr>
          <w:color w:val="000000"/>
        </w:rPr>
        <w:t>notícia jurídica de interesse na Área foi compartilhada com as Unidades, para ampla divulgação desse conhecimento aos Procuradores, fornecendo subsídios para o melhor desempenho das atividades.</w:t>
      </w:r>
    </w:p>
    <w:p w:rsidR="003E6588" w:rsidRDefault="003E6588">
      <w:pPr>
        <w:tabs>
          <w:tab w:val="left" w:pos="284"/>
        </w:tabs>
        <w:ind w:firstLine="1134"/>
        <w:jc w:val="both"/>
        <w:rPr>
          <w:color w:val="000000"/>
        </w:rPr>
      </w:pPr>
    </w:p>
    <w:p w:rsidR="003E6588" w:rsidRDefault="003E6588">
      <w:pPr>
        <w:tabs>
          <w:tab w:val="left" w:pos="284"/>
        </w:tabs>
        <w:ind w:firstLine="1134"/>
        <w:jc w:val="both"/>
        <w:rPr>
          <w:color w:val="000000"/>
        </w:rPr>
      </w:pPr>
      <w:r>
        <w:rPr>
          <w:b/>
          <w:color w:val="000000"/>
        </w:rPr>
        <w:t xml:space="preserve">- </w:t>
      </w:r>
      <w:r w:rsidRPr="00E42696">
        <w:rPr>
          <w:color w:val="000000"/>
        </w:rPr>
        <w:t>Jurimetria,</w:t>
      </w:r>
      <w:r>
        <w:rPr>
          <w:b/>
          <w:color w:val="000000"/>
        </w:rPr>
        <w:t xml:space="preserve"> </w:t>
      </w:r>
      <w:r>
        <w:rPr>
          <w:color w:val="000000"/>
        </w:rPr>
        <w:t xml:space="preserve">com levantamento e compilação de julgados do Tribunal de Justiça do Estado, por tema; indicação das Câmaras que se posicionam favoravel ou contrariamente a cada tese; elaboração de gráficos demonstrativos da predominância de um ou outro posicionamento, breve síntese </w:t>
      </w:r>
      <w:r>
        <w:rPr>
          <w:color w:val="000000"/>
        </w:rPr>
        <w:lastRenderedPageBreak/>
        <w:t xml:space="preserve">das decisões analisadas e </w:t>
      </w:r>
      <w:r>
        <w:rPr>
          <w:i/>
          <w:color w:val="000000"/>
        </w:rPr>
        <w:t>link</w:t>
      </w:r>
      <w:r>
        <w:rPr>
          <w:color w:val="000000"/>
        </w:rPr>
        <w:t xml:space="preserve"> para acesso ao acompanhamento do processo junto ao Tribunal de Justiça e à íntegra do acórdão, de modo a facilitar o trabalho do Procurador, abreviando o tempo de pesquisa jurisprudencial quando da elaboração das peças processuais a seu cargo. O trabalho de jurimetria está disponibilizado na área restrita do </w:t>
      </w:r>
      <w:r>
        <w:rPr>
          <w:i/>
          <w:color w:val="000000"/>
        </w:rPr>
        <w:t>site</w:t>
      </w:r>
      <w:r>
        <w:rPr>
          <w:color w:val="000000"/>
        </w:rPr>
        <w:t xml:space="preserve"> da PGE. Foram finalizados os seguintes temas: compensação de créditos tributários com precatórios (115 acórdãos pesquisados); ICMS - deslocamento de mercadorias (60 acórdãos pesquisados); protesto de certidão de dívida ativa (64 acórdãos pesquisados), sete novos casos ainda não julgados no órgão especial do TJ/SP; penhora de recebíveis - cartão de crédito (53 acórdãos pesquisados); domicílio tributário IPVA (44 acórdãos pesquisados); exclusão de contribuinte do CADIN (72 acórdãos pesquisados); cassação inscrição estadual - operação “de olho na bomba” (95 acórdãos pesquisados); IPVA - lançamento/prescrição (120 acórdãos pesquisados); ICMS - crédito - aquisição de energia elétrica (63 acórdãos pesquisados); substituição tributária - estoques (23 acórdãos pesquisados); ICMS - juros - Lei nº 13.918/2009 (30 acórdãos pesquisados) operação cartão vermelho (25 acórdãos pesquisados); IPVA - veículo furtado (21 acórdãos pesquisados); TIT incompatibilidade de advogar (8 acórdãos pesquisados); exclusão CADIN - oferecimento de bens em garantia execução fiscal (51 acórdãos pesquisados); ICMS - crédito energia elétrica (63 acórdãos pesquisados); IPVA veículo alienado (4 acórdãos); ICMS - taxa de cartão de crédito (15 acórdãos); PEP do ICMS - Inconstitucionalidade da Lei nº 13.918/2009 (12 Acórdãos); e ICMS - Armazéns Gerais (6 Acórdãos).</w:t>
      </w:r>
    </w:p>
    <w:p w:rsidR="003E6588" w:rsidRDefault="003E6588">
      <w:pPr>
        <w:tabs>
          <w:tab w:val="left" w:pos="284"/>
        </w:tabs>
        <w:ind w:left="1134"/>
        <w:jc w:val="both"/>
        <w:rPr>
          <w:color w:val="000000"/>
        </w:rPr>
      </w:pPr>
    </w:p>
    <w:p w:rsidR="003E6588" w:rsidRDefault="003E6588">
      <w:pPr>
        <w:tabs>
          <w:tab w:val="left" w:pos="284"/>
        </w:tabs>
        <w:ind w:firstLine="1134"/>
        <w:jc w:val="both"/>
        <w:rPr>
          <w:color w:val="000000"/>
        </w:rPr>
      </w:pPr>
      <w:r>
        <w:rPr>
          <w:b/>
          <w:color w:val="000000"/>
        </w:rPr>
        <w:t xml:space="preserve">- </w:t>
      </w:r>
      <w:r w:rsidRPr="00E42696">
        <w:rPr>
          <w:color w:val="000000"/>
        </w:rPr>
        <w:t>Cooperação MP/GAECO-PGE-SEFAZ</w:t>
      </w:r>
      <w:r>
        <w:rPr>
          <w:b/>
          <w:color w:val="000000"/>
        </w:rPr>
        <w:t xml:space="preserve"> - </w:t>
      </w:r>
      <w:r>
        <w:rPr>
          <w:color w:val="000000"/>
        </w:rPr>
        <w:t>Projeto piloto junto à Procuradoria Regional de Campinas, com o objetivo de obter a indicação de grupos econômicos, fraudes estruturadas e blindagem patrimonial, desenvolvendo e implementando estratégias de cobrança, visando ao incremento da arrecadação estadual e da recuperação fiscal. Este grupo, formado inicialmente por dois Procuradores atuantes na Comarca de Paulínia, polo que concentra distribuidoras de combustível e de óleo lubrificante, além de outras grandes devedoras de ICMS, vem desenvolvendo operações em parceria com a Secretaria da Fazenda e com o Ministério Público Estadual (GAECO), podendo-se destacar as operações “Ouro Negro”, “Roda Limpa”, “Alquimia” e “Caixa de Pandora” (respectivamente</w:t>
      </w:r>
      <w:r>
        <w:rPr>
          <w:color w:val="FF0000"/>
        </w:rPr>
        <w:t>,</w:t>
      </w:r>
      <w:r>
        <w:rPr>
          <w:color w:val="000000"/>
        </w:rPr>
        <w:t xml:space="preserve"> nos segmentos de distribuição de combustíveis e </w:t>
      </w:r>
      <w:r>
        <w:t>gás, transportes, produtos</w:t>
      </w:r>
      <w:r>
        <w:rPr>
          <w:color w:val="000000"/>
        </w:rPr>
        <w:t xml:space="preserve"> químicos e indústria de embalagens). O grupo identificou 15 grupos econômicos, obteve o arresto e penhora de 100 imóveis e dezenas de veículos, além do bloqueio de vultosas somas em dinheiro. Foram ajuizadas cautelares fiscais, algumas contando com apoio e subsídios da SEFAZ, com destaque para o êxito obtido em face de importante empresa do ramo de cosméticos, com identificação de grupo econômico formado por 50 pessoas entre físicas e jurídicas, resultando no arresto de mais de 70 imóveis e da marca do grupo. Diante do êxito alcançado, o projeto foi estendido à Procuradoria Regional da Grande São Paulo, com designação de um </w:t>
      </w:r>
      <w:r>
        <w:t>Procurador para atuar apenas com devedores selecionados das comarcas de Diadema e São Bernardo do Campo. Curso voltado à metodologia e atividades de inteligência fiscal foi ministrado aos Pro</w:t>
      </w:r>
      <w:r>
        <w:rPr>
          <w:color w:val="000000"/>
        </w:rPr>
        <w:t>curadores da área, com vistas a difundir e ampliar a filosofia de atuação diferenciada e cooperativa.</w:t>
      </w:r>
    </w:p>
    <w:p w:rsidR="003E6588" w:rsidRDefault="003E6588">
      <w:pPr>
        <w:tabs>
          <w:tab w:val="left" w:pos="284"/>
        </w:tabs>
        <w:jc w:val="both"/>
        <w:rPr>
          <w:color w:val="000000"/>
        </w:rPr>
      </w:pPr>
    </w:p>
    <w:p w:rsidR="003E6588" w:rsidRDefault="003E6588">
      <w:pPr>
        <w:tabs>
          <w:tab w:val="left" w:pos="284"/>
        </w:tabs>
        <w:ind w:firstLine="1134"/>
        <w:jc w:val="both"/>
        <w:rPr>
          <w:color w:val="000000"/>
        </w:rPr>
      </w:pPr>
      <w:r>
        <w:rPr>
          <w:b/>
          <w:color w:val="000000"/>
        </w:rPr>
        <w:t>Coordenadoria de Leilões Judiciais -</w:t>
      </w:r>
      <w:r>
        <w:rPr>
          <w:color w:val="000000"/>
        </w:rPr>
        <w:t xml:space="preserve"> implantada com o escopo de melhorar a liquidez dos bens que são levados a leilão, incrementou as arrematações e contribuiu para elevação da arrecadação da dívida ativa, valendo destacar as seguintes atividades:</w:t>
      </w:r>
    </w:p>
    <w:p w:rsidR="003E6588" w:rsidRDefault="003E6588">
      <w:pPr>
        <w:tabs>
          <w:tab w:val="left" w:pos="284"/>
        </w:tabs>
        <w:jc w:val="both"/>
        <w:rPr>
          <w:color w:val="000000"/>
        </w:rPr>
      </w:pPr>
    </w:p>
    <w:p w:rsidR="003E6588" w:rsidRDefault="003E6588">
      <w:pPr>
        <w:tabs>
          <w:tab w:val="left" w:pos="284"/>
        </w:tabs>
        <w:ind w:firstLine="1134"/>
        <w:jc w:val="both"/>
        <w:rPr>
          <w:color w:val="000000"/>
        </w:rPr>
      </w:pPr>
      <w:r>
        <w:rPr>
          <w:b/>
          <w:color w:val="000000"/>
        </w:rPr>
        <w:lastRenderedPageBreak/>
        <w:t xml:space="preserve">- </w:t>
      </w:r>
      <w:r w:rsidRPr="00E42696">
        <w:rPr>
          <w:color w:val="000000"/>
        </w:rPr>
        <w:t>Projeto Leilão</w:t>
      </w:r>
      <w:r>
        <w:rPr>
          <w:b/>
          <w:color w:val="000000"/>
        </w:rPr>
        <w:t xml:space="preserve"> - </w:t>
      </w:r>
      <w:r>
        <w:rPr>
          <w:color w:val="000000"/>
        </w:rPr>
        <w:t xml:space="preserve">Tem por escopo o aumento da efetividade dos leilões por intermédio do credenciamento de leiloeiros aptos a auxiliar na criação de condições para penhora de bens de efetivo interesse em hasta pública, tais como apoio nas avaliações, assunção do encargo de depositário quando da recusa do devedor, remoção de bens para depósito mantido pelo leiloeiro, apoio ao Poder Judiciário na expedição de editais e mandados, ampla publicidade dos certames, manutenção de </w:t>
      </w:r>
      <w:r>
        <w:rPr>
          <w:i/>
          <w:color w:val="000000"/>
        </w:rPr>
        <w:t>site</w:t>
      </w:r>
      <w:r>
        <w:rPr>
          <w:color w:val="000000"/>
        </w:rPr>
        <w:t xml:space="preserve"> para divulgação das hastas, geração de relatórios gerenciais com indicação de bens à penhora, problemas verificados e sugestões. As Unidades credenciaram leiloeiros. </w:t>
      </w:r>
      <w:r>
        <w:t xml:space="preserve">Foram analisadas, </w:t>
      </w:r>
      <w:r>
        <w:rPr>
          <w:color w:val="000000"/>
        </w:rPr>
        <w:t>nos vários contatos realizados com leiloeiros e Unidades, as causas da baixa efetividade da arrematação em hasta pública, elegendo algumas linhas de atuação a serem implementadas.</w:t>
      </w:r>
    </w:p>
    <w:p w:rsidR="003E6588" w:rsidRDefault="003E6588">
      <w:pPr>
        <w:tabs>
          <w:tab w:val="left" w:pos="284"/>
        </w:tabs>
        <w:jc w:val="both"/>
        <w:rPr>
          <w:color w:val="000000"/>
        </w:rPr>
      </w:pPr>
    </w:p>
    <w:p w:rsidR="003E6588" w:rsidRDefault="003E6588">
      <w:pPr>
        <w:tabs>
          <w:tab w:val="left" w:pos="284"/>
        </w:tabs>
        <w:ind w:firstLine="1134"/>
        <w:jc w:val="both"/>
        <w:rPr>
          <w:color w:val="000000"/>
        </w:rPr>
      </w:pPr>
      <w:r>
        <w:rPr>
          <w:b/>
          <w:color w:val="000000"/>
        </w:rPr>
        <w:t xml:space="preserve">- </w:t>
      </w:r>
      <w:r w:rsidRPr="00E42696">
        <w:rPr>
          <w:color w:val="000000"/>
        </w:rPr>
        <w:t>Portal de Leilões da Fazenda Pública do Estado de São Paulo</w:t>
      </w:r>
      <w:r w:rsidR="00E42696">
        <w:rPr>
          <w:color w:val="000000"/>
        </w:rPr>
        <w:t xml:space="preserve"> -</w:t>
      </w:r>
      <w:r>
        <w:rPr>
          <w:b/>
          <w:color w:val="000000"/>
        </w:rPr>
        <w:t xml:space="preserve"> </w:t>
      </w:r>
      <w:r w:rsidR="00E42696" w:rsidRPr="00E42696">
        <w:rPr>
          <w:color w:val="000000"/>
        </w:rPr>
        <w:t>I</w:t>
      </w:r>
      <w:r>
        <w:rPr>
          <w:color w:val="000000"/>
        </w:rPr>
        <w:t>niciado estudo para desenvolvimento do portal que irá reunir informações sobre leilões em executivos fiscais de interesse da Fazenda realizados em todo o Estado. Foi realizada reunião com os leiloeiros que atuam nos leilões eletrônicos da Capital e do interior, para conhecimento da forma de realização das hastas públicas, os tipos de sistemas utilizados e a possibilidade de acesso aos respectivos bancos de dados, visando à</w:t>
      </w:r>
      <w:r>
        <w:rPr>
          <w:color w:val="FF0000"/>
        </w:rPr>
        <w:t xml:space="preserve"> </w:t>
      </w:r>
      <w:r>
        <w:rPr>
          <w:color w:val="000000"/>
        </w:rPr>
        <w:t>divulgação dos leilões em portal, bem como a geração de dados gerenciais e de pesquisa. Foi visitado o Leilão Unificado da Justiça do Trabalho (TRT2), tido como referência em efetividade em todo o Brasil, para conhecimento da organização desse setor especializado, colhendo informações de magistrados, servidores e leiloeiros atuantes nessa hasta, identificando as boas práticas que possam ser implementadas e/ou disponibilizadas no portal. Foi solicitada a especificação básica do projeto à PRODESP.</w:t>
      </w:r>
    </w:p>
    <w:p w:rsidR="003E6588" w:rsidRDefault="003E6588">
      <w:pPr>
        <w:tabs>
          <w:tab w:val="left" w:pos="284"/>
        </w:tabs>
        <w:jc w:val="both"/>
        <w:rPr>
          <w:color w:val="000000"/>
        </w:rPr>
      </w:pPr>
    </w:p>
    <w:p w:rsidR="003E6588" w:rsidRDefault="003E6588">
      <w:pPr>
        <w:tabs>
          <w:tab w:val="left" w:pos="284"/>
        </w:tabs>
        <w:ind w:firstLine="1134"/>
        <w:jc w:val="both"/>
        <w:rPr>
          <w:color w:val="000000"/>
        </w:rPr>
      </w:pPr>
      <w:r>
        <w:rPr>
          <w:b/>
          <w:color w:val="000000"/>
        </w:rPr>
        <w:t xml:space="preserve">Área da Consultoria Geral - </w:t>
      </w:r>
      <w:r>
        <w:rPr>
          <w:color w:val="000000"/>
        </w:rPr>
        <w:t>Na Área da Consultoria Geral, medidas foram tomadas com o fim de melhor orientar os atos dos gestores públicos, merecendo destaque:</w:t>
      </w:r>
    </w:p>
    <w:p w:rsidR="003E6588" w:rsidRDefault="003E6588">
      <w:pPr>
        <w:tabs>
          <w:tab w:val="left" w:pos="284"/>
        </w:tabs>
        <w:ind w:firstLine="1134"/>
        <w:jc w:val="both"/>
        <w:rPr>
          <w:color w:val="000000"/>
        </w:rPr>
      </w:pPr>
    </w:p>
    <w:p w:rsidR="003E6588" w:rsidRDefault="003E6588">
      <w:pPr>
        <w:tabs>
          <w:tab w:val="center" w:pos="0"/>
          <w:tab w:val="center" w:pos="284"/>
        </w:tabs>
        <w:autoSpaceDE w:val="0"/>
        <w:autoSpaceDN w:val="0"/>
        <w:adjustRightInd w:val="0"/>
        <w:ind w:firstLine="1134"/>
        <w:jc w:val="both"/>
        <w:rPr>
          <w:b/>
          <w:color w:val="000000"/>
        </w:rPr>
      </w:pPr>
      <w:r>
        <w:rPr>
          <w:color w:val="000000"/>
        </w:rPr>
        <w:t>- O projeto de informatização da Área da Consultoria Geral permitiu a disponibilização de acervo de 253.000 pareceres dos vários órgãos de execução da área.</w:t>
      </w:r>
    </w:p>
    <w:p w:rsidR="003E6588" w:rsidRDefault="003E6588">
      <w:pPr>
        <w:tabs>
          <w:tab w:val="center" w:pos="0"/>
          <w:tab w:val="center" w:pos="284"/>
        </w:tabs>
        <w:autoSpaceDE w:val="0"/>
        <w:autoSpaceDN w:val="0"/>
        <w:adjustRightInd w:val="0"/>
        <w:ind w:firstLine="1134"/>
        <w:jc w:val="both"/>
        <w:rPr>
          <w:b/>
          <w:color w:val="000000"/>
        </w:rPr>
      </w:pPr>
    </w:p>
    <w:p w:rsidR="003E6588" w:rsidRDefault="003E6588">
      <w:pPr>
        <w:tabs>
          <w:tab w:val="center" w:pos="0"/>
          <w:tab w:val="center" w:pos="284"/>
        </w:tabs>
        <w:autoSpaceDE w:val="0"/>
        <w:autoSpaceDN w:val="0"/>
        <w:adjustRightInd w:val="0"/>
        <w:ind w:firstLine="1134"/>
        <w:jc w:val="both"/>
        <w:rPr>
          <w:b/>
          <w:color w:val="000000"/>
        </w:rPr>
      </w:pPr>
      <w:r>
        <w:rPr>
          <w:color w:val="000000"/>
        </w:rPr>
        <w:t xml:space="preserve">- Em parceria com o Centro de Estudos, foram promovidos diversos cursos e treinamentos, inclusive treinamento presencial e à distância com recursos da tecnologia da informação, para </w:t>
      </w:r>
      <w:r>
        <w:t>Pro</w:t>
      </w:r>
      <w:r>
        <w:rPr>
          <w:color w:val="000000"/>
        </w:rPr>
        <w:t>curadores e servidores classificados na Capital e no interior do Estado.</w:t>
      </w:r>
    </w:p>
    <w:p w:rsidR="003E6588" w:rsidRDefault="003E6588">
      <w:pPr>
        <w:tabs>
          <w:tab w:val="center" w:pos="0"/>
          <w:tab w:val="center" w:pos="284"/>
        </w:tabs>
        <w:autoSpaceDE w:val="0"/>
        <w:autoSpaceDN w:val="0"/>
        <w:adjustRightInd w:val="0"/>
        <w:ind w:firstLine="1134"/>
        <w:jc w:val="both"/>
        <w:rPr>
          <w:b/>
          <w:color w:val="000000"/>
        </w:rPr>
      </w:pPr>
    </w:p>
    <w:p w:rsidR="003E6588" w:rsidRDefault="003E6588">
      <w:pPr>
        <w:tabs>
          <w:tab w:val="center" w:pos="0"/>
          <w:tab w:val="center" w:pos="284"/>
        </w:tabs>
        <w:autoSpaceDE w:val="0"/>
        <w:autoSpaceDN w:val="0"/>
        <w:adjustRightInd w:val="0"/>
        <w:ind w:firstLine="1134"/>
        <w:jc w:val="both"/>
        <w:rPr>
          <w:b/>
          <w:color w:val="000000"/>
        </w:rPr>
      </w:pPr>
      <w:r>
        <w:rPr>
          <w:color w:val="000000"/>
        </w:rPr>
        <w:t>- Realização, pelos Procuradores do Estado em atuação da Procuradoria de Procedimentos Disciplinares, de palestras na Secretaria da Saúde, para sanar deficiências comuns verificadas nas apurações preliminares realizadas no âmbito da Pasta.</w:t>
      </w:r>
    </w:p>
    <w:p w:rsidR="003E6588" w:rsidRDefault="003E6588">
      <w:pPr>
        <w:tabs>
          <w:tab w:val="center" w:pos="0"/>
          <w:tab w:val="center" w:pos="284"/>
        </w:tabs>
        <w:autoSpaceDE w:val="0"/>
        <w:autoSpaceDN w:val="0"/>
        <w:adjustRightInd w:val="0"/>
        <w:ind w:firstLine="1134"/>
        <w:jc w:val="both"/>
        <w:rPr>
          <w:b/>
          <w:color w:val="000000"/>
        </w:rPr>
      </w:pPr>
    </w:p>
    <w:p w:rsidR="003E6588" w:rsidRDefault="003E6588">
      <w:pPr>
        <w:tabs>
          <w:tab w:val="center" w:pos="0"/>
          <w:tab w:val="center" w:pos="284"/>
        </w:tabs>
        <w:autoSpaceDE w:val="0"/>
        <w:autoSpaceDN w:val="0"/>
        <w:adjustRightInd w:val="0"/>
        <w:ind w:firstLine="1134"/>
        <w:jc w:val="both"/>
        <w:rPr>
          <w:b/>
          <w:color w:val="000000"/>
        </w:rPr>
      </w:pPr>
      <w:r>
        <w:rPr>
          <w:color w:val="000000"/>
        </w:rPr>
        <w:t xml:space="preserve">- Foi realizado curso referente às restrições da legislação eleitoral e </w:t>
      </w:r>
      <w:r>
        <w:t>Lei de Responsabilidade Fiscal, em conjunto com a SEFAZ e SEPLAN, dirigido aos Chefes de Gab</w:t>
      </w:r>
      <w:r>
        <w:rPr>
          <w:color w:val="000000"/>
        </w:rPr>
        <w:t>inetes das Secretarias e Autarquias.</w:t>
      </w:r>
    </w:p>
    <w:p w:rsidR="003E6588" w:rsidRDefault="003E6588">
      <w:pPr>
        <w:tabs>
          <w:tab w:val="center" w:pos="284"/>
          <w:tab w:val="center" w:pos="993"/>
        </w:tabs>
        <w:autoSpaceDE w:val="0"/>
        <w:autoSpaceDN w:val="0"/>
        <w:adjustRightInd w:val="0"/>
        <w:jc w:val="both"/>
        <w:rPr>
          <w:b/>
          <w:color w:val="000000"/>
        </w:rPr>
      </w:pPr>
    </w:p>
    <w:p w:rsidR="003E6588" w:rsidRDefault="003E6588">
      <w:pPr>
        <w:tabs>
          <w:tab w:val="center" w:pos="0"/>
          <w:tab w:val="center" w:pos="284"/>
        </w:tabs>
        <w:autoSpaceDE w:val="0"/>
        <w:autoSpaceDN w:val="0"/>
        <w:adjustRightInd w:val="0"/>
        <w:ind w:firstLine="1134"/>
        <w:jc w:val="both"/>
        <w:rPr>
          <w:b/>
          <w:color w:val="000000"/>
        </w:rPr>
      </w:pPr>
      <w:r>
        <w:rPr>
          <w:color w:val="000000"/>
        </w:rPr>
        <w:t xml:space="preserve">- Participação em grupos de trabalho de natureza multidisciplinar, com objetivo de formular proposta legislativa para instituição de Bonificação por Resultados-BR destinada aos servidores da PGE; acompanhar prestação de contas e a fiscalização dos contratos de gestão celebrados com </w:t>
      </w:r>
      <w:r>
        <w:rPr>
          <w:color w:val="000000"/>
        </w:rPr>
        <w:lastRenderedPageBreak/>
        <w:t>Organizações Sociais; estudar a aplicação da Lei federal n</w:t>
      </w:r>
      <w:r w:rsidR="00E42696">
        <w:rPr>
          <w:color w:val="000000"/>
        </w:rPr>
        <w:t>º</w:t>
      </w:r>
      <w:r>
        <w:rPr>
          <w:color w:val="000000"/>
        </w:rPr>
        <w:t xml:space="preserve"> 13.019</w:t>
      </w:r>
      <w:r w:rsidR="00E42696">
        <w:rPr>
          <w:color w:val="000000"/>
        </w:rPr>
        <w:t>/</w:t>
      </w:r>
      <w:r w:rsidRPr="00E42696">
        <w:t>2014, no âmbito</w:t>
      </w:r>
      <w:r>
        <w:rPr>
          <w:color w:val="000000"/>
        </w:rPr>
        <w:t xml:space="preserve"> da Administração Pública estadual; aprimoramento da Bonificação por Resultados no âmbito da Administração; instituição da Bonificação por Resultados no âmbito da Secretaria de Assuntos Penitenciários e estudo do impacto da decisão do STF no julgamento da ADI 1842/RJ no serviço de saneamento básico prestado pela SABESP no Estado.</w:t>
      </w:r>
    </w:p>
    <w:p w:rsidR="003E6588" w:rsidRDefault="003E6588">
      <w:pPr>
        <w:tabs>
          <w:tab w:val="center" w:pos="284"/>
          <w:tab w:val="center" w:pos="993"/>
        </w:tabs>
        <w:autoSpaceDE w:val="0"/>
        <w:autoSpaceDN w:val="0"/>
        <w:adjustRightInd w:val="0"/>
        <w:ind w:firstLine="1134"/>
        <w:jc w:val="both"/>
        <w:rPr>
          <w:color w:val="000000"/>
        </w:rPr>
      </w:pPr>
    </w:p>
    <w:p w:rsidR="003E6588" w:rsidRDefault="003E6588">
      <w:pPr>
        <w:tabs>
          <w:tab w:val="center" w:pos="284"/>
          <w:tab w:val="center" w:pos="993"/>
        </w:tabs>
        <w:autoSpaceDE w:val="0"/>
        <w:autoSpaceDN w:val="0"/>
        <w:adjustRightInd w:val="0"/>
        <w:ind w:firstLine="1134"/>
        <w:jc w:val="both"/>
        <w:rPr>
          <w:color w:val="000000"/>
        </w:rPr>
      </w:pPr>
      <w:r>
        <w:rPr>
          <w:color w:val="000000"/>
        </w:rPr>
        <w:t xml:space="preserve">No que diz respeito aos </w:t>
      </w:r>
      <w:r>
        <w:rPr>
          <w:b/>
          <w:color w:val="000000"/>
        </w:rPr>
        <w:t>pareceres jurídicos</w:t>
      </w:r>
      <w:r>
        <w:rPr>
          <w:color w:val="000000"/>
        </w:rPr>
        <w:t>, foram elaborados pela Área da Consultoria Geral 35.700 pareceres. Dentre eles, merecem destaque:</w:t>
      </w:r>
    </w:p>
    <w:p w:rsidR="00E42696" w:rsidRDefault="00E42696">
      <w:pPr>
        <w:tabs>
          <w:tab w:val="center" w:pos="284"/>
          <w:tab w:val="center" w:pos="993"/>
        </w:tabs>
        <w:autoSpaceDE w:val="0"/>
        <w:autoSpaceDN w:val="0"/>
        <w:adjustRightInd w:val="0"/>
        <w:ind w:firstLine="1134"/>
        <w:jc w:val="both"/>
        <w:rPr>
          <w:b/>
          <w:color w:val="000000"/>
        </w:rPr>
      </w:pPr>
    </w:p>
    <w:p w:rsidR="003E6588" w:rsidRDefault="003E6588">
      <w:pPr>
        <w:autoSpaceDE w:val="0"/>
        <w:autoSpaceDN w:val="0"/>
        <w:adjustRightInd w:val="0"/>
        <w:ind w:firstLine="1134"/>
        <w:jc w:val="both"/>
        <w:rPr>
          <w:b/>
          <w:color w:val="000000"/>
        </w:rPr>
      </w:pPr>
      <w:r>
        <w:rPr>
          <w:b/>
          <w:color w:val="000000"/>
        </w:rPr>
        <w:t>Área de Logística e Transportes</w:t>
      </w:r>
    </w:p>
    <w:p w:rsidR="003E6588" w:rsidRDefault="003E6588">
      <w:pPr>
        <w:autoSpaceDE w:val="0"/>
        <w:autoSpaceDN w:val="0"/>
        <w:adjustRightInd w:val="0"/>
        <w:ind w:firstLine="1134"/>
        <w:jc w:val="both"/>
        <w:rPr>
          <w:color w:val="000000"/>
        </w:rPr>
      </w:pPr>
    </w:p>
    <w:p w:rsidR="003E6588" w:rsidRDefault="003E6588">
      <w:pPr>
        <w:tabs>
          <w:tab w:val="center" w:pos="284"/>
        </w:tabs>
        <w:autoSpaceDE w:val="0"/>
        <w:autoSpaceDN w:val="0"/>
        <w:adjustRightInd w:val="0"/>
        <w:ind w:left="1134"/>
        <w:jc w:val="both"/>
        <w:rPr>
          <w:color w:val="000000"/>
        </w:rPr>
      </w:pPr>
      <w:r>
        <w:rPr>
          <w:color w:val="000000"/>
        </w:rPr>
        <w:t>- Exame dos instrumentos jurídicos relativos à licitação do túnel Santos/Guarujá.</w:t>
      </w:r>
    </w:p>
    <w:p w:rsidR="003E6588" w:rsidRDefault="003E6588">
      <w:pPr>
        <w:tabs>
          <w:tab w:val="center" w:pos="284"/>
        </w:tabs>
        <w:autoSpaceDE w:val="0"/>
        <w:autoSpaceDN w:val="0"/>
        <w:adjustRightInd w:val="0"/>
        <w:ind w:left="1134"/>
        <w:jc w:val="both"/>
        <w:rPr>
          <w:color w:val="000000"/>
        </w:rPr>
      </w:pPr>
    </w:p>
    <w:p w:rsidR="003E6588" w:rsidRDefault="003E6588">
      <w:pPr>
        <w:tabs>
          <w:tab w:val="center" w:pos="284"/>
        </w:tabs>
        <w:autoSpaceDE w:val="0"/>
        <w:autoSpaceDN w:val="0"/>
        <w:adjustRightInd w:val="0"/>
        <w:ind w:firstLine="1134"/>
        <w:jc w:val="both"/>
        <w:rPr>
          <w:color w:val="000000"/>
        </w:rPr>
      </w:pPr>
      <w:r>
        <w:rPr>
          <w:color w:val="000000"/>
        </w:rPr>
        <w:t xml:space="preserve">- Encerramento de processos administrativos conduzidos no âmbito da Agência Reguladora de Serviços Públicos Delegados de Transportes do Estado de São Paulo </w:t>
      </w:r>
      <w:r w:rsidR="00E42696">
        <w:rPr>
          <w:color w:val="000000"/>
        </w:rPr>
        <w:t>-</w:t>
      </w:r>
      <w:r>
        <w:rPr>
          <w:color w:val="000000"/>
        </w:rPr>
        <w:t xml:space="preserve"> ARTESP, com o fito de rever aditamentos contratuais celebrados ao final de 2006, que reequilibraram a equação econômico-financeira dos contratos de concessão de rodovias paulistas.</w:t>
      </w:r>
    </w:p>
    <w:p w:rsidR="003E6588" w:rsidRDefault="003E6588">
      <w:pPr>
        <w:tabs>
          <w:tab w:val="center" w:pos="284"/>
        </w:tabs>
        <w:autoSpaceDE w:val="0"/>
        <w:autoSpaceDN w:val="0"/>
        <w:adjustRightInd w:val="0"/>
        <w:jc w:val="both"/>
        <w:rPr>
          <w:color w:val="000000"/>
        </w:rPr>
      </w:pPr>
    </w:p>
    <w:p w:rsidR="003E6588" w:rsidRDefault="003E6588">
      <w:pPr>
        <w:tabs>
          <w:tab w:val="center" w:pos="284"/>
        </w:tabs>
        <w:autoSpaceDE w:val="0"/>
        <w:autoSpaceDN w:val="0"/>
        <w:adjustRightInd w:val="0"/>
        <w:ind w:firstLine="1134"/>
        <w:jc w:val="both"/>
        <w:rPr>
          <w:color w:val="000000"/>
        </w:rPr>
      </w:pPr>
      <w:r>
        <w:rPr>
          <w:color w:val="000000"/>
        </w:rPr>
        <w:t xml:space="preserve">- Exame, em conjunto com a Coordenadoria de Empresas e </w:t>
      </w:r>
      <w:r w:rsidRPr="00E42696">
        <w:t>Fundações - CEF</w:t>
      </w:r>
      <w:r>
        <w:rPr>
          <w:color w:val="000000"/>
        </w:rPr>
        <w:t>, dos instrumentos jurídicos necessários à licitação para Parceria Público-Privada relativa à duplicação da Rodovia dos Tamoios.</w:t>
      </w:r>
    </w:p>
    <w:p w:rsidR="003E6588" w:rsidRDefault="003E6588">
      <w:pPr>
        <w:tabs>
          <w:tab w:val="center" w:pos="284"/>
        </w:tabs>
        <w:autoSpaceDE w:val="0"/>
        <w:autoSpaceDN w:val="0"/>
        <w:adjustRightInd w:val="0"/>
        <w:jc w:val="both"/>
        <w:rPr>
          <w:color w:val="000000"/>
        </w:rPr>
      </w:pPr>
    </w:p>
    <w:p w:rsidR="003E6588" w:rsidRDefault="003E6588">
      <w:pPr>
        <w:autoSpaceDE w:val="0"/>
        <w:autoSpaceDN w:val="0"/>
        <w:adjustRightInd w:val="0"/>
        <w:ind w:firstLine="1134"/>
        <w:jc w:val="both"/>
        <w:rPr>
          <w:color w:val="000000"/>
        </w:rPr>
      </w:pPr>
      <w:r>
        <w:rPr>
          <w:b/>
          <w:color w:val="000000"/>
        </w:rPr>
        <w:t xml:space="preserve">Área da Fazenda Pública - </w:t>
      </w:r>
      <w:r>
        <w:rPr>
          <w:color w:val="000000"/>
        </w:rPr>
        <w:t>Delineamento da nova contratação do Banco do Brasil pelo Estado.</w:t>
      </w:r>
    </w:p>
    <w:p w:rsidR="003E6588" w:rsidRDefault="003E6588">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color w:val="000000"/>
        </w:rPr>
      </w:pPr>
      <w:r>
        <w:rPr>
          <w:b/>
          <w:color w:val="000000"/>
        </w:rPr>
        <w:t xml:space="preserve">Área da Segurança Pública - </w:t>
      </w:r>
      <w:r>
        <w:rPr>
          <w:color w:val="000000"/>
        </w:rPr>
        <w:t xml:space="preserve">Exame dos instrumentos jurídicos necessários à licitação da construção de 10 </w:t>
      </w:r>
      <w:r w:rsidRPr="00E42696">
        <w:rPr>
          <w:color w:val="000000"/>
        </w:rPr>
        <w:t>estabelecimentos prisionais</w:t>
      </w:r>
      <w:r>
        <w:rPr>
          <w:color w:val="000000"/>
        </w:rPr>
        <w:t xml:space="preserve"> no Estado.</w:t>
      </w:r>
    </w:p>
    <w:p w:rsidR="003E6588" w:rsidRDefault="003E6588">
      <w:pPr>
        <w:tabs>
          <w:tab w:val="center" w:pos="284"/>
        </w:tabs>
        <w:autoSpaceDE w:val="0"/>
        <w:autoSpaceDN w:val="0"/>
        <w:adjustRightInd w:val="0"/>
        <w:ind w:firstLine="1134"/>
        <w:jc w:val="both"/>
        <w:rPr>
          <w:color w:val="000000"/>
        </w:rPr>
      </w:pPr>
    </w:p>
    <w:p w:rsidR="003E6588" w:rsidRDefault="003E6588">
      <w:pPr>
        <w:tabs>
          <w:tab w:val="center" w:pos="284"/>
        </w:tabs>
        <w:autoSpaceDE w:val="0"/>
        <w:autoSpaceDN w:val="0"/>
        <w:adjustRightInd w:val="0"/>
        <w:ind w:firstLine="1134"/>
        <w:jc w:val="both"/>
        <w:rPr>
          <w:color w:val="000000"/>
        </w:rPr>
      </w:pPr>
      <w:r>
        <w:rPr>
          <w:rFonts w:eastAsia="Calibri"/>
          <w:b/>
          <w:bCs/>
          <w:color w:val="000000"/>
          <w:lang w:eastAsia="en-US"/>
        </w:rPr>
        <w:t>"Pátio Santo Amaro" -</w:t>
      </w:r>
      <w:r>
        <w:rPr>
          <w:rFonts w:eastAsia="Calibri"/>
          <w:bCs/>
          <w:color w:val="000000"/>
          <w:lang w:eastAsia="en-US"/>
        </w:rPr>
        <w:t xml:space="preserve"> Superação de entraves à realização de </w:t>
      </w:r>
      <w:r>
        <w:rPr>
          <w:rFonts w:eastAsia="Calibri"/>
          <w:color w:val="000000"/>
          <w:lang w:eastAsia="en-US"/>
        </w:rPr>
        <w:t>compactação dos veículos em estado de sucata; credenciamento de leiloeiros para a alienação de lotes de sucata compactada; realização de leilão para alienação da sucata; realização de dois pregões eletrônicos para contratação de serviço de guarda e conservação de veículos oriundos de novas apreensões e removidos do Pátio Santo Amaro, que não foram compactados; contratação de serviço de remoção de veículos.</w:t>
      </w:r>
    </w:p>
    <w:p w:rsidR="003E6588" w:rsidRDefault="003E6588">
      <w:pPr>
        <w:tabs>
          <w:tab w:val="center" w:pos="284"/>
        </w:tabs>
        <w:autoSpaceDE w:val="0"/>
        <w:autoSpaceDN w:val="0"/>
        <w:adjustRightInd w:val="0"/>
        <w:jc w:val="both"/>
        <w:rPr>
          <w:color w:val="000000"/>
        </w:rPr>
      </w:pPr>
    </w:p>
    <w:p w:rsidR="003E6588" w:rsidRPr="00E42696" w:rsidRDefault="003E6588">
      <w:pPr>
        <w:tabs>
          <w:tab w:val="center" w:pos="284"/>
        </w:tabs>
        <w:autoSpaceDE w:val="0"/>
        <w:autoSpaceDN w:val="0"/>
        <w:adjustRightInd w:val="0"/>
        <w:ind w:firstLine="1134"/>
        <w:jc w:val="both"/>
        <w:rPr>
          <w:color w:val="000000"/>
        </w:rPr>
      </w:pPr>
      <w:r>
        <w:rPr>
          <w:rFonts w:eastAsia="Calibri"/>
          <w:color w:val="000000"/>
          <w:lang w:eastAsia="en-US"/>
        </w:rPr>
        <w:t xml:space="preserve">Exame de instrumentos jurídicos necessários à celebração de parceria com entes federados na área de </w:t>
      </w:r>
      <w:r w:rsidRPr="00E42696">
        <w:rPr>
          <w:rFonts w:eastAsia="Calibri"/>
          <w:color w:val="000000"/>
          <w:lang w:eastAsia="en-US"/>
        </w:rPr>
        <w:t>polícia judiciária e polícia de trânsito.</w:t>
      </w:r>
    </w:p>
    <w:p w:rsidR="003E6588" w:rsidRDefault="003E6588">
      <w:pPr>
        <w:autoSpaceDE w:val="0"/>
        <w:autoSpaceDN w:val="0"/>
        <w:adjustRightInd w:val="0"/>
        <w:ind w:firstLine="1134"/>
        <w:jc w:val="both"/>
        <w:rPr>
          <w:rFonts w:eastAsia="Calibri"/>
          <w:b/>
          <w:color w:val="000000"/>
          <w:lang w:eastAsia="en-US"/>
        </w:rPr>
      </w:pPr>
    </w:p>
    <w:p w:rsidR="003E6588" w:rsidRDefault="003E6588">
      <w:pPr>
        <w:autoSpaceDE w:val="0"/>
        <w:autoSpaceDN w:val="0"/>
        <w:adjustRightInd w:val="0"/>
        <w:ind w:firstLine="1134"/>
        <w:jc w:val="both"/>
        <w:rPr>
          <w:color w:val="000000"/>
        </w:rPr>
      </w:pPr>
      <w:r>
        <w:rPr>
          <w:rFonts w:eastAsia="Calibri"/>
          <w:b/>
          <w:color w:val="000000"/>
          <w:lang w:eastAsia="en-US"/>
        </w:rPr>
        <w:t xml:space="preserve">Procedimentos Disciplinares - PPD - </w:t>
      </w:r>
      <w:r>
        <w:rPr>
          <w:rFonts w:eastAsia="Calibri"/>
          <w:color w:val="000000"/>
          <w:lang w:eastAsia="en-US"/>
        </w:rPr>
        <w:t>Edição de 1.768 portarias instauradoras de processos disciplinares e conclusão de 1.498 sindicâncias/processos disciplinares.</w:t>
      </w:r>
    </w:p>
    <w:p w:rsidR="003E6588" w:rsidRDefault="003E6588">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color w:val="000000"/>
        </w:rPr>
      </w:pPr>
      <w:r>
        <w:rPr>
          <w:b/>
          <w:color w:val="000000"/>
        </w:rPr>
        <w:t xml:space="preserve">Procuradoria Administrativa - PA - </w:t>
      </w:r>
      <w:r>
        <w:rPr>
          <w:color w:val="000000"/>
        </w:rPr>
        <w:t>Elaboração de 128 pareceres jurídicos sobre matéria jurídica de interesse da Administração Pública Direta e Indireta e minuta de 15 petições iniciais de Ações Diretas de Inconstitucionalidade.</w:t>
      </w:r>
    </w:p>
    <w:p w:rsidR="003E6588" w:rsidRDefault="003E6588">
      <w:pPr>
        <w:autoSpaceDE w:val="0"/>
        <w:autoSpaceDN w:val="0"/>
        <w:adjustRightInd w:val="0"/>
        <w:ind w:firstLine="1134"/>
        <w:jc w:val="both"/>
        <w:rPr>
          <w:color w:val="000000"/>
        </w:rPr>
      </w:pPr>
      <w:r>
        <w:rPr>
          <w:b/>
          <w:color w:val="000000"/>
        </w:rPr>
        <w:lastRenderedPageBreak/>
        <w:t>Procuradoria para Assuntos Tributários - PAT -</w:t>
      </w:r>
      <w:r>
        <w:rPr>
          <w:color w:val="000000"/>
        </w:rPr>
        <w:t>Elaboração de 55 pareceres jurídicos sobre matéria tributária de interesse da Fazenda do Estado e minuta de 28 petições iniciais de Ações Diretas de Inconstitucionalidade em matéria tributária.</w:t>
      </w:r>
    </w:p>
    <w:p w:rsidR="003E6588" w:rsidRDefault="003E6588">
      <w:pPr>
        <w:autoSpaceDE w:val="0"/>
        <w:autoSpaceDN w:val="0"/>
        <w:adjustRightInd w:val="0"/>
        <w:ind w:left="1134"/>
        <w:jc w:val="both"/>
        <w:rPr>
          <w:b/>
          <w:color w:val="000000"/>
        </w:rPr>
      </w:pPr>
    </w:p>
    <w:p w:rsidR="003E6588" w:rsidRDefault="003E6588">
      <w:pPr>
        <w:autoSpaceDE w:val="0"/>
        <w:autoSpaceDN w:val="0"/>
        <w:adjustRightInd w:val="0"/>
        <w:ind w:firstLine="1134"/>
        <w:jc w:val="both"/>
        <w:rPr>
          <w:color w:val="000000"/>
        </w:rPr>
      </w:pPr>
      <w:r>
        <w:rPr>
          <w:b/>
          <w:color w:val="000000"/>
        </w:rPr>
        <w:t xml:space="preserve">Procuradoria da Fazenda do Estado junto ao Tribunal de Contas do Estado - </w:t>
      </w:r>
      <w:r>
        <w:rPr>
          <w:color w:val="000000"/>
        </w:rPr>
        <w:t>Elaboração de 10.382 manifestações e 74 pareceres jurídicos na representação e defesa da Fazenda do Estado perante o Tribunal de Contas.</w:t>
      </w:r>
    </w:p>
    <w:p w:rsidR="003E6588" w:rsidRDefault="003E6588">
      <w:pPr>
        <w:autoSpaceDE w:val="0"/>
        <w:autoSpaceDN w:val="0"/>
        <w:adjustRightInd w:val="0"/>
        <w:ind w:firstLine="1134"/>
        <w:jc w:val="both"/>
        <w:rPr>
          <w:color w:val="000000"/>
        </w:rPr>
      </w:pPr>
    </w:p>
    <w:p w:rsidR="003E6588" w:rsidRDefault="003E6588">
      <w:pPr>
        <w:tabs>
          <w:tab w:val="center" w:pos="284"/>
        </w:tabs>
        <w:autoSpaceDE w:val="0"/>
        <w:autoSpaceDN w:val="0"/>
        <w:adjustRightInd w:val="0"/>
        <w:ind w:firstLine="1134"/>
        <w:jc w:val="both"/>
        <w:rPr>
          <w:color w:val="000000"/>
        </w:rPr>
      </w:pPr>
      <w:r>
        <w:rPr>
          <w:color w:val="000000"/>
        </w:rPr>
        <w:t xml:space="preserve">A PGE, por meio de atuação conjunta das Áreas da Consultoria e Contencioso Geral, está promovendo a defesa do Estado em </w:t>
      </w:r>
      <w:r w:rsidRPr="00E42696">
        <w:rPr>
          <w:color w:val="000000"/>
        </w:rPr>
        <w:t>procedimento arbitral</w:t>
      </w:r>
      <w:r>
        <w:rPr>
          <w:color w:val="000000"/>
        </w:rPr>
        <w:t xml:space="preserve"> requerido pela Alstom Brasil Energia e Transporte Ltda. contra o Estado de São Paulo e o Metrô, cujo objeto é o pedido de reequilíbrio econômico-financeiro do contrato STM 006/2008-4126721201. Trata-se da primeira arbitragem requerida diretamente contra o Estado de São Paulo.</w:t>
      </w:r>
    </w:p>
    <w:p w:rsidR="003E6588" w:rsidRDefault="003E6588">
      <w:pPr>
        <w:tabs>
          <w:tab w:val="center" w:pos="284"/>
        </w:tabs>
        <w:autoSpaceDE w:val="0"/>
        <w:autoSpaceDN w:val="0"/>
        <w:adjustRightInd w:val="0"/>
        <w:ind w:firstLine="1134"/>
        <w:jc w:val="both"/>
        <w:rPr>
          <w:color w:val="000000"/>
        </w:rPr>
      </w:pPr>
    </w:p>
    <w:p w:rsidR="003E6588" w:rsidRDefault="003E6588">
      <w:pPr>
        <w:tabs>
          <w:tab w:val="center" w:pos="284"/>
        </w:tabs>
        <w:autoSpaceDE w:val="0"/>
        <w:autoSpaceDN w:val="0"/>
        <w:adjustRightInd w:val="0"/>
        <w:ind w:firstLine="1134"/>
        <w:jc w:val="both"/>
        <w:rPr>
          <w:color w:val="000000"/>
        </w:rPr>
      </w:pPr>
      <w:r>
        <w:rPr>
          <w:color w:val="000000"/>
        </w:rPr>
        <w:t xml:space="preserve">Também fruto de atuação conjunta das Áreas da Consultoria Geral (Coordenadoria de Assuntos Fundiários/Consultoria Jurídica da Secretaria da Administração Penitenciária e Procuradoria da Fazenda junto ao Tribunal de Contas) e do Contencioso Geral, o Tribunal de Contas do Estado julgou improcedente representação apresentada em face de edital de </w:t>
      </w:r>
      <w:r w:rsidRPr="00E42696">
        <w:rPr>
          <w:color w:val="000000"/>
        </w:rPr>
        <w:t>licitação referente à construção de estabelecimento prisional no Município de Aguaí</w:t>
      </w:r>
      <w:r>
        <w:rPr>
          <w:color w:val="000000"/>
        </w:rPr>
        <w:t>.</w:t>
      </w:r>
    </w:p>
    <w:p w:rsidR="003E6588" w:rsidRDefault="003E6588">
      <w:pPr>
        <w:tabs>
          <w:tab w:val="center" w:pos="284"/>
        </w:tabs>
        <w:autoSpaceDE w:val="0"/>
        <w:autoSpaceDN w:val="0"/>
        <w:adjustRightInd w:val="0"/>
        <w:ind w:firstLine="1134"/>
        <w:jc w:val="both"/>
        <w:rPr>
          <w:color w:val="000000"/>
        </w:rPr>
      </w:pPr>
    </w:p>
    <w:p w:rsidR="003E6588" w:rsidRDefault="003E6588">
      <w:pPr>
        <w:tabs>
          <w:tab w:val="center" w:pos="284"/>
        </w:tabs>
        <w:autoSpaceDE w:val="0"/>
        <w:autoSpaceDN w:val="0"/>
        <w:adjustRightInd w:val="0"/>
        <w:ind w:firstLine="1134"/>
        <w:jc w:val="both"/>
        <w:rPr>
          <w:color w:val="000000"/>
        </w:rPr>
      </w:pPr>
      <w:r>
        <w:rPr>
          <w:color w:val="000000"/>
        </w:rPr>
        <w:t>- Ainda em atuação conjunta com a Área do Contencioso foram discutidas e solucionadas várias questões imobiliárias/ambientais.</w:t>
      </w:r>
    </w:p>
    <w:p w:rsidR="003E6588" w:rsidRDefault="003E6588">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color w:val="000000"/>
        </w:rPr>
      </w:pPr>
      <w:r>
        <w:rPr>
          <w:b/>
          <w:color w:val="000000"/>
        </w:rPr>
        <w:t xml:space="preserve">Coordenadoria de Precatórios - </w:t>
      </w:r>
      <w:r>
        <w:rPr>
          <w:color w:val="000000"/>
        </w:rPr>
        <w:t>A Coordenadoria de Precatórios, vinculada diretamente ao Gabinete do Procurador Geral administra o Sistema Único de Controle de Requisitórios Judiciais, instituído pelo artigo 3º do Decreto n</w:t>
      </w:r>
      <w:r w:rsidRPr="00E42696">
        <w:t xml:space="preserve">º </w:t>
      </w:r>
      <w:r>
        <w:rPr>
          <w:color w:val="000000"/>
        </w:rPr>
        <w:t>55.300</w:t>
      </w:r>
      <w:r w:rsidR="00E42696">
        <w:rPr>
          <w:color w:val="000000"/>
        </w:rPr>
        <w:t>/</w:t>
      </w:r>
      <w:r>
        <w:rPr>
          <w:color w:val="000000"/>
        </w:rPr>
        <w:t>2009, por intermédio do qual é mantido o registro cadastral e de pagamentos de todos os requisitórios da Administração direta e indireta. Esse Sistema reúne informações de todos os requisitórios (precatórios e requisições de obrigações de pequeno valor) e respectivos pagamentos, tanto da Administração direta quanto das entidades da Administração indireta, para fins de controle estatístico, verificação dos pagamentos e conferência da ordem em que realizados.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Compete à Coordenadoria de Precatórios providenciar a inclusão no Sistema dos precatórios e requisitórios de pequeno valor da Administração direta e das entidades da Administração indireta. A Coordenadoria de Precatórios realiza a defesa do Estado e de suas autarquias nos pedidos de sequestro de rendas públicas, bem como nas intervenções federais propostas em face do Governador do Estado, e atua diretamente em todos os demais incidentes administrativos atinentes a precatórios, em trâmite perante as Presidências dos Tribunais.</w:t>
      </w:r>
    </w:p>
    <w:p w:rsidR="003E6588" w:rsidRDefault="003E6588">
      <w:pPr>
        <w:autoSpaceDE w:val="0"/>
        <w:autoSpaceDN w:val="0"/>
        <w:adjustRightInd w:val="0"/>
        <w:ind w:firstLine="1134"/>
        <w:jc w:val="both"/>
        <w:rPr>
          <w:strike/>
          <w:color w:val="000000"/>
        </w:rPr>
      </w:pPr>
    </w:p>
    <w:p w:rsidR="003E6588" w:rsidRDefault="003E6588">
      <w:pPr>
        <w:autoSpaceDE w:val="0"/>
        <w:autoSpaceDN w:val="0"/>
        <w:adjustRightInd w:val="0"/>
        <w:ind w:firstLine="1134"/>
        <w:jc w:val="both"/>
        <w:rPr>
          <w:color w:val="000000"/>
        </w:rPr>
      </w:pPr>
      <w:r>
        <w:rPr>
          <w:color w:val="000000"/>
        </w:rPr>
        <w:t>Pagamento efetivado - R$ 2.136.447.310,49, sendo:</w:t>
      </w:r>
    </w:p>
    <w:p w:rsidR="003E6588" w:rsidRDefault="003E6588">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color w:val="000000"/>
        </w:rPr>
      </w:pPr>
      <w:r>
        <w:rPr>
          <w:b/>
          <w:color w:val="000000"/>
        </w:rPr>
        <w:t xml:space="preserve">- </w:t>
      </w:r>
      <w:r>
        <w:rPr>
          <w:color w:val="000000"/>
        </w:rPr>
        <w:t>R$ 318.800.378,71 em atendimento a requisições diretas de pagamento de obrigações de pequeno valor, beneficiando 56.056 credores em 13.377 requisitórios.</w:t>
      </w:r>
    </w:p>
    <w:p w:rsidR="003E6588" w:rsidRDefault="003E6588">
      <w:pPr>
        <w:autoSpaceDE w:val="0"/>
        <w:autoSpaceDN w:val="0"/>
        <w:adjustRightInd w:val="0"/>
        <w:ind w:firstLine="1134"/>
        <w:jc w:val="both"/>
        <w:rPr>
          <w:b/>
          <w:color w:val="000000"/>
        </w:rPr>
      </w:pPr>
      <w:r>
        <w:rPr>
          <w:b/>
          <w:color w:val="000000"/>
        </w:rPr>
        <w:lastRenderedPageBreak/>
        <w:t xml:space="preserve">- </w:t>
      </w:r>
      <w:r>
        <w:rPr>
          <w:color w:val="000000"/>
        </w:rPr>
        <w:t>R$ 1.817.646.931,78 depositados em conta do Tribunal de Justiça do Estado, para a realização de pagamentos de precatórios, como previsto pela EC 62.</w:t>
      </w:r>
    </w:p>
    <w:p w:rsidR="003E6588" w:rsidRDefault="003E6588">
      <w:pPr>
        <w:autoSpaceDE w:val="0"/>
        <w:autoSpaceDN w:val="0"/>
        <w:adjustRightInd w:val="0"/>
        <w:ind w:firstLine="1134"/>
        <w:jc w:val="both"/>
        <w:rPr>
          <w:b/>
          <w:bCs/>
          <w:color w:val="000000"/>
        </w:rPr>
      </w:pPr>
    </w:p>
    <w:p w:rsidR="003E6588" w:rsidRDefault="003E6588">
      <w:pPr>
        <w:autoSpaceDE w:val="0"/>
        <w:autoSpaceDN w:val="0"/>
        <w:adjustRightInd w:val="0"/>
        <w:ind w:firstLine="1134"/>
        <w:jc w:val="both"/>
        <w:rPr>
          <w:b/>
          <w:bCs/>
          <w:color w:val="000000"/>
        </w:rPr>
      </w:pPr>
      <w:r>
        <w:rPr>
          <w:b/>
          <w:bCs/>
          <w:color w:val="000000"/>
        </w:rPr>
        <w:t xml:space="preserve">Coordenadoria de Empresas e Fundações - </w:t>
      </w:r>
      <w:r>
        <w:rPr>
          <w:color w:val="000000"/>
        </w:rPr>
        <w:t>Essa Coordenadoria tem por objetivo atuar em conjunto com os departamentos jurídicos das empresas nas quais o Estado detenha a maioria do capital social, bem como das fundações mantidas com recursos públicos.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b/>
          <w:bCs/>
          <w:color w:val="000000"/>
        </w:rPr>
      </w:pPr>
      <w:r>
        <w:rPr>
          <w:color w:val="000000"/>
        </w:rPr>
        <w:t>Além de atendimentos para tratar de assuntos de relevo para as empresas e fundações, foram realizados encontros jurídicos, com o apoio do Centro de Estudos da PGE, para discussão de temas de interesse dos órgãos jurídicos, como “Lei Anticorrupção” e “Procedimentos internos de apuração de irregularidades”.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A Coordenadoria atuou em três processos arbitrais em que o Estado é parte, envolvendo contratos celebrados no âmbito da Secretaria de Transportes Metropolitanos.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xml:space="preserve">A Coordenadoria também presta suporte jurídico aos projetos de Parcerias Público Privadas, que vêm sendo estudados e modelados junto à Secretaria Executiva do Conselho Gestor de PPPs, e vem acompanhando a estruturação de projetos, entre os quais se destacam </w:t>
      </w:r>
      <w:r w:rsidRPr="00E42696">
        <w:rPr>
          <w:color w:val="000000"/>
        </w:rPr>
        <w:t>“Linha 18 do METRÔ”, “Tamoios”, “SIM da Baixada”, “Hospitais”, “Habitação”</w:t>
      </w:r>
      <w:r>
        <w:rPr>
          <w:color w:val="000000"/>
        </w:rPr>
        <w:t>, além do acompanhamento dos projetos das PPPs da Linha 6 e da FURP que resultaram em contratos assinados.</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b/>
          <w:color w:val="000000"/>
        </w:rPr>
        <w:t xml:space="preserve">Centro de Estudos - </w:t>
      </w:r>
      <w:r>
        <w:rPr>
          <w:color w:val="000000"/>
        </w:rPr>
        <w:t>O Centro de Estudos promoveu atividades de aprimoramento e aperfeiçoamento dos Procuradores do Estado e servidores, direta ou indiretamente. Foram cursos, treinamentos, encontros de área e seminários realizados em suas dependências ou em parceria com outros órgãos e instituições. Foram disponibilizadas 2.392 vagas em 76 diferentes eventos.</w:t>
      </w:r>
    </w:p>
    <w:p w:rsidR="003E6588" w:rsidRDefault="003E6588">
      <w:pPr>
        <w:autoSpaceDE w:val="0"/>
        <w:autoSpaceDN w:val="0"/>
        <w:adjustRightInd w:val="0"/>
        <w:ind w:firstLine="1134"/>
        <w:jc w:val="both"/>
        <w:rPr>
          <w:b/>
          <w:color w:val="000000"/>
        </w:rPr>
      </w:pPr>
    </w:p>
    <w:p w:rsidR="003E6588" w:rsidRDefault="003E6588">
      <w:pPr>
        <w:autoSpaceDE w:val="0"/>
        <w:autoSpaceDN w:val="0"/>
        <w:adjustRightInd w:val="0"/>
        <w:ind w:firstLine="1134"/>
        <w:jc w:val="both"/>
        <w:rPr>
          <w:color w:val="000000"/>
        </w:rPr>
      </w:pPr>
      <w:r>
        <w:rPr>
          <w:color w:val="000000"/>
        </w:rPr>
        <w:t xml:space="preserve">No âmbito da </w:t>
      </w:r>
      <w:r>
        <w:t>Escola Superior da Procuradoria Geral do Estado</w:t>
      </w:r>
      <w:r>
        <w:rPr>
          <w:color w:val="000000"/>
        </w:rPr>
        <w:t xml:space="preserve"> foram realizados cinco cursos simultaneamente (Direito Ambiental, Direito Processual Civil, Direitos Fundamentais e Políticas Públicas, Direito do Estado, Direito Tributário e Financeiro, estando esses dois últimos em fase de orientação), tendo sido expedidos, nesse mesmo ano, os diplomas dos cursos de especialização que estavam em fase de elaboração do Trabalho de Conclusão de Curso (Direito do Estado e Direito Tributário e Financeiro), contemplando no período 267 alunos dentre matriculados em cursos em andamento, alunos em orientação e diplomados. Foram oferecidas 440 horas-aula abertas para profissionais não matriculados nos curso</w:t>
      </w:r>
      <w:r>
        <w:t xml:space="preserve">s </w:t>
      </w:r>
      <w:r>
        <w:rPr>
          <w:color w:val="000000"/>
        </w:rPr>
        <w:t>da ESPGE.</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Foram promovidos treinamentos dirigidos aos representantes jurídicos das empresas, fundações e autarquias, visando a integração da orientação jurídica da Administração.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b/>
          <w:bCs/>
          <w:color w:val="000000"/>
        </w:rPr>
      </w:pPr>
      <w:r>
        <w:rPr>
          <w:color w:val="000000"/>
        </w:rPr>
        <w:t>O conjunto de tais atividades resultou na emissão de 2</w:t>
      </w:r>
      <w:r w:rsidR="00E42696">
        <w:rPr>
          <w:color w:val="000000"/>
        </w:rPr>
        <w:t>.</w:t>
      </w:r>
      <w:r>
        <w:rPr>
          <w:color w:val="000000"/>
        </w:rPr>
        <w:t>500 certificados de participação.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xml:space="preserve">Considerando os programas de apoio aos Procuradores e servidores da Instituição, destaca-se o deferimento de 124 novos pedidos de ajuda financeira, relativos a auxílio para frequência a cursos de graduação, pós-graduação e extensão universitária na rede privada de ensino. Foram ainda </w:t>
      </w:r>
      <w:r>
        <w:rPr>
          <w:color w:val="000000"/>
        </w:rPr>
        <w:lastRenderedPageBreak/>
        <w:t xml:space="preserve">concedidos reembolso de recursos despendidos por Procuradores do Estado com a aquisição de material necessário ao desempenho profissional no âmbito dos programas “pró- livro” (1455) e </w:t>
      </w:r>
      <w:r>
        <w:rPr>
          <w:i/>
          <w:color w:val="000000"/>
        </w:rPr>
        <w:t xml:space="preserve">pró-software </w:t>
      </w:r>
      <w:r>
        <w:rPr>
          <w:color w:val="000000"/>
        </w:rPr>
        <w:t>(317).</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xml:space="preserve">Com a publicação da Resolução PGE-9/2014, que </w:t>
      </w:r>
      <w:r>
        <w:rPr>
          <w:iCs/>
          <w:color w:val="000000"/>
        </w:rPr>
        <w:t xml:space="preserve">instituiu o programa de ajuda financeira para aquisição de equipamentos de informática portáteis - </w:t>
      </w:r>
      <w:r>
        <w:rPr>
          <w:i/>
          <w:iCs/>
          <w:color w:val="000000"/>
        </w:rPr>
        <w:t>pró-hardware</w:t>
      </w:r>
      <w:r>
        <w:rPr>
          <w:iCs/>
          <w:color w:val="000000"/>
        </w:rPr>
        <w:t>, foram processados 945 pedidos de reembolso.</w:t>
      </w:r>
    </w:p>
    <w:p w:rsidR="003E6588" w:rsidRDefault="003E6588">
      <w:pPr>
        <w:autoSpaceDE w:val="0"/>
        <w:autoSpaceDN w:val="0"/>
        <w:adjustRightInd w:val="0"/>
        <w:ind w:firstLine="1134"/>
        <w:jc w:val="both"/>
        <w:rPr>
          <w:color w:val="000000"/>
        </w:rPr>
      </w:pPr>
    </w:p>
    <w:p w:rsidR="003E6588" w:rsidRDefault="003E6588">
      <w:pPr>
        <w:autoSpaceDE w:val="0"/>
        <w:autoSpaceDN w:val="0"/>
        <w:adjustRightInd w:val="0"/>
        <w:ind w:firstLine="1134"/>
        <w:jc w:val="both"/>
        <w:rPr>
          <w:color w:val="000000"/>
        </w:rPr>
      </w:pPr>
      <w:r>
        <w:rPr>
          <w:color w:val="000000"/>
        </w:rPr>
        <w:t xml:space="preserve">Na área de divulgação, a produção e a publicação de material de apoio, como boletins bimensais e livros </w:t>
      </w:r>
      <w:r>
        <w:t>e r</w:t>
      </w:r>
      <w:r>
        <w:rPr>
          <w:color w:val="000000"/>
        </w:rPr>
        <w:t>evistas de doutrina relacionados às atividades do Procurador do Estado permaneceram como prioridades, com distribuição eletrônica e física, esta última contemplando 12.948 exemplares.</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Por fim, destaca-se a contratação de sistema próprio de solução de tecnologia de vídeo conferência e </w:t>
      </w:r>
      <w:r>
        <w:rPr>
          <w:i/>
          <w:color w:val="000000"/>
        </w:rPr>
        <w:t>streaming</w:t>
      </w:r>
      <w:r>
        <w:rPr>
          <w:color w:val="000000"/>
        </w:rPr>
        <w:t xml:space="preserve"> para proporcionar maior participação de servidores e Procuradores do Estado nos mais diversos cursos e treinamentos promovidos pelo Centro de Estudos da PGE.</w:t>
      </w:r>
    </w:p>
    <w:p w:rsidR="003E6588" w:rsidRDefault="003E6588">
      <w:pPr>
        <w:ind w:firstLine="1134"/>
        <w:jc w:val="both"/>
        <w:rPr>
          <w:b/>
          <w:color w:val="000000"/>
        </w:rPr>
      </w:pPr>
    </w:p>
    <w:p w:rsidR="003E6588" w:rsidRDefault="003E6588">
      <w:pPr>
        <w:ind w:firstLine="1134"/>
        <w:jc w:val="both"/>
        <w:rPr>
          <w:b/>
          <w:color w:val="000000"/>
        </w:rPr>
      </w:pPr>
      <w:r>
        <w:rPr>
          <w:b/>
          <w:color w:val="000000"/>
        </w:rPr>
        <w:t xml:space="preserve">Sistemas Informatizados - Processo Eletrônico - </w:t>
      </w:r>
      <w:r>
        <w:rPr>
          <w:color w:val="000000"/>
        </w:rPr>
        <w:t>A PGE firmou contrato de prestação de serviços com empresa para a implantação do programa de Sistema de Acompanhamento Judicial - SAJ, designado PGE-NET, que está instalado em todas as Unidades do Contencioso da PGE, inclusive autarquias.</w:t>
      </w:r>
    </w:p>
    <w:p w:rsidR="003E6588" w:rsidRDefault="003E6588">
      <w:pPr>
        <w:ind w:firstLine="1134"/>
        <w:jc w:val="both"/>
        <w:rPr>
          <w:color w:val="000000"/>
        </w:rPr>
      </w:pPr>
    </w:p>
    <w:p w:rsidR="003E6588" w:rsidRDefault="003E6588">
      <w:pPr>
        <w:ind w:firstLine="1134"/>
        <w:jc w:val="both"/>
        <w:rPr>
          <w:b/>
          <w:color w:val="000000"/>
        </w:rPr>
      </w:pPr>
      <w:r>
        <w:rPr>
          <w:color w:val="000000"/>
        </w:rPr>
        <w:t xml:space="preserve">O sistema permite, além do efetivo controle do andamento das as ações judiciais do Estado e de suas autarquias, a redução de custos com material, o controle e a classificação do tipo de ação, a racionalização do tempo do </w:t>
      </w:r>
      <w:r>
        <w:t>Pro</w:t>
      </w:r>
      <w:r>
        <w:rPr>
          <w:color w:val="000000"/>
        </w:rPr>
        <w:t>curador, entre outros significativos benefícios para ampliação da qualidade e da eficiência dos relevantes serviços públicos prestados pela Instituição.</w:t>
      </w:r>
    </w:p>
    <w:p w:rsidR="003E6588" w:rsidRDefault="003E6588">
      <w:pPr>
        <w:ind w:firstLine="1134"/>
        <w:jc w:val="both"/>
        <w:rPr>
          <w:color w:val="000000"/>
        </w:rPr>
      </w:pPr>
    </w:p>
    <w:p w:rsidR="003E6588" w:rsidRDefault="003E6588">
      <w:pPr>
        <w:ind w:firstLine="1134"/>
        <w:jc w:val="both"/>
        <w:rPr>
          <w:b/>
          <w:color w:val="000000"/>
        </w:rPr>
      </w:pPr>
      <w:r>
        <w:rPr>
          <w:color w:val="000000"/>
        </w:rPr>
        <w:t>O sistema foi utilizado para o ajuizamento eletrônico de processos de Execução Fiscal, em várias comarcas do interior do Estado, onde o Tribunal de Justiça implantou o processo digital. Foram ajuizadas 200.000 execuções fiscais no formato eletrônico, dispensando a impressão dos jogos de ajuizamento e a formação de autos físicos, com expressivo ganho de produtividade para o trabalho de ambos os órgãos.</w:t>
      </w:r>
    </w:p>
    <w:p w:rsidR="003E6588" w:rsidRDefault="003E6588">
      <w:pPr>
        <w:ind w:firstLine="1134"/>
        <w:jc w:val="both"/>
        <w:rPr>
          <w:color w:val="000000"/>
        </w:rPr>
      </w:pPr>
    </w:p>
    <w:p w:rsidR="003E6588" w:rsidRDefault="003E6588">
      <w:pPr>
        <w:ind w:firstLine="1134"/>
        <w:jc w:val="both"/>
        <w:rPr>
          <w:b/>
          <w:color w:val="000000"/>
        </w:rPr>
      </w:pPr>
      <w:r>
        <w:rPr>
          <w:color w:val="000000"/>
        </w:rPr>
        <w:t>Como o Tribunal de Justiça implantou o processo eletrônico em várias unidades da Capital e do interior do Estado, o Sistema da PGE assume papel relevante, pois permite aos usuários o acesso direto às imagens dos processos no judiciário e o peticionamento eletrônico sem a necessidade de acesso ao portal do Tribunal. Esse é um diferencial necessário para dar vazão à quantidade diária de trabalho das bancas.</w:t>
      </w:r>
    </w:p>
    <w:p w:rsidR="003E6588" w:rsidRDefault="003E6588">
      <w:pPr>
        <w:ind w:firstLine="1134"/>
        <w:jc w:val="both"/>
        <w:rPr>
          <w:color w:val="000000"/>
        </w:rPr>
      </w:pPr>
    </w:p>
    <w:p w:rsidR="003E6588" w:rsidRDefault="003E6588">
      <w:pPr>
        <w:ind w:firstLine="1134"/>
        <w:jc w:val="both"/>
        <w:rPr>
          <w:color w:val="000000"/>
        </w:rPr>
      </w:pPr>
      <w:r>
        <w:rPr>
          <w:color w:val="000000"/>
        </w:rPr>
        <w:t>O gerenciamento interno e a automação do peticionamento permitem à PGE o controle integral da distribuição de trabalho, tratamento de afastamentos e respectivas substituições, e acompanhamento amiúde da atuação das bancas e sucesso das teses.</w:t>
      </w:r>
    </w:p>
    <w:p w:rsidR="003E6588" w:rsidRDefault="003E6588">
      <w:pPr>
        <w:ind w:firstLine="1134"/>
        <w:jc w:val="both"/>
        <w:rPr>
          <w:b/>
          <w:color w:val="000000"/>
        </w:rPr>
      </w:pPr>
    </w:p>
    <w:p w:rsidR="003E6588" w:rsidRDefault="003E6588">
      <w:pPr>
        <w:ind w:firstLine="1134"/>
        <w:jc w:val="both"/>
        <w:rPr>
          <w:b/>
          <w:color w:val="000000"/>
        </w:rPr>
      </w:pPr>
      <w:r>
        <w:rPr>
          <w:color w:val="000000"/>
        </w:rPr>
        <w:lastRenderedPageBreak/>
        <w:t>Para fazer frente ao atual volume e expectativa de crescimento dos processos eletrônicos, foi adquirido novo parque tecnológico para a instalação do Sistema PGE.net, composto por servidores para virtualização e solução de alta disponibilidade de banco de dados.</w:t>
      </w:r>
    </w:p>
    <w:p w:rsidR="003E6588" w:rsidRDefault="003E6588">
      <w:pPr>
        <w:ind w:firstLine="1134"/>
        <w:jc w:val="both"/>
        <w:rPr>
          <w:color w:val="000000"/>
        </w:rPr>
      </w:pPr>
    </w:p>
    <w:p w:rsidR="003E6588" w:rsidRDefault="003E6588">
      <w:pPr>
        <w:ind w:firstLine="1134"/>
        <w:jc w:val="both"/>
        <w:rPr>
          <w:b/>
          <w:color w:val="000000"/>
        </w:rPr>
      </w:pPr>
      <w:r>
        <w:rPr>
          <w:color w:val="000000"/>
        </w:rPr>
        <w:t>Os novos equipamentos foram dimensionados para suportar a curva de crescimento de processos para os próximos quatro anos.</w:t>
      </w:r>
    </w:p>
    <w:p w:rsidR="003E6588" w:rsidRDefault="003E6588">
      <w:pPr>
        <w:ind w:firstLine="1134"/>
        <w:jc w:val="both"/>
        <w:rPr>
          <w:b/>
          <w:color w:val="000000"/>
        </w:rPr>
      </w:pPr>
    </w:p>
    <w:p w:rsidR="003E6588" w:rsidRDefault="003E6588">
      <w:pPr>
        <w:ind w:firstLine="1134"/>
        <w:jc w:val="both"/>
        <w:rPr>
          <w:b/>
          <w:color w:val="000000"/>
        </w:rPr>
      </w:pPr>
      <w:r>
        <w:rPr>
          <w:b/>
          <w:color w:val="000000"/>
        </w:rPr>
        <w:t xml:space="preserve">Sistema da Dívida Ativa - </w:t>
      </w:r>
      <w:r>
        <w:rPr>
          <w:color w:val="000000"/>
        </w:rPr>
        <w:t>O Sistema da Dívida Ativa passou por processo de aperfeiçoamento para o recebimento de implantação de novos débitos, destinados à alimentação dos sistemas do Programa Especial de Parcelamento - PEP e Programa de Parcelamento de Débitos PPD.</w:t>
      </w:r>
    </w:p>
    <w:p w:rsidR="003E6588" w:rsidRDefault="003E6588">
      <w:pPr>
        <w:ind w:firstLine="1134"/>
        <w:jc w:val="both"/>
        <w:rPr>
          <w:color w:val="000000"/>
        </w:rPr>
      </w:pPr>
    </w:p>
    <w:p w:rsidR="003E6588" w:rsidRDefault="003E6588">
      <w:pPr>
        <w:ind w:firstLine="1134"/>
        <w:jc w:val="both"/>
        <w:rPr>
          <w:b/>
          <w:color w:val="000000"/>
        </w:rPr>
      </w:pPr>
      <w:r>
        <w:rPr>
          <w:color w:val="000000"/>
        </w:rPr>
        <w:t>Houve também a introdução de melhorias para o gerenciamento da Dívida Ativa e emissão de relatórios estatísticos. O ambiente tecnológico foi readequado para responder à demanda ampliada pelos programas de parcelamento de débitos.</w:t>
      </w:r>
    </w:p>
    <w:p w:rsidR="003E6588" w:rsidRDefault="003E6588">
      <w:pPr>
        <w:ind w:firstLine="1134"/>
        <w:jc w:val="both"/>
        <w:rPr>
          <w:b/>
          <w:color w:val="000000"/>
        </w:rPr>
      </w:pPr>
    </w:p>
    <w:p w:rsidR="003E6588" w:rsidRDefault="003E6588">
      <w:pPr>
        <w:ind w:firstLine="1134"/>
        <w:jc w:val="both"/>
        <w:rPr>
          <w:b/>
          <w:color w:val="000000"/>
        </w:rPr>
      </w:pPr>
      <w:r>
        <w:rPr>
          <w:b/>
          <w:color w:val="000000"/>
        </w:rPr>
        <w:t xml:space="preserve">Sistema da Consultoria Jurídica - </w:t>
      </w:r>
      <w:r>
        <w:rPr>
          <w:color w:val="000000"/>
        </w:rPr>
        <w:t>O Sistema de Gerenciamento de Documentos Eletrônicos da Consultoria Jurídica foi implantado em várias unidades.</w:t>
      </w:r>
    </w:p>
    <w:p w:rsidR="003E6588" w:rsidRDefault="003E6588">
      <w:pPr>
        <w:ind w:firstLine="1134"/>
        <w:jc w:val="both"/>
        <w:rPr>
          <w:b/>
          <w:color w:val="000000"/>
        </w:rPr>
      </w:pPr>
    </w:p>
    <w:p w:rsidR="003E6588" w:rsidRDefault="003E6588">
      <w:pPr>
        <w:ind w:firstLine="1134"/>
        <w:jc w:val="both"/>
        <w:rPr>
          <w:b/>
          <w:color w:val="000000"/>
        </w:rPr>
      </w:pPr>
      <w:r>
        <w:rPr>
          <w:b/>
          <w:color w:val="000000"/>
        </w:rPr>
        <w:t xml:space="preserve">Sistema de Videoconferência - </w:t>
      </w:r>
      <w:r>
        <w:rPr>
          <w:color w:val="000000"/>
        </w:rPr>
        <w:t xml:space="preserve">A PGE adquiriu equipamentos e </w:t>
      </w:r>
      <w:r>
        <w:rPr>
          <w:i/>
          <w:color w:val="000000"/>
        </w:rPr>
        <w:t>software</w:t>
      </w:r>
      <w:r>
        <w:rPr>
          <w:color w:val="000000"/>
        </w:rPr>
        <w:t xml:space="preserve"> de videoconferência. O Sistema permitirá a realização de reuniões </w:t>
      </w:r>
      <w:r>
        <w:t>tele-presenciais</w:t>
      </w:r>
      <w:r>
        <w:rPr>
          <w:color w:val="000000"/>
        </w:rPr>
        <w:t>, com economia de tempo e recursos, com deslocamento de pessoas e redução de despesas com ligações telefônicas. Permitirá a integração com sistemas de videoconferência de outros órgãos.</w:t>
      </w:r>
    </w:p>
    <w:p w:rsidR="003E6588" w:rsidRDefault="003E6588">
      <w:pPr>
        <w:ind w:firstLine="1134"/>
        <w:jc w:val="both"/>
        <w:rPr>
          <w:color w:val="000000"/>
        </w:rPr>
      </w:pPr>
    </w:p>
    <w:p w:rsidR="003E6588" w:rsidRDefault="003E6588">
      <w:pPr>
        <w:ind w:firstLine="1134"/>
        <w:jc w:val="both"/>
        <w:rPr>
          <w:color w:val="000000"/>
        </w:rPr>
      </w:pPr>
      <w:r>
        <w:rPr>
          <w:color w:val="000000"/>
        </w:rPr>
        <w:t xml:space="preserve">Ele também é utilizado na transmissão </w:t>
      </w:r>
      <w:r>
        <w:rPr>
          <w:i/>
          <w:color w:val="000000"/>
        </w:rPr>
        <w:t>on line</w:t>
      </w:r>
      <w:r>
        <w:rPr>
          <w:color w:val="000000"/>
        </w:rPr>
        <w:t xml:space="preserve"> de aulas e palestras ministradas pelo Centro de Estudos e da Escola Superior da PGE, franqueando a participação tele-presencial nos eventos. As transmissões são gravadas e o conteúdo pode ser editado e disponibilizado para acesso.</w:t>
      </w:r>
    </w:p>
    <w:p w:rsidR="003E6588" w:rsidRDefault="003E6588">
      <w:pPr>
        <w:tabs>
          <w:tab w:val="left" w:pos="2835"/>
        </w:tabs>
        <w:ind w:firstLine="1134"/>
        <w:jc w:val="both"/>
        <w:rPr>
          <w:b/>
          <w:color w:val="000000"/>
        </w:rPr>
      </w:pPr>
    </w:p>
    <w:p w:rsidR="003E6588" w:rsidRDefault="003E6588">
      <w:pPr>
        <w:tabs>
          <w:tab w:val="left" w:pos="2835"/>
        </w:tabs>
        <w:ind w:firstLine="1134"/>
        <w:jc w:val="both"/>
        <w:rPr>
          <w:color w:val="000000"/>
        </w:rPr>
      </w:pPr>
      <w:r>
        <w:rPr>
          <w:b/>
          <w:color w:val="000000"/>
        </w:rPr>
        <w:t xml:space="preserve">Sistema do LabGeo - </w:t>
      </w:r>
      <w:r>
        <w:rPr>
          <w:color w:val="000000"/>
        </w:rPr>
        <w:t xml:space="preserve">O Laboratório de Geoprocessamento da Procuradoria do Patrimônio Imobiliário recebeu novos servidores, </w:t>
      </w:r>
      <w:r>
        <w:rPr>
          <w:i/>
          <w:color w:val="000000"/>
        </w:rPr>
        <w:t>storage</w:t>
      </w:r>
      <w:r>
        <w:rPr>
          <w:color w:val="000000"/>
        </w:rPr>
        <w:t xml:space="preserve"> e biblioteca de fita para melhoria da </w:t>
      </w:r>
      <w:r>
        <w:rPr>
          <w:i/>
          <w:color w:val="000000"/>
        </w:rPr>
        <w:t>performance</w:t>
      </w:r>
      <w:r>
        <w:rPr>
          <w:color w:val="000000"/>
        </w:rPr>
        <w:t xml:space="preserve"> e perpetuação da informação referente a</w:t>
      </w:r>
      <w:r>
        <w:t xml:space="preserve">os </w:t>
      </w:r>
      <w:r>
        <w:rPr>
          <w:color w:val="000000"/>
        </w:rPr>
        <w:t>documentos produzidos.</w:t>
      </w:r>
    </w:p>
    <w:p w:rsidR="003E6588" w:rsidRDefault="003E6588">
      <w:pPr>
        <w:tabs>
          <w:tab w:val="left" w:pos="2835"/>
        </w:tabs>
        <w:ind w:firstLine="1134"/>
        <w:jc w:val="both"/>
        <w:rPr>
          <w:b/>
          <w:color w:val="000000"/>
        </w:rPr>
      </w:pPr>
    </w:p>
    <w:p w:rsidR="003E6588" w:rsidRDefault="003E6588">
      <w:pPr>
        <w:tabs>
          <w:tab w:val="left" w:pos="2835"/>
        </w:tabs>
        <w:ind w:firstLine="1134"/>
        <w:jc w:val="both"/>
        <w:rPr>
          <w:b/>
          <w:color w:val="000000"/>
        </w:rPr>
      </w:pPr>
      <w:r>
        <w:rPr>
          <w:b/>
          <w:color w:val="000000"/>
        </w:rPr>
        <w:t xml:space="preserve">Gerenciamento Administrativo - </w:t>
      </w:r>
      <w:r>
        <w:rPr>
          <w:color w:val="000000"/>
        </w:rPr>
        <w:t>No âmbito de atuação do Departamento de Administração, apresentamos a seguir os resultados mais expressivos, alcançados no cumprimento das metas estipuladas.</w:t>
      </w:r>
    </w:p>
    <w:p w:rsidR="003E6588" w:rsidRDefault="003E6588">
      <w:pPr>
        <w:tabs>
          <w:tab w:val="left" w:pos="2835"/>
        </w:tabs>
        <w:ind w:firstLine="1134"/>
        <w:jc w:val="both"/>
        <w:rPr>
          <w:color w:val="000000"/>
        </w:rPr>
      </w:pPr>
    </w:p>
    <w:p w:rsidR="003E6588" w:rsidRDefault="003E6588">
      <w:pPr>
        <w:tabs>
          <w:tab w:val="left" w:pos="2835"/>
        </w:tabs>
        <w:ind w:firstLine="1134"/>
        <w:jc w:val="both"/>
        <w:rPr>
          <w:color w:val="000000"/>
        </w:rPr>
      </w:pPr>
      <w:r>
        <w:rPr>
          <w:color w:val="000000"/>
        </w:rPr>
        <w:t>Visando o cumprimento do Programa de Melhoria do Gasto Público e Redução de Despesas, implementado pelo Governo do Estado, e na busca pelo compromisso com o meio ambiente, foram adotadas ações em conjunto com o Projeto Pura, incentivando o uso racional da água. Outras mudanças simples também foram aplicadas, como por exemplo, a utilização de materiais de hidráulica e elétrica adequados e a impressão em frente e verso de editais, atas e demais cópias reprográficas, atitude que além da economia de papel implica diminuição dos volumes dos processos.</w:t>
      </w:r>
    </w:p>
    <w:p w:rsidR="003E6588" w:rsidRDefault="003E6588">
      <w:pPr>
        <w:tabs>
          <w:tab w:val="left" w:pos="2835"/>
        </w:tabs>
        <w:ind w:firstLine="1134"/>
        <w:jc w:val="both"/>
        <w:rPr>
          <w:color w:val="000000"/>
        </w:rPr>
      </w:pPr>
    </w:p>
    <w:p w:rsidR="003E6588" w:rsidRDefault="003E6588">
      <w:pPr>
        <w:tabs>
          <w:tab w:val="left" w:pos="2835"/>
        </w:tabs>
        <w:ind w:firstLine="1134"/>
        <w:jc w:val="both"/>
        <w:rPr>
          <w:color w:val="000000"/>
        </w:rPr>
      </w:pPr>
      <w:r>
        <w:rPr>
          <w:color w:val="000000"/>
        </w:rPr>
        <w:lastRenderedPageBreak/>
        <w:t>A coleta e fragmentação de papel descartado teve ótimo resultado. Foram encaminhados ao Fundo Social de Solidariedade do Estado aproximadamente 840 sacos de 100 litros de papel, número que representa o estimativo de um mês e meio do contrato de coleta de resíduos sólidos.</w:t>
      </w:r>
    </w:p>
    <w:p w:rsidR="003E6588" w:rsidRDefault="003E6588">
      <w:pPr>
        <w:tabs>
          <w:tab w:val="left" w:pos="2835"/>
        </w:tabs>
        <w:ind w:firstLine="1134"/>
        <w:jc w:val="both"/>
        <w:rPr>
          <w:color w:val="000000"/>
        </w:rPr>
      </w:pPr>
    </w:p>
    <w:p w:rsidR="003E6588" w:rsidRDefault="003E6588">
      <w:pPr>
        <w:tabs>
          <w:tab w:val="left" w:pos="2835"/>
        </w:tabs>
        <w:ind w:firstLine="1134"/>
        <w:jc w:val="both"/>
        <w:rPr>
          <w:b/>
          <w:color w:val="000000"/>
        </w:rPr>
      </w:pPr>
      <w:r>
        <w:rPr>
          <w:color w:val="000000"/>
        </w:rPr>
        <w:t>A renegociação de diversos contratos, especialmente no tocante à não aplicação de reajustes e/ou negociação dos índices apurados, redução dos custos com o serviço de telefonia e energia elétrica, foram práticas do Departamento de Administração.</w:t>
      </w:r>
    </w:p>
    <w:p w:rsidR="003E6588" w:rsidRDefault="003E6588">
      <w:pPr>
        <w:tabs>
          <w:tab w:val="left" w:pos="2835"/>
        </w:tabs>
        <w:ind w:firstLine="1134"/>
        <w:jc w:val="both"/>
        <w:rPr>
          <w:color w:val="000000"/>
        </w:rPr>
      </w:pPr>
    </w:p>
    <w:p w:rsidR="003E6588" w:rsidRDefault="003E6588">
      <w:pPr>
        <w:tabs>
          <w:tab w:val="left" w:pos="2835"/>
        </w:tabs>
        <w:ind w:firstLine="1134"/>
        <w:jc w:val="both"/>
        <w:rPr>
          <w:b/>
          <w:color w:val="000000"/>
        </w:rPr>
      </w:pPr>
      <w:r>
        <w:rPr>
          <w:color w:val="000000"/>
        </w:rPr>
        <w:t>Utilizou-se na Instituição, sempre que possível, o sistema de registro de preços para as compras de maior volume, além da participação em atas corporativas implementadas por outras unidades da Administração. Foram gerenciadas 10 Atas de Registro de Preços (suprimentos de informática, papel sulfite, material de higiene e limpeza, equipamentos de informática, servidores de banco de dados, café e confecção de vales refeição). A aquisição de passagens aéreas foi concretizada mediante a participação da PGE no sistema de registro de preços concebido pela Secretaria de Gestão Pública.</w:t>
      </w:r>
    </w:p>
    <w:p w:rsidR="003E6588" w:rsidRDefault="003E6588">
      <w:pPr>
        <w:tabs>
          <w:tab w:val="left" w:pos="2835"/>
        </w:tabs>
        <w:ind w:firstLine="1134"/>
        <w:jc w:val="both"/>
        <w:rPr>
          <w:color w:val="000000"/>
        </w:rPr>
      </w:pPr>
    </w:p>
    <w:p w:rsidR="003E6588" w:rsidRDefault="003E6588">
      <w:pPr>
        <w:tabs>
          <w:tab w:val="left" w:pos="2835"/>
        </w:tabs>
        <w:ind w:firstLine="1134"/>
        <w:jc w:val="both"/>
        <w:rPr>
          <w:color w:val="000000"/>
        </w:rPr>
      </w:pPr>
      <w:r>
        <w:rPr>
          <w:color w:val="000000"/>
        </w:rPr>
        <w:t>O Departamento de Administração presta assistência às Procuradorias Regionais e à Procuradoria do Estado de São Paulo em Brasília. Foi realizado um Programa de Orientação aos servidores da Procuradoria Regional da Grande São Paulo, nas áreas de compras, gestão de contratos, almoxarifado e patrimônio, finanças, orçamento e recursos humanos.</w:t>
      </w:r>
    </w:p>
    <w:p w:rsidR="003E6588" w:rsidRDefault="003E6588">
      <w:pPr>
        <w:tabs>
          <w:tab w:val="left" w:pos="2835"/>
        </w:tabs>
        <w:ind w:firstLine="1134"/>
        <w:jc w:val="both"/>
        <w:rPr>
          <w:color w:val="000000"/>
        </w:rPr>
      </w:pPr>
    </w:p>
    <w:p w:rsidR="003E6588" w:rsidRDefault="003E6588">
      <w:pPr>
        <w:tabs>
          <w:tab w:val="left" w:pos="2835"/>
        </w:tabs>
        <w:ind w:firstLine="1134"/>
        <w:jc w:val="both"/>
        <w:rPr>
          <w:b/>
          <w:color w:val="000000"/>
        </w:rPr>
      </w:pPr>
      <w:r>
        <w:rPr>
          <w:color w:val="000000"/>
        </w:rPr>
        <w:t>Foram realizados 28 pregões eletrônicos, 23 contratos decorrentes de BEC Convite, 14 contratações com dispensa de licitação, 7 contratações diretas.</w:t>
      </w:r>
    </w:p>
    <w:p w:rsidR="003E6588" w:rsidRDefault="003E6588">
      <w:pPr>
        <w:tabs>
          <w:tab w:val="left" w:pos="2835"/>
        </w:tabs>
        <w:ind w:firstLine="1134"/>
        <w:jc w:val="both"/>
        <w:rPr>
          <w:color w:val="000000"/>
        </w:rPr>
      </w:pPr>
    </w:p>
    <w:p w:rsidR="003E6588" w:rsidRDefault="003E6588">
      <w:pPr>
        <w:tabs>
          <w:tab w:val="left" w:pos="2835"/>
        </w:tabs>
        <w:ind w:firstLine="1134"/>
        <w:jc w:val="both"/>
        <w:rPr>
          <w:b/>
          <w:color w:val="000000"/>
        </w:rPr>
      </w:pPr>
      <w:r>
        <w:rPr>
          <w:color w:val="000000"/>
        </w:rPr>
        <w:t>Dentre as contratações realizadas, merecem destaque: fornecimento de alimentação para os funcionários da PGE-Centro;</w:t>
      </w:r>
      <w:r>
        <w:rPr>
          <w:b/>
          <w:color w:val="000000"/>
        </w:rPr>
        <w:t xml:space="preserve"> </w:t>
      </w:r>
      <w:r>
        <w:rPr>
          <w:color w:val="000000"/>
        </w:rPr>
        <w:t>os serviços de reforma do imóvel que abrigará a sede da Regional de Sorocaba (2ª etapa); ampliação das instalações da sede da Procuradoria Geral do Estado de São Paulo em Brasília (locação de mais uma sala).</w:t>
      </w:r>
    </w:p>
    <w:p w:rsidR="003E6588" w:rsidRDefault="003E6588">
      <w:pPr>
        <w:tabs>
          <w:tab w:val="left" w:pos="2835"/>
        </w:tabs>
        <w:ind w:firstLine="1134"/>
        <w:jc w:val="both"/>
        <w:rPr>
          <w:color w:val="000000"/>
        </w:rPr>
      </w:pPr>
    </w:p>
    <w:p w:rsidR="003E6588" w:rsidRDefault="003E6588">
      <w:pPr>
        <w:tabs>
          <w:tab w:val="left" w:pos="2835"/>
        </w:tabs>
        <w:ind w:firstLine="1134"/>
        <w:jc w:val="both"/>
        <w:rPr>
          <w:b/>
          <w:color w:val="000000"/>
        </w:rPr>
      </w:pPr>
      <w:r>
        <w:rPr>
          <w:color w:val="000000"/>
        </w:rPr>
        <w:t>Além das novas contratações, foram mantidos aproximadamente 48 contratos existentes, que garantem as atividades de manutenção da Instituição.</w:t>
      </w:r>
    </w:p>
    <w:p w:rsidR="003E6588" w:rsidRDefault="003E6588"/>
    <w:sectPr w:rsidR="003E6588" w:rsidSect="00642F9B">
      <w:headerReference w:type="default" r:id="rId77"/>
      <w:footerReference w:type="even" r:id="rId78"/>
      <w:footerReference w:type="default" r:id="rId79"/>
      <w:pgSz w:w="12240" w:h="15840"/>
      <w:pgMar w:top="1701" w:right="1134" w:bottom="567" w:left="1134" w:header="709" w:footer="709"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26" w:author="Joyce Luziara Correa" w:date="2015-01-22T12:29:00Z" w:initials="JLC">
    <w:p w:rsidR="00A66846" w:rsidRDefault="00A66846">
      <w:pPr>
        <w:pStyle w:val="Textodecomentrio"/>
      </w:pPr>
      <w:r>
        <w:rPr>
          <w:rStyle w:val="Refdecomentrio"/>
        </w:rPr>
        <w:annotationRef/>
      </w:r>
      <w:r>
        <w:t>Joyce vai atualizar</w:t>
      </w:r>
    </w:p>
  </w:comment>
  <w:comment w:id="27" w:author="Joyce Luziara Correa" w:date="2015-01-22T12:29:00Z" w:initials="JLC">
    <w:p w:rsidR="00A66846" w:rsidRDefault="00A66846">
      <w:pPr>
        <w:pStyle w:val="Textodecomentrio"/>
      </w:pPr>
      <w:r>
        <w:rPr>
          <w:rStyle w:val="Refdecomentrio"/>
        </w:rPr>
        <w:annotationRef/>
      </w:r>
      <w:r>
        <w:t>Verificar texto após finalização do texto referente à Copa do Mundo</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24C5" w:rsidRDefault="008124C5">
      <w:r>
        <w:separator/>
      </w:r>
    </w:p>
  </w:endnote>
  <w:endnote w:type="continuationSeparator" w:id="0">
    <w:p w:rsidR="008124C5" w:rsidRDefault="008124C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Garamond">
    <w:panose1 w:val="02020404030301010803"/>
    <w:charset w:val="00"/>
    <w:family w:val="roman"/>
    <w:pitch w:val="variable"/>
    <w:sig w:usb0="00000287" w:usb1="00000000" w:usb2="00000000" w:usb3="00000000" w:csb0="0000009F" w:csb1="00000000"/>
  </w:font>
  <w:font w:name="MyriaMM_215 LT 600 NO">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New York">
    <w:panose1 w:val="02040503060506020304"/>
    <w:charset w:val="00"/>
    <w:family w:val="roman"/>
    <w:notTrueType/>
    <w:pitch w:val="variable"/>
    <w:sig w:usb0="00000003" w:usb1="00000000" w:usb2="00000000" w:usb3="00000000" w:csb0="00000001" w:csb1="00000000"/>
  </w:font>
  <w:font w:name="Fonte14770">
    <w:altName w:val="Times New Roman"/>
    <w:panose1 w:val="00000000000000000000"/>
    <w:charset w:val="4D"/>
    <w:family w:val="auto"/>
    <w:notTrueType/>
    <w:pitch w:val="default"/>
    <w:sig w:usb0="00000000" w:usb1="00000000" w:usb2="00000000" w:usb3="00000000" w:csb0="00000000" w:csb1="00000000"/>
  </w:font>
  <w:font w:name="Aeolus">
    <w:altName w:val="Courier New"/>
    <w:charset w:val="00"/>
    <w:family w:val="script"/>
    <w:pitch w:val="variable"/>
    <w:sig w:usb0="00000007" w:usb1="00000000" w:usb2="00000000" w:usb3="00000000" w:csb0="00000011" w:csb1="00000000"/>
  </w:font>
  <w:font w:name="Trebuchet MS">
    <w:panose1 w:val="020B0603020202020204"/>
    <w:charset w:val="00"/>
    <w:family w:val="swiss"/>
    <w:pitch w:val="variable"/>
    <w:sig w:usb0="00000287" w:usb1="00000000" w:usb2="00000000" w:usb3="00000000" w:csb0="0000009F" w:csb1="00000000"/>
  </w:font>
  <w:font w:name="Nimbus Roman No9 L">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tineau">
    <w:panose1 w:val="00000000000000000000"/>
    <w:charset w:val="00"/>
    <w:family w:val="roman"/>
    <w:notTrueType/>
    <w:pitch w:val="variable"/>
    <w:sig w:usb0="00000003" w:usb1="00000000" w:usb2="00000000" w:usb3="00000000" w:csb0="00000001" w:csb1="00000000"/>
  </w:font>
  <w:font w:name="Futura Md BT">
    <w:altName w:val="Century Gothic"/>
    <w:charset w:val="00"/>
    <w:family w:val="swiss"/>
    <w:pitch w:val="variable"/>
    <w:sig w:usb0="800000AF" w:usb1="1000204A" w:usb2="00000000" w:usb3="00000000" w:csb0="00000011" w:csb1="00000000"/>
  </w:font>
  <w:font w:name="Cambria">
    <w:panose1 w:val="02040503050406030204"/>
    <w:charset w:val="00"/>
    <w:family w:val="roman"/>
    <w:pitch w:val="variable"/>
    <w:sig w:usb0="E00002FF" w:usb1="400004FF" w:usb2="00000000" w:usb3="00000000" w:csb0="0000019F" w:csb1="00000000"/>
  </w:font>
  <w:font w:name="Univers LT Std 47 Cn Lt">
    <w:panose1 w:val="00000000000000000000"/>
    <w:charset w:val="00"/>
    <w:family w:val="swiss"/>
    <w:notTrueType/>
    <w:pitch w:val="variable"/>
    <w:sig w:usb0="800000AF" w:usb1="4000204A" w:usb2="00000000" w:usb3="00000000" w:csb0="00000001" w:csb1="00000000"/>
  </w:font>
  <w:font w:name="Arial MT">
    <w:altName w:val="Arial"/>
    <w:panose1 w:val="00000000000000000000"/>
    <w:charset w:val="00"/>
    <w:family w:val="swiss"/>
    <w:notTrueType/>
    <w:pitch w:val="default"/>
    <w:sig w:usb0="00000003" w:usb1="00000000" w:usb2="00000000" w:usb3="00000000" w:csb0="00000001" w:csb1="00000000"/>
  </w:font>
  <w:font w:name="Times New (W1)">
    <w:altName w:val="Times New Roman"/>
    <w:charset w:val="00"/>
    <w:family w:val="roman"/>
    <w:pitch w:val="variable"/>
    <w:sig w:usb0="20007A87" w:usb1="80000000" w:usb2="00000008" w:usb3="00000000" w:csb0="000001FF" w:csb1="00000000"/>
  </w:font>
  <w:font w:name="Fonte14767">
    <w:altName w:val="Symbol"/>
    <w:panose1 w:val="00000000000000000000"/>
    <w:charset w:val="4D"/>
    <w:family w:val="auto"/>
    <w:notTrueType/>
    <w:pitch w:val="default"/>
    <w:sig w:usb0="00000000" w:usb1="00000000" w:usb2="00000000" w:usb3="00000000" w:csb0="00000000" w:csb1="00000000"/>
  </w:font>
  <w:font w:name="Fonte5777">
    <w:altName w:val="Symbol"/>
    <w:panose1 w:val="00000000000000000000"/>
    <w:charset w:val="4D"/>
    <w:family w:val="auto"/>
    <w:notTrueType/>
    <w:pitch w:val="default"/>
    <w:sig w:usb0="00000000" w:usb1="00000000" w:usb2="00000000" w:usb3="00000000" w:csb0="00000000" w:csb1="00000000"/>
  </w:font>
  <w:font w:name="MS Mincho">
    <w:altName w:val="ＭＳ 明朝"/>
    <w:panose1 w:val="02020609040205080304"/>
    <w:charset w:val="80"/>
    <w:family w:val="modern"/>
    <w:pitch w:val="fixed"/>
    <w:sig w:usb0="E00002FF" w:usb1="6AC7FDFB" w:usb2="00000012" w:usb3="00000000" w:csb0="0002009F" w:csb1="00000000"/>
  </w:font>
  <w:font w:name="Tw Cen MT">
    <w:altName w:val="Lucida Sans Unicode"/>
    <w:charset w:val="00"/>
    <w:family w:val="swiss"/>
    <w:pitch w:val="variable"/>
    <w:sig w:usb0="00000001" w:usb1="00000000" w:usb2="00000000" w:usb3="00000000" w:csb0="00000003" w:csb1="00000000"/>
  </w:font>
  <w:font w:name="Futura">
    <w:altName w:val="Lucida Sans Unicode"/>
    <w:charset w:val="00"/>
    <w:family w:val="auto"/>
    <w:pitch w:val="variable"/>
    <w:sig w:usb0="00000003" w:usb1="00000000" w:usb2="00000000" w:usb3="00000000" w:csb0="00000001" w:csb1="00000000"/>
  </w:font>
  <w:font w:name="ヒラギノ角ゴ Pro W3">
    <w:altName w:val="Arial Unicode MS"/>
    <w:charset w:val="80"/>
    <w:family w:val="auto"/>
    <w:pitch w:val="variable"/>
    <w:sig w:usb0="00000000" w:usb1="00000000" w:usb2="01000407" w:usb3="00000000" w:csb0="00020000"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 w:name="Tunga">
    <w:panose1 w:val="020B0502040204020203"/>
    <w:charset w:val="00"/>
    <w:family w:val="swiss"/>
    <w:pitch w:val="variable"/>
    <w:sig w:usb0="00400003" w:usb1="00000000" w:usb2="00000000" w:usb3="00000000" w:csb0="00000001" w:csb1="00000000"/>
  </w:font>
  <w:font w:name="Mistral">
    <w:charset w:val="00"/>
    <w:family w:val="script"/>
    <w:pitch w:val="variable"/>
    <w:sig w:usb0="00000287" w:usb1="00000000" w:usb2="00000000" w:usb3="00000000" w:csb0="0000009F" w:csb1="00000000"/>
  </w:font>
  <w:font w:name="Frutiger 47LightCn">
    <w:panose1 w:val="00000000000000000000"/>
    <w:charset w:val="00"/>
    <w:family w:val="swiss"/>
    <w:notTrueType/>
    <w:pitch w:val="variable"/>
    <w:sig w:usb0="00000003" w:usb1="00000000" w:usb2="00000000" w:usb3="00000000" w:csb0="00000001" w:csb1="00000000"/>
  </w:font>
  <w:font w:name="Myriad Pro">
    <w:altName w:val="Malgun Gothic"/>
    <w:charset w:val="00"/>
    <w:family w:val="auto"/>
    <w:pitch w:val="variable"/>
    <w:sig w:usb0="00000003" w:usb1="00000000" w:usb2="00000000" w:usb3="00000000" w:csb0="00000001" w:csb1="00000000"/>
  </w:font>
  <w:font w:name="Optimum">
    <w:charset w:val="00"/>
    <w:family w:val="auto"/>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mn-ea">
    <w:altName w:val="Times New Roman"/>
    <w:panose1 w:val="00000000000000000000"/>
    <w:charset w:val="00"/>
    <w:family w:val="roman"/>
    <w:notTrueType/>
    <w:pitch w:val="default"/>
    <w:sig w:usb0="00000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ArialMT">
    <w:altName w:val="MS Mincho"/>
    <w:panose1 w:val="00000000000000000000"/>
    <w:charset w:val="80"/>
    <w:family w:val="auto"/>
    <w:notTrueType/>
    <w:pitch w:val="default"/>
    <w:sig w:usb0="00000003" w:usb1="08070000" w:usb2="00000010" w:usb3="00000000" w:csb0="00020001"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46" w:rsidRDefault="0033685F">
    <w:pPr>
      <w:pStyle w:val="Rodap"/>
      <w:framePr w:wrap="around" w:vAnchor="text" w:hAnchor="margin" w:xAlign="center" w:y="1"/>
      <w:rPr>
        <w:rStyle w:val="Nmerodepgina"/>
      </w:rPr>
    </w:pPr>
    <w:r>
      <w:rPr>
        <w:rStyle w:val="Nmerodepgina"/>
      </w:rPr>
      <w:fldChar w:fldCharType="begin"/>
    </w:r>
    <w:r w:rsidR="00A66846">
      <w:rPr>
        <w:rStyle w:val="Nmerodepgina"/>
      </w:rPr>
      <w:instrText xml:space="preserve">PAGE  </w:instrText>
    </w:r>
    <w:r>
      <w:rPr>
        <w:rStyle w:val="Nmerodepgina"/>
      </w:rPr>
      <w:fldChar w:fldCharType="end"/>
    </w:r>
  </w:p>
  <w:p w:rsidR="00A66846" w:rsidRDefault="00A66846">
    <w:pPr>
      <w:pStyle w:val="Rodap"/>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46" w:rsidRDefault="0033685F">
    <w:pPr>
      <w:pStyle w:val="Rodap"/>
    </w:pPr>
    <w:fldSimple w:instr=" PAGE   \* MERGEFORMAT ">
      <w:r w:rsidR="001079FA">
        <w:rPr>
          <w:noProof/>
        </w:rPr>
        <w:t>525</w:t>
      </w:r>
    </w:fldSimple>
  </w:p>
  <w:p w:rsidR="00A66846" w:rsidRDefault="00A66846">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24C5" w:rsidRDefault="008124C5">
      <w:r>
        <w:separator/>
      </w:r>
    </w:p>
  </w:footnote>
  <w:footnote w:type="continuationSeparator" w:id="0">
    <w:p w:rsidR="008124C5" w:rsidRDefault="008124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46" w:rsidRDefault="0033685F">
    <w:pPr>
      <w:pStyle w:val="Cabealho"/>
    </w:pPr>
    <w:r w:rsidRPr="0033685F">
      <w:rPr>
        <w:noProof/>
        <w:sz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3in;margin-top:4.6pt;width:67.5pt;height:1in;z-index:251657728">
          <v:imagedata r:id="rId1" o:title=""/>
          <w10:wrap type="topAndBottom"/>
        </v:shape>
        <o:OLEObject Type="Embed" ProgID="MS_ClipArt_Gallery" ShapeID="_x0000_s2049" DrawAspect="Content" ObjectID="_1488630689" r:id="rId2"/>
      </w:pict>
    </w:r>
  </w:p>
  <w:p w:rsidR="00A66846" w:rsidRDefault="00A66846">
    <w:pPr>
      <w:pStyle w:val="Cabealho"/>
    </w:pPr>
  </w:p>
  <w:p w:rsidR="00A66846" w:rsidRDefault="00A66846">
    <w:pPr>
      <w:pStyle w:val="Cabealho"/>
    </w:pPr>
  </w:p>
  <w:p w:rsidR="00A66846" w:rsidRDefault="00A66846">
    <w:pPr>
      <w:pStyle w:val="Cabealho"/>
    </w:pPr>
  </w:p>
  <w:p w:rsidR="00A66846" w:rsidRDefault="00A66846">
    <w:pPr>
      <w:pStyle w:val="Cabealho"/>
    </w:pPr>
  </w:p>
  <w:p w:rsidR="00A66846" w:rsidRDefault="00A66846">
    <w:pPr>
      <w:pStyle w:val="Cabealho"/>
    </w:pPr>
  </w:p>
  <w:p w:rsidR="00A66846" w:rsidRDefault="00A66846">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25pt;height:11.25pt" o:bullet="t">
        <v:imagedata r:id="rId1" o:title="mso48"/>
      </v:shape>
    </w:pict>
  </w:numPicBullet>
  <w:abstractNum w:abstractNumId="0">
    <w:nsid w:val="FFFFFF88"/>
    <w:multiLevelType w:val="singleLevel"/>
    <w:tmpl w:val="B5FE4462"/>
    <w:lvl w:ilvl="0">
      <w:start w:val="1"/>
      <w:numFmt w:val="decimal"/>
      <w:pStyle w:val="Numerada"/>
      <w:lvlText w:val="%1."/>
      <w:lvlJc w:val="left"/>
      <w:pPr>
        <w:tabs>
          <w:tab w:val="num" w:pos="360"/>
        </w:tabs>
        <w:ind w:left="360" w:hanging="360"/>
      </w:pPr>
    </w:lvl>
  </w:abstractNum>
  <w:abstractNum w:abstractNumId="1">
    <w:nsid w:val="FFFFFFFE"/>
    <w:multiLevelType w:val="singleLevel"/>
    <w:tmpl w:val="9CA261B6"/>
    <w:lvl w:ilvl="0">
      <w:numFmt w:val="bullet"/>
      <w:lvlText w:val="*"/>
      <w:lvlJc w:val="left"/>
    </w:lvl>
  </w:abstractNum>
  <w:abstractNum w:abstractNumId="2">
    <w:nsid w:val="00000001"/>
    <w:multiLevelType w:val="multilevel"/>
    <w:tmpl w:val="00000001"/>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nsid w:val="00000002"/>
    <w:multiLevelType w:val="singleLevel"/>
    <w:tmpl w:val="00000002"/>
    <w:lvl w:ilvl="0">
      <w:start w:val="1"/>
      <w:numFmt w:val="bullet"/>
      <w:lvlText w:val="o"/>
      <w:lvlJc w:val="left"/>
      <w:pPr>
        <w:tabs>
          <w:tab w:val="num" w:pos="2136"/>
        </w:tabs>
        <w:ind w:left="2136" w:hanging="360"/>
      </w:pPr>
      <w:rPr>
        <w:rFonts w:ascii="Courier New" w:hAnsi="Courier New" w:cs="StarSymbol"/>
        <w:sz w:val="18"/>
        <w:szCs w:val="18"/>
      </w:rPr>
    </w:lvl>
  </w:abstractNum>
  <w:abstractNum w:abstractNumId="4">
    <w:nsid w:val="00000003"/>
    <w:multiLevelType w:val="multilevel"/>
    <w:tmpl w:val="0000000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nsid w:val="00000004"/>
    <w:multiLevelType w:val="singleLevel"/>
    <w:tmpl w:val="00000004"/>
    <w:name w:val="WW8Num1"/>
    <w:lvl w:ilvl="0">
      <w:start w:val="1"/>
      <w:numFmt w:val="bullet"/>
      <w:lvlText w:val=""/>
      <w:lvlJc w:val="left"/>
      <w:pPr>
        <w:tabs>
          <w:tab w:val="num" w:pos="3600"/>
        </w:tabs>
        <w:ind w:left="3600" w:hanging="360"/>
      </w:pPr>
      <w:rPr>
        <w:rFonts w:ascii="Wingdings" w:hAnsi="Wingdings"/>
        <w:b w:val="0"/>
        <w:bCs w:val="0"/>
        <w:sz w:val="24"/>
        <w:szCs w:val="24"/>
      </w:rPr>
    </w:lvl>
  </w:abstractNum>
  <w:abstractNum w:abstractNumId="6">
    <w:nsid w:val="00000005"/>
    <w:multiLevelType w:val="multilevel"/>
    <w:tmpl w:val="00000005"/>
    <w:name w:val="WW8Num3"/>
    <w:lvl w:ilvl="0">
      <w:start w:val="1"/>
      <w:numFmt w:val="bullet"/>
      <w:lvlText w:val="•"/>
      <w:lvlJc w:val="left"/>
      <w:pPr>
        <w:tabs>
          <w:tab w:val="num" w:pos="720"/>
        </w:tabs>
        <w:ind w:left="720" w:hanging="360"/>
      </w:pPr>
      <w:rPr>
        <w:rFonts w:ascii="Arial" w:hAnsi="Arial"/>
        <w:b w:val="0"/>
        <w:bCs w:val="0"/>
        <w:sz w:val="24"/>
        <w:szCs w:val="24"/>
      </w:rPr>
    </w:lvl>
    <w:lvl w:ilvl="1">
      <w:start w:val="1"/>
      <w:numFmt w:val="bullet"/>
      <w:lvlText w:val=""/>
      <w:lvlJc w:val="left"/>
      <w:pPr>
        <w:tabs>
          <w:tab w:val="num" w:pos="1440"/>
        </w:tabs>
        <w:ind w:left="1440" w:hanging="360"/>
      </w:pPr>
      <w:rPr>
        <w:rFonts w:ascii="Wingdings" w:hAnsi="Wingdings" w:cs="Courier New"/>
      </w:rPr>
    </w:lvl>
    <w:lvl w:ilvl="2">
      <w:start w:val="1"/>
      <w:numFmt w:val="bullet"/>
      <w:lvlText w:val="•"/>
      <w:lvlJc w:val="left"/>
      <w:pPr>
        <w:tabs>
          <w:tab w:val="num" w:pos="2160"/>
        </w:tabs>
        <w:ind w:left="2160" w:hanging="360"/>
      </w:pPr>
      <w:rPr>
        <w:rFonts w:ascii="Arial" w:hAnsi="Arial"/>
        <w:b w:val="0"/>
        <w:bCs w:val="0"/>
        <w:sz w:val="24"/>
        <w:szCs w:val="24"/>
      </w:rPr>
    </w:lvl>
    <w:lvl w:ilvl="3">
      <w:start w:val="1"/>
      <w:numFmt w:val="bullet"/>
      <w:lvlText w:val="•"/>
      <w:lvlJc w:val="left"/>
      <w:pPr>
        <w:tabs>
          <w:tab w:val="num" w:pos="2880"/>
        </w:tabs>
        <w:ind w:left="2880" w:hanging="360"/>
      </w:pPr>
      <w:rPr>
        <w:rFonts w:ascii="Arial" w:hAnsi="Arial"/>
        <w:b w:val="0"/>
        <w:bCs w:val="0"/>
        <w:sz w:val="24"/>
        <w:szCs w:val="24"/>
      </w:rPr>
    </w:lvl>
    <w:lvl w:ilvl="4">
      <w:start w:val="1"/>
      <w:numFmt w:val="bullet"/>
      <w:lvlText w:val="•"/>
      <w:lvlJc w:val="left"/>
      <w:pPr>
        <w:tabs>
          <w:tab w:val="num" w:pos="3600"/>
        </w:tabs>
        <w:ind w:left="3600" w:hanging="360"/>
      </w:pPr>
      <w:rPr>
        <w:rFonts w:ascii="Arial" w:hAnsi="Arial"/>
        <w:b w:val="0"/>
        <w:bCs w:val="0"/>
        <w:sz w:val="24"/>
        <w:szCs w:val="24"/>
      </w:rPr>
    </w:lvl>
    <w:lvl w:ilvl="5">
      <w:start w:val="1"/>
      <w:numFmt w:val="bullet"/>
      <w:lvlText w:val="•"/>
      <w:lvlJc w:val="left"/>
      <w:pPr>
        <w:tabs>
          <w:tab w:val="num" w:pos="4320"/>
        </w:tabs>
        <w:ind w:left="4320" w:hanging="360"/>
      </w:pPr>
      <w:rPr>
        <w:rFonts w:ascii="Arial" w:hAnsi="Arial"/>
        <w:b w:val="0"/>
        <w:bCs w:val="0"/>
        <w:sz w:val="24"/>
        <w:szCs w:val="24"/>
      </w:rPr>
    </w:lvl>
    <w:lvl w:ilvl="6">
      <w:start w:val="1"/>
      <w:numFmt w:val="bullet"/>
      <w:lvlText w:val="•"/>
      <w:lvlJc w:val="left"/>
      <w:pPr>
        <w:tabs>
          <w:tab w:val="num" w:pos="5040"/>
        </w:tabs>
        <w:ind w:left="5040" w:hanging="360"/>
      </w:pPr>
      <w:rPr>
        <w:rFonts w:ascii="Arial" w:hAnsi="Arial"/>
        <w:b w:val="0"/>
        <w:bCs w:val="0"/>
        <w:sz w:val="24"/>
        <w:szCs w:val="24"/>
      </w:rPr>
    </w:lvl>
    <w:lvl w:ilvl="7">
      <w:start w:val="1"/>
      <w:numFmt w:val="bullet"/>
      <w:lvlText w:val="•"/>
      <w:lvlJc w:val="left"/>
      <w:pPr>
        <w:tabs>
          <w:tab w:val="num" w:pos="5760"/>
        </w:tabs>
        <w:ind w:left="5760" w:hanging="360"/>
      </w:pPr>
      <w:rPr>
        <w:rFonts w:ascii="Arial" w:hAnsi="Arial"/>
        <w:b w:val="0"/>
        <w:bCs w:val="0"/>
        <w:sz w:val="24"/>
        <w:szCs w:val="24"/>
      </w:rPr>
    </w:lvl>
    <w:lvl w:ilvl="8">
      <w:start w:val="1"/>
      <w:numFmt w:val="bullet"/>
      <w:lvlText w:val="•"/>
      <w:lvlJc w:val="left"/>
      <w:pPr>
        <w:tabs>
          <w:tab w:val="num" w:pos="6480"/>
        </w:tabs>
        <w:ind w:left="6480" w:hanging="360"/>
      </w:pPr>
      <w:rPr>
        <w:rFonts w:ascii="Arial" w:hAnsi="Arial"/>
        <w:b w:val="0"/>
        <w:bCs w:val="0"/>
        <w:sz w:val="24"/>
        <w:szCs w:val="24"/>
      </w:rPr>
    </w:lvl>
  </w:abstractNum>
  <w:abstractNum w:abstractNumId="7">
    <w:nsid w:val="00000006"/>
    <w:multiLevelType w:val="singleLevel"/>
    <w:tmpl w:val="00000006"/>
    <w:name w:val="WW8Num2"/>
    <w:lvl w:ilvl="0">
      <w:start w:val="1"/>
      <w:numFmt w:val="bullet"/>
      <w:lvlText w:val=""/>
      <w:lvlJc w:val="left"/>
      <w:pPr>
        <w:tabs>
          <w:tab w:val="num" w:pos="2574"/>
        </w:tabs>
        <w:ind w:left="2574" w:hanging="360"/>
      </w:pPr>
      <w:rPr>
        <w:rFonts w:ascii="Wingdings" w:hAnsi="Wingdings" w:cs="StarSymbol"/>
        <w:sz w:val="18"/>
        <w:szCs w:val="18"/>
      </w:rPr>
    </w:lvl>
  </w:abstractNum>
  <w:abstractNum w:abstractNumId="8">
    <w:nsid w:val="00000007"/>
    <w:multiLevelType w:val="singleLevel"/>
    <w:tmpl w:val="00000007"/>
    <w:name w:val="WW8Num4"/>
    <w:lvl w:ilvl="0">
      <w:start w:val="1"/>
      <w:numFmt w:val="bullet"/>
      <w:lvlText w:val=""/>
      <w:lvlJc w:val="left"/>
      <w:pPr>
        <w:tabs>
          <w:tab w:val="num" w:pos="720"/>
        </w:tabs>
        <w:ind w:left="720" w:hanging="360"/>
      </w:pPr>
      <w:rPr>
        <w:rFonts w:ascii="Wingdings" w:hAnsi="Wingdings" w:cs="StarSymbol"/>
        <w:sz w:val="18"/>
        <w:szCs w:val="18"/>
      </w:rPr>
    </w:lvl>
  </w:abstractNum>
  <w:abstractNum w:abstractNumId="9">
    <w:nsid w:val="00000008"/>
    <w:multiLevelType w:val="singleLevel"/>
    <w:tmpl w:val="00000008"/>
    <w:name w:val="WW8Num5"/>
    <w:lvl w:ilvl="0">
      <w:start w:val="1"/>
      <w:numFmt w:val="bullet"/>
      <w:lvlText w:val=""/>
      <w:lvlJc w:val="left"/>
      <w:pPr>
        <w:tabs>
          <w:tab w:val="num" w:pos="540"/>
        </w:tabs>
        <w:ind w:left="540" w:hanging="360"/>
      </w:pPr>
      <w:rPr>
        <w:rFonts w:ascii="Symbol" w:hAnsi="Symbol" w:cs="StarSymbol"/>
        <w:sz w:val="18"/>
        <w:szCs w:val="18"/>
      </w:rPr>
    </w:lvl>
  </w:abstractNum>
  <w:abstractNum w:abstractNumId="10">
    <w:nsid w:val="00000009"/>
    <w:multiLevelType w:val="singleLevel"/>
    <w:tmpl w:val="00000009"/>
    <w:name w:val="WW8Num6"/>
    <w:lvl w:ilvl="0">
      <w:start w:val="1"/>
      <w:numFmt w:val="bullet"/>
      <w:lvlText w:val=""/>
      <w:lvlJc w:val="left"/>
      <w:pPr>
        <w:tabs>
          <w:tab w:val="num" w:pos="540"/>
        </w:tabs>
        <w:ind w:left="540" w:hanging="360"/>
      </w:pPr>
      <w:rPr>
        <w:rFonts w:ascii="Symbol" w:hAnsi="Symbol"/>
        <w:b w:val="0"/>
        <w:bCs w:val="0"/>
        <w:sz w:val="24"/>
        <w:szCs w:val="24"/>
      </w:rPr>
    </w:lvl>
  </w:abstractNum>
  <w:abstractNum w:abstractNumId="11">
    <w:nsid w:val="0000000A"/>
    <w:multiLevelType w:val="singleLevel"/>
    <w:tmpl w:val="0000000A"/>
    <w:name w:val="WW8Num7"/>
    <w:lvl w:ilvl="0">
      <w:start w:val="1"/>
      <w:numFmt w:val="bullet"/>
      <w:lvlText w:val=""/>
      <w:lvlJc w:val="left"/>
      <w:pPr>
        <w:tabs>
          <w:tab w:val="num" w:pos="2574"/>
        </w:tabs>
        <w:ind w:left="2574" w:hanging="360"/>
      </w:pPr>
      <w:rPr>
        <w:rFonts w:ascii="Wingdings" w:hAnsi="Wingdings"/>
      </w:rPr>
    </w:lvl>
  </w:abstractNum>
  <w:abstractNum w:abstractNumId="12">
    <w:nsid w:val="0000000B"/>
    <w:multiLevelType w:val="singleLevel"/>
    <w:tmpl w:val="0000000B"/>
    <w:name w:val="WW8Num8"/>
    <w:lvl w:ilvl="0">
      <w:start w:val="1"/>
      <w:numFmt w:val="lowerLetter"/>
      <w:lvlText w:val="%1)"/>
      <w:lvlJc w:val="left"/>
      <w:pPr>
        <w:tabs>
          <w:tab w:val="num" w:pos="1494"/>
        </w:tabs>
        <w:ind w:left="1494" w:hanging="360"/>
      </w:pPr>
      <w:rPr>
        <w:rFonts w:ascii="Times New Roman" w:hAnsi="Times New Roman"/>
        <w:b w:val="0"/>
        <w:bCs w:val="0"/>
        <w:sz w:val="24"/>
        <w:szCs w:val="24"/>
      </w:rPr>
    </w:lvl>
  </w:abstractNum>
  <w:abstractNum w:abstractNumId="13">
    <w:nsid w:val="0000000C"/>
    <w:multiLevelType w:val="singleLevel"/>
    <w:tmpl w:val="0000000C"/>
    <w:name w:val="WW8Num9"/>
    <w:lvl w:ilvl="0">
      <w:start w:val="1"/>
      <w:numFmt w:val="bullet"/>
      <w:lvlText w:val=""/>
      <w:lvlJc w:val="left"/>
      <w:pPr>
        <w:tabs>
          <w:tab w:val="num" w:pos="720"/>
        </w:tabs>
        <w:ind w:left="720" w:hanging="360"/>
      </w:pPr>
      <w:rPr>
        <w:rFonts w:ascii="Wingdings" w:hAnsi="Wingdings" w:cs="StarSymbol"/>
        <w:sz w:val="18"/>
        <w:szCs w:val="18"/>
      </w:rPr>
    </w:lvl>
  </w:abstractNum>
  <w:abstractNum w:abstractNumId="14">
    <w:nsid w:val="000B5579"/>
    <w:multiLevelType w:val="hybridMultilevel"/>
    <w:tmpl w:val="88DE1E8C"/>
    <w:name w:val="WW8Num13"/>
    <w:lvl w:ilvl="0" w:tplc="D624A4EA">
      <w:start w:val="1"/>
      <w:numFmt w:val="bullet"/>
      <w:lvlText w:val=""/>
      <w:lvlJc w:val="left"/>
      <w:pPr>
        <w:tabs>
          <w:tab w:val="num" w:pos="720"/>
        </w:tabs>
        <w:ind w:left="720" w:hanging="360"/>
      </w:pPr>
      <w:rPr>
        <w:rFonts w:ascii="Wingdings" w:hAnsi="Wingdings" w:hint="default"/>
      </w:rPr>
    </w:lvl>
    <w:lvl w:ilvl="1" w:tplc="17046B1E" w:tentative="1">
      <w:start w:val="1"/>
      <w:numFmt w:val="bullet"/>
      <w:lvlText w:val="o"/>
      <w:lvlJc w:val="left"/>
      <w:pPr>
        <w:tabs>
          <w:tab w:val="num" w:pos="1440"/>
        </w:tabs>
        <w:ind w:left="1440" w:hanging="360"/>
      </w:pPr>
      <w:rPr>
        <w:rFonts w:ascii="Courier New" w:hAnsi="Courier New" w:cs="Courier New" w:hint="default"/>
      </w:rPr>
    </w:lvl>
    <w:lvl w:ilvl="2" w:tplc="CBE0C81C" w:tentative="1">
      <w:start w:val="1"/>
      <w:numFmt w:val="bullet"/>
      <w:lvlText w:val=""/>
      <w:lvlJc w:val="left"/>
      <w:pPr>
        <w:tabs>
          <w:tab w:val="num" w:pos="2160"/>
        </w:tabs>
        <w:ind w:left="2160" w:hanging="360"/>
      </w:pPr>
      <w:rPr>
        <w:rFonts w:ascii="Wingdings" w:hAnsi="Wingdings" w:hint="default"/>
      </w:rPr>
    </w:lvl>
    <w:lvl w:ilvl="3" w:tplc="62327918" w:tentative="1">
      <w:start w:val="1"/>
      <w:numFmt w:val="bullet"/>
      <w:lvlText w:val=""/>
      <w:lvlJc w:val="left"/>
      <w:pPr>
        <w:tabs>
          <w:tab w:val="num" w:pos="2880"/>
        </w:tabs>
        <w:ind w:left="2880" w:hanging="360"/>
      </w:pPr>
      <w:rPr>
        <w:rFonts w:ascii="Symbol" w:hAnsi="Symbol" w:hint="default"/>
      </w:rPr>
    </w:lvl>
    <w:lvl w:ilvl="4" w:tplc="05FC0B54" w:tentative="1">
      <w:start w:val="1"/>
      <w:numFmt w:val="bullet"/>
      <w:lvlText w:val="o"/>
      <w:lvlJc w:val="left"/>
      <w:pPr>
        <w:tabs>
          <w:tab w:val="num" w:pos="3600"/>
        </w:tabs>
        <w:ind w:left="3600" w:hanging="360"/>
      </w:pPr>
      <w:rPr>
        <w:rFonts w:ascii="Courier New" w:hAnsi="Courier New" w:cs="Courier New" w:hint="default"/>
      </w:rPr>
    </w:lvl>
    <w:lvl w:ilvl="5" w:tplc="EE6676D0" w:tentative="1">
      <w:start w:val="1"/>
      <w:numFmt w:val="bullet"/>
      <w:lvlText w:val=""/>
      <w:lvlJc w:val="left"/>
      <w:pPr>
        <w:tabs>
          <w:tab w:val="num" w:pos="4320"/>
        </w:tabs>
        <w:ind w:left="4320" w:hanging="360"/>
      </w:pPr>
      <w:rPr>
        <w:rFonts w:ascii="Wingdings" w:hAnsi="Wingdings" w:hint="default"/>
      </w:rPr>
    </w:lvl>
    <w:lvl w:ilvl="6" w:tplc="9840702E" w:tentative="1">
      <w:start w:val="1"/>
      <w:numFmt w:val="bullet"/>
      <w:lvlText w:val=""/>
      <w:lvlJc w:val="left"/>
      <w:pPr>
        <w:tabs>
          <w:tab w:val="num" w:pos="5040"/>
        </w:tabs>
        <w:ind w:left="5040" w:hanging="360"/>
      </w:pPr>
      <w:rPr>
        <w:rFonts w:ascii="Symbol" w:hAnsi="Symbol" w:hint="default"/>
      </w:rPr>
    </w:lvl>
    <w:lvl w:ilvl="7" w:tplc="0FC415DE" w:tentative="1">
      <w:start w:val="1"/>
      <w:numFmt w:val="bullet"/>
      <w:lvlText w:val="o"/>
      <w:lvlJc w:val="left"/>
      <w:pPr>
        <w:tabs>
          <w:tab w:val="num" w:pos="5760"/>
        </w:tabs>
        <w:ind w:left="5760" w:hanging="360"/>
      </w:pPr>
      <w:rPr>
        <w:rFonts w:ascii="Courier New" w:hAnsi="Courier New" w:cs="Courier New" w:hint="default"/>
      </w:rPr>
    </w:lvl>
    <w:lvl w:ilvl="8" w:tplc="2906568A" w:tentative="1">
      <w:start w:val="1"/>
      <w:numFmt w:val="bullet"/>
      <w:lvlText w:val=""/>
      <w:lvlJc w:val="left"/>
      <w:pPr>
        <w:tabs>
          <w:tab w:val="num" w:pos="6480"/>
        </w:tabs>
        <w:ind w:left="6480" w:hanging="360"/>
      </w:pPr>
      <w:rPr>
        <w:rFonts w:ascii="Wingdings" w:hAnsi="Wingdings" w:hint="default"/>
      </w:rPr>
    </w:lvl>
  </w:abstractNum>
  <w:abstractNum w:abstractNumId="15">
    <w:nsid w:val="00141F5E"/>
    <w:multiLevelType w:val="hybridMultilevel"/>
    <w:tmpl w:val="09CC3574"/>
    <w:lvl w:ilvl="0" w:tplc="04160009">
      <w:start w:val="1"/>
      <w:numFmt w:val="bullet"/>
      <w:lvlText w:val=""/>
      <w:lvlJc w:val="left"/>
      <w:pPr>
        <w:ind w:left="1080" w:hanging="360"/>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16">
    <w:nsid w:val="00643C35"/>
    <w:multiLevelType w:val="hybridMultilevel"/>
    <w:tmpl w:val="D8AE1DFE"/>
    <w:name w:val="WW8Num14"/>
    <w:lvl w:ilvl="0" w:tplc="B1E8BA34">
      <w:start w:val="1"/>
      <w:numFmt w:val="bullet"/>
      <w:lvlText w:val=""/>
      <w:lvlJc w:val="left"/>
      <w:pPr>
        <w:ind w:left="1080" w:hanging="720"/>
      </w:pPr>
      <w:rPr>
        <w:rFonts w:ascii="Symbol" w:hAnsi="Symbol" w:hint="default"/>
      </w:rPr>
    </w:lvl>
    <w:lvl w:ilvl="1" w:tplc="FA843FBC" w:tentative="1">
      <w:start w:val="1"/>
      <w:numFmt w:val="lowerLetter"/>
      <w:lvlText w:val="%2."/>
      <w:lvlJc w:val="left"/>
      <w:pPr>
        <w:ind w:left="1440" w:hanging="360"/>
      </w:pPr>
    </w:lvl>
    <w:lvl w:ilvl="2" w:tplc="A06CEBE8" w:tentative="1">
      <w:start w:val="1"/>
      <w:numFmt w:val="lowerRoman"/>
      <w:lvlText w:val="%3."/>
      <w:lvlJc w:val="right"/>
      <w:pPr>
        <w:ind w:left="2160" w:hanging="180"/>
      </w:pPr>
    </w:lvl>
    <w:lvl w:ilvl="3" w:tplc="DE66A3F8" w:tentative="1">
      <w:start w:val="1"/>
      <w:numFmt w:val="decimal"/>
      <w:lvlText w:val="%4."/>
      <w:lvlJc w:val="left"/>
      <w:pPr>
        <w:ind w:left="2880" w:hanging="360"/>
      </w:pPr>
    </w:lvl>
    <w:lvl w:ilvl="4" w:tplc="CDFA87B6" w:tentative="1">
      <w:start w:val="1"/>
      <w:numFmt w:val="lowerLetter"/>
      <w:lvlText w:val="%5."/>
      <w:lvlJc w:val="left"/>
      <w:pPr>
        <w:ind w:left="3600" w:hanging="360"/>
      </w:pPr>
    </w:lvl>
    <w:lvl w:ilvl="5" w:tplc="F90CCF34" w:tentative="1">
      <w:start w:val="1"/>
      <w:numFmt w:val="lowerRoman"/>
      <w:lvlText w:val="%6."/>
      <w:lvlJc w:val="right"/>
      <w:pPr>
        <w:ind w:left="4320" w:hanging="180"/>
      </w:pPr>
    </w:lvl>
    <w:lvl w:ilvl="6" w:tplc="9E6AB39E" w:tentative="1">
      <w:start w:val="1"/>
      <w:numFmt w:val="decimal"/>
      <w:lvlText w:val="%7."/>
      <w:lvlJc w:val="left"/>
      <w:pPr>
        <w:ind w:left="5040" w:hanging="360"/>
      </w:pPr>
    </w:lvl>
    <w:lvl w:ilvl="7" w:tplc="307A2AAE" w:tentative="1">
      <w:start w:val="1"/>
      <w:numFmt w:val="lowerLetter"/>
      <w:lvlText w:val="%8."/>
      <w:lvlJc w:val="left"/>
      <w:pPr>
        <w:ind w:left="5760" w:hanging="360"/>
      </w:pPr>
    </w:lvl>
    <w:lvl w:ilvl="8" w:tplc="9FD06B9C" w:tentative="1">
      <w:start w:val="1"/>
      <w:numFmt w:val="lowerRoman"/>
      <w:lvlText w:val="%9."/>
      <w:lvlJc w:val="right"/>
      <w:pPr>
        <w:ind w:left="6480" w:hanging="180"/>
      </w:pPr>
    </w:lvl>
  </w:abstractNum>
  <w:abstractNum w:abstractNumId="17">
    <w:nsid w:val="007770B6"/>
    <w:multiLevelType w:val="hybridMultilevel"/>
    <w:tmpl w:val="A8DC80F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8">
    <w:nsid w:val="0083584C"/>
    <w:multiLevelType w:val="hybridMultilevel"/>
    <w:tmpl w:val="69CC318C"/>
    <w:lvl w:ilvl="0" w:tplc="04160001">
      <w:start w:val="1"/>
      <w:numFmt w:val="bullet"/>
      <w:lvlText w:val=""/>
      <w:lvlJc w:val="left"/>
      <w:pPr>
        <w:ind w:left="720" w:hanging="360"/>
      </w:pPr>
      <w:rPr>
        <w:rFonts w:ascii="Wingdings" w:hAnsi="Wingdings"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9">
    <w:nsid w:val="00BF5F7C"/>
    <w:multiLevelType w:val="hybridMultilevel"/>
    <w:tmpl w:val="090C8662"/>
    <w:lvl w:ilvl="0" w:tplc="04160001">
      <w:start w:val="1"/>
      <w:numFmt w:val="bullet"/>
      <w:lvlText w:val=""/>
      <w:lvlJc w:val="left"/>
      <w:pPr>
        <w:tabs>
          <w:tab w:val="num" w:pos="540"/>
        </w:tabs>
        <w:ind w:left="540" w:hanging="360"/>
      </w:pPr>
      <w:rPr>
        <w:rFonts w:ascii="Wingdings" w:hAnsi="Wingdings"/>
        <w:b w:val="0"/>
        <w:bCs w:val="0"/>
        <w:sz w:val="24"/>
        <w:szCs w:val="24"/>
      </w:rPr>
    </w:lvl>
    <w:lvl w:ilvl="1" w:tplc="04160003">
      <w:start w:val="1"/>
      <w:numFmt w:val="bullet"/>
      <w:lvlText w:val="o"/>
      <w:lvlJc w:val="left"/>
      <w:pPr>
        <w:tabs>
          <w:tab w:val="num" w:pos="-1620"/>
        </w:tabs>
        <w:ind w:left="-1620" w:hanging="360"/>
      </w:pPr>
      <w:rPr>
        <w:rFonts w:ascii="Courier New" w:hAnsi="Courier New" w:cs="Courier New" w:hint="default"/>
      </w:rPr>
    </w:lvl>
    <w:lvl w:ilvl="2" w:tplc="04160005">
      <w:start w:val="1"/>
      <w:numFmt w:val="bullet"/>
      <w:lvlText w:val=""/>
      <w:lvlJc w:val="left"/>
      <w:pPr>
        <w:tabs>
          <w:tab w:val="num" w:pos="2520"/>
        </w:tabs>
        <w:ind w:left="2520" w:hanging="360"/>
      </w:pPr>
      <w:rPr>
        <w:rFonts w:ascii="Wingdings" w:hAnsi="Wingdings" w:hint="default"/>
        <w:b w:val="0"/>
        <w:bCs w:val="0"/>
        <w:sz w:val="24"/>
        <w:szCs w:val="24"/>
      </w:rPr>
    </w:lvl>
    <w:lvl w:ilvl="3" w:tplc="04160001">
      <w:start w:val="1"/>
      <w:numFmt w:val="bullet"/>
      <w:lvlText w:val=""/>
      <w:lvlJc w:val="left"/>
      <w:pPr>
        <w:tabs>
          <w:tab w:val="num" w:pos="1800"/>
        </w:tabs>
        <w:ind w:left="1800" w:hanging="360"/>
      </w:pPr>
      <w:rPr>
        <w:rFonts w:ascii="Symbol" w:hAnsi="Symbol" w:hint="default"/>
        <w:b w:val="0"/>
        <w:bCs w:val="0"/>
        <w:sz w:val="24"/>
        <w:szCs w:val="24"/>
      </w:rPr>
    </w:lvl>
    <w:lvl w:ilvl="4" w:tplc="04160003" w:tentative="1">
      <w:start w:val="1"/>
      <w:numFmt w:val="bullet"/>
      <w:lvlText w:val="o"/>
      <w:lvlJc w:val="left"/>
      <w:pPr>
        <w:tabs>
          <w:tab w:val="num" w:pos="540"/>
        </w:tabs>
        <w:ind w:left="540" w:hanging="360"/>
      </w:pPr>
      <w:rPr>
        <w:rFonts w:ascii="Courier New" w:hAnsi="Courier New" w:cs="Courier New" w:hint="default"/>
      </w:rPr>
    </w:lvl>
    <w:lvl w:ilvl="5" w:tplc="04160005" w:tentative="1">
      <w:start w:val="1"/>
      <w:numFmt w:val="bullet"/>
      <w:lvlText w:val=""/>
      <w:lvlJc w:val="left"/>
      <w:pPr>
        <w:tabs>
          <w:tab w:val="num" w:pos="1260"/>
        </w:tabs>
        <w:ind w:left="1260" w:hanging="360"/>
      </w:pPr>
      <w:rPr>
        <w:rFonts w:ascii="Wingdings" w:hAnsi="Wingdings" w:hint="default"/>
      </w:rPr>
    </w:lvl>
    <w:lvl w:ilvl="6" w:tplc="04160001" w:tentative="1">
      <w:start w:val="1"/>
      <w:numFmt w:val="bullet"/>
      <w:lvlText w:val=""/>
      <w:lvlJc w:val="left"/>
      <w:pPr>
        <w:tabs>
          <w:tab w:val="num" w:pos="1980"/>
        </w:tabs>
        <w:ind w:left="1980" w:hanging="360"/>
      </w:pPr>
      <w:rPr>
        <w:rFonts w:ascii="Symbol" w:hAnsi="Symbol" w:hint="default"/>
      </w:rPr>
    </w:lvl>
    <w:lvl w:ilvl="7" w:tplc="04160003" w:tentative="1">
      <w:start w:val="1"/>
      <w:numFmt w:val="bullet"/>
      <w:lvlText w:val="o"/>
      <w:lvlJc w:val="left"/>
      <w:pPr>
        <w:tabs>
          <w:tab w:val="num" w:pos="2700"/>
        </w:tabs>
        <w:ind w:left="2700" w:hanging="360"/>
      </w:pPr>
      <w:rPr>
        <w:rFonts w:ascii="Courier New" w:hAnsi="Courier New" w:cs="Courier New" w:hint="default"/>
      </w:rPr>
    </w:lvl>
    <w:lvl w:ilvl="8" w:tplc="04160005" w:tentative="1">
      <w:start w:val="1"/>
      <w:numFmt w:val="bullet"/>
      <w:lvlText w:val=""/>
      <w:lvlJc w:val="left"/>
      <w:pPr>
        <w:tabs>
          <w:tab w:val="num" w:pos="3420"/>
        </w:tabs>
        <w:ind w:left="3420" w:hanging="360"/>
      </w:pPr>
      <w:rPr>
        <w:rFonts w:ascii="Wingdings" w:hAnsi="Wingdings" w:hint="default"/>
      </w:rPr>
    </w:lvl>
  </w:abstractNum>
  <w:abstractNum w:abstractNumId="20">
    <w:nsid w:val="00C10925"/>
    <w:multiLevelType w:val="multilevel"/>
    <w:tmpl w:val="23D61632"/>
    <w:name w:val="WW8Num16"/>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01106832"/>
    <w:multiLevelType w:val="hybridMultilevel"/>
    <w:tmpl w:val="106A0388"/>
    <w:lvl w:ilvl="0" w:tplc="00000005">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01205289"/>
    <w:multiLevelType w:val="hybridMultilevel"/>
    <w:tmpl w:val="5770D128"/>
    <w:name w:val="WW8Num210"/>
    <w:lvl w:ilvl="0" w:tplc="00000005">
      <w:start w:val="1"/>
      <w:numFmt w:val="bullet"/>
      <w:lvlText w:val=""/>
      <w:lvlJc w:val="left"/>
      <w:pPr>
        <w:ind w:left="1425" w:hanging="705"/>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23">
    <w:nsid w:val="0134489E"/>
    <w:multiLevelType w:val="hybridMultilevel"/>
    <w:tmpl w:val="30F6AEDA"/>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02122572"/>
    <w:multiLevelType w:val="hybridMultilevel"/>
    <w:tmpl w:val="85383F04"/>
    <w:lvl w:ilvl="0" w:tplc="04160001">
      <w:start w:val="1"/>
      <w:numFmt w:val="bullet"/>
      <w:lvlText w:val=""/>
      <w:lvlJc w:val="left"/>
      <w:pPr>
        <w:tabs>
          <w:tab w:val="num" w:pos="1304"/>
        </w:tabs>
        <w:ind w:left="1304" w:firstLine="0"/>
      </w:pPr>
      <w:rPr>
        <w:rFonts w:ascii="Wingdings 3" w:hAnsi="Wingdings 3" w:hint="default"/>
      </w:rPr>
    </w:lvl>
    <w:lvl w:ilvl="1" w:tplc="04160003" w:tentative="1">
      <w:start w:val="1"/>
      <w:numFmt w:val="bullet"/>
      <w:lvlText w:val="o"/>
      <w:lvlJc w:val="left"/>
      <w:pPr>
        <w:tabs>
          <w:tab w:val="num" w:pos="2574"/>
        </w:tabs>
        <w:ind w:left="2574" w:hanging="360"/>
      </w:pPr>
      <w:rPr>
        <w:rFonts w:ascii="Courier New" w:hAnsi="Courier New" w:cs="Courier New" w:hint="default"/>
      </w:rPr>
    </w:lvl>
    <w:lvl w:ilvl="2" w:tplc="04160005" w:tentative="1">
      <w:start w:val="1"/>
      <w:numFmt w:val="bullet"/>
      <w:lvlText w:val=""/>
      <w:lvlJc w:val="left"/>
      <w:pPr>
        <w:tabs>
          <w:tab w:val="num" w:pos="3294"/>
        </w:tabs>
        <w:ind w:left="3294" w:hanging="360"/>
      </w:pPr>
      <w:rPr>
        <w:rFonts w:ascii="Wingdings" w:hAnsi="Wingdings" w:hint="default"/>
      </w:rPr>
    </w:lvl>
    <w:lvl w:ilvl="3" w:tplc="04160001" w:tentative="1">
      <w:start w:val="1"/>
      <w:numFmt w:val="bullet"/>
      <w:lvlText w:val=""/>
      <w:lvlJc w:val="left"/>
      <w:pPr>
        <w:tabs>
          <w:tab w:val="num" w:pos="4014"/>
        </w:tabs>
        <w:ind w:left="4014" w:hanging="360"/>
      </w:pPr>
      <w:rPr>
        <w:rFonts w:ascii="Symbol" w:hAnsi="Symbol" w:hint="default"/>
      </w:rPr>
    </w:lvl>
    <w:lvl w:ilvl="4" w:tplc="04160003" w:tentative="1">
      <w:start w:val="1"/>
      <w:numFmt w:val="bullet"/>
      <w:lvlText w:val="o"/>
      <w:lvlJc w:val="left"/>
      <w:pPr>
        <w:tabs>
          <w:tab w:val="num" w:pos="4734"/>
        </w:tabs>
        <w:ind w:left="4734" w:hanging="360"/>
      </w:pPr>
      <w:rPr>
        <w:rFonts w:ascii="Courier New" w:hAnsi="Courier New" w:cs="Courier New" w:hint="default"/>
      </w:rPr>
    </w:lvl>
    <w:lvl w:ilvl="5" w:tplc="04160005" w:tentative="1">
      <w:start w:val="1"/>
      <w:numFmt w:val="bullet"/>
      <w:lvlText w:val=""/>
      <w:lvlJc w:val="left"/>
      <w:pPr>
        <w:tabs>
          <w:tab w:val="num" w:pos="5454"/>
        </w:tabs>
        <w:ind w:left="5454" w:hanging="360"/>
      </w:pPr>
      <w:rPr>
        <w:rFonts w:ascii="Wingdings" w:hAnsi="Wingdings" w:hint="default"/>
      </w:rPr>
    </w:lvl>
    <w:lvl w:ilvl="6" w:tplc="04160001" w:tentative="1">
      <w:start w:val="1"/>
      <w:numFmt w:val="bullet"/>
      <w:lvlText w:val=""/>
      <w:lvlJc w:val="left"/>
      <w:pPr>
        <w:tabs>
          <w:tab w:val="num" w:pos="6174"/>
        </w:tabs>
        <w:ind w:left="6174" w:hanging="360"/>
      </w:pPr>
      <w:rPr>
        <w:rFonts w:ascii="Symbol" w:hAnsi="Symbol" w:hint="default"/>
      </w:rPr>
    </w:lvl>
    <w:lvl w:ilvl="7" w:tplc="04160003" w:tentative="1">
      <w:start w:val="1"/>
      <w:numFmt w:val="bullet"/>
      <w:lvlText w:val="o"/>
      <w:lvlJc w:val="left"/>
      <w:pPr>
        <w:tabs>
          <w:tab w:val="num" w:pos="6894"/>
        </w:tabs>
        <w:ind w:left="6894" w:hanging="360"/>
      </w:pPr>
      <w:rPr>
        <w:rFonts w:ascii="Courier New" w:hAnsi="Courier New" w:cs="Courier New" w:hint="default"/>
      </w:rPr>
    </w:lvl>
    <w:lvl w:ilvl="8" w:tplc="04160005" w:tentative="1">
      <w:start w:val="1"/>
      <w:numFmt w:val="bullet"/>
      <w:lvlText w:val=""/>
      <w:lvlJc w:val="left"/>
      <w:pPr>
        <w:tabs>
          <w:tab w:val="num" w:pos="7614"/>
        </w:tabs>
        <w:ind w:left="7614" w:hanging="360"/>
      </w:pPr>
      <w:rPr>
        <w:rFonts w:ascii="Wingdings" w:hAnsi="Wingdings" w:hint="default"/>
      </w:rPr>
    </w:lvl>
  </w:abstractNum>
  <w:abstractNum w:abstractNumId="25">
    <w:nsid w:val="023A265B"/>
    <w:multiLevelType w:val="hybridMultilevel"/>
    <w:tmpl w:val="6AFE17E6"/>
    <w:lvl w:ilvl="0" w:tplc="04160005">
      <w:start w:val="1"/>
      <w:numFmt w:val="bullet"/>
      <w:lvlText w:val=""/>
      <w:lvlJc w:val="left"/>
      <w:pPr>
        <w:ind w:left="1068" w:hanging="360"/>
      </w:pPr>
      <w:rPr>
        <w:rFonts w:ascii="Symbol" w:hAnsi="Symbol" w:hint="default"/>
      </w:rPr>
    </w:lvl>
    <w:lvl w:ilvl="1" w:tplc="04160003">
      <w:start w:val="1"/>
      <w:numFmt w:val="bullet"/>
      <w:lvlText w:val="o"/>
      <w:lvlJc w:val="left"/>
      <w:pPr>
        <w:ind w:left="1788" w:hanging="360"/>
      </w:pPr>
      <w:rPr>
        <w:rFonts w:ascii="Courier New" w:hAnsi="Courier New" w:hint="default"/>
      </w:rPr>
    </w:lvl>
    <w:lvl w:ilvl="2" w:tplc="04160005">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6">
    <w:nsid w:val="02651460"/>
    <w:multiLevelType w:val="hybridMultilevel"/>
    <w:tmpl w:val="DA0EF47C"/>
    <w:lvl w:ilvl="0" w:tplc="04160001">
      <w:start w:val="1"/>
      <w:numFmt w:val="bullet"/>
      <w:lvlText w:val=""/>
      <w:lvlJc w:val="left"/>
      <w:pPr>
        <w:tabs>
          <w:tab w:val="num" w:pos="284"/>
        </w:tabs>
        <w:ind w:left="567" w:hanging="283"/>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7">
    <w:nsid w:val="02BA3955"/>
    <w:multiLevelType w:val="multilevel"/>
    <w:tmpl w:val="A316FD2C"/>
    <w:lvl w:ilvl="0">
      <w:start w:val="1"/>
      <w:numFmt w:val="decimal"/>
      <w:pStyle w:val="ManualTit1"/>
      <w:lvlText w:val="%1."/>
      <w:lvlJc w:val="left"/>
      <w:pPr>
        <w:ind w:left="720" w:hanging="360"/>
      </w:pPr>
      <w:rPr>
        <w:sz w:val="24"/>
        <w:szCs w:val="24"/>
      </w:rPr>
    </w:lvl>
    <w:lvl w:ilvl="1">
      <w:start w:val="1"/>
      <w:numFmt w:val="decimal"/>
      <w:pStyle w:val="Titulo2"/>
      <w:isLgl/>
      <w:lvlText w:val="%1.%2"/>
      <w:lvlJc w:val="left"/>
      <w:pPr>
        <w:ind w:left="1033"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nsid w:val="02F65212"/>
    <w:multiLevelType w:val="hybridMultilevel"/>
    <w:tmpl w:val="87ECCC1C"/>
    <w:lvl w:ilvl="0" w:tplc="906014CA">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9">
    <w:nsid w:val="033712E4"/>
    <w:multiLevelType w:val="hybridMultilevel"/>
    <w:tmpl w:val="F0302904"/>
    <w:lvl w:ilvl="0" w:tplc="0DAA9D32">
      <w:start w:val="1"/>
      <w:numFmt w:val="bullet"/>
      <w:lvlText w:val=""/>
      <w:lvlJc w:val="left"/>
      <w:pPr>
        <w:ind w:left="720" w:hanging="360"/>
      </w:pPr>
      <w:rPr>
        <w:rFonts w:ascii="Symbol" w:hAnsi="Symbol" w:hint="default"/>
      </w:rPr>
    </w:lvl>
    <w:lvl w:ilvl="1" w:tplc="2CBC9AD2">
      <w:start w:val="1"/>
      <w:numFmt w:val="bullet"/>
      <w:lvlText w:val="o"/>
      <w:lvlJc w:val="left"/>
      <w:pPr>
        <w:ind w:left="1440" w:hanging="360"/>
      </w:pPr>
      <w:rPr>
        <w:rFonts w:ascii="Courier New" w:hAnsi="Courier New" w:cs="Courier New" w:hint="default"/>
      </w:rPr>
    </w:lvl>
    <w:lvl w:ilvl="2" w:tplc="ED48ABCE" w:tentative="1">
      <w:start w:val="1"/>
      <w:numFmt w:val="bullet"/>
      <w:lvlText w:val=""/>
      <w:lvlJc w:val="left"/>
      <w:pPr>
        <w:ind w:left="2160" w:hanging="360"/>
      </w:pPr>
      <w:rPr>
        <w:rFonts w:ascii="Wingdings" w:hAnsi="Wingdings" w:hint="default"/>
      </w:rPr>
    </w:lvl>
    <w:lvl w:ilvl="3" w:tplc="860ABD96" w:tentative="1">
      <w:start w:val="1"/>
      <w:numFmt w:val="bullet"/>
      <w:lvlText w:val=""/>
      <w:lvlJc w:val="left"/>
      <w:pPr>
        <w:ind w:left="2880" w:hanging="360"/>
      </w:pPr>
      <w:rPr>
        <w:rFonts w:ascii="Symbol" w:hAnsi="Symbol" w:hint="default"/>
      </w:rPr>
    </w:lvl>
    <w:lvl w:ilvl="4" w:tplc="D4DA487C" w:tentative="1">
      <w:start w:val="1"/>
      <w:numFmt w:val="bullet"/>
      <w:lvlText w:val="o"/>
      <w:lvlJc w:val="left"/>
      <w:pPr>
        <w:ind w:left="3600" w:hanging="360"/>
      </w:pPr>
      <w:rPr>
        <w:rFonts w:ascii="Courier New" w:hAnsi="Courier New" w:cs="Courier New" w:hint="default"/>
      </w:rPr>
    </w:lvl>
    <w:lvl w:ilvl="5" w:tplc="2172589C" w:tentative="1">
      <w:start w:val="1"/>
      <w:numFmt w:val="bullet"/>
      <w:lvlText w:val=""/>
      <w:lvlJc w:val="left"/>
      <w:pPr>
        <w:ind w:left="4320" w:hanging="360"/>
      </w:pPr>
      <w:rPr>
        <w:rFonts w:ascii="Wingdings" w:hAnsi="Wingdings" w:hint="default"/>
      </w:rPr>
    </w:lvl>
    <w:lvl w:ilvl="6" w:tplc="DBAE21C2" w:tentative="1">
      <w:start w:val="1"/>
      <w:numFmt w:val="bullet"/>
      <w:lvlText w:val=""/>
      <w:lvlJc w:val="left"/>
      <w:pPr>
        <w:ind w:left="5040" w:hanging="360"/>
      </w:pPr>
      <w:rPr>
        <w:rFonts w:ascii="Symbol" w:hAnsi="Symbol" w:hint="default"/>
      </w:rPr>
    </w:lvl>
    <w:lvl w:ilvl="7" w:tplc="934426A8" w:tentative="1">
      <w:start w:val="1"/>
      <w:numFmt w:val="bullet"/>
      <w:lvlText w:val="o"/>
      <w:lvlJc w:val="left"/>
      <w:pPr>
        <w:ind w:left="5760" w:hanging="360"/>
      </w:pPr>
      <w:rPr>
        <w:rFonts w:ascii="Courier New" w:hAnsi="Courier New" w:cs="Courier New" w:hint="default"/>
      </w:rPr>
    </w:lvl>
    <w:lvl w:ilvl="8" w:tplc="6FC8AE8A" w:tentative="1">
      <w:start w:val="1"/>
      <w:numFmt w:val="bullet"/>
      <w:lvlText w:val=""/>
      <w:lvlJc w:val="left"/>
      <w:pPr>
        <w:ind w:left="6480" w:hanging="360"/>
      </w:pPr>
      <w:rPr>
        <w:rFonts w:ascii="Wingdings" w:hAnsi="Wingdings" w:hint="default"/>
      </w:rPr>
    </w:lvl>
  </w:abstractNum>
  <w:abstractNum w:abstractNumId="30">
    <w:nsid w:val="040E4562"/>
    <w:multiLevelType w:val="hybridMultilevel"/>
    <w:tmpl w:val="20384BC4"/>
    <w:lvl w:ilvl="0" w:tplc="04160001">
      <w:start w:val="1"/>
      <w:numFmt w:val="bullet"/>
      <w:lvlText w:val=""/>
      <w:lvlJc w:val="left"/>
      <w:pPr>
        <w:ind w:left="928" w:hanging="360"/>
      </w:pPr>
      <w:rPr>
        <w:rFonts w:ascii="Symbol" w:hAnsi="Symbol" w:hint="default"/>
      </w:rPr>
    </w:lvl>
    <w:lvl w:ilvl="1" w:tplc="04160003">
      <w:start w:val="1"/>
      <w:numFmt w:val="bullet"/>
      <w:lvlText w:val="o"/>
      <w:lvlJc w:val="left"/>
      <w:pPr>
        <w:ind w:left="1648" w:hanging="360"/>
      </w:pPr>
      <w:rPr>
        <w:rFonts w:ascii="Courier New" w:hAnsi="Courier New" w:cs="Courier New" w:hint="default"/>
      </w:rPr>
    </w:lvl>
    <w:lvl w:ilvl="2" w:tplc="04160005" w:tentative="1">
      <w:start w:val="1"/>
      <w:numFmt w:val="bullet"/>
      <w:lvlText w:val=""/>
      <w:lvlJc w:val="left"/>
      <w:pPr>
        <w:ind w:left="2368" w:hanging="360"/>
      </w:pPr>
      <w:rPr>
        <w:rFonts w:ascii="Wingdings" w:hAnsi="Wingdings" w:hint="default"/>
      </w:rPr>
    </w:lvl>
    <w:lvl w:ilvl="3" w:tplc="04160001" w:tentative="1">
      <w:start w:val="1"/>
      <w:numFmt w:val="bullet"/>
      <w:lvlText w:val=""/>
      <w:lvlJc w:val="left"/>
      <w:pPr>
        <w:ind w:left="3088" w:hanging="360"/>
      </w:pPr>
      <w:rPr>
        <w:rFonts w:ascii="Symbol" w:hAnsi="Symbol" w:hint="default"/>
      </w:rPr>
    </w:lvl>
    <w:lvl w:ilvl="4" w:tplc="04160003" w:tentative="1">
      <w:start w:val="1"/>
      <w:numFmt w:val="bullet"/>
      <w:lvlText w:val="o"/>
      <w:lvlJc w:val="left"/>
      <w:pPr>
        <w:ind w:left="3808" w:hanging="360"/>
      </w:pPr>
      <w:rPr>
        <w:rFonts w:ascii="Courier New" w:hAnsi="Courier New" w:cs="Courier New" w:hint="default"/>
      </w:rPr>
    </w:lvl>
    <w:lvl w:ilvl="5" w:tplc="04160005" w:tentative="1">
      <w:start w:val="1"/>
      <w:numFmt w:val="bullet"/>
      <w:lvlText w:val=""/>
      <w:lvlJc w:val="left"/>
      <w:pPr>
        <w:ind w:left="4528" w:hanging="360"/>
      </w:pPr>
      <w:rPr>
        <w:rFonts w:ascii="Wingdings" w:hAnsi="Wingdings" w:hint="default"/>
      </w:rPr>
    </w:lvl>
    <w:lvl w:ilvl="6" w:tplc="04160001" w:tentative="1">
      <w:start w:val="1"/>
      <w:numFmt w:val="bullet"/>
      <w:lvlText w:val=""/>
      <w:lvlJc w:val="left"/>
      <w:pPr>
        <w:ind w:left="5248" w:hanging="360"/>
      </w:pPr>
      <w:rPr>
        <w:rFonts w:ascii="Symbol" w:hAnsi="Symbol" w:hint="default"/>
      </w:rPr>
    </w:lvl>
    <w:lvl w:ilvl="7" w:tplc="04160003" w:tentative="1">
      <w:start w:val="1"/>
      <w:numFmt w:val="bullet"/>
      <w:lvlText w:val="o"/>
      <w:lvlJc w:val="left"/>
      <w:pPr>
        <w:ind w:left="5968" w:hanging="360"/>
      </w:pPr>
      <w:rPr>
        <w:rFonts w:ascii="Courier New" w:hAnsi="Courier New" w:cs="Courier New" w:hint="default"/>
      </w:rPr>
    </w:lvl>
    <w:lvl w:ilvl="8" w:tplc="04160005" w:tentative="1">
      <w:start w:val="1"/>
      <w:numFmt w:val="bullet"/>
      <w:lvlText w:val=""/>
      <w:lvlJc w:val="left"/>
      <w:pPr>
        <w:ind w:left="6688" w:hanging="360"/>
      </w:pPr>
      <w:rPr>
        <w:rFonts w:ascii="Wingdings" w:hAnsi="Wingdings" w:hint="default"/>
      </w:rPr>
    </w:lvl>
  </w:abstractNum>
  <w:abstractNum w:abstractNumId="31">
    <w:nsid w:val="04711B3C"/>
    <w:multiLevelType w:val="hybridMultilevel"/>
    <w:tmpl w:val="9D681D34"/>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2">
    <w:nsid w:val="04B66805"/>
    <w:multiLevelType w:val="hybridMultilevel"/>
    <w:tmpl w:val="BB7ABECA"/>
    <w:lvl w:ilvl="0" w:tplc="04160001">
      <w:start w:val="1"/>
      <w:numFmt w:val="bullet"/>
      <w:lvlText w:val="●"/>
      <w:lvlJc w:val="left"/>
      <w:pPr>
        <w:tabs>
          <w:tab w:val="num" w:pos="720"/>
        </w:tabs>
        <w:ind w:left="720" w:hanging="360"/>
      </w:pPr>
      <w:rPr>
        <w:rFonts w:ascii="StarSymbol" w:hAnsi="StarSymbol" w:hint="default"/>
      </w:rPr>
    </w:lvl>
    <w:lvl w:ilvl="1" w:tplc="04160003" w:tentative="1">
      <w:start w:val="1"/>
      <w:numFmt w:val="bullet"/>
      <w:lvlText w:val="●"/>
      <w:lvlJc w:val="left"/>
      <w:pPr>
        <w:tabs>
          <w:tab w:val="num" w:pos="1440"/>
        </w:tabs>
        <w:ind w:left="1440" w:hanging="360"/>
      </w:pPr>
      <w:rPr>
        <w:rFonts w:ascii="StarSymbol" w:hAnsi="StarSymbol" w:hint="default"/>
      </w:rPr>
    </w:lvl>
    <w:lvl w:ilvl="2" w:tplc="04160005" w:tentative="1">
      <w:start w:val="1"/>
      <w:numFmt w:val="bullet"/>
      <w:lvlText w:val="●"/>
      <w:lvlJc w:val="left"/>
      <w:pPr>
        <w:tabs>
          <w:tab w:val="num" w:pos="2160"/>
        </w:tabs>
        <w:ind w:left="2160" w:hanging="360"/>
      </w:pPr>
      <w:rPr>
        <w:rFonts w:ascii="StarSymbol" w:hAnsi="StarSymbol" w:hint="default"/>
      </w:rPr>
    </w:lvl>
    <w:lvl w:ilvl="3" w:tplc="04160001" w:tentative="1">
      <w:start w:val="1"/>
      <w:numFmt w:val="bullet"/>
      <w:lvlText w:val="●"/>
      <w:lvlJc w:val="left"/>
      <w:pPr>
        <w:tabs>
          <w:tab w:val="num" w:pos="2880"/>
        </w:tabs>
        <w:ind w:left="2880" w:hanging="360"/>
      </w:pPr>
      <w:rPr>
        <w:rFonts w:ascii="StarSymbol" w:hAnsi="StarSymbol" w:hint="default"/>
      </w:rPr>
    </w:lvl>
    <w:lvl w:ilvl="4" w:tplc="04160003" w:tentative="1">
      <w:start w:val="1"/>
      <w:numFmt w:val="bullet"/>
      <w:lvlText w:val="●"/>
      <w:lvlJc w:val="left"/>
      <w:pPr>
        <w:tabs>
          <w:tab w:val="num" w:pos="3600"/>
        </w:tabs>
        <w:ind w:left="3600" w:hanging="360"/>
      </w:pPr>
      <w:rPr>
        <w:rFonts w:ascii="StarSymbol" w:hAnsi="StarSymbol" w:hint="default"/>
      </w:rPr>
    </w:lvl>
    <w:lvl w:ilvl="5" w:tplc="04160005" w:tentative="1">
      <w:start w:val="1"/>
      <w:numFmt w:val="bullet"/>
      <w:lvlText w:val="●"/>
      <w:lvlJc w:val="left"/>
      <w:pPr>
        <w:tabs>
          <w:tab w:val="num" w:pos="4320"/>
        </w:tabs>
        <w:ind w:left="4320" w:hanging="360"/>
      </w:pPr>
      <w:rPr>
        <w:rFonts w:ascii="StarSymbol" w:hAnsi="StarSymbol" w:hint="default"/>
      </w:rPr>
    </w:lvl>
    <w:lvl w:ilvl="6" w:tplc="04160001" w:tentative="1">
      <w:start w:val="1"/>
      <w:numFmt w:val="bullet"/>
      <w:lvlText w:val="●"/>
      <w:lvlJc w:val="left"/>
      <w:pPr>
        <w:tabs>
          <w:tab w:val="num" w:pos="5040"/>
        </w:tabs>
        <w:ind w:left="5040" w:hanging="360"/>
      </w:pPr>
      <w:rPr>
        <w:rFonts w:ascii="StarSymbol" w:hAnsi="StarSymbol" w:hint="default"/>
      </w:rPr>
    </w:lvl>
    <w:lvl w:ilvl="7" w:tplc="04160003" w:tentative="1">
      <w:start w:val="1"/>
      <w:numFmt w:val="bullet"/>
      <w:lvlText w:val="●"/>
      <w:lvlJc w:val="left"/>
      <w:pPr>
        <w:tabs>
          <w:tab w:val="num" w:pos="5760"/>
        </w:tabs>
        <w:ind w:left="5760" w:hanging="360"/>
      </w:pPr>
      <w:rPr>
        <w:rFonts w:ascii="StarSymbol" w:hAnsi="StarSymbol" w:hint="default"/>
      </w:rPr>
    </w:lvl>
    <w:lvl w:ilvl="8" w:tplc="04160005" w:tentative="1">
      <w:start w:val="1"/>
      <w:numFmt w:val="bullet"/>
      <w:lvlText w:val="●"/>
      <w:lvlJc w:val="left"/>
      <w:pPr>
        <w:tabs>
          <w:tab w:val="num" w:pos="6480"/>
        </w:tabs>
        <w:ind w:left="6480" w:hanging="360"/>
      </w:pPr>
      <w:rPr>
        <w:rFonts w:ascii="StarSymbol" w:hAnsi="StarSymbol" w:hint="default"/>
      </w:rPr>
    </w:lvl>
  </w:abstractNum>
  <w:abstractNum w:abstractNumId="33">
    <w:nsid w:val="04CE72BF"/>
    <w:multiLevelType w:val="hybridMultilevel"/>
    <w:tmpl w:val="ACAE34DE"/>
    <w:lvl w:ilvl="0" w:tplc="04160001">
      <w:start w:val="1"/>
      <w:numFmt w:val="bullet"/>
      <w:lvlText w:val=""/>
      <w:lvlJc w:val="left"/>
      <w:pPr>
        <w:tabs>
          <w:tab w:val="num" w:pos="927"/>
        </w:tabs>
        <w:ind w:left="927" w:hanging="360"/>
      </w:pPr>
      <w:rPr>
        <w:rFonts w:ascii="Symbol" w:hAnsi="Symbol" w:hint="default"/>
      </w:rPr>
    </w:lvl>
    <w:lvl w:ilvl="1" w:tplc="04160019" w:tentative="1">
      <w:start w:val="1"/>
      <w:numFmt w:val="bullet"/>
      <w:lvlText w:val="o"/>
      <w:lvlJc w:val="left"/>
      <w:pPr>
        <w:tabs>
          <w:tab w:val="num" w:pos="1647"/>
        </w:tabs>
        <w:ind w:left="1647" w:hanging="360"/>
      </w:pPr>
      <w:rPr>
        <w:rFonts w:ascii="Courier New" w:hAnsi="Courier New" w:cs="Courier New" w:hint="default"/>
      </w:rPr>
    </w:lvl>
    <w:lvl w:ilvl="2" w:tplc="0416001B" w:tentative="1">
      <w:start w:val="1"/>
      <w:numFmt w:val="bullet"/>
      <w:lvlText w:val=""/>
      <w:lvlJc w:val="left"/>
      <w:pPr>
        <w:tabs>
          <w:tab w:val="num" w:pos="2367"/>
        </w:tabs>
        <w:ind w:left="2367" w:hanging="360"/>
      </w:pPr>
      <w:rPr>
        <w:rFonts w:ascii="Wingdings" w:hAnsi="Wingdings" w:hint="default"/>
      </w:rPr>
    </w:lvl>
    <w:lvl w:ilvl="3" w:tplc="0416000F" w:tentative="1">
      <w:start w:val="1"/>
      <w:numFmt w:val="bullet"/>
      <w:lvlText w:val=""/>
      <w:lvlJc w:val="left"/>
      <w:pPr>
        <w:tabs>
          <w:tab w:val="num" w:pos="3087"/>
        </w:tabs>
        <w:ind w:left="3087" w:hanging="360"/>
      </w:pPr>
      <w:rPr>
        <w:rFonts w:ascii="Symbol" w:hAnsi="Symbol" w:hint="default"/>
      </w:rPr>
    </w:lvl>
    <w:lvl w:ilvl="4" w:tplc="04160019" w:tentative="1">
      <w:start w:val="1"/>
      <w:numFmt w:val="bullet"/>
      <w:lvlText w:val="o"/>
      <w:lvlJc w:val="left"/>
      <w:pPr>
        <w:tabs>
          <w:tab w:val="num" w:pos="3807"/>
        </w:tabs>
        <w:ind w:left="3807" w:hanging="360"/>
      </w:pPr>
      <w:rPr>
        <w:rFonts w:ascii="Courier New" w:hAnsi="Courier New" w:cs="Courier New" w:hint="default"/>
      </w:rPr>
    </w:lvl>
    <w:lvl w:ilvl="5" w:tplc="0416001B" w:tentative="1">
      <w:start w:val="1"/>
      <w:numFmt w:val="bullet"/>
      <w:lvlText w:val=""/>
      <w:lvlJc w:val="left"/>
      <w:pPr>
        <w:tabs>
          <w:tab w:val="num" w:pos="4527"/>
        </w:tabs>
        <w:ind w:left="4527" w:hanging="360"/>
      </w:pPr>
      <w:rPr>
        <w:rFonts w:ascii="Wingdings" w:hAnsi="Wingdings" w:hint="default"/>
      </w:rPr>
    </w:lvl>
    <w:lvl w:ilvl="6" w:tplc="0416000F" w:tentative="1">
      <w:start w:val="1"/>
      <w:numFmt w:val="bullet"/>
      <w:lvlText w:val=""/>
      <w:lvlJc w:val="left"/>
      <w:pPr>
        <w:tabs>
          <w:tab w:val="num" w:pos="5247"/>
        </w:tabs>
        <w:ind w:left="5247" w:hanging="360"/>
      </w:pPr>
      <w:rPr>
        <w:rFonts w:ascii="Symbol" w:hAnsi="Symbol" w:hint="default"/>
      </w:rPr>
    </w:lvl>
    <w:lvl w:ilvl="7" w:tplc="04160019" w:tentative="1">
      <w:start w:val="1"/>
      <w:numFmt w:val="bullet"/>
      <w:lvlText w:val="o"/>
      <w:lvlJc w:val="left"/>
      <w:pPr>
        <w:tabs>
          <w:tab w:val="num" w:pos="5967"/>
        </w:tabs>
        <w:ind w:left="5967" w:hanging="360"/>
      </w:pPr>
      <w:rPr>
        <w:rFonts w:ascii="Courier New" w:hAnsi="Courier New" w:cs="Courier New" w:hint="default"/>
      </w:rPr>
    </w:lvl>
    <w:lvl w:ilvl="8" w:tplc="0416001B" w:tentative="1">
      <w:start w:val="1"/>
      <w:numFmt w:val="bullet"/>
      <w:lvlText w:val=""/>
      <w:lvlJc w:val="left"/>
      <w:pPr>
        <w:tabs>
          <w:tab w:val="num" w:pos="6687"/>
        </w:tabs>
        <w:ind w:left="6687" w:hanging="360"/>
      </w:pPr>
      <w:rPr>
        <w:rFonts w:ascii="Wingdings" w:hAnsi="Wingdings" w:hint="default"/>
      </w:rPr>
    </w:lvl>
  </w:abstractNum>
  <w:abstractNum w:abstractNumId="34">
    <w:nsid w:val="04F9027D"/>
    <w:multiLevelType w:val="multilevel"/>
    <w:tmpl w:val="751C2226"/>
    <w:lvl w:ilvl="0">
      <w:start w:val="1"/>
      <w:numFmt w:val="upperRoman"/>
      <w:lvlText w:val="%1."/>
      <w:lvlJc w:val="right"/>
      <w:pPr>
        <w:ind w:left="1854" w:hanging="360"/>
      </w:pPr>
    </w:lvl>
    <w:lvl w:ilvl="1">
      <w:start w:val="516"/>
      <w:numFmt w:val="decimal"/>
      <w:isLgl/>
      <w:lvlText w:val="%1.%2"/>
      <w:lvlJc w:val="left"/>
      <w:pPr>
        <w:ind w:left="2169" w:hanging="675"/>
      </w:pPr>
      <w:rPr>
        <w:rFonts w:hint="default"/>
      </w:rPr>
    </w:lvl>
    <w:lvl w:ilvl="2">
      <w:start w:val="1"/>
      <w:numFmt w:val="decimal"/>
      <w:isLgl/>
      <w:lvlText w:val="%1.%2.%3"/>
      <w:lvlJc w:val="left"/>
      <w:pPr>
        <w:ind w:left="2214" w:hanging="720"/>
      </w:pPr>
      <w:rPr>
        <w:rFonts w:hint="default"/>
      </w:rPr>
    </w:lvl>
    <w:lvl w:ilvl="3">
      <w:start w:val="1"/>
      <w:numFmt w:val="decimal"/>
      <w:isLgl/>
      <w:lvlText w:val="%1.%2.%3.%4"/>
      <w:lvlJc w:val="left"/>
      <w:pPr>
        <w:ind w:left="2214" w:hanging="720"/>
      </w:pPr>
      <w:rPr>
        <w:rFonts w:hint="default"/>
      </w:rPr>
    </w:lvl>
    <w:lvl w:ilvl="4">
      <w:start w:val="1"/>
      <w:numFmt w:val="decimal"/>
      <w:isLgl/>
      <w:lvlText w:val="%1.%2.%3.%4.%5"/>
      <w:lvlJc w:val="left"/>
      <w:pPr>
        <w:ind w:left="2574" w:hanging="1080"/>
      </w:pPr>
      <w:rPr>
        <w:rFonts w:hint="default"/>
      </w:rPr>
    </w:lvl>
    <w:lvl w:ilvl="5">
      <w:start w:val="1"/>
      <w:numFmt w:val="decimal"/>
      <w:isLgl/>
      <w:lvlText w:val="%1.%2.%3.%4.%5.%6"/>
      <w:lvlJc w:val="left"/>
      <w:pPr>
        <w:ind w:left="2574" w:hanging="1080"/>
      </w:pPr>
      <w:rPr>
        <w:rFonts w:hint="default"/>
      </w:rPr>
    </w:lvl>
    <w:lvl w:ilvl="6">
      <w:start w:val="1"/>
      <w:numFmt w:val="decimal"/>
      <w:isLgl/>
      <w:lvlText w:val="%1.%2.%3.%4.%5.%6.%7"/>
      <w:lvlJc w:val="left"/>
      <w:pPr>
        <w:ind w:left="2934" w:hanging="1440"/>
      </w:pPr>
      <w:rPr>
        <w:rFonts w:hint="default"/>
      </w:rPr>
    </w:lvl>
    <w:lvl w:ilvl="7">
      <w:start w:val="1"/>
      <w:numFmt w:val="decimal"/>
      <w:isLgl/>
      <w:lvlText w:val="%1.%2.%3.%4.%5.%6.%7.%8"/>
      <w:lvlJc w:val="left"/>
      <w:pPr>
        <w:ind w:left="2934" w:hanging="1440"/>
      </w:pPr>
      <w:rPr>
        <w:rFonts w:hint="default"/>
      </w:rPr>
    </w:lvl>
    <w:lvl w:ilvl="8">
      <w:start w:val="1"/>
      <w:numFmt w:val="decimal"/>
      <w:isLgl/>
      <w:lvlText w:val="%1.%2.%3.%4.%5.%6.%7.%8.%9"/>
      <w:lvlJc w:val="left"/>
      <w:pPr>
        <w:ind w:left="3294" w:hanging="1800"/>
      </w:pPr>
      <w:rPr>
        <w:rFonts w:hint="default"/>
      </w:rPr>
    </w:lvl>
  </w:abstractNum>
  <w:abstractNum w:abstractNumId="35">
    <w:nsid w:val="0556709D"/>
    <w:multiLevelType w:val="hybridMultilevel"/>
    <w:tmpl w:val="29A404A0"/>
    <w:lvl w:ilvl="0" w:tplc="D39C84CC">
      <w:numFmt w:val="bullet"/>
      <w:lvlText w:val=""/>
      <w:lvlJc w:val="left"/>
      <w:pPr>
        <w:ind w:left="1287" w:hanging="360"/>
      </w:pPr>
      <w:rPr>
        <w:rFonts w:ascii="Symbol" w:eastAsia="Times New Roman" w:hAnsi="Symbol" w:cs="Times New Roman" w:hint="default"/>
      </w:rPr>
    </w:lvl>
    <w:lvl w:ilvl="1" w:tplc="21147AE2" w:tentative="1">
      <w:start w:val="1"/>
      <w:numFmt w:val="bullet"/>
      <w:lvlText w:val="o"/>
      <w:lvlJc w:val="left"/>
      <w:pPr>
        <w:ind w:left="2007" w:hanging="360"/>
      </w:pPr>
      <w:rPr>
        <w:rFonts w:ascii="Courier New" w:hAnsi="Courier New" w:cs="Courier New" w:hint="default"/>
      </w:rPr>
    </w:lvl>
    <w:lvl w:ilvl="2" w:tplc="D21028E2" w:tentative="1">
      <w:start w:val="1"/>
      <w:numFmt w:val="bullet"/>
      <w:lvlText w:val=""/>
      <w:lvlJc w:val="left"/>
      <w:pPr>
        <w:ind w:left="2727" w:hanging="360"/>
      </w:pPr>
      <w:rPr>
        <w:rFonts w:ascii="Wingdings" w:hAnsi="Wingdings" w:hint="default"/>
      </w:rPr>
    </w:lvl>
    <w:lvl w:ilvl="3" w:tplc="C3B48290" w:tentative="1">
      <w:start w:val="1"/>
      <w:numFmt w:val="bullet"/>
      <w:lvlText w:val=""/>
      <w:lvlJc w:val="left"/>
      <w:pPr>
        <w:ind w:left="3447" w:hanging="360"/>
      </w:pPr>
      <w:rPr>
        <w:rFonts w:ascii="Symbol" w:hAnsi="Symbol" w:hint="default"/>
      </w:rPr>
    </w:lvl>
    <w:lvl w:ilvl="4" w:tplc="72D822C8" w:tentative="1">
      <w:start w:val="1"/>
      <w:numFmt w:val="bullet"/>
      <w:lvlText w:val="o"/>
      <w:lvlJc w:val="left"/>
      <w:pPr>
        <w:ind w:left="4167" w:hanging="360"/>
      </w:pPr>
      <w:rPr>
        <w:rFonts w:ascii="Courier New" w:hAnsi="Courier New" w:cs="Courier New" w:hint="default"/>
      </w:rPr>
    </w:lvl>
    <w:lvl w:ilvl="5" w:tplc="CA4C83E4" w:tentative="1">
      <w:start w:val="1"/>
      <w:numFmt w:val="bullet"/>
      <w:lvlText w:val=""/>
      <w:lvlJc w:val="left"/>
      <w:pPr>
        <w:ind w:left="4887" w:hanging="360"/>
      </w:pPr>
      <w:rPr>
        <w:rFonts w:ascii="Wingdings" w:hAnsi="Wingdings" w:hint="default"/>
      </w:rPr>
    </w:lvl>
    <w:lvl w:ilvl="6" w:tplc="3EDE2C4C" w:tentative="1">
      <w:start w:val="1"/>
      <w:numFmt w:val="bullet"/>
      <w:lvlText w:val=""/>
      <w:lvlJc w:val="left"/>
      <w:pPr>
        <w:ind w:left="5607" w:hanging="360"/>
      </w:pPr>
      <w:rPr>
        <w:rFonts w:ascii="Symbol" w:hAnsi="Symbol" w:hint="default"/>
      </w:rPr>
    </w:lvl>
    <w:lvl w:ilvl="7" w:tplc="E9C49274" w:tentative="1">
      <w:start w:val="1"/>
      <w:numFmt w:val="bullet"/>
      <w:lvlText w:val="o"/>
      <w:lvlJc w:val="left"/>
      <w:pPr>
        <w:ind w:left="6327" w:hanging="360"/>
      </w:pPr>
      <w:rPr>
        <w:rFonts w:ascii="Courier New" w:hAnsi="Courier New" w:cs="Courier New" w:hint="default"/>
      </w:rPr>
    </w:lvl>
    <w:lvl w:ilvl="8" w:tplc="E6FE4A36" w:tentative="1">
      <w:start w:val="1"/>
      <w:numFmt w:val="bullet"/>
      <w:lvlText w:val=""/>
      <w:lvlJc w:val="left"/>
      <w:pPr>
        <w:ind w:left="7047" w:hanging="360"/>
      </w:pPr>
      <w:rPr>
        <w:rFonts w:ascii="Wingdings" w:hAnsi="Wingdings" w:hint="default"/>
      </w:rPr>
    </w:lvl>
  </w:abstractNum>
  <w:abstractNum w:abstractNumId="36">
    <w:nsid w:val="05943ADF"/>
    <w:multiLevelType w:val="hybridMultilevel"/>
    <w:tmpl w:val="80D02968"/>
    <w:lvl w:ilvl="0" w:tplc="B80C38B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nsid w:val="062315D3"/>
    <w:multiLevelType w:val="hybridMultilevel"/>
    <w:tmpl w:val="F7704B2E"/>
    <w:lvl w:ilvl="0" w:tplc="02840264">
      <w:start w:val="1"/>
      <w:numFmt w:val="bullet"/>
      <w:lvlText w:val="o"/>
      <w:lvlJc w:val="left"/>
      <w:pPr>
        <w:ind w:left="720" w:hanging="360"/>
      </w:pPr>
      <w:rPr>
        <w:rFonts w:ascii="Courier New" w:hAnsi="Courier New" w:cs="Courier New" w:hint="default"/>
      </w:rPr>
    </w:lvl>
    <w:lvl w:ilvl="1" w:tplc="14DC7A4C" w:tentative="1">
      <w:start w:val="1"/>
      <w:numFmt w:val="lowerLetter"/>
      <w:lvlText w:val="%2."/>
      <w:lvlJc w:val="left"/>
      <w:pPr>
        <w:ind w:left="1440" w:hanging="360"/>
      </w:pPr>
    </w:lvl>
    <w:lvl w:ilvl="2" w:tplc="510A5A82" w:tentative="1">
      <w:start w:val="1"/>
      <w:numFmt w:val="lowerRoman"/>
      <w:lvlText w:val="%3."/>
      <w:lvlJc w:val="right"/>
      <w:pPr>
        <w:ind w:left="2160" w:hanging="180"/>
      </w:pPr>
    </w:lvl>
    <w:lvl w:ilvl="3" w:tplc="92F2DD14" w:tentative="1">
      <w:start w:val="1"/>
      <w:numFmt w:val="decimal"/>
      <w:lvlText w:val="%4."/>
      <w:lvlJc w:val="left"/>
      <w:pPr>
        <w:ind w:left="2880" w:hanging="360"/>
      </w:pPr>
    </w:lvl>
    <w:lvl w:ilvl="4" w:tplc="07E8A5C4" w:tentative="1">
      <w:start w:val="1"/>
      <w:numFmt w:val="lowerLetter"/>
      <w:lvlText w:val="%5."/>
      <w:lvlJc w:val="left"/>
      <w:pPr>
        <w:ind w:left="3600" w:hanging="360"/>
      </w:pPr>
    </w:lvl>
    <w:lvl w:ilvl="5" w:tplc="01F4504A" w:tentative="1">
      <w:start w:val="1"/>
      <w:numFmt w:val="lowerRoman"/>
      <w:lvlText w:val="%6."/>
      <w:lvlJc w:val="right"/>
      <w:pPr>
        <w:ind w:left="4320" w:hanging="180"/>
      </w:pPr>
    </w:lvl>
    <w:lvl w:ilvl="6" w:tplc="A2A0640E" w:tentative="1">
      <w:start w:val="1"/>
      <w:numFmt w:val="decimal"/>
      <w:lvlText w:val="%7."/>
      <w:lvlJc w:val="left"/>
      <w:pPr>
        <w:ind w:left="5040" w:hanging="360"/>
      </w:pPr>
    </w:lvl>
    <w:lvl w:ilvl="7" w:tplc="C8C243E6" w:tentative="1">
      <w:start w:val="1"/>
      <w:numFmt w:val="lowerLetter"/>
      <w:lvlText w:val="%8."/>
      <w:lvlJc w:val="left"/>
      <w:pPr>
        <w:ind w:left="5760" w:hanging="360"/>
      </w:pPr>
    </w:lvl>
    <w:lvl w:ilvl="8" w:tplc="555C1E74" w:tentative="1">
      <w:start w:val="1"/>
      <w:numFmt w:val="lowerRoman"/>
      <w:lvlText w:val="%9."/>
      <w:lvlJc w:val="right"/>
      <w:pPr>
        <w:ind w:left="6480" w:hanging="180"/>
      </w:pPr>
    </w:lvl>
  </w:abstractNum>
  <w:abstractNum w:abstractNumId="38">
    <w:nsid w:val="064B1446"/>
    <w:multiLevelType w:val="hybridMultilevel"/>
    <w:tmpl w:val="4FF6F13E"/>
    <w:lvl w:ilvl="0" w:tplc="04160001">
      <w:start w:val="1"/>
      <w:numFmt w:val="bullet"/>
      <w:lvlText w:val=""/>
      <w:lvlJc w:val="left"/>
      <w:pPr>
        <w:tabs>
          <w:tab w:val="num" w:pos="1080"/>
        </w:tabs>
        <w:ind w:left="1080" w:hanging="360"/>
      </w:pPr>
      <w:rPr>
        <w:rFonts w:ascii="Symbol" w:hAnsi="Symbol" w:cs="Symbol" w:hint="default"/>
        <w:sz w:val="16"/>
        <w:szCs w:val="16"/>
      </w:rPr>
    </w:lvl>
    <w:lvl w:ilvl="1" w:tplc="04160003">
      <w:start w:val="1"/>
      <w:numFmt w:val="bullet"/>
      <w:lvlText w:val="o"/>
      <w:lvlJc w:val="left"/>
      <w:pPr>
        <w:tabs>
          <w:tab w:val="num" w:pos="1800"/>
        </w:tabs>
        <w:ind w:left="1800" w:hanging="360"/>
      </w:pPr>
      <w:rPr>
        <w:rFonts w:ascii="Courier New" w:hAnsi="Courier New" w:cs="Courier New" w:hint="default"/>
      </w:rPr>
    </w:lvl>
    <w:lvl w:ilvl="2" w:tplc="04160005">
      <w:start w:val="1"/>
      <w:numFmt w:val="bullet"/>
      <w:lvlText w:val=""/>
      <w:lvlJc w:val="left"/>
      <w:pPr>
        <w:tabs>
          <w:tab w:val="num" w:pos="2520"/>
        </w:tabs>
        <w:ind w:left="2520" w:hanging="360"/>
      </w:pPr>
      <w:rPr>
        <w:rFonts w:ascii="Wingdings" w:hAnsi="Wingdings" w:cs="Wingdings" w:hint="default"/>
      </w:rPr>
    </w:lvl>
    <w:lvl w:ilvl="3" w:tplc="04160001">
      <w:start w:val="1"/>
      <w:numFmt w:val="bullet"/>
      <w:lvlText w:val=""/>
      <w:lvlJc w:val="left"/>
      <w:pPr>
        <w:tabs>
          <w:tab w:val="num" w:pos="3240"/>
        </w:tabs>
        <w:ind w:left="3240" w:hanging="360"/>
      </w:pPr>
      <w:rPr>
        <w:rFonts w:ascii="Symbol" w:hAnsi="Symbol" w:cs="Symbol" w:hint="default"/>
      </w:rPr>
    </w:lvl>
    <w:lvl w:ilvl="4" w:tplc="04160003">
      <w:start w:val="1"/>
      <w:numFmt w:val="bullet"/>
      <w:lvlText w:val="o"/>
      <w:lvlJc w:val="left"/>
      <w:pPr>
        <w:tabs>
          <w:tab w:val="num" w:pos="3960"/>
        </w:tabs>
        <w:ind w:left="3960" w:hanging="360"/>
      </w:pPr>
      <w:rPr>
        <w:rFonts w:ascii="Courier New" w:hAnsi="Courier New" w:cs="Courier New" w:hint="default"/>
      </w:rPr>
    </w:lvl>
    <w:lvl w:ilvl="5" w:tplc="04160005">
      <w:start w:val="1"/>
      <w:numFmt w:val="bullet"/>
      <w:lvlText w:val=""/>
      <w:lvlJc w:val="left"/>
      <w:pPr>
        <w:tabs>
          <w:tab w:val="num" w:pos="4680"/>
        </w:tabs>
        <w:ind w:left="4680" w:hanging="360"/>
      </w:pPr>
      <w:rPr>
        <w:rFonts w:ascii="Wingdings" w:hAnsi="Wingdings" w:cs="Wingdings" w:hint="default"/>
      </w:rPr>
    </w:lvl>
    <w:lvl w:ilvl="6" w:tplc="04160001">
      <w:start w:val="1"/>
      <w:numFmt w:val="bullet"/>
      <w:lvlText w:val=""/>
      <w:lvlJc w:val="left"/>
      <w:pPr>
        <w:tabs>
          <w:tab w:val="num" w:pos="5400"/>
        </w:tabs>
        <w:ind w:left="5400" w:hanging="360"/>
      </w:pPr>
      <w:rPr>
        <w:rFonts w:ascii="Symbol" w:hAnsi="Symbol" w:cs="Symbol" w:hint="default"/>
      </w:rPr>
    </w:lvl>
    <w:lvl w:ilvl="7" w:tplc="04160003">
      <w:start w:val="1"/>
      <w:numFmt w:val="bullet"/>
      <w:lvlText w:val="o"/>
      <w:lvlJc w:val="left"/>
      <w:pPr>
        <w:tabs>
          <w:tab w:val="num" w:pos="6120"/>
        </w:tabs>
        <w:ind w:left="6120" w:hanging="360"/>
      </w:pPr>
      <w:rPr>
        <w:rFonts w:ascii="Courier New" w:hAnsi="Courier New" w:cs="Courier New" w:hint="default"/>
      </w:rPr>
    </w:lvl>
    <w:lvl w:ilvl="8" w:tplc="04160005">
      <w:start w:val="1"/>
      <w:numFmt w:val="bullet"/>
      <w:lvlText w:val=""/>
      <w:lvlJc w:val="left"/>
      <w:pPr>
        <w:tabs>
          <w:tab w:val="num" w:pos="6840"/>
        </w:tabs>
        <w:ind w:left="6840" w:hanging="360"/>
      </w:pPr>
      <w:rPr>
        <w:rFonts w:ascii="Wingdings" w:hAnsi="Wingdings" w:cs="Wingdings" w:hint="default"/>
      </w:rPr>
    </w:lvl>
  </w:abstractNum>
  <w:abstractNum w:abstractNumId="39">
    <w:nsid w:val="06675E1B"/>
    <w:multiLevelType w:val="hybridMultilevel"/>
    <w:tmpl w:val="61A4387A"/>
    <w:lvl w:ilvl="0" w:tplc="6E8668AA">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nsid w:val="067C7864"/>
    <w:multiLevelType w:val="hybridMultilevel"/>
    <w:tmpl w:val="E37CA7FE"/>
    <w:lvl w:ilvl="0" w:tplc="0416000D">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nsid w:val="06F10B6E"/>
    <w:multiLevelType w:val="hybridMultilevel"/>
    <w:tmpl w:val="5CA2100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nsid w:val="06FC28E9"/>
    <w:multiLevelType w:val="hybridMultilevel"/>
    <w:tmpl w:val="B758555A"/>
    <w:lvl w:ilvl="0" w:tplc="04160001">
      <w:start w:val="1"/>
      <w:numFmt w:val="decimal"/>
      <w:lvlText w:val="%1."/>
      <w:lvlJc w:val="left"/>
      <w:pPr>
        <w:tabs>
          <w:tab w:val="num" w:pos="3214"/>
        </w:tabs>
        <w:ind w:left="3214" w:hanging="1425"/>
      </w:pPr>
      <w:rPr>
        <w:rFonts w:hint="default"/>
      </w:rPr>
    </w:lvl>
    <w:lvl w:ilvl="1" w:tplc="04160003" w:tentative="1">
      <w:start w:val="1"/>
      <w:numFmt w:val="lowerLetter"/>
      <w:lvlText w:val="%2."/>
      <w:lvlJc w:val="left"/>
      <w:pPr>
        <w:tabs>
          <w:tab w:val="num" w:pos="2869"/>
        </w:tabs>
        <w:ind w:left="2869" w:hanging="360"/>
      </w:pPr>
    </w:lvl>
    <w:lvl w:ilvl="2" w:tplc="04160005" w:tentative="1">
      <w:start w:val="1"/>
      <w:numFmt w:val="lowerRoman"/>
      <w:lvlText w:val="%3."/>
      <w:lvlJc w:val="right"/>
      <w:pPr>
        <w:tabs>
          <w:tab w:val="num" w:pos="3589"/>
        </w:tabs>
        <w:ind w:left="3589" w:hanging="180"/>
      </w:pPr>
    </w:lvl>
    <w:lvl w:ilvl="3" w:tplc="04160001" w:tentative="1">
      <w:start w:val="1"/>
      <w:numFmt w:val="decimal"/>
      <w:lvlText w:val="%4."/>
      <w:lvlJc w:val="left"/>
      <w:pPr>
        <w:tabs>
          <w:tab w:val="num" w:pos="4309"/>
        </w:tabs>
        <w:ind w:left="4309" w:hanging="360"/>
      </w:pPr>
    </w:lvl>
    <w:lvl w:ilvl="4" w:tplc="04160003" w:tentative="1">
      <w:start w:val="1"/>
      <w:numFmt w:val="lowerLetter"/>
      <w:lvlText w:val="%5."/>
      <w:lvlJc w:val="left"/>
      <w:pPr>
        <w:tabs>
          <w:tab w:val="num" w:pos="5029"/>
        </w:tabs>
        <w:ind w:left="5029" w:hanging="360"/>
      </w:pPr>
    </w:lvl>
    <w:lvl w:ilvl="5" w:tplc="04160005" w:tentative="1">
      <w:start w:val="1"/>
      <w:numFmt w:val="lowerRoman"/>
      <w:lvlText w:val="%6."/>
      <w:lvlJc w:val="right"/>
      <w:pPr>
        <w:tabs>
          <w:tab w:val="num" w:pos="5749"/>
        </w:tabs>
        <w:ind w:left="5749" w:hanging="180"/>
      </w:pPr>
    </w:lvl>
    <w:lvl w:ilvl="6" w:tplc="04160001" w:tentative="1">
      <w:start w:val="1"/>
      <w:numFmt w:val="decimal"/>
      <w:lvlText w:val="%7."/>
      <w:lvlJc w:val="left"/>
      <w:pPr>
        <w:tabs>
          <w:tab w:val="num" w:pos="6469"/>
        </w:tabs>
        <w:ind w:left="6469" w:hanging="360"/>
      </w:pPr>
    </w:lvl>
    <w:lvl w:ilvl="7" w:tplc="04160003" w:tentative="1">
      <w:start w:val="1"/>
      <w:numFmt w:val="lowerLetter"/>
      <w:lvlText w:val="%8."/>
      <w:lvlJc w:val="left"/>
      <w:pPr>
        <w:tabs>
          <w:tab w:val="num" w:pos="7189"/>
        </w:tabs>
        <w:ind w:left="7189" w:hanging="360"/>
      </w:pPr>
    </w:lvl>
    <w:lvl w:ilvl="8" w:tplc="04160005" w:tentative="1">
      <w:start w:val="1"/>
      <w:numFmt w:val="lowerRoman"/>
      <w:lvlText w:val="%9."/>
      <w:lvlJc w:val="right"/>
      <w:pPr>
        <w:tabs>
          <w:tab w:val="num" w:pos="7909"/>
        </w:tabs>
        <w:ind w:left="7909" w:hanging="180"/>
      </w:pPr>
    </w:lvl>
  </w:abstractNum>
  <w:abstractNum w:abstractNumId="43">
    <w:nsid w:val="076A24C1"/>
    <w:multiLevelType w:val="hybridMultilevel"/>
    <w:tmpl w:val="30BC1E06"/>
    <w:lvl w:ilvl="0" w:tplc="04160003">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44">
    <w:nsid w:val="08056904"/>
    <w:multiLevelType w:val="hybridMultilevel"/>
    <w:tmpl w:val="69FAF61C"/>
    <w:lvl w:ilvl="0" w:tplc="04160001">
      <w:start w:val="1"/>
      <w:numFmt w:val="bullet"/>
      <w:lvlText w:val=""/>
      <w:lvlJc w:val="left"/>
      <w:pPr>
        <w:ind w:left="1428" w:hanging="360"/>
      </w:pPr>
      <w:rPr>
        <w:rFonts w:ascii="Symbol" w:hAnsi="Symbol" w:hint="default"/>
      </w:rPr>
    </w:lvl>
    <w:lvl w:ilvl="1" w:tplc="04160003">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45">
    <w:nsid w:val="08891FD0"/>
    <w:multiLevelType w:val="hybridMultilevel"/>
    <w:tmpl w:val="2C006666"/>
    <w:lvl w:ilvl="0" w:tplc="04160001">
      <w:start w:val="1"/>
      <w:numFmt w:val="bullet"/>
      <w:lvlText w:val=""/>
      <w:lvlJc w:val="left"/>
      <w:pPr>
        <w:ind w:left="1429" w:hanging="360"/>
      </w:pPr>
      <w:rPr>
        <w:rFonts w:ascii="Symbol" w:hAnsi="Symbol" w:hint="default"/>
      </w:rPr>
    </w:lvl>
    <w:lvl w:ilvl="1" w:tplc="04160003">
      <w:start w:val="1"/>
      <w:numFmt w:val="bullet"/>
      <w:lvlText w:val="o"/>
      <w:lvlJc w:val="left"/>
      <w:pPr>
        <w:ind w:left="2149" w:hanging="360"/>
      </w:pPr>
      <w:rPr>
        <w:rFonts w:ascii="Courier New" w:hAnsi="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6">
    <w:nsid w:val="08BA0815"/>
    <w:multiLevelType w:val="hybridMultilevel"/>
    <w:tmpl w:val="C6CE523A"/>
    <w:lvl w:ilvl="0" w:tplc="04160001">
      <w:start w:val="1"/>
      <w:numFmt w:val="decimal"/>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7">
    <w:nsid w:val="08EC02F8"/>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48">
    <w:nsid w:val="091A5171"/>
    <w:multiLevelType w:val="hybridMultilevel"/>
    <w:tmpl w:val="1264C442"/>
    <w:lvl w:ilvl="0" w:tplc="7EBEBB22">
      <w:start w:val="1"/>
      <w:numFmt w:val="bullet"/>
      <w:lvlText w:val=""/>
      <w:lvlJc w:val="left"/>
      <w:pPr>
        <w:ind w:left="787" w:hanging="360"/>
      </w:pPr>
      <w:rPr>
        <w:rFonts w:ascii="Symbol" w:hAnsi="Symbol" w:hint="default"/>
      </w:rPr>
    </w:lvl>
    <w:lvl w:ilvl="1" w:tplc="8BD26D22" w:tentative="1">
      <w:start w:val="1"/>
      <w:numFmt w:val="bullet"/>
      <w:lvlText w:val="o"/>
      <w:lvlJc w:val="left"/>
      <w:pPr>
        <w:ind w:left="1507" w:hanging="360"/>
      </w:pPr>
      <w:rPr>
        <w:rFonts w:ascii="Courier New" w:hAnsi="Courier New" w:cs="Courier New" w:hint="default"/>
      </w:rPr>
    </w:lvl>
    <w:lvl w:ilvl="2" w:tplc="0B809F86" w:tentative="1">
      <w:start w:val="1"/>
      <w:numFmt w:val="bullet"/>
      <w:lvlText w:val=""/>
      <w:lvlJc w:val="left"/>
      <w:pPr>
        <w:ind w:left="2227" w:hanging="360"/>
      </w:pPr>
      <w:rPr>
        <w:rFonts w:ascii="Wingdings" w:hAnsi="Wingdings" w:hint="default"/>
      </w:rPr>
    </w:lvl>
    <w:lvl w:ilvl="3" w:tplc="5C3833A6" w:tentative="1">
      <w:start w:val="1"/>
      <w:numFmt w:val="bullet"/>
      <w:lvlText w:val=""/>
      <w:lvlJc w:val="left"/>
      <w:pPr>
        <w:ind w:left="2947" w:hanging="360"/>
      </w:pPr>
      <w:rPr>
        <w:rFonts w:ascii="Symbol" w:hAnsi="Symbol" w:hint="default"/>
      </w:rPr>
    </w:lvl>
    <w:lvl w:ilvl="4" w:tplc="DED659C8" w:tentative="1">
      <w:start w:val="1"/>
      <w:numFmt w:val="bullet"/>
      <w:lvlText w:val="o"/>
      <w:lvlJc w:val="left"/>
      <w:pPr>
        <w:ind w:left="3667" w:hanging="360"/>
      </w:pPr>
      <w:rPr>
        <w:rFonts w:ascii="Courier New" w:hAnsi="Courier New" w:cs="Courier New" w:hint="default"/>
      </w:rPr>
    </w:lvl>
    <w:lvl w:ilvl="5" w:tplc="CE78643E" w:tentative="1">
      <w:start w:val="1"/>
      <w:numFmt w:val="bullet"/>
      <w:lvlText w:val=""/>
      <w:lvlJc w:val="left"/>
      <w:pPr>
        <w:ind w:left="4387" w:hanging="360"/>
      </w:pPr>
      <w:rPr>
        <w:rFonts w:ascii="Wingdings" w:hAnsi="Wingdings" w:hint="default"/>
      </w:rPr>
    </w:lvl>
    <w:lvl w:ilvl="6" w:tplc="3B405280" w:tentative="1">
      <w:start w:val="1"/>
      <w:numFmt w:val="bullet"/>
      <w:lvlText w:val=""/>
      <w:lvlJc w:val="left"/>
      <w:pPr>
        <w:ind w:left="5107" w:hanging="360"/>
      </w:pPr>
      <w:rPr>
        <w:rFonts w:ascii="Symbol" w:hAnsi="Symbol" w:hint="default"/>
      </w:rPr>
    </w:lvl>
    <w:lvl w:ilvl="7" w:tplc="638A2FA4" w:tentative="1">
      <w:start w:val="1"/>
      <w:numFmt w:val="bullet"/>
      <w:lvlText w:val="o"/>
      <w:lvlJc w:val="left"/>
      <w:pPr>
        <w:ind w:left="5827" w:hanging="360"/>
      </w:pPr>
      <w:rPr>
        <w:rFonts w:ascii="Courier New" w:hAnsi="Courier New" w:cs="Courier New" w:hint="default"/>
      </w:rPr>
    </w:lvl>
    <w:lvl w:ilvl="8" w:tplc="F90AC00C" w:tentative="1">
      <w:start w:val="1"/>
      <w:numFmt w:val="bullet"/>
      <w:lvlText w:val=""/>
      <w:lvlJc w:val="left"/>
      <w:pPr>
        <w:ind w:left="6547" w:hanging="360"/>
      </w:pPr>
      <w:rPr>
        <w:rFonts w:ascii="Wingdings" w:hAnsi="Wingdings" w:hint="default"/>
      </w:rPr>
    </w:lvl>
  </w:abstractNum>
  <w:abstractNum w:abstractNumId="49">
    <w:nsid w:val="09221763"/>
    <w:multiLevelType w:val="hybridMultilevel"/>
    <w:tmpl w:val="EE90AF5E"/>
    <w:lvl w:ilvl="0" w:tplc="B5561F72">
      <w:start w:val="1"/>
      <w:numFmt w:val="bullet"/>
      <w:lvlText w:val=""/>
      <w:lvlJc w:val="left"/>
      <w:pPr>
        <w:ind w:left="1080" w:hanging="360"/>
      </w:pPr>
      <w:rPr>
        <w:rFonts w:ascii="Symbol" w:hAnsi="Symbol" w:hint="default"/>
      </w:rPr>
    </w:lvl>
    <w:lvl w:ilvl="1" w:tplc="04160019" w:tentative="1">
      <w:start w:val="1"/>
      <w:numFmt w:val="bullet"/>
      <w:lvlText w:val="o"/>
      <w:lvlJc w:val="left"/>
      <w:pPr>
        <w:ind w:left="1800" w:hanging="360"/>
      </w:pPr>
      <w:rPr>
        <w:rFonts w:ascii="Courier New" w:hAnsi="Courier New" w:hint="default"/>
      </w:rPr>
    </w:lvl>
    <w:lvl w:ilvl="2" w:tplc="0416001B" w:tentative="1">
      <w:start w:val="1"/>
      <w:numFmt w:val="bullet"/>
      <w:lvlText w:val=""/>
      <w:lvlJc w:val="left"/>
      <w:pPr>
        <w:ind w:left="2520" w:hanging="360"/>
      </w:pPr>
      <w:rPr>
        <w:rFonts w:ascii="Wingdings" w:hAnsi="Wingdings" w:hint="default"/>
      </w:rPr>
    </w:lvl>
    <w:lvl w:ilvl="3" w:tplc="0416000F" w:tentative="1">
      <w:start w:val="1"/>
      <w:numFmt w:val="bullet"/>
      <w:lvlText w:val=""/>
      <w:lvlJc w:val="left"/>
      <w:pPr>
        <w:ind w:left="3240" w:hanging="360"/>
      </w:pPr>
      <w:rPr>
        <w:rFonts w:ascii="Symbol" w:hAnsi="Symbol" w:hint="default"/>
      </w:rPr>
    </w:lvl>
    <w:lvl w:ilvl="4" w:tplc="04160019" w:tentative="1">
      <w:start w:val="1"/>
      <w:numFmt w:val="bullet"/>
      <w:lvlText w:val="o"/>
      <w:lvlJc w:val="left"/>
      <w:pPr>
        <w:ind w:left="3960" w:hanging="360"/>
      </w:pPr>
      <w:rPr>
        <w:rFonts w:ascii="Courier New" w:hAnsi="Courier New" w:hint="default"/>
      </w:rPr>
    </w:lvl>
    <w:lvl w:ilvl="5" w:tplc="0416001B" w:tentative="1">
      <w:start w:val="1"/>
      <w:numFmt w:val="bullet"/>
      <w:lvlText w:val=""/>
      <w:lvlJc w:val="left"/>
      <w:pPr>
        <w:ind w:left="4680" w:hanging="360"/>
      </w:pPr>
      <w:rPr>
        <w:rFonts w:ascii="Wingdings" w:hAnsi="Wingdings" w:hint="default"/>
      </w:rPr>
    </w:lvl>
    <w:lvl w:ilvl="6" w:tplc="0416000F" w:tentative="1">
      <w:start w:val="1"/>
      <w:numFmt w:val="bullet"/>
      <w:lvlText w:val=""/>
      <w:lvlJc w:val="left"/>
      <w:pPr>
        <w:ind w:left="5400" w:hanging="360"/>
      </w:pPr>
      <w:rPr>
        <w:rFonts w:ascii="Symbol" w:hAnsi="Symbol" w:hint="default"/>
      </w:rPr>
    </w:lvl>
    <w:lvl w:ilvl="7" w:tplc="04160019" w:tentative="1">
      <w:start w:val="1"/>
      <w:numFmt w:val="bullet"/>
      <w:lvlText w:val="o"/>
      <w:lvlJc w:val="left"/>
      <w:pPr>
        <w:ind w:left="6120" w:hanging="360"/>
      </w:pPr>
      <w:rPr>
        <w:rFonts w:ascii="Courier New" w:hAnsi="Courier New" w:hint="default"/>
      </w:rPr>
    </w:lvl>
    <w:lvl w:ilvl="8" w:tplc="0416001B" w:tentative="1">
      <w:start w:val="1"/>
      <w:numFmt w:val="bullet"/>
      <w:lvlText w:val=""/>
      <w:lvlJc w:val="left"/>
      <w:pPr>
        <w:ind w:left="6840" w:hanging="360"/>
      </w:pPr>
      <w:rPr>
        <w:rFonts w:ascii="Wingdings" w:hAnsi="Wingdings" w:hint="default"/>
      </w:rPr>
    </w:lvl>
  </w:abstractNum>
  <w:abstractNum w:abstractNumId="50">
    <w:nsid w:val="09A81895"/>
    <w:multiLevelType w:val="multilevel"/>
    <w:tmpl w:val="BD4EDA3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sz w:val="18"/>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51">
    <w:nsid w:val="09BB0687"/>
    <w:multiLevelType w:val="hybridMultilevel"/>
    <w:tmpl w:val="108AF04A"/>
    <w:lvl w:ilvl="0" w:tplc="04160001">
      <w:start w:val="1"/>
      <w:numFmt w:val="bullet"/>
      <w:lvlText w:val="●"/>
      <w:lvlJc w:val="left"/>
      <w:pPr>
        <w:tabs>
          <w:tab w:val="num" w:pos="720"/>
        </w:tabs>
        <w:ind w:left="720" w:hanging="360"/>
      </w:pPr>
      <w:rPr>
        <w:rFonts w:ascii="StarSymbol" w:hAnsi="StarSymbol" w:hint="default"/>
      </w:rPr>
    </w:lvl>
    <w:lvl w:ilvl="1" w:tplc="04160003" w:tentative="1">
      <w:start w:val="1"/>
      <w:numFmt w:val="bullet"/>
      <w:lvlText w:val="●"/>
      <w:lvlJc w:val="left"/>
      <w:pPr>
        <w:tabs>
          <w:tab w:val="num" w:pos="1440"/>
        </w:tabs>
        <w:ind w:left="1440" w:hanging="360"/>
      </w:pPr>
      <w:rPr>
        <w:rFonts w:ascii="StarSymbol" w:hAnsi="StarSymbol" w:hint="default"/>
      </w:rPr>
    </w:lvl>
    <w:lvl w:ilvl="2" w:tplc="04160005" w:tentative="1">
      <w:start w:val="1"/>
      <w:numFmt w:val="bullet"/>
      <w:lvlText w:val="●"/>
      <w:lvlJc w:val="left"/>
      <w:pPr>
        <w:tabs>
          <w:tab w:val="num" w:pos="2160"/>
        </w:tabs>
        <w:ind w:left="2160" w:hanging="360"/>
      </w:pPr>
      <w:rPr>
        <w:rFonts w:ascii="StarSymbol" w:hAnsi="StarSymbol" w:hint="default"/>
      </w:rPr>
    </w:lvl>
    <w:lvl w:ilvl="3" w:tplc="04160001" w:tentative="1">
      <w:start w:val="1"/>
      <w:numFmt w:val="bullet"/>
      <w:lvlText w:val="●"/>
      <w:lvlJc w:val="left"/>
      <w:pPr>
        <w:tabs>
          <w:tab w:val="num" w:pos="2880"/>
        </w:tabs>
        <w:ind w:left="2880" w:hanging="360"/>
      </w:pPr>
      <w:rPr>
        <w:rFonts w:ascii="StarSymbol" w:hAnsi="StarSymbol" w:hint="default"/>
      </w:rPr>
    </w:lvl>
    <w:lvl w:ilvl="4" w:tplc="04160003" w:tentative="1">
      <w:start w:val="1"/>
      <w:numFmt w:val="bullet"/>
      <w:lvlText w:val="●"/>
      <w:lvlJc w:val="left"/>
      <w:pPr>
        <w:tabs>
          <w:tab w:val="num" w:pos="3600"/>
        </w:tabs>
        <w:ind w:left="3600" w:hanging="360"/>
      </w:pPr>
      <w:rPr>
        <w:rFonts w:ascii="StarSymbol" w:hAnsi="StarSymbol" w:hint="default"/>
      </w:rPr>
    </w:lvl>
    <w:lvl w:ilvl="5" w:tplc="04160005" w:tentative="1">
      <w:start w:val="1"/>
      <w:numFmt w:val="bullet"/>
      <w:lvlText w:val="●"/>
      <w:lvlJc w:val="left"/>
      <w:pPr>
        <w:tabs>
          <w:tab w:val="num" w:pos="4320"/>
        </w:tabs>
        <w:ind w:left="4320" w:hanging="360"/>
      </w:pPr>
      <w:rPr>
        <w:rFonts w:ascii="StarSymbol" w:hAnsi="StarSymbol" w:hint="default"/>
      </w:rPr>
    </w:lvl>
    <w:lvl w:ilvl="6" w:tplc="04160001" w:tentative="1">
      <w:start w:val="1"/>
      <w:numFmt w:val="bullet"/>
      <w:lvlText w:val="●"/>
      <w:lvlJc w:val="left"/>
      <w:pPr>
        <w:tabs>
          <w:tab w:val="num" w:pos="5040"/>
        </w:tabs>
        <w:ind w:left="5040" w:hanging="360"/>
      </w:pPr>
      <w:rPr>
        <w:rFonts w:ascii="StarSymbol" w:hAnsi="StarSymbol" w:hint="default"/>
      </w:rPr>
    </w:lvl>
    <w:lvl w:ilvl="7" w:tplc="04160003" w:tentative="1">
      <w:start w:val="1"/>
      <w:numFmt w:val="bullet"/>
      <w:lvlText w:val="●"/>
      <w:lvlJc w:val="left"/>
      <w:pPr>
        <w:tabs>
          <w:tab w:val="num" w:pos="5760"/>
        </w:tabs>
        <w:ind w:left="5760" w:hanging="360"/>
      </w:pPr>
      <w:rPr>
        <w:rFonts w:ascii="StarSymbol" w:hAnsi="StarSymbol" w:hint="default"/>
      </w:rPr>
    </w:lvl>
    <w:lvl w:ilvl="8" w:tplc="04160005" w:tentative="1">
      <w:start w:val="1"/>
      <w:numFmt w:val="bullet"/>
      <w:lvlText w:val="●"/>
      <w:lvlJc w:val="left"/>
      <w:pPr>
        <w:tabs>
          <w:tab w:val="num" w:pos="6480"/>
        </w:tabs>
        <w:ind w:left="6480" w:hanging="360"/>
      </w:pPr>
      <w:rPr>
        <w:rFonts w:ascii="StarSymbol" w:hAnsi="StarSymbol" w:hint="default"/>
      </w:rPr>
    </w:lvl>
  </w:abstractNum>
  <w:abstractNum w:abstractNumId="52">
    <w:nsid w:val="09D7226E"/>
    <w:multiLevelType w:val="hybridMultilevel"/>
    <w:tmpl w:val="0D828B52"/>
    <w:lvl w:ilvl="0" w:tplc="04090001">
      <w:start w:val="1"/>
      <w:numFmt w:val="decimal"/>
      <w:lvlText w:val="%1."/>
      <w:lvlJc w:val="left"/>
      <w:pPr>
        <w:tabs>
          <w:tab w:val="num" w:pos="720"/>
        </w:tabs>
        <w:ind w:left="720" w:hanging="360"/>
      </w:pPr>
      <w:rPr>
        <w:rFonts w:hint="default"/>
      </w:rPr>
    </w:lvl>
    <w:lvl w:ilvl="1" w:tplc="04090003">
      <w:numFmt w:val="none"/>
      <w:lvlText w:val=""/>
      <w:lvlJc w:val="left"/>
      <w:pPr>
        <w:tabs>
          <w:tab w:val="num" w:pos="360"/>
        </w:tabs>
      </w:pPr>
    </w:lvl>
    <w:lvl w:ilvl="2" w:tplc="04090005">
      <w:numFmt w:val="none"/>
      <w:lvlText w:val=""/>
      <w:lvlJc w:val="left"/>
      <w:pPr>
        <w:tabs>
          <w:tab w:val="num" w:pos="360"/>
        </w:tabs>
      </w:pPr>
    </w:lvl>
    <w:lvl w:ilvl="3" w:tplc="04090001">
      <w:numFmt w:val="none"/>
      <w:lvlText w:val=""/>
      <w:lvlJc w:val="left"/>
      <w:pPr>
        <w:tabs>
          <w:tab w:val="num" w:pos="360"/>
        </w:tabs>
      </w:pPr>
    </w:lvl>
    <w:lvl w:ilvl="4" w:tplc="04090003">
      <w:numFmt w:val="none"/>
      <w:lvlText w:val=""/>
      <w:lvlJc w:val="left"/>
      <w:pPr>
        <w:tabs>
          <w:tab w:val="num" w:pos="360"/>
        </w:tabs>
      </w:pPr>
    </w:lvl>
    <w:lvl w:ilvl="5" w:tplc="04090005">
      <w:numFmt w:val="none"/>
      <w:lvlText w:val=""/>
      <w:lvlJc w:val="left"/>
      <w:pPr>
        <w:tabs>
          <w:tab w:val="num" w:pos="360"/>
        </w:tabs>
      </w:pPr>
    </w:lvl>
    <w:lvl w:ilvl="6" w:tplc="04090001">
      <w:numFmt w:val="none"/>
      <w:lvlText w:val=""/>
      <w:lvlJc w:val="left"/>
      <w:pPr>
        <w:tabs>
          <w:tab w:val="num" w:pos="360"/>
        </w:tabs>
      </w:pPr>
    </w:lvl>
    <w:lvl w:ilvl="7" w:tplc="04090003">
      <w:numFmt w:val="none"/>
      <w:lvlText w:val=""/>
      <w:lvlJc w:val="left"/>
      <w:pPr>
        <w:tabs>
          <w:tab w:val="num" w:pos="360"/>
        </w:tabs>
      </w:pPr>
    </w:lvl>
    <w:lvl w:ilvl="8" w:tplc="04090005">
      <w:numFmt w:val="none"/>
      <w:lvlText w:val=""/>
      <w:lvlJc w:val="left"/>
      <w:pPr>
        <w:tabs>
          <w:tab w:val="num" w:pos="360"/>
        </w:tabs>
      </w:pPr>
    </w:lvl>
  </w:abstractNum>
  <w:abstractNum w:abstractNumId="53">
    <w:nsid w:val="0A394E42"/>
    <w:multiLevelType w:val="hybridMultilevel"/>
    <w:tmpl w:val="DB7CDC26"/>
    <w:lvl w:ilvl="0" w:tplc="5A18A208">
      <w:start w:val="1"/>
      <w:numFmt w:val="bullet"/>
      <w:lvlText w:val="o"/>
      <w:lvlJc w:val="left"/>
      <w:pPr>
        <w:ind w:left="720" w:hanging="360"/>
      </w:pPr>
      <w:rPr>
        <w:rFonts w:ascii="Courier New" w:hAnsi="Courier New" w:cs="Courier New" w:hint="default"/>
      </w:rPr>
    </w:lvl>
    <w:lvl w:ilvl="1" w:tplc="8D86E22C" w:tentative="1">
      <w:start w:val="1"/>
      <w:numFmt w:val="bullet"/>
      <w:lvlText w:val="o"/>
      <w:lvlJc w:val="left"/>
      <w:pPr>
        <w:ind w:left="1440" w:hanging="360"/>
      </w:pPr>
      <w:rPr>
        <w:rFonts w:ascii="Courier New" w:hAnsi="Courier New" w:cs="Courier New" w:hint="default"/>
      </w:rPr>
    </w:lvl>
    <w:lvl w:ilvl="2" w:tplc="3A42556C" w:tentative="1">
      <w:start w:val="1"/>
      <w:numFmt w:val="bullet"/>
      <w:lvlText w:val=""/>
      <w:lvlJc w:val="left"/>
      <w:pPr>
        <w:ind w:left="2160" w:hanging="360"/>
      </w:pPr>
      <w:rPr>
        <w:rFonts w:ascii="Wingdings" w:hAnsi="Wingdings" w:hint="default"/>
      </w:rPr>
    </w:lvl>
    <w:lvl w:ilvl="3" w:tplc="6FB01FEC" w:tentative="1">
      <w:start w:val="1"/>
      <w:numFmt w:val="bullet"/>
      <w:lvlText w:val=""/>
      <w:lvlJc w:val="left"/>
      <w:pPr>
        <w:ind w:left="2880" w:hanging="360"/>
      </w:pPr>
      <w:rPr>
        <w:rFonts w:ascii="Symbol" w:hAnsi="Symbol" w:hint="default"/>
      </w:rPr>
    </w:lvl>
    <w:lvl w:ilvl="4" w:tplc="EE9C9006" w:tentative="1">
      <w:start w:val="1"/>
      <w:numFmt w:val="bullet"/>
      <w:lvlText w:val="o"/>
      <w:lvlJc w:val="left"/>
      <w:pPr>
        <w:ind w:left="3600" w:hanging="360"/>
      </w:pPr>
      <w:rPr>
        <w:rFonts w:ascii="Courier New" w:hAnsi="Courier New" w:cs="Courier New" w:hint="default"/>
      </w:rPr>
    </w:lvl>
    <w:lvl w:ilvl="5" w:tplc="AC12AE0A" w:tentative="1">
      <w:start w:val="1"/>
      <w:numFmt w:val="bullet"/>
      <w:lvlText w:val=""/>
      <w:lvlJc w:val="left"/>
      <w:pPr>
        <w:ind w:left="4320" w:hanging="360"/>
      </w:pPr>
      <w:rPr>
        <w:rFonts w:ascii="Wingdings" w:hAnsi="Wingdings" w:hint="default"/>
      </w:rPr>
    </w:lvl>
    <w:lvl w:ilvl="6" w:tplc="488EC632" w:tentative="1">
      <w:start w:val="1"/>
      <w:numFmt w:val="bullet"/>
      <w:lvlText w:val=""/>
      <w:lvlJc w:val="left"/>
      <w:pPr>
        <w:ind w:left="5040" w:hanging="360"/>
      </w:pPr>
      <w:rPr>
        <w:rFonts w:ascii="Symbol" w:hAnsi="Symbol" w:hint="default"/>
      </w:rPr>
    </w:lvl>
    <w:lvl w:ilvl="7" w:tplc="F5346250" w:tentative="1">
      <w:start w:val="1"/>
      <w:numFmt w:val="bullet"/>
      <w:lvlText w:val="o"/>
      <w:lvlJc w:val="left"/>
      <w:pPr>
        <w:ind w:left="5760" w:hanging="360"/>
      </w:pPr>
      <w:rPr>
        <w:rFonts w:ascii="Courier New" w:hAnsi="Courier New" w:cs="Courier New" w:hint="default"/>
      </w:rPr>
    </w:lvl>
    <w:lvl w:ilvl="8" w:tplc="08FC0F68" w:tentative="1">
      <w:start w:val="1"/>
      <w:numFmt w:val="bullet"/>
      <w:lvlText w:val=""/>
      <w:lvlJc w:val="left"/>
      <w:pPr>
        <w:ind w:left="6480" w:hanging="360"/>
      </w:pPr>
      <w:rPr>
        <w:rFonts w:ascii="Wingdings" w:hAnsi="Wingdings" w:hint="default"/>
      </w:rPr>
    </w:lvl>
  </w:abstractNum>
  <w:abstractNum w:abstractNumId="54">
    <w:nsid w:val="0A6D21F5"/>
    <w:multiLevelType w:val="hybridMultilevel"/>
    <w:tmpl w:val="EB9433C0"/>
    <w:lvl w:ilvl="0" w:tplc="15F2647A">
      <w:start w:val="5"/>
      <w:numFmt w:val="decimal"/>
      <w:lvlText w:val="%1."/>
      <w:lvlJc w:val="left"/>
      <w:pPr>
        <w:ind w:left="1440" w:hanging="360"/>
      </w:pPr>
      <w:rPr>
        <w:rFonts w:hint="default"/>
      </w:rPr>
    </w:lvl>
    <w:lvl w:ilvl="1" w:tplc="F0A6CE7C" w:tentative="1">
      <w:start w:val="1"/>
      <w:numFmt w:val="lowerLetter"/>
      <w:lvlText w:val="%2."/>
      <w:lvlJc w:val="left"/>
      <w:pPr>
        <w:ind w:left="2160" w:hanging="360"/>
      </w:pPr>
    </w:lvl>
    <w:lvl w:ilvl="2" w:tplc="FB58FA8E" w:tentative="1">
      <w:start w:val="1"/>
      <w:numFmt w:val="lowerRoman"/>
      <w:lvlText w:val="%3."/>
      <w:lvlJc w:val="right"/>
      <w:pPr>
        <w:ind w:left="2880" w:hanging="180"/>
      </w:pPr>
    </w:lvl>
    <w:lvl w:ilvl="3" w:tplc="D32AA338" w:tentative="1">
      <w:start w:val="1"/>
      <w:numFmt w:val="decimal"/>
      <w:lvlText w:val="%4."/>
      <w:lvlJc w:val="left"/>
      <w:pPr>
        <w:ind w:left="3600" w:hanging="360"/>
      </w:pPr>
    </w:lvl>
    <w:lvl w:ilvl="4" w:tplc="4A342792" w:tentative="1">
      <w:start w:val="1"/>
      <w:numFmt w:val="lowerLetter"/>
      <w:lvlText w:val="%5."/>
      <w:lvlJc w:val="left"/>
      <w:pPr>
        <w:ind w:left="4320" w:hanging="360"/>
      </w:pPr>
    </w:lvl>
    <w:lvl w:ilvl="5" w:tplc="8DBE2B44" w:tentative="1">
      <w:start w:val="1"/>
      <w:numFmt w:val="lowerRoman"/>
      <w:lvlText w:val="%6."/>
      <w:lvlJc w:val="right"/>
      <w:pPr>
        <w:ind w:left="5040" w:hanging="180"/>
      </w:pPr>
    </w:lvl>
    <w:lvl w:ilvl="6" w:tplc="541C444E" w:tentative="1">
      <w:start w:val="1"/>
      <w:numFmt w:val="decimal"/>
      <w:lvlText w:val="%7."/>
      <w:lvlJc w:val="left"/>
      <w:pPr>
        <w:ind w:left="5760" w:hanging="360"/>
      </w:pPr>
    </w:lvl>
    <w:lvl w:ilvl="7" w:tplc="EF507480" w:tentative="1">
      <w:start w:val="1"/>
      <w:numFmt w:val="lowerLetter"/>
      <w:lvlText w:val="%8."/>
      <w:lvlJc w:val="left"/>
      <w:pPr>
        <w:ind w:left="6480" w:hanging="360"/>
      </w:pPr>
    </w:lvl>
    <w:lvl w:ilvl="8" w:tplc="C568AAA0" w:tentative="1">
      <w:start w:val="1"/>
      <w:numFmt w:val="lowerRoman"/>
      <w:lvlText w:val="%9."/>
      <w:lvlJc w:val="right"/>
      <w:pPr>
        <w:ind w:left="7200" w:hanging="180"/>
      </w:pPr>
    </w:lvl>
  </w:abstractNum>
  <w:abstractNum w:abstractNumId="55">
    <w:nsid w:val="0A7904BE"/>
    <w:multiLevelType w:val="hybridMultilevel"/>
    <w:tmpl w:val="28825C04"/>
    <w:lvl w:ilvl="0" w:tplc="107E3042">
      <w:start w:val="1"/>
      <w:numFmt w:val="bullet"/>
      <w:lvlText w:val=""/>
      <w:lvlJc w:val="left"/>
      <w:pPr>
        <w:ind w:left="1425" w:hanging="360"/>
      </w:pPr>
      <w:rPr>
        <w:rFonts w:ascii="Symbol" w:hAnsi="Symbol" w:hint="default"/>
      </w:rPr>
    </w:lvl>
    <w:lvl w:ilvl="1" w:tplc="D446320E" w:tentative="1">
      <w:start w:val="1"/>
      <w:numFmt w:val="bullet"/>
      <w:lvlText w:val="o"/>
      <w:lvlJc w:val="left"/>
      <w:pPr>
        <w:ind w:left="2145" w:hanging="360"/>
      </w:pPr>
      <w:rPr>
        <w:rFonts w:ascii="Courier New" w:hAnsi="Courier New" w:cs="Courier New" w:hint="default"/>
      </w:rPr>
    </w:lvl>
    <w:lvl w:ilvl="2" w:tplc="AF32AFDA" w:tentative="1">
      <w:start w:val="1"/>
      <w:numFmt w:val="bullet"/>
      <w:lvlText w:val=""/>
      <w:lvlJc w:val="left"/>
      <w:pPr>
        <w:ind w:left="2865" w:hanging="360"/>
      </w:pPr>
      <w:rPr>
        <w:rFonts w:ascii="Wingdings" w:hAnsi="Wingdings" w:hint="default"/>
      </w:rPr>
    </w:lvl>
    <w:lvl w:ilvl="3" w:tplc="B3EE2390" w:tentative="1">
      <w:start w:val="1"/>
      <w:numFmt w:val="bullet"/>
      <w:lvlText w:val=""/>
      <w:lvlJc w:val="left"/>
      <w:pPr>
        <w:ind w:left="3585" w:hanging="360"/>
      </w:pPr>
      <w:rPr>
        <w:rFonts w:ascii="Symbol" w:hAnsi="Symbol" w:hint="default"/>
      </w:rPr>
    </w:lvl>
    <w:lvl w:ilvl="4" w:tplc="8D6600FA" w:tentative="1">
      <w:start w:val="1"/>
      <w:numFmt w:val="bullet"/>
      <w:lvlText w:val="o"/>
      <w:lvlJc w:val="left"/>
      <w:pPr>
        <w:ind w:left="4305" w:hanging="360"/>
      </w:pPr>
      <w:rPr>
        <w:rFonts w:ascii="Courier New" w:hAnsi="Courier New" w:cs="Courier New" w:hint="default"/>
      </w:rPr>
    </w:lvl>
    <w:lvl w:ilvl="5" w:tplc="BA2E117A" w:tentative="1">
      <w:start w:val="1"/>
      <w:numFmt w:val="bullet"/>
      <w:lvlText w:val=""/>
      <w:lvlJc w:val="left"/>
      <w:pPr>
        <w:ind w:left="5025" w:hanging="360"/>
      </w:pPr>
      <w:rPr>
        <w:rFonts w:ascii="Wingdings" w:hAnsi="Wingdings" w:hint="default"/>
      </w:rPr>
    </w:lvl>
    <w:lvl w:ilvl="6" w:tplc="F502E7C0" w:tentative="1">
      <w:start w:val="1"/>
      <w:numFmt w:val="bullet"/>
      <w:lvlText w:val=""/>
      <w:lvlJc w:val="left"/>
      <w:pPr>
        <w:ind w:left="5745" w:hanging="360"/>
      </w:pPr>
      <w:rPr>
        <w:rFonts w:ascii="Symbol" w:hAnsi="Symbol" w:hint="default"/>
      </w:rPr>
    </w:lvl>
    <w:lvl w:ilvl="7" w:tplc="57408D1E" w:tentative="1">
      <w:start w:val="1"/>
      <w:numFmt w:val="bullet"/>
      <w:lvlText w:val="o"/>
      <w:lvlJc w:val="left"/>
      <w:pPr>
        <w:ind w:left="6465" w:hanging="360"/>
      </w:pPr>
      <w:rPr>
        <w:rFonts w:ascii="Courier New" w:hAnsi="Courier New" w:cs="Courier New" w:hint="default"/>
      </w:rPr>
    </w:lvl>
    <w:lvl w:ilvl="8" w:tplc="32625F86" w:tentative="1">
      <w:start w:val="1"/>
      <w:numFmt w:val="bullet"/>
      <w:lvlText w:val=""/>
      <w:lvlJc w:val="left"/>
      <w:pPr>
        <w:ind w:left="7185" w:hanging="360"/>
      </w:pPr>
      <w:rPr>
        <w:rFonts w:ascii="Wingdings" w:hAnsi="Wingdings" w:hint="default"/>
      </w:rPr>
    </w:lvl>
  </w:abstractNum>
  <w:abstractNum w:abstractNumId="56">
    <w:nsid w:val="0B016733"/>
    <w:multiLevelType w:val="hybridMultilevel"/>
    <w:tmpl w:val="9E20DFB0"/>
    <w:lvl w:ilvl="0" w:tplc="04160003">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7">
    <w:nsid w:val="0B2B2881"/>
    <w:multiLevelType w:val="hybridMultilevel"/>
    <w:tmpl w:val="517A22A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8">
    <w:nsid w:val="0B392B9E"/>
    <w:multiLevelType w:val="hybridMultilevel"/>
    <w:tmpl w:val="F7086FBE"/>
    <w:lvl w:ilvl="0" w:tplc="B038C4A0">
      <w:start w:val="1"/>
      <w:numFmt w:val="bullet"/>
      <w:lvlText w:val="o"/>
      <w:lvlJc w:val="left"/>
      <w:pPr>
        <w:tabs>
          <w:tab w:val="num" w:pos="3056"/>
        </w:tabs>
        <w:ind w:left="3056" w:hanging="360"/>
      </w:pPr>
      <w:rPr>
        <w:rFonts w:ascii="Courier New" w:hAnsi="Courier New" w:cs="Courier New" w:hint="default"/>
      </w:rPr>
    </w:lvl>
    <w:lvl w:ilvl="1" w:tplc="04160019">
      <w:start w:val="1"/>
      <w:numFmt w:val="bullet"/>
      <w:lvlText w:val="o"/>
      <w:lvlJc w:val="left"/>
      <w:pPr>
        <w:tabs>
          <w:tab w:val="num" w:pos="3776"/>
        </w:tabs>
        <w:ind w:left="3776" w:hanging="360"/>
      </w:pPr>
      <w:rPr>
        <w:rFonts w:ascii="Courier New" w:hAnsi="Courier New" w:cs="Courier New" w:hint="default"/>
      </w:rPr>
    </w:lvl>
    <w:lvl w:ilvl="2" w:tplc="0416001B" w:tentative="1">
      <w:start w:val="1"/>
      <w:numFmt w:val="bullet"/>
      <w:lvlText w:val=""/>
      <w:lvlJc w:val="left"/>
      <w:pPr>
        <w:tabs>
          <w:tab w:val="num" w:pos="4496"/>
        </w:tabs>
        <w:ind w:left="4496" w:hanging="360"/>
      </w:pPr>
      <w:rPr>
        <w:rFonts w:ascii="Wingdings" w:hAnsi="Wingdings" w:hint="default"/>
      </w:rPr>
    </w:lvl>
    <w:lvl w:ilvl="3" w:tplc="0416000F" w:tentative="1">
      <w:start w:val="1"/>
      <w:numFmt w:val="bullet"/>
      <w:lvlText w:val=""/>
      <w:lvlJc w:val="left"/>
      <w:pPr>
        <w:tabs>
          <w:tab w:val="num" w:pos="5216"/>
        </w:tabs>
        <w:ind w:left="5216" w:hanging="360"/>
      </w:pPr>
      <w:rPr>
        <w:rFonts w:ascii="Symbol" w:hAnsi="Symbol" w:hint="default"/>
      </w:rPr>
    </w:lvl>
    <w:lvl w:ilvl="4" w:tplc="04160019" w:tentative="1">
      <w:start w:val="1"/>
      <w:numFmt w:val="bullet"/>
      <w:lvlText w:val="o"/>
      <w:lvlJc w:val="left"/>
      <w:pPr>
        <w:tabs>
          <w:tab w:val="num" w:pos="5936"/>
        </w:tabs>
        <w:ind w:left="5936" w:hanging="360"/>
      </w:pPr>
      <w:rPr>
        <w:rFonts w:ascii="Courier New" w:hAnsi="Courier New" w:cs="Courier New" w:hint="default"/>
      </w:rPr>
    </w:lvl>
    <w:lvl w:ilvl="5" w:tplc="0416001B" w:tentative="1">
      <w:start w:val="1"/>
      <w:numFmt w:val="bullet"/>
      <w:lvlText w:val=""/>
      <w:lvlJc w:val="left"/>
      <w:pPr>
        <w:tabs>
          <w:tab w:val="num" w:pos="6656"/>
        </w:tabs>
        <w:ind w:left="6656" w:hanging="360"/>
      </w:pPr>
      <w:rPr>
        <w:rFonts w:ascii="Wingdings" w:hAnsi="Wingdings" w:hint="default"/>
      </w:rPr>
    </w:lvl>
    <w:lvl w:ilvl="6" w:tplc="0416000F" w:tentative="1">
      <w:start w:val="1"/>
      <w:numFmt w:val="bullet"/>
      <w:lvlText w:val=""/>
      <w:lvlJc w:val="left"/>
      <w:pPr>
        <w:tabs>
          <w:tab w:val="num" w:pos="7376"/>
        </w:tabs>
        <w:ind w:left="7376" w:hanging="360"/>
      </w:pPr>
      <w:rPr>
        <w:rFonts w:ascii="Symbol" w:hAnsi="Symbol" w:hint="default"/>
      </w:rPr>
    </w:lvl>
    <w:lvl w:ilvl="7" w:tplc="04160019" w:tentative="1">
      <w:start w:val="1"/>
      <w:numFmt w:val="bullet"/>
      <w:lvlText w:val="o"/>
      <w:lvlJc w:val="left"/>
      <w:pPr>
        <w:tabs>
          <w:tab w:val="num" w:pos="8096"/>
        </w:tabs>
        <w:ind w:left="8096" w:hanging="360"/>
      </w:pPr>
      <w:rPr>
        <w:rFonts w:ascii="Courier New" w:hAnsi="Courier New" w:cs="Courier New" w:hint="default"/>
      </w:rPr>
    </w:lvl>
    <w:lvl w:ilvl="8" w:tplc="0416001B" w:tentative="1">
      <w:start w:val="1"/>
      <w:numFmt w:val="bullet"/>
      <w:lvlText w:val=""/>
      <w:lvlJc w:val="left"/>
      <w:pPr>
        <w:tabs>
          <w:tab w:val="num" w:pos="8816"/>
        </w:tabs>
        <w:ind w:left="8816" w:hanging="360"/>
      </w:pPr>
      <w:rPr>
        <w:rFonts w:ascii="Wingdings" w:hAnsi="Wingdings" w:hint="default"/>
      </w:rPr>
    </w:lvl>
  </w:abstractNum>
  <w:abstractNum w:abstractNumId="59">
    <w:nsid w:val="0BD6407A"/>
    <w:multiLevelType w:val="hybridMultilevel"/>
    <w:tmpl w:val="0DEEB9A8"/>
    <w:lvl w:ilvl="0" w:tplc="04160003">
      <w:start w:val="1"/>
      <w:numFmt w:val="upperLetter"/>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60">
    <w:nsid w:val="0C264ED8"/>
    <w:multiLevelType w:val="multilevel"/>
    <w:tmpl w:val="0D327D04"/>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0C6B1DC8"/>
    <w:multiLevelType w:val="multilevel"/>
    <w:tmpl w:val="E668B3B0"/>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2">
    <w:nsid w:val="0C717C3B"/>
    <w:multiLevelType w:val="hybridMultilevel"/>
    <w:tmpl w:val="62C6CD48"/>
    <w:lvl w:ilvl="0" w:tplc="D8B65CF2">
      <w:start w:val="1"/>
      <w:numFmt w:val="bullet"/>
      <w:lvlText w:val=""/>
      <w:lvlJc w:val="left"/>
      <w:pPr>
        <w:ind w:left="720" w:hanging="360"/>
      </w:pPr>
      <w:rPr>
        <w:rFonts w:ascii="Symbol" w:hAnsi="Symbol" w:hint="default"/>
      </w:rPr>
    </w:lvl>
    <w:lvl w:ilvl="1" w:tplc="4D6CB066" w:tentative="1">
      <w:start w:val="1"/>
      <w:numFmt w:val="bullet"/>
      <w:lvlText w:val="o"/>
      <w:lvlJc w:val="left"/>
      <w:pPr>
        <w:ind w:left="1440" w:hanging="360"/>
      </w:pPr>
      <w:rPr>
        <w:rFonts w:ascii="Courier New" w:hAnsi="Courier New" w:cs="Courier New" w:hint="default"/>
      </w:rPr>
    </w:lvl>
    <w:lvl w:ilvl="2" w:tplc="A822BE1C" w:tentative="1">
      <w:start w:val="1"/>
      <w:numFmt w:val="bullet"/>
      <w:lvlText w:val=""/>
      <w:lvlJc w:val="left"/>
      <w:pPr>
        <w:ind w:left="2160" w:hanging="360"/>
      </w:pPr>
      <w:rPr>
        <w:rFonts w:ascii="Wingdings" w:hAnsi="Wingdings" w:hint="default"/>
      </w:rPr>
    </w:lvl>
    <w:lvl w:ilvl="3" w:tplc="E8CC5B10" w:tentative="1">
      <w:start w:val="1"/>
      <w:numFmt w:val="bullet"/>
      <w:lvlText w:val=""/>
      <w:lvlJc w:val="left"/>
      <w:pPr>
        <w:ind w:left="2880" w:hanging="360"/>
      </w:pPr>
      <w:rPr>
        <w:rFonts w:ascii="Symbol" w:hAnsi="Symbol" w:hint="default"/>
      </w:rPr>
    </w:lvl>
    <w:lvl w:ilvl="4" w:tplc="EF869EE8" w:tentative="1">
      <w:start w:val="1"/>
      <w:numFmt w:val="bullet"/>
      <w:lvlText w:val="o"/>
      <w:lvlJc w:val="left"/>
      <w:pPr>
        <w:ind w:left="3600" w:hanging="360"/>
      </w:pPr>
      <w:rPr>
        <w:rFonts w:ascii="Courier New" w:hAnsi="Courier New" w:cs="Courier New" w:hint="default"/>
      </w:rPr>
    </w:lvl>
    <w:lvl w:ilvl="5" w:tplc="D4C628BE" w:tentative="1">
      <w:start w:val="1"/>
      <w:numFmt w:val="bullet"/>
      <w:lvlText w:val=""/>
      <w:lvlJc w:val="left"/>
      <w:pPr>
        <w:ind w:left="4320" w:hanging="360"/>
      </w:pPr>
      <w:rPr>
        <w:rFonts w:ascii="Wingdings" w:hAnsi="Wingdings" w:hint="default"/>
      </w:rPr>
    </w:lvl>
    <w:lvl w:ilvl="6" w:tplc="4912989C" w:tentative="1">
      <w:start w:val="1"/>
      <w:numFmt w:val="bullet"/>
      <w:lvlText w:val=""/>
      <w:lvlJc w:val="left"/>
      <w:pPr>
        <w:ind w:left="5040" w:hanging="360"/>
      </w:pPr>
      <w:rPr>
        <w:rFonts w:ascii="Symbol" w:hAnsi="Symbol" w:hint="default"/>
      </w:rPr>
    </w:lvl>
    <w:lvl w:ilvl="7" w:tplc="0AFE1AEC" w:tentative="1">
      <w:start w:val="1"/>
      <w:numFmt w:val="bullet"/>
      <w:lvlText w:val="o"/>
      <w:lvlJc w:val="left"/>
      <w:pPr>
        <w:ind w:left="5760" w:hanging="360"/>
      </w:pPr>
      <w:rPr>
        <w:rFonts w:ascii="Courier New" w:hAnsi="Courier New" w:cs="Courier New" w:hint="default"/>
      </w:rPr>
    </w:lvl>
    <w:lvl w:ilvl="8" w:tplc="52D89D26" w:tentative="1">
      <w:start w:val="1"/>
      <w:numFmt w:val="bullet"/>
      <w:lvlText w:val=""/>
      <w:lvlJc w:val="left"/>
      <w:pPr>
        <w:ind w:left="6480" w:hanging="360"/>
      </w:pPr>
      <w:rPr>
        <w:rFonts w:ascii="Wingdings" w:hAnsi="Wingdings" w:hint="default"/>
      </w:rPr>
    </w:lvl>
  </w:abstractNum>
  <w:abstractNum w:abstractNumId="63">
    <w:nsid w:val="0CC33884"/>
    <w:multiLevelType w:val="hybridMultilevel"/>
    <w:tmpl w:val="CF1040F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4">
    <w:nsid w:val="0CCC26AF"/>
    <w:multiLevelType w:val="hybridMultilevel"/>
    <w:tmpl w:val="61964F9E"/>
    <w:lvl w:ilvl="0" w:tplc="04160001">
      <w:start w:val="1"/>
      <w:numFmt w:val="bullet"/>
      <w:lvlText w:val=""/>
      <w:lvlJc w:val="left"/>
      <w:pPr>
        <w:tabs>
          <w:tab w:val="num" w:pos="284"/>
        </w:tabs>
        <w:ind w:left="567" w:hanging="283"/>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65">
    <w:nsid w:val="0D081C69"/>
    <w:multiLevelType w:val="hybridMultilevel"/>
    <w:tmpl w:val="2A22D6A2"/>
    <w:lvl w:ilvl="0" w:tplc="04160001">
      <w:start w:val="1"/>
      <w:numFmt w:val="bullet"/>
      <w:lvlText w:val=""/>
      <w:lvlJc w:val="left"/>
      <w:pPr>
        <w:tabs>
          <w:tab w:val="num" w:pos="720"/>
        </w:tabs>
        <w:ind w:left="720" w:hanging="360"/>
      </w:pPr>
      <w:rPr>
        <w:rFonts w:ascii="Symbol" w:hAnsi="Symbol" w:hint="default"/>
      </w:rPr>
    </w:lvl>
    <w:lvl w:ilvl="1" w:tplc="04160003">
      <w:start w:val="1"/>
      <w:numFmt w:val="lowerLetter"/>
      <w:lvlText w:val="%2)"/>
      <w:lvlJc w:val="left"/>
      <w:pPr>
        <w:tabs>
          <w:tab w:val="num" w:pos="1440"/>
        </w:tabs>
        <w:ind w:left="1440" w:hanging="360"/>
      </w:pPr>
      <w:rPr>
        <w:rFonts w:hint="default"/>
      </w:r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66">
    <w:nsid w:val="0D0B0CF4"/>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67">
    <w:nsid w:val="0D301976"/>
    <w:multiLevelType w:val="hybridMultilevel"/>
    <w:tmpl w:val="D26629E8"/>
    <w:lvl w:ilvl="0" w:tplc="DC2042A6">
      <w:start w:val="1"/>
      <w:numFmt w:val="bullet"/>
      <w:lvlText w:val="o"/>
      <w:lvlJc w:val="left"/>
      <w:pPr>
        <w:ind w:left="720" w:hanging="360"/>
      </w:pPr>
      <w:rPr>
        <w:rFonts w:ascii="Courier New" w:hAnsi="Courier New" w:cs="Courier New" w:hint="default"/>
      </w:rPr>
    </w:lvl>
    <w:lvl w:ilvl="1" w:tplc="299E0044" w:tentative="1">
      <w:start w:val="1"/>
      <w:numFmt w:val="bullet"/>
      <w:lvlText w:val="o"/>
      <w:lvlJc w:val="left"/>
      <w:pPr>
        <w:ind w:left="1440" w:hanging="360"/>
      </w:pPr>
      <w:rPr>
        <w:rFonts w:ascii="Courier New" w:hAnsi="Courier New" w:cs="Courier New" w:hint="default"/>
      </w:rPr>
    </w:lvl>
    <w:lvl w:ilvl="2" w:tplc="7F766A0E" w:tentative="1">
      <w:start w:val="1"/>
      <w:numFmt w:val="bullet"/>
      <w:lvlText w:val=""/>
      <w:lvlJc w:val="left"/>
      <w:pPr>
        <w:ind w:left="2160" w:hanging="360"/>
      </w:pPr>
      <w:rPr>
        <w:rFonts w:ascii="Wingdings" w:hAnsi="Wingdings" w:hint="default"/>
      </w:rPr>
    </w:lvl>
    <w:lvl w:ilvl="3" w:tplc="0436FD2C" w:tentative="1">
      <w:start w:val="1"/>
      <w:numFmt w:val="bullet"/>
      <w:lvlText w:val=""/>
      <w:lvlJc w:val="left"/>
      <w:pPr>
        <w:ind w:left="2880" w:hanging="360"/>
      </w:pPr>
      <w:rPr>
        <w:rFonts w:ascii="Symbol" w:hAnsi="Symbol" w:hint="default"/>
      </w:rPr>
    </w:lvl>
    <w:lvl w:ilvl="4" w:tplc="07A24946" w:tentative="1">
      <w:start w:val="1"/>
      <w:numFmt w:val="bullet"/>
      <w:lvlText w:val="o"/>
      <w:lvlJc w:val="left"/>
      <w:pPr>
        <w:ind w:left="3600" w:hanging="360"/>
      </w:pPr>
      <w:rPr>
        <w:rFonts w:ascii="Courier New" w:hAnsi="Courier New" w:cs="Courier New" w:hint="default"/>
      </w:rPr>
    </w:lvl>
    <w:lvl w:ilvl="5" w:tplc="963E34EE" w:tentative="1">
      <w:start w:val="1"/>
      <w:numFmt w:val="bullet"/>
      <w:lvlText w:val=""/>
      <w:lvlJc w:val="left"/>
      <w:pPr>
        <w:ind w:left="4320" w:hanging="360"/>
      </w:pPr>
      <w:rPr>
        <w:rFonts w:ascii="Wingdings" w:hAnsi="Wingdings" w:hint="default"/>
      </w:rPr>
    </w:lvl>
    <w:lvl w:ilvl="6" w:tplc="0DA01566" w:tentative="1">
      <w:start w:val="1"/>
      <w:numFmt w:val="bullet"/>
      <w:lvlText w:val=""/>
      <w:lvlJc w:val="left"/>
      <w:pPr>
        <w:ind w:left="5040" w:hanging="360"/>
      </w:pPr>
      <w:rPr>
        <w:rFonts w:ascii="Symbol" w:hAnsi="Symbol" w:hint="default"/>
      </w:rPr>
    </w:lvl>
    <w:lvl w:ilvl="7" w:tplc="589CF3AC" w:tentative="1">
      <w:start w:val="1"/>
      <w:numFmt w:val="bullet"/>
      <w:lvlText w:val="o"/>
      <w:lvlJc w:val="left"/>
      <w:pPr>
        <w:ind w:left="5760" w:hanging="360"/>
      </w:pPr>
      <w:rPr>
        <w:rFonts w:ascii="Courier New" w:hAnsi="Courier New" w:cs="Courier New" w:hint="default"/>
      </w:rPr>
    </w:lvl>
    <w:lvl w:ilvl="8" w:tplc="C42667F2" w:tentative="1">
      <w:start w:val="1"/>
      <w:numFmt w:val="bullet"/>
      <w:lvlText w:val=""/>
      <w:lvlJc w:val="left"/>
      <w:pPr>
        <w:ind w:left="6480" w:hanging="360"/>
      </w:pPr>
      <w:rPr>
        <w:rFonts w:ascii="Wingdings" w:hAnsi="Wingdings" w:hint="default"/>
      </w:rPr>
    </w:lvl>
  </w:abstractNum>
  <w:abstractNum w:abstractNumId="68">
    <w:nsid w:val="0D855B21"/>
    <w:multiLevelType w:val="hybridMultilevel"/>
    <w:tmpl w:val="EFB81E7C"/>
    <w:lvl w:ilvl="0" w:tplc="04160001">
      <w:start w:val="1"/>
      <w:numFmt w:val="lowerLetter"/>
      <w:lvlText w:val="%1)"/>
      <w:lvlJc w:val="left"/>
      <w:pPr>
        <w:ind w:left="720" w:hanging="360"/>
      </w:pPr>
      <w:rPr>
        <w:b/>
      </w:rPr>
    </w:lvl>
    <w:lvl w:ilvl="1" w:tplc="04160003">
      <w:start w:val="1"/>
      <w:numFmt w:val="lowerLetter"/>
      <w:lvlText w:val="%2."/>
      <w:lvlJc w:val="left"/>
      <w:pPr>
        <w:ind w:left="1440" w:hanging="360"/>
      </w:pPr>
    </w:lvl>
    <w:lvl w:ilvl="2" w:tplc="04160005">
      <w:start w:val="1"/>
      <w:numFmt w:val="lowerRoman"/>
      <w:lvlText w:val="%3."/>
      <w:lvlJc w:val="right"/>
      <w:pPr>
        <w:ind w:left="2160" w:hanging="180"/>
      </w:pPr>
    </w:lvl>
    <w:lvl w:ilvl="3" w:tplc="04160001">
      <w:start w:val="1"/>
      <w:numFmt w:val="decimal"/>
      <w:lvlText w:val="%4."/>
      <w:lvlJc w:val="left"/>
      <w:pPr>
        <w:ind w:left="2880" w:hanging="360"/>
      </w:pPr>
    </w:lvl>
    <w:lvl w:ilvl="4" w:tplc="04160003">
      <w:start w:val="1"/>
      <w:numFmt w:val="lowerLetter"/>
      <w:lvlText w:val="%5."/>
      <w:lvlJc w:val="left"/>
      <w:pPr>
        <w:ind w:left="3600" w:hanging="360"/>
      </w:pPr>
    </w:lvl>
    <w:lvl w:ilvl="5" w:tplc="04160005">
      <w:start w:val="1"/>
      <w:numFmt w:val="lowerRoman"/>
      <w:lvlText w:val="%6."/>
      <w:lvlJc w:val="right"/>
      <w:pPr>
        <w:ind w:left="4320" w:hanging="180"/>
      </w:pPr>
    </w:lvl>
    <w:lvl w:ilvl="6" w:tplc="04160001">
      <w:start w:val="1"/>
      <w:numFmt w:val="decimal"/>
      <w:lvlText w:val="%7."/>
      <w:lvlJc w:val="left"/>
      <w:pPr>
        <w:ind w:left="5040" w:hanging="360"/>
      </w:pPr>
    </w:lvl>
    <w:lvl w:ilvl="7" w:tplc="04160003">
      <w:start w:val="1"/>
      <w:numFmt w:val="lowerLetter"/>
      <w:lvlText w:val="%8."/>
      <w:lvlJc w:val="left"/>
      <w:pPr>
        <w:ind w:left="5760" w:hanging="360"/>
      </w:pPr>
    </w:lvl>
    <w:lvl w:ilvl="8" w:tplc="04160005">
      <w:start w:val="1"/>
      <w:numFmt w:val="lowerRoman"/>
      <w:lvlText w:val="%9."/>
      <w:lvlJc w:val="right"/>
      <w:pPr>
        <w:ind w:left="6480" w:hanging="180"/>
      </w:pPr>
    </w:lvl>
  </w:abstractNum>
  <w:abstractNum w:abstractNumId="69">
    <w:nsid w:val="0D937021"/>
    <w:multiLevelType w:val="hybridMultilevel"/>
    <w:tmpl w:val="D48C9F2A"/>
    <w:lvl w:ilvl="0" w:tplc="7CBEE8B4">
      <w:start w:val="1"/>
      <w:numFmt w:val="bullet"/>
      <w:lvlText w:val=""/>
      <w:lvlJc w:val="left"/>
      <w:pPr>
        <w:ind w:left="720" w:hanging="360"/>
      </w:pPr>
      <w:rPr>
        <w:rFonts w:ascii="Wingdings" w:hAnsi="Wingdings"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70">
    <w:nsid w:val="0DA514E6"/>
    <w:multiLevelType w:val="hybridMultilevel"/>
    <w:tmpl w:val="E8D4B344"/>
    <w:lvl w:ilvl="0" w:tplc="04160001">
      <w:start w:val="1"/>
      <w:numFmt w:val="bullet"/>
      <w:lvlText w:val=""/>
      <w:lvlJc w:val="left"/>
      <w:pPr>
        <w:ind w:left="1494" w:hanging="360"/>
      </w:pPr>
      <w:rPr>
        <w:rFonts w:ascii="Symbol" w:hAnsi="Symbol" w:hint="default"/>
      </w:rPr>
    </w:lvl>
    <w:lvl w:ilvl="1" w:tplc="53EE3B44">
      <w:start w:val="1"/>
      <w:numFmt w:val="bullet"/>
      <w:lvlText w:val="o"/>
      <w:lvlJc w:val="left"/>
      <w:pPr>
        <w:ind w:left="2214" w:hanging="360"/>
      </w:pPr>
      <w:rPr>
        <w:rFonts w:ascii="Courier New" w:hAnsi="Courier New" w:cs="Courier New" w:hint="default"/>
      </w:rPr>
    </w:lvl>
    <w:lvl w:ilvl="2" w:tplc="0416001B" w:tentative="1">
      <w:start w:val="1"/>
      <w:numFmt w:val="bullet"/>
      <w:lvlText w:val=""/>
      <w:lvlJc w:val="left"/>
      <w:pPr>
        <w:ind w:left="2934" w:hanging="360"/>
      </w:pPr>
      <w:rPr>
        <w:rFonts w:ascii="Wingdings" w:hAnsi="Wingdings" w:hint="default"/>
      </w:rPr>
    </w:lvl>
    <w:lvl w:ilvl="3" w:tplc="0416000F" w:tentative="1">
      <w:start w:val="1"/>
      <w:numFmt w:val="bullet"/>
      <w:lvlText w:val=""/>
      <w:lvlJc w:val="left"/>
      <w:pPr>
        <w:ind w:left="3654" w:hanging="360"/>
      </w:pPr>
      <w:rPr>
        <w:rFonts w:ascii="Symbol" w:hAnsi="Symbol" w:hint="default"/>
      </w:rPr>
    </w:lvl>
    <w:lvl w:ilvl="4" w:tplc="04160019" w:tentative="1">
      <w:start w:val="1"/>
      <w:numFmt w:val="bullet"/>
      <w:lvlText w:val="o"/>
      <w:lvlJc w:val="left"/>
      <w:pPr>
        <w:ind w:left="4374" w:hanging="360"/>
      </w:pPr>
      <w:rPr>
        <w:rFonts w:ascii="Courier New" w:hAnsi="Courier New" w:cs="Courier New" w:hint="default"/>
      </w:rPr>
    </w:lvl>
    <w:lvl w:ilvl="5" w:tplc="0416001B" w:tentative="1">
      <w:start w:val="1"/>
      <w:numFmt w:val="bullet"/>
      <w:lvlText w:val=""/>
      <w:lvlJc w:val="left"/>
      <w:pPr>
        <w:ind w:left="5094" w:hanging="360"/>
      </w:pPr>
      <w:rPr>
        <w:rFonts w:ascii="Wingdings" w:hAnsi="Wingdings" w:hint="default"/>
      </w:rPr>
    </w:lvl>
    <w:lvl w:ilvl="6" w:tplc="0416000F" w:tentative="1">
      <w:start w:val="1"/>
      <w:numFmt w:val="bullet"/>
      <w:lvlText w:val=""/>
      <w:lvlJc w:val="left"/>
      <w:pPr>
        <w:ind w:left="5814" w:hanging="360"/>
      </w:pPr>
      <w:rPr>
        <w:rFonts w:ascii="Symbol" w:hAnsi="Symbol" w:hint="default"/>
      </w:rPr>
    </w:lvl>
    <w:lvl w:ilvl="7" w:tplc="04160019" w:tentative="1">
      <w:start w:val="1"/>
      <w:numFmt w:val="bullet"/>
      <w:lvlText w:val="o"/>
      <w:lvlJc w:val="left"/>
      <w:pPr>
        <w:ind w:left="6534" w:hanging="360"/>
      </w:pPr>
      <w:rPr>
        <w:rFonts w:ascii="Courier New" w:hAnsi="Courier New" w:cs="Courier New" w:hint="default"/>
      </w:rPr>
    </w:lvl>
    <w:lvl w:ilvl="8" w:tplc="0416001B" w:tentative="1">
      <w:start w:val="1"/>
      <w:numFmt w:val="bullet"/>
      <w:lvlText w:val=""/>
      <w:lvlJc w:val="left"/>
      <w:pPr>
        <w:ind w:left="7254" w:hanging="360"/>
      </w:pPr>
      <w:rPr>
        <w:rFonts w:ascii="Wingdings" w:hAnsi="Wingdings" w:hint="default"/>
      </w:rPr>
    </w:lvl>
  </w:abstractNum>
  <w:abstractNum w:abstractNumId="71">
    <w:nsid w:val="0DAB1406"/>
    <w:multiLevelType w:val="hybridMultilevel"/>
    <w:tmpl w:val="CE08B7FA"/>
    <w:lvl w:ilvl="0" w:tplc="04160001">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72">
    <w:nsid w:val="0DDB2C6E"/>
    <w:multiLevelType w:val="hybridMultilevel"/>
    <w:tmpl w:val="7DBE68CE"/>
    <w:lvl w:ilvl="0" w:tplc="04160009">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3">
    <w:nsid w:val="0DF35873"/>
    <w:multiLevelType w:val="hybridMultilevel"/>
    <w:tmpl w:val="13D6574C"/>
    <w:lvl w:ilvl="0" w:tplc="04160005">
      <w:start w:val="1"/>
      <w:numFmt w:val="lowerLetter"/>
      <w:lvlText w:val="%1)"/>
      <w:lvlJc w:val="left"/>
      <w:pPr>
        <w:tabs>
          <w:tab w:val="num" w:pos="720"/>
        </w:tabs>
        <w:ind w:left="720" w:hanging="360"/>
      </w:pPr>
      <w:rPr>
        <w:rFonts w:hint="default"/>
      </w:r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74">
    <w:nsid w:val="0E4062D8"/>
    <w:multiLevelType w:val="hybridMultilevel"/>
    <w:tmpl w:val="A3DA7B6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5">
    <w:nsid w:val="0E4348A7"/>
    <w:multiLevelType w:val="hybridMultilevel"/>
    <w:tmpl w:val="AC84E5A2"/>
    <w:lvl w:ilvl="0" w:tplc="04160017">
      <w:start w:val="1"/>
      <w:numFmt w:val="bullet"/>
      <w:lvlText w:val=""/>
      <w:lvlJc w:val="left"/>
      <w:pPr>
        <w:ind w:left="765" w:hanging="360"/>
      </w:pPr>
      <w:rPr>
        <w:rFonts w:ascii="Symbol" w:hAnsi="Symbol" w:hint="default"/>
      </w:rPr>
    </w:lvl>
    <w:lvl w:ilvl="1" w:tplc="04160019" w:tentative="1">
      <w:start w:val="1"/>
      <w:numFmt w:val="bullet"/>
      <w:lvlText w:val="o"/>
      <w:lvlJc w:val="left"/>
      <w:pPr>
        <w:ind w:left="1485" w:hanging="360"/>
      </w:pPr>
      <w:rPr>
        <w:rFonts w:ascii="Courier New" w:hAnsi="Courier New" w:cs="Courier New" w:hint="default"/>
      </w:rPr>
    </w:lvl>
    <w:lvl w:ilvl="2" w:tplc="0416001B" w:tentative="1">
      <w:start w:val="1"/>
      <w:numFmt w:val="bullet"/>
      <w:lvlText w:val=""/>
      <w:lvlJc w:val="left"/>
      <w:pPr>
        <w:ind w:left="2205" w:hanging="360"/>
      </w:pPr>
      <w:rPr>
        <w:rFonts w:ascii="Wingdings" w:hAnsi="Wingdings" w:hint="default"/>
      </w:rPr>
    </w:lvl>
    <w:lvl w:ilvl="3" w:tplc="0416000F" w:tentative="1">
      <w:start w:val="1"/>
      <w:numFmt w:val="bullet"/>
      <w:lvlText w:val=""/>
      <w:lvlJc w:val="left"/>
      <w:pPr>
        <w:ind w:left="2925" w:hanging="360"/>
      </w:pPr>
      <w:rPr>
        <w:rFonts w:ascii="Symbol" w:hAnsi="Symbol" w:hint="default"/>
      </w:rPr>
    </w:lvl>
    <w:lvl w:ilvl="4" w:tplc="04160019" w:tentative="1">
      <w:start w:val="1"/>
      <w:numFmt w:val="bullet"/>
      <w:lvlText w:val="o"/>
      <w:lvlJc w:val="left"/>
      <w:pPr>
        <w:ind w:left="3645" w:hanging="360"/>
      </w:pPr>
      <w:rPr>
        <w:rFonts w:ascii="Courier New" w:hAnsi="Courier New" w:cs="Courier New" w:hint="default"/>
      </w:rPr>
    </w:lvl>
    <w:lvl w:ilvl="5" w:tplc="0416001B" w:tentative="1">
      <w:start w:val="1"/>
      <w:numFmt w:val="bullet"/>
      <w:lvlText w:val=""/>
      <w:lvlJc w:val="left"/>
      <w:pPr>
        <w:ind w:left="4365" w:hanging="360"/>
      </w:pPr>
      <w:rPr>
        <w:rFonts w:ascii="Wingdings" w:hAnsi="Wingdings" w:hint="default"/>
      </w:rPr>
    </w:lvl>
    <w:lvl w:ilvl="6" w:tplc="0416000F" w:tentative="1">
      <w:start w:val="1"/>
      <w:numFmt w:val="bullet"/>
      <w:lvlText w:val=""/>
      <w:lvlJc w:val="left"/>
      <w:pPr>
        <w:ind w:left="5085" w:hanging="360"/>
      </w:pPr>
      <w:rPr>
        <w:rFonts w:ascii="Symbol" w:hAnsi="Symbol" w:hint="default"/>
      </w:rPr>
    </w:lvl>
    <w:lvl w:ilvl="7" w:tplc="04160019" w:tentative="1">
      <w:start w:val="1"/>
      <w:numFmt w:val="bullet"/>
      <w:lvlText w:val="o"/>
      <w:lvlJc w:val="left"/>
      <w:pPr>
        <w:ind w:left="5805" w:hanging="360"/>
      </w:pPr>
      <w:rPr>
        <w:rFonts w:ascii="Courier New" w:hAnsi="Courier New" w:cs="Courier New" w:hint="default"/>
      </w:rPr>
    </w:lvl>
    <w:lvl w:ilvl="8" w:tplc="0416001B" w:tentative="1">
      <w:start w:val="1"/>
      <w:numFmt w:val="bullet"/>
      <w:lvlText w:val=""/>
      <w:lvlJc w:val="left"/>
      <w:pPr>
        <w:ind w:left="6525" w:hanging="360"/>
      </w:pPr>
      <w:rPr>
        <w:rFonts w:ascii="Wingdings" w:hAnsi="Wingdings" w:hint="default"/>
      </w:rPr>
    </w:lvl>
  </w:abstractNum>
  <w:abstractNum w:abstractNumId="76">
    <w:nsid w:val="0E5A4C7E"/>
    <w:multiLevelType w:val="hybridMultilevel"/>
    <w:tmpl w:val="770469EE"/>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nsid w:val="0E5F7B8A"/>
    <w:multiLevelType w:val="hybridMultilevel"/>
    <w:tmpl w:val="A24E045C"/>
    <w:lvl w:ilvl="0" w:tplc="04160003">
      <w:start w:val="1"/>
      <w:numFmt w:val="bullet"/>
      <w:lvlText w:val=""/>
      <w:lvlJc w:val="left"/>
      <w:pPr>
        <w:ind w:left="721" w:hanging="360"/>
      </w:pPr>
      <w:rPr>
        <w:rFonts w:ascii="Symbol" w:hAnsi="Symbol" w:hint="default"/>
      </w:rPr>
    </w:lvl>
    <w:lvl w:ilvl="1" w:tplc="04160003" w:tentative="1">
      <w:start w:val="1"/>
      <w:numFmt w:val="bullet"/>
      <w:lvlText w:val="o"/>
      <w:lvlJc w:val="left"/>
      <w:pPr>
        <w:ind w:left="1441" w:hanging="360"/>
      </w:pPr>
      <w:rPr>
        <w:rFonts w:ascii="Courier New" w:hAnsi="Courier New" w:cs="Courier New" w:hint="default"/>
      </w:rPr>
    </w:lvl>
    <w:lvl w:ilvl="2" w:tplc="04160005" w:tentative="1">
      <w:start w:val="1"/>
      <w:numFmt w:val="bullet"/>
      <w:lvlText w:val=""/>
      <w:lvlJc w:val="left"/>
      <w:pPr>
        <w:ind w:left="2161" w:hanging="360"/>
      </w:pPr>
      <w:rPr>
        <w:rFonts w:ascii="Wingdings" w:hAnsi="Wingdings" w:hint="default"/>
      </w:rPr>
    </w:lvl>
    <w:lvl w:ilvl="3" w:tplc="04160001" w:tentative="1">
      <w:start w:val="1"/>
      <w:numFmt w:val="bullet"/>
      <w:lvlText w:val=""/>
      <w:lvlJc w:val="left"/>
      <w:pPr>
        <w:ind w:left="2881" w:hanging="360"/>
      </w:pPr>
      <w:rPr>
        <w:rFonts w:ascii="Symbol" w:hAnsi="Symbol" w:hint="default"/>
      </w:rPr>
    </w:lvl>
    <w:lvl w:ilvl="4" w:tplc="04160003" w:tentative="1">
      <w:start w:val="1"/>
      <w:numFmt w:val="bullet"/>
      <w:lvlText w:val="o"/>
      <w:lvlJc w:val="left"/>
      <w:pPr>
        <w:ind w:left="3601" w:hanging="360"/>
      </w:pPr>
      <w:rPr>
        <w:rFonts w:ascii="Courier New" w:hAnsi="Courier New" w:cs="Courier New" w:hint="default"/>
      </w:rPr>
    </w:lvl>
    <w:lvl w:ilvl="5" w:tplc="04160005" w:tentative="1">
      <w:start w:val="1"/>
      <w:numFmt w:val="bullet"/>
      <w:lvlText w:val=""/>
      <w:lvlJc w:val="left"/>
      <w:pPr>
        <w:ind w:left="4321" w:hanging="360"/>
      </w:pPr>
      <w:rPr>
        <w:rFonts w:ascii="Wingdings" w:hAnsi="Wingdings" w:hint="default"/>
      </w:rPr>
    </w:lvl>
    <w:lvl w:ilvl="6" w:tplc="04160001" w:tentative="1">
      <w:start w:val="1"/>
      <w:numFmt w:val="bullet"/>
      <w:lvlText w:val=""/>
      <w:lvlJc w:val="left"/>
      <w:pPr>
        <w:ind w:left="5041" w:hanging="360"/>
      </w:pPr>
      <w:rPr>
        <w:rFonts w:ascii="Symbol" w:hAnsi="Symbol" w:hint="default"/>
      </w:rPr>
    </w:lvl>
    <w:lvl w:ilvl="7" w:tplc="04160003" w:tentative="1">
      <w:start w:val="1"/>
      <w:numFmt w:val="bullet"/>
      <w:lvlText w:val="o"/>
      <w:lvlJc w:val="left"/>
      <w:pPr>
        <w:ind w:left="5761" w:hanging="360"/>
      </w:pPr>
      <w:rPr>
        <w:rFonts w:ascii="Courier New" w:hAnsi="Courier New" w:cs="Courier New" w:hint="default"/>
      </w:rPr>
    </w:lvl>
    <w:lvl w:ilvl="8" w:tplc="04160005" w:tentative="1">
      <w:start w:val="1"/>
      <w:numFmt w:val="bullet"/>
      <w:lvlText w:val=""/>
      <w:lvlJc w:val="left"/>
      <w:pPr>
        <w:ind w:left="6481" w:hanging="360"/>
      </w:pPr>
      <w:rPr>
        <w:rFonts w:ascii="Wingdings" w:hAnsi="Wingdings" w:hint="default"/>
      </w:rPr>
    </w:lvl>
  </w:abstractNum>
  <w:abstractNum w:abstractNumId="78">
    <w:nsid w:val="0EE75936"/>
    <w:multiLevelType w:val="hybridMultilevel"/>
    <w:tmpl w:val="4D18F5C0"/>
    <w:lvl w:ilvl="0" w:tplc="C6600DD0">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79">
    <w:nsid w:val="0F364218"/>
    <w:multiLevelType w:val="hybridMultilevel"/>
    <w:tmpl w:val="99F86F10"/>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80">
    <w:nsid w:val="0F4E6653"/>
    <w:multiLevelType w:val="hybridMultilevel"/>
    <w:tmpl w:val="9E580D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1">
    <w:nsid w:val="0FB720D0"/>
    <w:multiLevelType w:val="hybridMultilevel"/>
    <w:tmpl w:val="092A00B2"/>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82">
    <w:nsid w:val="103E3F03"/>
    <w:multiLevelType w:val="singleLevel"/>
    <w:tmpl w:val="0416000F"/>
    <w:lvl w:ilvl="0">
      <w:start w:val="1"/>
      <w:numFmt w:val="decimal"/>
      <w:lvlText w:val="%1."/>
      <w:lvlJc w:val="left"/>
      <w:pPr>
        <w:tabs>
          <w:tab w:val="num" w:pos="360"/>
        </w:tabs>
        <w:ind w:left="360" w:hanging="360"/>
      </w:pPr>
    </w:lvl>
  </w:abstractNum>
  <w:abstractNum w:abstractNumId="83">
    <w:nsid w:val="10AE1C2F"/>
    <w:multiLevelType w:val="hybridMultilevel"/>
    <w:tmpl w:val="C7B895A6"/>
    <w:lvl w:ilvl="0" w:tplc="28C0993A">
      <w:start w:val="1"/>
      <w:numFmt w:val="bullet"/>
      <w:lvlText w:val=""/>
      <w:lvlJc w:val="left"/>
      <w:pPr>
        <w:ind w:left="720" w:hanging="360"/>
      </w:pPr>
      <w:rPr>
        <w:rFonts w:ascii="Symbol" w:hAnsi="Symbol" w:hint="default"/>
      </w:rPr>
    </w:lvl>
    <w:lvl w:ilvl="1" w:tplc="B9C41940" w:tentative="1">
      <w:start w:val="1"/>
      <w:numFmt w:val="bullet"/>
      <w:lvlText w:val="o"/>
      <w:lvlJc w:val="left"/>
      <w:pPr>
        <w:ind w:left="1440" w:hanging="360"/>
      </w:pPr>
      <w:rPr>
        <w:rFonts w:ascii="Courier New" w:hAnsi="Courier New" w:cs="Courier New" w:hint="default"/>
      </w:rPr>
    </w:lvl>
    <w:lvl w:ilvl="2" w:tplc="FC6A2878" w:tentative="1">
      <w:start w:val="1"/>
      <w:numFmt w:val="bullet"/>
      <w:lvlText w:val=""/>
      <w:lvlJc w:val="left"/>
      <w:pPr>
        <w:ind w:left="2160" w:hanging="360"/>
      </w:pPr>
      <w:rPr>
        <w:rFonts w:ascii="Wingdings" w:hAnsi="Wingdings" w:hint="default"/>
      </w:rPr>
    </w:lvl>
    <w:lvl w:ilvl="3" w:tplc="F16689B0" w:tentative="1">
      <w:start w:val="1"/>
      <w:numFmt w:val="bullet"/>
      <w:lvlText w:val=""/>
      <w:lvlJc w:val="left"/>
      <w:pPr>
        <w:ind w:left="2880" w:hanging="360"/>
      </w:pPr>
      <w:rPr>
        <w:rFonts w:ascii="Symbol" w:hAnsi="Symbol" w:hint="default"/>
      </w:rPr>
    </w:lvl>
    <w:lvl w:ilvl="4" w:tplc="A354427C" w:tentative="1">
      <w:start w:val="1"/>
      <w:numFmt w:val="bullet"/>
      <w:lvlText w:val="o"/>
      <w:lvlJc w:val="left"/>
      <w:pPr>
        <w:ind w:left="3600" w:hanging="360"/>
      </w:pPr>
      <w:rPr>
        <w:rFonts w:ascii="Courier New" w:hAnsi="Courier New" w:cs="Courier New" w:hint="default"/>
      </w:rPr>
    </w:lvl>
    <w:lvl w:ilvl="5" w:tplc="F0685670" w:tentative="1">
      <w:start w:val="1"/>
      <w:numFmt w:val="bullet"/>
      <w:lvlText w:val=""/>
      <w:lvlJc w:val="left"/>
      <w:pPr>
        <w:ind w:left="4320" w:hanging="360"/>
      </w:pPr>
      <w:rPr>
        <w:rFonts w:ascii="Wingdings" w:hAnsi="Wingdings" w:hint="default"/>
      </w:rPr>
    </w:lvl>
    <w:lvl w:ilvl="6" w:tplc="625AA390" w:tentative="1">
      <w:start w:val="1"/>
      <w:numFmt w:val="bullet"/>
      <w:lvlText w:val=""/>
      <w:lvlJc w:val="left"/>
      <w:pPr>
        <w:ind w:left="5040" w:hanging="360"/>
      </w:pPr>
      <w:rPr>
        <w:rFonts w:ascii="Symbol" w:hAnsi="Symbol" w:hint="default"/>
      </w:rPr>
    </w:lvl>
    <w:lvl w:ilvl="7" w:tplc="7A465B12" w:tentative="1">
      <w:start w:val="1"/>
      <w:numFmt w:val="bullet"/>
      <w:lvlText w:val="o"/>
      <w:lvlJc w:val="left"/>
      <w:pPr>
        <w:ind w:left="5760" w:hanging="360"/>
      </w:pPr>
      <w:rPr>
        <w:rFonts w:ascii="Courier New" w:hAnsi="Courier New" w:cs="Courier New" w:hint="default"/>
      </w:rPr>
    </w:lvl>
    <w:lvl w:ilvl="8" w:tplc="3452BFF2" w:tentative="1">
      <w:start w:val="1"/>
      <w:numFmt w:val="bullet"/>
      <w:lvlText w:val=""/>
      <w:lvlJc w:val="left"/>
      <w:pPr>
        <w:ind w:left="6480" w:hanging="360"/>
      </w:pPr>
      <w:rPr>
        <w:rFonts w:ascii="Wingdings" w:hAnsi="Wingdings" w:hint="default"/>
      </w:rPr>
    </w:lvl>
  </w:abstractNum>
  <w:abstractNum w:abstractNumId="84">
    <w:nsid w:val="10B93A42"/>
    <w:multiLevelType w:val="hybridMultilevel"/>
    <w:tmpl w:val="8820A1F4"/>
    <w:lvl w:ilvl="0" w:tplc="04160001">
      <w:start w:val="1"/>
      <w:numFmt w:val="bullet"/>
      <w:lvlText w:val=""/>
      <w:lvlJc w:val="left"/>
      <w:pPr>
        <w:ind w:left="927"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5">
    <w:nsid w:val="10EC50CB"/>
    <w:multiLevelType w:val="hybridMultilevel"/>
    <w:tmpl w:val="EC645B84"/>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86">
    <w:nsid w:val="11E35420"/>
    <w:multiLevelType w:val="hybridMultilevel"/>
    <w:tmpl w:val="4A900AD4"/>
    <w:lvl w:ilvl="0" w:tplc="AC30397E">
      <w:start w:val="1"/>
      <w:numFmt w:val="upperRoman"/>
      <w:lvlText w:val="%1."/>
      <w:lvlJc w:val="left"/>
      <w:pPr>
        <w:ind w:left="862" w:hanging="720"/>
      </w:pPr>
      <w:rPr>
        <w:rFonts w:hint="default"/>
        <w:b/>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nsid w:val="11E41181"/>
    <w:multiLevelType w:val="hybridMultilevel"/>
    <w:tmpl w:val="1DAA8B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8">
    <w:nsid w:val="11F16F6F"/>
    <w:multiLevelType w:val="hybridMultilevel"/>
    <w:tmpl w:val="B56C76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9">
    <w:nsid w:val="12063344"/>
    <w:multiLevelType w:val="hybridMultilevel"/>
    <w:tmpl w:val="9074368A"/>
    <w:lvl w:ilvl="0" w:tplc="04160001">
      <w:start w:val="1"/>
      <w:numFmt w:val="bullet"/>
      <w:lvlText w:val=""/>
      <w:lvlJc w:val="left"/>
      <w:pPr>
        <w:ind w:left="720" w:hanging="360"/>
      </w:pPr>
      <w:rPr>
        <w:rFonts w:ascii="Symbol" w:hAnsi="Symbol" w:hint="default"/>
        <w:lang w:val="pt-P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90">
    <w:nsid w:val="122411A7"/>
    <w:multiLevelType w:val="hybridMultilevel"/>
    <w:tmpl w:val="67023C04"/>
    <w:lvl w:ilvl="0" w:tplc="04160001">
      <w:start w:val="1"/>
      <w:numFmt w:val="decimal"/>
      <w:lvlText w:val="%1."/>
      <w:lvlJc w:val="left"/>
      <w:pPr>
        <w:tabs>
          <w:tab w:val="num" w:pos="720"/>
        </w:tabs>
        <w:ind w:left="720" w:hanging="360"/>
      </w:pPr>
      <w:rPr>
        <w:rFonts w:hint="default"/>
        <w:sz w:val="16"/>
        <w:szCs w:val="16"/>
      </w:rPr>
    </w:lvl>
    <w:lvl w:ilvl="1" w:tplc="04160003">
      <w:start w:val="1"/>
      <w:numFmt w:val="bullet"/>
      <w:lvlText w:val=""/>
      <w:lvlJc w:val="left"/>
      <w:pPr>
        <w:tabs>
          <w:tab w:val="num" w:pos="1440"/>
        </w:tabs>
        <w:ind w:left="1440" w:hanging="360"/>
      </w:pPr>
      <w:rPr>
        <w:rFonts w:ascii="Symbol" w:hAnsi="Symbol" w:cs="Symbol" w:hint="default"/>
        <w:sz w:val="16"/>
        <w:szCs w:val="16"/>
      </w:rPr>
    </w:lvl>
    <w:lvl w:ilvl="2" w:tplc="04160005">
      <w:start w:val="1"/>
      <w:numFmt w:val="bullet"/>
      <w:lvlText w:val=""/>
      <w:lvlJc w:val="left"/>
      <w:pPr>
        <w:tabs>
          <w:tab w:val="num" w:pos="2160"/>
        </w:tabs>
        <w:ind w:left="2160" w:hanging="360"/>
      </w:pPr>
      <w:rPr>
        <w:rFonts w:ascii="Wingdings" w:hAnsi="Wingdings" w:cs="Wingdings" w:hint="default"/>
      </w:rPr>
    </w:lvl>
    <w:lvl w:ilvl="3" w:tplc="04160001">
      <w:start w:val="1"/>
      <w:numFmt w:val="bullet"/>
      <w:lvlText w:val=""/>
      <w:lvlJc w:val="left"/>
      <w:pPr>
        <w:tabs>
          <w:tab w:val="num" w:pos="2880"/>
        </w:tabs>
        <w:ind w:left="2880" w:hanging="360"/>
      </w:pPr>
      <w:rPr>
        <w:rFonts w:ascii="Symbol" w:hAnsi="Symbol" w:cs="Symbol" w:hint="default"/>
      </w:rPr>
    </w:lvl>
    <w:lvl w:ilvl="4" w:tplc="04160003">
      <w:start w:val="1"/>
      <w:numFmt w:val="bullet"/>
      <w:lvlText w:val="o"/>
      <w:lvlJc w:val="left"/>
      <w:pPr>
        <w:tabs>
          <w:tab w:val="num" w:pos="3600"/>
        </w:tabs>
        <w:ind w:left="3600" w:hanging="360"/>
      </w:pPr>
      <w:rPr>
        <w:rFonts w:ascii="Courier New" w:hAnsi="Courier New" w:cs="Courier New" w:hint="default"/>
      </w:rPr>
    </w:lvl>
    <w:lvl w:ilvl="5" w:tplc="04160005">
      <w:start w:val="1"/>
      <w:numFmt w:val="bullet"/>
      <w:lvlText w:val=""/>
      <w:lvlJc w:val="left"/>
      <w:pPr>
        <w:tabs>
          <w:tab w:val="num" w:pos="4320"/>
        </w:tabs>
        <w:ind w:left="4320" w:hanging="360"/>
      </w:pPr>
      <w:rPr>
        <w:rFonts w:ascii="Wingdings" w:hAnsi="Wingdings" w:cs="Wingdings" w:hint="default"/>
      </w:rPr>
    </w:lvl>
    <w:lvl w:ilvl="6" w:tplc="04160001">
      <w:start w:val="1"/>
      <w:numFmt w:val="bullet"/>
      <w:lvlText w:val=""/>
      <w:lvlJc w:val="left"/>
      <w:pPr>
        <w:tabs>
          <w:tab w:val="num" w:pos="5040"/>
        </w:tabs>
        <w:ind w:left="5040" w:hanging="360"/>
      </w:pPr>
      <w:rPr>
        <w:rFonts w:ascii="Symbol" w:hAnsi="Symbol" w:cs="Symbol" w:hint="default"/>
      </w:rPr>
    </w:lvl>
    <w:lvl w:ilvl="7" w:tplc="04160003">
      <w:start w:val="1"/>
      <w:numFmt w:val="bullet"/>
      <w:lvlText w:val="o"/>
      <w:lvlJc w:val="left"/>
      <w:pPr>
        <w:tabs>
          <w:tab w:val="num" w:pos="5760"/>
        </w:tabs>
        <w:ind w:left="5760" w:hanging="360"/>
      </w:pPr>
      <w:rPr>
        <w:rFonts w:ascii="Courier New" w:hAnsi="Courier New" w:cs="Courier New" w:hint="default"/>
      </w:rPr>
    </w:lvl>
    <w:lvl w:ilvl="8" w:tplc="04160005">
      <w:start w:val="1"/>
      <w:numFmt w:val="bullet"/>
      <w:lvlText w:val=""/>
      <w:lvlJc w:val="left"/>
      <w:pPr>
        <w:tabs>
          <w:tab w:val="num" w:pos="6480"/>
        </w:tabs>
        <w:ind w:left="6480" w:hanging="360"/>
      </w:pPr>
      <w:rPr>
        <w:rFonts w:ascii="Wingdings" w:hAnsi="Wingdings" w:cs="Wingdings" w:hint="default"/>
      </w:rPr>
    </w:lvl>
  </w:abstractNum>
  <w:abstractNum w:abstractNumId="91">
    <w:nsid w:val="12BF6E2E"/>
    <w:multiLevelType w:val="hybridMultilevel"/>
    <w:tmpl w:val="4726FB12"/>
    <w:lvl w:ilvl="0" w:tplc="0416000F">
      <w:start w:val="1"/>
      <w:numFmt w:val="bullet"/>
      <w:lvlText w:val=""/>
      <w:lvlJc w:val="left"/>
      <w:pPr>
        <w:tabs>
          <w:tab w:val="num" w:pos="720"/>
        </w:tabs>
        <w:ind w:left="720" w:hanging="360"/>
      </w:pPr>
      <w:rPr>
        <w:rFonts w:ascii="Symbol" w:hAnsi="Symbol" w:hint="default"/>
      </w:rPr>
    </w:lvl>
    <w:lvl w:ilvl="1" w:tplc="6E8668AA"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92">
    <w:nsid w:val="12C014CC"/>
    <w:multiLevelType w:val="hybridMultilevel"/>
    <w:tmpl w:val="9C0ACB7C"/>
    <w:lvl w:ilvl="0" w:tplc="04160001">
      <w:start w:val="1"/>
      <w:numFmt w:val="lowerLetter"/>
      <w:lvlText w:val="%1)"/>
      <w:lvlJc w:val="left"/>
      <w:pPr>
        <w:tabs>
          <w:tab w:val="num" w:pos="720"/>
        </w:tabs>
        <w:ind w:left="720" w:hanging="360"/>
      </w:p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93">
    <w:nsid w:val="12D65730"/>
    <w:multiLevelType w:val="hybridMultilevel"/>
    <w:tmpl w:val="0B005844"/>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94">
    <w:nsid w:val="12E057AA"/>
    <w:multiLevelType w:val="hybridMultilevel"/>
    <w:tmpl w:val="BC5CC1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5">
    <w:nsid w:val="1325198F"/>
    <w:multiLevelType w:val="hybridMultilevel"/>
    <w:tmpl w:val="84A05486"/>
    <w:lvl w:ilvl="0" w:tplc="04160017">
      <w:start w:val="1"/>
      <w:numFmt w:val="bullet"/>
      <w:lvlText w:val=""/>
      <w:lvlJc w:val="left"/>
      <w:pPr>
        <w:ind w:left="720" w:hanging="360"/>
      </w:pPr>
      <w:rPr>
        <w:rFonts w:ascii="Wingdings" w:hAnsi="Wingdings"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96">
    <w:nsid w:val="13491624"/>
    <w:multiLevelType w:val="hybridMultilevel"/>
    <w:tmpl w:val="E9560FB6"/>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97">
    <w:nsid w:val="13F37EE7"/>
    <w:multiLevelType w:val="hybridMultilevel"/>
    <w:tmpl w:val="ECDC6668"/>
    <w:lvl w:ilvl="0" w:tplc="C6600DD0">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8">
    <w:nsid w:val="14244E88"/>
    <w:multiLevelType w:val="hybridMultilevel"/>
    <w:tmpl w:val="DEC013DE"/>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9">
    <w:nsid w:val="143C6C07"/>
    <w:multiLevelType w:val="hybridMultilevel"/>
    <w:tmpl w:val="4C1EA994"/>
    <w:lvl w:ilvl="0" w:tplc="0416000F">
      <w:start w:val="1"/>
      <w:numFmt w:val="decimal"/>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00">
    <w:nsid w:val="14511D85"/>
    <w:multiLevelType w:val="hybridMultilevel"/>
    <w:tmpl w:val="493CD3D6"/>
    <w:lvl w:ilvl="0" w:tplc="04160005">
      <w:start w:val="1"/>
      <w:numFmt w:val="bullet"/>
      <w:lvlText w:val=""/>
      <w:lvlJc w:val="left"/>
      <w:pPr>
        <w:ind w:left="36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1">
    <w:nsid w:val="147914F2"/>
    <w:multiLevelType w:val="hybridMultilevel"/>
    <w:tmpl w:val="4A900AD4"/>
    <w:lvl w:ilvl="0" w:tplc="AC30397E">
      <w:start w:val="1"/>
      <w:numFmt w:val="upperRoman"/>
      <w:lvlText w:val="%1."/>
      <w:lvlJc w:val="left"/>
      <w:pPr>
        <w:ind w:left="862" w:hanging="720"/>
      </w:pPr>
      <w:rPr>
        <w:rFonts w:hint="default"/>
        <w:b/>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nsid w:val="149670C4"/>
    <w:multiLevelType w:val="hybridMultilevel"/>
    <w:tmpl w:val="D1F415B4"/>
    <w:lvl w:ilvl="0" w:tplc="04160001">
      <w:numFmt w:val="bullet"/>
      <w:lvlText w:val="•"/>
      <w:lvlJc w:val="left"/>
      <w:pPr>
        <w:ind w:left="720" w:hanging="360"/>
      </w:pPr>
      <w:rPr>
        <w:rFonts w:ascii="Times New Roman" w:eastAsia="Calibri"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3">
    <w:nsid w:val="14AD523F"/>
    <w:multiLevelType w:val="hybridMultilevel"/>
    <w:tmpl w:val="DD2EE156"/>
    <w:lvl w:ilvl="0" w:tplc="04160005">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04">
    <w:nsid w:val="14C56D18"/>
    <w:multiLevelType w:val="hybridMultilevel"/>
    <w:tmpl w:val="F77046FE"/>
    <w:lvl w:ilvl="0" w:tplc="61AA52F8">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5">
    <w:nsid w:val="14EF3FCE"/>
    <w:multiLevelType w:val="hybridMultilevel"/>
    <w:tmpl w:val="FC5CE248"/>
    <w:lvl w:ilvl="0" w:tplc="04160001">
      <w:start w:val="1"/>
      <w:numFmt w:val="bullet"/>
      <w:lvlText w:val=""/>
      <w:lvlJc w:val="left"/>
      <w:pPr>
        <w:ind w:left="720" w:hanging="36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106">
    <w:nsid w:val="1508151C"/>
    <w:multiLevelType w:val="hybridMultilevel"/>
    <w:tmpl w:val="151AE620"/>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7">
    <w:nsid w:val="156C133D"/>
    <w:multiLevelType w:val="hybridMultilevel"/>
    <w:tmpl w:val="7B9A54D4"/>
    <w:lvl w:ilvl="0" w:tplc="04160001">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8">
    <w:nsid w:val="156D3587"/>
    <w:multiLevelType w:val="hybridMultilevel"/>
    <w:tmpl w:val="8AAA461E"/>
    <w:lvl w:ilvl="0" w:tplc="04160005">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9">
    <w:nsid w:val="158D6C33"/>
    <w:multiLevelType w:val="hybridMultilevel"/>
    <w:tmpl w:val="D6869068"/>
    <w:lvl w:ilvl="0" w:tplc="04160001">
      <w:start w:val="1"/>
      <w:numFmt w:val="bullet"/>
      <w:lvlText w:val=""/>
      <w:lvlJc w:val="left"/>
      <w:pPr>
        <w:ind w:left="856" w:hanging="360"/>
      </w:pPr>
      <w:rPr>
        <w:rFonts w:ascii="Symbol" w:hAnsi="Symbol" w:hint="default"/>
      </w:rPr>
    </w:lvl>
    <w:lvl w:ilvl="1" w:tplc="04160019" w:tentative="1">
      <w:start w:val="1"/>
      <w:numFmt w:val="bullet"/>
      <w:lvlText w:val="o"/>
      <w:lvlJc w:val="left"/>
      <w:pPr>
        <w:ind w:left="1576" w:hanging="360"/>
      </w:pPr>
      <w:rPr>
        <w:rFonts w:ascii="Courier New" w:hAnsi="Courier New" w:cs="Courier New" w:hint="default"/>
      </w:rPr>
    </w:lvl>
    <w:lvl w:ilvl="2" w:tplc="0416001B" w:tentative="1">
      <w:start w:val="1"/>
      <w:numFmt w:val="bullet"/>
      <w:lvlText w:val=""/>
      <w:lvlJc w:val="left"/>
      <w:pPr>
        <w:ind w:left="2296" w:hanging="360"/>
      </w:pPr>
      <w:rPr>
        <w:rFonts w:ascii="Wingdings" w:hAnsi="Wingdings" w:hint="default"/>
      </w:rPr>
    </w:lvl>
    <w:lvl w:ilvl="3" w:tplc="0416000F" w:tentative="1">
      <w:start w:val="1"/>
      <w:numFmt w:val="bullet"/>
      <w:lvlText w:val=""/>
      <w:lvlJc w:val="left"/>
      <w:pPr>
        <w:ind w:left="3016" w:hanging="360"/>
      </w:pPr>
      <w:rPr>
        <w:rFonts w:ascii="Symbol" w:hAnsi="Symbol" w:hint="default"/>
      </w:rPr>
    </w:lvl>
    <w:lvl w:ilvl="4" w:tplc="04160019" w:tentative="1">
      <w:start w:val="1"/>
      <w:numFmt w:val="bullet"/>
      <w:lvlText w:val="o"/>
      <w:lvlJc w:val="left"/>
      <w:pPr>
        <w:ind w:left="3736" w:hanging="360"/>
      </w:pPr>
      <w:rPr>
        <w:rFonts w:ascii="Courier New" w:hAnsi="Courier New" w:cs="Courier New" w:hint="default"/>
      </w:rPr>
    </w:lvl>
    <w:lvl w:ilvl="5" w:tplc="0416001B" w:tentative="1">
      <w:start w:val="1"/>
      <w:numFmt w:val="bullet"/>
      <w:lvlText w:val=""/>
      <w:lvlJc w:val="left"/>
      <w:pPr>
        <w:ind w:left="4456" w:hanging="360"/>
      </w:pPr>
      <w:rPr>
        <w:rFonts w:ascii="Wingdings" w:hAnsi="Wingdings" w:hint="default"/>
      </w:rPr>
    </w:lvl>
    <w:lvl w:ilvl="6" w:tplc="0416000F" w:tentative="1">
      <w:start w:val="1"/>
      <w:numFmt w:val="bullet"/>
      <w:lvlText w:val=""/>
      <w:lvlJc w:val="left"/>
      <w:pPr>
        <w:ind w:left="5176" w:hanging="360"/>
      </w:pPr>
      <w:rPr>
        <w:rFonts w:ascii="Symbol" w:hAnsi="Symbol" w:hint="default"/>
      </w:rPr>
    </w:lvl>
    <w:lvl w:ilvl="7" w:tplc="04160019" w:tentative="1">
      <w:start w:val="1"/>
      <w:numFmt w:val="bullet"/>
      <w:lvlText w:val="o"/>
      <w:lvlJc w:val="left"/>
      <w:pPr>
        <w:ind w:left="5896" w:hanging="360"/>
      </w:pPr>
      <w:rPr>
        <w:rFonts w:ascii="Courier New" w:hAnsi="Courier New" w:cs="Courier New" w:hint="default"/>
      </w:rPr>
    </w:lvl>
    <w:lvl w:ilvl="8" w:tplc="0416001B" w:tentative="1">
      <w:start w:val="1"/>
      <w:numFmt w:val="bullet"/>
      <w:lvlText w:val=""/>
      <w:lvlJc w:val="left"/>
      <w:pPr>
        <w:ind w:left="6616" w:hanging="360"/>
      </w:pPr>
      <w:rPr>
        <w:rFonts w:ascii="Wingdings" w:hAnsi="Wingdings" w:hint="default"/>
      </w:rPr>
    </w:lvl>
  </w:abstractNum>
  <w:abstractNum w:abstractNumId="110">
    <w:nsid w:val="16014D78"/>
    <w:multiLevelType w:val="hybridMultilevel"/>
    <w:tmpl w:val="97F40C8C"/>
    <w:lvl w:ilvl="0" w:tplc="04160003">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1">
    <w:nsid w:val="16323DD2"/>
    <w:multiLevelType w:val="hybridMultilevel"/>
    <w:tmpl w:val="E38E3E16"/>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2">
    <w:nsid w:val="164930BB"/>
    <w:multiLevelType w:val="hybridMultilevel"/>
    <w:tmpl w:val="4CBADBB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3">
    <w:nsid w:val="16562776"/>
    <w:multiLevelType w:val="hybridMultilevel"/>
    <w:tmpl w:val="B0D0B388"/>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14">
    <w:nsid w:val="16695C60"/>
    <w:multiLevelType w:val="hybridMultilevel"/>
    <w:tmpl w:val="30A48802"/>
    <w:lvl w:ilvl="0" w:tplc="04160009">
      <w:start w:val="1"/>
      <w:numFmt w:val="lowerLetter"/>
      <w:lvlText w:val="%1)"/>
      <w:lvlJc w:val="left"/>
      <w:pPr>
        <w:ind w:left="1854" w:hanging="360"/>
      </w:pPr>
    </w:lvl>
    <w:lvl w:ilvl="1" w:tplc="04160003" w:tentative="1">
      <w:start w:val="1"/>
      <w:numFmt w:val="lowerLetter"/>
      <w:lvlText w:val="%2."/>
      <w:lvlJc w:val="left"/>
      <w:pPr>
        <w:ind w:left="2574" w:hanging="360"/>
      </w:pPr>
    </w:lvl>
    <w:lvl w:ilvl="2" w:tplc="04160005" w:tentative="1">
      <w:start w:val="1"/>
      <w:numFmt w:val="lowerRoman"/>
      <w:lvlText w:val="%3."/>
      <w:lvlJc w:val="right"/>
      <w:pPr>
        <w:ind w:left="3294" w:hanging="180"/>
      </w:pPr>
    </w:lvl>
    <w:lvl w:ilvl="3" w:tplc="04160001" w:tentative="1">
      <w:start w:val="1"/>
      <w:numFmt w:val="decimal"/>
      <w:lvlText w:val="%4."/>
      <w:lvlJc w:val="left"/>
      <w:pPr>
        <w:ind w:left="4014" w:hanging="360"/>
      </w:pPr>
    </w:lvl>
    <w:lvl w:ilvl="4" w:tplc="04160003" w:tentative="1">
      <w:start w:val="1"/>
      <w:numFmt w:val="lowerLetter"/>
      <w:lvlText w:val="%5."/>
      <w:lvlJc w:val="left"/>
      <w:pPr>
        <w:ind w:left="4734" w:hanging="360"/>
      </w:pPr>
    </w:lvl>
    <w:lvl w:ilvl="5" w:tplc="04160005" w:tentative="1">
      <w:start w:val="1"/>
      <w:numFmt w:val="lowerRoman"/>
      <w:lvlText w:val="%6."/>
      <w:lvlJc w:val="right"/>
      <w:pPr>
        <w:ind w:left="5454" w:hanging="180"/>
      </w:pPr>
    </w:lvl>
    <w:lvl w:ilvl="6" w:tplc="04160001" w:tentative="1">
      <w:start w:val="1"/>
      <w:numFmt w:val="decimal"/>
      <w:lvlText w:val="%7."/>
      <w:lvlJc w:val="left"/>
      <w:pPr>
        <w:ind w:left="6174" w:hanging="360"/>
      </w:pPr>
    </w:lvl>
    <w:lvl w:ilvl="7" w:tplc="04160003" w:tentative="1">
      <w:start w:val="1"/>
      <w:numFmt w:val="lowerLetter"/>
      <w:lvlText w:val="%8."/>
      <w:lvlJc w:val="left"/>
      <w:pPr>
        <w:ind w:left="6894" w:hanging="360"/>
      </w:pPr>
    </w:lvl>
    <w:lvl w:ilvl="8" w:tplc="04160005" w:tentative="1">
      <w:start w:val="1"/>
      <w:numFmt w:val="lowerRoman"/>
      <w:lvlText w:val="%9."/>
      <w:lvlJc w:val="right"/>
      <w:pPr>
        <w:ind w:left="7614" w:hanging="180"/>
      </w:pPr>
    </w:lvl>
  </w:abstractNum>
  <w:abstractNum w:abstractNumId="115">
    <w:nsid w:val="174738A5"/>
    <w:multiLevelType w:val="hybridMultilevel"/>
    <w:tmpl w:val="AEE2A88E"/>
    <w:lvl w:ilvl="0" w:tplc="04160017">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16">
    <w:nsid w:val="177E00EF"/>
    <w:multiLevelType w:val="hybridMultilevel"/>
    <w:tmpl w:val="E0FCB248"/>
    <w:lvl w:ilvl="0" w:tplc="04160001">
      <w:start w:val="1"/>
      <w:numFmt w:val="bullet"/>
      <w:lvlText w:val=""/>
      <w:lvlJc w:val="left"/>
      <w:pPr>
        <w:ind w:left="2138" w:hanging="360"/>
      </w:pPr>
      <w:rPr>
        <w:rFonts w:ascii="Symbol" w:hAnsi="Symbol" w:hint="default"/>
      </w:rPr>
    </w:lvl>
    <w:lvl w:ilvl="1" w:tplc="04160003" w:tentative="1">
      <w:start w:val="1"/>
      <w:numFmt w:val="bullet"/>
      <w:lvlText w:val="o"/>
      <w:lvlJc w:val="left"/>
      <w:pPr>
        <w:ind w:left="2858" w:hanging="360"/>
      </w:pPr>
      <w:rPr>
        <w:rFonts w:ascii="Courier New" w:hAnsi="Courier New" w:cs="Courier New" w:hint="default"/>
      </w:rPr>
    </w:lvl>
    <w:lvl w:ilvl="2" w:tplc="04160005" w:tentative="1">
      <w:start w:val="1"/>
      <w:numFmt w:val="bullet"/>
      <w:lvlText w:val=""/>
      <w:lvlJc w:val="left"/>
      <w:pPr>
        <w:ind w:left="3578" w:hanging="360"/>
      </w:pPr>
      <w:rPr>
        <w:rFonts w:ascii="Wingdings" w:hAnsi="Wingdings" w:hint="default"/>
      </w:rPr>
    </w:lvl>
    <w:lvl w:ilvl="3" w:tplc="04160001" w:tentative="1">
      <w:start w:val="1"/>
      <w:numFmt w:val="bullet"/>
      <w:lvlText w:val=""/>
      <w:lvlJc w:val="left"/>
      <w:pPr>
        <w:ind w:left="4298" w:hanging="360"/>
      </w:pPr>
      <w:rPr>
        <w:rFonts w:ascii="Symbol" w:hAnsi="Symbol" w:hint="default"/>
      </w:rPr>
    </w:lvl>
    <w:lvl w:ilvl="4" w:tplc="04160003" w:tentative="1">
      <w:start w:val="1"/>
      <w:numFmt w:val="bullet"/>
      <w:lvlText w:val="o"/>
      <w:lvlJc w:val="left"/>
      <w:pPr>
        <w:ind w:left="5018" w:hanging="360"/>
      </w:pPr>
      <w:rPr>
        <w:rFonts w:ascii="Courier New" w:hAnsi="Courier New" w:cs="Courier New" w:hint="default"/>
      </w:rPr>
    </w:lvl>
    <w:lvl w:ilvl="5" w:tplc="04160005" w:tentative="1">
      <w:start w:val="1"/>
      <w:numFmt w:val="bullet"/>
      <w:lvlText w:val=""/>
      <w:lvlJc w:val="left"/>
      <w:pPr>
        <w:ind w:left="5738" w:hanging="360"/>
      </w:pPr>
      <w:rPr>
        <w:rFonts w:ascii="Wingdings" w:hAnsi="Wingdings" w:hint="default"/>
      </w:rPr>
    </w:lvl>
    <w:lvl w:ilvl="6" w:tplc="04160001" w:tentative="1">
      <w:start w:val="1"/>
      <w:numFmt w:val="bullet"/>
      <w:lvlText w:val=""/>
      <w:lvlJc w:val="left"/>
      <w:pPr>
        <w:ind w:left="6458" w:hanging="360"/>
      </w:pPr>
      <w:rPr>
        <w:rFonts w:ascii="Symbol" w:hAnsi="Symbol" w:hint="default"/>
      </w:rPr>
    </w:lvl>
    <w:lvl w:ilvl="7" w:tplc="04160003" w:tentative="1">
      <w:start w:val="1"/>
      <w:numFmt w:val="bullet"/>
      <w:lvlText w:val="o"/>
      <w:lvlJc w:val="left"/>
      <w:pPr>
        <w:ind w:left="7178" w:hanging="360"/>
      </w:pPr>
      <w:rPr>
        <w:rFonts w:ascii="Courier New" w:hAnsi="Courier New" w:cs="Courier New" w:hint="default"/>
      </w:rPr>
    </w:lvl>
    <w:lvl w:ilvl="8" w:tplc="04160005" w:tentative="1">
      <w:start w:val="1"/>
      <w:numFmt w:val="bullet"/>
      <w:lvlText w:val=""/>
      <w:lvlJc w:val="left"/>
      <w:pPr>
        <w:ind w:left="7898" w:hanging="360"/>
      </w:pPr>
      <w:rPr>
        <w:rFonts w:ascii="Wingdings" w:hAnsi="Wingdings" w:hint="default"/>
      </w:rPr>
    </w:lvl>
  </w:abstractNum>
  <w:abstractNum w:abstractNumId="117">
    <w:nsid w:val="17833829"/>
    <w:multiLevelType w:val="hybridMultilevel"/>
    <w:tmpl w:val="729AD6A6"/>
    <w:lvl w:ilvl="0" w:tplc="04160001">
      <w:start w:val="1"/>
      <w:numFmt w:val="bullet"/>
      <w:lvlText w:val=""/>
      <w:lvlJc w:val="left"/>
      <w:pPr>
        <w:tabs>
          <w:tab w:val="num" w:pos="1304"/>
        </w:tabs>
        <w:ind w:left="1304" w:firstLine="0"/>
      </w:pPr>
      <w:rPr>
        <w:rFonts w:ascii="Wingdings 3" w:hAnsi="Wingdings 3" w:hint="default"/>
      </w:rPr>
    </w:lvl>
    <w:lvl w:ilvl="1" w:tplc="04160003" w:tentative="1">
      <w:start w:val="1"/>
      <w:numFmt w:val="bullet"/>
      <w:lvlText w:val="o"/>
      <w:lvlJc w:val="left"/>
      <w:pPr>
        <w:tabs>
          <w:tab w:val="num" w:pos="2574"/>
        </w:tabs>
        <w:ind w:left="2574" w:hanging="360"/>
      </w:pPr>
      <w:rPr>
        <w:rFonts w:ascii="Courier New" w:hAnsi="Courier New" w:cs="Courier New" w:hint="default"/>
      </w:rPr>
    </w:lvl>
    <w:lvl w:ilvl="2" w:tplc="04160005" w:tentative="1">
      <w:start w:val="1"/>
      <w:numFmt w:val="bullet"/>
      <w:lvlText w:val=""/>
      <w:lvlJc w:val="left"/>
      <w:pPr>
        <w:tabs>
          <w:tab w:val="num" w:pos="3294"/>
        </w:tabs>
        <w:ind w:left="3294" w:hanging="360"/>
      </w:pPr>
      <w:rPr>
        <w:rFonts w:ascii="Wingdings" w:hAnsi="Wingdings" w:hint="default"/>
      </w:rPr>
    </w:lvl>
    <w:lvl w:ilvl="3" w:tplc="04160001" w:tentative="1">
      <w:start w:val="1"/>
      <w:numFmt w:val="bullet"/>
      <w:lvlText w:val=""/>
      <w:lvlJc w:val="left"/>
      <w:pPr>
        <w:tabs>
          <w:tab w:val="num" w:pos="4014"/>
        </w:tabs>
        <w:ind w:left="4014" w:hanging="360"/>
      </w:pPr>
      <w:rPr>
        <w:rFonts w:ascii="Symbol" w:hAnsi="Symbol" w:hint="default"/>
      </w:rPr>
    </w:lvl>
    <w:lvl w:ilvl="4" w:tplc="04160003" w:tentative="1">
      <w:start w:val="1"/>
      <w:numFmt w:val="bullet"/>
      <w:lvlText w:val="o"/>
      <w:lvlJc w:val="left"/>
      <w:pPr>
        <w:tabs>
          <w:tab w:val="num" w:pos="4734"/>
        </w:tabs>
        <w:ind w:left="4734" w:hanging="360"/>
      </w:pPr>
      <w:rPr>
        <w:rFonts w:ascii="Courier New" w:hAnsi="Courier New" w:cs="Courier New" w:hint="default"/>
      </w:rPr>
    </w:lvl>
    <w:lvl w:ilvl="5" w:tplc="04160005" w:tentative="1">
      <w:start w:val="1"/>
      <w:numFmt w:val="bullet"/>
      <w:lvlText w:val=""/>
      <w:lvlJc w:val="left"/>
      <w:pPr>
        <w:tabs>
          <w:tab w:val="num" w:pos="5454"/>
        </w:tabs>
        <w:ind w:left="5454" w:hanging="360"/>
      </w:pPr>
      <w:rPr>
        <w:rFonts w:ascii="Wingdings" w:hAnsi="Wingdings" w:hint="default"/>
      </w:rPr>
    </w:lvl>
    <w:lvl w:ilvl="6" w:tplc="04160001" w:tentative="1">
      <w:start w:val="1"/>
      <w:numFmt w:val="bullet"/>
      <w:lvlText w:val=""/>
      <w:lvlJc w:val="left"/>
      <w:pPr>
        <w:tabs>
          <w:tab w:val="num" w:pos="6174"/>
        </w:tabs>
        <w:ind w:left="6174" w:hanging="360"/>
      </w:pPr>
      <w:rPr>
        <w:rFonts w:ascii="Symbol" w:hAnsi="Symbol" w:hint="default"/>
      </w:rPr>
    </w:lvl>
    <w:lvl w:ilvl="7" w:tplc="04160003" w:tentative="1">
      <w:start w:val="1"/>
      <w:numFmt w:val="bullet"/>
      <w:lvlText w:val="o"/>
      <w:lvlJc w:val="left"/>
      <w:pPr>
        <w:tabs>
          <w:tab w:val="num" w:pos="6894"/>
        </w:tabs>
        <w:ind w:left="6894" w:hanging="360"/>
      </w:pPr>
      <w:rPr>
        <w:rFonts w:ascii="Courier New" w:hAnsi="Courier New" w:cs="Courier New" w:hint="default"/>
      </w:rPr>
    </w:lvl>
    <w:lvl w:ilvl="8" w:tplc="04160005" w:tentative="1">
      <w:start w:val="1"/>
      <w:numFmt w:val="bullet"/>
      <w:lvlText w:val=""/>
      <w:lvlJc w:val="left"/>
      <w:pPr>
        <w:tabs>
          <w:tab w:val="num" w:pos="7614"/>
        </w:tabs>
        <w:ind w:left="7614" w:hanging="360"/>
      </w:pPr>
      <w:rPr>
        <w:rFonts w:ascii="Wingdings" w:hAnsi="Wingdings" w:hint="default"/>
      </w:rPr>
    </w:lvl>
  </w:abstractNum>
  <w:abstractNum w:abstractNumId="118">
    <w:nsid w:val="17C94058"/>
    <w:multiLevelType w:val="hybridMultilevel"/>
    <w:tmpl w:val="9E7A4324"/>
    <w:lvl w:ilvl="0" w:tplc="04160001">
      <w:start w:val="1"/>
      <w:numFmt w:val="bullet"/>
      <w:lvlText w:val=""/>
      <w:lvlJc w:val="left"/>
      <w:pPr>
        <w:ind w:left="1004" w:hanging="360"/>
      </w:pPr>
      <w:rPr>
        <w:rFonts w:ascii="Symbol" w:hAnsi="Symbol" w:hint="default"/>
        <w:color w:val="auto"/>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119">
    <w:nsid w:val="180B1C68"/>
    <w:multiLevelType w:val="hybridMultilevel"/>
    <w:tmpl w:val="DB70E58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0">
    <w:nsid w:val="182A3E68"/>
    <w:multiLevelType w:val="hybridMultilevel"/>
    <w:tmpl w:val="5E984CEC"/>
    <w:lvl w:ilvl="0" w:tplc="2D4E746A">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121">
    <w:nsid w:val="183E2FFE"/>
    <w:multiLevelType w:val="hybridMultilevel"/>
    <w:tmpl w:val="F5E4B5FE"/>
    <w:lvl w:ilvl="0" w:tplc="04160001">
      <w:start w:val="1"/>
      <w:numFmt w:val="decimal"/>
      <w:lvlText w:val="%1."/>
      <w:lvlJc w:val="left"/>
      <w:pPr>
        <w:ind w:left="1494" w:hanging="360"/>
      </w:pPr>
      <w:rPr>
        <w:rFonts w:hint="default"/>
      </w:rPr>
    </w:lvl>
    <w:lvl w:ilvl="1" w:tplc="04160003" w:tentative="1">
      <w:start w:val="1"/>
      <w:numFmt w:val="lowerLetter"/>
      <w:lvlText w:val="%2."/>
      <w:lvlJc w:val="left"/>
      <w:pPr>
        <w:ind w:left="2214" w:hanging="360"/>
      </w:pPr>
    </w:lvl>
    <w:lvl w:ilvl="2" w:tplc="04160005" w:tentative="1">
      <w:start w:val="1"/>
      <w:numFmt w:val="lowerRoman"/>
      <w:lvlText w:val="%3."/>
      <w:lvlJc w:val="right"/>
      <w:pPr>
        <w:ind w:left="2934" w:hanging="180"/>
      </w:pPr>
    </w:lvl>
    <w:lvl w:ilvl="3" w:tplc="04160001" w:tentative="1">
      <w:start w:val="1"/>
      <w:numFmt w:val="decimal"/>
      <w:lvlText w:val="%4."/>
      <w:lvlJc w:val="left"/>
      <w:pPr>
        <w:ind w:left="3654" w:hanging="360"/>
      </w:pPr>
    </w:lvl>
    <w:lvl w:ilvl="4" w:tplc="04160003" w:tentative="1">
      <w:start w:val="1"/>
      <w:numFmt w:val="lowerLetter"/>
      <w:lvlText w:val="%5."/>
      <w:lvlJc w:val="left"/>
      <w:pPr>
        <w:ind w:left="4374" w:hanging="360"/>
      </w:pPr>
    </w:lvl>
    <w:lvl w:ilvl="5" w:tplc="04160005" w:tentative="1">
      <w:start w:val="1"/>
      <w:numFmt w:val="lowerRoman"/>
      <w:lvlText w:val="%6."/>
      <w:lvlJc w:val="right"/>
      <w:pPr>
        <w:ind w:left="5094" w:hanging="180"/>
      </w:pPr>
    </w:lvl>
    <w:lvl w:ilvl="6" w:tplc="04160001" w:tentative="1">
      <w:start w:val="1"/>
      <w:numFmt w:val="decimal"/>
      <w:lvlText w:val="%7."/>
      <w:lvlJc w:val="left"/>
      <w:pPr>
        <w:ind w:left="5814" w:hanging="360"/>
      </w:pPr>
    </w:lvl>
    <w:lvl w:ilvl="7" w:tplc="04160003" w:tentative="1">
      <w:start w:val="1"/>
      <w:numFmt w:val="lowerLetter"/>
      <w:lvlText w:val="%8."/>
      <w:lvlJc w:val="left"/>
      <w:pPr>
        <w:ind w:left="6534" w:hanging="360"/>
      </w:pPr>
    </w:lvl>
    <w:lvl w:ilvl="8" w:tplc="04160005" w:tentative="1">
      <w:start w:val="1"/>
      <w:numFmt w:val="lowerRoman"/>
      <w:lvlText w:val="%9."/>
      <w:lvlJc w:val="right"/>
      <w:pPr>
        <w:ind w:left="7254" w:hanging="180"/>
      </w:pPr>
    </w:lvl>
  </w:abstractNum>
  <w:abstractNum w:abstractNumId="122">
    <w:nsid w:val="184E2353"/>
    <w:multiLevelType w:val="hybridMultilevel"/>
    <w:tmpl w:val="A3544156"/>
    <w:lvl w:ilvl="0" w:tplc="E6ACF2D0">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23">
    <w:nsid w:val="18510B7C"/>
    <w:multiLevelType w:val="multilevel"/>
    <w:tmpl w:val="AE7EA66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nsid w:val="18941206"/>
    <w:multiLevelType w:val="hybridMultilevel"/>
    <w:tmpl w:val="46B86842"/>
    <w:lvl w:ilvl="0" w:tplc="0A98C240">
      <w:start w:val="1"/>
      <w:numFmt w:val="bullet"/>
      <w:lvlText w:val=""/>
      <w:lvlJc w:val="left"/>
      <w:pPr>
        <w:ind w:left="360" w:hanging="360"/>
      </w:pPr>
      <w:rPr>
        <w:rFonts w:ascii="Symbol" w:hAnsi="Symbol" w:hint="default"/>
      </w:rPr>
    </w:lvl>
    <w:lvl w:ilvl="1" w:tplc="934E988C" w:tentative="1">
      <w:start w:val="1"/>
      <w:numFmt w:val="bullet"/>
      <w:lvlText w:val="o"/>
      <w:lvlJc w:val="left"/>
      <w:pPr>
        <w:ind w:left="1080" w:hanging="360"/>
      </w:pPr>
      <w:rPr>
        <w:rFonts w:ascii="Courier New" w:hAnsi="Courier New" w:cs="Courier New" w:hint="default"/>
      </w:rPr>
    </w:lvl>
    <w:lvl w:ilvl="2" w:tplc="D606359A" w:tentative="1">
      <w:start w:val="1"/>
      <w:numFmt w:val="bullet"/>
      <w:lvlText w:val=""/>
      <w:lvlJc w:val="left"/>
      <w:pPr>
        <w:ind w:left="1800" w:hanging="360"/>
      </w:pPr>
      <w:rPr>
        <w:rFonts w:ascii="Wingdings" w:hAnsi="Wingdings" w:hint="default"/>
      </w:rPr>
    </w:lvl>
    <w:lvl w:ilvl="3" w:tplc="DABE3A32" w:tentative="1">
      <w:start w:val="1"/>
      <w:numFmt w:val="bullet"/>
      <w:lvlText w:val=""/>
      <w:lvlJc w:val="left"/>
      <w:pPr>
        <w:ind w:left="2520" w:hanging="360"/>
      </w:pPr>
      <w:rPr>
        <w:rFonts w:ascii="Symbol" w:hAnsi="Symbol" w:hint="default"/>
      </w:rPr>
    </w:lvl>
    <w:lvl w:ilvl="4" w:tplc="FE54A4BA" w:tentative="1">
      <w:start w:val="1"/>
      <w:numFmt w:val="bullet"/>
      <w:lvlText w:val="o"/>
      <w:lvlJc w:val="left"/>
      <w:pPr>
        <w:ind w:left="3240" w:hanging="360"/>
      </w:pPr>
      <w:rPr>
        <w:rFonts w:ascii="Courier New" w:hAnsi="Courier New" w:cs="Courier New" w:hint="default"/>
      </w:rPr>
    </w:lvl>
    <w:lvl w:ilvl="5" w:tplc="FCCCB840" w:tentative="1">
      <w:start w:val="1"/>
      <w:numFmt w:val="bullet"/>
      <w:lvlText w:val=""/>
      <w:lvlJc w:val="left"/>
      <w:pPr>
        <w:ind w:left="3960" w:hanging="360"/>
      </w:pPr>
      <w:rPr>
        <w:rFonts w:ascii="Wingdings" w:hAnsi="Wingdings" w:hint="default"/>
      </w:rPr>
    </w:lvl>
    <w:lvl w:ilvl="6" w:tplc="E096866A" w:tentative="1">
      <w:start w:val="1"/>
      <w:numFmt w:val="bullet"/>
      <w:lvlText w:val=""/>
      <w:lvlJc w:val="left"/>
      <w:pPr>
        <w:ind w:left="4680" w:hanging="360"/>
      </w:pPr>
      <w:rPr>
        <w:rFonts w:ascii="Symbol" w:hAnsi="Symbol" w:hint="default"/>
      </w:rPr>
    </w:lvl>
    <w:lvl w:ilvl="7" w:tplc="10B66600" w:tentative="1">
      <w:start w:val="1"/>
      <w:numFmt w:val="bullet"/>
      <w:lvlText w:val="o"/>
      <w:lvlJc w:val="left"/>
      <w:pPr>
        <w:ind w:left="5400" w:hanging="360"/>
      </w:pPr>
      <w:rPr>
        <w:rFonts w:ascii="Courier New" w:hAnsi="Courier New" w:cs="Courier New" w:hint="default"/>
      </w:rPr>
    </w:lvl>
    <w:lvl w:ilvl="8" w:tplc="8E4EB894" w:tentative="1">
      <w:start w:val="1"/>
      <w:numFmt w:val="bullet"/>
      <w:lvlText w:val=""/>
      <w:lvlJc w:val="left"/>
      <w:pPr>
        <w:ind w:left="6120" w:hanging="360"/>
      </w:pPr>
      <w:rPr>
        <w:rFonts w:ascii="Wingdings" w:hAnsi="Wingdings" w:hint="default"/>
      </w:rPr>
    </w:lvl>
  </w:abstractNum>
  <w:abstractNum w:abstractNumId="125">
    <w:nsid w:val="18ED76AA"/>
    <w:multiLevelType w:val="hybridMultilevel"/>
    <w:tmpl w:val="504E3A26"/>
    <w:lvl w:ilvl="0" w:tplc="04160001">
      <w:start w:val="1"/>
      <w:numFmt w:val="bullet"/>
      <w:lvlText w:val="•"/>
      <w:lvlJc w:val="left"/>
      <w:pPr>
        <w:tabs>
          <w:tab w:val="num" w:pos="720"/>
        </w:tabs>
        <w:ind w:left="720" w:hanging="360"/>
      </w:pPr>
      <w:rPr>
        <w:rFonts w:ascii="Arial" w:hAnsi="Arial" w:hint="default"/>
      </w:rPr>
    </w:lvl>
    <w:lvl w:ilvl="1" w:tplc="04160019" w:tentative="1">
      <w:start w:val="1"/>
      <w:numFmt w:val="bullet"/>
      <w:lvlText w:val="•"/>
      <w:lvlJc w:val="left"/>
      <w:pPr>
        <w:tabs>
          <w:tab w:val="num" w:pos="1440"/>
        </w:tabs>
        <w:ind w:left="1440" w:hanging="360"/>
      </w:pPr>
      <w:rPr>
        <w:rFonts w:ascii="Arial" w:hAnsi="Arial" w:hint="default"/>
      </w:rPr>
    </w:lvl>
    <w:lvl w:ilvl="2" w:tplc="0416001B" w:tentative="1">
      <w:start w:val="1"/>
      <w:numFmt w:val="bullet"/>
      <w:lvlText w:val="•"/>
      <w:lvlJc w:val="left"/>
      <w:pPr>
        <w:tabs>
          <w:tab w:val="num" w:pos="2160"/>
        </w:tabs>
        <w:ind w:left="2160" w:hanging="360"/>
      </w:pPr>
      <w:rPr>
        <w:rFonts w:ascii="Arial" w:hAnsi="Arial" w:hint="default"/>
      </w:rPr>
    </w:lvl>
    <w:lvl w:ilvl="3" w:tplc="0416000F" w:tentative="1">
      <w:start w:val="1"/>
      <w:numFmt w:val="bullet"/>
      <w:lvlText w:val="•"/>
      <w:lvlJc w:val="left"/>
      <w:pPr>
        <w:tabs>
          <w:tab w:val="num" w:pos="2880"/>
        </w:tabs>
        <w:ind w:left="2880" w:hanging="360"/>
      </w:pPr>
      <w:rPr>
        <w:rFonts w:ascii="Arial" w:hAnsi="Arial" w:hint="default"/>
      </w:rPr>
    </w:lvl>
    <w:lvl w:ilvl="4" w:tplc="04160019" w:tentative="1">
      <w:start w:val="1"/>
      <w:numFmt w:val="bullet"/>
      <w:lvlText w:val="•"/>
      <w:lvlJc w:val="left"/>
      <w:pPr>
        <w:tabs>
          <w:tab w:val="num" w:pos="3600"/>
        </w:tabs>
        <w:ind w:left="3600" w:hanging="360"/>
      </w:pPr>
      <w:rPr>
        <w:rFonts w:ascii="Arial" w:hAnsi="Arial" w:hint="default"/>
      </w:rPr>
    </w:lvl>
    <w:lvl w:ilvl="5" w:tplc="0416001B" w:tentative="1">
      <w:start w:val="1"/>
      <w:numFmt w:val="bullet"/>
      <w:lvlText w:val="•"/>
      <w:lvlJc w:val="left"/>
      <w:pPr>
        <w:tabs>
          <w:tab w:val="num" w:pos="4320"/>
        </w:tabs>
        <w:ind w:left="4320" w:hanging="360"/>
      </w:pPr>
      <w:rPr>
        <w:rFonts w:ascii="Arial" w:hAnsi="Arial" w:hint="default"/>
      </w:rPr>
    </w:lvl>
    <w:lvl w:ilvl="6" w:tplc="0416000F" w:tentative="1">
      <w:start w:val="1"/>
      <w:numFmt w:val="bullet"/>
      <w:lvlText w:val="•"/>
      <w:lvlJc w:val="left"/>
      <w:pPr>
        <w:tabs>
          <w:tab w:val="num" w:pos="5040"/>
        </w:tabs>
        <w:ind w:left="5040" w:hanging="360"/>
      </w:pPr>
      <w:rPr>
        <w:rFonts w:ascii="Arial" w:hAnsi="Arial" w:hint="default"/>
      </w:rPr>
    </w:lvl>
    <w:lvl w:ilvl="7" w:tplc="04160019" w:tentative="1">
      <w:start w:val="1"/>
      <w:numFmt w:val="bullet"/>
      <w:lvlText w:val="•"/>
      <w:lvlJc w:val="left"/>
      <w:pPr>
        <w:tabs>
          <w:tab w:val="num" w:pos="5760"/>
        </w:tabs>
        <w:ind w:left="5760" w:hanging="360"/>
      </w:pPr>
      <w:rPr>
        <w:rFonts w:ascii="Arial" w:hAnsi="Arial" w:hint="default"/>
      </w:rPr>
    </w:lvl>
    <w:lvl w:ilvl="8" w:tplc="0416001B" w:tentative="1">
      <w:start w:val="1"/>
      <w:numFmt w:val="bullet"/>
      <w:lvlText w:val="•"/>
      <w:lvlJc w:val="left"/>
      <w:pPr>
        <w:tabs>
          <w:tab w:val="num" w:pos="6480"/>
        </w:tabs>
        <w:ind w:left="6480" w:hanging="360"/>
      </w:pPr>
      <w:rPr>
        <w:rFonts w:ascii="Arial" w:hAnsi="Arial" w:hint="default"/>
      </w:rPr>
    </w:lvl>
  </w:abstractNum>
  <w:abstractNum w:abstractNumId="126">
    <w:nsid w:val="19045261"/>
    <w:multiLevelType w:val="hybridMultilevel"/>
    <w:tmpl w:val="A3C685D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7">
    <w:nsid w:val="19784A70"/>
    <w:multiLevelType w:val="hybridMultilevel"/>
    <w:tmpl w:val="E8D84EFA"/>
    <w:lvl w:ilvl="0" w:tplc="04160001">
      <w:start w:val="1"/>
      <w:numFmt w:val="bullet"/>
      <w:lvlText w:val=""/>
      <w:lvlJc w:val="left"/>
      <w:pPr>
        <w:tabs>
          <w:tab w:val="num" w:pos="1854"/>
        </w:tabs>
        <w:ind w:left="1854" w:hanging="360"/>
      </w:pPr>
      <w:rPr>
        <w:rFonts w:ascii="Symbol" w:hAnsi="Symbol" w:hint="default"/>
        <w:b/>
        <w:color w:val="auto"/>
      </w:rPr>
    </w:lvl>
    <w:lvl w:ilvl="1" w:tplc="04160003" w:tentative="1">
      <w:start w:val="1"/>
      <w:numFmt w:val="bullet"/>
      <w:lvlText w:val="o"/>
      <w:lvlJc w:val="left"/>
      <w:pPr>
        <w:tabs>
          <w:tab w:val="num" w:pos="2574"/>
        </w:tabs>
        <w:ind w:left="2574" w:hanging="360"/>
      </w:pPr>
      <w:rPr>
        <w:rFonts w:ascii="Courier New" w:hAnsi="Courier New" w:cs="Courier New" w:hint="default"/>
      </w:rPr>
    </w:lvl>
    <w:lvl w:ilvl="2" w:tplc="04160005" w:tentative="1">
      <w:start w:val="1"/>
      <w:numFmt w:val="bullet"/>
      <w:lvlText w:val=""/>
      <w:lvlJc w:val="left"/>
      <w:pPr>
        <w:tabs>
          <w:tab w:val="num" w:pos="3294"/>
        </w:tabs>
        <w:ind w:left="3294" w:hanging="360"/>
      </w:pPr>
      <w:rPr>
        <w:rFonts w:ascii="Wingdings" w:hAnsi="Wingdings" w:hint="default"/>
      </w:rPr>
    </w:lvl>
    <w:lvl w:ilvl="3" w:tplc="04160001" w:tentative="1">
      <w:start w:val="1"/>
      <w:numFmt w:val="bullet"/>
      <w:lvlText w:val=""/>
      <w:lvlJc w:val="left"/>
      <w:pPr>
        <w:tabs>
          <w:tab w:val="num" w:pos="4014"/>
        </w:tabs>
        <w:ind w:left="4014" w:hanging="360"/>
      </w:pPr>
      <w:rPr>
        <w:rFonts w:ascii="Symbol" w:hAnsi="Symbol" w:hint="default"/>
      </w:rPr>
    </w:lvl>
    <w:lvl w:ilvl="4" w:tplc="04160003" w:tentative="1">
      <w:start w:val="1"/>
      <w:numFmt w:val="bullet"/>
      <w:lvlText w:val="o"/>
      <w:lvlJc w:val="left"/>
      <w:pPr>
        <w:tabs>
          <w:tab w:val="num" w:pos="4734"/>
        </w:tabs>
        <w:ind w:left="4734" w:hanging="360"/>
      </w:pPr>
      <w:rPr>
        <w:rFonts w:ascii="Courier New" w:hAnsi="Courier New" w:cs="Courier New" w:hint="default"/>
      </w:rPr>
    </w:lvl>
    <w:lvl w:ilvl="5" w:tplc="04160005" w:tentative="1">
      <w:start w:val="1"/>
      <w:numFmt w:val="bullet"/>
      <w:lvlText w:val=""/>
      <w:lvlJc w:val="left"/>
      <w:pPr>
        <w:tabs>
          <w:tab w:val="num" w:pos="5454"/>
        </w:tabs>
        <w:ind w:left="5454" w:hanging="360"/>
      </w:pPr>
      <w:rPr>
        <w:rFonts w:ascii="Wingdings" w:hAnsi="Wingdings" w:hint="default"/>
      </w:rPr>
    </w:lvl>
    <w:lvl w:ilvl="6" w:tplc="04160001" w:tentative="1">
      <w:start w:val="1"/>
      <w:numFmt w:val="bullet"/>
      <w:lvlText w:val=""/>
      <w:lvlJc w:val="left"/>
      <w:pPr>
        <w:tabs>
          <w:tab w:val="num" w:pos="6174"/>
        </w:tabs>
        <w:ind w:left="6174" w:hanging="360"/>
      </w:pPr>
      <w:rPr>
        <w:rFonts w:ascii="Symbol" w:hAnsi="Symbol" w:hint="default"/>
      </w:rPr>
    </w:lvl>
    <w:lvl w:ilvl="7" w:tplc="04160003" w:tentative="1">
      <w:start w:val="1"/>
      <w:numFmt w:val="bullet"/>
      <w:lvlText w:val="o"/>
      <w:lvlJc w:val="left"/>
      <w:pPr>
        <w:tabs>
          <w:tab w:val="num" w:pos="6894"/>
        </w:tabs>
        <w:ind w:left="6894" w:hanging="360"/>
      </w:pPr>
      <w:rPr>
        <w:rFonts w:ascii="Courier New" w:hAnsi="Courier New" w:cs="Courier New" w:hint="default"/>
      </w:rPr>
    </w:lvl>
    <w:lvl w:ilvl="8" w:tplc="04160005" w:tentative="1">
      <w:start w:val="1"/>
      <w:numFmt w:val="bullet"/>
      <w:lvlText w:val=""/>
      <w:lvlJc w:val="left"/>
      <w:pPr>
        <w:tabs>
          <w:tab w:val="num" w:pos="7614"/>
        </w:tabs>
        <w:ind w:left="7614" w:hanging="360"/>
      </w:pPr>
      <w:rPr>
        <w:rFonts w:ascii="Wingdings" w:hAnsi="Wingdings" w:hint="default"/>
      </w:rPr>
    </w:lvl>
  </w:abstractNum>
  <w:abstractNum w:abstractNumId="128">
    <w:nsid w:val="19C02282"/>
    <w:multiLevelType w:val="hybridMultilevel"/>
    <w:tmpl w:val="FB1AC724"/>
    <w:lvl w:ilvl="0" w:tplc="04160001">
      <w:start w:val="1"/>
      <w:numFmt w:val="bullet"/>
      <w:lvlText w:val=""/>
      <w:lvlJc w:val="left"/>
      <w:pPr>
        <w:ind w:left="1830" w:hanging="360"/>
      </w:pPr>
      <w:rPr>
        <w:rFonts w:ascii="Symbol" w:hAnsi="Symbol" w:hint="default"/>
      </w:rPr>
    </w:lvl>
    <w:lvl w:ilvl="1" w:tplc="04160003" w:tentative="1">
      <w:start w:val="1"/>
      <w:numFmt w:val="bullet"/>
      <w:lvlText w:val="o"/>
      <w:lvlJc w:val="left"/>
      <w:pPr>
        <w:ind w:left="2550" w:hanging="360"/>
      </w:pPr>
      <w:rPr>
        <w:rFonts w:ascii="Courier New" w:hAnsi="Courier New" w:cs="Courier New" w:hint="default"/>
      </w:rPr>
    </w:lvl>
    <w:lvl w:ilvl="2" w:tplc="04160005" w:tentative="1">
      <w:start w:val="1"/>
      <w:numFmt w:val="bullet"/>
      <w:lvlText w:val=""/>
      <w:lvlJc w:val="left"/>
      <w:pPr>
        <w:ind w:left="3270" w:hanging="360"/>
      </w:pPr>
      <w:rPr>
        <w:rFonts w:ascii="Wingdings" w:hAnsi="Wingdings" w:hint="default"/>
      </w:rPr>
    </w:lvl>
    <w:lvl w:ilvl="3" w:tplc="04160001" w:tentative="1">
      <w:start w:val="1"/>
      <w:numFmt w:val="bullet"/>
      <w:lvlText w:val=""/>
      <w:lvlJc w:val="left"/>
      <w:pPr>
        <w:ind w:left="3990" w:hanging="360"/>
      </w:pPr>
      <w:rPr>
        <w:rFonts w:ascii="Symbol" w:hAnsi="Symbol" w:hint="default"/>
      </w:rPr>
    </w:lvl>
    <w:lvl w:ilvl="4" w:tplc="04160003" w:tentative="1">
      <w:start w:val="1"/>
      <w:numFmt w:val="bullet"/>
      <w:lvlText w:val="o"/>
      <w:lvlJc w:val="left"/>
      <w:pPr>
        <w:ind w:left="4710" w:hanging="360"/>
      </w:pPr>
      <w:rPr>
        <w:rFonts w:ascii="Courier New" w:hAnsi="Courier New" w:cs="Courier New" w:hint="default"/>
      </w:rPr>
    </w:lvl>
    <w:lvl w:ilvl="5" w:tplc="04160005" w:tentative="1">
      <w:start w:val="1"/>
      <w:numFmt w:val="bullet"/>
      <w:lvlText w:val=""/>
      <w:lvlJc w:val="left"/>
      <w:pPr>
        <w:ind w:left="5430" w:hanging="360"/>
      </w:pPr>
      <w:rPr>
        <w:rFonts w:ascii="Wingdings" w:hAnsi="Wingdings" w:hint="default"/>
      </w:rPr>
    </w:lvl>
    <w:lvl w:ilvl="6" w:tplc="04160001" w:tentative="1">
      <w:start w:val="1"/>
      <w:numFmt w:val="bullet"/>
      <w:lvlText w:val=""/>
      <w:lvlJc w:val="left"/>
      <w:pPr>
        <w:ind w:left="6150" w:hanging="360"/>
      </w:pPr>
      <w:rPr>
        <w:rFonts w:ascii="Symbol" w:hAnsi="Symbol" w:hint="default"/>
      </w:rPr>
    </w:lvl>
    <w:lvl w:ilvl="7" w:tplc="04160003" w:tentative="1">
      <w:start w:val="1"/>
      <w:numFmt w:val="bullet"/>
      <w:lvlText w:val="o"/>
      <w:lvlJc w:val="left"/>
      <w:pPr>
        <w:ind w:left="6870" w:hanging="360"/>
      </w:pPr>
      <w:rPr>
        <w:rFonts w:ascii="Courier New" w:hAnsi="Courier New" w:cs="Courier New" w:hint="default"/>
      </w:rPr>
    </w:lvl>
    <w:lvl w:ilvl="8" w:tplc="04160005" w:tentative="1">
      <w:start w:val="1"/>
      <w:numFmt w:val="bullet"/>
      <w:lvlText w:val=""/>
      <w:lvlJc w:val="left"/>
      <w:pPr>
        <w:ind w:left="7590" w:hanging="360"/>
      </w:pPr>
      <w:rPr>
        <w:rFonts w:ascii="Wingdings" w:hAnsi="Wingdings" w:hint="default"/>
      </w:rPr>
    </w:lvl>
  </w:abstractNum>
  <w:abstractNum w:abstractNumId="129">
    <w:nsid w:val="1A7A7A0E"/>
    <w:multiLevelType w:val="hybridMultilevel"/>
    <w:tmpl w:val="CAD6269C"/>
    <w:lvl w:ilvl="0" w:tplc="CE0C370A">
      <w:start w:val="888"/>
      <w:numFmt w:val="bullet"/>
      <w:lvlText w:val=""/>
      <w:lvlJc w:val="left"/>
      <w:pPr>
        <w:ind w:left="720" w:hanging="360"/>
      </w:pPr>
      <w:rPr>
        <w:rFonts w:ascii="Symbol" w:eastAsia="Calibri"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0">
    <w:nsid w:val="1ABF3B4C"/>
    <w:multiLevelType w:val="hybridMultilevel"/>
    <w:tmpl w:val="15246C32"/>
    <w:lvl w:ilvl="0" w:tplc="04160001">
      <w:start w:val="1"/>
      <w:numFmt w:val="decimal"/>
      <w:lvlText w:val="%1."/>
      <w:lvlJc w:val="left"/>
      <w:pPr>
        <w:tabs>
          <w:tab w:val="num" w:pos="644"/>
        </w:tabs>
        <w:ind w:left="644" w:hanging="360"/>
      </w:pPr>
    </w:lvl>
    <w:lvl w:ilvl="1" w:tplc="04160003" w:tentative="1">
      <w:start w:val="1"/>
      <w:numFmt w:val="lowerLetter"/>
      <w:lvlText w:val="%2."/>
      <w:lvlJc w:val="left"/>
      <w:pPr>
        <w:tabs>
          <w:tab w:val="num" w:pos="1364"/>
        </w:tabs>
        <w:ind w:left="1364" w:hanging="360"/>
      </w:pPr>
    </w:lvl>
    <w:lvl w:ilvl="2" w:tplc="04160005" w:tentative="1">
      <w:start w:val="1"/>
      <w:numFmt w:val="lowerRoman"/>
      <w:lvlText w:val="%3."/>
      <w:lvlJc w:val="right"/>
      <w:pPr>
        <w:tabs>
          <w:tab w:val="num" w:pos="2084"/>
        </w:tabs>
        <w:ind w:left="2084" w:hanging="180"/>
      </w:pPr>
    </w:lvl>
    <w:lvl w:ilvl="3" w:tplc="04160001" w:tentative="1">
      <w:start w:val="1"/>
      <w:numFmt w:val="decimal"/>
      <w:lvlText w:val="%4."/>
      <w:lvlJc w:val="left"/>
      <w:pPr>
        <w:tabs>
          <w:tab w:val="num" w:pos="2804"/>
        </w:tabs>
        <w:ind w:left="2804" w:hanging="360"/>
      </w:pPr>
    </w:lvl>
    <w:lvl w:ilvl="4" w:tplc="04160003" w:tentative="1">
      <w:start w:val="1"/>
      <w:numFmt w:val="lowerLetter"/>
      <w:lvlText w:val="%5."/>
      <w:lvlJc w:val="left"/>
      <w:pPr>
        <w:tabs>
          <w:tab w:val="num" w:pos="3524"/>
        </w:tabs>
        <w:ind w:left="3524" w:hanging="360"/>
      </w:pPr>
    </w:lvl>
    <w:lvl w:ilvl="5" w:tplc="04160005" w:tentative="1">
      <w:start w:val="1"/>
      <w:numFmt w:val="lowerRoman"/>
      <w:lvlText w:val="%6."/>
      <w:lvlJc w:val="right"/>
      <w:pPr>
        <w:tabs>
          <w:tab w:val="num" w:pos="4244"/>
        </w:tabs>
        <w:ind w:left="4244" w:hanging="180"/>
      </w:pPr>
    </w:lvl>
    <w:lvl w:ilvl="6" w:tplc="04160001" w:tentative="1">
      <w:start w:val="1"/>
      <w:numFmt w:val="decimal"/>
      <w:lvlText w:val="%7."/>
      <w:lvlJc w:val="left"/>
      <w:pPr>
        <w:tabs>
          <w:tab w:val="num" w:pos="4964"/>
        </w:tabs>
        <w:ind w:left="4964" w:hanging="360"/>
      </w:pPr>
    </w:lvl>
    <w:lvl w:ilvl="7" w:tplc="04160003" w:tentative="1">
      <w:start w:val="1"/>
      <w:numFmt w:val="lowerLetter"/>
      <w:lvlText w:val="%8."/>
      <w:lvlJc w:val="left"/>
      <w:pPr>
        <w:tabs>
          <w:tab w:val="num" w:pos="5684"/>
        </w:tabs>
        <w:ind w:left="5684" w:hanging="360"/>
      </w:pPr>
    </w:lvl>
    <w:lvl w:ilvl="8" w:tplc="04160005" w:tentative="1">
      <w:start w:val="1"/>
      <w:numFmt w:val="lowerRoman"/>
      <w:lvlText w:val="%9."/>
      <w:lvlJc w:val="right"/>
      <w:pPr>
        <w:tabs>
          <w:tab w:val="num" w:pos="6404"/>
        </w:tabs>
        <w:ind w:left="6404" w:hanging="180"/>
      </w:pPr>
    </w:lvl>
  </w:abstractNum>
  <w:abstractNum w:abstractNumId="131">
    <w:nsid w:val="1AD93E78"/>
    <w:multiLevelType w:val="hybridMultilevel"/>
    <w:tmpl w:val="2D707D56"/>
    <w:lvl w:ilvl="0" w:tplc="04160001">
      <w:start w:val="1"/>
      <w:numFmt w:val="bullet"/>
      <w:pStyle w:val="item"/>
      <w:lvlText w:val=""/>
      <w:lvlJc w:val="left"/>
      <w:pPr>
        <w:tabs>
          <w:tab w:val="num" w:pos="1830"/>
        </w:tabs>
        <w:ind w:left="1830" w:hanging="360"/>
      </w:pPr>
      <w:rPr>
        <w:rFonts w:ascii="Symbol" w:hAnsi="Symbol" w:hint="default"/>
      </w:rPr>
    </w:lvl>
    <w:lvl w:ilvl="1" w:tplc="04160003">
      <w:start w:val="1"/>
      <w:numFmt w:val="bullet"/>
      <w:lvlText w:val=""/>
      <w:lvlJc w:val="left"/>
      <w:pPr>
        <w:tabs>
          <w:tab w:val="num" w:pos="2550"/>
        </w:tabs>
        <w:ind w:left="2550" w:hanging="360"/>
      </w:pPr>
      <w:rPr>
        <w:rFonts w:ascii="Symbol" w:hAnsi="Symbol" w:hint="default"/>
      </w:rPr>
    </w:lvl>
    <w:lvl w:ilvl="2" w:tplc="04160005" w:tentative="1">
      <w:start w:val="1"/>
      <w:numFmt w:val="bullet"/>
      <w:lvlText w:val=""/>
      <w:lvlJc w:val="left"/>
      <w:pPr>
        <w:tabs>
          <w:tab w:val="num" w:pos="3270"/>
        </w:tabs>
        <w:ind w:left="3270" w:hanging="360"/>
      </w:pPr>
      <w:rPr>
        <w:rFonts w:ascii="Wingdings" w:hAnsi="Wingdings" w:hint="default"/>
      </w:rPr>
    </w:lvl>
    <w:lvl w:ilvl="3" w:tplc="04160001" w:tentative="1">
      <w:start w:val="1"/>
      <w:numFmt w:val="bullet"/>
      <w:lvlText w:val=""/>
      <w:lvlJc w:val="left"/>
      <w:pPr>
        <w:tabs>
          <w:tab w:val="num" w:pos="3990"/>
        </w:tabs>
        <w:ind w:left="3990" w:hanging="360"/>
      </w:pPr>
      <w:rPr>
        <w:rFonts w:ascii="Symbol" w:hAnsi="Symbol" w:hint="default"/>
      </w:rPr>
    </w:lvl>
    <w:lvl w:ilvl="4" w:tplc="04160003" w:tentative="1">
      <w:start w:val="1"/>
      <w:numFmt w:val="bullet"/>
      <w:lvlText w:val="o"/>
      <w:lvlJc w:val="left"/>
      <w:pPr>
        <w:tabs>
          <w:tab w:val="num" w:pos="4710"/>
        </w:tabs>
        <w:ind w:left="4710" w:hanging="360"/>
      </w:pPr>
      <w:rPr>
        <w:rFonts w:ascii="Courier New" w:hAnsi="Courier New" w:hint="default"/>
      </w:rPr>
    </w:lvl>
    <w:lvl w:ilvl="5" w:tplc="04160005" w:tentative="1">
      <w:start w:val="1"/>
      <w:numFmt w:val="bullet"/>
      <w:lvlText w:val=""/>
      <w:lvlJc w:val="left"/>
      <w:pPr>
        <w:tabs>
          <w:tab w:val="num" w:pos="5430"/>
        </w:tabs>
        <w:ind w:left="5430" w:hanging="360"/>
      </w:pPr>
      <w:rPr>
        <w:rFonts w:ascii="Wingdings" w:hAnsi="Wingdings" w:hint="default"/>
      </w:rPr>
    </w:lvl>
    <w:lvl w:ilvl="6" w:tplc="04160001" w:tentative="1">
      <w:start w:val="1"/>
      <w:numFmt w:val="bullet"/>
      <w:lvlText w:val=""/>
      <w:lvlJc w:val="left"/>
      <w:pPr>
        <w:tabs>
          <w:tab w:val="num" w:pos="6150"/>
        </w:tabs>
        <w:ind w:left="6150" w:hanging="360"/>
      </w:pPr>
      <w:rPr>
        <w:rFonts w:ascii="Symbol" w:hAnsi="Symbol" w:hint="default"/>
      </w:rPr>
    </w:lvl>
    <w:lvl w:ilvl="7" w:tplc="04160003" w:tentative="1">
      <w:start w:val="1"/>
      <w:numFmt w:val="bullet"/>
      <w:lvlText w:val="o"/>
      <w:lvlJc w:val="left"/>
      <w:pPr>
        <w:tabs>
          <w:tab w:val="num" w:pos="6870"/>
        </w:tabs>
        <w:ind w:left="6870" w:hanging="360"/>
      </w:pPr>
      <w:rPr>
        <w:rFonts w:ascii="Courier New" w:hAnsi="Courier New" w:hint="default"/>
      </w:rPr>
    </w:lvl>
    <w:lvl w:ilvl="8" w:tplc="04160005" w:tentative="1">
      <w:start w:val="1"/>
      <w:numFmt w:val="bullet"/>
      <w:lvlText w:val=""/>
      <w:lvlJc w:val="left"/>
      <w:pPr>
        <w:tabs>
          <w:tab w:val="num" w:pos="7590"/>
        </w:tabs>
        <w:ind w:left="7590" w:hanging="360"/>
      </w:pPr>
      <w:rPr>
        <w:rFonts w:ascii="Wingdings" w:hAnsi="Wingdings" w:hint="default"/>
      </w:rPr>
    </w:lvl>
  </w:abstractNum>
  <w:abstractNum w:abstractNumId="132">
    <w:nsid w:val="1ADA4473"/>
    <w:multiLevelType w:val="hybridMultilevel"/>
    <w:tmpl w:val="C958D976"/>
    <w:lvl w:ilvl="0" w:tplc="0416000F">
      <w:start w:val="1"/>
      <w:numFmt w:val="bullet"/>
      <w:lvlText w:val=""/>
      <w:lvlJc w:val="left"/>
      <w:pPr>
        <w:ind w:left="1854" w:hanging="360"/>
      </w:pPr>
      <w:rPr>
        <w:rFonts w:ascii="Symbol" w:hAnsi="Symbol" w:hint="default"/>
      </w:rPr>
    </w:lvl>
    <w:lvl w:ilvl="1" w:tplc="04160019" w:tentative="1">
      <w:start w:val="1"/>
      <w:numFmt w:val="bullet"/>
      <w:lvlText w:val="o"/>
      <w:lvlJc w:val="left"/>
      <w:pPr>
        <w:ind w:left="2574" w:hanging="360"/>
      </w:pPr>
      <w:rPr>
        <w:rFonts w:ascii="Courier New" w:hAnsi="Courier New" w:cs="Courier New" w:hint="default"/>
      </w:rPr>
    </w:lvl>
    <w:lvl w:ilvl="2" w:tplc="0416001B" w:tentative="1">
      <w:start w:val="1"/>
      <w:numFmt w:val="bullet"/>
      <w:lvlText w:val=""/>
      <w:lvlJc w:val="left"/>
      <w:pPr>
        <w:ind w:left="3294" w:hanging="360"/>
      </w:pPr>
      <w:rPr>
        <w:rFonts w:ascii="Wingdings" w:hAnsi="Wingdings" w:hint="default"/>
      </w:rPr>
    </w:lvl>
    <w:lvl w:ilvl="3" w:tplc="0416000F" w:tentative="1">
      <w:start w:val="1"/>
      <w:numFmt w:val="bullet"/>
      <w:lvlText w:val=""/>
      <w:lvlJc w:val="left"/>
      <w:pPr>
        <w:ind w:left="4014" w:hanging="360"/>
      </w:pPr>
      <w:rPr>
        <w:rFonts w:ascii="Symbol" w:hAnsi="Symbol" w:hint="default"/>
      </w:rPr>
    </w:lvl>
    <w:lvl w:ilvl="4" w:tplc="04160019" w:tentative="1">
      <w:start w:val="1"/>
      <w:numFmt w:val="bullet"/>
      <w:lvlText w:val="o"/>
      <w:lvlJc w:val="left"/>
      <w:pPr>
        <w:ind w:left="4734" w:hanging="360"/>
      </w:pPr>
      <w:rPr>
        <w:rFonts w:ascii="Courier New" w:hAnsi="Courier New" w:cs="Courier New" w:hint="default"/>
      </w:rPr>
    </w:lvl>
    <w:lvl w:ilvl="5" w:tplc="0416001B" w:tentative="1">
      <w:start w:val="1"/>
      <w:numFmt w:val="bullet"/>
      <w:lvlText w:val=""/>
      <w:lvlJc w:val="left"/>
      <w:pPr>
        <w:ind w:left="5454" w:hanging="360"/>
      </w:pPr>
      <w:rPr>
        <w:rFonts w:ascii="Wingdings" w:hAnsi="Wingdings" w:hint="default"/>
      </w:rPr>
    </w:lvl>
    <w:lvl w:ilvl="6" w:tplc="0416000F" w:tentative="1">
      <w:start w:val="1"/>
      <w:numFmt w:val="bullet"/>
      <w:lvlText w:val=""/>
      <w:lvlJc w:val="left"/>
      <w:pPr>
        <w:ind w:left="6174" w:hanging="360"/>
      </w:pPr>
      <w:rPr>
        <w:rFonts w:ascii="Symbol" w:hAnsi="Symbol" w:hint="default"/>
      </w:rPr>
    </w:lvl>
    <w:lvl w:ilvl="7" w:tplc="04160019" w:tentative="1">
      <w:start w:val="1"/>
      <w:numFmt w:val="bullet"/>
      <w:lvlText w:val="o"/>
      <w:lvlJc w:val="left"/>
      <w:pPr>
        <w:ind w:left="6894" w:hanging="360"/>
      </w:pPr>
      <w:rPr>
        <w:rFonts w:ascii="Courier New" w:hAnsi="Courier New" w:cs="Courier New" w:hint="default"/>
      </w:rPr>
    </w:lvl>
    <w:lvl w:ilvl="8" w:tplc="0416001B" w:tentative="1">
      <w:start w:val="1"/>
      <w:numFmt w:val="bullet"/>
      <w:lvlText w:val=""/>
      <w:lvlJc w:val="left"/>
      <w:pPr>
        <w:ind w:left="7614" w:hanging="360"/>
      </w:pPr>
      <w:rPr>
        <w:rFonts w:ascii="Wingdings" w:hAnsi="Wingdings" w:hint="default"/>
      </w:rPr>
    </w:lvl>
  </w:abstractNum>
  <w:abstractNum w:abstractNumId="133">
    <w:nsid w:val="1AF01A02"/>
    <w:multiLevelType w:val="hybridMultilevel"/>
    <w:tmpl w:val="470E3986"/>
    <w:lvl w:ilvl="0" w:tplc="220A5D1C">
      <w:start w:val="1"/>
      <w:numFmt w:val="decimal"/>
      <w:lvlText w:val="(%1)"/>
      <w:lvlJc w:val="left"/>
      <w:pPr>
        <w:ind w:left="435" w:hanging="360"/>
      </w:pPr>
      <w:rPr>
        <w:rFonts w:hint="default"/>
      </w:rPr>
    </w:lvl>
    <w:lvl w:ilvl="1" w:tplc="5C2EB7E8" w:tentative="1">
      <w:start w:val="1"/>
      <w:numFmt w:val="lowerLetter"/>
      <w:lvlText w:val="%2."/>
      <w:lvlJc w:val="left"/>
      <w:pPr>
        <w:ind w:left="1155" w:hanging="360"/>
      </w:pPr>
    </w:lvl>
    <w:lvl w:ilvl="2" w:tplc="D2C0AE04" w:tentative="1">
      <w:start w:val="1"/>
      <w:numFmt w:val="lowerRoman"/>
      <w:lvlText w:val="%3."/>
      <w:lvlJc w:val="right"/>
      <w:pPr>
        <w:ind w:left="1875" w:hanging="180"/>
      </w:pPr>
    </w:lvl>
    <w:lvl w:ilvl="3" w:tplc="7A8252D4" w:tentative="1">
      <w:start w:val="1"/>
      <w:numFmt w:val="decimal"/>
      <w:lvlText w:val="%4."/>
      <w:lvlJc w:val="left"/>
      <w:pPr>
        <w:ind w:left="2595" w:hanging="360"/>
      </w:pPr>
    </w:lvl>
    <w:lvl w:ilvl="4" w:tplc="15A249EE" w:tentative="1">
      <w:start w:val="1"/>
      <w:numFmt w:val="lowerLetter"/>
      <w:lvlText w:val="%5."/>
      <w:lvlJc w:val="left"/>
      <w:pPr>
        <w:ind w:left="3315" w:hanging="360"/>
      </w:pPr>
    </w:lvl>
    <w:lvl w:ilvl="5" w:tplc="96B89D94" w:tentative="1">
      <w:start w:val="1"/>
      <w:numFmt w:val="lowerRoman"/>
      <w:lvlText w:val="%6."/>
      <w:lvlJc w:val="right"/>
      <w:pPr>
        <w:ind w:left="4035" w:hanging="180"/>
      </w:pPr>
    </w:lvl>
    <w:lvl w:ilvl="6" w:tplc="E5CC5F44" w:tentative="1">
      <w:start w:val="1"/>
      <w:numFmt w:val="decimal"/>
      <w:lvlText w:val="%7."/>
      <w:lvlJc w:val="left"/>
      <w:pPr>
        <w:ind w:left="4755" w:hanging="360"/>
      </w:pPr>
    </w:lvl>
    <w:lvl w:ilvl="7" w:tplc="4A82BA84" w:tentative="1">
      <w:start w:val="1"/>
      <w:numFmt w:val="lowerLetter"/>
      <w:lvlText w:val="%8."/>
      <w:lvlJc w:val="left"/>
      <w:pPr>
        <w:ind w:left="5475" w:hanging="360"/>
      </w:pPr>
    </w:lvl>
    <w:lvl w:ilvl="8" w:tplc="0BAAB7A6" w:tentative="1">
      <w:start w:val="1"/>
      <w:numFmt w:val="lowerRoman"/>
      <w:lvlText w:val="%9."/>
      <w:lvlJc w:val="right"/>
      <w:pPr>
        <w:ind w:left="6195" w:hanging="180"/>
      </w:pPr>
    </w:lvl>
  </w:abstractNum>
  <w:abstractNum w:abstractNumId="134">
    <w:nsid w:val="1B314D52"/>
    <w:multiLevelType w:val="hybridMultilevel"/>
    <w:tmpl w:val="0728D42A"/>
    <w:lvl w:ilvl="0" w:tplc="C1660738">
      <w:start w:val="1"/>
      <w:numFmt w:val="bullet"/>
      <w:lvlText w:val=""/>
      <w:lvlJc w:val="left"/>
      <w:pPr>
        <w:ind w:left="720" w:hanging="360"/>
      </w:pPr>
      <w:rPr>
        <w:rFonts w:ascii="Symbol" w:hAnsi="Symbol" w:hint="default"/>
      </w:rPr>
    </w:lvl>
    <w:lvl w:ilvl="1" w:tplc="6226DE88" w:tentative="1">
      <w:start w:val="1"/>
      <w:numFmt w:val="bullet"/>
      <w:lvlText w:val="o"/>
      <w:lvlJc w:val="left"/>
      <w:pPr>
        <w:ind w:left="1440" w:hanging="360"/>
      </w:pPr>
      <w:rPr>
        <w:rFonts w:ascii="Courier New" w:hAnsi="Courier New" w:cs="Courier New" w:hint="default"/>
      </w:rPr>
    </w:lvl>
    <w:lvl w:ilvl="2" w:tplc="974E09BA" w:tentative="1">
      <w:start w:val="1"/>
      <w:numFmt w:val="bullet"/>
      <w:lvlText w:val=""/>
      <w:lvlJc w:val="left"/>
      <w:pPr>
        <w:ind w:left="2160" w:hanging="360"/>
      </w:pPr>
      <w:rPr>
        <w:rFonts w:ascii="Wingdings" w:hAnsi="Wingdings" w:hint="default"/>
      </w:rPr>
    </w:lvl>
    <w:lvl w:ilvl="3" w:tplc="95DA5A46" w:tentative="1">
      <w:start w:val="1"/>
      <w:numFmt w:val="bullet"/>
      <w:lvlText w:val=""/>
      <w:lvlJc w:val="left"/>
      <w:pPr>
        <w:ind w:left="2880" w:hanging="360"/>
      </w:pPr>
      <w:rPr>
        <w:rFonts w:ascii="Symbol" w:hAnsi="Symbol" w:hint="default"/>
      </w:rPr>
    </w:lvl>
    <w:lvl w:ilvl="4" w:tplc="CCA6878C" w:tentative="1">
      <w:start w:val="1"/>
      <w:numFmt w:val="bullet"/>
      <w:lvlText w:val="o"/>
      <w:lvlJc w:val="left"/>
      <w:pPr>
        <w:ind w:left="3600" w:hanging="360"/>
      </w:pPr>
      <w:rPr>
        <w:rFonts w:ascii="Courier New" w:hAnsi="Courier New" w:cs="Courier New" w:hint="default"/>
      </w:rPr>
    </w:lvl>
    <w:lvl w:ilvl="5" w:tplc="94FAA7A6" w:tentative="1">
      <w:start w:val="1"/>
      <w:numFmt w:val="bullet"/>
      <w:lvlText w:val=""/>
      <w:lvlJc w:val="left"/>
      <w:pPr>
        <w:ind w:left="4320" w:hanging="360"/>
      </w:pPr>
      <w:rPr>
        <w:rFonts w:ascii="Wingdings" w:hAnsi="Wingdings" w:hint="default"/>
      </w:rPr>
    </w:lvl>
    <w:lvl w:ilvl="6" w:tplc="0F5A7372" w:tentative="1">
      <w:start w:val="1"/>
      <w:numFmt w:val="bullet"/>
      <w:lvlText w:val=""/>
      <w:lvlJc w:val="left"/>
      <w:pPr>
        <w:ind w:left="5040" w:hanging="360"/>
      </w:pPr>
      <w:rPr>
        <w:rFonts w:ascii="Symbol" w:hAnsi="Symbol" w:hint="default"/>
      </w:rPr>
    </w:lvl>
    <w:lvl w:ilvl="7" w:tplc="5E24FA42" w:tentative="1">
      <w:start w:val="1"/>
      <w:numFmt w:val="bullet"/>
      <w:lvlText w:val="o"/>
      <w:lvlJc w:val="left"/>
      <w:pPr>
        <w:ind w:left="5760" w:hanging="360"/>
      </w:pPr>
      <w:rPr>
        <w:rFonts w:ascii="Courier New" w:hAnsi="Courier New" w:cs="Courier New" w:hint="default"/>
      </w:rPr>
    </w:lvl>
    <w:lvl w:ilvl="8" w:tplc="77A2E61C" w:tentative="1">
      <w:start w:val="1"/>
      <w:numFmt w:val="bullet"/>
      <w:lvlText w:val=""/>
      <w:lvlJc w:val="left"/>
      <w:pPr>
        <w:ind w:left="6480" w:hanging="360"/>
      </w:pPr>
      <w:rPr>
        <w:rFonts w:ascii="Wingdings" w:hAnsi="Wingdings" w:hint="default"/>
      </w:rPr>
    </w:lvl>
  </w:abstractNum>
  <w:abstractNum w:abstractNumId="135">
    <w:nsid w:val="1BDA1ED0"/>
    <w:multiLevelType w:val="hybridMultilevel"/>
    <w:tmpl w:val="993AEF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6">
    <w:nsid w:val="1C6E6777"/>
    <w:multiLevelType w:val="hybridMultilevel"/>
    <w:tmpl w:val="4868194E"/>
    <w:lvl w:ilvl="0" w:tplc="04160001">
      <w:start w:val="1"/>
      <w:numFmt w:val="lowerLetter"/>
      <w:lvlText w:val="%1)"/>
      <w:lvlJc w:val="left"/>
      <w:pPr>
        <w:ind w:left="927" w:hanging="360"/>
      </w:pPr>
      <w:rPr>
        <w:rFonts w:hint="default"/>
      </w:rPr>
    </w:lvl>
    <w:lvl w:ilvl="1" w:tplc="04160003" w:tentative="1">
      <w:start w:val="1"/>
      <w:numFmt w:val="lowerLetter"/>
      <w:lvlText w:val="%2."/>
      <w:lvlJc w:val="left"/>
      <w:pPr>
        <w:ind w:left="1647" w:hanging="360"/>
      </w:pPr>
    </w:lvl>
    <w:lvl w:ilvl="2" w:tplc="04160005" w:tentative="1">
      <w:start w:val="1"/>
      <w:numFmt w:val="lowerRoman"/>
      <w:lvlText w:val="%3."/>
      <w:lvlJc w:val="right"/>
      <w:pPr>
        <w:ind w:left="2367" w:hanging="180"/>
      </w:pPr>
    </w:lvl>
    <w:lvl w:ilvl="3" w:tplc="04160001" w:tentative="1">
      <w:start w:val="1"/>
      <w:numFmt w:val="decimal"/>
      <w:lvlText w:val="%4."/>
      <w:lvlJc w:val="left"/>
      <w:pPr>
        <w:ind w:left="3087" w:hanging="360"/>
      </w:pPr>
    </w:lvl>
    <w:lvl w:ilvl="4" w:tplc="04160003" w:tentative="1">
      <w:start w:val="1"/>
      <w:numFmt w:val="lowerLetter"/>
      <w:lvlText w:val="%5."/>
      <w:lvlJc w:val="left"/>
      <w:pPr>
        <w:ind w:left="3807" w:hanging="360"/>
      </w:pPr>
    </w:lvl>
    <w:lvl w:ilvl="5" w:tplc="04160005" w:tentative="1">
      <w:start w:val="1"/>
      <w:numFmt w:val="lowerRoman"/>
      <w:lvlText w:val="%6."/>
      <w:lvlJc w:val="right"/>
      <w:pPr>
        <w:ind w:left="4527" w:hanging="180"/>
      </w:pPr>
    </w:lvl>
    <w:lvl w:ilvl="6" w:tplc="04160001" w:tentative="1">
      <w:start w:val="1"/>
      <w:numFmt w:val="decimal"/>
      <w:lvlText w:val="%7."/>
      <w:lvlJc w:val="left"/>
      <w:pPr>
        <w:ind w:left="5247" w:hanging="360"/>
      </w:pPr>
    </w:lvl>
    <w:lvl w:ilvl="7" w:tplc="04160003" w:tentative="1">
      <w:start w:val="1"/>
      <w:numFmt w:val="lowerLetter"/>
      <w:lvlText w:val="%8."/>
      <w:lvlJc w:val="left"/>
      <w:pPr>
        <w:ind w:left="5967" w:hanging="360"/>
      </w:pPr>
    </w:lvl>
    <w:lvl w:ilvl="8" w:tplc="04160005" w:tentative="1">
      <w:start w:val="1"/>
      <w:numFmt w:val="lowerRoman"/>
      <w:lvlText w:val="%9."/>
      <w:lvlJc w:val="right"/>
      <w:pPr>
        <w:ind w:left="6687" w:hanging="180"/>
      </w:pPr>
    </w:lvl>
  </w:abstractNum>
  <w:abstractNum w:abstractNumId="137">
    <w:nsid w:val="1CE95866"/>
    <w:multiLevelType w:val="hybridMultilevel"/>
    <w:tmpl w:val="3724D710"/>
    <w:lvl w:ilvl="0" w:tplc="A35EC320">
      <w:start w:val="1"/>
      <w:numFmt w:val="bullet"/>
      <w:lvlText w:val=""/>
      <w:lvlJc w:val="left"/>
      <w:pPr>
        <w:ind w:left="1854" w:hanging="360"/>
      </w:pPr>
      <w:rPr>
        <w:rFonts w:ascii="Wingdings" w:hAnsi="Wingdings" w:hint="default"/>
      </w:rPr>
    </w:lvl>
    <w:lvl w:ilvl="1" w:tplc="04160019" w:tentative="1">
      <w:start w:val="1"/>
      <w:numFmt w:val="bullet"/>
      <w:lvlText w:val="o"/>
      <w:lvlJc w:val="left"/>
      <w:pPr>
        <w:ind w:left="2574" w:hanging="360"/>
      </w:pPr>
      <w:rPr>
        <w:rFonts w:ascii="Courier New" w:hAnsi="Courier New" w:cs="Courier New" w:hint="default"/>
      </w:rPr>
    </w:lvl>
    <w:lvl w:ilvl="2" w:tplc="0416001B" w:tentative="1">
      <w:start w:val="1"/>
      <w:numFmt w:val="bullet"/>
      <w:lvlText w:val=""/>
      <w:lvlJc w:val="left"/>
      <w:pPr>
        <w:ind w:left="3294" w:hanging="360"/>
      </w:pPr>
      <w:rPr>
        <w:rFonts w:ascii="Wingdings" w:hAnsi="Wingdings" w:hint="default"/>
      </w:rPr>
    </w:lvl>
    <w:lvl w:ilvl="3" w:tplc="0416000F" w:tentative="1">
      <w:start w:val="1"/>
      <w:numFmt w:val="bullet"/>
      <w:lvlText w:val=""/>
      <w:lvlJc w:val="left"/>
      <w:pPr>
        <w:ind w:left="4014" w:hanging="360"/>
      </w:pPr>
      <w:rPr>
        <w:rFonts w:ascii="Symbol" w:hAnsi="Symbol" w:hint="default"/>
      </w:rPr>
    </w:lvl>
    <w:lvl w:ilvl="4" w:tplc="04160019" w:tentative="1">
      <w:start w:val="1"/>
      <w:numFmt w:val="bullet"/>
      <w:lvlText w:val="o"/>
      <w:lvlJc w:val="left"/>
      <w:pPr>
        <w:ind w:left="4734" w:hanging="360"/>
      </w:pPr>
      <w:rPr>
        <w:rFonts w:ascii="Courier New" w:hAnsi="Courier New" w:cs="Courier New" w:hint="default"/>
      </w:rPr>
    </w:lvl>
    <w:lvl w:ilvl="5" w:tplc="0416001B" w:tentative="1">
      <w:start w:val="1"/>
      <w:numFmt w:val="bullet"/>
      <w:lvlText w:val=""/>
      <w:lvlJc w:val="left"/>
      <w:pPr>
        <w:ind w:left="5454" w:hanging="360"/>
      </w:pPr>
      <w:rPr>
        <w:rFonts w:ascii="Wingdings" w:hAnsi="Wingdings" w:hint="default"/>
      </w:rPr>
    </w:lvl>
    <w:lvl w:ilvl="6" w:tplc="0416000F" w:tentative="1">
      <w:start w:val="1"/>
      <w:numFmt w:val="bullet"/>
      <w:lvlText w:val=""/>
      <w:lvlJc w:val="left"/>
      <w:pPr>
        <w:ind w:left="6174" w:hanging="360"/>
      </w:pPr>
      <w:rPr>
        <w:rFonts w:ascii="Symbol" w:hAnsi="Symbol" w:hint="default"/>
      </w:rPr>
    </w:lvl>
    <w:lvl w:ilvl="7" w:tplc="04160019" w:tentative="1">
      <w:start w:val="1"/>
      <w:numFmt w:val="bullet"/>
      <w:lvlText w:val="o"/>
      <w:lvlJc w:val="left"/>
      <w:pPr>
        <w:ind w:left="6894" w:hanging="360"/>
      </w:pPr>
      <w:rPr>
        <w:rFonts w:ascii="Courier New" w:hAnsi="Courier New" w:cs="Courier New" w:hint="default"/>
      </w:rPr>
    </w:lvl>
    <w:lvl w:ilvl="8" w:tplc="0416001B" w:tentative="1">
      <w:start w:val="1"/>
      <w:numFmt w:val="bullet"/>
      <w:lvlText w:val=""/>
      <w:lvlJc w:val="left"/>
      <w:pPr>
        <w:ind w:left="7614" w:hanging="360"/>
      </w:pPr>
      <w:rPr>
        <w:rFonts w:ascii="Wingdings" w:hAnsi="Wingdings" w:hint="default"/>
      </w:rPr>
    </w:lvl>
  </w:abstractNum>
  <w:abstractNum w:abstractNumId="138">
    <w:nsid w:val="1D371005"/>
    <w:multiLevelType w:val="hybridMultilevel"/>
    <w:tmpl w:val="75A24ADA"/>
    <w:lvl w:ilvl="0" w:tplc="21B68600">
      <w:start w:val="1"/>
      <w:numFmt w:val="bullet"/>
      <w:lvlText w:val=""/>
      <w:lvlJc w:val="left"/>
      <w:pPr>
        <w:ind w:left="1854" w:hanging="360"/>
      </w:pPr>
      <w:rPr>
        <w:rFonts w:ascii="Symbol" w:hAnsi="Symbol" w:hint="default"/>
      </w:rPr>
    </w:lvl>
    <w:lvl w:ilvl="1" w:tplc="04160019" w:tentative="1">
      <w:start w:val="1"/>
      <w:numFmt w:val="bullet"/>
      <w:lvlText w:val="o"/>
      <w:lvlJc w:val="left"/>
      <w:pPr>
        <w:ind w:left="2574" w:hanging="360"/>
      </w:pPr>
      <w:rPr>
        <w:rFonts w:ascii="Courier New" w:hAnsi="Courier New" w:cs="Courier New" w:hint="default"/>
      </w:rPr>
    </w:lvl>
    <w:lvl w:ilvl="2" w:tplc="0416001B" w:tentative="1">
      <w:start w:val="1"/>
      <w:numFmt w:val="bullet"/>
      <w:lvlText w:val=""/>
      <w:lvlJc w:val="left"/>
      <w:pPr>
        <w:ind w:left="3294" w:hanging="360"/>
      </w:pPr>
      <w:rPr>
        <w:rFonts w:ascii="Wingdings" w:hAnsi="Wingdings" w:hint="default"/>
      </w:rPr>
    </w:lvl>
    <w:lvl w:ilvl="3" w:tplc="0416000F" w:tentative="1">
      <w:start w:val="1"/>
      <w:numFmt w:val="bullet"/>
      <w:lvlText w:val=""/>
      <w:lvlJc w:val="left"/>
      <w:pPr>
        <w:ind w:left="4014" w:hanging="360"/>
      </w:pPr>
      <w:rPr>
        <w:rFonts w:ascii="Symbol" w:hAnsi="Symbol" w:hint="default"/>
      </w:rPr>
    </w:lvl>
    <w:lvl w:ilvl="4" w:tplc="04160019" w:tentative="1">
      <w:start w:val="1"/>
      <w:numFmt w:val="bullet"/>
      <w:lvlText w:val="o"/>
      <w:lvlJc w:val="left"/>
      <w:pPr>
        <w:ind w:left="4734" w:hanging="360"/>
      </w:pPr>
      <w:rPr>
        <w:rFonts w:ascii="Courier New" w:hAnsi="Courier New" w:cs="Courier New" w:hint="default"/>
      </w:rPr>
    </w:lvl>
    <w:lvl w:ilvl="5" w:tplc="0416001B" w:tentative="1">
      <w:start w:val="1"/>
      <w:numFmt w:val="bullet"/>
      <w:lvlText w:val=""/>
      <w:lvlJc w:val="left"/>
      <w:pPr>
        <w:ind w:left="5454" w:hanging="360"/>
      </w:pPr>
      <w:rPr>
        <w:rFonts w:ascii="Wingdings" w:hAnsi="Wingdings" w:hint="default"/>
      </w:rPr>
    </w:lvl>
    <w:lvl w:ilvl="6" w:tplc="0416000F" w:tentative="1">
      <w:start w:val="1"/>
      <w:numFmt w:val="bullet"/>
      <w:lvlText w:val=""/>
      <w:lvlJc w:val="left"/>
      <w:pPr>
        <w:ind w:left="6174" w:hanging="360"/>
      </w:pPr>
      <w:rPr>
        <w:rFonts w:ascii="Symbol" w:hAnsi="Symbol" w:hint="default"/>
      </w:rPr>
    </w:lvl>
    <w:lvl w:ilvl="7" w:tplc="04160019" w:tentative="1">
      <w:start w:val="1"/>
      <w:numFmt w:val="bullet"/>
      <w:lvlText w:val="o"/>
      <w:lvlJc w:val="left"/>
      <w:pPr>
        <w:ind w:left="6894" w:hanging="360"/>
      </w:pPr>
      <w:rPr>
        <w:rFonts w:ascii="Courier New" w:hAnsi="Courier New" w:cs="Courier New" w:hint="default"/>
      </w:rPr>
    </w:lvl>
    <w:lvl w:ilvl="8" w:tplc="0416001B" w:tentative="1">
      <w:start w:val="1"/>
      <w:numFmt w:val="bullet"/>
      <w:lvlText w:val=""/>
      <w:lvlJc w:val="left"/>
      <w:pPr>
        <w:ind w:left="7614" w:hanging="360"/>
      </w:pPr>
      <w:rPr>
        <w:rFonts w:ascii="Wingdings" w:hAnsi="Wingdings" w:hint="default"/>
      </w:rPr>
    </w:lvl>
  </w:abstractNum>
  <w:abstractNum w:abstractNumId="139">
    <w:nsid w:val="1D6A2803"/>
    <w:multiLevelType w:val="hybridMultilevel"/>
    <w:tmpl w:val="6BFE5F5A"/>
    <w:lvl w:ilvl="0" w:tplc="04160001">
      <w:start w:val="1"/>
      <w:numFmt w:val="bullet"/>
      <w:lvlText w:val=""/>
      <w:lvlJc w:val="left"/>
      <w:pPr>
        <w:ind w:left="436" w:hanging="360"/>
      </w:pPr>
      <w:rPr>
        <w:rFonts w:ascii="Symbol" w:hAnsi="Symbol" w:hint="default"/>
      </w:rPr>
    </w:lvl>
    <w:lvl w:ilvl="1" w:tplc="04160003" w:tentative="1">
      <w:start w:val="1"/>
      <w:numFmt w:val="bullet"/>
      <w:lvlText w:val="o"/>
      <w:lvlJc w:val="left"/>
      <w:pPr>
        <w:ind w:left="1156" w:hanging="360"/>
      </w:pPr>
      <w:rPr>
        <w:rFonts w:ascii="Courier New" w:hAnsi="Courier New" w:cs="Courier New" w:hint="default"/>
      </w:rPr>
    </w:lvl>
    <w:lvl w:ilvl="2" w:tplc="04160005" w:tentative="1">
      <w:start w:val="1"/>
      <w:numFmt w:val="bullet"/>
      <w:lvlText w:val=""/>
      <w:lvlJc w:val="left"/>
      <w:pPr>
        <w:ind w:left="1876" w:hanging="360"/>
      </w:pPr>
      <w:rPr>
        <w:rFonts w:ascii="Wingdings" w:hAnsi="Wingdings" w:hint="default"/>
      </w:rPr>
    </w:lvl>
    <w:lvl w:ilvl="3" w:tplc="04160001" w:tentative="1">
      <w:start w:val="1"/>
      <w:numFmt w:val="bullet"/>
      <w:lvlText w:val=""/>
      <w:lvlJc w:val="left"/>
      <w:pPr>
        <w:ind w:left="2596" w:hanging="360"/>
      </w:pPr>
      <w:rPr>
        <w:rFonts w:ascii="Symbol" w:hAnsi="Symbol" w:hint="default"/>
      </w:rPr>
    </w:lvl>
    <w:lvl w:ilvl="4" w:tplc="04160003" w:tentative="1">
      <w:start w:val="1"/>
      <w:numFmt w:val="bullet"/>
      <w:lvlText w:val="o"/>
      <w:lvlJc w:val="left"/>
      <w:pPr>
        <w:ind w:left="3316" w:hanging="360"/>
      </w:pPr>
      <w:rPr>
        <w:rFonts w:ascii="Courier New" w:hAnsi="Courier New" w:cs="Courier New" w:hint="default"/>
      </w:rPr>
    </w:lvl>
    <w:lvl w:ilvl="5" w:tplc="04160005" w:tentative="1">
      <w:start w:val="1"/>
      <w:numFmt w:val="bullet"/>
      <w:lvlText w:val=""/>
      <w:lvlJc w:val="left"/>
      <w:pPr>
        <w:ind w:left="4036" w:hanging="360"/>
      </w:pPr>
      <w:rPr>
        <w:rFonts w:ascii="Wingdings" w:hAnsi="Wingdings" w:hint="default"/>
      </w:rPr>
    </w:lvl>
    <w:lvl w:ilvl="6" w:tplc="04160001" w:tentative="1">
      <w:start w:val="1"/>
      <w:numFmt w:val="bullet"/>
      <w:lvlText w:val=""/>
      <w:lvlJc w:val="left"/>
      <w:pPr>
        <w:ind w:left="4756" w:hanging="360"/>
      </w:pPr>
      <w:rPr>
        <w:rFonts w:ascii="Symbol" w:hAnsi="Symbol" w:hint="default"/>
      </w:rPr>
    </w:lvl>
    <w:lvl w:ilvl="7" w:tplc="04160003" w:tentative="1">
      <w:start w:val="1"/>
      <w:numFmt w:val="bullet"/>
      <w:lvlText w:val="o"/>
      <w:lvlJc w:val="left"/>
      <w:pPr>
        <w:ind w:left="5476" w:hanging="360"/>
      </w:pPr>
      <w:rPr>
        <w:rFonts w:ascii="Courier New" w:hAnsi="Courier New" w:cs="Courier New" w:hint="default"/>
      </w:rPr>
    </w:lvl>
    <w:lvl w:ilvl="8" w:tplc="04160005" w:tentative="1">
      <w:start w:val="1"/>
      <w:numFmt w:val="bullet"/>
      <w:lvlText w:val=""/>
      <w:lvlJc w:val="left"/>
      <w:pPr>
        <w:ind w:left="6196" w:hanging="360"/>
      </w:pPr>
      <w:rPr>
        <w:rFonts w:ascii="Wingdings" w:hAnsi="Wingdings" w:hint="default"/>
      </w:rPr>
    </w:lvl>
  </w:abstractNum>
  <w:abstractNum w:abstractNumId="140">
    <w:nsid w:val="1DA86812"/>
    <w:multiLevelType w:val="hybridMultilevel"/>
    <w:tmpl w:val="7E702530"/>
    <w:lvl w:ilvl="0" w:tplc="0416000D">
      <w:start w:val="1"/>
      <w:numFmt w:val="bullet"/>
      <w:lvlText w:val=""/>
      <w:lvlJc w:val="left"/>
      <w:pPr>
        <w:tabs>
          <w:tab w:val="num" w:pos="1800"/>
        </w:tabs>
        <w:ind w:left="1800" w:hanging="360"/>
      </w:pPr>
      <w:rPr>
        <w:rFonts w:ascii="Symbol" w:hAnsi="Symbol" w:hint="default"/>
      </w:rPr>
    </w:lvl>
    <w:lvl w:ilvl="1" w:tplc="04160003" w:tentative="1">
      <w:start w:val="1"/>
      <w:numFmt w:val="bullet"/>
      <w:lvlText w:val="o"/>
      <w:lvlJc w:val="left"/>
      <w:pPr>
        <w:tabs>
          <w:tab w:val="num" w:pos="2520"/>
        </w:tabs>
        <w:ind w:left="2520" w:hanging="360"/>
      </w:pPr>
      <w:rPr>
        <w:rFonts w:ascii="Courier New" w:hAnsi="Courier New" w:cs="Courier New" w:hint="default"/>
      </w:rPr>
    </w:lvl>
    <w:lvl w:ilvl="2" w:tplc="04160005" w:tentative="1">
      <w:start w:val="1"/>
      <w:numFmt w:val="bullet"/>
      <w:lvlText w:val=""/>
      <w:lvlJc w:val="left"/>
      <w:pPr>
        <w:tabs>
          <w:tab w:val="num" w:pos="3240"/>
        </w:tabs>
        <w:ind w:left="3240" w:hanging="360"/>
      </w:pPr>
      <w:rPr>
        <w:rFonts w:ascii="Wingdings" w:hAnsi="Wingdings" w:hint="default"/>
      </w:rPr>
    </w:lvl>
    <w:lvl w:ilvl="3" w:tplc="04160001" w:tentative="1">
      <w:start w:val="1"/>
      <w:numFmt w:val="bullet"/>
      <w:lvlText w:val=""/>
      <w:lvlJc w:val="left"/>
      <w:pPr>
        <w:tabs>
          <w:tab w:val="num" w:pos="3960"/>
        </w:tabs>
        <w:ind w:left="3960" w:hanging="360"/>
      </w:pPr>
      <w:rPr>
        <w:rFonts w:ascii="Symbol" w:hAnsi="Symbol" w:hint="default"/>
      </w:rPr>
    </w:lvl>
    <w:lvl w:ilvl="4" w:tplc="04160003" w:tentative="1">
      <w:start w:val="1"/>
      <w:numFmt w:val="bullet"/>
      <w:lvlText w:val="o"/>
      <w:lvlJc w:val="left"/>
      <w:pPr>
        <w:tabs>
          <w:tab w:val="num" w:pos="4680"/>
        </w:tabs>
        <w:ind w:left="4680" w:hanging="360"/>
      </w:pPr>
      <w:rPr>
        <w:rFonts w:ascii="Courier New" w:hAnsi="Courier New" w:cs="Courier New" w:hint="default"/>
      </w:rPr>
    </w:lvl>
    <w:lvl w:ilvl="5" w:tplc="04160005" w:tentative="1">
      <w:start w:val="1"/>
      <w:numFmt w:val="bullet"/>
      <w:lvlText w:val=""/>
      <w:lvlJc w:val="left"/>
      <w:pPr>
        <w:tabs>
          <w:tab w:val="num" w:pos="5400"/>
        </w:tabs>
        <w:ind w:left="5400" w:hanging="360"/>
      </w:pPr>
      <w:rPr>
        <w:rFonts w:ascii="Wingdings" w:hAnsi="Wingdings" w:hint="default"/>
      </w:rPr>
    </w:lvl>
    <w:lvl w:ilvl="6" w:tplc="04160001" w:tentative="1">
      <w:start w:val="1"/>
      <w:numFmt w:val="bullet"/>
      <w:lvlText w:val=""/>
      <w:lvlJc w:val="left"/>
      <w:pPr>
        <w:tabs>
          <w:tab w:val="num" w:pos="6120"/>
        </w:tabs>
        <w:ind w:left="6120" w:hanging="360"/>
      </w:pPr>
      <w:rPr>
        <w:rFonts w:ascii="Symbol" w:hAnsi="Symbol" w:hint="default"/>
      </w:rPr>
    </w:lvl>
    <w:lvl w:ilvl="7" w:tplc="04160003" w:tentative="1">
      <w:start w:val="1"/>
      <w:numFmt w:val="bullet"/>
      <w:lvlText w:val="o"/>
      <w:lvlJc w:val="left"/>
      <w:pPr>
        <w:tabs>
          <w:tab w:val="num" w:pos="6840"/>
        </w:tabs>
        <w:ind w:left="6840" w:hanging="360"/>
      </w:pPr>
      <w:rPr>
        <w:rFonts w:ascii="Courier New" w:hAnsi="Courier New" w:cs="Courier New" w:hint="default"/>
      </w:rPr>
    </w:lvl>
    <w:lvl w:ilvl="8" w:tplc="04160005" w:tentative="1">
      <w:start w:val="1"/>
      <w:numFmt w:val="bullet"/>
      <w:lvlText w:val=""/>
      <w:lvlJc w:val="left"/>
      <w:pPr>
        <w:tabs>
          <w:tab w:val="num" w:pos="7560"/>
        </w:tabs>
        <w:ind w:left="7560" w:hanging="360"/>
      </w:pPr>
      <w:rPr>
        <w:rFonts w:ascii="Wingdings" w:hAnsi="Wingdings" w:hint="default"/>
      </w:rPr>
    </w:lvl>
  </w:abstractNum>
  <w:abstractNum w:abstractNumId="141">
    <w:nsid w:val="1DE21825"/>
    <w:multiLevelType w:val="hybridMultilevel"/>
    <w:tmpl w:val="008679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2">
    <w:nsid w:val="1E4A3AC7"/>
    <w:multiLevelType w:val="hybridMultilevel"/>
    <w:tmpl w:val="5D6A03A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43">
    <w:nsid w:val="1E655013"/>
    <w:multiLevelType w:val="hybridMultilevel"/>
    <w:tmpl w:val="57EC67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4">
    <w:nsid w:val="1F7E52F3"/>
    <w:multiLevelType w:val="hybridMultilevel"/>
    <w:tmpl w:val="8B20B6D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5">
    <w:nsid w:val="1FC87DBA"/>
    <w:multiLevelType w:val="hybridMultilevel"/>
    <w:tmpl w:val="1A8025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6">
    <w:nsid w:val="1FCF0326"/>
    <w:multiLevelType w:val="hybridMultilevel"/>
    <w:tmpl w:val="FACCEF6C"/>
    <w:lvl w:ilvl="0" w:tplc="04160001">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7">
    <w:nsid w:val="1FE95F7D"/>
    <w:multiLevelType w:val="hybridMultilevel"/>
    <w:tmpl w:val="347CC78E"/>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148">
    <w:nsid w:val="200757BA"/>
    <w:multiLevelType w:val="hybridMultilevel"/>
    <w:tmpl w:val="ABA6813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9">
    <w:nsid w:val="20132878"/>
    <w:multiLevelType w:val="hybridMultilevel"/>
    <w:tmpl w:val="584A8E18"/>
    <w:lvl w:ilvl="0" w:tplc="04160001">
      <w:start w:val="1"/>
      <w:numFmt w:val="bullet"/>
      <w:lvlText w:val=""/>
      <w:lvlJc w:val="left"/>
      <w:pPr>
        <w:tabs>
          <w:tab w:val="num" w:pos="567"/>
        </w:tabs>
        <w:ind w:left="567" w:hanging="397"/>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150">
    <w:nsid w:val="201E4420"/>
    <w:multiLevelType w:val="hybridMultilevel"/>
    <w:tmpl w:val="1EB45DFC"/>
    <w:lvl w:ilvl="0" w:tplc="04160001">
      <w:start w:val="5"/>
      <w:numFmt w:val="upperRoman"/>
      <w:lvlText w:val="%1-"/>
      <w:lvlJc w:val="left"/>
      <w:pPr>
        <w:tabs>
          <w:tab w:val="num" w:pos="1680"/>
        </w:tabs>
        <w:ind w:left="1680" w:hanging="720"/>
      </w:pPr>
      <w:rPr>
        <w:rFonts w:hint="default"/>
      </w:rPr>
    </w:lvl>
    <w:lvl w:ilvl="1" w:tplc="04160003" w:tentative="1">
      <w:start w:val="1"/>
      <w:numFmt w:val="lowerLetter"/>
      <w:lvlText w:val="%2."/>
      <w:lvlJc w:val="left"/>
      <w:pPr>
        <w:tabs>
          <w:tab w:val="num" w:pos="2040"/>
        </w:tabs>
        <w:ind w:left="2040" w:hanging="360"/>
      </w:pPr>
    </w:lvl>
    <w:lvl w:ilvl="2" w:tplc="04160005" w:tentative="1">
      <w:start w:val="1"/>
      <w:numFmt w:val="lowerRoman"/>
      <w:lvlText w:val="%3."/>
      <w:lvlJc w:val="right"/>
      <w:pPr>
        <w:tabs>
          <w:tab w:val="num" w:pos="2760"/>
        </w:tabs>
        <w:ind w:left="2760" w:hanging="180"/>
      </w:pPr>
    </w:lvl>
    <w:lvl w:ilvl="3" w:tplc="04160001" w:tentative="1">
      <w:start w:val="1"/>
      <w:numFmt w:val="decimal"/>
      <w:lvlText w:val="%4."/>
      <w:lvlJc w:val="left"/>
      <w:pPr>
        <w:tabs>
          <w:tab w:val="num" w:pos="3480"/>
        </w:tabs>
        <w:ind w:left="3480" w:hanging="360"/>
      </w:pPr>
    </w:lvl>
    <w:lvl w:ilvl="4" w:tplc="04160003" w:tentative="1">
      <w:start w:val="1"/>
      <w:numFmt w:val="lowerLetter"/>
      <w:lvlText w:val="%5."/>
      <w:lvlJc w:val="left"/>
      <w:pPr>
        <w:tabs>
          <w:tab w:val="num" w:pos="4200"/>
        </w:tabs>
        <w:ind w:left="4200" w:hanging="360"/>
      </w:pPr>
    </w:lvl>
    <w:lvl w:ilvl="5" w:tplc="04160005" w:tentative="1">
      <w:start w:val="1"/>
      <w:numFmt w:val="lowerRoman"/>
      <w:lvlText w:val="%6."/>
      <w:lvlJc w:val="right"/>
      <w:pPr>
        <w:tabs>
          <w:tab w:val="num" w:pos="4920"/>
        </w:tabs>
        <w:ind w:left="4920" w:hanging="180"/>
      </w:pPr>
    </w:lvl>
    <w:lvl w:ilvl="6" w:tplc="04160001" w:tentative="1">
      <w:start w:val="1"/>
      <w:numFmt w:val="decimal"/>
      <w:lvlText w:val="%7."/>
      <w:lvlJc w:val="left"/>
      <w:pPr>
        <w:tabs>
          <w:tab w:val="num" w:pos="5640"/>
        </w:tabs>
        <w:ind w:left="5640" w:hanging="360"/>
      </w:pPr>
    </w:lvl>
    <w:lvl w:ilvl="7" w:tplc="04160003" w:tentative="1">
      <w:start w:val="1"/>
      <w:numFmt w:val="lowerLetter"/>
      <w:lvlText w:val="%8."/>
      <w:lvlJc w:val="left"/>
      <w:pPr>
        <w:tabs>
          <w:tab w:val="num" w:pos="6360"/>
        </w:tabs>
        <w:ind w:left="6360" w:hanging="360"/>
      </w:pPr>
    </w:lvl>
    <w:lvl w:ilvl="8" w:tplc="04160005" w:tentative="1">
      <w:start w:val="1"/>
      <w:numFmt w:val="lowerRoman"/>
      <w:lvlText w:val="%9."/>
      <w:lvlJc w:val="right"/>
      <w:pPr>
        <w:tabs>
          <w:tab w:val="num" w:pos="7080"/>
        </w:tabs>
        <w:ind w:left="7080" w:hanging="180"/>
      </w:pPr>
    </w:lvl>
  </w:abstractNum>
  <w:abstractNum w:abstractNumId="151">
    <w:nsid w:val="203E31AF"/>
    <w:multiLevelType w:val="hybridMultilevel"/>
    <w:tmpl w:val="AAB6A8F2"/>
    <w:lvl w:ilvl="0" w:tplc="A2D0AEF6">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2">
    <w:nsid w:val="20550AE5"/>
    <w:multiLevelType w:val="hybridMultilevel"/>
    <w:tmpl w:val="48066E90"/>
    <w:lvl w:ilvl="0" w:tplc="04160003">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53">
    <w:nsid w:val="2084106C"/>
    <w:multiLevelType w:val="hybridMultilevel"/>
    <w:tmpl w:val="6B7E2AA6"/>
    <w:lvl w:ilvl="0" w:tplc="04160005">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4">
    <w:nsid w:val="209C3063"/>
    <w:multiLevelType w:val="hybridMultilevel"/>
    <w:tmpl w:val="6FF446D0"/>
    <w:lvl w:ilvl="0" w:tplc="C98CA750">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55">
    <w:nsid w:val="20A6337D"/>
    <w:multiLevelType w:val="hybridMultilevel"/>
    <w:tmpl w:val="1C264BA6"/>
    <w:lvl w:ilvl="0" w:tplc="04160001">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6">
    <w:nsid w:val="21027FD3"/>
    <w:multiLevelType w:val="hybridMultilevel"/>
    <w:tmpl w:val="1298D90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7">
    <w:nsid w:val="210A4720"/>
    <w:multiLevelType w:val="hybridMultilevel"/>
    <w:tmpl w:val="2C284F14"/>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158">
    <w:nsid w:val="211D1884"/>
    <w:multiLevelType w:val="multilevel"/>
    <w:tmpl w:val="12DCFFF8"/>
    <w:lvl w:ilvl="0">
      <w:start w:val="1"/>
      <w:numFmt w:val="decimal"/>
      <w:lvlText w:val="%1."/>
      <w:lvlJc w:val="left"/>
      <w:pPr>
        <w:ind w:left="36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800" w:hanging="1800"/>
      </w:pPr>
      <w:rPr>
        <w:rFonts w:hint="default"/>
        <w:b/>
      </w:rPr>
    </w:lvl>
  </w:abstractNum>
  <w:abstractNum w:abstractNumId="159">
    <w:nsid w:val="21347FFA"/>
    <w:multiLevelType w:val="hybridMultilevel"/>
    <w:tmpl w:val="B6F46802"/>
    <w:lvl w:ilvl="0" w:tplc="9C760BF4">
      <w:start w:val="1"/>
      <w:numFmt w:val="upperRoman"/>
      <w:lvlText w:val="%1."/>
      <w:lvlJc w:val="left"/>
      <w:pPr>
        <w:ind w:left="720" w:hanging="720"/>
      </w:pPr>
      <w:rPr>
        <w:rFonts w:ascii="Times New Roman" w:hAnsi="Times New Roman" w:cs="Times New Roman" w:hint="default"/>
        <w:b/>
        <w:color w:val="auto"/>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0">
    <w:nsid w:val="214E58C7"/>
    <w:multiLevelType w:val="hybridMultilevel"/>
    <w:tmpl w:val="59B4A0B4"/>
    <w:lvl w:ilvl="0" w:tplc="04160003">
      <w:start w:val="1"/>
      <w:numFmt w:val="bullet"/>
      <w:lvlText w:val=""/>
      <w:lvlJc w:val="left"/>
      <w:pPr>
        <w:ind w:left="1004" w:hanging="360"/>
      </w:pPr>
      <w:rPr>
        <w:rFonts w:ascii="Symbol" w:hAnsi="Symbol" w:hint="default"/>
      </w:rPr>
    </w:lvl>
    <w:lvl w:ilvl="1" w:tplc="04160003">
      <w:start w:val="1"/>
      <w:numFmt w:val="bullet"/>
      <w:lvlText w:val="o"/>
      <w:lvlJc w:val="left"/>
      <w:pPr>
        <w:ind w:left="1724" w:hanging="360"/>
      </w:pPr>
      <w:rPr>
        <w:rFonts w:ascii="Courier New" w:hAnsi="Courier New" w:cs="Times New Roman" w:hint="default"/>
      </w:rPr>
    </w:lvl>
    <w:lvl w:ilvl="2" w:tplc="04160005">
      <w:start w:val="1"/>
      <w:numFmt w:val="bullet"/>
      <w:lvlText w:val=""/>
      <w:lvlJc w:val="left"/>
      <w:pPr>
        <w:ind w:left="2444" w:hanging="360"/>
      </w:pPr>
      <w:rPr>
        <w:rFonts w:ascii="Wingdings" w:hAnsi="Wingdings" w:hint="default"/>
      </w:r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161">
    <w:nsid w:val="218935E3"/>
    <w:multiLevelType w:val="hybridMultilevel"/>
    <w:tmpl w:val="28B85F4C"/>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62">
    <w:nsid w:val="21C6564D"/>
    <w:multiLevelType w:val="hybridMultilevel"/>
    <w:tmpl w:val="E138C7CA"/>
    <w:lvl w:ilvl="0" w:tplc="C6600DD0">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3">
    <w:nsid w:val="21D777B7"/>
    <w:multiLevelType w:val="hybridMultilevel"/>
    <w:tmpl w:val="BBB473EE"/>
    <w:lvl w:ilvl="0" w:tplc="19623786">
      <w:start w:val="1"/>
      <w:numFmt w:val="bullet"/>
      <w:lvlText w:val=""/>
      <w:lvlJc w:val="left"/>
      <w:pPr>
        <w:ind w:left="720" w:hanging="360"/>
      </w:pPr>
      <w:rPr>
        <w:rFonts w:ascii="Symbol" w:hAnsi="Symbol" w:hint="default"/>
      </w:rPr>
    </w:lvl>
    <w:lvl w:ilvl="1" w:tplc="656A1872" w:tentative="1">
      <w:start w:val="1"/>
      <w:numFmt w:val="bullet"/>
      <w:lvlText w:val="o"/>
      <w:lvlJc w:val="left"/>
      <w:pPr>
        <w:ind w:left="1440" w:hanging="360"/>
      </w:pPr>
      <w:rPr>
        <w:rFonts w:ascii="Courier New" w:hAnsi="Courier New" w:hint="default"/>
      </w:rPr>
    </w:lvl>
    <w:lvl w:ilvl="2" w:tplc="494673F8" w:tentative="1">
      <w:start w:val="1"/>
      <w:numFmt w:val="bullet"/>
      <w:lvlText w:val=""/>
      <w:lvlJc w:val="left"/>
      <w:pPr>
        <w:ind w:left="2160" w:hanging="360"/>
      </w:pPr>
      <w:rPr>
        <w:rFonts w:ascii="Wingdings" w:hAnsi="Wingdings" w:hint="default"/>
      </w:rPr>
    </w:lvl>
    <w:lvl w:ilvl="3" w:tplc="863629FA" w:tentative="1">
      <w:start w:val="1"/>
      <w:numFmt w:val="bullet"/>
      <w:lvlText w:val=""/>
      <w:lvlJc w:val="left"/>
      <w:pPr>
        <w:ind w:left="2880" w:hanging="360"/>
      </w:pPr>
      <w:rPr>
        <w:rFonts w:ascii="Symbol" w:hAnsi="Symbol" w:hint="default"/>
      </w:rPr>
    </w:lvl>
    <w:lvl w:ilvl="4" w:tplc="E98AEAEE" w:tentative="1">
      <w:start w:val="1"/>
      <w:numFmt w:val="bullet"/>
      <w:lvlText w:val="o"/>
      <w:lvlJc w:val="left"/>
      <w:pPr>
        <w:ind w:left="3600" w:hanging="360"/>
      </w:pPr>
      <w:rPr>
        <w:rFonts w:ascii="Courier New" w:hAnsi="Courier New" w:hint="default"/>
      </w:rPr>
    </w:lvl>
    <w:lvl w:ilvl="5" w:tplc="42A8A0A4" w:tentative="1">
      <w:start w:val="1"/>
      <w:numFmt w:val="bullet"/>
      <w:lvlText w:val=""/>
      <w:lvlJc w:val="left"/>
      <w:pPr>
        <w:ind w:left="4320" w:hanging="360"/>
      </w:pPr>
      <w:rPr>
        <w:rFonts w:ascii="Wingdings" w:hAnsi="Wingdings" w:hint="default"/>
      </w:rPr>
    </w:lvl>
    <w:lvl w:ilvl="6" w:tplc="2B0CE01E" w:tentative="1">
      <w:start w:val="1"/>
      <w:numFmt w:val="bullet"/>
      <w:lvlText w:val=""/>
      <w:lvlJc w:val="left"/>
      <w:pPr>
        <w:ind w:left="5040" w:hanging="360"/>
      </w:pPr>
      <w:rPr>
        <w:rFonts w:ascii="Symbol" w:hAnsi="Symbol" w:hint="default"/>
      </w:rPr>
    </w:lvl>
    <w:lvl w:ilvl="7" w:tplc="825A59C4" w:tentative="1">
      <w:start w:val="1"/>
      <w:numFmt w:val="bullet"/>
      <w:lvlText w:val="o"/>
      <w:lvlJc w:val="left"/>
      <w:pPr>
        <w:ind w:left="5760" w:hanging="360"/>
      </w:pPr>
      <w:rPr>
        <w:rFonts w:ascii="Courier New" w:hAnsi="Courier New" w:hint="default"/>
      </w:rPr>
    </w:lvl>
    <w:lvl w:ilvl="8" w:tplc="2626E2B2" w:tentative="1">
      <w:start w:val="1"/>
      <w:numFmt w:val="bullet"/>
      <w:lvlText w:val=""/>
      <w:lvlJc w:val="left"/>
      <w:pPr>
        <w:ind w:left="6480" w:hanging="360"/>
      </w:pPr>
      <w:rPr>
        <w:rFonts w:ascii="Wingdings" w:hAnsi="Wingdings" w:hint="default"/>
      </w:rPr>
    </w:lvl>
  </w:abstractNum>
  <w:abstractNum w:abstractNumId="164">
    <w:nsid w:val="21EF148F"/>
    <w:multiLevelType w:val="hybridMultilevel"/>
    <w:tmpl w:val="2DB61956"/>
    <w:lvl w:ilvl="0" w:tplc="04160001">
      <w:start w:val="1"/>
      <w:numFmt w:val="bullet"/>
      <w:lvlText w:val=""/>
      <w:lvlJc w:val="left"/>
      <w:pPr>
        <w:ind w:left="761" w:hanging="360"/>
      </w:pPr>
      <w:rPr>
        <w:rFonts w:ascii="Symbol" w:hAnsi="Symbol" w:hint="default"/>
      </w:rPr>
    </w:lvl>
    <w:lvl w:ilvl="1" w:tplc="04160003" w:tentative="1">
      <w:start w:val="1"/>
      <w:numFmt w:val="bullet"/>
      <w:lvlText w:val="o"/>
      <w:lvlJc w:val="left"/>
      <w:pPr>
        <w:ind w:left="1481" w:hanging="360"/>
      </w:pPr>
      <w:rPr>
        <w:rFonts w:ascii="Courier New" w:hAnsi="Courier New" w:cs="Courier New" w:hint="default"/>
      </w:rPr>
    </w:lvl>
    <w:lvl w:ilvl="2" w:tplc="04160005" w:tentative="1">
      <w:start w:val="1"/>
      <w:numFmt w:val="bullet"/>
      <w:lvlText w:val=""/>
      <w:lvlJc w:val="left"/>
      <w:pPr>
        <w:ind w:left="2201" w:hanging="360"/>
      </w:pPr>
      <w:rPr>
        <w:rFonts w:ascii="Wingdings" w:hAnsi="Wingdings" w:hint="default"/>
      </w:rPr>
    </w:lvl>
    <w:lvl w:ilvl="3" w:tplc="04160001" w:tentative="1">
      <w:start w:val="1"/>
      <w:numFmt w:val="bullet"/>
      <w:lvlText w:val=""/>
      <w:lvlJc w:val="left"/>
      <w:pPr>
        <w:ind w:left="2921" w:hanging="360"/>
      </w:pPr>
      <w:rPr>
        <w:rFonts w:ascii="Symbol" w:hAnsi="Symbol" w:hint="default"/>
      </w:rPr>
    </w:lvl>
    <w:lvl w:ilvl="4" w:tplc="04160003" w:tentative="1">
      <w:start w:val="1"/>
      <w:numFmt w:val="bullet"/>
      <w:lvlText w:val="o"/>
      <w:lvlJc w:val="left"/>
      <w:pPr>
        <w:ind w:left="3641" w:hanging="360"/>
      </w:pPr>
      <w:rPr>
        <w:rFonts w:ascii="Courier New" w:hAnsi="Courier New" w:cs="Courier New" w:hint="default"/>
      </w:rPr>
    </w:lvl>
    <w:lvl w:ilvl="5" w:tplc="04160005" w:tentative="1">
      <w:start w:val="1"/>
      <w:numFmt w:val="bullet"/>
      <w:lvlText w:val=""/>
      <w:lvlJc w:val="left"/>
      <w:pPr>
        <w:ind w:left="4361" w:hanging="360"/>
      </w:pPr>
      <w:rPr>
        <w:rFonts w:ascii="Wingdings" w:hAnsi="Wingdings" w:hint="default"/>
      </w:rPr>
    </w:lvl>
    <w:lvl w:ilvl="6" w:tplc="04160001" w:tentative="1">
      <w:start w:val="1"/>
      <w:numFmt w:val="bullet"/>
      <w:lvlText w:val=""/>
      <w:lvlJc w:val="left"/>
      <w:pPr>
        <w:ind w:left="5081" w:hanging="360"/>
      </w:pPr>
      <w:rPr>
        <w:rFonts w:ascii="Symbol" w:hAnsi="Symbol" w:hint="default"/>
      </w:rPr>
    </w:lvl>
    <w:lvl w:ilvl="7" w:tplc="04160003" w:tentative="1">
      <w:start w:val="1"/>
      <w:numFmt w:val="bullet"/>
      <w:lvlText w:val="o"/>
      <w:lvlJc w:val="left"/>
      <w:pPr>
        <w:ind w:left="5801" w:hanging="360"/>
      </w:pPr>
      <w:rPr>
        <w:rFonts w:ascii="Courier New" w:hAnsi="Courier New" w:cs="Courier New" w:hint="default"/>
      </w:rPr>
    </w:lvl>
    <w:lvl w:ilvl="8" w:tplc="04160005" w:tentative="1">
      <w:start w:val="1"/>
      <w:numFmt w:val="bullet"/>
      <w:lvlText w:val=""/>
      <w:lvlJc w:val="left"/>
      <w:pPr>
        <w:ind w:left="6521" w:hanging="360"/>
      </w:pPr>
      <w:rPr>
        <w:rFonts w:ascii="Wingdings" w:hAnsi="Wingdings" w:hint="default"/>
      </w:rPr>
    </w:lvl>
  </w:abstractNum>
  <w:abstractNum w:abstractNumId="165">
    <w:nsid w:val="221374BF"/>
    <w:multiLevelType w:val="hybridMultilevel"/>
    <w:tmpl w:val="9B662140"/>
    <w:lvl w:ilvl="0" w:tplc="04160001">
      <w:start w:val="1"/>
      <w:numFmt w:val="lowerLetter"/>
      <w:lvlText w:val="%1)"/>
      <w:lvlJc w:val="left"/>
      <w:pPr>
        <w:ind w:left="720" w:hanging="360"/>
      </w:p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166">
    <w:nsid w:val="221A664F"/>
    <w:multiLevelType w:val="multilevel"/>
    <w:tmpl w:val="61CA17C2"/>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nsid w:val="222C30FF"/>
    <w:multiLevelType w:val="multilevel"/>
    <w:tmpl w:val="BCE64AA8"/>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nsid w:val="22635F4B"/>
    <w:multiLevelType w:val="hybridMultilevel"/>
    <w:tmpl w:val="17627D9A"/>
    <w:lvl w:ilvl="0" w:tplc="819A65CE">
      <w:start w:val="1"/>
      <w:numFmt w:val="bullet"/>
      <w:lvlText w:val=""/>
      <w:lvlJc w:val="left"/>
      <w:pPr>
        <w:ind w:left="1440" w:hanging="360"/>
      </w:pPr>
      <w:rPr>
        <w:rFonts w:ascii="Symbol" w:hAnsi="Symbol" w:hint="default"/>
      </w:rPr>
    </w:lvl>
    <w:lvl w:ilvl="1" w:tplc="157474FA" w:tentative="1">
      <w:start w:val="1"/>
      <w:numFmt w:val="bullet"/>
      <w:lvlText w:val="o"/>
      <w:lvlJc w:val="left"/>
      <w:pPr>
        <w:ind w:left="2160" w:hanging="360"/>
      </w:pPr>
      <w:rPr>
        <w:rFonts w:ascii="Courier New" w:hAnsi="Courier New" w:cs="Courier New" w:hint="default"/>
      </w:rPr>
    </w:lvl>
    <w:lvl w:ilvl="2" w:tplc="24727E1A" w:tentative="1">
      <w:start w:val="1"/>
      <w:numFmt w:val="bullet"/>
      <w:lvlText w:val=""/>
      <w:lvlJc w:val="left"/>
      <w:pPr>
        <w:ind w:left="2880" w:hanging="360"/>
      </w:pPr>
      <w:rPr>
        <w:rFonts w:ascii="Wingdings" w:hAnsi="Wingdings" w:hint="default"/>
      </w:rPr>
    </w:lvl>
    <w:lvl w:ilvl="3" w:tplc="32C6503A" w:tentative="1">
      <w:start w:val="1"/>
      <w:numFmt w:val="bullet"/>
      <w:lvlText w:val=""/>
      <w:lvlJc w:val="left"/>
      <w:pPr>
        <w:ind w:left="3600" w:hanging="360"/>
      </w:pPr>
      <w:rPr>
        <w:rFonts w:ascii="Symbol" w:hAnsi="Symbol" w:hint="default"/>
      </w:rPr>
    </w:lvl>
    <w:lvl w:ilvl="4" w:tplc="1646F0D2" w:tentative="1">
      <w:start w:val="1"/>
      <w:numFmt w:val="bullet"/>
      <w:lvlText w:val="o"/>
      <w:lvlJc w:val="left"/>
      <w:pPr>
        <w:ind w:left="4320" w:hanging="360"/>
      </w:pPr>
      <w:rPr>
        <w:rFonts w:ascii="Courier New" w:hAnsi="Courier New" w:cs="Courier New" w:hint="default"/>
      </w:rPr>
    </w:lvl>
    <w:lvl w:ilvl="5" w:tplc="3E6AEE5C" w:tentative="1">
      <w:start w:val="1"/>
      <w:numFmt w:val="bullet"/>
      <w:lvlText w:val=""/>
      <w:lvlJc w:val="left"/>
      <w:pPr>
        <w:ind w:left="5040" w:hanging="360"/>
      </w:pPr>
      <w:rPr>
        <w:rFonts w:ascii="Wingdings" w:hAnsi="Wingdings" w:hint="default"/>
      </w:rPr>
    </w:lvl>
    <w:lvl w:ilvl="6" w:tplc="F1142BB6" w:tentative="1">
      <w:start w:val="1"/>
      <w:numFmt w:val="bullet"/>
      <w:lvlText w:val=""/>
      <w:lvlJc w:val="left"/>
      <w:pPr>
        <w:ind w:left="5760" w:hanging="360"/>
      </w:pPr>
      <w:rPr>
        <w:rFonts w:ascii="Symbol" w:hAnsi="Symbol" w:hint="default"/>
      </w:rPr>
    </w:lvl>
    <w:lvl w:ilvl="7" w:tplc="54F6E3AA" w:tentative="1">
      <w:start w:val="1"/>
      <w:numFmt w:val="bullet"/>
      <w:lvlText w:val="o"/>
      <w:lvlJc w:val="left"/>
      <w:pPr>
        <w:ind w:left="6480" w:hanging="360"/>
      </w:pPr>
      <w:rPr>
        <w:rFonts w:ascii="Courier New" w:hAnsi="Courier New" w:cs="Courier New" w:hint="default"/>
      </w:rPr>
    </w:lvl>
    <w:lvl w:ilvl="8" w:tplc="9F18FD46" w:tentative="1">
      <w:start w:val="1"/>
      <w:numFmt w:val="bullet"/>
      <w:lvlText w:val=""/>
      <w:lvlJc w:val="left"/>
      <w:pPr>
        <w:ind w:left="7200" w:hanging="360"/>
      </w:pPr>
      <w:rPr>
        <w:rFonts w:ascii="Wingdings" w:hAnsi="Wingdings" w:hint="default"/>
      </w:rPr>
    </w:lvl>
  </w:abstractNum>
  <w:abstractNum w:abstractNumId="169">
    <w:nsid w:val="22AB2393"/>
    <w:multiLevelType w:val="hybridMultilevel"/>
    <w:tmpl w:val="7B167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235E7339"/>
    <w:multiLevelType w:val="hybridMultilevel"/>
    <w:tmpl w:val="47169AE4"/>
    <w:lvl w:ilvl="0" w:tplc="C6600DD0">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1">
    <w:nsid w:val="23A11BAE"/>
    <w:multiLevelType w:val="hybridMultilevel"/>
    <w:tmpl w:val="C0D409A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2">
    <w:nsid w:val="23AF3314"/>
    <w:multiLevelType w:val="hybridMultilevel"/>
    <w:tmpl w:val="4A309A4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3">
    <w:nsid w:val="24447957"/>
    <w:multiLevelType w:val="singleLevel"/>
    <w:tmpl w:val="9A64730A"/>
    <w:lvl w:ilvl="0">
      <w:start w:val="2"/>
      <w:numFmt w:val="upperRoman"/>
      <w:lvlText w:val="%1-"/>
      <w:lvlJc w:val="left"/>
      <w:pPr>
        <w:tabs>
          <w:tab w:val="num" w:pos="720"/>
        </w:tabs>
        <w:ind w:left="720" w:hanging="720"/>
      </w:pPr>
      <w:rPr>
        <w:rFonts w:hint="default"/>
        <w:b/>
      </w:rPr>
    </w:lvl>
  </w:abstractNum>
  <w:abstractNum w:abstractNumId="174">
    <w:nsid w:val="24B277B0"/>
    <w:multiLevelType w:val="hybridMultilevel"/>
    <w:tmpl w:val="B88ED53C"/>
    <w:lvl w:ilvl="0" w:tplc="E1D89D24">
      <w:start w:val="1"/>
      <w:numFmt w:val="bullet"/>
      <w:lvlText w:val="o"/>
      <w:lvlJc w:val="left"/>
      <w:pPr>
        <w:ind w:left="1854" w:hanging="360"/>
      </w:pPr>
      <w:rPr>
        <w:rFonts w:ascii="Courier New" w:hAnsi="Courier New" w:cs="Courier New" w:hint="default"/>
      </w:rPr>
    </w:lvl>
    <w:lvl w:ilvl="1" w:tplc="F7A2891A">
      <w:start w:val="1"/>
      <w:numFmt w:val="bullet"/>
      <w:lvlText w:val="o"/>
      <w:lvlJc w:val="left"/>
      <w:pPr>
        <w:ind w:left="2574" w:hanging="360"/>
      </w:pPr>
      <w:rPr>
        <w:rFonts w:ascii="Courier New" w:hAnsi="Courier New" w:cs="Courier New" w:hint="default"/>
      </w:rPr>
    </w:lvl>
    <w:lvl w:ilvl="2" w:tplc="16AAB61E" w:tentative="1">
      <w:start w:val="1"/>
      <w:numFmt w:val="bullet"/>
      <w:lvlText w:val=""/>
      <w:lvlJc w:val="left"/>
      <w:pPr>
        <w:ind w:left="3294" w:hanging="360"/>
      </w:pPr>
      <w:rPr>
        <w:rFonts w:ascii="Wingdings" w:hAnsi="Wingdings" w:hint="default"/>
      </w:rPr>
    </w:lvl>
    <w:lvl w:ilvl="3" w:tplc="1C74FA94" w:tentative="1">
      <w:start w:val="1"/>
      <w:numFmt w:val="bullet"/>
      <w:lvlText w:val=""/>
      <w:lvlJc w:val="left"/>
      <w:pPr>
        <w:ind w:left="4014" w:hanging="360"/>
      </w:pPr>
      <w:rPr>
        <w:rFonts w:ascii="Symbol" w:hAnsi="Symbol" w:hint="default"/>
      </w:rPr>
    </w:lvl>
    <w:lvl w:ilvl="4" w:tplc="C2721462" w:tentative="1">
      <w:start w:val="1"/>
      <w:numFmt w:val="bullet"/>
      <w:lvlText w:val="o"/>
      <w:lvlJc w:val="left"/>
      <w:pPr>
        <w:ind w:left="4734" w:hanging="360"/>
      </w:pPr>
      <w:rPr>
        <w:rFonts w:ascii="Courier New" w:hAnsi="Courier New" w:cs="Courier New" w:hint="default"/>
      </w:rPr>
    </w:lvl>
    <w:lvl w:ilvl="5" w:tplc="3F201B0E" w:tentative="1">
      <w:start w:val="1"/>
      <w:numFmt w:val="bullet"/>
      <w:lvlText w:val=""/>
      <w:lvlJc w:val="left"/>
      <w:pPr>
        <w:ind w:left="5454" w:hanging="360"/>
      </w:pPr>
      <w:rPr>
        <w:rFonts w:ascii="Wingdings" w:hAnsi="Wingdings" w:hint="default"/>
      </w:rPr>
    </w:lvl>
    <w:lvl w:ilvl="6" w:tplc="5E5C6690" w:tentative="1">
      <w:start w:val="1"/>
      <w:numFmt w:val="bullet"/>
      <w:lvlText w:val=""/>
      <w:lvlJc w:val="left"/>
      <w:pPr>
        <w:ind w:left="6174" w:hanging="360"/>
      </w:pPr>
      <w:rPr>
        <w:rFonts w:ascii="Symbol" w:hAnsi="Symbol" w:hint="default"/>
      </w:rPr>
    </w:lvl>
    <w:lvl w:ilvl="7" w:tplc="0E0E8B2C" w:tentative="1">
      <w:start w:val="1"/>
      <w:numFmt w:val="bullet"/>
      <w:lvlText w:val="o"/>
      <w:lvlJc w:val="left"/>
      <w:pPr>
        <w:ind w:left="6894" w:hanging="360"/>
      </w:pPr>
      <w:rPr>
        <w:rFonts w:ascii="Courier New" w:hAnsi="Courier New" w:cs="Courier New" w:hint="default"/>
      </w:rPr>
    </w:lvl>
    <w:lvl w:ilvl="8" w:tplc="82BE51F6" w:tentative="1">
      <w:start w:val="1"/>
      <w:numFmt w:val="bullet"/>
      <w:lvlText w:val=""/>
      <w:lvlJc w:val="left"/>
      <w:pPr>
        <w:ind w:left="7614" w:hanging="360"/>
      </w:pPr>
      <w:rPr>
        <w:rFonts w:ascii="Wingdings" w:hAnsi="Wingdings" w:hint="default"/>
      </w:rPr>
    </w:lvl>
  </w:abstractNum>
  <w:abstractNum w:abstractNumId="175">
    <w:nsid w:val="24C55149"/>
    <w:multiLevelType w:val="hybridMultilevel"/>
    <w:tmpl w:val="8F7CF300"/>
    <w:lvl w:ilvl="0" w:tplc="04160017">
      <w:start w:val="1"/>
      <w:numFmt w:val="decimal"/>
      <w:lvlText w:val="%1."/>
      <w:lvlJc w:val="left"/>
      <w:pPr>
        <w:ind w:left="643" w:hanging="360"/>
      </w:pPr>
      <w:rPr>
        <w:rFonts w:hint="default"/>
      </w:rPr>
    </w:lvl>
    <w:lvl w:ilvl="1" w:tplc="04160019">
      <w:start w:val="1"/>
      <w:numFmt w:val="lowerLetter"/>
      <w:lvlText w:val="%2."/>
      <w:lvlJc w:val="left"/>
      <w:pPr>
        <w:ind w:left="1363" w:hanging="360"/>
      </w:pPr>
    </w:lvl>
    <w:lvl w:ilvl="2" w:tplc="0416001B">
      <w:start w:val="1"/>
      <w:numFmt w:val="lowerRoman"/>
      <w:lvlText w:val="%3."/>
      <w:lvlJc w:val="right"/>
      <w:pPr>
        <w:ind w:left="2083" w:hanging="180"/>
      </w:pPr>
    </w:lvl>
    <w:lvl w:ilvl="3" w:tplc="0416000F">
      <w:start w:val="1"/>
      <w:numFmt w:val="decimal"/>
      <w:lvlText w:val="%4."/>
      <w:lvlJc w:val="left"/>
      <w:pPr>
        <w:ind w:left="2803" w:hanging="360"/>
      </w:pPr>
    </w:lvl>
    <w:lvl w:ilvl="4" w:tplc="04160019">
      <w:start w:val="1"/>
      <w:numFmt w:val="lowerLetter"/>
      <w:lvlText w:val="%5."/>
      <w:lvlJc w:val="left"/>
      <w:pPr>
        <w:ind w:left="3523" w:hanging="360"/>
      </w:pPr>
    </w:lvl>
    <w:lvl w:ilvl="5" w:tplc="0416001B">
      <w:start w:val="1"/>
      <w:numFmt w:val="lowerRoman"/>
      <w:lvlText w:val="%6."/>
      <w:lvlJc w:val="right"/>
      <w:pPr>
        <w:ind w:left="4243" w:hanging="180"/>
      </w:pPr>
    </w:lvl>
    <w:lvl w:ilvl="6" w:tplc="0416000F">
      <w:start w:val="1"/>
      <w:numFmt w:val="decimal"/>
      <w:lvlText w:val="%7."/>
      <w:lvlJc w:val="left"/>
      <w:pPr>
        <w:ind w:left="4963" w:hanging="360"/>
      </w:pPr>
    </w:lvl>
    <w:lvl w:ilvl="7" w:tplc="04160019">
      <w:start w:val="1"/>
      <w:numFmt w:val="lowerLetter"/>
      <w:lvlText w:val="%8."/>
      <w:lvlJc w:val="left"/>
      <w:pPr>
        <w:ind w:left="5683" w:hanging="360"/>
      </w:pPr>
    </w:lvl>
    <w:lvl w:ilvl="8" w:tplc="0416001B">
      <w:start w:val="1"/>
      <w:numFmt w:val="lowerRoman"/>
      <w:lvlText w:val="%9."/>
      <w:lvlJc w:val="right"/>
      <w:pPr>
        <w:ind w:left="6403" w:hanging="180"/>
      </w:pPr>
    </w:lvl>
  </w:abstractNum>
  <w:abstractNum w:abstractNumId="176">
    <w:nsid w:val="251E2178"/>
    <w:multiLevelType w:val="multilevel"/>
    <w:tmpl w:val="D422D81A"/>
    <w:lvl w:ilvl="0">
      <w:start w:val="4"/>
      <w:numFmt w:val="decimal"/>
      <w:lvlText w:val="%1."/>
      <w:lvlJc w:val="left"/>
      <w:pPr>
        <w:ind w:left="540" w:hanging="540"/>
      </w:pPr>
      <w:rPr>
        <w:rFonts w:cs="Times New Roman"/>
        <w:b/>
      </w:rPr>
    </w:lvl>
    <w:lvl w:ilvl="1">
      <w:start w:val="8"/>
      <w:numFmt w:val="decimal"/>
      <w:lvlText w:val="%1.%2."/>
      <w:lvlJc w:val="left"/>
      <w:pPr>
        <w:ind w:left="1042" w:hanging="540"/>
      </w:pPr>
      <w:rPr>
        <w:rFonts w:cs="Times New Roman"/>
        <w:b/>
      </w:rPr>
    </w:lvl>
    <w:lvl w:ilvl="2">
      <w:start w:val="1"/>
      <w:numFmt w:val="decimal"/>
      <w:lvlText w:val="%1.%2.%3."/>
      <w:lvlJc w:val="left"/>
      <w:pPr>
        <w:ind w:left="1724" w:hanging="720"/>
      </w:pPr>
      <w:rPr>
        <w:rFonts w:cs="Times New Roman"/>
        <w:b/>
      </w:rPr>
    </w:lvl>
    <w:lvl w:ilvl="3">
      <w:start w:val="1"/>
      <w:numFmt w:val="decimal"/>
      <w:lvlText w:val="%1.%2.%3.%4."/>
      <w:lvlJc w:val="left"/>
      <w:pPr>
        <w:ind w:left="2226" w:hanging="720"/>
      </w:pPr>
      <w:rPr>
        <w:rFonts w:cs="Times New Roman"/>
      </w:rPr>
    </w:lvl>
    <w:lvl w:ilvl="4">
      <w:start w:val="1"/>
      <w:numFmt w:val="decimal"/>
      <w:lvlText w:val="%1.%2.%3.%4.%5."/>
      <w:lvlJc w:val="left"/>
      <w:pPr>
        <w:ind w:left="3088" w:hanging="1080"/>
      </w:pPr>
      <w:rPr>
        <w:rFonts w:cs="Times New Roman"/>
      </w:rPr>
    </w:lvl>
    <w:lvl w:ilvl="5">
      <w:start w:val="1"/>
      <w:numFmt w:val="decimal"/>
      <w:lvlText w:val="%1.%2.%3.%4.%5.%6."/>
      <w:lvlJc w:val="left"/>
      <w:pPr>
        <w:ind w:left="3590" w:hanging="1080"/>
      </w:pPr>
      <w:rPr>
        <w:rFonts w:cs="Times New Roman"/>
      </w:rPr>
    </w:lvl>
    <w:lvl w:ilvl="6">
      <w:start w:val="1"/>
      <w:numFmt w:val="decimal"/>
      <w:lvlText w:val="%1.%2.%3.%4.%5.%6.%7."/>
      <w:lvlJc w:val="left"/>
      <w:pPr>
        <w:ind w:left="4452" w:hanging="1440"/>
      </w:pPr>
      <w:rPr>
        <w:rFonts w:cs="Times New Roman"/>
      </w:rPr>
    </w:lvl>
    <w:lvl w:ilvl="7">
      <w:start w:val="1"/>
      <w:numFmt w:val="decimal"/>
      <w:lvlText w:val="%1.%2.%3.%4.%5.%6.%7.%8."/>
      <w:lvlJc w:val="left"/>
      <w:pPr>
        <w:ind w:left="4954" w:hanging="1440"/>
      </w:pPr>
      <w:rPr>
        <w:rFonts w:cs="Times New Roman"/>
      </w:rPr>
    </w:lvl>
    <w:lvl w:ilvl="8">
      <w:start w:val="1"/>
      <w:numFmt w:val="decimal"/>
      <w:lvlText w:val="%1.%2.%3.%4.%5.%6.%7.%8.%9."/>
      <w:lvlJc w:val="left"/>
      <w:pPr>
        <w:ind w:left="5816" w:hanging="1800"/>
      </w:pPr>
      <w:rPr>
        <w:rFonts w:cs="Times New Roman"/>
      </w:rPr>
    </w:lvl>
  </w:abstractNum>
  <w:abstractNum w:abstractNumId="177">
    <w:nsid w:val="252F262F"/>
    <w:multiLevelType w:val="hybridMultilevel"/>
    <w:tmpl w:val="B97A1324"/>
    <w:lvl w:ilvl="0" w:tplc="04160003">
      <w:start w:val="1"/>
      <w:numFmt w:val="bullet"/>
      <w:lvlText w:val=""/>
      <w:lvlJc w:val="left"/>
      <w:pPr>
        <w:ind w:left="644" w:hanging="360"/>
      </w:pPr>
      <w:rPr>
        <w:rFonts w:ascii="Symbol" w:hAnsi="Symbol" w:hint="default"/>
      </w:rPr>
    </w:lvl>
    <w:lvl w:ilvl="1" w:tplc="04160003" w:tentative="1">
      <w:start w:val="1"/>
      <w:numFmt w:val="bullet"/>
      <w:lvlText w:val="o"/>
      <w:lvlJc w:val="left"/>
      <w:pPr>
        <w:ind w:left="1364" w:hanging="360"/>
      </w:pPr>
      <w:rPr>
        <w:rFonts w:ascii="Courier New" w:hAnsi="Courier New" w:cs="Courier New" w:hint="default"/>
      </w:rPr>
    </w:lvl>
    <w:lvl w:ilvl="2" w:tplc="04160005" w:tentative="1">
      <w:start w:val="1"/>
      <w:numFmt w:val="bullet"/>
      <w:lvlText w:val=""/>
      <w:lvlJc w:val="left"/>
      <w:pPr>
        <w:ind w:left="2084" w:hanging="360"/>
      </w:pPr>
      <w:rPr>
        <w:rFonts w:ascii="Wingdings" w:hAnsi="Wingdings" w:hint="default"/>
      </w:rPr>
    </w:lvl>
    <w:lvl w:ilvl="3" w:tplc="04160001" w:tentative="1">
      <w:start w:val="1"/>
      <w:numFmt w:val="bullet"/>
      <w:lvlText w:val=""/>
      <w:lvlJc w:val="left"/>
      <w:pPr>
        <w:ind w:left="2804" w:hanging="360"/>
      </w:pPr>
      <w:rPr>
        <w:rFonts w:ascii="Symbol" w:hAnsi="Symbol" w:hint="default"/>
      </w:rPr>
    </w:lvl>
    <w:lvl w:ilvl="4" w:tplc="04160003" w:tentative="1">
      <w:start w:val="1"/>
      <w:numFmt w:val="bullet"/>
      <w:lvlText w:val="o"/>
      <w:lvlJc w:val="left"/>
      <w:pPr>
        <w:ind w:left="3524" w:hanging="360"/>
      </w:pPr>
      <w:rPr>
        <w:rFonts w:ascii="Courier New" w:hAnsi="Courier New" w:cs="Courier New" w:hint="default"/>
      </w:rPr>
    </w:lvl>
    <w:lvl w:ilvl="5" w:tplc="04160005" w:tentative="1">
      <w:start w:val="1"/>
      <w:numFmt w:val="bullet"/>
      <w:lvlText w:val=""/>
      <w:lvlJc w:val="left"/>
      <w:pPr>
        <w:ind w:left="4244" w:hanging="360"/>
      </w:pPr>
      <w:rPr>
        <w:rFonts w:ascii="Wingdings" w:hAnsi="Wingdings" w:hint="default"/>
      </w:rPr>
    </w:lvl>
    <w:lvl w:ilvl="6" w:tplc="04160001" w:tentative="1">
      <w:start w:val="1"/>
      <w:numFmt w:val="bullet"/>
      <w:lvlText w:val=""/>
      <w:lvlJc w:val="left"/>
      <w:pPr>
        <w:ind w:left="4964" w:hanging="360"/>
      </w:pPr>
      <w:rPr>
        <w:rFonts w:ascii="Symbol" w:hAnsi="Symbol" w:hint="default"/>
      </w:rPr>
    </w:lvl>
    <w:lvl w:ilvl="7" w:tplc="04160003" w:tentative="1">
      <w:start w:val="1"/>
      <w:numFmt w:val="bullet"/>
      <w:lvlText w:val="o"/>
      <w:lvlJc w:val="left"/>
      <w:pPr>
        <w:ind w:left="5684" w:hanging="360"/>
      </w:pPr>
      <w:rPr>
        <w:rFonts w:ascii="Courier New" w:hAnsi="Courier New" w:cs="Courier New" w:hint="default"/>
      </w:rPr>
    </w:lvl>
    <w:lvl w:ilvl="8" w:tplc="04160005" w:tentative="1">
      <w:start w:val="1"/>
      <w:numFmt w:val="bullet"/>
      <w:lvlText w:val=""/>
      <w:lvlJc w:val="left"/>
      <w:pPr>
        <w:ind w:left="6404" w:hanging="360"/>
      </w:pPr>
      <w:rPr>
        <w:rFonts w:ascii="Wingdings" w:hAnsi="Wingdings" w:hint="default"/>
      </w:rPr>
    </w:lvl>
  </w:abstractNum>
  <w:abstractNum w:abstractNumId="178">
    <w:nsid w:val="255E5295"/>
    <w:multiLevelType w:val="hybridMultilevel"/>
    <w:tmpl w:val="D5E65734"/>
    <w:lvl w:ilvl="0" w:tplc="F9E09C22">
      <w:start w:val="1"/>
      <w:numFmt w:val="bullet"/>
      <w:lvlText w:val=""/>
      <w:lvlJc w:val="left"/>
      <w:pPr>
        <w:ind w:left="360" w:hanging="360"/>
      </w:pPr>
      <w:rPr>
        <w:rFonts w:ascii="Wingdings" w:hAnsi="Wingdings" w:hint="default"/>
      </w:rPr>
    </w:lvl>
    <w:lvl w:ilvl="1" w:tplc="04160019" w:tentative="1">
      <w:start w:val="1"/>
      <w:numFmt w:val="bullet"/>
      <w:lvlText w:val="o"/>
      <w:lvlJc w:val="left"/>
      <w:pPr>
        <w:ind w:left="1080" w:hanging="360"/>
      </w:pPr>
      <w:rPr>
        <w:rFonts w:ascii="Courier New" w:hAnsi="Courier New" w:cs="Courier New" w:hint="default"/>
      </w:rPr>
    </w:lvl>
    <w:lvl w:ilvl="2" w:tplc="0416001B" w:tentative="1">
      <w:start w:val="1"/>
      <w:numFmt w:val="bullet"/>
      <w:lvlText w:val=""/>
      <w:lvlJc w:val="left"/>
      <w:pPr>
        <w:ind w:left="1800" w:hanging="360"/>
      </w:pPr>
      <w:rPr>
        <w:rFonts w:ascii="Wingdings" w:hAnsi="Wingdings" w:hint="default"/>
      </w:rPr>
    </w:lvl>
    <w:lvl w:ilvl="3" w:tplc="0416000F" w:tentative="1">
      <w:start w:val="1"/>
      <w:numFmt w:val="bullet"/>
      <w:lvlText w:val=""/>
      <w:lvlJc w:val="left"/>
      <w:pPr>
        <w:ind w:left="2520" w:hanging="360"/>
      </w:pPr>
      <w:rPr>
        <w:rFonts w:ascii="Symbol" w:hAnsi="Symbol" w:hint="default"/>
      </w:rPr>
    </w:lvl>
    <w:lvl w:ilvl="4" w:tplc="04160019" w:tentative="1">
      <w:start w:val="1"/>
      <w:numFmt w:val="bullet"/>
      <w:lvlText w:val="o"/>
      <w:lvlJc w:val="left"/>
      <w:pPr>
        <w:ind w:left="3240" w:hanging="360"/>
      </w:pPr>
      <w:rPr>
        <w:rFonts w:ascii="Courier New" w:hAnsi="Courier New" w:cs="Courier New" w:hint="default"/>
      </w:rPr>
    </w:lvl>
    <w:lvl w:ilvl="5" w:tplc="0416001B" w:tentative="1">
      <w:start w:val="1"/>
      <w:numFmt w:val="bullet"/>
      <w:lvlText w:val=""/>
      <w:lvlJc w:val="left"/>
      <w:pPr>
        <w:ind w:left="3960" w:hanging="360"/>
      </w:pPr>
      <w:rPr>
        <w:rFonts w:ascii="Wingdings" w:hAnsi="Wingdings" w:hint="default"/>
      </w:rPr>
    </w:lvl>
    <w:lvl w:ilvl="6" w:tplc="0416000F" w:tentative="1">
      <w:start w:val="1"/>
      <w:numFmt w:val="bullet"/>
      <w:lvlText w:val=""/>
      <w:lvlJc w:val="left"/>
      <w:pPr>
        <w:ind w:left="4680" w:hanging="360"/>
      </w:pPr>
      <w:rPr>
        <w:rFonts w:ascii="Symbol" w:hAnsi="Symbol" w:hint="default"/>
      </w:rPr>
    </w:lvl>
    <w:lvl w:ilvl="7" w:tplc="04160019" w:tentative="1">
      <w:start w:val="1"/>
      <w:numFmt w:val="bullet"/>
      <w:lvlText w:val="o"/>
      <w:lvlJc w:val="left"/>
      <w:pPr>
        <w:ind w:left="5400" w:hanging="360"/>
      </w:pPr>
      <w:rPr>
        <w:rFonts w:ascii="Courier New" w:hAnsi="Courier New" w:cs="Courier New" w:hint="default"/>
      </w:rPr>
    </w:lvl>
    <w:lvl w:ilvl="8" w:tplc="0416001B" w:tentative="1">
      <w:start w:val="1"/>
      <w:numFmt w:val="bullet"/>
      <w:lvlText w:val=""/>
      <w:lvlJc w:val="left"/>
      <w:pPr>
        <w:ind w:left="6120" w:hanging="360"/>
      </w:pPr>
      <w:rPr>
        <w:rFonts w:ascii="Wingdings" w:hAnsi="Wingdings" w:hint="default"/>
      </w:rPr>
    </w:lvl>
  </w:abstractNum>
  <w:abstractNum w:abstractNumId="179">
    <w:nsid w:val="25990C39"/>
    <w:multiLevelType w:val="hybridMultilevel"/>
    <w:tmpl w:val="4460AE2C"/>
    <w:lvl w:ilvl="0" w:tplc="0416000B">
      <w:start w:val="1"/>
      <w:numFmt w:val="bullet"/>
      <w:lvlText w:val=""/>
      <w:lvlJc w:val="left"/>
      <w:pPr>
        <w:ind w:left="1854" w:hanging="360"/>
      </w:pPr>
      <w:rPr>
        <w:rFonts w:ascii="Symbol" w:hAnsi="Symbol"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180">
    <w:nsid w:val="260F3D2F"/>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181">
    <w:nsid w:val="26390A6D"/>
    <w:multiLevelType w:val="hybridMultilevel"/>
    <w:tmpl w:val="5766461E"/>
    <w:lvl w:ilvl="0" w:tplc="53345ECC">
      <w:start w:val="1"/>
      <w:numFmt w:val="lowerLetter"/>
      <w:lvlText w:val="%1)"/>
      <w:lvlJc w:val="left"/>
      <w:pPr>
        <w:ind w:left="720" w:hanging="360"/>
      </w:pPr>
      <w:rPr>
        <w:rFonts w:hint="default"/>
        <w:sz w:val="24"/>
      </w:rPr>
    </w:lvl>
    <w:lvl w:ilvl="1" w:tplc="11CE7804" w:tentative="1">
      <w:start w:val="1"/>
      <w:numFmt w:val="lowerLetter"/>
      <w:lvlText w:val="%2."/>
      <w:lvlJc w:val="left"/>
      <w:pPr>
        <w:ind w:left="1440" w:hanging="360"/>
      </w:pPr>
    </w:lvl>
    <w:lvl w:ilvl="2" w:tplc="BEC04020" w:tentative="1">
      <w:start w:val="1"/>
      <w:numFmt w:val="lowerRoman"/>
      <w:lvlText w:val="%3."/>
      <w:lvlJc w:val="right"/>
      <w:pPr>
        <w:ind w:left="2160" w:hanging="180"/>
      </w:pPr>
    </w:lvl>
    <w:lvl w:ilvl="3" w:tplc="6854E7E8" w:tentative="1">
      <w:start w:val="1"/>
      <w:numFmt w:val="decimal"/>
      <w:lvlText w:val="%4."/>
      <w:lvlJc w:val="left"/>
      <w:pPr>
        <w:ind w:left="2880" w:hanging="360"/>
      </w:pPr>
    </w:lvl>
    <w:lvl w:ilvl="4" w:tplc="56406A4E" w:tentative="1">
      <w:start w:val="1"/>
      <w:numFmt w:val="lowerLetter"/>
      <w:lvlText w:val="%5."/>
      <w:lvlJc w:val="left"/>
      <w:pPr>
        <w:ind w:left="3600" w:hanging="360"/>
      </w:pPr>
    </w:lvl>
    <w:lvl w:ilvl="5" w:tplc="9A26399A" w:tentative="1">
      <w:start w:val="1"/>
      <w:numFmt w:val="lowerRoman"/>
      <w:lvlText w:val="%6."/>
      <w:lvlJc w:val="right"/>
      <w:pPr>
        <w:ind w:left="4320" w:hanging="180"/>
      </w:pPr>
    </w:lvl>
    <w:lvl w:ilvl="6" w:tplc="51A832EE" w:tentative="1">
      <w:start w:val="1"/>
      <w:numFmt w:val="decimal"/>
      <w:lvlText w:val="%7."/>
      <w:lvlJc w:val="left"/>
      <w:pPr>
        <w:ind w:left="5040" w:hanging="360"/>
      </w:pPr>
    </w:lvl>
    <w:lvl w:ilvl="7" w:tplc="37E48E48" w:tentative="1">
      <w:start w:val="1"/>
      <w:numFmt w:val="lowerLetter"/>
      <w:lvlText w:val="%8."/>
      <w:lvlJc w:val="left"/>
      <w:pPr>
        <w:ind w:left="5760" w:hanging="360"/>
      </w:pPr>
    </w:lvl>
    <w:lvl w:ilvl="8" w:tplc="D9C88E26" w:tentative="1">
      <w:start w:val="1"/>
      <w:numFmt w:val="lowerRoman"/>
      <w:lvlText w:val="%9."/>
      <w:lvlJc w:val="right"/>
      <w:pPr>
        <w:ind w:left="6480" w:hanging="180"/>
      </w:pPr>
    </w:lvl>
  </w:abstractNum>
  <w:abstractNum w:abstractNumId="182">
    <w:nsid w:val="265D04EB"/>
    <w:multiLevelType w:val="hybridMultilevel"/>
    <w:tmpl w:val="0EE81598"/>
    <w:lvl w:ilvl="0" w:tplc="792C061C">
      <w:start w:val="1"/>
      <w:numFmt w:val="bullet"/>
      <w:lvlText w:val=""/>
      <w:lvlJc w:val="left"/>
      <w:pPr>
        <w:ind w:left="1353" w:hanging="360"/>
      </w:pPr>
      <w:rPr>
        <w:rFonts w:ascii="Symbol" w:hAnsi="Symbol" w:hint="default"/>
        <w:b w:val="0"/>
      </w:r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183">
    <w:nsid w:val="26F65D3B"/>
    <w:multiLevelType w:val="hybridMultilevel"/>
    <w:tmpl w:val="15D84F2A"/>
    <w:lvl w:ilvl="0" w:tplc="38FA4888">
      <w:start w:val="1"/>
      <w:numFmt w:val="bullet"/>
      <w:lvlText w:val=""/>
      <w:lvlJc w:val="left"/>
      <w:pPr>
        <w:ind w:left="720" w:hanging="360"/>
      </w:pPr>
      <w:rPr>
        <w:rFonts w:ascii="Symbol" w:hAnsi="Symbol" w:hint="default"/>
      </w:rPr>
    </w:lvl>
    <w:lvl w:ilvl="1" w:tplc="EEAA7F1E" w:tentative="1">
      <w:start w:val="1"/>
      <w:numFmt w:val="bullet"/>
      <w:lvlText w:val="o"/>
      <w:lvlJc w:val="left"/>
      <w:pPr>
        <w:ind w:left="1440" w:hanging="360"/>
      </w:pPr>
      <w:rPr>
        <w:rFonts w:ascii="Courier New" w:hAnsi="Courier New" w:cs="Courier New" w:hint="default"/>
      </w:rPr>
    </w:lvl>
    <w:lvl w:ilvl="2" w:tplc="2480A092" w:tentative="1">
      <w:start w:val="1"/>
      <w:numFmt w:val="bullet"/>
      <w:lvlText w:val=""/>
      <w:lvlJc w:val="left"/>
      <w:pPr>
        <w:ind w:left="2160" w:hanging="360"/>
      </w:pPr>
      <w:rPr>
        <w:rFonts w:ascii="Wingdings" w:hAnsi="Wingdings" w:hint="default"/>
      </w:rPr>
    </w:lvl>
    <w:lvl w:ilvl="3" w:tplc="7206BD9A" w:tentative="1">
      <w:start w:val="1"/>
      <w:numFmt w:val="bullet"/>
      <w:lvlText w:val=""/>
      <w:lvlJc w:val="left"/>
      <w:pPr>
        <w:ind w:left="2880" w:hanging="360"/>
      </w:pPr>
      <w:rPr>
        <w:rFonts w:ascii="Symbol" w:hAnsi="Symbol" w:hint="default"/>
      </w:rPr>
    </w:lvl>
    <w:lvl w:ilvl="4" w:tplc="5622D816" w:tentative="1">
      <w:start w:val="1"/>
      <w:numFmt w:val="bullet"/>
      <w:lvlText w:val="o"/>
      <w:lvlJc w:val="left"/>
      <w:pPr>
        <w:ind w:left="3600" w:hanging="360"/>
      </w:pPr>
      <w:rPr>
        <w:rFonts w:ascii="Courier New" w:hAnsi="Courier New" w:cs="Courier New" w:hint="default"/>
      </w:rPr>
    </w:lvl>
    <w:lvl w:ilvl="5" w:tplc="75D25CF2" w:tentative="1">
      <w:start w:val="1"/>
      <w:numFmt w:val="bullet"/>
      <w:lvlText w:val=""/>
      <w:lvlJc w:val="left"/>
      <w:pPr>
        <w:ind w:left="4320" w:hanging="360"/>
      </w:pPr>
      <w:rPr>
        <w:rFonts w:ascii="Wingdings" w:hAnsi="Wingdings" w:hint="default"/>
      </w:rPr>
    </w:lvl>
    <w:lvl w:ilvl="6" w:tplc="45F2D210" w:tentative="1">
      <w:start w:val="1"/>
      <w:numFmt w:val="bullet"/>
      <w:lvlText w:val=""/>
      <w:lvlJc w:val="left"/>
      <w:pPr>
        <w:ind w:left="5040" w:hanging="360"/>
      </w:pPr>
      <w:rPr>
        <w:rFonts w:ascii="Symbol" w:hAnsi="Symbol" w:hint="default"/>
      </w:rPr>
    </w:lvl>
    <w:lvl w:ilvl="7" w:tplc="2A6E1076" w:tentative="1">
      <w:start w:val="1"/>
      <w:numFmt w:val="bullet"/>
      <w:lvlText w:val="o"/>
      <w:lvlJc w:val="left"/>
      <w:pPr>
        <w:ind w:left="5760" w:hanging="360"/>
      </w:pPr>
      <w:rPr>
        <w:rFonts w:ascii="Courier New" w:hAnsi="Courier New" w:cs="Courier New" w:hint="default"/>
      </w:rPr>
    </w:lvl>
    <w:lvl w:ilvl="8" w:tplc="BE2C53A6" w:tentative="1">
      <w:start w:val="1"/>
      <w:numFmt w:val="bullet"/>
      <w:lvlText w:val=""/>
      <w:lvlJc w:val="left"/>
      <w:pPr>
        <w:ind w:left="6480" w:hanging="360"/>
      </w:pPr>
      <w:rPr>
        <w:rFonts w:ascii="Wingdings" w:hAnsi="Wingdings" w:hint="default"/>
      </w:rPr>
    </w:lvl>
  </w:abstractNum>
  <w:abstractNum w:abstractNumId="184">
    <w:nsid w:val="27BB654F"/>
    <w:multiLevelType w:val="hybridMultilevel"/>
    <w:tmpl w:val="AE5C6F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5">
    <w:nsid w:val="27E77D52"/>
    <w:multiLevelType w:val="hybridMultilevel"/>
    <w:tmpl w:val="FD7ADBF6"/>
    <w:lvl w:ilvl="0" w:tplc="EB7A47EC">
      <w:start w:val="1"/>
      <w:numFmt w:val="lowerLetter"/>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186">
    <w:nsid w:val="27E95FD7"/>
    <w:multiLevelType w:val="hybridMultilevel"/>
    <w:tmpl w:val="FF8C69C6"/>
    <w:lvl w:ilvl="0" w:tplc="04160001">
      <w:start w:val="1"/>
      <w:numFmt w:val="lowerLetter"/>
      <w:lvlText w:val="%1)"/>
      <w:lvlJc w:val="left"/>
      <w:pPr>
        <w:ind w:left="1854" w:hanging="360"/>
      </w:pPr>
    </w:lvl>
    <w:lvl w:ilvl="1" w:tplc="04160003" w:tentative="1">
      <w:start w:val="1"/>
      <w:numFmt w:val="lowerLetter"/>
      <w:lvlText w:val="%2."/>
      <w:lvlJc w:val="left"/>
      <w:pPr>
        <w:ind w:left="2574" w:hanging="360"/>
      </w:pPr>
    </w:lvl>
    <w:lvl w:ilvl="2" w:tplc="04160005" w:tentative="1">
      <w:start w:val="1"/>
      <w:numFmt w:val="lowerRoman"/>
      <w:lvlText w:val="%3."/>
      <w:lvlJc w:val="right"/>
      <w:pPr>
        <w:ind w:left="3294" w:hanging="180"/>
      </w:pPr>
    </w:lvl>
    <w:lvl w:ilvl="3" w:tplc="04160001" w:tentative="1">
      <w:start w:val="1"/>
      <w:numFmt w:val="decimal"/>
      <w:lvlText w:val="%4."/>
      <w:lvlJc w:val="left"/>
      <w:pPr>
        <w:ind w:left="4014" w:hanging="360"/>
      </w:pPr>
    </w:lvl>
    <w:lvl w:ilvl="4" w:tplc="04160003" w:tentative="1">
      <w:start w:val="1"/>
      <w:numFmt w:val="lowerLetter"/>
      <w:lvlText w:val="%5."/>
      <w:lvlJc w:val="left"/>
      <w:pPr>
        <w:ind w:left="4734" w:hanging="360"/>
      </w:pPr>
    </w:lvl>
    <w:lvl w:ilvl="5" w:tplc="04160005" w:tentative="1">
      <w:start w:val="1"/>
      <w:numFmt w:val="lowerRoman"/>
      <w:lvlText w:val="%6."/>
      <w:lvlJc w:val="right"/>
      <w:pPr>
        <w:ind w:left="5454" w:hanging="180"/>
      </w:pPr>
    </w:lvl>
    <w:lvl w:ilvl="6" w:tplc="04160001" w:tentative="1">
      <w:start w:val="1"/>
      <w:numFmt w:val="decimal"/>
      <w:lvlText w:val="%7."/>
      <w:lvlJc w:val="left"/>
      <w:pPr>
        <w:ind w:left="6174" w:hanging="360"/>
      </w:pPr>
    </w:lvl>
    <w:lvl w:ilvl="7" w:tplc="04160003" w:tentative="1">
      <w:start w:val="1"/>
      <w:numFmt w:val="lowerLetter"/>
      <w:lvlText w:val="%8."/>
      <w:lvlJc w:val="left"/>
      <w:pPr>
        <w:ind w:left="6894" w:hanging="360"/>
      </w:pPr>
    </w:lvl>
    <w:lvl w:ilvl="8" w:tplc="04160005" w:tentative="1">
      <w:start w:val="1"/>
      <w:numFmt w:val="lowerRoman"/>
      <w:lvlText w:val="%9."/>
      <w:lvlJc w:val="right"/>
      <w:pPr>
        <w:ind w:left="7614" w:hanging="180"/>
      </w:pPr>
    </w:lvl>
  </w:abstractNum>
  <w:abstractNum w:abstractNumId="187">
    <w:nsid w:val="282F5298"/>
    <w:multiLevelType w:val="multilevel"/>
    <w:tmpl w:val="9072E56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8">
    <w:nsid w:val="28395622"/>
    <w:multiLevelType w:val="hybridMultilevel"/>
    <w:tmpl w:val="17962B44"/>
    <w:lvl w:ilvl="0" w:tplc="04160019">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89">
    <w:nsid w:val="28615A74"/>
    <w:multiLevelType w:val="hybridMultilevel"/>
    <w:tmpl w:val="A8D0C99E"/>
    <w:lvl w:ilvl="0" w:tplc="E1A63822">
      <w:start w:val="1"/>
      <w:numFmt w:val="bullet"/>
      <w:lvlText w:val=""/>
      <w:lvlJc w:val="left"/>
      <w:pPr>
        <w:ind w:left="720" w:hanging="360"/>
      </w:pPr>
      <w:rPr>
        <w:rFonts w:ascii="Wingdings" w:hAnsi="Wingdings" w:hint="default"/>
      </w:rPr>
    </w:lvl>
    <w:lvl w:ilvl="1" w:tplc="E22A05C2" w:tentative="1">
      <w:start w:val="1"/>
      <w:numFmt w:val="bullet"/>
      <w:lvlText w:val="o"/>
      <w:lvlJc w:val="left"/>
      <w:pPr>
        <w:ind w:left="1440" w:hanging="360"/>
      </w:pPr>
      <w:rPr>
        <w:rFonts w:ascii="Courier New" w:hAnsi="Courier New" w:cs="Courier New" w:hint="default"/>
      </w:rPr>
    </w:lvl>
    <w:lvl w:ilvl="2" w:tplc="6178AB5E" w:tentative="1">
      <w:start w:val="1"/>
      <w:numFmt w:val="bullet"/>
      <w:lvlText w:val=""/>
      <w:lvlJc w:val="left"/>
      <w:pPr>
        <w:ind w:left="2160" w:hanging="360"/>
      </w:pPr>
      <w:rPr>
        <w:rFonts w:ascii="Wingdings" w:hAnsi="Wingdings" w:hint="default"/>
      </w:rPr>
    </w:lvl>
    <w:lvl w:ilvl="3" w:tplc="E8FCAE8C" w:tentative="1">
      <w:start w:val="1"/>
      <w:numFmt w:val="bullet"/>
      <w:lvlText w:val=""/>
      <w:lvlJc w:val="left"/>
      <w:pPr>
        <w:ind w:left="2880" w:hanging="360"/>
      </w:pPr>
      <w:rPr>
        <w:rFonts w:ascii="Symbol" w:hAnsi="Symbol" w:hint="default"/>
      </w:rPr>
    </w:lvl>
    <w:lvl w:ilvl="4" w:tplc="D004B406" w:tentative="1">
      <w:start w:val="1"/>
      <w:numFmt w:val="bullet"/>
      <w:lvlText w:val="o"/>
      <w:lvlJc w:val="left"/>
      <w:pPr>
        <w:ind w:left="3600" w:hanging="360"/>
      </w:pPr>
      <w:rPr>
        <w:rFonts w:ascii="Courier New" w:hAnsi="Courier New" w:cs="Courier New" w:hint="default"/>
      </w:rPr>
    </w:lvl>
    <w:lvl w:ilvl="5" w:tplc="E0722746" w:tentative="1">
      <w:start w:val="1"/>
      <w:numFmt w:val="bullet"/>
      <w:lvlText w:val=""/>
      <w:lvlJc w:val="left"/>
      <w:pPr>
        <w:ind w:left="4320" w:hanging="360"/>
      </w:pPr>
      <w:rPr>
        <w:rFonts w:ascii="Wingdings" w:hAnsi="Wingdings" w:hint="default"/>
      </w:rPr>
    </w:lvl>
    <w:lvl w:ilvl="6" w:tplc="F5BCAE1E" w:tentative="1">
      <w:start w:val="1"/>
      <w:numFmt w:val="bullet"/>
      <w:lvlText w:val=""/>
      <w:lvlJc w:val="left"/>
      <w:pPr>
        <w:ind w:left="5040" w:hanging="360"/>
      </w:pPr>
      <w:rPr>
        <w:rFonts w:ascii="Symbol" w:hAnsi="Symbol" w:hint="default"/>
      </w:rPr>
    </w:lvl>
    <w:lvl w:ilvl="7" w:tplc="490A9714" w:tentative="1">
      <w:start w:val="1"/>
      <w:numFmt w:val="bullet"/>
      <w:lvlText w:val="o"/>
      <w:lvlJc w:val="left"/>
      <w:pPr>
        <w:ind w:left="5760" w:hanging="360"/>
      </w:pPr>
      <w:rPr>
        <w:rFonts w:ascii="Courier New" w:hAnsi="Courier New" w:cs="Courier New" w:hint="default"/>
      </w:rPr>
    </w:lvl>
    <w:lvl w:ilvl="8" w:tplc="485C5E44" w:tentative="1">
      <w:start w:val="1"/>
      <w:numFmt w:val="bullet"/>
      <w:lvlText w:val=""/>
      <w:lvlJc w:val="left"/>
      <w:pPr>
        <w:ind w:left="6480" w:hanging="360"/>
      </w:pPr>
      <w:rPr>
        <w:rFonts w:ascii="Wingdings" w:hAnsi="Wingdings" w:hint="default"/>
      </w:rPr>
    </w:lvl>
  </w:abstractNum>
  <w:abstractNum w:abstractNumId="190">
    <w:nsid w:val="28EC25BC"/>
    <w:multiLevelType w:val="hybridMultilevel"/>
    <w:tmpl w:val="A468A3C2"/>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91">
    <w:nsid w:val="29182BFB"/>
    <w:multiLevelType w:val="hybridMultilevel"/>
    <w:tmpl w:val="0A968048"/>
    <w:lvl w:ilvl="0" w:tplc="04160001">
      <w:start w:val="1"/>
      <w:numFmt w:val="bullet"/>
      <w:lvlText w:val=""/>
      <w:lvlJc w:val="left"/>
      <w:pPr>
        <w:tabs>
          <w:tab w:val="num" w:pos="1854"/>
        </w:tabs>
        <w:ind w:left="1854" w:hanging="360"/>
      </w:pPr>
      <w:rPr>
        <w:rFonts w:ascii="Wingdings 3" w:hAnsi="Wingdings 3" w:hint="default"/>
      </w:rPr>
    </w:lvl>
    <w:lvl w:ilvl="1" w:tplc="04160003" w:tentative="1">
      <w:start w:val="1"/>
      <w:numFmt w:val="bullet"/>
      <w:lvlText w:val="o"/>
      <w:lvlJc w:val="left"/>
      <w:pPr>
        <w:tabs>
          <w:tab w:val="num" w:pos="2574"/>
        </w:tabs>
        <w:ind w:left="2574" w:hanging="360"/>
      </w:pPr>
      <w:rPr>
        <w:rFonts w:ascii="Courier New" w:hAnsi="Courier New" w:cs="Courier New" w:hint="default"/>
      </w:rPr>
    </w:lvl>
    <w:lvl w:ilvl="2" w:tplc="04160005" w:tentative="1">
      <w:start w:val="1"/>
      <w:numFmt w:val="bullet"/>
      <w:lvlText w:val=""/>
      <w:lvlJc w:val="left"/>
      <w:pPr>
        <w:tabs>
          <w:tab w:val="num" w:pos="3294"/>
        </w:tabs>
        <w:ind w:left="3294" w:hanging="360"/>
      </w:pPr>
      <w:rPr>
        <w:rFonts w:ascii="Wingdings" w:hAnsi="Wingdings" w:hint="default"/>
      </w:rPr>
    </w:lvl>
    <w:lvl w:ilvl="3" w:tplc="04160001" w:tentative="1">
      <w:start w:val="1"/>
      <w:numFmt w:val="bullet"/>
      <w:lvlText w:val=""/>
      <w:lvlJc w:val="left"/>
      <w:pPr>
        <w:tabs>
          <w:tab w:val="num" w:pos="4014"/>
        </w:tabs>
        <w:ind w:left="4014" w:hanging="360"/>
      </w:pPr>
      <w:rPr>
        <w:rFonts w:ascii="Symbol" w:hAnsi="Symbol" w:hint="default"/>
      </w:rPr>
    </w:lvl>
    <w:lvl w:ilvl="4" w:tplc="04160003" w:tentative="1">
      <w:start w:val="1"/>
      <w:numFmt w:val="bullet"/>
      <w:lvlText w:val="o"/>
      <w:lvlJc w:val="left"/>
      <w:pPr>
        <w:tabs>
          <w:tab w:val="num" w:pos="4734"/>
        </w:tabs>
        <w:ind w:left="4734" w:hanging="360"/>
      </w:pPr>
      <w:rPr>
        <w:rFonts w:ascii="Courier New" w:hAnsi="Courier New" w:cs="Courier New" w:hint="default"/>
      </w:rPr>
    </w:lvl>
    <w:lvl w:ilvl="5" w:tplc="04160005" w:tentative="1">
      <w:start w:val="1"/>
      <w:numFmt w:val="bullet"/>
      <w:lvlText w:val=""/>
      <w:lvlJc w:val="left"/>
      <w:pPr>
        <w:tabs>
          <w:tab w:val="num" w:pos="5454"/>
        </w:tabs>
        <w:ind w:left="5454" w:hanging="360"/>
      </w:pPr>
      <w:rPr>
        <w:rFonts w:ascii="Wingdings" w:hAnsi="Wingdings" w:hint="default"/>
      </w:rPr>
    </w:lvl>
    <w:lvl w:ilvl="6" w:tplc="04160001" w:tentative="1">
      <w:start w:val="1"/>
      <w:numFmt w:val="bullet"/>
      <w:lvlText w:val=""/>
      <w:lvlJc w:val="left"/>
      <w:pPr>
        <w:tabs>
          <w:tab w:val="num" w:pos="6174"/>
        </w:tabs>
        <w:ind w:left="6174" w:hanging="360"/>
      </w:pPr>
      <w:rPr>
        <w:rFonts w:ascii="Symbol" w:hAnsi="Symbol" w:hint="default"/>
      </w:rPr>
    </w:lvl>
    <w:lvl w:ilvl="7" w:tplc="04160003" w:tentative="1">
      <w:start w:val="1"/>
      <w:numFmt w:val="bullet"/>
      <w:lvlText w:val="o"/>
      <w:lvlJc w:val="left"/>
      <w:pPr>
        <w:tabs>
          <w:tab w:val="num" w:pos="6894"/>
        </w:tabs>
        <w:ind w:left="6894" w:hanging="360"/>
      </w:pPr>
      <w:rPr>
        <w:rFonts w:ascii="Courier New" w:hAnsi="Courier New" w:cs="Courier New" w:hint="default"/>
      </w:rPr>
    </w:lvl>
    <w:lvl w:ilvl="8" w:tplc="04160005" w:tentative="1">
      <w:start w:val="1"/>
      <w:numFmt w:val="bullet"/>
      <w:lvlText w:val=""/>
      <w:lvlJc w:val="left"/>
      <w:pPr>
        <w:tabs>
          <w:tab w:val="num" w:pos="7614"/>
        </w:tabs>
        <w:ind w:left="7614" w:hanging="360"/>
      </w:pPr>
      <w:rPr>
        <w:rFonts w:ascii="Wingdings" w:hAnsi="Wingdings" w:hint="default"/>
      </w:rPr>
    </w:lvl>
  </w:abstractNum>
  <w:abstractNum w:abstractNumId="192">
    <w:nsid w:val="29293AB7"/>
    <w:multiLevelType w:val="hybridMultilevel"/>
    <w:tmpl w:val="78889EFC"/>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93">
    <w:nsid w:val="29490F61"/>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194">
    <w:nsid w:val="2A967481"/>
    <w:multiLevelType w:val="hybridMultilevel"/>
    <w:tmpl w:val="89C2691A"/>
    <w:lvl w:ilvl="0" w:tplc="B7969FF4">
      <w:start w:val="1"/>
      <w:numFmt w:val="bullet"/>
      <w:lvlText w:val=""/>
      <w:lvlJc w:val="left"/>
      <w:pPr>
        <w:ind w:left="1854" w:hanging="360"/>
      </w:pPr>
      <w:rPr>
        <w:rFonts w:ascii="Wingdings" w:hAnsi="Wingdings" w:hint="default"/>
      </w:rPr>
    </w:lvl>
    <w:lvl w:ilvl="1" w:tplc="C60E95EE" w:tentative="1">
      <w:start w:val="1"/>
      <w:numFmt w:val="bullet"/>
      <w:lvlText w:val="o"/>
      <w:lvlJc w:val="left"/>
      <w:pPr>
        <w:ind w:left="2574" w:hanging="360"/>
      </w:pPr>
      <w:rPr>
        <w:rFonts w:ascii="Courier New" w:hAnsi="Courier New" w:cs="Courier New" w:hint="default"/>
      </w:rPr>
    </w:lvl>
    <w:lvl w:ilvl="2" w:tplc="491C3DA2" w:tentative="1">
      <w:start w:val="1"/>
      <w:numFmt w:val="bullet"/>
      <w:lvlText w:val=""/>
      <w:lvlJc w:val="left"/>
      <w:pPr>
        <w:ind w:left="3294" w:hanging="360"/>
      </w:pPr>
      <w:rPr>
        <w:rFonts w:ascii="Wingdings" w:hAnsi="Wingdings" w:hint="default"/>
      </w:rPr>
    </w:lvl>
    <w:lvl w:ilvl="3" w:tplc="EA382B76" w:tentative="1">
      <w:start w:val="1"/>
      <w:numFmt w:val="bullet"/>
      <w:lvlText w:val=""/>
      <w:lvlJc w:val="left"/>
      <w:pPr>
        <w:ind w:left="4014" w:hanging="360"/>
      </w:pPr>
      <w:rPr>
        <w:rFonts w:ascii="Symbol" w:hAnsi="Symbol" w:hint="default"/>
      </w:rPr>
    </w:lvl>
    <w:lvl w:ilvl="4" w:tplc="DC125600" w:tentative="1">
      <w:start w:val="1"/>
      <w:numFmt w:val="bullet"/>
      <w:lvlText w:val="o"/>
      <w:lvlJc w:val="left"/>
      <w:pPr>
        <w:ind w:left="4734" w:hanging="360"/>
      </w:pPr>
      <w:rPr>
        <w:rFonts w:ascii="Courier New" w:hAnsi="Courier New" w:cs="Courier New" w:hint="default"/>
      </w:rPr>
    </w:lvl>
    <w:lvl w:ilvl="5" w:tplc="A63E217A" w:tentative="1">
      <w:start w:val="1"/>
      <w:numFmt w:val="bullet"/>
      <w:lvlText w:val=""/>
      <w:lvlJc w:val="left"/>
      <w:pPr>
        <w:ind w:left="5454" w:hanging="360"/>
      </w:pPr>
      <w:rPr>
        <w:rFonts w:ascii="Wingdings" w:hAnsi="Wingdings" w:hint="default"/>
      </w:rPr>
    </w:lvl>
    <w:lvl w:ilvl="6" w:tplc="B9A45780" w:tentative="1">
      <w:start w:val="1"/>
      <w:numFmt w:val="bullet"/>
      <w:lvlText w:val=""/>
      <w:lvlJc w:val="left"/>
      <w:pPr>
        <w:ind w:left="6174" w:hanging="360"/>
      </w:pPr>
      <w:rPr>
        <w:rFonts w:ascii="Symbol" w:hAnsi="Symbol" w:hint="default"/>
      </w:rPr>
    </w:lvl>
    <w:lvl w:ilvl="7" w:tplc="4F3C288A" w:tentative="1">
      <w:start w:val="1"/>
      <w:numFmt w:val="bullet"/>
      <w:lvlText w:val="o"/>
      <w:lvlJc w:val="left"/>
      <w:pPr>
        <w:ind w:left="6894" w:hanging="360"/>
      </w:pPr>
      <w:rPr>
        <w:rFonts w:ascii="Courier New" w:hAnsi="Courier New" w:cs="Courier New" w:hint="default"/>
      </w:rPr>
    </w:lvl>
    <w:lvl w:ilvl="8" w:tplc="BE00B5C0" w:tentative="1">
      <w:start w:val="1"/>
      <w:numFmt w:val="bullet"/>
      <w:lvlText w:val=""/>
      <w:lvlJc w:val="left"/>
      <w:pPr>
        <w:ind w:left="7614" w:hanging="360"/>
      </w:pPr>
      <w:rPr>
        <w:rFonts w:ascii="Wingdings" w:hAnsi="Wingdings" w:hint="default"/>
      </w:rPr>
    </w:lvl>
  </w:abstractNum>
  <w:abstractNum w:abstractNumId="195">
    <w:nsid w:val="2B506274"/>
    <w:multiLevelType w:val="hybridMultilevel"/>
    <w:tmpl w:val="8690A5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6">
    <w:nsid w:val="2B8C47F4"/>
    <w:multiLevelType w:val="hybridMultilevel"/>
    <w:tmpl w:val="29B20384"/>
    <w:lvl w:ilvl="0" w:tplc="18A86404">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97">
    <w:nsid w:val="2B9C43D4"/>
    <w:multiLevelType w:val="multilevel"/>
    <w:tmpl w:val="D15E8490"/>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8">
    <w:nsid w:val="2BB7395F"/>
    <w:multiLevelType w:val="hybridMultilevel"/>
    <w:tmpl w:val="B730492A"/>
    <w:lvl w:ilvl="0" w:tplc="39DAEF70">
      <w:start w:val="1"/>
      <w:numFmt w:val="bullet"/>
      <w:lvlText w:val=""/>
      <w:lvlJc w:val="left"/>
      <w:pPr>
        <w:ind w:left="720" w:hanging="360"/>
      </w:pPr>
      <w:rPr>
        <w:rFonts w:ascii="Symbol" w:hAnsi="Symbol" w:hint="default"/>
      </w:rPr>
    </w:lvl>
    <w:lvl w:ilvl="1" w:tplc="3896343A" w:tentative="1">
      <w:start w:val="1"/>
      <w:numFmt w:val="bullet"/>
      <w:lvlText w:val="o"/>
      <w:lvlJc w:val="left"/>
      <w:pPr>
        <w:ind w:left="1440" w:hanging="360"/>
      </w:pPr>
      <w:rPr>
        <w:rFonts w:ascii="Courier New" w:hAnsi="Courier New" w:cs="Courier New" w:hint="default"/>
      </w:rPr>
    </w:lvl>
    <w:lvl w:ilvl="2" w:tplc="16C031C4" w:tentative="1">
      <w:start w:val="1"/>
      <w:numFmt w:val="bullet"/>
      <w:lvlText w:val=""/>
      <w:lvlJc w:val="left"/>
      <w:pPr>
        <w:ind w:left="2160" w:hanging="360"/>
      </w:pPr>
      <w:rPr>
        <w:rFonts w:ascii="Wingdings" w:hAnsi="Wingdings" w:hint="default"/>
      </w:rPr>
    </w:lvl>
    <w:lvl w:ilvl="3" w:tplc="71C03458" w:tentative="1">
      <w:start w:val="1"/>
      <w:numFmt w:val="bullet"/>
      <w:lvlText w:val=""/>
      <w:lvlJc w:val="left"/>
      <w:pPr>
        <w:ind w:left="2880" w:hanging="360"/>
      </w:pPr>
      <w:rPr>
        <w:rFonts w:ascii="Symbol" w:hAnsi="Symbol" w:hint="default"/>
      </w:rPr>
    </w:lvl>
    <w:lvl w:ilvl="4" w:tplc="5AB2C48C" w:tentative="1">
      <w:start w:val="1"/>
      <w:numFmt w:val="bullet"/>
      <w:lvlText w:val="o"/>
      <w:lvlJc w:val="left"/>
      <w:pPr>
        <w:ind w:left="3600" w:hanging="360"/>
      </w:pPr>
      <w:rPr>
        <w:rFonts w:ascii="Courier New" w:hAnsi="Courier New" w:cs="Courier New" w:hint="default"/>
      </w:rPr>
    </w:lvl>
    <w:lvl w:ilvl="5" w:tplc="C47667C4" w:tentative="1">
      <w:start w:val="1"/>
      <w:numFmt w:val="bullet"/>
      <w:lvlText w:val=""/>
      <w:lvlJc w:val="left"/>
      <w:pPr>
        <w:ind w:left="4320" w:hanging="360"/>
      </w:pPr>
      <w:rPr>
        <w:rFonts w:ascii="Wingdings" w:hAnsi="Wingdings" w:hint="default"/>
      </w:rPr>
    </w:lvl>
    <w:lvl w:ilvl="6" w:tplc="320EA796" w:tentative="1">
      <w:start w:val="1"/>
      <w:numFmt w:val="bullet"/>
      <w:lvlText w:val=""/>
      <w:lvlJc w:val="left"/>
      <w:pPr>
        <w:ind w:left="5040" w:hanging="360"/>
      </w:pPr>
      <w:rPr>
        <w:rFonts w:ascii="Symbol" w:hAnsi="Symbol" w:hint="default"/>
      </w:rPr>
    </w:lvl>
    <w:lvl w:ilvl="7" w:tplc="D2F23674" w:tentative="1">
      <w:start w:val="1"/>
      <w:numFmt w:val="bullet"/>
      <w:lvlText w:val="o"/>
      <w:lvlJc w:val="left"/>
      <w:pPr>
        <w:ind w:left="5760" w:hanging="360"/>
      </w:pPr>
      <w:rPr>
        <w:rFonts w:ascii="Courier New" w:hAnsi="Courier New" w:cs="Courier New" w:hint="default"/>
      </w:rPr>
    </w:lvl>
    <w:lvl w:ilvl="8" w:tplc="79FC2514" w:tentative="1">
      <w:start w:val="1"/>
      <w:numFmt w:val="bullet"/>
      <w:lvlText w:val=""/>
      <w:lvlJc w:val="left"/>
      <w:pPr>
        <w:ind w:left="6480" w:hanging="360"/>
      </w:pPr>
      <w:rPr>
        <w:rFonts w:ascii="Wingdings" w:hAnsi="Wingdings" w:hint="default"/>
      </w:rPr>
    </w:lvl>
  </w:abstractNum>
  <w:abstractNum w:abstractNumId="199">
    <w:nsid w:val="2BEF288A"/>
    <w:multiLevelType w:val="hybridMultilevel"/>
    <w:tmpl w:val="BA98CA2C"/>
    <w:lvl w:ilvl="0" w:tplc="0416000D">
      <w:start w:val="1"/>
      <w:numFmt w:val="decimal"/>
      <w:lvlText w:val="%1."/>
      <w:lvlJc w:val="left"/>
      <w:pPr>
        <w:tabs>
          <w:tab w:val="num" w:pos="644"/>
        </w:tabs>
        <w:ind w:left="644" w:hanging="360"/>
      </w:pPr>
      <w:rPr>
        <w:sz w:val="24"/>
        <w:szCs w:val="24"/>
      </w:r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200">
    <w:nsid w:val="2C102E66"/>
    <w:multiLevelType w:val="hybridMultilevel"/>
    <w:tmpl w:val="0A301B3E"/>
    <w:lvl w:ilvl="0" w:tplc="04160001">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01">
    <w:nsid w:val="2C253F9E"/>
    <w:multiLevelType w:val="hybridMultilevel"/>
    <w:tmpl w:val="31C4AE1C"/>
    <w:lvl w:ilvl="0" w:tplc="7B7849BE">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02">
    <w:nsid w:val="2C283A4F"/>
    <w:multiLevelType w:val="hybridMultilevel"/>
    <w:tmpl w:val="0AB88964"/>
    <w:lvl w:ilvl="0" w:tplc="04160001">
      <w:start w:val="1"/>
      <w:numFmt w:val="lowerRoman"/>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03">
    <w:nsid w:val="2C3F36B2"/>
    <w:multiLevelType w:val="hybridMultilevel"/>
    <w:tmpl w:val="EF18F9C6"/>
    <w:lvl w:ilvl="0" w:tplc="0416000B">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4">
    <w:nsid w:val="2C6F5A30"/>
    <w:multiLevelType w:val="hybridMultilevel"/>
    <w:tmpl w:val="4B321DC2"/>
    <w:lvl w:ilvl="0" w:tplc="967A50D2">
      <w:start w:val="20"/>
      <w:numFmt w:val="bullet"/>
      <w:lvlText w:val="-"/>
      <w:lvlJc w:val="left"/>
      <w:pPr>
        <w:ind w:left="1494" w:hanging="360"/>
      </w:pPr>
      <w:rPr>
        <w:rFonts w:ascii="Times New Roman" w:eastAsia="Calibri" w:hAnsi="Times New Roman" w:cs="Times New Roman" w:hint="default"/>
        <w:b/>
      </w:rPr>
    </w:lvl>
    <w:lvl w:ilvl="1" w:tplc="04160019" w:tentative="1">
      <w:start w:val="1"/>
      <w:numFmt w:val="bullet"/>
      <w:lvlText w:val="o"/>
      <w:lvlJc w:val="left"/>
      <w:pPr>
        <w:ind w:left="2214" w:hanging="360"/>
      </w:pPr>
      <w:rPr>
        <w:rFonts w:ascii="Courier New" w:hAnsi="Courier New" w:cs="Courier New" w:hint="default"/>
      </w:rPr>
    </w:lvl>
    <w:lvl w:ilvl="2" w:tplc="0416001B" w:tentative="1">
      <w:start w:val="1"/>
      <w:numFmt w:val="bullet"/>
      <w:lvlText w:val=""/>
      <w:lvlJc w:val="left"/>
      <w:pPr>
        <w:ind w:left="2934" w:hanging="360"/>
      </w:pPr>
      <w:rPr>
        <w:rFonts w:ascii="Wingdings" w:hAnsi="Wingdings" w:hint="default"/>
      </w:rPr>
    </w:lvl>
    <w:lvl w:ilvl="3" w:tplc="0416000F" w:tentative="1">
      <w:start w:val="1"/>
      <w:numFmt w:val="bullet"/>
      <w:lvlText w:val=""/>
      <w:lvlJc w:val="left"/>
      <w:pPr>
        <w:ind w:left="3654" w:hanging="360"/>
      </w:pPr>
      <w:rPr>
        <w:rFonts w:ascii="Symbol" w:hAnsi="Symbol" w:hint="default"/>
      </w:rPr>
    </w:lvl>
    <w:lvl w:ilvl="4" w:tplc="04160019" w:tentative="1">
      <w:start w:val="1"/>
      <w:numFmt w:val="bullet"/>
      <w:lvlText w:val="o"/>
      <w:lvlJc w:val="left"/>
      <w:pPr>
        <w:ind w:left="4374" w:hanging="360"/>
      </w:pPr>
      <w:rPr>
        <w:rFonts w:ascii="Courier New" w:hAnsi="Courier New" w:cs="Courier New" w:hint="default"/>
      </w:rPr>
    </w:lvl>
    <w:lvl w:ilvl="5" w:tplc="0416001B" w:tentative="1">
      <w:start w:val="1"/>
      <w:numFmt w:val="bullet"/>
      <w:lvlText w:val=""/>
      <w:lvlJc w:val="left"/>
      <w:pPr>
        <w:ind w:left="5094" w:hanging="360"/>
      </w:pPr>
      <w:rPr>
        <w:rFonts w:ascii="Wingdings" w:hAnsi="Wingdings" w:hint="default"/>
      </w:rPr>
    </w:lvl>
    <w:lvl w:ilvl="6" w:tplc="0416000F" w:tentative="1">
      <w:start w:val="1"/>
      <w:numFmt w:val="bullet"/>
      <w:lvlText w:val=""/>
      <w:lvlJc w:val="left"/>
      <w:pPr>
        <w:ind w:left="5814" w:hanging="360"/>
      </w:pPr>
      <w:rPr>
        <w:rFonts w:ascii="Symbol" w:hAnsi="Symbol" w:hint="default"/>
      </w:rPr>
    </w:lvl>
    <w:lvl w:ilvl="7" w:tplc="04160019" w:tentative="1">
      <w:start w:val="1"/>
      <w:numFmt w:val="bullet"/>
      <w:lvlText w:val="o"/>
      <w:lvlJc w:val="left"/>
      <w:pPr>
        <w:ind w:left="6534" w:hanging="360"/>
      </w:pPr>
      <w:rPr>
        <w:rFonts w:ascii="Courier New" w:hAnsi="Courier New" w:cs="Courier New" w:hint="default"/>
      </w:rPr>
    </w:lvl>
    <w:lvl w:ilvl="8" w:tplc="0416001B" w:tentative="1">
      <w:start w:val="1"/>
      <w:numFmt w:val="bullet"/>
      <w:lvlText w:val=""/>
      <w:lvlJc w:val="left"/>
      <w:pPr>
        <w:ind w:left="7254" w:hanging="360"/>
      </w:pPr>
      <w:rPr>
        <w:rFonts w:ascii="Wingdings" w:hAnsi="Wingdings" w:hint="default"/>
      </w:rPr>
    </w:lvl>
  </w:abstractNum>
  <w:abstractNum w:abstractNumId="205">
    <w:nsid w:val="2D2928B0"/>
    <w:multiLevelType w:val="hybridMultilevel"/>
    <w:tmpl w:val="68061F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nsid w:val="2D3A4E99"/>
    <w:multiLevelType w:val="hybridMultilevel"/>
    <w:tmpl w:val="F15615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7">
    <w:nsid w:val="2D46239F"/>
    <w:multiLevelType w:val="hybridMultilevel"/>
    <w:tmpl w:val="F89AAD40"/>
    <w:lvl w:ilvl="0" w:tplc="04160001">
      <w:start w:val="1"/>
      <w:numFmt w:val="lowerLetter"/>
      <w:lvlText w:val="%1)"/>
      <w:lvlJc w:val="left"/>
      <w:pPr>
        <w:ind w:left="927" w:hanging="360"/>
      </w:pPr>
      <w:rPr>
        <w:rFonts w:hint="default"/>
      </w:rPr>
    </w:lvl>
    <w:lvl w:ilvl="1" w:tplc="04160003" w:tentative="1">
      <w:start w:val="1"/>
      <w:numFmt w:val="lowerLetter"/>
      <w:lvlText w:val="%2."/>
      <w:lvlJc w:val="left"/>
      <w:pPr>
        <w:ind w:left="1647" w:hanging="360"/>
      </w:pPr>
    </w:lvl>
    <w:lvl w:ilvl="2" w:tplc="04160005">
      <w:start w:val="1"/>
      <w:numFmt w:val="lowerRoman"/>
      <w:lvlText w:val="%3."/>
      <w:lvlJc w:val="right"/>
      <w:pPr>
        <w:ind w:left="2367" w:hanging="180"/>
      </w:pPr>
    </w:lvl>
    <w:lvl w:ilvl="3" w:tplc="04160001" w:tentative="1">
      <w:start w:val="1"/>
      <w:numFmt w:val="decimal"/>
      <w:lvlText w:val="%4."/>
      <w:lvlJc w:val="left"/>
      <w:pPr>
        <w:ind w:left="3087" w:hanging="360"/>
      </w:pPr>
    </w:lvl>
    <w:lvl w:ilvl="4" w:tplc="04160003" w:tentative="1">
      <w:start w:val="1"/>
      <w:numFmt w:val="lowerLetter"/>
      <w:lvlText w:val="%5."/>
      <w:lvlJc w:val="left"/>
      <w:pPr>
        <w:ind w:left="3807" w:hanging="360"/>
      </w:pPr>
    </w:lvl>
    <w:lvl w:ilvl="5" w:tplc="04160005" w:tentative="1">
      <w:start w:val="1"/>
      <w:numFmt w:val="lowerRoman"/>
      <w:lvlText w:val="%6."/>
      <w:lvlJc w:val="right"/>
      <w:pPr>
        <w:ind w:left="4527" w:hanging="180"/>
      </w:pPr>
    </w:lvl>
    <w:lvl w:ilvl="6" w:tplc="04160001" w:tentative="1">
      <w:start w:val="1"/>
      <w:numFmt w:val="decimal"/>
      <w:lvlText w:val="%7."/>
      <w:lvlJc w:val="left"/>
      <w:pPr>
        <w:ind w:left="5247" w:hanging="360"/>
      </w:pPr>
    </w:lvl>
    <w:lvl w:ilvl="7" w:tplc="04160003" w:tentative="1">
      <w:start w:val="1"/>
      <w:numFmt w:val="lowerLetter"/>
      <w:lvlText w:val="%8."/>
      <w:lvlJc w:val="left"/>
      <w:pPr>
        <w:ind w:left="5967" w:hanging="360"/>
      </w:pPr>
    </w:lvl>
    <w:lvl w:ilvl="8" w:tplc="04160005" w:tentative="1">
      <w:start w:val="1"/>
      <w:numFmt w:val="lowerRoman"/>
      <w:lvlText w:val="%9."/>
      <w:lvlJc w:val="right"/>
      <w:pPr>
        <w:ind w:left="6687" w:hanging="180"/>
      </w:pPr>
    </w:lvl>
  </w:abstractNum>
  <w:abstractNum w:abstractNumId="208">
    <w:nsid w:val="2D5B3B36"/>
    <w:multiLevelType w:val="hybridMultilevel"/>
    <w:tmpl w:val="79BA437C"/>
    <w:lvl w:ilvl="0" w:tplc="DA34BE66">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09">
    <w:nsid w:val="2D5B4137"/>
    <w:multiLevelType w:val="hybridMultilevel"/>
    <w:tmpl w:val="F96657CC"/>
    <w:lvl w:ilvl="0" w:tplc="8A8A6D72">
      <w:start w:val="1"/>
      <w:numFmt w:val="lowerLetter"/>
      <w:lvlText w:val="%1)"/>
      <w:lvlJc w:val="left"/>
      <w:pPr>
        <w:ind w:left="1494" w:hanging="360"/>
      </w:pPr>
      <w:rPr>
        <w:rFonts w:hint="default"/>
      </w:rPr>
    </w:lvl>
    <w:lvl w:ilvl="1" w:tplc="04160003" w:tentative="1">
      <w:start w:val="1"/>
      <w:numFmt w:val="lowerLetter"/>
      <w:lvlText w:val="%2."/>
      <w:lvlJc w:val="left"/>
      <w:pPr>
        <w:ind w:left="2214" w:hanging="360"/>
      </w:pPr>
    </w:lvl>
    <w:lvl w:ilvl="2" w:tplc="04160005" w:tentative="1">
      <w:start w:val="1"/>
      <w:numFmt w:val="lowerRoman"/>
      <w:lvlText w:val="%3."/>
      <w:lvlJc w:val="right"/>
      <w:pPr>
        <w:ind w:left="2934" w:hanging="180"/>
      </w:pPr>
    </w:lvl>
    <w:lvl w:ilvl="3" w:tplc="04160001" w:tentative="1">
      <w:start w:val="1"/>
      <w:numFmt w:val="decimal"/>
      <w:lvlText w:val="%4."/>
      <w:lvlJc w:val="left"/>
      <w:pPr>
        <w:ind w:left="3654" w:hanging="360"/>
      </w:pPr>
    </w:lvl>
    <w:lvl w:ilvl="4" w:tplc="04160003" w:tentative="1">
      <w:start w:val="1"/>
      <w:numFmt w:val="lowerLetter"/>
      <w:lvlText w:val="%5."/>
      <w:lvlJc w:val="left"/>
      <w:pPr>
        <w:ind w:left="4374" w:hanging="360"/>
      </w:pPr>
    </w:lvl>
    <w:lvl w:ilvl="5" w:tplc="04160005" w:tentative="1">
      <w:start w:val="1"/>
      <w:numFmt w:val="lowerRoman"/>
      <w:lvlText w:val="%6."/>
      <w:lvlJc w:val="right"/>
      <w:pPr>
        <w:ind w:left="5094" w:hanging="180"/>
      </w:pPr>
    </w:lvl>
    <w:lvl w:ilvl="6" w:tplc="04160001" w:tentative="1">
      <w:start w:val="1"/>
      <w:numFmt w:val="decimal"/>
      <w:lvlText w:val="%7."/>
      <w:lvlJc w:val="left"/>
      <w:pPr>
        <w:ind w:left="5814" w:hanging="360"/>
      </w:pPr>
    </w:lvl>
    <w:lvl w:ilvl="7" w:tplc="04160003" w:tentative="1">
      <w:start w:val="1"/>
      <w:numFmt w:val="lowerLetter"/>
      <w:lvlText w:val="%8."/>
      <w:lvlJc w:val="left"/>
      <w:pPr>
        <w:ind w:left="6534" w:hanging="360"/>
      </w:pPr>
    </w:lvl>
    <w:lvl w:ilvl="8" w:tplc="04160005" w:tentative="1">
      <w:start w:val="1"/>
      <w:numFmt w:val="lowerRoman"/>
      <w:lvlText w:val="%9."/>
      <w:lvlJc w:val="right"/>
      <w:pPr>
        <w:ind w:left="7254" w:hanging="180"/>
      </w:pPr>
    </w:lvl>
  </w:abstractNum>
  <w:abstractNum w:abstractNumId="210">
    <w:nsid w:val="2D9A2147"/>
    <w:multiLevelType w:val="hybridMultilevel"/>
    <w:tmpl w:val="B80C1F60"/>
    <w:lvl w:ilvl="0" w:tplc="FEF0FD7A">
      <w:numFmt w:val="bullet"/>
      <w:pStyle w:val="j-quadradotexto"/>
      <w:lvlText w:val=""/>
      <w:lvlJc w:val="left"/>
      <w:pPr>
        <w:tabs>
          <w:tab w:val="num" w:pos="1069"/>
        </w:tabs>
        <w:ind w:left="1049" w:hanging="340"/>
      </w:pPr>
      <w:rPr>
        <w:rFonts w:ascii="Wingdings" w:hAnsi="Wingdings" w:hint="default"/>
        <w:b w:val="0"/>
        <w:i w:val="0"/>
        <w:color w:val="000000"/>
        <w:sz w:val="12"/>
      </w:rPr>
    </w:lvl>
    <w:lvl w:ilvl="1" w:tplc="04160019" w:tentative="1">
      <w:start w:val="1"/>
      <w:numFmt w:val="bullet"/>
      <w:lvlText w:val="o"/>
      <w:lvlJc w:val="left"/>
      <w:pPr>
        <w:tabs>
          <w:tab w:val="num" w:pos="2149"/>
        </w:tabs>
        <w:ind w:left="2149" w:hanging="360"/>
      </w:pPr>
      <w:rPr>
        <w:rFonts w:ascii="Courier New" w:hAnsi="Courier New" w:hint="default"/>
      </w:rPr>
    </w:lvl>
    <w:lvl w:ilvl="2" w:tplc="0416001B" w:tentative="1">
      <w:start w:val="1"/>
      <w:numFmt w:val="bullet"/>
      <w:lvlText w:val=""/>
      <w:lvlJc w:val="left"/>
      <w:pPr>
        <w:tabs>
          <w:tab w:val="num" w:pos="2869"/>
        </w:tabs>
        <w:ind w:left="2869" w:hanging="360"/>
      </w:pPr>
      <w:rPr>
        <w:rFonts w:ascii="Wingdings" w:hAnsi="Wingdings" w:hint="default"/>
      </w:rPr>
    </w:lvl>
    <w:lvl w:ilvl="3" w:tplc="0416000F" w:tentative="1">
      <w:start w:val="1"/>
      <w:numFmt w:val="bullet"/>
      <w:lvlText w:val=""/>
      <w:lvlJc w:val="left"/>
      <w:pPr>
        <w:tabs>
          <w:tab w:val="num" w:pos="3589"/>
        </w:tabs>
        <w:ind w:left="3589" w:hanging="360"/>
      </w:pPr>
      <w:rPr>
        <w:rFonts w:ascii="Symbol" w:hAnsi="Symbol" w:hint="default"/>
      </w:rPr>
    </w:lvl>
    <w:lvl w:ilvl="4" w:tplc="04160019" w:tentative="1">
      <w:start w:val="1"/>
      <w:numFmt w:val="bullet"/>
      <w:lvlText w:val="o"/>
      <w:lvlJc w:val="left"/>
      <w:pPr>
        <w:tabs>
          <w:tab w:val="num" w:pos="4309"/>
        </w:tabs>
        <w:ind w:left="4309" w:hanging="360"/>
      </w:pPr>
      <w:rPr>
        <w:rFonts w:ascii="Courier New" w:hAnsi="Courier New" w:hint="default"/>
      </w:rPr>
    </w:lvl>
    <w:lvl w:ilvl="5" w:tplc="0416001B" w:tentative="1">
      <w:start w:val="1"/>
      <w:numFmt w:val="bullet"/>
      <w:lvlText w:val=""/>
      <w:lvlJc w:val="left"/>
      <w:pPr>
        <w:tabs>
          <w:tab w:val="num" w:pos="5029"/>
        </w:tabs>
        <w:ind w:left="5029" w:hanging="360"/>
      </w:pPr>
      <w:rPr>
        <w:rFonts w:ascii="Wingdings" w:hAnsi="Wingdings" w:hint="default"/>
      </w:rPr>
    </w:lvl>
    <w:lvl w:ilvl="6" w:tplc="0416000F" w:tentative="1">
      <w:start w:val="1"/>
      <w:numFmt w:val="bullet"/>
      <w:lvlText w:val=""/>
      <w:lvlJc w:val="left"/>
      <w:pPr>
        <w:tabs>
          <w:tab w:val="num" w:pos="5749"/>
        </w:tabs>
        <w:ind w:left="5749" w:hanging="360"/>
      </w:pPr>
      <w:rPr>
        <w:rFonts w:ascii="Symbol" w:hAnsi="Symbol" w:hint="default"/>
      </w:rPr>
    </w:lvl>
    <w:lvl w:ilvl="7" w:tplc="04160019" w:tentative="1">
      <w:start w:val="1"/>
      <w:numFmt w:val="bullet"/>
      <w:lvlText w:val="o"/>
      <w:lvlJc w:val="left"/>
      <w:pPr>
        <w:tabs>
          <w:tab w:val="num" w:pos="6469"/>
        </w:tabs>
        <w:ind w:left="6469" w:hanging="360"/>
      </w:pPr>
      <w:rPr>
        <w:rFonts w:ascii="Courier New" w:hAnsi="Courier New" w:hint="default"/>
      </w:rPr>
    </w:lvl>
    <w:lvl w:ilvl="8" w:tplc="0416001B" w:tentative="1">
      <w:start w:val="1"/>
      <w:numFmt w:val="bullet"/>
      <w:lvlText w:val=""/>
      <w:lvlJc w:val="left"/>
      <w:pPr>
        <w:tabs>
          <w:tab w:val="num" w:pos="7189"/>
        </w:tabs>
        <w:ind w:left="7189" w:hanging="360"/>
      </w:pPr>
      <w:rPr>
        <w:rFonts w:ascii="Wingdings" w:hAnsi="Wingdings" w:hint="default"/>
      </w:rPr>
    </w:lvl>
  </w:abstractNum>
  <w:abstractNum w:abstractNumId="211">
    <w:nsid w:val="2E371E2C"/>
    <w:multiLevelType w:val="hybridMultilevel"/>
    <w:tmpl w:val="720A4D12"/>
    <w:lvl w:ilvl="0" w:tplc="04160001">
      <w:start w:val="1"/>
      <w:numFmt w:val="bullet"/>
      <w:lvlText w:val=""/>
      <w:lvlJc w:val="left"/>
      <w:pPr>
        <w:ind w:left="1800" w:hanging="360"/>
      </w:pPr>
      <w:rPr>
        <w:rFonts w:ascii="Symbol" w:hAnsi="Symbol" w:hint="default"/>
      </w:rPr>
    </w:lvl>
    <w:lvl w:ilvl="1" w:tplc="04160003">
      <w:start w:val="1"/>
      <w:numFmt w:val="bullet"/>
      <w:lvlText w:val="o"/>
      <w:lvlJc w:val="left"/>
      <w:pPr>
        <w:ind w:left="2520" w:hanging="360"/>
      </w:pPr>
      <w:rPr>
        <w:rFonts w:ascii="Courier New" w:hAnsi="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212">
    <w:nsid w:val="2E3D2968"/>
    <w:multiLevelType w:val="hybridMultilevel"/>
    <w:tmpl w:val="C798CE5A"/>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13">
    <w:nsid w:val="2E511559"/>
    <w:multiLevelType w:val="hybridMultilevel"/>
    <w:tmpl w:val="8A6830C8"/>
    <w:lvl w:ilvl="0" w:tplc="04160001">
      <w:start w:val="4"/>
      <w:numFmt w:val="bullet"/>
      <w:lvlText w:val=""/>
      <w:lvlJc w:val="left"/>
      <w:pPr>
        <w:tabs>
          <w:tab w:val="num" w:pos="720"/>
        </w:tabs>
        <w:ind w:left="720" w:hanging="360"/>
      </w:pPr>
      <w:rPr>
        <w:rFonts w:ascii="Wingdings" w:eastAsia="Times New Roman" w:hAnsi="Wingdings" w:cs="Times New Roman"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14">
    <w:nsid w:val="2EBE7B27"/>
    <w:multiLevelType w:val="hybridMultilevel"/>
    <w:tmpl w:val="4490BBB6"/>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15">
    <w:nsid w:val="2EC02D42"/>
    <w:multiLevelType w:val="hybridMultilevel"/>
    <w:tmpl w:val="100A9F2A"/>
    <w:lvl w:ilvl="0" w:tplc="90BACF8A">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6">
    <w:nsid w:val="2F517E20"/>
    <w:multiLevelType w:val="hybridMultilevel"/>
    <w:tmpl w:val="E55A5D8A"/>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17">
    <w:nsid w:val="2F8956FA"/>
    <w:multiLevelType w:val="hybridMultilevel"/>
    <w:tmpl w:val="D988EE1E"/>
    <w:lvl w:ilvl="0" w:tplc="04160001">
      <w:start w:val="1"/>
      <w:numFmt w:val="bullet"/>
      <w:lvlText w:val=""/>
      <w:lvlJc w:val="left"/>
      <w:pPr>
        <w:ind w:left="720" w:hanging="360"/>
      </w:pPr>
      <w:rPr>
        <w:rFonts w:ascii="Wingdings" w:hAnsi="Wingdings" w:hint="default"/>
      </w:rPr>
    </w:lvl>
    <w:lvl w:ilvl="1" w:tplc="04160019">
      <w:start w:val="1"/>
      <w:numFmt w:val="bullet"/>
      <w:lvlText w:val=""/>
      <w:lvlJc w:val="left"/>
      <w:pPr>
        <w:ind w:left="1440" w:hanging="360"/>
      </w:pPr>
      <w:rPr>
        <w:rFonts w:ascii="Wingdings" w:hAnsi="Wingdings"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18">
    <w:nsid w:val="2FC252B7"/>
    <w:multiLevelType w:val="hybridMultilevel"/>
    <w:tmpl w:val="110438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9">
    <w:nsid w:val="301C6FEB"/>
    <w:multiLevelType w:val="hybridMultilevel"/>
    <w:tmpl w:val="91B8BD00"/>
    <w:lvl w:ilvl="0" w:tplc="04160001">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20">
    <w:nsid w:val="308360FF"/>
    <w:multiLevelType w:val="hybridMultilevel"/>
    <w:tmpl w:val="A45CFDD2"/>
    <w:lvl w:ilvl="0" w:tplc="04160009">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1">
    <w:nsid w:val="31124A9D"/>
    <w:multiLevelType w:val="hybridMultilevel"/>
    <w:tmpl w:val="D11CA094"/>
    <w:lvl w:ilvl="0" w:tplc="0416000D">
      <w:start w:val="1"/>
      <w:numFmt w:val="lowerLetter"/>
      <w:lvlText w:val="%1)"/>
      <w:lvlJc w:val="left"/>
      <w:pPr>
        <w:ind w:left="1494" w:hanging="360"/>
      </w:pPr>
      <w:rPr>
        <w:rFonts w:hint="default"/>
      </w:rPr>
    </w:lvl>
    <w:lvl w:ilvl="1" w:tplc="04160003" w:tentative="1">
      <w:start w:val="1"/>
      <w:numFmt w:val="lowerLetter"/>
      <w:lvlText w:val="%2."/>
      <w:lvlJc w:val="left"/>
      <w:pPr>
        <w:ind w:left="2214" w:hanging="360"/>
      </w:pPr>
    </w:lvl>
    <w:lvl w:ilvl="2" w:tplc="04160005" w:tentative="1">
      <w:start w:val="1"/>
      <w:numFmt w:val="lowerRoman"/>
      <w:lvlText w:val="%3."/>
      <w:lvlJc w:val="right"/>
      <w:pPr>
        <w:ind w:left="2934" w:hanging="180"/>
      </w:pPr>
    </w:lvl>
    <w:lvl w:ilvl="3" w:tplc="04160001" w:tentative="1">
      <w:start w:val="1"/>
      <w:numFmt w:val="decimal"/>
      <w:lvlText w:val="%4."/>
      <w:lvlJc w:val="left"/>
      <w:pPr>
        <w:ind w:left="3654" w:hanging="360"/>
      </w:pPr>
    </w:lvl>
    <w:lvl w:ilvl="4" w:tplc="04160003" w:tentative="1">
      <w:start w:val="1"/>
      <w:numFmt w:val="lowerLetter"/>
      <w:lvlText w:val="%5."/>
      <w:lvlJc w:val="left"/>
      <w:pPr>
        <w:ind w:left="4374" w:hanging="360"/>
      </w:pPr>
    </w:lvl>
    <w:lvl w:ilvl="5" w:tplc="04160005" w:tentative="1">
      <w:start w:val="1"/>
      <w:numFmt w:val="lowerRoman"/>
      <w:lvlText w:val="%6."/>
      <w:lvlJc w:val="right"/>
      <w:pPr>
        <w:ind w:left="5094" w:hanging="180"/>
      </w:pPr>
    </w:lvl>
    <w:lvl w:ilvl="6" w:tplc="04160001" w:tentative="1">
      <w:start w:val="1"/>
      <w:numFmt w:val="decimal"/>
      <w:lvlText w:val="%7."/>
      <w:lvlJc w:val="left"/>
      <w:pPr>
        <w:ind w:left="5814" w:hanging="360"/>
      </w:pPr>
    </w:lvl>
    <w:lvl w:ilvl="7" w:tplc="04160003" w:tentative="1">
      <w:start w:val="1"/>
      <w:numFmt w:val="lowerLetter"/>
      <w:lvlText w:val="%8."/>
      <w:lvlJc w:val="left"/>
      <w:pPr>
        <w:ind w:left="6534" w:hanging="360"/>
      </w:pPr>
    </w:lvl>
    <w:lvl w:ilvl="8" w:tplc="04160005" w:tentative="1">
      <w:start w:val="1"/>
      <w:numFmt w:val="lowerRoman"/>
      <w:lvlText w:val="%9."/>
      <w:lvlJc w:val="right"/>
      <w:pPr>
        <w:ind w:left="7254" w:hanging="180"/>
      </w:pPr>
    </w:lvl>
  </w:abstractNum>
  <w:abstractNum w:abstractNumId="222">
    <w:nsid w:val="31F94985"/>
    <w:multiLevelType w:val="hybridMultilevel"/>
    <w:tmpl w:val="8452E2F8"/>
    <w:lvl w:ilvl="0" w:tplc="773A6A0C">
      <w:start w:val="1"/>
      <w:numFmt w:val="bullet"/>
      <w:lvlText w:val="●"/>
      <w:lvlJc w:val="left"/>
      <w:pPr>
        <w:tabs>
          <w:tab w:val="num" w:pos="720"/>
        </w:tabs>
        <w:ind w:left="720" w:hanging="360"/>
      </w:pPr>
      <w:rPr>
        <w:rFonts w:ascii="StarSymbol" w:hAnsi="StarSymbol" w:hint="default"/>
      </w:rPr>
    </w:lvl>
    <w:lvl w:ilvl="1" w:tplc="04160019" w:tentative="1">
      <w:start w:val="1"/>
      <w:numFmt w:val="bullet"/>
      <w:lvlText w:val="●"/>
      <w:lvlJc w:val="left"/>
      <w:pPr>
        <w:tabs>
          <w:tab w:val="num" w:pos="1440"/>
        </w:tabs>
        <w:ind w:left="1440" w:hanging="360"/>
      </w:pPr>
      <w:rPr>
        <w:rFonts w:ascii="StarSymbol" w:hAnsi="StarSymbol" w:hint="default"/>
      </w:rPr>
    </w:lvl>
    <w:lvl w:ilvl="2" w:tplc="0416001B" w:tentative="1">
      <w:start w:val="1"/>
      <w:numFmt w:val="bullet"/>
      <w:lvlText w:val="●"/>
      <w:lvlJc w:val="left"/>
      <w:pPr>
        <w:tabs>
          <w:tab w:val="num" w:pos="2160"/>
        </w:tabs>
        <w:ind w:left="2160" w:hanging="360"/>
      </w:pPr>
      <w:rPr>
        <w:rFonts w:ascii="StarSymbol" w:hAnsi="StarSymbol" w:hint="default"/>
      </w:rPr>
    </w:lvl>
    <w:lvl w:ilvl="3" w:tplc="0416000F" w:tentative="1">
      <w:start w:val="1"/>
      <w:numFmt w:val="bullet"/>
      <w:lvlText w:val="●"/>
      <w:lvlJc w:val="left"/>
      <w:pPr>
        <w:tabs>
          <w:tab w:val="num" w:pos="2880"/>
        </w:tabs>
        <w:ind w:left="2880" w:hanging="360"/>
      </w:pPr>
      <w:rPr>
        <w:rFonts w:ascii="StarSymbol" w:hAnsi="StarSymbol" w:hint="default"/>
      </w:rPr>
    </w:lvl>
    <w:lvl w:ilvl="4" w:tplc="04160019" w:tentative="1">
      <w:start w:val="1"/>
      <w:numFmt w:val="bullet"/>
      <w:lvlText w:val="●"/>
      <w:lvlJc w:val="left"/>
      <w:pPr>
        <w:tabs>
          <w:tab w:val="num" w:pos="3600"/>
        </w:tabs>
        <w:ind w:left="3600" w:hanging="360"/>
      </w:pPr>
      <w:rPr>
        <w:rFonts w:ascii="StarSymbol" w:hAnsi="StarSymbol" w:hint="default"/>
      </w:rPr>
    </w:lvl>
    <w:lvl w:ilvl="5" w:tplc="0416001B" w:tentative="1">
      <w:start w:val="1"/>
      <w:numFmt w:val="bullet"/>
      <w:lvlText w:val="●"/>
      <w:lvlJc w:val="left"/>
      <w:pPr>
        <w:tabs>
          <w:tab w:val="num" w:pos="4320"/>
        </w:tabs>
        <w:ind w:left="4320" w:hanging="360"/>
      </w:pPr>
      <w:rPr>
        <w:rFonts w:ascii="StarSymbol" w:hAnsi="StarSymbol" w:hint="default"/>
      </w:rPr>
    </w:lvl>
    <w:lvl w:ilvl="6" w:tplc="0416000F" w:tentative="1">
      <w:start w:val="1"/>
      <w:numFmt w:val="bullet"/>
      <w:lvlText w:val="●"/>
      <w:lvlJc w:val="left"/>
      <w:pPr>
        <w:tabs>
          <w:tab w:val="num" w:pos="5040"/>
        </w:tabs>
        <w:ind w:left="5040" w:hanging="360"/>
      </w:pPr>
      <w:rPr>
        <w:rFonts w:ascii="StarSymbol" w:hAnsi="StarSymbol" w:hint="default"/>
      </w:rPr>
    </w:lvl>
    <w:lvl w:ilvl="7" w:tplc="04160019" w:tentative="1">
      <w:start w:val="1"/>
      <w:numFmt w:val="bullet"/>
      <w:lvlText w:val="●"/>
      <w:lvlJc w:val="left"/>
      <w:pPr>
        <w:tabs>
          <w:tab w:val="num" w:pos="5760"/>
        </w:tabs>
        <w:ind w:left="5760" w:hanging="360"/>
      </w:pPr>
      <w:rPr>
        <w:rFonts w:ascii="StarSymbol" w:hAnsi="StarSymbol" w:hint="default"/>
      </w:rPr>
    </w:lvl>
    <w:lvl w:ilvl="8" w:tplc="0416001B" w:tentative="1">
      <w:start w:val="1"/>
      <w:numFmt w:val="bullet"/>
      <w:lvlText w:val="●"/>
      <w:lvlJc w:val="left"/>
      <w:pPr>
        <w:tabs>
          <w:tab w:val="num" w:pos="6480"/>
        </w:tabs>
        <w:ind w:left="6480" w:hanging="360"/>
      </w:pPr>
      <w:rPr>
        <w:rFonts w:ascii="StarSymbol" w:hAnsi="StarSymbol" w:hint="default"/>
      </w:rPr>
    </w:lvl>
  </w:abstractNum>
  <w:abstractNum w:abstractNumId="223">
    <w:nsid w:val="32385A25"/>
    <w:multiLevelType w:val="hybridMultilevel"/>
    <w:tmpl w:val="F2C0414C"/>
    <w:lvl w:ilvl="0" w:tplc="0416000D">
      <w:start w:val="1"/>
      <w:numFmt w:val="bullet"/>
      <w:lvlText w:val=""/>
      <w:lvlJc w:val="left"/>
      <w:pPr>
        <w:ind w:left="720" w:hanging="360"/>
      </w:pPr>
      <w:rPr>
        <w:rFonts w:ascii="Symbol" w:hAnsi="Symbol" w:hint="default"/>
      </w:rPr>
    </w:lvl>
    <w:lvl w:ilvl="1" w:tplc="0416000D"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4">
    <w:nsid w:val="326B7B1D"/>
    <w:multiLevelType w:val="hybridMultilevel"/>
    <w:tmpl w:val="B4DE4CDC"/>
    <w:lvl w:ilvl="0" w:tplc="04160001">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25">
    <w:nsid w:val="32900547"/>
    <w:multiLevelType w:val="hybridMultilevel"/>
    <w:tmpl w:val="43766EB6"/>
    <w:lvl w:ilvl="0" w:tplc="04160005">
      <w:start w:val="2"/>
      <w:numFmt w:val="bullet"/>
      <w:lvlText w:val=""/>
      <w:lvlJc w:val="left"/>
      <w:pPr>
        <w:ind w:left="644" w:hanging="360"/>
      </w:pPr>
      <w:rPr>
        <w:rFonts w:ascii="Symbol" w:eastAsia="Times New Roman" w:hAnsi="Symbol" w:hint="default"/>
      </w:rPr>
    </w:lvl>
    <w:lvl w:ilvl="1" w:tplc="04160003">
      <w:start w:val="1"/>
      <w:numFmt w:val="bullet"/>
      <w:lvlText w:val="o"/>
      <w:lvlJc w:val="left"/>
      <w:pPr>
        <w:ind w:left="1364" w:hanging="360"/>
      </w:pPr>
      <w:rPr>
        <w:rFonts w:ascii="Courier New" w:hAnsi="Courier New" w:hint="default"/>
      </w:rPr>
    </w:lvl>
    <w:lvl w:ilvl="2" w:tplc="04160005">
      <w:start w:val="1"/>
      <w:numFmt w:val="bullet"/>
      <w:lvlText w:val=""/>
      <w:lvlJc w:val="left"/>
      <w:pPr>
        <w:ind w:left="2084" w:hanging="360"/>
      </w:pPr>
      <w:rPr>
        <w:rFonts w:ascii="Wingdings" w:hAnsi="Wingdings" w:cs="Wingdings" w:hint="default"/>
      </w:rPr>
    </w:lvl>
    <w:lvl w:ilvl="3" w:tplc="04160001">
      <w:start w:val="1"/>
      <w:numFmt w:val="bullet"/>
      <w:lvlText w:val=""/>
      <w:lvlJc w:val="left"/>
      <w:pPr>
        <w:ind w:left="2804" w:hanging="360"/>
      </w:pPr>
      <w:rPr>
        <w:rFonts w:ascii="Symbol" w:hAnsi="Symbol" w:cs="Symbol" w:hint="default"/>
      </w:rPr>
    </w:lvl>
    <w:lvl w:ilvl="4" w:tplc="04160003">
      <w:start w:val="1"/>
      <w:numFmt w:val="bullet"/>
      <w:lvlText w:val="o"/>
      <w:lvlJc w:val="left"/>
      <w:pPr>
        <w:ind w:left="3524" w:hanging="360"/>
      </w:pPr>
      <w:rPr>
        <w:rFonts w:ascii="Courier New" w:hAnsi="Courier New" w:cs="Courier New" w:hint="default"/>
      </w:rPr>
    </w:lvl>
    <w:lvl w:ilvl="5" w:tplc="04160005">
      <w:start w:val="1"/>
      <w:numFmt w:val="bullet"/>
      <w:lvlText w:val=""/>
      <w:lvlJc w:val="left"/>
      <w:pPr>
        <w:ind w:left="4244" w:hanging="360"/>
      </w:pPr>
      <w:rPr>
        <w:rFonts w:ascii="Wingdings" w:hAnsi="Wingdings" w:cs="Wingdings" w:hint="default"/>
      </w:rPr>
    </w:lvl>
    <w:lvl w:ilvl="6" w:tplc="04160001">
      <w:start w:val="1"/>
      <w:numFmt w:val="bullet"/>
      <w:lvlText w:val=""/>
      <w:lvlJc w:val="left"/>
      <w:pPr>
        <w:ind w:left="4964" w:hanging="360"/>
      </w:pPr>
      <w:rPr>
        <w:rFonts w:ascii="Symbol" w:hAnsi="Symbol" w:cs="Symbol" w:hint="default"/>
      </w:rPr>
    </w:lvl>
    <w:lvl w:ilvl="7" w:tplc="04160003">
      <w:start w:val="1"/>
      <w:numFmt w:val="bullet"/>
      <w:lvlText w:val="o"/>
      <w:lvlJc w:val="left"/>
      <w:pPr>
        <w:ind w:left="5684" w:hanging="360"/>
      </w:pPr>
      <w:rPr>
        <w:rFonts w:ascii="Courier New" w:hAnsi="Courier New" w:cs="Courier New" w:hint="default"/>
      </w:rPr>
    </w:lvl>
    <w:lvl w:ilvl="8" w:tplc="04160005">
      <w:start w:val="1"/>
      <w:numFmt w:val="bullet"/>
      <w:lvlText w:val=""/>
      <w:lvlJc w:val="left"/>
      <w:pPr>
        <w:ind w:left="6404" w:hanging="360"/>
      </w:pPr>
      <w:rPr>
        <w:rFonts w:ascii="Wingdings" w:hAnsi="Wingdings" w:cs="Wingdings" w:hint="default"/>
      </w:rPr>
    </w:lvl>
  </w:abstractNum>
  <w:abstractNum w:abstractNumId="226">
    <w:nsid w:val="335205F6"/>
    <w:multiLevelType w:val="hybridMultilevel"/>
    <w:tmpl w:val="E35A9428"/>
    <w:lvl w:ilvl="0" w:tplc="D1D0A064">
      <w:start w:val="1"/>
      <w:numFmt w:val="bullet"/>
      <w:lvlText w:val=""/>
      <w:lvlJc w:val="left"/>
      <w:pPr>
        <w:ind w:left="1080" w:hanging="720"/>
      </w:pPr>
      <w:rPr>
        <w:rFonts w:ascii="Symbol" w:hAnsi="Symbol" w:hint="default"/>
      </w:rPr>
    </w:lvl>
    <w:lvl w:ilvl="1" w:tplc="C48264A4" w:tentative="1">
      <w:start w:val="1"/>
      <w:numFmt w:val="lowerLetter"/>
      <w:lvlText w:val="%2."/>
      <w:lvlJc w:val="left"/>
      <w:pPr>
        <w:ind w:left="1440" w:hanging="360"/>
      </w:pPr>
    </w:lvl>
    <w:lvl w:ilvl="2" w:tplc="4ECC5302" w:tentative="1">
      <w:start w:val="1"/>
      <w:numFmt w:val="lowerRoman"/>
      <w:lvlText w:val="%3."/>
      <w:lvlJc w:val="right"/>
      <w:pPr>
        <w:ind w:left="2160" w:hanging="180"/>
      </w:pPr>
    </w:lvl>
    <w:lvl w:ilvl="3" w:tplc="E0DE688A" w:tentative="1">
      <w:start w:val="1"/>
      <w:numFmt w:val="decimal"/>
      <w:lvlText w:val="%4."/>
      <w:lvlJc w:val="left"/>
      <w:pPr>
        <w:ind w:left="2880" w:hanging="360"/>
      </w:pPr>
    </w:lvl>
    <w:lvl w:ilvl="4" w:tplc="0550526E" w:tentative="1">
      <w:start w:val="1"/>
      <w:numFmt w:val="lowerLetter"/>
      <w:lvlText w:val="%5."/>
      <w:lvlJc w:val="left"/>
      <w:pPr>
        <w:ind w:left="3600" w:hanging="360"/>
      </w:pPr>
    </w:lvl>
    <w:lvl w:ilvl="5" w:tplc="CCE29B80" w:tentative="1">
      <w:start w:val="1"/>
      <w:numFmt w:val="lowerRoman"/>
      <w:lvlText w:val="%6."/>
      <w:lvlJc w:val="right"/>
      <w:pPr>
        <w:ind w:left="4320" w:hanging="180"/>
      </w:pPr>
    </w:lvl>
    <w:lvl w:ilvl="6" w:tplc="E2F6B202" w:tentative="1">
      <w:start w:val="1"/>
      <w:numFmt w:val="decimal"/>
      <w:lvlText w:val="%7."/>
      <w:lvlJc w:val="left"/>
      <w:pPr>
        <w:ind w:left="5040" w:hanging="360"/>
      </w:pPr>
    </w:lvl>
    <w:lvl w:ilvl="7" w:tplc="8E76AD50" w:tentative="1">
      <w:start w:val="1"/>
      <w:numFmt w:val="lowerLetter"/>
      <w:lvlText w:val="%8."/>
      <w:lvlJc w:val="left"/>
      <w:pPr>
        <w:ind w:left="5760" w:hanging="360"/>
      </w:pPr>
    </w:lvl>
    <w:lvl w:ilvl="8" w:tplc="56567E1E" w:tentative="1">
      <w:start w:val="1"/>
      <w:numFmt w:val="lowerRoman"/>
      <w:lvlText w:val="%9."/>
      <w:lvlJc w:val="right"/>
      <w:pPr>
        <w:ind w:left="6480" w:hanging="180"/>
      </w:pPr>
    </w:lvl>
  </w:abstractNum>
  <w:abstractNum w:abstractNumId="227">
    <w:nsid w:val="33672EBE"/>
    <w:multiLevelType w:val="hybridMultilevel"/>
    <w:tmpl w:val="DD36D9D0"/>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8">
    <w:nsid w:val="33B844E6"/>
    <w:multiLevelType w:val="hybridMultilevel"/>
    <w:tmpl w:val="034AAED2"/>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29">
    <w:nsid w:val="33ED3D16"/>
    <w:multiLevelType w:val="hybridMultilevel"/>
    <w:tmpl w:val="4DCAA764"/>
    <w:lvl w:ilvl="0" w:tplc="330E0B70">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0">
    <w:nsid w:val="33F2058C"/>
    <w:multiLevelType w:val="hybridMultilevel"/>
    <w:tmpl w:val="FACAA7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1">
    <w:nsid w:val="34E9071D"/>
    <w:multiLevelType w:val="hybridMultilevel"/>
    <w:tmpl w:val="45C28A3C"/>
    <w:lvl w:ilvl="0" w:tplc="04160001">
      <w:start w:val="1"/>
      <w:numFmt w:val="bullet"/>
      <w:lvlText w:val="-"/>
      <w:lvlJc w:val="left"/>
      <w:pPr>
        <w:ind w:left="720" w:hanging="360"/>
      </w:pPr>
      <w:rPr>
        <w:rFonts w:ascii="Verdana" w:hAnsi="Verdana" w:hint="default"/>
      </w:rPr>
    </w:lvl>
    <w:lvl w:ilvl="1" w:tplc="04160003">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2">
    <w:nsid w:val="359978C1"/>
    <w:multiLevelType w:val="hybridMultilevel"/>
    <w:tmpl w:val="2E607F42"/>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33">
    <w:nsid w:val="35A23EAD"/>
    <w:multiLevelType w:val="hybridMultilevel"/>
    <w:tmpl w:val="6A76AB5C"/>
    <w:lvl w:ilvl="0" w:tplc="255E023A">
      <w:start w:val="1"/>
      <w:numFmt w:val="bullet"/>
      <w:lvlText w:val=""/>
      <w:lvlJc w:val="left"/>
      <w:pPr>
        <w:ind w:left="720" w:hanging="360"/>
      </w:pPr>
      <w:rPr>
        <w:rFonts w:ascii="Symbol" w:hAnsi="Symbol" w:hint="default"/>
      </w:rPr>
    </w:lvl>
    <w:lvl w:ilvl="1" w:tplc="04160001"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4">
    <w:nsid w:val="35AD6331"/>
    <w:multiLevelType w:val="hybridMultilevel"/>
    <w:tmpl w:val="E8ACC808"/>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35">
    <w:nsid w:val="35BD4087"/>
    <w:multiLevelType w:val="hybridMultilevel"/>
    <w:tmpl w:val="C27A54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6">
    <w:nsid w:val="35BE708E"/>
    <w:multiLevelType w:val="hybridMultilevel"/>
    <w:tmpl w:val="E850EA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7">
    <w:nsid w:val="366B7202"/>
    <w:multiLevelType w:val="hybridMultilevel"/>
    <w:tmpl w:val="5A086B6E"/>
    <w:lvl w:ilvl="0" w:tplc="04160001">
      <w:start w:val="1"/>
      <w:numFmt w:val="bullet"/>
      <w:lvlText w:val=""/>
      <w:lvlJc w:val="left"/>
      <w:pPr>
        <w:ind w:left="360" w:hanging="360"/>
      </w:pPr>
      <w:rPr>
        <w:rFonts w:ascii="Symbol" w:hAnsi="Symbol"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238">
    <w:nsid w:val="36B20765"/>
    <w:multiLevelType w:val="multilevel"/>
    <w:tmpl w:val="A5DA4538"/>
    <w:lvl w:ilvl="0">
      <w:start w:val="4"/>
      <w:numFmt w:val="decimal"/>
      <w:lvlText w:val="%1."/>
      <w:lvlJc w:val="left"/>
      <w:pPr>
        <w:ind w:left="360" w:hanging="360"/>
      </w:pPr>
      <w:rPr>
        <w:rFonts w:cs="Times New Roman"/>
      </w:rPr>
    </w:lvl>
    <w:lvl w:ilvl="1">
      <w:start w:val="2"/>
      <w:numFmt w:val="decimal"/>
      <w:lvlText w:val="%1.%2."/>
      <w:lvlJc w:val="left"/>
      <w:pPr>
        <w:ind w:left="720" w:hanging="360"/>
      </w:pPr>
      <w:rPr>
        <w:rFonts w:cs="Times New Roman"/>
      </w:rPr>
    </w:lvl>
    <w:lvl w:ilvl="2">
      <w:start w:val="1"/>
      <w:numFmt w:val="decimal"/>
      <w:lvlText w:val="%1.%2.%3."/>
      <w:lvlJc w:val="left"/>
      <w:pPr>
        <w:ind w:left="1855" w:hanging="720"/>
      </w:pPr>
      <w:rPr>
        <w:rFonts w:cs="Times New Roman"/>
      </w:rPr>
    </w:lvl>
    <w:lvl w:ilvl="3">
      <w:start w:val="1"/>
      <w:numFmt w:val="decimal"/>
      <w:lvlText w:val="%1.%2.%3.%4."/>
      <w:lvlJc w:val="left"/>
      <w:pPr>
        <w:ind w:left="1800" w:hanging="720"/>
      </w:pPr>
      <w:rPr>
        <w:rFonts w:cs="Times New Roman"/>
      </w:rPr>
    </w:lvl>
    <w:lvl w:ilvl="4">
      <w:start w:val="1"/>
      <w:numFmt w:val="decimal"/>
      <w:lvlText w:val="%1.%2.%3.%4.%5."/>
      <w:lvlJc w:val="left"/>
      <w:pPr>
        <w:ind w:left="2520" w:hanging="1080"/>
      </w:pPr>
      <w:rPr>
        <w:rFonts w:cs="Times New Roman"/>
      </w:rPr>
    </w:lvl>
    <w:lvl w:ilvl="5">
      <w:start w:val="1"/>
      <w:numFmt w:val="decimal"/>
      <w:lvlText w:val="%1.%2.%3.%4.%5.%6."/>
      <w:lvlJc w:val="left"/>
      <w:pPr>
        <w:ind w:left="2880" w:hanging="1080"/>
      </w:pPr>
      <w:rPr>
        <w:rFonts w:cs="Times New Roman"/>
      </w:rPr>
    </w:lvl>
    <w:lvl w:ilvl="6">
      <w:start w:val="1"/>
      <w:numFmt w:val="decimal"/>
      <w:lvlText w:val="%1.%2.%3.%4.%5.%6.%7."/>
      <w:lvlJc w:val="left"/>
      <w:pPr>
        <w:ind w:left="3600" w:hanging="1440"/>
      </w:pPr>
      <w:rPr>
        <w:rFonts w:cs="Times New Roman"/>
      </w:rPr>
    </w:lvl>
    <w:lvl w:ilvl="7">
      <w:start w:val="1"/>
      <w:numFmt w:val="decimal"/>
      <w:lvlText w:val="%1.%2.%3.%4.%5.%6.%7.%8."/>
      <w:lvlJc w:val="left"/>
      <w:pPr>
        <w:ind w:left="3960" w:hanging="1440"/>
      </w:pPr>
      <w:rPr>
        <w:rFonts w:cs="Times New Roman"/>
      </w:rPr>
    </w:lvl>
    <w:lvl w:ilvl="8">
      <w:start w:val="1"/>
      <w:numFmt w:val="decimal"/>
      <w:lvlText w:val="%1.%2.%3.%4.%5.%6.%7.%8.%9."/>
      <w:lvlJc w:val="left"/>
      <w:pPr>
        <w:ind w:left="4680" w:hanging="1800"/>
      </w:pPr>
      <w:rPr>
        <w:rFonts w:cs="Times New Roman"/>
      </w:rPr>
    </w:lvl>
  </w:abstractNum>
  <w:abstractNum w:abstractNumId="239">
    <w:nsid w:val="36FB090F"/>
    <w:multiLevelType w:val="multilevel"/>
    <w:tmpl w:val="539A95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0">
    <w:nsid w:val="370E5341"/>
    <w:multiLevelType w:val="hybridMultilevel"/>
    <w:tmpl w:val="07EEBA66"/>
    <w:lvl w:ilvl="0" w:tplc="01B6EA36">
      <w:start w:val="1"/>
      <w:numFmt w:val="bullet"/>
      <w:lvlText w:val=""/>
      <w:lvlJc w:val="left"/>
      <w:pPr>
        <w:ind w:left="720" w:hanging="360"/>
      </w:pPr>
      <w:rPr>
        <w:rFonts w:ascii="Symbol" w:hAnsi="Symbol" w:hint="default"/>
      </w:rPr>
    </w:lvl>
    <w:lvl w:ilvl="1" w:tplc="DB863DBE" w:tentative="1">
      <w:start w:val="1"/>
      <w:numFmt w:val="bullet"/>
      <w:lvlText w:val="o"/>
      <w:lvlJc w:val="left"/>
      <w:pPr>
        <w:ind w:left="1440" w:hanging="360"/>
      </w:pPr>
      <w:rPr>
        <w:rFonts w:ascii="Courier New" w:hAnsi="Courier New" w:cs="Courier New" w:hint="default"/>
      </w:rPr>
    </w:lvl>
    <w:lvl w:ilvl="2" w:tplc="0F9E7D38" w:tentative="1">
      <w:start w:val="1"/>
      <w:numFmt w:val="bullet"/>
      <w:lvlText w:val=""/>
      <w:lvlJc w:val="left"/>
      <w:pPr>
        <w:ind w:left="2160" w:hanging="360"/>
      </w:pPr>
      <w:rPr>
        <w:rFonts w:ascii="Wingdings" w:hAnsi="Wingdings" w:hint="default"/>
      </w:rPr>
    </w:lvl>
    <w:lvl w:ilvl="3" w:tplc="3CC247A6" w:tentative="1">
      <w:start w:val="1"/>
      <w:numFmt w:val="bullet"/>
      <w:lvlText w:val=""/>
      <w:lvlJc w:val="left"/>
      <w:pPr>
        <w:ind w:left="2880" w:hanging="360"/>
      </w:pPr>
      <w:rPr>
        <w:rFonts w:ascii="Symbol" w:hAnsi="Symbol" w:hint="default"/>
      </w:rPr>
    </w:lvl>
    <w:lvl w:ilvl="4" w:tplc="32E629FC" w:tentative="1">
      <w:start w:val="1"/>
      <w:numFmt w:val="bullet"/>
      <w:lvlText w:val="o"/>
      <w:lvlJc w:val="left"/>
      <w:pPr>
        <w:ind w:left="3600" w:hanging="360"/>
      </w:pPr>
      <w:rPr>
        <w:rFonts w:ascii="Courier New" w:hAnsi="Courier New" w:cs="Courier New" w:hint="default"/>
      </w:rPr>
    </w:lvl>
    <w:lvl w:ilvl="5" w:tplc="37262C6C" w:tentative="1">
      <w:start w:val="1"/>
      <w:numFmt w:val="bullet"/>
      <w:lvlText w:val=""/>
      <w:lvlJc w:val="left"/>
      <w:pPr>
        <w:ind w:left="4320" w:hanging="360"/>
      </w:pPr>
      <w:rPr>
        <w:rFonts w:ascii="Wingdings" w:hAnsi="Wingdings" w:hint="default"/>
      </w:rPr>
    </w:lvl>
    <w:lvl w:ilvl="6" w:tplc="A52879BA" w:tentative="1">
      <w:start w:val="1"/>
      <w:numFmt w:val="bullet"/>
      <w:lvlText w:val=""/>
      <w:lvlJc w:val="left"/>
      <w:pPr>
        <w:ind w:left="5040" w:hanging="360"/>
      </w:pPr>
      <w:rPr>
        <w:rFonts w:ascii="Symbol" w:hAnsi="Symbol" w:hint="default"/>
      </w:rPr>
    </w:lvl>
    <w:lvl w:ilvl="7" w:tplc="5F800B5A" w:tentative="1">
      <w:start w:val="1"/>
      <w:numFmt w:val="bullet"/>
      <w:lvlText w:val="o"/>
      <w:lvlJc w:val="left"/>
      <w:pPr>
        <w:ind w:left="5760" w:hanging="360"/>
      </w:pPr>
      <w:rPr>
        <w:rFonts w:ascii="Courier New" w:hAnsi="Courier New" w:cs="Courier New" w:hint="default"/>
      </w:rPr>
    </w:lvl>
    <w:lvl w:ilvl="8" w:tplc="D46CF3C0" w:tentative="1">
      <w:start w:val="1"/>
      <w:numFmt w:val="bullet"/>
      <w:lvlText w:val=""/>
      <w:lvlJc w:val="left"/>
      <w:pPr>
        <w:ind w:left="6480" w:hanging="360"/>
      </w:pPr>
      <w:rPr>
        <w:rFonts w:ascii="Wingdings" w:hAnsi="Wingdings" w:hint="default"/>
      </w:rPr>
    </w:lvl>
  </w:abstractNum>
  <w:abstractNum w:abstractNumId="241">
    <w:nsid w:val="37A57A8A"/>
    <w:multiLevelType w:val="hybridMultilevel"/>
    <w:tmpl w:val="A7CA8B1C"/>
    <w:lvl w:ilvl="0" w:tplc="04160001">
      <w:start w:val="1"/>
      <w:numFmt w:val="bullet"/>
      <w:lvlText w:val=""/>
      <w:lvlJc w:val="left"/>
      <w:pPr>
        <w:ind w:left="1985" w:hanging="284"/>
      </w:pPr>
      <w:rPr>
        <w:rFonts w:ascii="Symbol" w:hAnsi="Symbol" w:hint="default"/>
      </w:rPr>
    </w:lvl>
    <w:lvl w:ilvl="1" w:tplc="04160003" w:tentative="1">
      <w:start w:val="1"/>
      <w:numFmt w:val="bullet"/>
      <w:lvlText w:val="o"/>
      <w:lvlJc w:val="left"/>
      <w:pPr>
        <w:ind w:left="2716" w:hanging="360"/>
      </w:pPr>
      <w:rPr>
        <w:rFonts w:ascii="Courier New" w:hAnsi="Courier New" w:cs="Courier New" w:hint="default"/>
      </w:rPr>
    </w:lvl>
    <w:lvl w:ilvl="2" w:tplc="04160005" w:tentative="1">
      <w:start w:val="1"/>
      <w:numFmt w:val="bullet"/>
      <w:lvlText w:val=""/>
      <w:lvlJc w:val="left"/>
      <w:pPr>
        <w:ind w:left="3436" w:hanging="360"/>
      </w:pPr>
      <w:rPr>
        <w:rFonts w:ascii="Wingdings" w:hAnsi="Wingdings" w:hint="default"/>
      </w:rPr>
    </w:lvl>
    <w:lvl w:ilvl="3" w:tplc="04160001" w:tentative="1">
      <w:start w:val="1"/>
      <w:numFmt w:val="bullet"/>
      <w:lvlText w:val=""/>
      <w:lvlJc w:val="left"/>
      <w:pPr>
        <w:ind w:left="4156" w:hanging="360"/>
      </w:pPr>
      <w:rPr>
        <w:rFonts w:ascii="Symbol" w:hAnsi="Symbol" w:hint="default"/>
      </w:rPr>
    </w:lvl>
    <w:lvl w:ilvl="4" w:tplc="04160003" w:tentative="1">
      <w:start w:val="1"/>
      <w:numFmt w:val="bullet"/>
      <w:lvlText w:val="o"/>
      <w:lvlJc w:val="left"/>
      <w:pPr>
        <w:ind w:left="4876" w:hanging="360"/>
      </w:pPr>
      <w:rPr>
        <w:rFonts w:ascii="Courier New" w:hAnsi="Courier New" w:cs="Courier New" w:hint="default"/>
      </w:rPr>
    </w:lvl>
    <w:lvl w:ilvl="5" w:tplc="04160005" w:tentative="1">
      <w:start w:val="1"/>
      <w:numFmt w:val="bullet"/>
      <w:lvlText w:val=""/>
      <w:lvlJc w:val="left"/>
      <w:pPr>
        <w:ind w:left="5596" w:hanging="360"/>
      </w:pPr>
      <w:rPr>
        <w:rFonts w:ascii="Wingdings" w:hAnsi="Wingdings" w:hint="default"/>
      </w:rPr>
    </w:lvl>
    <w:lvl w:ilvl="6" w:tplc="04160001" w:tentative="1">
      <w:start w:val="1"/>
      <w:numFmt w:val="bullet"/>
      <w:lvlText w:val=""/>
      <w:lvlJc w:val="left"/>
      <w:pPr>
        <w:ind w:left="6316" w:hanging="360"/>
      </w:pPr>
      <w:rPr>
        <w:rFonts w:ascii="Symbol" w:hAnsi="Symbol" w:hint="default"/>
      </w:rPr>
    </w:lvl>
    <w:lvl w:ilvl="7" w:tplc="04160003" w:tentative="1">
      <w:start w:val="1"/>
      <w:numFmt w:val="bullet"/>
      <w:lvlText w:val="o"/>
      <w:lvlJc w:val="left"/>
      <w:pPr>
        <w:ind w:left="7036" w:hanging="360"/>
      </w:pPr>
      <w:rPr>
        <w:rFonts w:ascii="Courier New" w:hAnsi="Courier New" w:cs="Courier New" w:hint="default"/>
      </w:rPr>
    </w:lvl>
    <w:lvl w:ilvl="8" w:tplc="04160005" w:tentative="1">
      <w:start w:val="1"/>
      <w:numFmt w:val="bullet"/>
      <w:lvlText w:val=""/>
      <w:lvlJc w:val="left"/>
      <w:pPr>
        <w:ind w:left="7756" w:hanging="360"/>
      </w:pPr>
      <w:rPr>
        <w:rFonts w:ascii="Wingdings" w:hAnsi="Wingdings" w:hint="default"/>
      </w:rPr>
    </w:lvl>
  </w:abstractNum>
  <w:abstractNum w:abstractNumId="242">
    <w:nsid w:val="37A91A29"/>
    <w:multiLevelType w:val="multilevel"/>
    <w:tmpl w:val="3CD40036"/>
    <w:lvl w:ilvl="0">
      <w:start w:val="1"/>
      <w:numFmt w:val="upperRoman"/>
      <w:lvlText w:val="%1."/>
      <w:lvlJc w:val="left"/>
      <w:pPr>
        <w:tabs>
          <w:tab w:val="num" w:pos="360"/>
        </w:tabs>
        <w:ind w:left="0" w:firstLine="0"/>
      </w:pPr>
      <w:rPr>
        <w:rFonts w:hint="default"/>
      </w:rPr>
    </w:lvl>
    <w:lvl w:ilvl="1">
      <w:start w:val="1"/>
      <w:numFmt w:val="upperLetter"/>
      <w:lvlText w:val="%2."/>
      <w:lvlJc w:val="left"/>
      <w:pPr>
        <w:tabs>
          <w:tab w:val="num" w:pos="1080"/>
        </w:tabs>
        <w:ind w:left="720" w:firstLine="0"/>
      </w:pPr>
      <w:rPr>
        <w:rFonts w:hint="default"/>
      </w:rPr>
    </w:lvl>
    <w:lvl w:ilvl="2">
      <w:start w:val="1"/>
      <w:numFmt w:val="upperRoman"/>
      <w:pStyle w:val="Dil1"/>
      <w:lvlText w:val="%3."/>
      <w:lvlJc w:val="left"/>
      <w:pPr>
        <w:tabs>
          <w:tab w:val="num" w:pos="0"/>
        </w:tabs>
        <w:ind w:left="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43">
    <w:nsid w:val="37F039B1"/>
    <w:multiLevelType w:val="hybridMultilevel"/>
    <w:tmpl w:val="16725598"/>
    <w:lvl w:ilvl="0" w:tplc="6C928CB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4">
    <w:nsid w:val="38112CA7"/>
    <w:multiLevelType w:val="hybridMultilevel"/>
    <w:tmpl w:val="8A681F32"/>
    <w:lvl w:ilvl="0" w:tplc="4BA4433A">
      <w:start w:val="1"/>
      <w:numFmt w:val="decimal"/>
      <w:pStyle w:val="ttulo2"/>
      <w:lvlText w:val="%1."/>
      <w:lvlJc w:val="left"/>
      <w:pPr>
        <w:tabs>
          <w:tab w:val="num" w:pos="720"/>
        </w:tabs>
        <w:ind w:left="720" w:hanging="360"/>
      </w:pPr>
      <w:rPr>
        <w:rFonts w:hint="default"/>
      </w:rPr>
    </w:lvl>
    <w:lvl w:ilvl="1" w:tplc="973EB1F2" w:tentative="1">
      <w:start w:val="1"/>
      <w:numFmt w:val="lowerLetter"/>
      <w:lvlText w:val="%2."/>
      <w:lvlJc w:val="left"/>
      <w:pPr>
        <w:tabs>
          <w:tab w:val="num" w:pos="1440"/>
        </w:tabs>
        <w:ind w:left="1440" w:hanging="360"/>
      </w:pPr>
    </w:lvl>
    <w:lvl w:ilvl="2" w:tplc="081A2A04" w:tentative="1">
      <w:start w:val="1"/>
      <w:numFmt w:val="lowerRoman"/>
      <w:lvlText w:val="%3."/>
      <w:lvlJc w:val="right"/>
      <w:pPr>
        <w:tabs>
          <w:tab w:val="num" w:pos="2160"/>
        </w:tabs>
        <w:ind w:left="2160" w:hanging="180"/>
      </w:pPr>
    </w:lvl>
    <w:lvl w:ilvl="3" w:tplc="366AE53A" w:tentative="1">
      <w:start w:val="1"/>
      <w:numFmt w:val="decimal"/>
      <w:lvlText w:val="%4."/>
      <w:lvlJc w:val="left"/>
      <w:pPr>
        <w:tabs>
          <w:tab w:val="num" w:pos="2880"/>
        </w:tabs>
        <w:ind w:left="2880" w:hanging="360"/>
      </w:pPr>
    </w:lvl>
    <w:lvl w:ilvl="4" w:tplc="6A1E8DB6" w:tentative="1">
      <w:start w:val="1"/>
      <w:numFmt w:val="lowerLetter"/>
      <w:lvlText w:val="%5."/>
      <w:lvlJc w:val="left"/>
      <w:pPr>
        <w:tabs>
          <w:tab w:val="num" w:pos="3600"/>
        </w:tabs>
        <w:ind w:left="3600" w:hanging="360"/>
      </w:pPr>
    </w:lvl>
    <w:lvl w:ilvl="5" w:tplc="1118335E" w:tentative="1">
      <w:start w:val="1"/>
      <w:numFmt w:val="lowerRoman"/>
      <w:lvlText w:val="%6."/>
      <w:lvlJc w:val="right"/>
      <w:pPr>
        <w:tabs>
          <w:tab w:val="num" w:pos="4320"/>
        </w:tabs>
        <w:ind w:left="4320" w:hanging="180"/>
      </w:pPr>
    </w:lvl>
    <w:lvl w:ilvl="6" w:tplc="E8FC91FA" w:tentative="1">
      <w:start w:val="1"/>
      <w:numFmt w:val="decimal"/>
      <w:lvlText w:val="%7."/>
      <w:lvlJc w:val="left"/>
      <w:pPr>
        <w:tabs>
          <w:tab w:val="num" w:pos="5040"/>
        </w:tabs>
        <w:ind w:left="5040" w:hanging="360"/>
      </w:pPr>
    </w:lvl>
    <w:lvl w:ilvl="7" w:tplc="CA104376" w:tentative="1">
      <w:start w:val="1"/>
      <w:numFmt w:val="lowerLetter"/>
      <w:lvlText w:val="%8."/>
      <w:lvlJc w:val="left"/>
      <w:pPr>
        <w:tabs>
          <w:tab w:val="num" w:pos="5760"/>
        </w:tabs>
        <w:ind w:left="5760" w:hanging="360"/>
      </w:pPr>
    </w:lvl>
    <w:lvl w:ilvl="8" w:tplc="913C54B0" w:tentative="1">
      <w:start w:val="1"/>
      <w:numFmt w:val="lowerRoman"/>
      <w:lvlText w:val="%9."/>
      <w:lvlJc w:val="right"/>
      <w:pPr>
        <w:tabs>
          <w:tab w:val="num" w:pos="6480"/>
        </w:tabs>
        <w:ind w:left="6480" w:hanging="180"/>
      </w:pPr>
    </w:lvl>
  </w:abstractNum>
  <w:abstractNum w:abstractNumId="245">
    <w:nsid w:val="38CC3751"/>
    <w:multiLevelType w:val="hybridMultilevel"/>
    <w:tmpl w:val="849A9A44"/>
    <w:lvl w:ilvl="0" w:tplc="04160005">
      <w:start w:val="3"/>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6">
    <w:nsid w:val="38F30BD0"/>
    <w:multiLevelType w:val="multilevel"/>
    <w:tmpl w:val="26F4A24E"/>
    <w:lvl w:ilvl="0">
      <w:start w:val="1"/>
      <w:numFmt w:val="decimal"/>
      <w:pStyle w:val="MMTopic1"/>
      <w:suff w:val="space"/>
      <w:lvlText w:val="%1"/>
      <w:lvlJc w:val="left"/>
      <w:pPr>
        <w:tabs>
          <w:tab w:val="num" w:pos="360"/>
        </w:tabs>
        <w:ind w:left="0" w:firstLine="0"/>
      </w:pPr>
    </w:lvl>
    <w:lvl w:ilvl="1">
      <w:start w:val="1"/>
      <w:numFmt w:val="decimal"/>
      <w:pStyle w:val="MMTopic2"/>
      <w:suff w:val="space"/>
      <w:lvlText w:val="%1.%2"/>
      <w:lvlJc w:val="left"/>
      <w:pPr>
        <w:tabs>
          <w:tab w:val="num" w:pos="720"/>
        </w:tabs>
        <w:ind w:left="0" w:firstLine="0"/>
      </w:pPr>
    </w:lvl>
    <w:lvl w:ilvl="2">
      <w:start w:val="1"/>
      <w:numFmt w:val="decimal"/>
      <w:pStyle w:val="MMTopic3"/>
      <w:suff w:val="space"/>
      <w:lvlText w:val="%1.%2.%3"/>
      <w:lvlJc w:val="left"/>
      <w:pPr>
        <w:tabs>
          <w:tab w:val="num" w:pos="1080"/>
        </w:tabs>
        <w:ind w:left="0" w:firstLine="0"/>
      </w:pPr>
    </w:lvl>
    <w:lvl w:ilvl="3">
      <w:start w:val="1"/>
      <w:numFmt w:val="decimal"/>
      <w:pStyle w:val="MMTopic4"/>
      <w:suff w:val="space"/>
      <w:lvlText w:val="%1.%2.%3.%4"/>
      <w:lvlJc w:val="left"/>
      <w:pPr>
        <w:tabs>
          <w:tab w:val="num" w:pos="1440"/>
        </w:tabs>
        <w:ind w:left="0" w:firstLine="0"/>
      </w:pPr>
    </w:lvl>
    <w:lvl w:ilvl="4">
      <w:start w:val="1"/>
      <w:numFmt w:val="decimal"/>
      <w:pStyle w:val="MMTopic5"/>
      <w:suff w:val="space"/>
      <w:lvlText w:val="%1.%2.%3.%4.%5"/>
      <w:lvlJc w:val="left"/>
      <w:pPr>
        <w:tabs>
          <w:tab w:val="num" w:pos="1800"/>
        </w:tabs>
        <w:ind w:left="0" w:firstLine="0"/>
      </w:pPr>
    </w:lvl>
    <w:lvl w:ilvl="5">
      <w:start w:val="1"/>
      <w:numFmt w:val="decimal"/>
      <w:pStyle w:val="MMTopic6"/>
      <w:suff w:val="space"/>
      <w:lvlText w:val="%1.%2.%3.%4.%5.%6"/>
      <w:lvlJc w:val="left"/>
      <w:pPr>
        <w:tabs>
          <w:tab w:val="num" w:pos="2160"/>
        </w:tabs>
        <w:ind w:left="0" w:firstLine="0"/>
      </w:pPr>
    </w:lvl>
    <w:lvl w:ilvl="6">
      <w:start w:val="1"/>
      <w:numFmt w:val="decimal"/>
      <w:pStyle w:val="MMTopic7"/>
      <w:suff w:val="space"/>
      <w:lvlText w:val="%1.%2.%3.%4.%5.%6.%7"/>
      <w:lvlJc w:val="left"/>
      <w:pPr>
        <w:tabs>
          <w:tab w:val="num" w:pos="2520"/>
        </w:tabs>
        <w:ind w:left="0" w:firstLine="0"/>
      </w:pPr>
    </w:lvl>
    <w:lvl w:ilvl="7">
      <w:start w:val="1"/>
      <w:numFmt w:val="decimal"/>
      <w:pStyle w:val="MMTopic8"/>
      <w:suff w:val="space"/>
      <w:lvlText w:val="%1.%2.%3.%4.%5.%6.%7.%8"/>
      <w:lvlJc w:val="left"/>
      <w:pPr>
        <w:tabs>
          <w:tab w:val="num" w:pos="2880"/>
        </w:tabs>
        <w:ind w:left="0" w:firstLine="0"/>
      </w:pPr>
    </w:lvl>
    <w:lvl w:ilvl="8">
      <w:start w:val="1"/>
      <w:numFmt w:val="decimal"/>
      <w:pStyle w:val="MMTopic9"/>
      <w:suff w:val="space"/>
      <w:lvlText w:val="%1.%2.%3.%4.%5.%6.%7.%8.%9"/>
      <w:lvlJc w:val="left"/>
      <w:pPr>
        <w:tabs>
          <w:tab w:val="num" w:pos="3240"/>
        </w:tabs>
        <w:ind w:left="0" w:firstLine="0"/>
      </w:pPr>
    </w:lvl>
  </w:abstractNum>
  <w:abstractNum w:abstractNumId="247">
    <w:nsid w:val="395B11B6"/>
    <w:multiLevelType w:val="hybridMultilevel"/>
    <w:tmpl w:val="923A64FC"/>
    <w:lvl w:ilvl="0" w:tplc="04160001">
      <w:start w:val="1"/>
      <w:numFmt w:val="bullet"/>
      <w:lvlText w:val=""/>
      <w:lvlJc w:val="left"/>
      <w:pPr>
        <w:ind w:left="1110" w:hanging="360"/>
      </w:pPr>
      <w:rPr>
        <w:rFonts w:ascii="Wingdings" w:hAnsi="Wingdings" w:hint="default"/>
      </w:rPr>
    </w:lvl>
    <w:lvl w:ilvl="1" w:tplc="04160003" w:tentative="1">
      <w:start w:val="1"/>
      <w:numFmt w:val="bullet"/>
      <w:lvlText w:val="o"/>
      <w:lvlJc w:val="left"/>
      <w:pPr>
        <w:ind w:left="1830" w:hanging="360"/>
      </w:pPr>
      <w:rPr>
        <w:rFonts w:ascii="Courier New" w:hAnsi="Courier New" w:cs="Courier New" w:hint="default"/>
      </w:rPr>
    </w:lvl>
    <w:lvl w:ilvl="2" w:tplc="04160005" w:tentative="1">
      <w:start w:val="1"/>
      <w:numFmt w:val="bullet"/>
      <w:lvlText w:val=""/>
      <w:lvlJc w:val="left"/>
      <w:pPr>
        <w:ind w:left="2550" w:hanging="360"/>
      </w:pPr>
      <w:rPr>
        <w:rFonts w:ascii="Wingdings" w:hAnsi="Wingdings" w:hint="default"/>
      </w:rPr>
    </w:lvl>
    <w:lvl w:ilvl="3" w:tplc="04160001" w:tentative="1">
      <w:start w:val="1"/>
      <w:numFmt w:val="bullet"/>
      <w:lvlText w:val=""/>
      <w:lvlJc w:val="left"/>
      <w:pPr>
        <w:ind w:left="3270" w:hanging="360"/>
      </w:pPr>
      <w:rPr>
        <w:rFonts w:ascii="Symbol" w:hAnsi="Symbol" w:hint="default"/>
      </w:rPr>
    </w:lvl>
    <w:lvl w:ilvl="4" w:tplc="04160003" w:tentative="1">
      <w:start w:val="1"/>
      <w:numFmt w:val="bullet"/>
      <w:lvlText w:val="o"/>
      <w:lvlJc w:val="left"/>
      <w:pPr>
        <w:ind w:left="3990" w:hanging="360"/>
      </w:pPr>
      <w:rPr>
        <w:rFonts w:ascii="Courier New" w:hAnsi="Courier New" w:cs="Courier New" w:hint="default"/>
      </w:rPr>
    </w:lvl>
    <w:lvl w:ilvl="5" w:tplc="04160005" w:tentative="1">
      <w:start w:val="1"/>
      <w:numFmt w:val="bullet"/>
      <w:lvlText w:val=""/>
      <w:lvlJc w:val="left"/>
      <w:pPr>
        <w:ind w:left="4710" w:hanging="360"/>
      </w:pPr>
      <w:rPr>
        <w:rFonts w:ascii="Wingdings" w:hAnsi="Wingdings" w:hint="default"/>
      </w:rPr>
    </w:lvl>
    <w:lvl w:ilvl="6" w:tplc="04160001" w:tentative="1">
      <w:start w:val="1"/>
      <w:numFmt w:val="bullet"/>
      <w:lvlText w:val=""/>
      <w:lvlJc w:val="left"/>
      <w:pPr>
        <w:ind w:left="5430" w:hanging="360"/>
      </w:pPr>
      <w:rPr>
        <w:rFonts w:ascii="Symbol" w:hAnsi="Symbol" w:hint="default"/>
      </w:rPr>
    </w:lvl>
    <w:lvl w:ilvl="7" w:tplc="04160003" w:tentative="1">
      <w:start w:val="1"/>
      <w:numFmt w:val="bullet"/>
      <w:lvlText w:val="o"/>
      <w:lvlJc w:val="left"/>
      <w:pPr>
        <w:ind w:left="6150" w:hanging="360"/>
      </w:pPr>
      <w:rPr>
        <w:rFonts w:ascii="Courier New" w:hAnsi="Courier New" w:cs="Courier New" w:hint="default"/>
      </w:rPr>
    </w:lvl>
    <w:lvl w:ilvl="8" w:tplc="04160005" w:tentative="1">
      <w:start w:val="1"/>
      <w:numFmt w:val="bullet"/>
      <w:lvlText w:val=""/>
      <w:lvlJc w:val="left"/>
      <w:pPr>
        <w:ind w:left="6870" w:hanging="360"/>
      </w:pPr>
      <w:rPr>
        <w:rFonts w:ascii="Wingdings" w:hAnsi="Wingdings" w:hint="default"/>
      </w:rPr>
    </w:lvl>
  </w:abstractNum>
  <w:abstractNum w:abstractNumId="248">
    <w:nsid w:val="39897FD1"/>
    <w:multiLevelType w:val="hybridMultilevel"/>
    <w:tmpl w:val="8BCCAE72"/>
    <w:lvl w:ilvl="0" w:tplc="7E6EB496">
      <w:start w:val="1"/>
      <w:numFmt w:val="bullet"/>
      <w:lvlText w:val=""/>
      <w:lvlJc w:val="left"/>
      <w:pPr>
        <w:tabs>
          <w:tab w:val="num" w:pos="1800"/>
        </w:tabs>
        <w:ind w:left="1800" w:hanging="360"/>
      </w:pPr>
      <w:rPr>
        <w:rFonts w:ascii="Symbol" w:hAnsi="Symbol" w:hint="default"/>
      </w:rPr>
    </w:lvl>
    <w:lvl w:ilvl="1" w:tplc="89E6A774" w:tentative="1">
      <w:start w:val="1"/>
      <w:numFmt w:val="bullet"/>
      <w:lvlText w:val="o"/>
      <w:lvlJc w:val="left"/>
      <w:pPr>
        <w:tabs>
          <w:tab w:val="num" w:pos="2520"/>
        </w:tabs>
        <w:ind w:left="2520" w:hanging="360"/>
      </w:pPr>
      <w:rPr>
        <w:rFonts w:ascii="Courier New" w:hAnsi="Courier New" w:hint="default"/>
      </w:rPr>
    </w:lvl>
    <w:lvl w:ilvl="2" w:tplc="A1A243D6" w:tentative="1">
      <w:start w:val="1"/>
      <w:numFmt w:val="bullet"/>
      <w:lvlText w:val=""/>
      <w:lvlJc w:val="left"/>
      <w:pPr>
        <w:tabs>
          <w:tab w:val="num" w:pos="3240"/>
        </w:tabs>
        <w:ind w:left="3240" w:hanging="360"/>
      </w:pPr>
      <w:rPr>
        <w:rFonts w:ascii="Wingdings" w:hAnsi="Wingdings" w:hint="default"/>
      </w:rPr>
    </w:lvl>
    <w:lvl w:ilvl="3" w:tplc="E014DAFE" w:tentative="1">
      <w:start w:val="1"/>
      <w:numFmt w:val="bullet"/>
      <w:lvlText w:val=""/>
      <w:lvlJc w:val="left"/>
      <w:pPr>
        <w:tabs>
          <w:tab w:val="num" w:pos="3960"/>
        </w:tabs>
        <w:ind w:left="3960" w:hanging="360"/>
      </w:pPr>
      <w:rPr>
        <w:rFonts w:ascii="Symbol" w:hAnsi="Symbol" w:hint="default"/>
      </w:rPr>
    </w:lvl>
    <w:lvl w:ilvl="4" w:tplc="CD942016" w:tentative="1">
      <w:start w:val="1"/>
      <w:numFmt w:val="bullet"/>
      <w:lvlText w:val="o"/>
      <w:lvlJc w:val="left"/>
      <w:pPr>
        <w:tabs>
          <w:tab w:val="num" w:pos="4680"/>
        </w:tabs>
        <w:ind w:left="4680" w:hanging="360"/>
      </w:pPr>
      <w:rPr>
        <w:rFonts w:ascii="Courier New" w:hAnsi="Courier New" w:hint="default"/>
      </w:rPr>
    </w:lvl>
    <w:lvl w:ilvl="5" w:tplc="2D4C4AB6" w:tentative="1">
      <w:start w:val="1"/>
      <w:numFmt w:val="bullet"/>
      <w:lvlText w:val=""/>
      <w:lvlJc w:val="left"/>
      <w:pPr>
        <w:tabs>
          <w:tab w:val="num" w:pos="5400"/>
        </w:tabs>
        <w:ind w:left="5400" w:hanging="360"/>
      </w:pPr>
      <w:rPr>
        <w:rFonts w:ascii="Wingdings" w:hAnsi="Wingdings" w:hint="default"/>
      </w:rPr>
    </w:lvl>
    <w:lvl w:ilvl="6" w:tplc="7F46370A" w:tentative="1">
      <w:start w:val="1"/>
      <w:numFmt w:val="bullet"/>
      <w:lvlText w:val=""/>
      <w:lvlJc w:val="left"/>
      <w:pPr>
        <w:tabs>
          <w:tab w:val="num" w:pos="6120"/>
        </w:tabs>
        <w:ind w:left="6120" w:hanging="360"/>
      </w:pPr>
      <w:rPr>
        <w:rFonts w:ascii="Symbol" w:hAnsi="Symbol" w:hint="default"/>
      </w:rPr>
    </w:lvl>
    <w:lvl w:ilvl="7" w:tplc="CDEECB8C" w:tentative="1">
      <w:start w:val="1"/>
      <w:numFmt w:val="bullet"/>
      <w:lvlText w:val="o"/>
      <w:lvlJc w:val="left"/>
      <w:pPr>
        <w:tabs>
          <w:tab w:val="num" w:pos="6840"/>
        </w:tabs>
        <w:ind w:left="6840" w:hanging="360"/>
      </w:pPr>
      <w:rPr>
        <w:rFonts w:ascii="Courier New" w:hAnsi="Courier New" w:hint="default"/>
      </w:rPr>
    </w:lvl>
    <w:lvl w:ilvl="8" w:tplc="59C40DAC" w:tentative="1">
      <w:start w:val="1"/>
      <w:numFmt w:val="bullet"/>
      <w:lvlText w:val=""/>
      <w:lvlJc w:val="left"/>
      <w:pPr>
        <w:tabs>
          <w:tab w:val="num" w:pos="7560"/>
        </w:tabs>
        <w:ind w:left="7560" w:hanging="360"/>
      </w:pPr>
      <w:rPr>
        <w:rFonts w:ascii="Wingdings" w:hAnsi="Wingdings" w:hint="default"/>
      </w:rPr>
    </w:lvl>
  </w:abstractNum>
  <w:abstractNum w:abstractNumId="249">
    <w:nsid w:val="39D569DF"/>
    <w:multiLevelType w:val="hybridMultilevel"/>
    <w:tmpl w:val="62E68754"/>
    <w:lvl w:ilvl="0" w:tplc="04160005">
      <w:start w:val="1"/>
      <w:numFmt w:val="decimal"/>
      <w:lvlText w:val="(%1)"/>
      <w:lvlJc w:val="left"/>
      <w:pPr>
        <w:ind w:left="435" w:hanging="360"/>
      </w:pPr>
      <w:rPr>
        <w:rFonts w:hint="default"/>
        <w:b/>
      </w:rPr>
    </w:lvl>
    <w:lvl w:ilvl="1" w:tplc="04160003" w:tentative="1">
      <w:start w:val="1"/>
      <w:numFmt w:val="lowerLetter"/>
      <w:lvlText w:val="%2."/>
      <w:lvlJc w:val="left"/>
      <w:pPr>
        <w:ind w:left="1155" w:hanging="360"/>
      </w:pPr>
    </w:lvl>
    <w:lvl w:ilvl="2" w:tplc="04160005" w:tentative="1">
      <w:start w:val="1"/>
      <w:numFmt w:val="lowerRoman"/>
      <w:lvlText w:val="%3."/>
      <w:lvlJc w:val="right"/>
      <w:pPr>
        <w:ind w:left="1875" w:hanging="180"/>
      </w:pPr>
    </w:lvl>
    <w:lvl w:ilvl="3" w:tplc="04160001" w:tentative="1">
      <w:start w:val="1"/>
      <w:numFmt w:val="decimal"/>
      <w:lvlText w:val="%4."/>
      <w:lvlJc w:val="left"/>
      <w:pPr>
        <w:ind w:left="2595" w:hanging="360"/>
      </w:pPr>
    </w:lvl>
    <w:lvl w:ilvl="4" w:tplc="04160003" w:tentative="1">
      <w:start w:val="1"/>
      <w:numFmt w:val="lowerLetter"/>
      <w:lvlText w:val="%5."/>
      <w:lvlJc w:val="left"/>
      <w:pPr>
        <w:ind w:left="3315" w:hanging="360"/>
      </w:pPr>
    </w:lvl>
    <w:lvl w:ilvl="5" w:tplc="04160005" w:tentative="1">
      <w:start w:val="1"/>
      <w:numFmt w:val="lowerRoman"/>
      <w:lvlText w:val="%6."/>
      <w:lvlJc w:val="right"/>
      <w:pPr>
        <w:ind w:left="4035" w:hanging="180"/>
      </w:pPr>
    </w:lvl>
    <w:lvl w:ilvl="6" w:tplc="04160001" w:tentative="1">
      <w:start w:val="1"/>
      <w:numFmt w:val="decimal"/>
      <w:lvlText w:val="%7."/>
      <w:lvlJc w:val="left"/>
      <w:pPr>
        <w:ind w:left="4755" w:hanging="360"/>
      </w:pPr>
    </w:lvl>
    <w:lvl w:ilvl="7" w:tplc="04160003" w:tentative="1">
      <w:start w:val="1"/>
      <w:numFmt w:val="lowerLetter"/>
      <w:lvlText w:val="%8."/>
      <w:lvlJc w:val="left"/>
      <w:pPr>
        <w:ind w:left="5475" w:hanging="360"/>
      </w:pPr>
    </w:lvl>
    <w:lvl w:ilvl="8" w:tplc="04160005" w:tentative="1">
      <w:start w:val="1"/>
      <w:numFmt w:val="lowerRoman"/>
      <w:lvlText w:val="%9."/>
      <w:lvlJc w:val="right"/>
      <w:pPr>
        <w:ind w:left="6195" w:hanging="180"/>
      </w:pPr>
    </w:lvl>
  </w:abstractNum>
  <w:abstractNum w:abstractNumId="250">
    <w:nsid w:val="39ED748E"/>
    <w:multiLevelType w:val="hybridMultilevel"/>
    <w:tmpl w:val="548630D0"/>
    <w:lvl w:ilvl="0" w:tplc="9A18F090">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51">
    <w:nsid w:val="39ED76CE"/>
    <w:multiLevelType w:val="hybridMultilevel"/>
    <w:tmpl w:val="3D3228A4"/>
    <w:lvl w:ilvl="0" w:tplc="07CC70A2">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52">
    <w:nsid w:val="3A1E4BA0"/>
    <w:multiLevelType w:val="hybridMultilevel"/>
    <w:tmpl w:val="144A97C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3">
    <w:nsid w:val="3A340D3C"/>
    <w:multiLevelType w:val="hybridMultilevel"/>
    <w:tmpl w:val="674EA47E"/>
    <w:lvl w:ilvl="0" w:tplc="04160001">
      <w:start w:val="1"/>
      <w:numFmt w:val="bullet"/>
      <w:lvlText w:val=""/>
      <w:lvlJc w:val="left"/>
      <w:pPr>
        <w:ind w:left="1429" w:hanging="360"/>
      </w:pPr>
      <w:rPr>
        <w:rFonts w:ascii="Symbol" w:hAnsi="Symbol" w:hint="default"/>
      </w:rPr>
    </w:lvl>
    <w:lvl w:ilvl="1" w:tplc="04160003">
      <w:start w:val="1"/>
      <w:numFmt w:val="bullet"/>
      <w:lvlText w:val="o"/>
      <w:lvlJc w:val="left"/>
      <w:pPr>
        <w:ind w:left="2149" w:hanging="360"/>
      </w:pPr>
      <w:rPr>
        <w:rFonts w:ascii="Courier New" w:hAnsi="Courier New" w:cs="Courier New" w:hint="default"/>
      </w:rPr>
    </w:lvl>
    <w:lvl w:ilvl="2" w:tplc="04160005">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54">
    <w:nsid w:val="3AA75CF0"/>
    <w:multiLevelType w:val="hybridMultilevel"/>
    <w:tmpl w:val="5EB840FC"/>
    <w:lvl w:ilvl="0" w:tplc="E56E3C36">
      <w:start w:val="1"/>
      <w:numFmt w:val="lowerLetter"/>
      <w:lvlText w:val="%1)"/>
      <w:lvlJc w:val="left"/>
      <w:pPr>
        <w:ind w:left="720" w:hanging="360"/>
      </w:pPr>
      <w:rPr>
        <w:rFonts w:cs="Times New Roman" w:hint="default"/>
      </w:rPr>
    </w:lvl>
    <w:lvl w:ilvl="1" w:tplc="04160019">
      <w:start w:val="1"/>
      <w:numFmt w:val="decimal"/>
      <w:lvlText w:val="(%2)"/>
      <w:lvlJc w:val="left"/>
      <w:pPr>
        <w:tabs>
          <w:tab w:val="num" w:pos="360"/>
        </w:tabs>
        <w:ind w:left="360" w:hanging="360"/>
      </w:pPr>
      <w:rPr>
        <w:rFonts w:hint="default"/>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255">
    <w:nsid w:val="3AC30166"/>
    <w:multiLevelType w:val="hybridMultilevel"/>
    <w:tmpl w:val="9A8691B0"/>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56">
    <w:nsid w:val="3AD36209"/>
    <w:multiLevelType w:val="hybridMultilevel"/>
    <w:tmpl w:val="F2E4A5F6"/>
    <w:lvl w:ilvl="0" w:tplc="04160001">
      <w:start w:val="1"/>
      <w:numFmt w:val="bullet"/>
      <w:lvlText w:val=""/>
      <w:lvlJc w:val="left"/>
      <w:pPr>
        <w:tabs>
          <w:tab w:val="num" w:pos="1070"/>
        </w:tabs>
        <w:ind w:left="1070" w:hanging="360"/>
      </w:pPr>
      <w:rPr>
        <w:rFonts w:ascii="Wingdings" w:hAnsi="Wingdings" w:hint="default"/>
      </w:rPr>
    </w:lvl>
    <w:lvl w:ilvl="1" w:tplc="04160003" w:tentative="1">
      <w:start w:val="1"/>
      <w:numFmt w:val="bullet"/>
      <w:lvlText w:val="o"/>
      <w:lvlJc w:val="left"/>
      <w:pPr>
        <w:tabs>
          <w:tab w:val="num" w:pos="1790"/>
        </w:tabs>
        <w:ind w:left="1790" w:hanging="360"/>
      </w:pPr>
      <w:rPr>
        <w:rFonts w:ascii="Courier New" w:hAnsi="Courier New" w:cs="Courier New" w:hint="default"/>
      </w:rPr>
    </w:lvl>
    <w:lvl w:ilvl="2" w:tplc="04160005" w:tentative="1">
      <w:start w:val="1"/>
      <w:numFmt w:val="bullet"/>
      <w:lvlText w:val=""/>
      <w:lvlJc w:val="left"/>
      <w:pPr>
        <w:tabs>
          <w:tab w:val="num" w:pos="2510"/>
        </w:tabs>
        <w:ind w:left="2510" w:hanging="360"/>
      </w:pPr>
      <w:rPr>
        <w:rFonts w:ascii="Wingdings" w:hAnsi="Wingdings" w:hint="default"/>
      </w:rPr>
    </w:lvl>
    <w:lvl w:ilvl="3" w:tplc="04160001" w:tentative="1">
      <w:start w:val="1"/>
      <w:numFmt w:val="bullet"/>
      <w:lvlText w:val=""/>
      <w:lvlJc w:val="left"/>
      <w:pPr>
        <w:tabs>
          <w:tab w:val="num" w:pos="3230"/>
        </w:tabs>
        <w:ind w:left="3230" w:hanging="360"/>
      </w:pPr>
      <w:rPr>
        <w:rFonts w:ascii="Symbol" w:hAnsi="Symbol" w:hint="default"/>
      </w:rPr>
    </w:lvl>
    <w:lvl w:ilvl="4" w:tplc="04160003" w:tentative="1">
      <w:start w:val="1"/>
      <w:numFmt w:val="bullet"/>
      <w:lvlText w:val="o"/>
      <w:lvlJc w:val="left"/>
      <w:pPr>
        <w:tabs>
          <w:tab w:val="num" w:pos="3950"/>
        </w:tabs>
        <w:ind w:left="3950" w:hanging="360"/>
      </w:pPr>
      <w:rPr>
        <w:rFonts w:ascii="Courier New" w:hAnsi="Courier New" w:cs="Courier New" w:hint="default"/>
      </w:rPr>
    </w:lvl>
    <w:lvl w:ilvl="5" w:tplc="04160005" w:tentative="1">
      <w:start w:val="1"/>
      <w:numFmt w:val="bullet"/>
      <w:lvlText w:val=""/>
      <w:lvlJc w:val="left"/>
      <w:pPr>
        <w:tabs>
          <w:tab w:val="num" w:pos="4670"/>
        </w:tabs>
        <w:ind w:left="4670" w:hanging="360"/>
      </w:pPr>
      <w:rPr>
        <w:rFonts w:ascii="Wingdings" w:hAnsi="Wingdings" w:hint="default"/>
      </w:rPr>
    </w:lvl>
    <w:lvl w:ilvl="6" w:tplc="04160001" w:tentative="1">
      <w:start w:val="1"/>
      <w:numFmt w:val="bullet"/>
      <w:lvlText w:val=""/>
      <w:lvlJc w:val="left"/>
      <w:pPr>
        <w:tabs>
          <w:tab w:val="num" w:pos="5390"/>
        </w:tabs>
        <w:ind w:left="5390" w:hanging="360"/>
      </w:pPr>
      <w:rPr>
        <w:rFonts w:ascii="Symbol" w:hAnsi="Symbol" w:hint="default"/>
      </w:rPr>
    </w:lvl>
    <w:lvl w:ilvl="7" w:tplc="04160003" w:tentative="1">
      <w:start w:val="1"/>
      <w:numFmt w:val="bullet"/>
      <w:lvlText w:val="o"/>
      <w:lvlJc w:val="left"/>
      <w:pPr>
        <w:tabs>
          <w:tab w:val="num" w:pos="6110"/>
        </w:tabs>
        <w:ind w:left="6110" w:hanging="360"/>
      </w:pPr>
      <w:rPr>
        <w:rFonts w:ascii="Courier New" w:hAnsi="Courier New" w:cs="Courier New" w:hint="default"/>
      </w:rPr>
    </w:lvl>
    <w:lvl w:ilvl="8" w:tplc="04160005" w:tentative="1">
      <w:start w:val="1"/>
      <w:numFmt w:val="bullet"/>
      <w:lvlText w:val=""/>
      <w:lvlJc w:val="left"/>
      <w:pPr>
        <w:tabs>
          <w:tab w:val="num" w:pos="6830"/>
        </w:tabs>
        <w:ind w:left="6830" w:hanging="360"/>
      </w:pPr>
      <w:rPr>
        <w:rFonts w:ascii="Wingdings" w:hAnsi="Wingdings" w:hint="default"/>
      </w:rPr>
    </w:lvl>
  </w:abstractNum>
  <w:abstractNum w:abstractNumId="257">
    <w:nsid w:val="3B5D307C"/>
    <w:multiLevelType w:val="hybridMultilevel"/>
    <w:tmpl w:val="65888002"/>
    <w:lvl w:ilvl="0" w:tplc="04160009">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8">
    <w:nsid w:val="3B7358D0"/>
    <w:multiLevelType w:val="hybridMultilevel"/>
    <w:tmpl w:val="29725884"/>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59">
    <w:nsid w:val="3B8E0257"/>
    <w:multiLevelType w:val="hybridMultilevel"/>
    <w:tmpl w:val="FB7A0418"/>
    <w:lvl w:ilvl="0" w:tplc="04160017">
      <w:start w:val="1"/>
      <w:numFmt w:val="bullet"/>
      <w:lvlText w:val=""/>
      <w:lvlJc w:val="left"/>
      <w:pPr>
        <w:ind w:left="720" w:hanging="360"/>
      </w:pPr>
      <w:rPr>
        <w:rFonts w:ascii="Symbol" w:hAnsi="Symbol" w:hint="default"/>
      </w:rPr>
    </w:lvl>
    <w:lvl w:ilvl="1" w:tplc="8E000898"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60">
    <w:nsid w:val="3BBF4689"/>
    <w:multiLevelType w:val="hybridMultilevel"/>
    <w:tmpl w:val="79867ED2"/>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1">
    <w:nsid w:val="3C584328"/>
    <w:multiLevelType w:val="hybridMultilevel"/>
    <w:tmpl w:val="B65ECA1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2">
    <w:nsid w:val="3CD56C71"/>
    <w:multiLevelType w:val="hybridMultilevel"/>
    <w:tmpl w:val="453A15F4"/>
    <w:lvl w:ilvl="0" w:tplc="04160001">
      <w:start w:val="1"/>
      <w:numFmt w:val="lowerRoman"/>
      <w:lvlText w:val="%1."/>
      <w:lvlJc w:val="left"/>
      <w:pPr>
        <w:ind w:left="1080" w:hanging="72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63">
    <w:nsid w:val="3CD872F4"/>
    <w:multiLevelType w:val="hybridMultilevel"/>
    <w:tmpl w:val="9DCC294C"/>
    <w:lvl w:ilvl="0" w:tplc="A42E27C6">
      <w:start w:val="1"/>
      <w:numFmt w:val="bullet"/>
      <w:lvlText w:val=""/>
      <w:lvlJc w:val="left"/>
      <w:pPr>
        <w:ind w:left="1854" w:hanging="360"/>
      </w:pPr>
      <w:rPr>
        <w:rFonts w:ascii="Symbol" w:hAnsi="Symbol" w:hint="default"/>
      </w:r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264">
    <w:nsid w:val="3CE139D1"/>
    <w:multiLevelType w:val="hybridMultilevel"/>
    <w:tmpl w:val="6CEE452E"/>
    <w:lvl w:ilvl="0" w:tplc="0416000D">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65">
    <w:nsid w:val="3D687401"/>
    <w:multiLevelType w:val="hybridMultilevel"/>
    <w:tmpl w:val="1BEC9BF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6">
    <w:nsid w:val="3DF53251"/>
    <w:multiLevelType w:val="hybridMultilevel"/>
    <w:tmpl w:val="A7341C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7">
    <w:nsid w:val="3E213286"/>
    <w:multiLevelType w:val="singleLevel"/>
    <w:tmpl w:val="4BC4F246"/>
    <w:lvl w:ilvl="0">
      <w:start w:val="1"/>
      <w:numFmt w:val="bullet"/>
      <w:lvlText w:val=""/>
      <w:lvlJc w:val="left"/>
      <w:pPr>
        <w:tabs>
          <w:tab w:val="num" w:pos="360"/>
        </w:tabs>
        <w:ind w:left="360" w:hanging="360"/>
      </w:pPr>
      <w:rPr>
        <w:rFonts w:ascii="Wingdings" w:hAnsi="Wingdings" w:hint="default"/>
      </w:rPr>
    </w:lvl>
  </w:abstractNum>
  <w:abstractNum w:abstractNumId="268">
    <w:nsid w:val="3EA74535"/>
    <w:multiLevelType w:val="hybridMultilevel"/>
    <w:tmpl w:val="EBCA523A"/>
    <w:lvl w:ilvl="0" w:tplc="217CF566">
      <w:start w:val="1"/>
      <w:numFmt w:val="bullet"/>
      <w:lvlText w:val=""/>
      <w:lvlJc w:val="left"/>
      <w:pPr>
        <w:ind w:left="1440" w:hanging="360"/>
      </w:pPr>
      <w:rPr>
        <w:rFonts w:ascii="Symbol" w:hAnsi="Symbol" w:hint="default"/>
      </w:rPr>
    </w:lvl>
    <w:lvl w:ilvl="1" w:tplc="DF5A1630" w:tentative="1">
      <w:start w:val="1"/>
      <w:numFmt w:val="bullet"/>
      <w:lvlText w:val="o"/>
      <w:lvlJc w:val="left"/>
      <w:pPr>
        <w:ind w:left="2160" w:hanging="360"/>
      </w:pPr>
      <w:rPr>
        <w:rFonts w:ascii="Courier New" w:hAnsi="Courier New" w:cs="Courier New" w:hint="default"/>
      </w:rPr>
    </w:lvl>
    <w:lvl w:ilvl="2" w:tplc="910020E0" w:tentative="1">
      <w:start w:val="1"/>
      <w:numFmt w:val="bullet"/>
      <w:lvlText w:val=""/>
      <w:lvlJc w:val="left"/>
      <w:pPr>
        <w:ind w:left="2880" w:hanging="360"/>
      </w:pPr>
      <w:rPr>
        <w:rFonts w:ascii="Wingdings" w:hAnsi="Wingdings" w:hint="default"/>
      </w:rPr>
    </w:lvl>
    <w:lvl w:ilvl="3" w:tplc="8EB2BE9E" w:tentative="1">
      <w:start w:val="1"/>
      <w:numFmt w:val="bullet"/>
      <w:lvlText w:val=""/>
      <w:lvlJc w:val="left"/>
      <w:pPr>
        <w:ind w:left="3600" w:hanging="360"/>
      </w:pPr>
      <w:rPr>
        <w:rFonts w:ascii="Symbol" w:hAnsi="Symbol" w:hint="default"/>
      </w:rPr>
    </w:lvl>
    <w:lvl w:ilvl="4" w:tplc="4CD860D0" w:tentative="1">
      <w:start w:val="1"/>
      <w:numFmt w:val="bullet"/>
      <w:lvlText w:val="o"/>
      <w:lvlJc w:val="left"/>
      <w:pPr>
        <w:ind w:left="4320" w:hanging="360"/>
      </w:pPr>
      <w:rPr>
        <w:rFonts w:ascii="Courier New" w:hAnsi="Courier New" w:cs="Courier New" w:hint="default"/>
      </w:rPr>
    </w:lvl>
    <w:lvl w:ilvl="5" w:tplc="A32C79F0" w:tentative="1">
      <w:start w:val="1"/>
      <w:numFmt w:val="bullet"/>
      <w:lvlText w:val=""/>
      <w:lvlJc w:val="left"/>
      <w:pPr>
        <w:ind w:left="5040" w:hanging="360"/>
      </w:pPr>
      <w:rPr>
        <w:rFonts w:ascii="Wingdings" w:hAnsi="Wingdings" w:hint="default"/>
      </w:rPr>
    </w:lvl>
    <w:lvl w:ilvl="6" w:tplc="75A6DC7E" w:tentative="1">
      <w:start w:val="1"/>
      <w:numFmt w:val="bullet"/>
      <w:lvlText w:val=""/>
      <w:lvlJc w:val="left"/>
      <w:pPr>
        <w:ind w:left="5760" w:hanging="360"/>
      </w:pPr>
      <w:rPr>
        <w:rFonts w:ascii="Symbol" w:hAnsi="Symbol" w:hint="default"/>
      </w:rPr>
    </w:lvl>
    <w:lvl w:ilvl="7" w:tplc="856AD0F4" w:tentative="1">
      <w:start w:val="1"/>
      <w:numFmt w:val="bullet"/>
      <w:lvlText w:val="o"/>
      <w:lvlJc w:val="left"/>
      <w:pPr>
        <w:ind w:left="6480" w:hanging="360"/>
      </w:pPr>
      <w:rPr>
        <w:rFonts w:ascii="Courier New" w:hAnsi="Courier New" w:cs="Courier New" w:hint="default"/>
      </w:rPr>
    </w:lvl>
    <w:lvl w:ilvl="8" w:tplc="BB3C7A0E" w:tentative="1">
      <w:start w:val="1"/>
      <w:numFmt w:val="bullet"/>
      <w:lvlText w:val=""/>
      <w:lvlJc w:val="left"/>
      <w:pPr>
        <w:ind w:left="7200" w:hanging="360"/>
      </w:pPr>
      <w:rPr>
        <w:rFonts w:ascii="Wingdings" w:hAnsi="Wingdings" w:hint="default"/>
      </w:rPr>
    </w:lvl>
  </w:abstractNum>
  <w:abstractNum w:abstractNumId="269">
    <w:nsid w:val="3EAC0E0B"/>
    <w:multiLevelType w:val="multilevel"/>
    <w:tmpl w:val="DC94C2E2"/>
    <w:lvl w:ilvl="0">
      <w:start w:val="1"/>
      <w:numFmt w:val="decimal"/>
      <w:lvlText w:val="%1."/>
      <w:lvlJc w:val="left"/>
      <w:pPr>
        <w:ind w:left="360" w:hanging="360"/>
      </w:pPr>
      <w:rPr>
        <w:b/>
      </w:rPr>
    </w:lvl>
    <w:lvl w:ilvl="1">
      <w:start w:val="1"/>
      <w:numFmt w:val="bullet"/>
      <w:lvlText w:val=""/>
      <w:lvlJc w:val="left"/>
      <w:pPr>
        <w:ind w:left="792" w:hanging="432"/>
      </w:pPr>
      <w:rPr>
        <w:rFonts w:ascii="Symbol" w:hAnsi="Symbol" w:hint="default"/>
        <w:b/>
        <w:color w:val="auto"/>
      </w:rPr>
    </w:lvl>
    <w:lvl w:ilvl="2">
      <w:start w:val="1"/>
      <w:numFmt w:val="lowerLetter"/>
      <w:lvlText w:val="%3)"/>
      <w:lvlJc w:val="left"/>
      <w:pPr>
        <w:ind w:left="1224" w:hanging="504"/>
      </w:pPr>
      <w:rPr>
        <w:b/>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0">
    <w:nsid w:val="3F403B40"/>
    <w:multiLevelType w:val="hybridMultilevel"/>
    <w:tmpl w:val="DC427222"/>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71">
    <w:nsid w:val="3F985A7F"/>
    <w:multiLevelType w:val="hybridMultilevel"/>
    <w:tmpl w:val="D2861BB8"/>
    <w:lvl w:ilvl="0" w:tplc="04160001">
      <w:start w:val="1"/>
      <w:numFmt w:val="upperLetter"/>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72">
    <w:nsid w:val="3FE87179"/>
    <w:multiLevelType w:val="hybridMultilevel"/>
    <w:tmpl w:val="0D548CA6"/>
    <w:lvl w:ilvl="0" w:tplc="9176EEC6">
      <w:start w:val="1"/>
      <w:numFmt w:val="bullet"/>
      <w:lvlText w:val=""/>
      <w:lvlJc w:val="left"/>
      <w:pPr>
        <w:ind w:left="1080" w:hanging="72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3">
    <w:nsid w:val="3FFE253C"/>
    <w:multiLevelType w:val="hybridMultilevel"/>
    <w:tmpl w:val="973C521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4">
    <w:nsid w:val="4017617B"/>
    <w:multiLevelType w:val="hybridMultilevel"/>
    <w:tmpl w:val="E410DB4E"/>
    <w:lvl w:ilvl="0" w:tplc="C6600DD0">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75">
    <w:nsid w:val="40204182"/>
    <w:multiLevelType w:val="hybridMultilevel"/>
    <w:tmpl w:val="9B0828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6">
    <w:nsid w:val="41215AD5"/>
    <w:multiLevelType w:val="hybridMultilevel"/>
    <w:tmpl w:val="C1489B8A"/>
    <w:lvl w:ilvl="0" w:tplc="9CC253DA">
      <w:start w:val="1"/>
      <w:numFmt w:val="bullet"/>
      <w:lvlText w:val=""/>
      <w:lvlJc w:val="left"/>
      <w:pPr>
        <w:ind w:left="720" w:hanging="360"/>
      </w:pPr>
      <w:rPr>
        <w:rFonts w:ascii="Symbol" w:hAnsi="Symbol" w:hint="default"/>
      </w:rPr>
    </w:lvl>
    <w:lvl w:ilvl="1" w:tplc="398278F6" w:tentative="1">
      <w:start w:val="1"/>
      <w:numFmt w:val="bullet"/>
      <w:lvlText w:val="o"/>
      <w:lvlJc w:val="left"/>
      <w:pPr>
        <w:ind w:left="1440" w:hanging="360"/>
      </w:pPr>
      <w:rPr>
        <w:rFonts w:ascii="Courier New" w:hAnsi="Courier New" w:cs="Courier New" w:hint="default"/>
      </w:rPr>
    </w:lvl>
    <w:lvl w:ilvl="2" w:tplc="FA08A250">
      <w:start w:val="1"/>
      <w:numFmt w:val="bullet"/>
      <w:lvlText w:val=""/>
      <w:lvlJc w:val="left"/>
      <w:pPr>
        <w:ind w:left="2160" w:hanging="360"/>
      </w:pPr>
      <w:rPr>
        <w:rFonts w:ascii="Wingdings" w:hAnsi="Wingdings" w:hint="default"/>
      </w:rPr>
    </w:lvl>
    <w:lvl w:ilvl="3" w:tplc="71462258" w:tentative="1">
      <w:start w:val="1"/>
      <w:numFmt w:val="bullet"/>
      <w:lvlText w:val=""/>
      <w:lvlJc w:val="left"/>
      <w:pPr>
        <w:ind w:left="2880" w:hanging="360"/>
      </w:pPr>
      <w:rPr>
        <w:rFonts w:ascii="Symbol" w:hAnsi="Symbol" w:hint="default"/>
      </w:rPr>
    </w:lvl>
    <w:lvl w:ilvl="4" w:tplc="FA402320" w:tentative="1">
      <w:start w:val="1"/>
      <w:numFmt w:val="bullet"/>
      <w:lvlText w:val="o"/>
      <w:lvlJc w:val="left"/>
      <w:pPr>
        <w:ind w:left="3600" w:hanging="360"/>
      </w:pPr>
      <w:rPr>
        <w:rFonts w:ascii="Courier New" w:hAnsi="Courier New" w:cs="Courier New" w:hint="default"/>
      </w:rPr>
    </w:lvl>
    <w:lvl w:ilvl="5" w:tplc="C51A2710" w:tentative="1">
      <w:start w:val="1"/>
      <w:numFmt w:val="bullet"/>
      <w:lvlText w:val=""/>
      <w:lvlJc w:val="left"/>
      <w:pPr>
        <w:ind w:left="4320" w:hanging="360"/>
      </w:pPr>
      <w:rPr>
        <w:rFonts w:ascii="Wingdings" w:hAnsi="Wingdings" w:hint="default"/>
      </w:rPr>
    </w:lvl>
    <w:lvl w:ilvl="6" w:tplc="E41457DC" w:tentative="1">
      <w:start w:val="1"/>
      <w:numFmt w:val="bullet"/>
      <w:lvlText w:val=""/>
      <w:lvlJc w:val="left"/>
      <w:pPr>
        <w:ind w:left="5040" w:hanging="360"/>
      </w:pPr>
      <w:rPr>
        <w:rFonts w:ascii="Symbol" w:hAnsi="Symbol" w:hint="default"/>
      </w:rPr>
    </w:lvl>
    <w:lvl w:ilvl="7" w:tplc="12689058" w:tentative="1">
      <w:start w:val="1"/>
      <w:numFmt w:val="bullet"/>
      <w:lvlText w:val="o"/>
      <w:lvlJc w:val="left"/>
      <w:pPr>
        <w:ind w:left="5760" w:hanging="360"/>
      </w:pPr>
      <w:rPr>
        <w:rFonts w:ascii="Courier New" w:hAnsi="Courier New" w:cs="Courier New" w:hint="default"/>
      </w:rPr>
    </w:lvl>
    <w:lvl w:ilvl="8" w:tplc="049AFF1E" w:tentative="1">
      <w:start w:val="1"/>
      <w:numFmt w:val="bullet"/>
      <w:lvlText w:val=""/>
      <w:lvlJc w:val="left"/>
      <w:pPr>
        <w:ind w:left="6480" w:hanging="360"/>
      </w:pPr>
      <w:rPr>
        <w:rFonts w:ascii="Wingdings" w:hAnsi="Wingdings" w:hint="default"/>
      </w:rPr>
    </w:lvl>
  </w:abstractNum>
  <w:abstractNum w:abstractNumId="277">
    <w:nsid w:val="413723B8"/>
    <w:multiLevelType w:val="hybridMultilevel"/>
    <w:tmpl w:val="D2C6A976"/>
    <w:lvl w:ilvl="0" w:tplc="04160001">
      <w:start w:val="1"/>
      <w:numFmt w:val="decimal"/>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78">
    <w:nsid w:val="414B20F5"/>
    <w:multiLevelType w:val="hybridMultilevel"/>
    <w:tmpl w:val="00089BA4"/>
    <w:lvl w:ilvl="0" w:tplc="E842BFF0">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79">
    <w:nsid w:val="41686D16"/>
    <w:multiLevelType w:val="hybridMultilevel"/>
    <w:tmpl w:val="0E507BF2"/>
    <w:lvl w:ilvl="0" w:tplc="04160001">
      <w:numFmt w:val="bullet"/>
      <w:lvlText w:val=""/>
      <w:lvlJc w:val="left"/>
      <w:pPr>
        <w:ind w:left="1440" w:hanging="360"/>
      </w:pPr>
      <w:rPr>
        <w:rFonts w:ascii="Symbol" w:eastAsia="Times New Roman" w:hAnsi="Symbol" w:cs="Times New Roman"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80">
    <w:nsid w:val="4188414F"/>
    <w:multiLevelType w:val="hybridMultilevel"/>
    <w:tmpl w:val="8042D6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1">
    <w:nsid w:val="421B3C12"/>
    <w:multiLevelType w:val="hybridMultilevel"/>
    <w:tmpl w:val="31E8F5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2">
    <w:nsid w:val="42492550"/>
    <w:multiLevelType w:val="hybridMultilevel"/>
    <w:tmpl w:val="8918EDC4"/>
    <w:lvl w:ilvl="0" w:tplc="04160001">
      <w:start w:val="1"/>
      <w:numFmt w:val="bullet"/>
      <w:lvlText w:val=""/>
      <w:lvlJc w:val="left"/>
      <w:pPr>
        <w:ind w:left="1854" w:hanging="360"/>
      </w:pPr>
      <w:rPr>
        <w:rFonts w:ascii="Symbol" w:hAnsi="Symbol" w:hint="default"/>
        <w:color w:val="auto"/>
      </w:rPr>
    </w:lvl>
    <w:lvl w:ilvl="1" w:tplc="04160003" w:tentative="1">
      <w:start w:val="1"/>
      <w:numFmt w:val="lowerLetter"/>
      <w:lvlText w:val="%2."/>
      <w:lvlJc w:val="left"/>
      <w:pPr>
        <w:ind w:left="2574" w:hanging="360"/>
      </w:pPr>
    </w:lvl>
    <w:lvl w:ilvl="2" w:tplc="04160005" w:tentative="1">
      <w:start w:val="1"/>
      <w:numFmt w:val="lowerRoman"/>
      <w:lvlText w:val="%3."/>
      <w:lvlJc w:val="right"/>
      <w:pPr>
        <w:ind w:left="3294" w:hanging="180"/>
      </w:pPr>
    </w:lvl>
    <w:lvl w:ilvl="3" w:tplc="04160001" w:tentative="1">
      <w:start w:val="1"/>
      <w:numFmt w:val="decimal"/>
      <w:lvlText w:val="%4."/>
      <w:lvlJc w:val="left"/>
      <w:pPr>
        <w:ind w:left="4014" w:hanging="360"/>
      </w:pPr>
    </w:lvl>
    <w:lvl w:ilvl="4" w:tplc="04160003" w:tentative="1">
      <w:start w:val="1"/>
      <w:numFmt w:val="lowerLetter"/>
      <w:lvlText w:val="%5."/>
      <w:lvlJc w:val="left"/>
      <w:pPr>
        <w:ind w:left="4734" w:hanging="360"/>
      </w:pPr>
    </w:lvl>
    <w:lvl w:ilvl="5" w:tplc="04160005" w:tentative="1">
      <w:start w:val="1"/>
      <w:numFmt w:val="lowerRoman"/>
      <w:lvlText w:val="%6."/>
      <w:lvlJc w:val="right"/>
      <w:pPr>
        <w:ind w:left="5454" w:hanging="180"/>
      </w:pPr>
    </w:lvl>
    <w:lvl w:ilvl="6" w:tplc="04160001" w:tentative="1">
      <w:start w:val="1"/>
      <w:numFmt w:val="decimal"/>
      <w:lvlText w:val="%7."/>
      <w:lvlJc w:val="left"/>
      <w:pPr>
        <w:ind w:left="6174" w:hanging="360"/>
      </w:pPr>
    </w:lvl>
    <w:lvl w:ilvl="7" w:tplc="04160003" w:tentative="1">
      <w:start w:val="1"/>
      <w:numFmt w:val="lowerLetter"/>
      <w:lvlText w:val="%8."/>
      <w:lvlJc w:val="left"/>
      <w:pPr>
        <w:ind w:left="6894" w:hanging="360"/>
      </w:pPr>
    </w:lvl>
    <w:lvl w:ilvl="8" w:tplc="04160005" w:tentative="1">
      <w:start w:val="1"/>
      <w:numFmt w:val="lowerRoman"/>
      <w:lvlText w:val="%9."/>
      <w:lvlJc w:val="right"/>
      <w:pPr>
        <w:ind w:left="7614" w:hanging="180"/>
      </w:pPr>
    </w:lvl>
  </w:abstractNum>
  <w:abstractNum w:abstractNumId="283">
    <w:nsid w:val="437367C8"/>
    <w:multiLevelType w:val="hybridMultilevel"/>
    <w:tmpl w:val="3F0C2A1C"/>
    <w:lvl w:ilvl="0" w:tplc="13B679CC">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4">
    <w:nsid w:val="437C21EC"/>
    <w:multiLevelType w:val="multilevel"/>
    <w:tmpl w:val="334081A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5">
    <w:nsid w:val="44136296"/>
    <w:multiLevelType w:val="hybridMultilevel"/>
    <w:tmpl w:val="4596DACE"/>
    <w:lvl w:ilvl="0" w:tplc="04160005">
      <w:start w:val="1"/>
      <w:numFmt w:val="decimal"/>
      <w:lvlText w:val="%1."/>
      <w:lvlJc w:val="left"/>
      <w:pPr>
        <w:tabs>
          <w:tab w:val="num" w:pos="720"/>
        </w:tabs>
        <w:ind w:left="720" w:hanging="360"/>
      </w:pPr>
      <w:rPr>
        <w:rFonts w:hint="default"/>
      </w:r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286">
    <w:nsid w:val="444F5C2C"/>
    <w:multiLevelType w:val="hybridMultilevel"/>
    <w:tmpl w:val="994C7AF4"/>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87">
    <w:nsid w:val="44FA79CA"/>
    <w:multiLevelType w:val="hybridMultilevel"/>
    <w:tmpl w:val="794AAF32"/>
    <w:lvl w:ilvl="0" w:tplc="6F045B8A">
      <w:start w:val="1"/>
      <w:numFmt w:val="bullet"/>
      <w:lvlText w:val=""/>
      <w:lvlJc w:val="left"/>
      <w:pPr>
        <w:ind w:left="1571" w:hanging="360"/>
      </w:pPr>
      <w:rPr>
        <w:rFonts w:ascii="Symbol" w:hAnsi="Symbol" w:hint="default"/>
      </w:rPr>
    </w:lvl>
    <w:lvl w:ilvl="1" w:tplc="2440F2A2">
      <w:start w:val="1"/>
      <w:numFmt w:val="bullet"/>
      <w:lvlText w:val="o"/>
      <w:lvlJc w:val="left"/>
      <w:pPr>
        <w:ind w:left="2291" w:hanging="360"/>
      </w:pPr>
      <w:rPr>
        <w:rFonts w:ascii="Courier New" w:hAnsi="Courier New" w:cs="Courier New" w:hint="default"/>
      </w:rPr>
    </w:lvl>
    <w:lvl w:ilvl="2" w:tplc="E01C5704" w:tentative="1">
      <w:start w:val="1"/>
      <w:numFmt w:val="bullet"/>
      <w:lvlText w:val=""/>
      <w:lvlJc w:val="left"/>
      <w:pPr>
        <w:ind w:left="3011" w:hanging="360"/>
      </w:pPr>
      <w:rPr>
        <w:rFonts w:ascii="Wingdings" w:hAnsi="Wingdings" w:hint="default"/>
      </w:rPr>
    </w:lvl>
    <w:lvl w:ilvl="3" w:tplc="9DB24FAA" w:tentative="1">
      <w:start w:val="1"/>
      <w:numFmt w:val="bullet"/>
      <w:lvlText w:val=""/>
      <w:lvlJc w:val="left"/>
      <w:pPr>
        <w:ind w:left="3731" w:hanging="360"/>
      </w:pPr>
      <w:rPr>
        <w:rFonts w:ascii="Symbol" w:hAnsi="Symbol" w:hint="default"/>
      </w:rPr>
    </w:lvl>
    <w:lvl w:ilvl="4" w:tplc="AF96A064" w:tentative="1">
      <w:start w:val="1"/>
      <w:numFmt w:val="bullet"/>
      <w:lvlText w:val="o"/>
      <w:lvlJc w:val="left"/>
      <w:pPr>
        <w:ind w:left="4451" w:hanging="360"/>
      </w:pPr>
      <w:rPr>
        <w:rFonts w:ascii="Courier New" w:hAnsi="Courier New" w:cs="Courier New" w:hint="default"/>
      </w:rPr>
    </w:lvl>
    <w:lvl w:ilvl="5" w:tplc="B442EA9A" w:tentative="1">
      <w:start w:val="1"/>
      <w:numFmt w:val="bullet"/>
      <w:lvlText w:val=""/>
      <w:lvlJc w:val="left"/>
      <w:pPr>
        <w:ind w:left="5171" w:hanging="360"/>
      </w:pPr>
      <w:rPr>
        <w:rFonts w:ascii="Wingdings" w:hAnsi="Wingdings" w:hint="default"/>
      </w:rPr>
    </w:lvl>
    <w:lvl w:ilvl="6" w:tplc="D2EC2318" w:tentative="1">
      <w:start w:val="1"/>
      <w:numFmt w:val="bullet"/>
      <w:lvlText w:val=""/>
      <w:lvlJc w:val="left"/>
      <w:pPr>
        <w:ind w:left="5891" w:hanging="360"/>
      </w:pPr>
      <w:rPr>
        <w:rFonts w:ascii="Symbol" w:hAnsi="Symbol" w:hint="default"/>
      </w:rPr>
    </w:lvl>
    <w:lvl w:ilvl="7" w:tplc="BD3403A2" w:tentative="1">
      <w:start w:val="1"/>
      <w:numFmt w:val="bullet"/>
      <w:lvlText w:val="o"/>
      <w:lvlJc w:val="left"/>
      <w:pPr>
        <w:ind w:left="6611" w:hanging="360"/>
      </w:pPr>
      <w:rPr>
        <w:rFonts w:ascii="Courier New" w:hAnsi="Courier New" w:cs="Courier New" w:hint="default"/>
      </w:rPr>
    </w:lvl>
    <w:lvl w:ilvl="8" w:tplc="B1E8B062" w:tentative="1">
      <w:start w:val="1"/>
      <w:numFmt w:val="bullet"/>
      <w:lvlText w:val=""/>
      <w:lvlJc w:val="left"/>
      <w:pPr>
        <w:ind w:left="7331" w:hanging="360"/>
      </w:pPr>
      <w:rPr>
        <w:rFonts w:ascii="Wingdings" w:hAnsi="Wingdings" w:hint="default"/>
      </w:rPr>
    </w:lvl>
  </w:abstractNum>
  <w:abstractNum w:abstractNumId="288">
    <w:nsid w:val="45227E41"/>
    <w:multiLevelType w:val="hybridMultilevel"/>
    <w:tmpl w:val="D6A0309E"/>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89">
    <w:nsid w:val="4592387E"/>
    <w:multiLevelType w:val="hybridMultilevel"/>
    <w:tmpl w:val="25A0F630"/>
    <w:lvl w:ilvl="0" w:tplc="04160001">
      <w:start w:val="1"/>
      <w:numFmt w:val="decimal"/>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90">
    <w:nsid w:val="45AC2036"/>
    <w:multiLevelType w:val="hybridMultilevel"/>
    <w:tmpl w:val="62A6F374"/>
    <w:lvl w:ilvl="0" w:tplc="E45E7D44">
      <w:start w:val="1"/>
      <w:numFmt w:val="bullet"/>
      <w:lvlText w:val=""/>
      <w:lvlJc w:val="left"/>
      <w:pPr>
        <w:ind w:left="1440" w:hanging="360"/>
      </w:pPr>
      <w:rPr>
        <w:rFonts w:ascii="Wingdings" w:hAnsi="Wingdings" w:hint="default"/>
      </w:rPr>
    </w:lvl>
    <w:lvl w:ilvl="1" w:tplc="04160019" w:tentative="1">
      <w:start w:val="1"/>
      <w:numFmt w:val="bullet"/>
      <w:lvlText w:val="o"/>
      <w:lvlJc w:val="left"/>
      <w:pPr>
        <w:ind w:left="2160" w:hanging="360"/>
      </w:pPr>
      <w:rPr>
        <w:rFonts w:ascii="Courier New" w:hAnsi="Courier New" w:cs="Courier New" w:hint="default"/>
      </w:rPr>
    </w:lvl>
    <w:lvl w:ilvl="2" w:tplc="0416001B" w:tentative="1">
      <w:start w:val="1"/>
      <w:numFmt w:val="bullet"/>
      <w:lvlText w:val=""/>
      <w:lvlJc w:val="left"/>
      <w:pPr>
        <w:ind w:left="2880" w:hanging="360"/>
      </w:pPr>
      <w:rPr>
        <w:rFonts w:ascii="Wingdings" w:hAnsi="Wingdings" w:hint="default"/>
      </w:rPr>
    </w:lvl>
    <w:lvl w:ilvl="3" w:tplc="0416000F" w:tentative="1">
      <w:start w:val="1"/>
      <w:numFmt w:val="bullet"/>
      <w:lvlText w:val=""/>
      <w:lvlJc w:val="left"/>
      <w:pPr>
        <w:ind w:left="3600" w:hanging="360"/>
      </w:pPr>
      <w:rPr>
        <w:rFonts w:ascii="Symbol" w:hAnsi="Symbol" w:hint="default"/>
      </w:rPr>
    </w:lvl>
    <w:lvl w:ilvl="4" w:tplc="04160019" w:tentative="1">
      <w:start w:val="1"/>
      <w:numFmt w:val="bullet"/>
      <w:lvlText w:val="o"/>
      <w:lvlJc w:val="left"/>
      <w:pPr>
        <w:ind w:left="4320" w:hanging="360"/>
      </w:pPr>
      <w:rPr>
        <w:rFonts w:ascii="Courier New" w:hAnsi="Courier New" w:cs="Courier New" w:hint="default"/>
      </w:rPr>
    </w:lvl>
    <w:lvl w:ilvl="5" w:tplc="0416001B" w:tentative="1">
      <w:start w:val="1"/>
      <w:numFmt w:val="bullet"/>
      <w:lvlText w:val=""/>
      <w:lvlJc w:val="left"/>
      <w:pPr>
        <w:ind w:left="5040" w:hanging="360"/>
      </w:pPr>
      <w:rPr>
        <w:rFonts w:ascii="Wingdings" w:hAnsi="Wingdings" w:hint="default"/>
      </w:rPr>
    </w:lvl>
    <w:lvl w:ilvl="6" w:tplc="0416000F" w:tentative="1">
      <w:start w:val="1"/>
      <w:numFmt w:val="bullet"/>
      <w:lvlText w:val=""/>
      <w:lvlJc w:val="left"/>
      <w:pPr>
        <w:ind w:left="5760" w:hanging="360"/>
      </w:pPr>
      <w:rPr>
        <w:rFonts w:ascii="Symbol" w:hAnsi="Symbol" w:hint="default"/>
      </w:rPr>
    </w:lvl>
    <w:lvl w:ilvl="7" w:tplc="04160019" w:tentative="1">
      <w:start w:val="1"/>
      <w:numFmt w:val="bullet"/>
      <w:lvlText w:val="o"/>
      <w:lvlJc w:val="left"/>
      <w:pPr>
        <w:ind w:left="6480" w:hanging="360"/>
      </w:pPr>
      <w:rPr>
        <w:rFonts w:ascii="Courier New" w:hAnsi="Courier New" w:cs="Courier New" w:hint="default"/>
      </w:rPr>
    </w:lvl>
    <w:lvl w:ilvl="8" w:tplc="0416001B" w:tentative="1">
      <w:start w:val="1"/>
      <w:numFmt w:val="bullet"/>
      <w:lvlText w:val=""/>
      <w:lvlJc w:val="left"/>
      <w:pPr>
        <w:ind w:left="7200" w:hanging="360"/>
      </w:pPr>
      <w:rPr>
        <w:rFonts w:ascii="Wingdings" w:hAnsi="Wingdings" w:hint="default"/>
      </w:rPr>
    </w:lvl>
  </w:abstractNum>
  <w:abstractNum w:abstractNumId="291">
    <w:nsid w:val="46283E78"/>
    <w:multiLevelType w:val="hybridMultilevel"/>
    <w:tmpl w:val="F89AAD40"/>
    <w:lvl w:ilvl="0" w:tplc="0416000F">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92">
    <w:nsid w:val="46B30FB4"/>
    <w:multiLevelType w:val="hybridMultilevel"/>
    <w:tmpl w:val="23864FFC"/>
    <w:lvl w:ilvl="0" w:tplc="DA34BE66">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93">
    <w:nsid w:val="47000973"/>
    <w:multiLevelType w:val="hybridMultilevel"/>
    <w:tmpl w:val="8B5CBB52"/>
    <w:lvl w:ilvl="0" w:tplc="04160001">
      <w:numFmt w:val="bullet"/>
      <w:lvlText w:val=""/>
      <w:lvlJc w:val="left"/>
      <w:pPr>
        <w:ind w:left="1800" w:hanging="360"/>
      </w:pPr>
      <w:rPr>
        <w:rFonts w:ascii="Symbol" w:eastAsia="Times New Roman" w:hAnsi="Symbol" w:cs="Times New Roman" w:hint="default"/>
      </w:rPr>
    </w:lvl>
    <w:lvl w:ilvl="1" w:tplc="04160019" w:tentative="1">
      <w:start w:val="1"/>
      <w:numFmt w:val="bullet"/>
      <w:lvlText w:val="o"/>
      <w:lvlJc w:val="left"/>
      <w:pPr>
        <w:ind w:left="2520" w:hanging="360"/>
      </w:pPr>
      <w:rPr>
        <w:rFonts w:ascii="Courier New" w:hAnsi="Courier New" w:cs="Courier New" w:hint="default"/>
      </w:rPr>
    </w:lvl>
    <w:lvl w:ilvl="2" w:tplc="0416001B" w:tentative="1">
      <w:start w:val="1"/>
      <w:numFmt w:val="bullet"/>
      <w:lvlText w:val=""/>
      <w:lvlJc w:val="left"/>
      <w:pPr>
        <w:ind w:left="3240" w:hanging="360"/>
      </w:pPr>
      <w:rPr>
        <w:rFonts w:ascii="Wingdings" w:hAnsi="Wingdings" w:hint="default"/>
      </w:rPr>
    </w:lvl>
    <w:lvl w:ilvl="3" w:tplc="0416000F" w:tentative="1">
      <w:start w:val="1"/>
      <w:numFmt w:val="bullet"/>
      <w:lvlText w:val=""/>
      <w:lvlJc w:val="left"/>
      <w:pPr>
        <w:ind w:left="3960" w:hanging="360"/>
      </w:pPr>
      <w:rPr>
        <w:rFonts w:ascii="Symbol" w:hAnsi="Symbol" w:hint="default"/>
      </w:rPr>
    </w:lvl>
    <w:lvl w:ilvl="4" w:tplc="04160019" w:tentative="1">
      <w:start w:val="1"/>
      <w:numFmt w:val="bullet"/>
      <w:lvlText w:val="o"/>
      <w:lvlJc w:val="left"/>
      <w:pPr>
        <w:ind w:left="4680" w:hanging="360"/>
      </w:pPr>
      <w:rPr>
        <w:rFonts w:ascii="Courier New" w:hAnsi="Courier New" w:cs="Courier New" w:hint="default"/>
      </w:rPr>
    </w:lvl>
    <w:lvl w:ilvl="5" w:tplc="0416001B" w:tentative="1">
      <w:start w:val="1"/>
      <w:numFmt w:val="bullet"/>
      <w:lvlText w:val=""/>
      <w:lvlJc w:val="left"/>
      <w:pPr>
        <w:ind w:left="5400" w:hanging="360"/>
      </w:pPr>
      <w:rPr>
        <w:rFonts w:ascii="Wingdings" w:hAnsi="Wingdings" w:hint="default"/>
      </w:rPr>
    </w:lvl>
    <w:lvl w:ilvl="6" w:tplc="0416000F" w:tentative="1">
      <w:start w:val="1"/>
      <w:numFmt w:val="bullet"/>
      <w:lvlText w:val=""/>
      <w:lvlJc w:val="left"/>
      <w:pPr>
        <w:ind w:left="6120" w:hanging="360"/>
      </w:pPr>
      <w:rPr>
        <w:rFonts w:ascii="Symbol" w:hAnsi="Symbol" w:hint="default"/>
      </w:rPr>
    </w:lvl>
    <w:lvl w:ilvl="7" w:tplc="04160019" w:tentative="1">
      <w:start w:val="1"/>
      <w:numFmt w:val="bullet"/>
      <w:lvlText w:val="o"/>
      <w:lvlJc w:val="left"/>
      <w:pPr>
        <w:ind w:left="6840" w:hanging="360"/>
      </w:pPr>
      <w:rPr>
        <w:rFonts w:ascii="Courier New" w:hAnsi="Courier New" w:cs="Courier New" w:hint="default"/>
      </w:rPr>
    </w:lvl>
    <w:lvl w:ilvl="8" w:tplc="0416001B" w:tentative="1">
      <w:start w:val="1"/>
      <w:numFmt w:val="bullet"/>
      <w:lvlText w:val=""/>
      <w:lvlJc w:val="left"/>
      <w:pPr>
        <w:ind w:left="7560" w:hanging="360"/>
      </w:pPr>
      <w:rPr>
        <w:rFonts w:ascii="Wingdings" w:hAnsi="Wingdings" w:hint="default"/>
      </w:rPr>
    </w:lvl>
  </w:abstractNum>
  <w:abstractNum w:abstractNumId="294">
    <w:nsid w:val="47E56B3B"/>
    <w:multiLevelType w:val="hybridMultilevel"/>
    <w:tmpl w:val="D242BAA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5">
    <w:nsid w:val="481F1FFF"/>
    <w:multiLevelType w:val="hybridMultilevel"/>
    <w:tmpl w:val="73B2E382"/>
    <w:lvl w:ilvl="0" w:tplc="0416000B">
      <w:start w:val="1"/>
      <w:numFmt w:val="bullet"/>
      <w:lvlText w:val="•"/>
      <w:lvlJc w:val="left"/>
      <w:pPr>
        <w:ind w:left="720" w:hanging="360"/>
      </w:pPr>
      <w:rPr>
        <w:rFonts w:ascii="Arial" w:hAnsi="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6">
    <w:nsid w:val="484245F1"/>
    <w:multiLevelType w:val="hybridMultilevel"/>
    <w:tmpl w:val="394680A4"/>
    <w:lvl w:ilvl="0" w:tplc="04160001">
      <w:start w:val="1"/>
      <w:numFmt w:val="lowerLetter"/>
      <w:lvlText w:val="%1)"/>
      <w:lvlJc w:val="left"/>
      <w:pPr>
        <w:tabs>
          <w:tab w:val="num" w:pos="1440"/>
        </w:tabs>
        <w:ind w:left="1440" w:hanging="360"/>
      </w:pPr>
      <w:rPr>
        <w:rFonts w:hint="default"/>
      </w:rPr>
    </w:lvl>
    <w:lvl w:ilvl="1" w:tplc="04160003" w:tentative="1">
      <w:start w:val="1"/>
      <w:numFmt w:val="lowerLetter"/>
      <w:lvlText w:val="%2."/>
      <w:lvlJc w:val="left"/>
      <w:pPr>
        <w:tabs>
          <w:tab w:val="num" w:pos="2160"/>
        </w:tabs>
        <w:ind w:left="2160" w:hanging="360"/>
      </w:pPr>
    </w:lvl>
    <w:lvl w:ilvl="2" w:tplc="04160005" w:tentative="1">
      <w:start w:val="1"/>
      <w:numFmt w:val="lowerRoman"/>
      <w:lvlText w:val="%3."/>
      <w:lvlJc w:val="right"/>
      <w:pPr>
        <w:tabs>
          <w:tab w:val="num" w:pos="2880"/>
        </w:tabs>
        <w:ind w:left="2880" w:hanging="180"/>
      </w:pPr>
    </w:lvl>
    <w:lvl w:ilvl="3" w:tplc="04160001" w:tentative="1">
      <w:start w:val="1"/>
      <w:numFmt w:val="decimal"/>
      <w:lvlText w:val="%4."/>
      <w:lvlJc w:val="left"/>
      <w:pPr>
        <w:tabs>
          <w:tab w:val="num" w:pos="3600"/>
        </w:tabs>
        <w:ind w:left="3600" w:hanging="360"/>
      </w:pPr>
    </w:lvl>
    <w:lvl w:ilvl="4" w:tplc="04160003" w:tentative="1">
      <w:start w:val="1"/>
      <w:numFmt w:val="lowerLetter"/>
      <w:lvlText w:val="%5."/>
      <w:lvlJc w:val="left"/>
      <w:pPr>
        <w:tabs>
          <w:tab w:val="num" w:pos="4320"/>
        </w:tabs>
        <w:ind w:left="4320" w:hanging="360"/>
      </w:pPr>
    </w:lvl>
    <w:lvl w:ilvl="5" w:tplc="04160005" w:tentative="1">
      <w:start w:val="1"/>
      <w:numFmt w:val="lowerRoman"/>
      <w:lvlText w:val="%6."/>
      <w:lvlJc w:val="right"/>
      <w:pPr>
        <w:tabs>
          <w:tab w:val="num" w:pos="5040"/>
        </w:tabs>
        <w:ind w:left="5040" w:hanging="180"/>
      </w:pPr>
    </w:lvl>
    <w:lvl w:ilvl="6" w:tplc="04160001" w:tentative="1">
      <w:start w:val="1"/>
      <w:numFmt w:val="decimal"/>
      <w:lvlText w:val="%7."/>
      <w:lvlJc w:val="left"/>
      <w:pPr>
        <w:tabs>
          <w:tab w:val="num" w:pos="5760"/>
        </w:tabs>
        <w:ind w:left="5760" w:hanging="360"/>
      </w:pPr>
    </w:lvl>
    <w:lvl w:ilvl="7" w:tplc="04160003" w:tentative="1">
      <w:start w:val="1"/>
      <w:numFmt w:val="lowerLetter"/>
      <w:lvlText w:val="%8."/>
      <w:lvlJc w:val="left"/>
      <w:pPr>
        <w:tabs>
          <w:tab w:val="num" w:pos="6480"/>
        </w:tabs>
        <w:ind w:left="6480" w:hanging="360"/>
      </w:pPr>
    </w:lvl>
    <w:lvl w:ilvl="8" w:tplc="04160005" w:tentative="1">
      <w:start w:val="1"/>
      <w:numFmt w:val="lowerRoman"/>
      <w:lvlText w:val="%9."/>
      <w:lvlJc w:val="right"/>
      <w:pPr>
        <w:tabs>
          <w:tab w:val="num" w:pos="7200"/>
        </w:tabs>
        <w:ind w:left="7200" w:hanging="180"/>
      </w:pPr>
    </w:lvl>
  </w:abstractNum>
  <w:abstractNum w:abstractNumId="297">
    <w:nsid w:val="486922CE"/>
    <w:multiLevelType w:val="hybridMultilevel"/>
    <w:tmpl w:val="BD1A06E0"/>
    <w:lvl w:ilvl="0" w:tplc="C7408CEA">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98">
    <w:nsid w:val="48871B26"/>
    <w:multiLevelType w:val="hybridMultilevel"/>
    <w:tmpl w:val="9B989DE2"/>
    <w:lvl w:ilvl="0" w:tplc="16EA514A">
      <w:start w:val="1"/>
      <w:numFmt w:val="bullet"/>
      <w:lvlText w:val=""/>
      <w:lvlJc w:val="left"/>
      <w:pPr>
        <w:ind w:left="720" w:hanging="360"/>
      </w:pPr>
      <w:rPr>
        <w:rFonts w:ascii="Symbol" w:hAnsi="Symbol" w:hint="default"/>
      </w:rPr>
    </w:lvl>
    <w:lvl w:ilvl="1" w:tplc="13445984" w:tentative="1">
      <w:start w:val="1"/>
      <w:numFmt w:val="bullet"/>
      <w:lvlText w:val="o"/>
      <w:lvlJc w:val="left"/>
      <w:pPr>
        <w:ind w:left="1440" w:hanging="360"/>
      </w:pPr>
      <w:rPr>
        <w:rFonts w:ascii="Courier New" w:hAnsi="Courier New" w:cs="Courier New" w:hint="default"/>
      </w:rPr>
    </w:lvl>
    <w:lvl w:ilvl="2" w:tplc="AD2E628A" w:tentative="1">
      <w:start w:val="1"/>
      <w:numFmt w:val="bullet"/>
      <w:lvlText w:val=""/>
      <w:lvlJc w:val="left"/>
      <w:pPr>
        <w:ind w:left="2160" w:hanging="360"/>
      </w:pPr>
      <w:rPr>
        <w:rFonts w:ascii="Wingdings" w:hAnsi="Wingdings" w:hint="default"/>
      </w:rPr>
    </w:lvl>
    <w:lvl w:ilvl="3" w:tplc="E130A944" w:tentative="1">
      <w:start w:val="1"/>
      <w:numFmt w:val="bullet"/>
      <w:lvlText w:val=""/>
      <w:lvlJc w:val="left"/>
      <w:pPr>
        <w:ind w:left="2880" w:hanging="360"/>
      </w:pPr>
      <w:rPr>
        <w:rFonts w:ascii="Symbol" w:hAnsi="Symbol" w:hint="default"/>
      </w:rPr>
    </w:lvl>
    <w:lvl w:ilvl="4" w:tplc="2598841E" w:tentative="1">
      <w:start w:val="1"/>
      <w:numFmt w:val="bullet"/>
      <w:lvlText w:val="o"/>
      <w:lvlJc w:val="left"/>
      <w:pPr>
        <w:ind w:left="3600" w:hanging="360"/>
      </w:pPr>
      <w:rPr>
        <w:rFonts w:ascii="Courier New" w:hAnsi="Courier New" w:cs="Courier New" w:hint="default"/>
      </w:rPr>
    </w:lvl>
    <w:lvl w:ilvl="5" w:tplc="E32C8A4E" w:tentative="1">
      <w:start w:val="1"/>
      <w:numFmt w:val="bullet"/>
      <w:lvlText w:val=""/>
      <w:lvlJc w:val="left"/>
      <w:pPr>
        <w:ind w:left="4320" w:hanging="360"/>
      </w:pPr>
      <w:rPr>
        <w:rFonts w:ascii="Wingdings" w:hAnsi="Wingdings" w:hint="default"/>
      </w:rPr>
    </w:lvl>
    <w:lvl w:ilvl="6" w:tplc="3238D60A" w:tentative="1">
      <w:start w:val="1"/>
      <w:numFmt w:val="bullet"/>
      <w:lvlText w:val=""/>
      <w:lvlJc w:val="left"/>
      <w:pPr>
        <w:ind w:left="5040" w:hanging="360"/>
      </w:pPr>
      <w:rPr>
        <w:rFonts w:ascii="Symbol" w:hAnsi="Symbol" w:hint="default"/>
      </w:rPr>
    </w:lvl>
    <w:lvl w:ilvl="7" w:tplc="EE04BC1E" w:tentative="1">
      <w:start w:val="1"/>
      <w:numFmt w:val="bullet"/>
      <w:lvlText w:val="o"/>
      <w:lvlJc w:val="left"/>
      <w:pPr>
        <w:ind w:left="5760" w:hanging="360"/>
      </w:pPr>
      <w:rPr>
        <w:rFonts w:ascii="Courier New" w:hAnsi="Courier New" w:cs="Courier New" w:hint="default"/>
      </w:rPr>
    </w:lvl>
    <w:lvl w:ilvl="8" w:tplc="6DBAE550" w:tentative="1">
      <w:start w:val="1"/>
      <w:numFmt w:val="bullet"/>
      <w:lvlText w:val=""/>
      <w:lvlJc w:val="left"/>
      <w:pPr>
        <w:ind w:left="6480" w:hanging="360"/>
      </w:pPr>
      <w:rPr>
        <w:rFonts w:ascii="Wingdings" w:hAnsi="Wingdings" w:hint="default"/>
      </w:rPr>
    </w:lvl>
  </w:abstractNum>
  <w:abstractNum w:abstractNumId="299">
    <w:nsid w:val="48B05C92"/>
    <w:multiLevelType w:val="hybridMultilevel"/>
    <w:tmpl w:val="A3822B0C"/>
    <w:lvl w:ilvl="0" w:tplc="BBD6766A">
      <w:start w:val="1"/>
      <w:numFmt w:val="lowerLetter"/>
      <w:lvlText w:val="%1."/>
      <w:lvlJc w:val="left"/>
      <w:pPr>
        <w:ind w:left="1495" w:hanging="360"/>
      </w:pPr>
      <w:rPr>
        <w:rFonts w:hint="default"/>
        <w:b w:val="0"/>
      </w:rPr>
    </w:lvl>
    <w:lvl w:ilvl="1" w:tplc="04160019" w:tentative="1">
      <w:start w:val="1"/>
      <w:numFmt w:val="lowerLetter"/>
      <w:lvlText w:val="%2."/>
      <w:lvlJc w:val="left"/>
      <w:pPr>
        <w:ind w:left="2215" w:hanging="360"/>
      </w:pPr>
    </w:lvl>
    <w:lvl w:ilvl="2" w:tplc="0416001B" w:tentative="1">
      <w:start w:val="1"/>
      <w:numFmt w:val="lowerRoman"/>
      <w:lvlText w:val="%3."/>
      <w:lvlJc w:val="right"/>
      <w:pPr>
        <w:ind w:left="2935" w:hanging="180"/>
      </w:pPr>
    </w:lvl>
    <w:lvl w:ilvl="3" w:tplc="0416000F" w:tentative="1">
      <w:start w:val="1"/>
      <w:numFmt w:val="decimal"/>
      <w:lvlText w:val="%4."/>
      <w:lvlJc w:val="left"/>
      <w:pPr>
        <w:ind w:left="3655" w:hanging="360"/>
      </w:pPr>
    </w:lvl>
    <w:lvl w:ilvl="4" w:tplc="04160019" w:tentative="1">
      <w:start w:val="1"/>
      <w:numFmt w:val="lowerLetter"/>
      <w:lvlText w:val="%5."/>
      <w:lvlJc w:val="left"/>
      <w:pPr>
        <w:ind w:left="4375" w:hanging="360"/>
      </w:pPr>
    </w:lvl>
    <w:lvl w:ilvl="5" w:tplc="0416001B" w:tentative="1">
      <w:start w:val="1"/>
      <w:numFmt w:val="lowerRoman"/>
      <w:lvlText w:val="%6."/>
      <w:lvlJc w:val="right"/>
      <w:pPr>
        <w:ind w:left="5095" w:hanging="180"/>
      </w:pPr>
    </w:lvl>
    <w:lvl w:ilvl="6" w:tplc="0416000F" w:tentative="1">
      <w:start w:val="1"/>
      <w:numFmt w:val="decimal"/>
      <w:lvlText w:val="%7."/>
      <w:lvlJc w:val="left"/>
      <w:pPr>
        <w:ind w:left="5815" w:hanging="360"/>
      </w:pPr>
    </w:lvl>
    <w:lvl w:ilvl="7" w:tplc="04160019" w:tentative="1">
      <w:start w:val="1"/>
      <w:numFmt w:val="lowerLetter"/>
      <w:lvlText w:val="%8."/>
      <w:lvlJc w:val="left"/>
      <w:pPr>
        <w:ind w:left="6535" w:hanging="360"/>
      </w:pPr>
    </w:lvl>
    <w:lvl w:ilvl="8" w:tplc="0416001B" w:tentative="1">
      <w:start w:val="1"/>
      <w:numFmt w:val="lowerRoman"/>
      <w:lvlText w:val="%9."/>
      <w:lvlJc w:val="right"/>
      <w:pPr>
        <w:ind w:left="7255" w:hanging="180"/>
      </w:pPr>
    </w:lvl>
  </w:abstractNum>
  <w:abstractNum w:abstractNumId="300">
    <w:nsid w:val="4928497F"/>
    <w:multiLevelType w:val="hybridMultilevel"/>
    <w:tmpl w:val="A754B0F0"/>
    <w:lvl w:ilvl="0" w:tplc="D30E48EA">
      <w:start w:val="1"/>
      <w:numFmt w:val="bullet"/>
      <w:lvlText w:val=""/>
      <w:lvlJc w:val="left"/>
      <w:pPr>
        <w:ind w:left="1080" w:hanging="360"/>
      </w:pPr>
      <w:rPr>
        <w:rFonts w:ascii="Symbol" w:hAnsi="Symbol" w:hint="default"/>
      </w:rPr>
    </w:lvl>
    <w:lvl w:ilvl="1" w:tplc="04160019" w:tentative="1">
      <w:start w:val="1"/>
      <w:numFmt w:val="bullet"/>
      <w:lvlText w:val="o"/>
      <w:lvlJc w:val="left"/>
      <w:pPr>
        <w:ind w:left="1800" w:hanging="360"/>
      </w:pPr>
      <w:rPr>
        <w:rFonts w:ascii="Courier New" w:hAnsi="Courier New" w:cs="Courier New" w:hint="default"/>
      </w:rPr>
    </w:lvl>
    <w:lvl w:ilvl="2" w:tplc="0416001B" w:tentative="1">
      <w:start w:val="1"/>
      <w:numFmt w:val="bullet"/>
      <w:lvlText w:val=""/>
      <w:lvlJc w:val="left"/>
      <w:pPr>
        <w:ind w:left="2520" w:hanging="360"/>
      </w:pPr>
      <w:rPr>
        <w:rFonts w:ascii="Wingdings" w:hAnsi="Wingdings" w:hint="default"/>
      </w:rPr>
    </w:lvl>
    <w:lvl w:ilvl="3" w:tplc="0416000F" w:tentative="1">
      <w:start w:val="1"/>
      <w:numFmt w:val="bullet"/>
      <w:lvlText w:val=""/>
      <w:lvlJc w:val="left"/>
      <w:pPr>
        <w:ind w:left="3240" w:hanging="360"/>
      </w:pPr>
      <w:rPr>
        <w:rFonts w:ascii="Symbol" w:hAnsi="Symbol" w:hint="default"/>
      </w:rPr>
    </w:lvl>
    <w:lvl w:ilvl="4" w:tplc="04160019" w:tentative="1">
      <w:start w:val="1"/>
      <w:numFmt w:val="bullet"/>
      <w:lvlText w:val="o"/>
      <w:lvlJc w:val="left"/>
      <w:pPr>
        <w:ind w:left="3960" w:hanging="360"/>
      </w:pPr>
      <w:rPr>
        <w:rFonts w:ascii="Courier New" w:hAnsi="Courier New" w:cs="Courier New" w:hint="default"/>
      </w:rPr>
    </w:lvl>
    <w:lvl w:ilvl="5" w:tplc="0416001B" w:tentative="1">
      <w:start w:val="1"/>
      <w:numFmt w:val="bullet"/>
      <w:lvlText w:val=""/>
      <w:lvlJc w:val="left"/>
      <w:pPr>
        <w:ind w:left="4680" w:hanging="360"/>
      </w:pPr>
      <w:rPr>
        <w:rFonts w:ascii="Wingdings" w:hAnsi="Wingdings" w:hint="default"/>
      </w:rPr>
    </w:lvl>
    <w:lvl w:ilvl="6" w:tplc="0416000F" w:tentative="1">
      <w:start w:val="1"/>
      <w:numFmt w:val="bullet"/>
      <w:lvlText w:val=""/>
      <w:lvlJc w:val="left"/>
      <w:pPr>
        <w:ind w:left="5400" w:hanging="360"/>
      </w:pPr>
      <w:rPr>
        <w:rFonts w:ascii="Symbol" w:hAnsi="Symbol" w:hint="default"/>
      </w:rPr>
    </w:lvl>
    <w:lvl w:ilvl="7" w:tplc="04160019" w:tentative="1">
      <w:start w:val="1"/>
      <w:numFmt w:val="bullet"/>
      <w:lvlText w:val="o"/>
      <w:lvlJc w:val="left"/>
      <w:pPr>
        <w:ind w:left="6120" w:hanging="360"/>
      </w:pPr>
      <w:rPr>
        <w:rFonts w:ascii="Courier New" w:hAnsi="Courier New" w:cs="Courier New" w:hint="default"/>
      </w:rPr>
    </w:lvl>
    <w:lvl w:ilvl="8" w:tplc="0416001B" w:tentative="1">
      <w:start w:val="1"/>
      <w:numFmt w:val="bullet"/>
      <w:lvlText w:val=""/>
      <w:lvlJc w:val="left"/>
      <w:pPr>
        <w:ind w:left="6840" w:hanging="360"/>
      </w:pPr>
      <w:rPr>
        <w:rFonts w:ascii="Wingdings" w:hAnsi="Wingdings" w:hint="default"/>
      </w:rPr>
    </w:lvl>
  </w:abstractNum>
  <w:abstractNum w:abstractNumId="301">
    <w:nsid w:val="493C59CC"/>
    <w:multiLevelType w:val="hybridMultilevel"/>
    <w:tmpl w:val="89A4F356"/>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02">
    <w:nsid w:val="495B6B3B"/>
    <w:multiLevelType w:val="hybridMultilevel"/>
    <w:tmpl w:val="056E9268"/>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03">
    <w:nsid w:val="49E0510D"/>
    <w:multiLevelType w:val="hybridMultilevel"/>
    <w:tmpl w:val="2D94E888"/>
    <w:lvl w:ilvl="0" w:tplc="04160001">
      <w:start w:val="1"/>
      <w:numFmt w:val="bullet"/>
      <w:lvlText w:val="•"/>
      <w:lvlJc w:val="left"/>
      <w:pPr>
        <w:ind w:left="1163" w:hanging="346"/>
      </w:pPr>
      <w:rPr>
        <w:rFonts w:ascii="Times New Roman" w:eastAsia="Times New Roman" w:hAnsi="Times New Roman" w:hint="default"/>
        <w:w w:val="151"/>
      </w:rPr>
    </w:lvl>
    <w:lvl w:ilvl="1" w:tplc="04160003">
      <w:start w:val="1"/>
      <w:numFmt w:val="bullet"/>
      <w:lvlText w:val="•"/>
      <w:lvlJc w:val="left"/>
      <w:pPr>
        <w:ind w:left="2120" w:hanging="346"/>
      </w:pPr>
      <w:rPr>
        <w:rFonts w:hint="default"/>
      </w:rPr>
    </w:lvl>
    <w:lvl w:ilvl="2" w:tplc="04160005">
      <w:start w:val="1"/>
      <w:numFmt w:val="bullet"/>
      <w:lvlText w:val="•"/>
      <w:lvlJc w:val="left"/>
      <w:pPr>
        <w:ind w:left="3080" w:hanging="346"/>
      </w:pPr>
      <w:rPr>
        <w:rFonts w:hint="default"/>
      </w:rPr>
    </w:lvl>
    <w:lvl w:ilvl="3" w:tplc="04160001">
      <w:start w:val="1"/>
      <w:numFmt w:val="bullet"/>
      <w:lvlText w:val="•"/>
      <w:lvlJc w:val="left"/>
      <w:pPr>
        <w:ind w:left="4040" w:hanging="346"/>
      </w:pPr>
      <w:rPr>
        <w:rFonts w:hint="default"/>
      </w:rPr>
    </w:lvl>
    <w:lvl w:ilvl="4" w:tplc="04160003">
      <w:start w:val="1"/>
      <w:numFmt w:val="bullet"/>
      <w:lvlText w:val="•"/>
      <w:lvlJc w:val="left"/>
      <w:pPr>
        <w:ind w:left="5000" w:hanging="346"/>
      </w:pPr>
      <w:rPr>
        <w:rFonts w:hint="default"/>
      </w:rPr>
    </w:lvl>
    <w:lvl w:ilvl="5" w:tplc="04160005">
      <w:start w:val="1"/>
      <w:numFmt w:val="bullet"/>
      <w:lvlText w:val="•"/>
      <w:lvlJc w:val="left"/>
      <w:pPr>
        <w:ind w:left="5960" w:hanging="346"/>
      </w:pPr>
      <w:rPr>
        <w:rFonts w:hint="default"/>
      </w:rPr>
    </w:lvl>
    <w:lvl w:ilvl="6" w:tplc="04160001">
      <w:start w:val="1"/>
      <w:numFmt w:val="bullet"/>
      <w:lvlText w:val="•"/>
      <w:lvlJc w:val="left"/>
      <w:pPr>
        <w:ind w:left="6920" w:hanging="346"/>
      </w:pPr>
      <w:rPr>
        <w:rFonts w:hint="default"/>
      </w:rPr>
    </w:lvl>
    <w:lvl w:ilvl="7" w:tplc="04160003">
      <w:start w:val="1"/>
      <w:numFmt w:val="bullet"/>
      <w:lvlText w:val="•"/>
      <w:lvlJc w:val="left"/>
      <w:pPr>
        <w:ind w:left="7880" w:hanging="346"/>
      </w:pPr>
      <w:rPr>
        <w:rFonts w:hint="default"/>
      </w:rPr>
    </w:lvl>
    <w:lvl w:ilvl="8" w:tplc="04160005">
      <w:start w:val="1"/>
      <w:numFmt w:val="bullet"/>
      <w:lvlText w:val="•"/>
      <w:lvlJc w:val="left"/>
      <w:pPr>
        <w:ind w:left="8840" w:hanging="346"/>
      </w:pPr>
      <w:rPr>
        <w:rFonts w:hint="default"/>
      </w:rPr>
    </w:lvl>
  </w:abstractNum>
  <w:abstractNum w:abstractNumId="304">
    <w:nsid w:val="49F33A28"/>
    <w:multiLevelType w:val="hybridMultilevel"/>
    <w:tmpl w:val="759429F4"/>
    <w:lvl w:ilvl="0" w:tplc="68FE3920">
      <w:start w:val="1"/>
      <w:numFmt w:val="bullet"/>
      <w:lvlText w:val=""/>
      <w:lvlJc w:val="left"/>
      <w:pPr>
        <w:ind w:left="1854" w:hanging="360"/>
      </w:pPr>
      <w:rPr>
        <w:rFonts w:ascii="Symbol" w:hAnsi="Symbol" w:hint="default"/>
      </w:rPr>
    </w:lvl>
    <w:lvl w:ilvl="1" w:tplc="D07CD8BA" w:tentative="1">
      <w:start w:val="1"/>
      <w:numFmt w:val="bullet"/>
      <w:lvlText w:val="o"/>
      <w:lvlJc w:val="left"/>
      <w:pPr>
        <w:ind w:left="2574" w:hanging="360"/>
      </w:pPr>
      <w:rPr>
        <w:rFonts w:ascii="Courier New" w:hAnsi="Courier New" w:cs="Courier New" w:hint="default"/>
      </w:rPr>
    </w:lvl>
    <w:lvl w:ilvl="2" w:tplc="DEB42D0C" w:tentative="1">
      <w:start w:val="1"/>
      <w:numFmt w:val="bullet"/>
      <w:lvlText w:val=""/>
      <w:lvlJc w:val="left"/>
      <w:pPr>
        <w:ind w:left="3294" w:hanging="360"/>
      </w:pPr>
      <w:rPr>
        <w:rFonts w:ascii="Wingdings" w:hAnsi="Wingdings" w:hint="default"/>
      </w:rPr>
    </w:lvl>
    <w:lvl w:ilvl="3" w:tplc="6E4A6646" w:tentative="1">
      <w:start w:val="1"/>
      <w:numFmt w:val="bullet"/>
      <w:lvlText w:val=""/>
      <w:lvlJc w:val="left"/>
      <w:pPr>
        <w:ind w:left="4014" w:hanging="360"/>
      </w:pPr>
      <w:rPr>
        <w:rFonts w:ascii="Symbol" w:hAnsi="Symbol" w:hint="default"/>
      </w:rPr>
    </w:lvl>
    <w:lvl w:ilvl="4" w:tplc="1B4EFA48" w:tentative="1">
      <w:start w:val="1"/>
      <w:numFmt w:val="bullet"/>
      <w:lvlText w:val="o"/>
      <w:lvlJc w:val="left"/>
      <w:pPr>
        <w:ind w:left="4734" w:hanging="360"/>
      </w:pPr>
      <w:rPr>
        <w:rFonts w:ascii="Courier New" w:hAnsi="Courier New" w:cs="Courier New" w:hint="default"/>
      </w:rPr>
    </w:lvl>
    <w:lvl w:ilvl="5" w:tplc="3DCE9226" w:tentative="1">
      <w:start w:val="1"/>
      <w:numFmt w:val="bullet"/>
      <w:lvlText w:val=""/>
      <w:lvlJc w:val="left"/>
      <w:pPr>
        <w:ind w:left="5454" w:hanging="360"/>
      </w:pPr>
      <w:rPr>
        <w:rFonts w:ascii="Wingdings" w:hAnsi="Wingdings" w:hint="default"/>
      </w:rPr>
    </w:lvl>
    <w:lvl w:ilvl="6" w:tplc="4B72DE84" w:tentative="1">
      <w:start w:val="1"/>
      <w:numFmt w:val="bullet"/>
      <w:lvlText w:val=""/>
      <w:lvlJc w:val="left"/>
      <w:pPr>
        <w:ind w:left="6174" w:hanging="360"/>
      </w:pPr>
      <w:rPr>
        <w:rFonts w:ascii="Symbol" w:hAnsi="Symbol" w:hint="default"/>
      </w:rPr>
    </w:lvl>
    <w:lvl w:ilvl="7" w:tplc="27B0E764" w:tentative="1">
      <w:start w:val="1"/>
      <w:numFmt w:val="bullet"/>
      <w:lvlText w:val="o"/>
      <w:lvlJc w:val="left"/>
      <w:pPr>
        <w:ind w:left="6894" w:hanging="360"/>
      </w:pPr>
      <w:rPr>
        <w:rFonts w:ascii="Courier New" w:hAnsi="Courier New" w:cs="Courier New" w:hint="default"/>
      </w:rPr>
    </w:lvl>
    <w:lvl w:ilvl="8" w:tplc="A9D016BE" w:tentative="1">
      <w:start w:val="1"/>
      <w:numFmt w:val="bullet"/>
      <w:lvlText w:val=""/>
      <w:lvlJc w:val="left"/>
      <w:pPr>
        <w:ind w:left="7614" w:hanging="360"/>
      </w:pPr>
      <w:rPr>
        <w:rFonts w:ascii="Wingdings" w:hAnsi="Wingdings" w:hint="default"/>
      </w:rPr>
    </w:lvl>
  </w:abstractNum>
  <w:abstractNum w:abstractNumId="305">
    <w:nsid w:val="4A001B1B"/>
    <w:multiLevelType w:val="hybridMultilevel"/>
    <w:tmpl w:val="1CEE4218"/>
    <w:lvl w:ilvl="0" w:tplc="2290414C">
      <w:start w:val="1"/>
      <w:numFmt w:val="bullet"/>
      <w:lvlText w:val="o"/>
      <w:lvlJc w:val="left"/>
      <w:pPr>
        <w:ind w:left="1440" w:hanging="360"/>
      </w:pPr>
      <w:rPr>
        <w:rFonts w:ascii="Courier New" w:hAnsi="Courier New" w:cs="Courier New"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06">
    <w:nsid w:val="4A205F63"/>
    <w:multiLevelType w:val="hybridMultilevel"/>
    <w:tmpl w:val="DE14469C"/>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07">
    <w:nsid w:val="4A2D5D2B"/>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308">
    <w:nsid w:val="4A420241"/>
    <w:multiLevelType w:val="hybridMultilevel"/>
    <w:tmpl w:val="03E24344"/>
    <w:lvl w:ilvl="0" w:tplc="876EF16C">
      <w:start w:val="1"/>
      <w:numFmt w:val="bullet"/>
      <w:lvlText w:val=""/>
      <w:lvlJc w:val="left"/>
      <w:pPr>
        <w:ind w:left="1080" w:hanging="720"/>
      </w:pPr>
      <w:rPr>
        <w:rFonts w:ascii="Symbol" w:hAnsi="Symbol" w:hint="default"/>
      </w:rPr>
    </w:lvl>
    <w:lvl w:ilvl="1" w:tplc="51FA5A6A" w:tentative="1">
      <w:start w:val="1"/>
      <w:numFmt w:val="lowerLetter"/>
      <w:lvlText w:val="%2."/>
      <w:lvlJc w:val="left"/>
      <w:pPr>
        <w:ind w:left="1440" w:hanging="360"/>
      </w:pPr>
    </w:lvl>
    <w:lvl w:ilvl="2" w:tplc="230E5558" w:tentative="1">
      <w:start w:val="1"/>
      <w:numFmt w:val="lowerRoman"/>
      <w:lvlText w:val="%3."/>
      <w:lvlJc w:val="right"/>
      <w:pPr>
        <w:ind w:left="2160" w:hanging="180"/>
      </w:pPr>
    </w:lvl>
    <w:lvl w:ilvl="3" w:tplc="91088284" w:tentative="1">
      <w:start w:val="1"/>
      <w:numFmt w:val="decimal"/>
      <w:lvlText w:val="%4."/>
      <w:lvlJc w:val="left"/>
      <w:pPr>
        <w:ind w:left="2880" w:hanging="360"/>
      </w:pPr>
    </w:lvl>
    <w:lvl w:ilvl="4" w:tplc="888ABBB8" w:tentative="1">
      <w:start w:val="1"/>
      <w:numFmt w:val="lowerLetter"/>
      <w:lvlText w:val="%5."/>
      <w:lvlJc w:val="left"/>
      <w:pPr>
        <w:ind w:left="3600" w:hanging="360"/>
      </w:pPr>
    </w:lvl>
    <w:lvl w:ilvl="5" w:tplc="2D06B0CE" w:tentative="1">
      <w:start w:val="1"/>
      <w:numFmt w:val="lowerRoman"/>
      <w:lvlText w:val="%6."/>
      <w:lvlJc w:val="right"/>
      <w:pPr>
        <w:ind w:left="4320" w:hanging="180"/>
      </w:pPr>
    </w:lvl>
    <w:lvl w:ilvl="6" w:tplc="48AC8300" w:tentative="1">
      <w:start w:val="1"/>
      <w:numFmt w:val="decimal"/>
      <w:lvlText w:val="%7."/>
      <w:lvlJc w:val="left"/>
      <w:pPr>
        <w:ind w:left="5040" w:hanging="360"/>
      </w:pPr>
    </w:lvl>
    <w:lvl w:ilvl="7" w:tplc="2BCE06B8" w:tentative="1">
      <w:start w:val="1"/>
      <w:numFmt w:val="lowerLetter"/>
      <w:lvlText w:val="%8."/>
      <w:lvlJc w:val="left"/>
      <w:pPr>
        <w:ind w:left="5760" w:hanging="360"/>
      </w:pPr>
    </w:lvl>
    <w:lvl w:ilvl="8" w:tplc="FF68F720" w:tentative="1">
      <w:start w:val="1"/>
      <w:numFmt w:val="lowerRoman"/>
      <w:lvlText w:val="%9."/>
      <w:lvlJc w:val="right"/>
      <w:pPr>
        <w:ind w:left="6480" w:hanging="180"/>
      </w:pPr>
    </w:lvl>
  </w:abstractNum>
  <w:abstractNum w:abstractNumId="309">
    <w:nsid w:val="4A6C459D"/>
    <w:multiLevelType w:val="hybridMultilevel"/>
    <w:tmpl w:val="E2067BA6"/>
    <w:lvl w:ilvl="0" w:tplc="04160003">
      <w:start w:val="65"/>
      <w:numFmt w:val="bullet"/>
      <w:lvlText w:val=""/>
      <w:lvlJc w:val="left"/>
      <w:pPr>
        <w:ind w:left="1440" w:hanging="360"/>
      </w:pPr>
      <w:rPr>
        <w:rFonts w:ascii="Symbol" w:eastAsia="Times New Roman" w:hAnsi="Symbol" w:cs="Times New Roman"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10">
    <w:nsid w:val="4A7C287E"/>
    <w:multiLevelType w:val="multilevel"/>
    <w:tmpl w:val="2340D6F8"/>
    <w:lvl w:ilvl="0">
      <w:start w:val="1"/>
      <w:numFmt w:val="bullet"/>
      <w:lvlText w:val=""/>
      <w:lvlJc w:val="left"/>
      <w:pPr>
        <w:tabs>
          <w:tab w:val="num" w:pos="1854"/>
        </w:tabs>
        <w:ind w:left="1854" w:hanging="360"/>
      </w:pPr>
      <w:rPr>
        <w:rFonts w:ascii="Symbol" w:hAnsi="Symbol" w:hint="default"/>
        <w:b/>
        <w:color w:val="auto"/>
      </w:rPr>
    </w:lvl>
    <w:lvl w:ilvl="1">
      <w:start w:val="1"/>
      <w:numFmt w:val="bullet"/>
      <w:lvlText w:val="o"/>
      <w:lvlJc w:val="left"/>
      <w:pPr>
        <w:tabs>
          <w:tab w:val="num" w:pos="2574"/>
        </w:tabs>
        <w:ind w:left="2574" w:hanging="360"/>
      </w:pPr>
      <w:rPr>
        <w:rFonts w:ascii="Courier New" w:hAnsi="Courier New" w:cs="Courier New" w:hint="default"/>
      </w:rPr>
    </w:lvl>
    <w:lvl w:ilvl="2">
      <w:start w:val="1"/>
      <w:numFmt w:val="bullet"/>
      <w:lvlText w:val=""/>
      <w:lvlJc w:val="left"/>
      <w:pPr>
        <w:tabs>
          <w:tab w:val="num" w:pos="3294"/>
        </w:tabs>
        <w:ind w:left="3294" w:hanging="360"/>
      </w:pPr>
      <w:rPr>
        <w:rFonts w:ascii="Wingdings" w:hAnsi="Wingdings" w:hint="default"/>
      </w:rPr>
    </w:lvl>
    <w:lvl w:ilvl="3">
      <w:start w:val="1"/>
      <w:numFmt w:val="bullet"/>
      <w:lvlText w:val=""/>
      <w:lvlJc w:val="left"/>
      <w:pPr>
        <w:tabs>
          <w:tab w:val="num" w:pos="4014"/>
        </w:tabs>
        <w:ind w:left="4014" w:hanging="360"/>
      </w:pPr>
      <w:rPr>
        <w:rFonts w:ascii="Symbol" w:hAnsi="Symbol" w:hint="default"/>
      </w:rPr>
    </w:lvl>
    <w:lvl w:ilvl="4">
      <w:start w:val="1"/>
      <w:numFmt w:val="bullet"/>
      <w:lvlText w:val="o"/>
      <w:lvlJc w:val="left"/>
      <w:pPr>
        <w:tabs>
          <w:tab w:val="num" w:pos="4734"/>
        </w:tabs>
        <w:ind w:left="4734" w:hanging="360"/>
      </w:pPr>
      <w:rPr>
        <w:rFonts w:ascii="Courier New" w:hAnsi="Courier New" w:cs="Courier New" w:hint="default"/>
      </w:rPr>
    </w:lvl>
    <w:lvl w:ilvl="5">
      <w:start w:val="1"/>
      <w:numFmt w:val="bullet"/>
      <w:lvlText w:val=""/>
      <w:lvlJc w:val="left"/>
      <w:pPr>
        <w:tabs>
          <w:tab w:val="num" w:pos="5454"/>
        </w:tabs>
        <w:ind w:left="5454" w:hanging="360"/>
      </w:pPr>
      <w:rPr>
        <w:rFonts w:ascii="Wingdings" w:hAnsi="Wingdings" w:hint="default"/>
      </w:rPr>
    </w:lvl>
    <w:lvl w:ilvl="6">
      <w:start w:val="1"/>
      <w:numFmt w:val="bullet"/>
      <w:lvlText w:val=""/>
      <w:lvlJc w:val="left"/>
      <w:pPr>
        <w:tabs>
          <w:tab w:val="num" w:pos="6174"/>
        </w:tabs>
        <w:ind w:left="6174" w:hanging="360"/>
      </w:pPr>
      <w:rPr>
        <w:rFonts w:ascii="Symbol" w:hAnsi="Symbol" w:hint="default"/>
      </w:rPr>
    </w:lvl>
    <w:lvl w:ilvl="7">
      <w:start w:val="1"/>
      <w:numFmt w:val="bullet"/>
      <w:lvlText w:val="o"/>
      <w:lvlJc w:val="left"/>
      <w:pPr>
        <w:tabs>
          <w:tab w:val="num" w:pos="6894"/>
        </w:tabs>
        <w:ind w:left="6894" w:hanging="360"/>
      </w:pPr>
      <w:rPr>
        <w:rFonts w:ascii="Courier New" w:hAnsi="Courier New" w:cs="Courier New" w:hint="default"/>
      </w:rPr>
    </w:lvl>
    <w:lvl w:ilvl="8">
      <w:start w:val="1"/>
      <w:numFmt w:val="bullet"/>
      <w:lvlText w:val=""/>
      <w:lvlJc w:val="left"/>
      <w:pPr>
        <w:tabs>
          <w:tab w:val="num" w:pos="7614"/>
        </w:tabs>
        <w:ind w:left="7614" w:hanging="360"/>
      </w:pPr>
      <w:rPr>
        <w:rFonts w:ascii="Wingdings" w:hAnsi="Wingdings" w:hint="default"/>
      </w:rPr>
    </w:lvl>
  </w:abstractNum>
  <w:abstractNum w:abstractNumId="311">
    <w:nsid w:val="4A817DF8"/>
    <w:multiLevelType w:val="hybridMultilevel"/>
    <w:tmpl w:val="CE345D72"/>
    <w:lvl w:ilvl="0" w:tplc="04160001">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312">
    <w:nsid w:val="4AAD0218"/>
    <w:multiLevelType w:val="hybridMultilevel"/>
    <w:tmpl w:val="D49637D2"/>
    <w:lvl w:ilvl="0" w:tplc="4A9A87D0">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3">
    <w:nsid w:val="4AFC5E9E"/>
    <w:multiLevelType w:val="hybridMultilevel"/>
    <w:tmpl w:val="393C2CEC"/>
    <w:lvl w:ilvl="0" w:tplc="04160019">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14">
    <w:nsid w:val="4B3F71FC"/>
    <w:multiLevelType w:val="multilevel"/>
    <w:tmpl w:val="5C8E0B5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5">
    <w:nsid w:val="4BB06E31"/>
    <w:multiLevelType w:val="hybridMultilevel"/>
    <w:tmpl w:val="2340D6F8"/>
    <w:lvl w:ilvl="0" w:tplc="E9503B1A">
      <w:start w:val="1"/>
      <w:numFmt w:val="bullet"/>
      <w:lvlText w:val=""/>
      <w:lvlJc w:val="left"/>
      <w:pPr>
        <w:tabs>
          <w:tab w:val="num" w:pos="1854"/>
        </w:tabs>
        <w:ind w:left="1854" w:hanging="360"/>
      </w:pPr>
      <w:rPr>
        <w:rFonts w:ascii="Symbol" w:hAnsi="Symbol" w:hint="default"/>
        <w:b/>
        <w:color w:val="auto"/>
      </w:rPr>
    </w:lvl>
    <w:lvl w:ilvl="1" w:tplc="04160003" w:tentative="1">
      <w:start w:val="1"/>
      <w:numFmt w:val="bullet"/>
      <w:lvlText w:val="o"/>
      <w:lvlJc w:val="left"/>
      <w:pPr>
        <w:tabs>
          <w:tab w:val="num" w:pos="2574"/>
        </w:tabs>
        <w:ind w:left="2574" w:hanging="360"/>
      </w:pPr>
      <w:rPr>
        <w:rFonts w:ascii="Courier New" w:hAnsi="Courier New" w:cs="Courier New" w:hint="default"/>
      </w:rPr>
    </w:lvl>
    <w:lvl w:ilvl="2" w:tplc="04160005" w:tentative="1">
      <w:start w:val="1"/>
      <w:numFmt w:val="bullet"/>
      <w:lvlText w:val=""/>
      <w:lvlJc w:val="left"/>
      <w:pPr>
        <w:tabs>
          <w:tab w:val="num" w:pos="3294"/>
        </w:tabs>
        <w:ind w:left="3294" w:hanging="360"/>
      </w:pPr>
      <w:rPr>
        <w:rFonts w:ascii="Wingdings" w:hAnsi="Wingdings" w:hint="default"/>
      </w:rPr>
    </w:lvl>
    <w:lvl w:ilvl="3" w:tplc="04160001" w:tentative="1">
      <w:start w:val="1"/>
      <w:numFmt w:val="bullet"/>
      <w:lvlText w:val=""/>
      <w:lvlJc w:val="left"/>
      <w:pPr>
        <w:tabs>
          <w:tab w:val="num" w:pos="4014"/>
        </w:tabs>
        <w:ind w:left="4014" w:hanging="360"/>
      </w:pPr>
      <w:rPr>
        <w:rFonts w:ascii="Symbol" w:hAnsi="Symbol" w:hint="default"/>
      </w:rPr>
    </w:lvl>
    <w:lvl w:ilvl="4" w:tplc="04160003" w:tentative="1">
      <w:start w:val="1"/>
      <w:numFmt w:val="bullet"/>
      <w:lvlText w:val="o"/>
      <w:lvlJc w:val="left"/>
      <w:pPr>
        <w:tabs>
          <w:tab w:val="num" w:pos="4734"/>
        </w:tabs>
        <w:ind w:left="4734" w:hanging="360"/>
      </w:pPr>
      <w:rPr>
        <w:rFonts w:ascii="Courier New" w:hAnsi="Courier New" w:cs="Courier New" w:hint="default"/>
      </w:rPr>
    </w:lvl>
    <w:lvl w:ilvl="5" w:tplc="04160005" w:tentative="1">
      <w:start w:val="1"/>
      <w:numFmt w:val="bullet"/>
      <w:lvlText w:val=""/>
      <w:lvlJc w:val="left"/>
      <w:pPr>
        <w:tabs>
          <w:tab w:val="num" w:pos="5454"/>
        </w:tabs>
        <w:ind w:left="5454" w:hanging="360"/>
      </w:pPr>
      <w:rPr>
        <w:rFonts w:ascii="Wingdings" w:hAnsi="Wingdings" w:hint="default"/>
      </w:rPr>
    </w:lvl>
    <w:lvl w:ilvl="6" w:tplc="04160001" w:tentative="1">
      <w:start w:val="1"/>
      <w:numFmt w:val="bullet"/>
      <w:lvlText w:val=""/>
      <w:lvlJc w:val="left"/>
      <w:pPr>
        <w:tabs>
          <w:tab w:val="num" w:pos="6174"/>
        </w:tabs>
        <w:ind w:left="6174" w:hanging="360"/>
      </w:pPr>
      <w:rPr>
        <w:rFonts w:ascii="Symbol" w:hAnsi="Symbol" w:hint="default"/>
      </w:rPr>
    </w:lvl>
    <w:lvl w:ilvl="7" w:tplc="04160003" w:tentative="1">
      <w:start w:val="1"/>
      <w:numFmt w:val="bullet"/>
      <w:lvlText w:val="o"/>
      <w:lvlJc w:val="left"/>
      <w:pPr>
        <w:tabs>
          <w:tab w:val="num" w:pos="6894"/>
        </w:tabs>
        <w:ind w:left="6894" w:hanging="360"/>
      </w:pPr>
      <w:rPr>
        <w:rFonts w:ascii="Courier New" w:hAnsi="Courier New" w:cs="Courier New" w:hint="default"/>
      </w:rPr>
    </w:lvl>
    <w:lvl w:ilvl="8" w:tplc="04160005" w:tentative="1">
      <w:start w:val="1"/>
      <w:numFmt w:val="bullet"/>
      <w:lvlText w:val=""/>
      <w:lvlJc w:val="left"/>
      <w:pPr>
        <w:tabs>
          <w:tab w:val="num" w:pos="7614"/>
        </w:tabs>
        <w:ind w:left="7614" w:hanging="360"/>
      </w:pPr>
      <w:rPr>
        <w:rFonts w:ascii="Wingdings" w:hAnsi="Wingdings" w:hint="default"/>
      </w:rPr>
    </w:lvl>
  </w:abstractNum>
  <w:abstractNum w:abstractNumId="316">
    <w:nsid w:val="4BC51730"/>
    <w:multiLevelType w:val="hybridMultilevel"/>
    <w:tmpl w:val="039CC782"/>
    <w:lvl w:ilvl="0" w:tplc="04160001">
      <w:start w:val="1"/>
      <w:numFmt w:val="bullet"/>
      <w:lvlText w:val=""/>
      <w:lvlJc w:val="left"/>
      <w:pPr>
        <w:ind w:left="2421" w:hanging="360"/>
      </w:pPr>
      <w:rPr>
        <w:rFonts w:ascii="Symbol" w:hAnsi="Symbol" w:hint="default"/>
      </w:rPr>
    </w:lvl>
    <w:lvl w:ilvl="1" w:tplc="04160003" w:tentative="1">
      <w:start w:val="1"/>
      <w:numFmt w:val="bullet"/>
      <w:lvlText w:val="o"/>
      <w:lvlJc w:val="left"/>
      <w:pPr>
        <w:ind w:left="3141" w:hanging="360"/>
      </w:pPr>
      <w:rPr>
        <w:rFonts w:ascii="Courier New" w:hAnsi="Courier New" w:cs="Courier New" w:hint="default"/>
      </w:rPr>
    </w:lvl>
    <w:lvl w:ilvl="2" w:tplc="04160005" w:tentative="1">
      <w:start w:val="1"/>
      <w:numFmt w:val="bullet"/>
      <w:lvlText w:val=""/>
      <w:lvlJc w:val="left"/>
      <w:pPr>
        <w:ind w:left="3861" w:hanging="360"/>
      </w:pPr>
      <w:rPr>
        <w:rFonts w:ascii="Wingdings" w:hAnsi="Wingdings" w:hint="default"/>
      </w:rPr>
    </w:lvl>
    <w:lvl w:ilvl="3" w:tplc="04160001" w:tentative="1">
      <w:start w:val="1"/>
      <w:numFmt w:val="bullet"/>
      <w:lvlText w:val=""/>
      <w:lvlJc w:val="left"/>
      <w:pPr>
        <w:ind w:left="4581" w:hanging="360"/>
      </w:pPr>
      <w:rPr>
        <w:rFonts w:ascii="Symbol" w:hAnsi="Symbol" w:hint="default"/>
      </w:rPr>
    </w:lvl>
    <w:lvl w:ilvl="4" w:tplc="04160003" w:tentative="1">
      <w:start w:val="1"/>
      <w:numFmt w:val="bullet"/>
      <w:lvlText w:val="o"/>
      <w:lvlJc w:val="left"/>
      <w:pPr>
        <w:ind w:left="5301" w:hanging="360"/>
      </w:pPr>
      <w:rPr>
        <w:rFonts w:ascii="Courier New" w:hAnsi="Courier New" w:cs="Courier New" w:hint="default"/>
      </w:rPr>
    </w:lvl>
    <w:lvl w:ilvl="5" w:tplc="04160005" w:tentative="1">
      <w:start w:val="1"/>
      <w:numFmt w:val="bullet"/>
      <w:lvlText w:val=""/>
      <w:lvlJc w:val="left"/>
      <w:pPr>
        <w:ind w:left="6021" w:hanging="360"/>
      </w:pPr>
      <w:rPr>
        <w:rFonts w:ascii="Wingdings" w:hAnsi="Wingdings" w:hint="default"/>
      </w:rPr>
    </w:lvl>
    <w:lvl w:ilvl="6" w:tplc="04160001" w:tentative="1">
      <w:start w:val="1"/>
      <w:numFmt w:val="bullet"/>
      <w:lvlText w:val=""/>
      <w:lvlJc w:val="left"/>
      <w:pPr>
        <w:ind w:left="6741" w:hanging="360"/>
      </w:pPr>
      <w:rPr>
        <w:rFonts w:ascii="Symbol" w:hAnsi="Symbol" w:hint="default"/>
      </w:rPr>
    </w:lvl>
    <w:lvl w:ilvl="7" w:tplc="04160003" w:tentative="1">
      <w:start w:val="1"/>
      <w:numFmt w:val="bullet"/>
      <w:lvlText w:val="o"/>
      <w:lvlJc w:val="left"/>
      <w:pPr>
        <w:ind w:left="7461" w:hanging="360"/>
      </w:pPr>
      <w:rPr>
        <w:rFonts w:ascii="Courier New" w:hAnsi="Courier New" w:cs="Courier New" w:hint="default"/>
      </w:rPr>
    </w:lvl>
    <w:lvl w:ilvl="8" w:tplc="04160005" w:tentative="1">
      <w:start w:val="1"/>
      <w:numFmt w:val="bullet"/>
      <w:lvlText w:val=""/>
      <w:lvlJc w:val="left"/>
      <w:pPr>
        <w:ind w:left="8181" w:hanging="360"/>
      </w:pPr>
      <w:rPr>
        <w:rFonts w:ascii="Wingdings" w:hAnsi="Wingdings" w:hint="default"/>
      </w:rPr>
    </w:lvl>
  </w:abstractNum>
  <w:abstractNum w:abstractNumId="317">
    <w:nsid w:val="4C20343E"/>
    <w:multiLevelType w:val="hybridMultilevel"/>
    <w:tmpl w:val="EC2E201C"/>
    <w:lvl w:ilvl="0" w:tplc="1FEE5F54">
      <w:start w:val="1"/>
      <w:numFmt w:val="bullet"/>
      <w:lvlText w:val=""/>
      <w:lvlPicBulletId w:val="0"/>
      <w:lvlJc w:val="left"/>
      <w:pPr>
        <w:ind w:left="360" w:hanging="360"/>
      </w:pPr>
      <w:rPr>
        <w:rFonts w:ascii="Symbol" w:hAnsi="Symbol" w:hint="default"/>
      </w:rPr>
    </w:lvl>
    <w:lvl w:ilvl="1" w:tplc="8A22B7F8">
      <w:start w:val="1"/>
      <w:numFmt w:val="bullet"/>
      <w:lvlText w:val=""/>
      <w:lvlJc w:val="left"/>
      <w:pPr>
        <w:ind w:left="1080" w:hanging="360"/>
      </w:pPr>
      <w:rPr>
        <w:rFonts w:ascii="Symbol" w:hAnsi="Symbol" w:hint="default"/>
      </w:rPr>
    </w:lvl>
    <w:lvl w:ilvl="2" w:tplc="4872A4EC">
      <w:start w:val="1"/>
      <w:numFmt w:val="bullet"/>
      <w:lvlText w:val=""/>
      <w:lvlJc w:val="left"/>
      <w:pPr>
        <w:ind w:left="1800" w:hanging="360"/>
      </w:pPr>
      <w:rPr>
        <w:rFonts w:ascii="Wingdings" w:hAnsi="Wingdings" w:hint="default"/>
      </w:rPr>
    </w:lvl>
    <w:lvl w:ilvl="3" w:tplc="78FE0BDA" w:tentative="1">
      <w:start w:val="1"/>
      <w:numFmt w:val="bullet"/>
      <w:lvlText w:val=""/>
      <w:lvlJc w:val="left"/>
      <w:pPr>
        <w:ind w:left="2520" w:hanging="360"/>
      </w:pPr>
      <w:rPr>
        <w:rFonts w:ascii="Symbol" w:hAnsi="Symbol" w:hint="default"/>
      </w:rPr>
    </w:lvl>
    <w:lvl w:ilvl="4" w:tplc="0C72C270" w:tentative="1">
      <w:start w:val="1"/>
      <w:numFmt w:val="bullet"/>
      <w:lvlText w:val="o"/>
      <w:lvlJc w:val="left"/>
      <w:pPr>
        <w:ind w:left="3240" w:hanging="360"/>
      </w:pPr>
      <w:rPr>
        <w:rFonts w:ascii="Courier New" w:hAnsi="Courier New" w:cs="Courier New" w:hint="default"/>
      </w:rPr>
    </w:lvl>
    <w:lvl w:ilvl="5" w:tplc="B4D4AA7A" w:tentative="1">
      <w:start w:val="1"/>
      <w:numFmt w:val="bullet"/>
      <w:lvlText w:val=""/>
      <w:lvlJc w:val="left"/>
      <w:pPr>
        <w:ind w:left="3960" w:hanging="360"/>
      </w:pPr>
      <w:rPr>
        <w:rFonts w:ascii="Wingdings" w:hAnsi="Wingdings" w:hint="default"/>
      </w:rPr>
    </w:lvl>
    <w:lvl w:ilvl="6" w:tplc="7B62C1A0" w:tentative="1">
      <w:start w:val="1"/>
      <w:numFmt w:val="bullet"/>
      <w:lvlText w:val=""/>
      <w:lvlJc w:val="left"/>
      <w:pPr>
        <w:ind w:left="4680" w:hanging="360"/>
      </w:pPr>
      <w:rPr>
        <w:rFonts w:ascii="Symbol" w:hAnsi="Symbol" w:hint="default"/>
      </w:rPr>
    </w:lvl>
    <w:lvl w:ilvl="7" w:tplc="B7E8AE24" w:tentative="1">
      <w:start w:val="1"/>
      <w:numFmt w:val="bullet"/>
      <w:lvlText w:val="o"/>
      <w:lvlJc w:val="left"/>
      <w:pPr>
        <w:ind w:left="5400" w:hanging="360"/>
      </w:pPr>
      <w:rPr>
        <w:rFonts w:ascii="Courier New" w:hAnsi="Courier New" w:cs="Courier New" w:hint="default"/>
      </w:rPr>
    </w:lvl>
    <w:lvl w:ilvl="8" w:tplc="43DEF27E" w:tentative="1">
      <w:start w:val="1"/>
      <w:numFmt w:val="bullet"/>
      <w:lvlText w:val=""/>
      <w:lvlJc w:val="left"/>
      <w:pPr>
        <w:ind w:left="6120" w:hanging="360"/>
      </w:pPr>
      <w:rPr>
        <w:rFonts w:ascii="Wingdings" w:hAnsi="Wingdings" w:hint="default"/>
      </w:rPr>
    </w:lvl>
  </w:abstractNum>
  <w:abstractNum w:abstractNumId="318">
    <w:nsid w:val="4C220436"/>
    <w:multiLevelType w:val="hybridMultilevel"/>
    <w:tmpl w:val="75B2B816"/>
    <w:lvl w:ilvl="0" w:tplc="07128912">
      <w:start w:val="1"/>
      <w:numFmt w:val="bullet"/>
      <w:lvlText w:val=""/>
      <w:lvlJc w:val="left"/>
      <w:pPr>
        <w:tabs>
          <w:tab w:val="num" w:pos="284"/>
        </w:tabs>
        <w:ind w:left="567" w:hanging="283"/>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19">
    <w:nsid w:val="4C4379EE"/>
    <w:multiLevelType w:val="multilevel"/>
    <w:tmpl w:val="57AE1F64"/>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20">
    <w:nsid w:val="4C5A5DFC"/>
    <w:multiLevelType w:val="hybridMultilevel"/>
    <w:tmpl w:val="EAD8FD1E"/>
    <w:lvl w:ilvl="0" w:tplc="CB90F0AC">
      <w:start w:val="1"/>
      <w:numFmt w:val="bullet"/>
      <w:lvlText w:val=""/>
      <w:lvlJc w:val="left"/>
      <w:pPr>
        <w:ind w:left="1800" w:hanging="360"/>
      </w:pPr>
      <w:rPr>
        <w:rFonts w:ascii="Symbol" w:hAnsi="Symbol" w:hint="default"/>
      </w:rPr>
    </w:lvl>
    <w:lvl w:ilvl="1" w:tplc="9DAA32C2" w:tentative="1">
      <w:start w:val="1"/>
      <w:numFmt w:val="bullet"/>
      <w:lvlText w:val="o"/>
      <w:lvlJc w:val="left"/>
      <w:pPr>
        <w:ind w:left="2520" w:hanging="360"/>
      </w:pPr>
      <w:rPr>
        <w:rFonts w:ascii="Courier New" w:hAnsi="Courier New" w:cs="Courier New" w:hint="default"/>
      </w:rPr>
    </w:lvl>
    <w:lvl w:ilvl="2" w:tplc="94560F18" w:tentative="1">
      <w:start w:val="1"/>
      <w:numFmt w:val="bullet"/>
      <w:lvlText w:val=""/>
      <w:lvlJc w:val="left"/>
      <w:pPr>
        <w:ind w:left="3240" w:hanging="360"/>
      </w:pPr>
      <w:rPr>
        <w:rFonts w:ascii="Wingdings" w:hAnsi="Wingdings" w:hint="default"/>
      </w:rPr>
    </w:lvl>
    <w:lvl w:ilvl="3" w:tplc="6F4E6F40" w:tentative="1">
      <w:start w:val="1"/>
      <w:numFmt w:val="bullet"/>
      <w:lvlText w:val=""/>
      <w:lvlJc w:val="left"/>
      <w:pPr>
        <w:ind w:left="3960" w:hanging="360"/>
      </w:pPr>
      <w:rPr>
        <w:rFonts w:ascii="Symbol" w:hAnsi="Symbol" w:hint="default"/>
      </w:rPr>
    </w:lvl>
    <w:lvl w:ilvl="4" w:tplc="4934D5A0" w:tentative="1">
      <w:start w:val="1"/>
      <w:numFmt w:val="bullet"/>
      <w:lvlText w:val="o"/>
      <w:lvlJc w:val="left"/>
      <w:pPr>
        <w:ind w:left="4680" w:hanging="360"/>
      </w:pPr>
      <w:rPr>
        <w:rFonts w:ascii="Courier New" w:hAnsi="Courier New" w:cs="Courier New" w:hint="default"/>
      </w:rPr>
    </w:lvl>
    <w:lvl w:ilvl="5" w:tplc="EE94355A" w:tentative="1">
      <w:start w:val="1"/>
      <w:numFmt w:val="bullet"/>
      <w:lvlText w:val=""/>
      <w:lvlJc w:val="left"/>
      <w:pPr>
        <w:ind w:left="5400" w:hanging="360"/>
      </w:pPr>
      <w:rPr>
        <w:rFonts w:ascii="Wingdings" w:hAnsi="Wingdings" w:hint="default"/>
      </w:rPr>
    </w:lvl>
    <w:lvl w:ilvl="6" w:tplc="416AFF66" w:tentative="1">
      <w:start w:val="1"/>
      <w:numFmt w:val="bullet"/>
      <w:lvlText w:val=""/>
      <w:lvlJc w:val="left"/>
      <w:pPr>
        <w:ind w:left="6120" w:hanging="360"/>
      </w:pPr>
      <w:rPr>
        <w:rFonts w:ascii="Symbol" w:hAnsi="Symbol" w:hint="default"/>
      </w:rPr>
    </w:lvl>
    <w:lvl w:ilvl="7" w:tplc="7D66411C" w:tentative="1">
      <w:start w:val="1"/>
      <w:numFmt w:val="bullet"/>
      <w:lvlText w:val="o"/>
      <w:lvlJc w:val="left"/>
      <w:pPr>
        <w:ind w:left="6840" w:hanging="360"/>
      </w:pPr>
      <w:rPr>
        <w:rFonts w:ascii="Courier New" w:hAnsi="Courier New" w:cs="Courier New" w:hint="default"/>
      </w:rPr>
    </w:lvl>
    <w:lvl w:ilvl="8" w:tplc="28C6ADA8" w:tentative="1">
      <w:start w:val="1"/>
      <w:numFmt w:val="bullet"/>
      <w:lvlText w:val=""/>
      <w:lvlJc w:val="left"/>
      <w:pPr>
        <w:ind w:left="7560" w:hanging="360"/>
      </w:pPr>
      <w:rPr>
        <w:rFonts w:ascii="Wingdings" w:hAnsi="Wingdings" w:hint="default"/>
      </w:rPr>
    </w:lvl>
  </w:abstractNum>
  <w:abstractNum w:abstractNumId="321">
    <w:nsid w:val="4CCC6393"/>
    <w:multiLevelType w:val="hybridMultilevel"/>
    <w:tmpl w:val="A94A3022"/>
    <w:lvl w:ilvl="0" w:tplc="906014CA">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2">
    <w:nsid w:val="4CDC5F08"/>
    <w:multiLevelType w:val="hybridMultilevel"/>
    <w:tmpl w:val="4762CBDA"/>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3">
    <w:nsid w:val="4D0911A0"/>
    <w:multiLevelType w:val="hybridMultilevel"/>
    <w:tmpl w:val="A06AB54C"/>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24">
    <w:nsid w:val="4D1E35D6"/>
    <w:multiLevelType w:val="multilevel"/>
    <w:tmpl w:val="2DF2E990"/>
    <w:lvl w:ilvl="0">
      <w:start w:val="1"/>
      <w:numFmt w:val="decimal"/>
      <w:lvlText w:val="%1"/>
      <w:lvlJc w:val="left"/>
      <w:pPr>
        <w:ind w:left="360" w:hanging="360"/>
      </w:pPr>
      <w:rPr>
        <w:rFonts w:cs="Times New Roman"/>
        <w:b/>
      </w:rPr>
    </w:lvl>
    <w:lvl w:ilvl="1">
      <w:start w:val="1"/>
      <w:numFmt w:val="decimal"/>
      <w:lvlText w:val="%1.%2"/>
      <w:lvlJc w:val="left"/>
      <w:pPr>
        <w:ind w:left="0" w:firstLine="0"/>
      </w:pPr>
      <w:rPr>
        <w:rFonts w:cs="Times New Roman"/>
        <w:b/>
      </w:rPr>
    </w:lvl>
    <w:lvl w:ilvl="2">
      <w:start w:val="1"/>
      <w:numFmt w:val="bullet"/>
      <w:lvlText w:val="•"/>
      <w:lvlJc w:val="left"/>
      <w:pPr>
        <w:ind w:left="2880" w:hanging="720"/>
      </w:pPr>
      <w:rPr>
        <w:rFonts w:ascii="Arial" w:hAnsi="Arial" w:cs="Times New Roman" w:hint="default"/>
        <w:b/>
      </w:rPr>
    </w:lvl>
    <w:lvl w:ilvl="3">
      <w:start w:val="1"/>
      <w:numFmt w:val="decimal"/>
      <w:lvlText w:val="%1.%2.%3.%4"/>
      <w:lvlJc w:val="left"/>
      <w:pPr>
        <w:ind w:left="3960" w:hanging="720"/>
      </w:pPr>
      <w:rPr>
        <w:rFonts w:cs="Times New Roman"/>
        <w:b/>
      </w:rPr>
    </w:lvl>
    <w:lvl w:ilvl="4">
      <w:start w:val="1"/>
      <w:numFmt w:val="decimal"/>
      <w:lvlText w:val="%1.%2.%3.%4.%5"/>
      <w:lvlJc w:val="left"/>
      <w:pPr>
        <w:ind w:left="5400" w:hanging="1080"/>
      </w:pPr>
      <w:rPr>
        <w:rFonts w:cs="Times New Roman"/>
        <w:b/>
      </w:rPr>
    </w:lvl>
    <w:lvl w:ilvl="5">
      <w:start w:val="1"/>
      <w:numFmt w:val="decimal"/>
      <w:lvlText w:val="%1.%2.%3.%4.%5.%6"/>
      <w:lvlJc w:val="left"/>
      <w:pPr>
        <w:ind w:left="6480" w:hanging="1080"/>
      </w:pPr>
      <w:rPr>
        <w:rFonts w:cs="Times New Roman"/>
        <w:b/>
      </w:rPr>
    </w:lvl>
    <w:lvl w:ilvl="6">
      <w:start w:val="1"/>
      <w:numFmt w:val="decimal"/>
      <w:lvlText w:val="%1.%2.%3.%4.%5.%6.%7"/>
      <w:lvlJc w:val="left"/>
      <w:pPr>
        <w:ind w:left="7920" w:hanging="1440"/>
      </w:pPr>
      <w:rPr>
        <w:rFonts w:cs="Times New Roman"/>
        <w:b/>
      </w:rPr>
    </w:lvl>
    <w:lvl w:ilvl="7">
      <w:start w:val="1"/>
      <w:numFmt w:val="decimal"/>
      <w:lvlText w:val="%1.%2.%3.%4.%5.%6.%7.%8"/>
      <w:lvlJc w:val="left"/>
      <w:pPr>
        <w:ind w:left="9000" w:hanging="1440"/>
      </w:pPr>
      <w:rPr>
        <w:rFonts w:cs="Times New Roman"/>
        <w:b/>
      </w:rPr>
    </w:lvl>
    <w:lvl w:ilvl="8">
      <w:start w:val="1"/>
      <w:numFmt w:val="decimal"/>
      <w:lvlText w:val="%1.%2.%3.%4.%5.%6.%7.%8.%9"/>
      <w:lvlJc w:val="left"/>
      <w:pPr>
        <w:ind w:left="10440" w:hanging="1800"/>
      </w:pPr>
      <w:rPr>
        <w:rFonts w:cs="Times New Roman"/>
        <w:b/>
      </w:rPr>
    </w:lvl>
  </w:abstractNum>
  <w:abstractNum w:abstractNumId="325">
    <w:nsid w:val="4D823A29"/>
    <w:multiLevelType w:val="hybridMultilevel"/>
    <w:tmpl w:val="F0B867F4"/>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26">
    <w:nsid w:val="4E177B71"/>
    <w:multiLevelType w:val="hybridMultilevel"/>
    <w:tmpl w:val="BF92FC6A"/>
    <w:lvl w:ilvl="0" w:tplc="04160001">
      <w:start w:val="4"/>
      <w:numFmt w:val="bullet"/>
      <w:lvlText w:val=""/>
      <w:lvlJc w:val="left"/>
      <w:pPr>
        <w:tabs>
          <w:tab w:val="num" w:pos="720"/>
        </w:tabs>
        <w:ind w:left="720" w:hanging="360"/>
      </w:pPr>
      <w:rPr>
        <w:rFonts w:ascii="Wingdings" w:eastAsia="Times New Roman" w:hAnsi="Wingdings" w:cs="Times New Roman" w:hint="default"/>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327">
    <w:nsid w:val="4E251826"/>
    <w:multiLevelType w:val="hybridMultilevel"/>
    <w:tmpl w:val="91C6C390"/>
    <w:lvl w:ilvl="0" w:tplc="0416000D">
      <w:start w:val="1"/>
      <w:numFmt w:val="bullet"/>
      <w:lvlText w:val=""/>
      <w:lvlJc w:val="left"/>
      <w:pPr>
        <w:tabs>
          <w:tab w:val="num" w:pos="360"/>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28">
    <w:nsid w:val="4E556564"/>
    <w:multiLevelType w:val="hybridMultilevel"/>
    <w:tmpl w:val="10E464A0"/>
    <w:lvl w:ilvl="0" w:tplc="90BACF8A">
      <w:start w:val="1"/>
      <w:numFmt w:val="bullet"/>
      <w:lvlText w:val=""/>
      <w:lvlJc w:val="left"/>
      <w:pPr>
        <w:ind w:left="1428" w:hanging="360"/>
      </w:pPr>
      <w:rPr>
        <w:rFonts w:ascii="Wingdings" w:hAnsi="Wingdings" w:hint="default"/>
      </w:rPr>
    </w:lvl>
    <w:lvl w:ilvl="1" w:tplc="04160003">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29">
    <w:nsid w:val="4E8B5F6D"/>
    <w:multiLevelType w:val="hybridMultilevel"/>
    <w:tmpl w:val="27148D2C"/>
    <w:lvl w:ilvl="0" w:tplc="0416000D">
      <w:start w:val="1"/>
      <w:numFmt w:val="bullet"/>
      <w:lvlText w:val=""/>
      <w:lvlJc w:val="left"/>
      <w:pPr>
        <w:ind w:left="2138" w:hanging="360"/>
      </w:pPr>
      <w:rPr>
        <w:rFonts w:ascii="Wingdings" w:hAnsi="Wingdings" w:hint="default"/>
      </w:rPr>
    </w:lvl>
    <w:lvl w:ilvl="1" w:tplc="04160003">
      <w:start w:val="1"/>
      <w:numFmt w:val="bullet"/>
      <w:lvlText w:val="o"/>
      <w:lvlJc w:val="left"/>
      <w:pPr>
        <w:ind w:left="2858" w:hanging="360"/>
      </w:pPr>
      <w:rPr>
        <w:rFonts w:ascii="Courier New" w:hAnsi="Courier New" w:cs="Courier New" w:hint="default"/>
      </w:rPr>
    </w:lvl>
    <w:lvl w:ilvl="2" w:tplc="04160005" w:tentative="1">
      <w:start w:val="1"/>
      <w:numFmt w:val="bullet"/>
      <w:lvlText w:val=""/>
      <w:lvlJc w:val="left"/>
      <w:pPr>
        <w:ind w:left="3578" w:hanging="360"/>
      </w:pPr>
      <w:rPr>
        <w:rFonts w:ascii="Wingdings" w:hAnsi="Wingdings" w:hint="default"/>
      </w:rPr>
    </w:lvl>
    <w:lvl w:ilvl="3" w:tplc="04160001" w:tentative="1">
      <w:start w:val="1"/>
      <w:numFmt w:val="bullet"/>
      <w:lvlText w:val=""/>
      <w:lvlJc w:val="left"/>
      <w:pPr>
        <w:ind w:left="4298" w:hanging="360"/>
      </w:pPr>
      <w:rPr>
        <w:rFonts w:ascii="Symbol" w:hAnsi="Symbol" w:hint="default"/>
      </w:rPr>
    </w:lvl>
    <w:lvl w:ilvl="4" w:tplc="04160003" w:tentative="1">
      <w:start w:val="1"/>
      <w:numFmt w:val="bullet"/>
      <w:lvlText w:val="o"/>
      <w:lvlJc w:val="left"/>
      <w:pPr>
        <w:ind w:left="5018" w:hanging="360"/>
      </w:pPr>
      <w:rPr>
        <w:rFonts w:ascii="Courier New" w:hAnsi="Courier New" w:cs="Courier New" w:hint="default"/>
      </w:rPr>
    </w:lvl>
    <w:lvl w:ilvl="5" w:tplc="04160005" w:tentative="1">
      <w:start w:val="1"/>
      <w:numFmt w:val="bullet"/>
      <w:lvlText w:val=""/>
      <w:lvlJc w:val="left"/>
      <w:pPr>
        <w:ind w:left="5738" w:hanging="360"/>
      </w:pPr>
      <w:rPr>
        <w:rFonts w:ascii="Wingdings" w:hAnsi="Wingdings" w:hint="default"/>
      </w:rPr>
    </w:lvl>
    <w:lvl w:ilvl="6" w:tplc="04160001" w:tentative="1">
      <w:start w:val="1"/>
      <w:numFmt w:val="bullet"/>
      <w:lvlText w:val=""/>
      <w:lvlJc w:val="left"/>
      <w:pPr>
        <w:ind w:left="6458" w:hanging="360"/>
      </w:pPr>
      <w:rPr>
        <w:rFonts w:ascii="Symbol" w:hAnsi="Symbol" w:hint="default"/>
      </w:rPr>
    </w:lvl>
    <w:lvl w:ilvl="7" w:tplc="04160003" w:tentative="1">
      <w:start w:val="1"/>
      <w:numFmt w:val="bullet"/>
      <w:lvlText w:val="o"/>
      <w:lvlJc w:val="left"/>
      <w:pPr>
        <w:ind w:left="7178" w:hanging="360"/>
      </w:pPr>
      <w:rPr>
        <w:rFonts w:ascii="Courier New" w:hAnsi="Courier New" w:cs="Courier New" w:hint="default"/>
      </w:rPr>
    </w:lvl>
    <w:lvl w:ilvl="8" w:tplc="04160005" w:tentative="1">
      <w:start w:val="1"/>
      <w:numFmt w:val="bullet"/>
      <w:lvlText w:val=""/>
      <w:lvlJc w:val="left"/>
      <w:pPr>
        <w:ind w:left="7898" w:hanging="360"/>
      </w:pPr>
      <w:rPr>
        <w:rFonts w:ascii="Wingdings" w:hAnsi="Wingdings" w:hint="default"/>
      </w:rPr>
    </w:lvl>
  </w:abstractNum>
  <w:abstractNum w:abstractNumId="330">
    <w:nsid w:val="4E985887"/>
    <w:multiLevelType w:val="hybridMultilevel"/>
    <w:tmpl w:val="D1A07E60"/>
    <w:lvl w:ilvl="0" w:tplc="0416000D">
      <w:start w:val="1"/>
      <w:numFmt w:val="bullet"/>
      <w:lvlText w:val="•"/>
      <w:lvlJc w:val="left"/>
      <w:pPr>
        <w:tabs>
          <w:tab w:val="num" w:pos="1776"/>
        </w:tabs>
        <w:ind w:left="1776" w:hanging="360"/>
      </w:pPr>
      <w:rPr>
        <w:rFonts w:ascii="Arial" w:hAnsi="Arial" w:cs="Times New Roman"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331">
    <w:nsid w:val="4EDA387B"/>
    <w:multiLevelType w:val="hybridMultilevel"/>
    <w:tmpl w:val="1F463DC2"/>
    <w:lvl w:ilvl="0" w:tplc="04160001">
      <w:start w:val="1"/>
      <w:numFmt w:val="bullet"/>
      <w:lvlText w:val=""/>
      <w:lvlJc w:val="left"/>
      <w:pPr>
        <w:tabs>
          <w:tab w:val="num" w:pos="284"/>
        </w:tabs>
        <w:ind w:left="567" w:hanging="283"/>
      </w:pPr>
      <w:rPr>
        <w:rFonts w:ascii="Wingdings" w:hAnsi="Wingdings" w:hint="default"/>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332">
    <w:nsid w:val="4F194375"/>
    <w:multiLevelType w:val="hybridMultilevel"/>
    <w:tmpl w:val="26528E3E"/>
    <w:lvl w:ilvl="0" w:tplc="046886DA">
      <w:start w:val="1"/>
      <w:numFmt w:val="bullet"/>
      <w:lvlText w:val=""/>
      <w:lvlJc w:val="left"/>
      <w:pPr>
        <w:tabs>
          <w:tab w:val="num" w:pos="720"/>
        </w:tabs>
        <w:ind w:left="720" w:hanging="360"/>
      </w:pPr>
      <w:rPr>
        <w:rFonts w:ascii="Wingdings" w:hAnsi="Wingdings" w:hint="default"/>
      </w:rPr>
    </w:lvl>
    <w:lvl w:ilvl="1" w:tplc="B7E4460A" w:tentative="1">
      <w:start w:val="1"/>
      <w:numFmt w:val="bullet"/>
      <w:lvlText w:val="o"/>
      <w:lvlJc w:val="left"/>
      <w:pPr>
        <w:tabs>
          <w:tab w:val="num" w:pos="1440"/>
        </w:tabs>
        <w:ind w:left="1440" w:hanging="360"/>
      </w:pPr>
      <w:rPr>
        <w:rFonts w:ascii="Courier New" w:hAnsi="Courier New" w:cs="Courier New" w:hint="default"/>
      </w:rPr>
    </w:lvl>
    <w:lvl w:ilvl="2" w:tplc="60A631CC" w:tentative="1">
      <w:start w:val="1"/>
      <w:numFmt w:val="bullet"/>
      <w:lvlText w:val=""/>
      <w:lvlJc w:val="left"/>
      <w:pPr>
        <w:tabs>
          <w:tab w:val="num" w:pos="2160"/>
        </w:tabs>
        <w:ind w:left="2160" w:hanging="360"/>
      </w:pPr>
      <w:rPr>
        <w:rFonts w:ascii="Wingdings" w:hAnsi="Wingdings" w:hint="default"/>
      </w:rPr>
    </w:lvl>
    <w:lvl w:ilvl="3" w:tplc="AD7A94D6" w:tentative="1">
      <w:start w:val="1"/>
      <w:numFmt w:val="bullet"/>
      <w:lvlText w:val=""/>
      <w:lvlJc w:val="left"/>
      <w:pPr>
        <w:tabs>
          <w:tab w:val="num" w:pos="2880"/>
        </w:tabs>
        <w:ind w:left="2880" w:hanging="360"/>
      </w:pPr>
      <w:rPr>
        <w:rFonts w:ascii="Symbol" w:hAnsi="Symbol" w:hint="default"/>
      </w:rPr>
    </w:lvl>
    <w:lvl w:ilvl="4" w:tplc="3ED860DE" w:tentative="1">
      <w:start w:val="1"/>
      <w:numFmt w:val="bullet"/>
      <w:lvlText w:val="o"/>
      <w:lvlJc w:val="left"/>
      <w:pPr>
        <w:tabs>
          <w:tab w:val="num" w:pos="3600"/>
        </w:tabs>
        <w:ind w:left="3600" w:hanging="360"/>
      </w:pPr>
      <w:rPr>
        <w:rFonts w:ascii="Courier New" w:hAnsi="Courier New" w:cs="Courier New" w:hint="default"/>
      </w:rPr>
    </w:lvl>
    <w:lvl w:ilvl="5" w:tplc="9CA60580" w:tentative="1">
      <w:start w:val="1"/>
      <w:numFmt w:val="bullet"/>
      <w:lvlText w:val=""/>
      <w:lvlJc w:val="left"/>
      <w:pPr>
        <w:tabs>
          <w:tab w:val="num" w:pos="4320"/>
        </w:tabs>
        <w:ind w:left="4320" w:hanging="360"/>
      </w:pPr>
      <w:rPr>
        <w:rFonts w:ascii="Wingdings" w:hAnsi="Wingdings" w:hint="default"/>
      </w:rPr>
    </w:lvl>
    <w:lvl w:ilvl="6" w:tplc="4590FA8E" w:tentative="1">
      <w:start w:val="1"/>
      <w:numFmt w:val="bullet"/>
      <w:lvlText w:val=""/>
      <w:lvlJc w:val="left"/>
      <w:pPr>
        <w:tabs>
          <w:tab w:val="num" w:pos="5040"/>
        </w:tabs>
        <w:ind w:left="5040" w:hanging="360"/>
      </w:pPr>
      <w:rPr>
        <w:rFonts w:ascii="Symbol" w:hAnsi="Symbol" w:hint="default"/>
      </w:rPr>
    </w:lvl>
    <w:lvl w:ilvl="7" w:tplc="B5A05832" w:tentative="1">
      <w:start w:val="1"/>
      <w:numFmt w:val="bullet"/>
      <w:lvlText w:val="o"/>
      <w:lvlJc w:val="left"/>
      <w:pPr>
        <w:tabs>
          <w:tab w:val="num" w:pos="5760"/>
        </w:tabs>
        <w:ind w:left="5760" w:hanging="360"/>
      </w:pPr>
      <w:rPr>
        <w:rFonts w:ascii="Courier New" w:hAnsi="Courier New" w:cs="Courier New" w:hint="default"/>
      </w:rPr>
    </w:lvl>
    <w:lvl w:ilvl="8" w:tplc="D360BBD8" w:tentative="1">
      <w:start w:val="1"/>
      <w:numFmt w:val="bullet"/>
      <w:lvlText w:val=""/>
      <w:lvlJc w:val="left"/>
      <w:pPr>
        <w:tabs>
          <w:tab w:val="num" w:pos="6480"/>
        </w:tabs>
        <w:ind w:left="6480" w:hanging="360"/>
      </w:pPr>
      <w:rPr>
        <w:rFonts w:ascii="Wingdings" w:hAnsi="Wingdings" w:hint="default"/>
      </w:rPr>
    </w:lvl>
  </w:abstractNum>
  <w:abstractNum w:abstractNumId="333">
    <w:nsid w:val="4F246C33"/>
    <w:multiLevelType w:val="multilevel"/>
    <w:tmpl w:val="5DC4BF30"/>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4">
    <w:nsid w:val="4F6B1385"/>
    <w:multiLevelType w:val="hybridMultilevel"/>
    <w:tmpl w:val="D81C6452"/>
    <w:lvl w:ilvl="0" w:tplc="E390C076">
      <w:start w:val="1"/>
      <w:numFmt w:val="bullet"/>
      <w:lvlText w:val=""/>
      <w:lvlJc w:val="left"/>
      <w:pPr>
        <w:ind w:left="720" w:hanging="360"/>
      </w:pPr>
      <w:rPr>
        <w:rFonts w:ascii="Symbol" w:hAnsi="Symbol" w:hint="default"/>
      </w:rPr>
    </w:lvl>
    <w:lvl w:ilvl="1" w:tplc="EC7AC028">
      <w:start w:val="1"/>
      <w:numFmt w:val="bullet"/>
      <w:lvlText w:val=""/>
      <w:lvlJc w:val="left"/>
      <w:pPr>
        <w:ind w:left="1440" w:hanging="360"/>
      </w:pPr>
      <w:rPr>
        <w:rFonts w:ascii="Symbol" w:hAnsi="Symbol" w:hint="default"/>
      </w:rPr>
    </w:lvl>
    <w:lvl w:ilvl="2" w:tplc="6D04B0DA" w:tentative="1">
      <w:start w:val="1"/>
      <w:numFmt w:val="bullet"/>
      <w:lvlText w:val=""/>
      <w:lvlJc w:val="left"/>
      <w:pPr>
        <w:ind w:left="2160" w:hanging="360"/>
      </w:pPr>
      <w:rPr>
        <w:rFonts w:ascii="Wingdings" w:hAnsi="Wingdings" w:hint="default"/>
      </w:rPr>
    </w:lvl>
    <w:lvl w:ilvl="3" w:tplc="4DEE0590">
      <w:start w:val="1"/>
      <w:numFmt w:val="bullet"/>
      <w:lvlText w:val=""/>
      <w:lvlJc w:val="left"/>
      <w:pPr>
        <w:ind w:left="2880" w:hanging="360"/>
      </w:pPr>
      <w:rPr>
        <w:rFonts w:ascii="Symbol" w:hAnsi="Symbol" w:hint="default"/>
      </w:rPr>
    </w:lvl>
    <w:lvl w:ilvl="4" w:tplc="A0C2E066" w:tentative="1">
      <w:start w:val="1"/>
      <w:numFmt w:val="bullet"/>
      <w:lvlText w:val="o"/>
      <w:lvlJc w:val="left"/>
      <w:pPr>
        <w:ind w:left="3600" w:hanging="360"/>
      </w:pPr>
      <w:rPr>
        <w:rFonts w:ascii="Courier New" w:hAnsi="Courier New" w:hint="default"/>
      </w:rPr>
    </w:lvl>
    <w:lvl w:ilvl="5" w:tplc="45B214D2" w:tentative="1">
      <w:start w:val="1"/>
      <w:numFmt w:val="bullet"/>
      <w:lvlText w:val=""/>
      <w:lvlJc w:val="left"/>
      <w:pPr>
        <w:ind w:left="4320" w:hanging="360"/>
      </w:pPr>
      <w:rPr>
        <w:rFonts w:ascii="Wingdings" w:hAnsi="Wingdings" w:hint="default"/>
      </w:rPr>
    </w:lvl>
    <w:lvl w:ilvl="6" w:tplc="1D06C926" w:tentative="1">
      <w:start w:val="1"/>
      <w:numFmt w:val="bullet"/>
      <w:lvlText w:val=""/>
      <w:lvlJc w:val="left"/>
      <w:pPr>
        <w:ind w:left="5040" w:hanging="360"/>
      </w:pPr>
      <w:rPr>
        <w:rFonts w:ascii="Symbol" w:hAnsi="Symbol" w:hint="default"/>
      </w:rPr>
    </w:lvl>
    <w:lvl w:ilvl="7" w:tplc="47028A8A" w:tentative="1">
      <w:start w:val="1"/>
      <w:numFmt w:val="bullet"/>
      <w:lvlText w:val="o"/>
      <w:lvlJc w:val="left"/>
      <w:pPr>
        <w:ind w:left="5760" w:hanging="360"/>
      </w:pPr>
      <w:rPr>
        <w:rFonts w:ascii="Courier New" w:hAnsi="Courier New" w:hint="default"/>
      </w:rPr>
    </w:lvl>
    <w:lvl w:ilvl="8" w:tplc="63AE7DC4" w:tentative="1">
      <w:start w:val="1"/>
      <w:numFmt w:val="bullet"/>
      <w:lvlText w:val=""/>
      <w:lvlJc w:val="left"/>
      <w:pPr>
        <w:ind w:left="6480" w:hanging="360"/>
      </w:pPr>
      <w:rPr>
        <w:rFonts w:ascii="Wingdings" w:hAnsi="Wingdings" w:hint="default"/>
      </w:rPr>
    </w:lvl>
  </w:abstractNum>
  <w:abstractNum w:abstractNumId="335">
    <w:nsid w:val="4F971D7C"/>
    <w:multiLevelType w:val="hybridMultilevel"/>
    <w:tmpl w:val="E618DF24"/>
    <w:lvl w:ilvl="0" w:tplc="906014CA">
      <w:start w:val="1"/>
      <w:numFmt w:val="bullet"/>
      <w:lvlText w:val=""/>
      <w:lvlJc w:val="left"/>
      <w:pPr>
        <w:ind w:left="1429" w:hanging="720"/>
      </w:pPr>
      <w:rPr>
        <w:rFonts w:ascii="Symbol" w:hAnsi="Symbol" w:hint="default"/>
      </w:rPr>
    </w:lvl>
    <w:lvl w:ilvl="1" w:tplc="04160003" w:tentative="1">
      <w:start w:val="1"/>
      <w:numFmt w:val="lowerLetter"/>
      <w:lvlText w:val="%2."/>
      <w:lvlJc w:val="left"/>
      <w:pPr>
        <w:ind w:left="1789" w:hanging="360"/>
      </w:pPr>
    </w:lvl>
    <w:lvl w:ilvl="2" w:tplc="04160005" w:tentative="1">
      <w:start w:val="1"/>
      <w:numFmt w:val="lowerRoman"/>
      <w:lvlText w:val="%3."/>
      <w:lvlJc w:val="right"/>
      <w:pPr>
        <w:ind w:left="2509" w:hanging="180"/>
      </w:pPr>
    </w:lvl>
    <w:lvl w:ilvl="3" w:tplc="04160001" w:tentative="1">
      <w:start w:val="1"/>
      <w:numFmt w:val="decimal"/>
      <w:lvlText w:val="%4."/>
      <w:lvlJc w:val="left"/>
      <w:pPr>
        <w:ind w:left="3229" w:hanging="360"/>
      </w:pPr>
    </w:lvl>
    <w:lvl w:ilvl="4" w:tplc="04160003" w:tentative="1">
      <w:start w:val="1"/>
      <w:numFmt w:val="lowerLetter"/>
      <w:lvlText w:val="%5."/>
      <w:lvlJc w:val="left"/>
      <w:pPr>
        <w:ind w:left="3949" w:hanging="360"/>
      </w:pPr>
    </w:lvl>
    <w:lvl w:ilvl="5" w:tplc="04160005" w:tentative="1">
      <w:start w:val="1"/>
      <w:numFmt w:val="lowerRoman"/>
      <w:lvlText w:val="%6."/>
      <w:lvlJc w:val="right"/>
      <w:pPr>
        <w:ind w:left="4669" w:hanging="180"/>
      </w:pPr>
    </w:lvl>
    <w:lvl w:ilvl="6" w:tplc="04160001" w:tentative="1">
      <w:start w:val="1"/>
      <w:numFmt w:val="decimal"/>
      <w:lvlText w:val="%7."/>
      <w:lvlJc w:val="left"/>
      <w:pPr>
        <w:ind w:left="5389" w:hanging="360"/>
      </w:pPr>
    </w:lvl>
    <w:lvl w:ilvl="7" w:tplc="04160003" w:tentative="1">
      <w:start w:val="1"/>
      <w:numFmt w:val="lowerLetter"/>
      <w:lvlText w:val="%8."/>
      <w:lvlJc w:val="left"/>
      <w:pPr>
        <w:ind w:left="6109" w:hanging="360"/>
      </w:pPr>
    </w:lvl>
    <w:lvl w:ilvl="8" w:tplc="04160005" w:tentative="1">
      <w:start w:val="1"/>
      <w:numFmt w:val="lowerRoman"/>
      <w:lvlText w:val="%9."/>
      <w:lvlJc w:val="right"/>
      <w:pPr>
        <w:ind w:left="6829" w:hanging="180"/>
      </w:pPr>
    </w:lvl>
  </w:abstractNum>
  <w:abstractNum w:abstractNumId="336">
    <w:nsid w:val="4FB10533"/>
    <w:multiLevelType w:val="hybridMultilevel"/>
    <w:tmpl w:val="325688C2"/>
    <w:lvl w:ilvl="0" w:tplc="04160001">
      <w:start w:val="1"/>
      <w:numFmt w:val="bullet"/>
      <w:lvlText w:val=""/>
      <w:lvlJc w:val="left"/>
      <w:pPr>
        <w:ind w:left="1854" w:hanging="360"/>
      </w:pPr>
      <w:rPr>
        <w:rFonts w:ascii="Wingdings" w:hAnsi="Wingdings" w:hint="default"/>
      </w:rPr>
    </w:lvl>
    <w:lvl w:ilvl="1" w:tplc="04160001"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37">
    <w:nsid w:val="4FB81D45"/>
    <w:multiLevelType w:val="hybridMultilevel"/>
    <w:tmpl w:val="0D0A9E00"/>
    <w:lvl w:ilvl="0" w:tplc="0416000D">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38">
    <w:nsid w:val="4FDE4915"/>
    <w:multiLevelType w:val="hybridMultilevel"/>
    <w:tmpl w:val="EEF0083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9">
    <w:nsid w:val="500F0B07"/>
    <w:multiLevelType w:val="hybridMultilevel"/>
    <w:tmpl w:val="6AD036C6"/>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40">
    <w:nsid w:val="504B2572"/>
    <w:multiLevelType w:val="hybridMultilevel"/>
    <w:tmpl w:val="BAC6F49A"/>
    <w:lvl w:ilvl="0" w:tplc="04160001">
      <w:start w:val="1"/>
      <w:numFmt w:val="bullet"/>
      <w:lvlText w:val=""/>
      <w:lvlJc w:val="left"/>
      <w:pPr>
        <w:ind w:left="2211" w:hanging="360"/>
      </w:pPr>
      <w:rPr>
        <w:rFonts w:ascii="Symbol" w:hAnsi="Symbol" w:hint="default"/>
      </w:rPr>
    </w:lvl>
    <w:lvl w:ilvl="1" w:tplc="04160003" w:tentative="1">
      <w:start w:val="1"/>
      <w:numFmt w:val="bullet"/>
      <w:lvlText w:val="o"/>
      <w:lvlJc w:val="left"/>
      <w:pPr>
        <w:ind w:left="2931" w:hanging="360"/>
      </w:pPr>
      <w:rPr>
        <w:rFonts w:ascii="Courier New" w:hAnsi="Courier New" w:cs="Courier New" w:hint="default"/>
      </w:rPr>
    </w:lvl>
    <w:lvl w:ilvl="2" w:tplc="04160005" w:tentative="1">
      <w:start w:val="1"/>
      <w:numFmt w:val="bullet"/>
      <w:lvlText w:val=""/>
      <w:lvlJc w:val="left"/>
      <w:pPr>
        <w:ind w:left="3651" w:hanging="360"/>
      </w:pPr>
      <w:rPr>
        <w:rFonts w:ascii="Wingdings" w:hAnsi="Wingdings" w:hint="default"/>
      </w:rPr>
    </w:lvl>
    <w:lvl w:ilvl="3" w:tplc="04160001" w:tentative="1">
      <w:start w:val="1"/>
      <w:numFmt w:val="bullet"/>
      <w:lvlText w:val=""/>
      <w:lvlJc w:val="left"/>
      <w:pPr>
        <w:ind w:left="4371" w:hanging="360"/>
      </w:pPr>
      <w:rPr>
        <w:rFonts w:ascii="Symbol" w:hAnsi="Symbol" w:hint="default"/>
      </w:rPr>
    </w:lvl>
    <w:lvl w:ilvl="4" w:tplc="04160003" w:tentative="1">
      <w:start w:val="1"/>
      <w:numFmt w:val="bullet"/>
      <w:lvlText w:val="o"/>
      <w:lvlJc w:val="left"/>
      <w:pPr>
        <w:ind w:left="5091" w:hanging="360"/>
      </w:pPr>
      <w:rPr>
        <w:rFonts w:ascii="Courier New" w:hAnsi="Courier New" w:cs="Courier New" w:hint="default"/>
      </w:rPr>
    </w:lvl>
    <w:lvl w:ilvl="5" w:tplc="04160005" w:tentative="1">
      <w:start w:val="1"/>
      <w:numFmt w:val="bullet"/>
      <w:lvlText w:val=""/>
      <w:lvlJc w:val="left"/>
      <w:pPr>
        <w:ind w:left="5811" w:hanging="360"/>
      </w:pPr>
      <w:rPr>
        <w:rFonts w:ascii="Wingdings" w:hAnsi="Wingdings" w:hint="default"/>
      </w:rPr>
    </w:lvl>
    <w:lvl w:ilvl="6" w:tplc="04160001" w:tentative="1">
      <w:start w:val="1"/>
      <w:numFmt w:val="bullet"/>
      <w:lvlText w:val=""/>
      <w:lvlJc w:val="left"/>
      <w:pPr>
        <w:ind w:left="6531" w:hanging="360"/>
      </w:pPr>
      <w:rPr>
        <w:rFonts w:ascii="Symbol" w:hAnsi="Symbol" w:hint="default"/>
      </w:rPr>
    </w:lvl>
    <w:lvl w:ilvl="7" w:tplc="04160003" w:tentative="1">
      <w:start w:val="1"/>
      <w:numFmt w:val="bullet"/>
      <w:lvlText w:val="o"/>
      <w:lvlJc w:val="left"/>
      <w:pPr>
        <w:ind w:left="7251" w:hanging="360"/>
      </w:pPr>
      <w:rPr>
        <w:rFonts w:ascii="Courier New" w:hAnsi="Courier New" w:cs="Courier New" w:hint="default"/>
      </w:rPr>
    </w:lvl>
    <w:lvl w:ilvl="8" w:tplc="04160005" w:tentative="1">
      <w:start w:val="1"/>
      <w:numFmt w:val="bullet"/>
      <w:lvlText w:val=""/>
      <w:lvlJc w:val="left"/>
      <w:pPr>
        <w:ind w:left="7971" w:hanging="360"/>
      </w:pPr>
      <w:rPr>
        <w:rFonts w:ascii="Wingdings" w:hAnsi="Wingdings" w:hint="default"/>
      </w:rPr>
    </w:lvl>
  </w:abstractNum>
  <w:abstractNum w:abstractNumId="341">
    <w:nsid w:val="50BA2D71"/>
    <w:multiLevelType w:val="hybridMultilevel"/>
    <w:tmpl w:val="042A0B58"/>
    <w:lvl w:ilvl="0" w:tplc="04160001">
      <w:start w:val="4"/>
      <w:numFmt w:val="bullet"/>
      <w:lvlText w:val=""/>
      <w:lvlJc w:val="left"/>
      <w:pPr>
        <w:tabs>
          <w:tab w:val="num" w:pos="720"/>
        </w:tabs>
        <w:ind w:left="720" w:hanging="360"/>
      </w:pPr>
      <w:rPr>
        <w:rFonts w:ascii="Wingdings" w:eastAsia="Times New Roman" w:hAnsi="Wingdings" w:cs="Times New Roman"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42">
    <w:nsid w:val="51161262"/>
    <w:multiLevelType w:val="hybridMultilevel"/>
    <w:tmpl w:val="01C2ED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3">
    <w:nsid w:val="51590BF5"/>
    <w:multiLevelType w:val="hybridMultilevel"/>
    <w:tmpl w:val="87148948"/>
    <w:lvl w:ilvl="0" w:tplc="C6600DD0">
      <w:start w:val="1"/>
      <w:numFmt w:val="upperLetter"/>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44">
    <w:nsid w:val="51DB7FB0"/>
    <w:multiLevelType w:val="hybridMultilevel"/>
    <w:tmpl w:val="B750017A"/>
    <w:lvl w:ilvl="0" w:tplc="3760E450">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45">
    <w:nsid w:val="52BD65FD"/>
    <w:multiLevelType w:val="hybridMultilevel"/>
    <w:tmpl w:val="E056E304"/>
    <w:lvl w:ilvl="0" w:tplc="90BACF8A">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46">
    <w:nsid w:val="52F82A03"/>
    <w:multiLevelType w:val="hybridMultilevel"/>
    <w:tmpl w:val="FA98204A"/>
    <w:lvl w:ilvl="0" w:tplc="0416000D">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7">
    <w:nsid w:val="53094F5C"/>
    <w:multiLevelType w:val="hybridMultilevel"/>
    <w:tmpl w:val="A690623E"/>
    <w:lvl w:ilvl="0" w:tplc="C6600DD0">
      <w:start w:val="1"/>
      <w:numFmt w:val="upperRoman"/>
      <w:lvlText w:val="%1."/>
      <w:lvlJc w:val="right"/>
      <w:pPr>
        <w:ind w:left="720" w:hanging="360"/>
      </w:p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48">
    <w:nsid w:val="539A0924"/>
    <w:multiLevelType w:val="hybridMultilevel"/>
    <w:tmpl w:val="AD7E3CB6"/>
    <w:lvl w:ilvl="0" w:tplc="04160013">
      <w:start w:val="1"/>
      <w:numFmt w:val="decimal"/>
      <w:pStyle w:val="Quadro"/>
      <w:lvlText w:val="Quadro %1 -"/>
      <w:lvlJc w:val="left"/>
      <w:pPr>
        <w:tabs>
          <w:tab w:val="num" w:pos="1440"/>
        </w:tabs>
        <w:ind w:left="0" w:firstLine="0"/>
      </w:pPr>
      <w:rPr>
        <w:rFonts w:ascii="Arial" w:hAnsi="Arial" w:hint="default"/>
        <w:b/>
        <w:i w:val="0"/>
        <w:sz w:val="24"/>
      </w:r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349">
    <w:nsid w:val="53BB7D40"/>
    <w:multiLevelType w:val="hybridMultilevel"/>
    <w:tmpl w:val="087CFD0E"/>
    <w:lvl w:ilvl="0" w:tplc="A1ACD860">
      <w:start w:val="1"/>
      <w:numFmt w:val="bullet"/>
      <w:lvlText w:val=""/>
      <w:lvlJc w:val="left"/>
      <w:pPr>
        <w:ind w:left="1637" w:hanging="360"/>
      </w:pPr>
      <w:rPr>
        <w:rFonts w:ascii="Wingdings" w:hAnsi="Wingdings" w:hint="default"/>
      </w:rPr>
    </w:lvl>
    <w:lvl w:ilvl="1" w:tplc="90349416" w:tentative="1">
      <w:start w:val="1"/>
      <w:numFmt w:val="bullet"/>
      <w:lvlText w:val="o"/>
      <w:lvlJc w:val="left"/>
      <w:pPr>
        <w:ind w:left="2291" w:hanging="360"/>
      </w:pPr>
      <w:rPr>
        <w:rFonts w:ascii="Courier New" w:hAnsi="Courier New" w:cs="Courier New" w:hint="default"/>
      </w:rPr>
    </w:lvl>
    <w:lvl w:ilvl="2" w:tplc="94588A54" w:tentative="1">
      <w:start w:val="1"/>
      <w:numFmt w:val="bullet"/>
      <w:lvlText w:val=""/>
      <w:lvlJc w:val="left"/>
      <w:pPr>
        <w:ind w:left="3011" w:hanging="360"/>
      </w:pPr>
      <w:rPr>
        <w:rFonts w:ascii="Wingdings" w:hAnsi="Wingdings" w:hint="default"/>
      </w:rPr>
    </w:lvl>
    <w:lvl w:ilvl="3" w:tplc="286AB97E" w:tentative="1">
      <w:start w:val="1"/>
      <w:numFmt w:val="bullet"/>
      <w:lvlText w:val=""/>
      <w:lvlJc w:val="left"/>
      <w:pPr>
        <w:ind w:left="3731" w:hanging="360"/>
      </w:pPr>
      <w:rPr>
        <w:rFonts w:ascii="Symbol" w:hAnsi="Symbol" w:hint="default"/>
      </w:rPr>
    </w:lvl>
    <w:lvl w:ilvl="4" w:tplc="878A28A0" w:tentative="1">
      <w:start w:val="1"/>
      <w:numFmt w:val="bullet"/>
      <w:lvlText w:val="o"/>
      <w:lvlJc w:val="left"/>
      <w:pPr>
        <w:ind w:left="4451" w:hanging="360"/>
      </w:pPr>
      <w:rPr>
        <w:rFonts w:ascii="Courier New" w:hAnsi="Courier New" w:cs="Courier New" w:hint="default"/>
      </w:rPr>
    </w:lvl>
    <w:lvl w:ilvl="5" w:tplc="C768925E" w:tentative="1">
      <w:start w:val="1"/>
      <w:numFmt w:val="bullet"/>
      <w:lvlText w:val=""/>
      <w:lvlJc w:val="left"/>
      <w:pPr>
        <w:ind w:left="5171" w:hanging="360"/>
      </w:pPr>
      <w:rPr>
        <w:rFonts w:ascii="Wingdings" w:hAnsi="Wingdings" w:hint="default"/>
      </w:rPr>
    </w:lvl>
    <w:lvl w:ilvl="6" w:tplc="BDE4791E" w:tentative="1">
      <w:start w:val="1"/>
      <w:numFmt w:val="bullet"/>
      <w:lvlText w:val=""/>
      <w:lvlJc w:val="left"/>
      <w:pPr>
        <w:ind w:left="5891" w:hanging="360"/>
      </w:pPr>
      <w:rPr>
        <w:rFonts w:ascii="Symbol" w:hAnsi="Symbol" w:hint="default"/>
      </w:rPr>
    </w:lvl>
    <w:lvl w:ilvl="7" w:tplc="F18C3B9E" w:tentative="1">
      <w:start w:val="1"/>
      <w:numFmt w:val="bullet"/>
      <w:lvlText w:val="o"/>
      <w:lvlJc w:val="left"/>
      <w:pPr>
        <w:ind w:left="6611" w:hanging="360"/>
      </w:pPr>
      <w:rPr>
        <w:rFonts w:ascii="Courier New" w:hAnsi="Courier New" w:cs="Courier New" w:hint="default"/>
      </w:rPr>
    </w:lvl>
    <w:lvl w:ilvl="8" w:tplc="8BBAEE34" w:tentative="1">
      <w:start w:val="1"/>
      <w:numFmt w:val="bullet"/>
      <w:lvlText w:val=""/>
      <w:lvlJc w:val="left"/>
      <w:pPr>
        <w:ind w:left="7331" w:hanging="360"/>
      </w:pPr>
      <w:rPr>
        <w:rFonts w:ascii="Wingdings" w:hAnsi="Wingdings" w:hint="default"/>
      </w:rPr>
    </w:lvl>
  </w:abstractNum>
  <w:abstractNum w:abstractNumId="350">
    <w:nsid w:val="546C0157"/>
    <w:multiLevelType w:val="hybridMultilevel"/>
    <w:tmpl w:val="3438CB74"/>
    <w:lvl w:ilvl="0" w:tplc="04160001">
      <w:start w:val="1"/>
      <w:numFmt w:val="bullet"/>
      <w:lvlText w:val="•"/>
      <w:lvlJc w:val="left"/>
      <w:pPr>
        <w:tabs>
          <w:tab w:val="num" w:pos="720"/>
        </w:tabs>
        <w:ind w:left="720" w:hanging="360"/>
      </w:pPr>
      <w:rPr>
        <w:rFonts w:ascii="Arial" w:hAnsi="Arial" w:hint="default"/>
      </w:rPr>
    </w:lvl>
    <w:lvl w:ilvl="1" w:tplc="04160003" w:tentative="1">
      <w:start w:val="1"/>
      <w:numFmt w:val="bullet"/>
      <w:lvlText w:val="•"/>
      <w:lvlJc w:val="left"/>
      <w:pPr>
        <w:tabs>
          <w:tab w:val="num" w:pos="1440"/>
        </w:tabs>
        <w:ind w:left="1440" w:hanging="360"/>
      </w:pPr>
      <w:rPr>
        <w:rFonts w:ascii="Arial" w:hAnsi="Arial" w:hint="default"/>
      </w:rPr>
    </w:lvl>
    <w:lvl w:ilvl="2" w:tplc="04160005" w:tentative="1">
      <w:start w:val="1"/>
      <w:numFmt w:val="bullet"/>
      <w:lvlText w:val="•"/>
      <w:lvlJc w:val="left"/>
      <w:pPr>
        <w:tabs>
          <w:tab w:val="num" w:pos="2160"/>
        </w:tabs>
        <w:ind w:left="2160" w:hanging="360"/>
      </w:pPr>
      <w:rPr>
        <w:rFonts w:ascii="Arial" w:hAnsi="Arial" w:hint="default"/>
      </w:rPr>
    </w:lvl>
    <w:lvl w:ilvl="3" w:tplc="04160001" w:tentative="1">
      <w:start w:val="1"/>
      <w:numFmt w:val="bullet"/>
      <w:lvlText w:val="•"/>
      <w:lvlJc w:val="left"/>
      <w:pPr>
        <w:tabs>
          <w:tab w:val="num" w:pos="2880"/>
        </w:tabs>
        <w:ind w:left="2880" w:hanging="360"/>
      </w:pPr>
      <w:rPr>
        <w:rFonts w:ascii="Arial" w:hAnsi="Arial" w:hint="default"/>
      </w:rPr>
    </w:lvl>
    <w:lvl w:ilvl="4" w:tplc="04160003" w:tentative="1">
      <w:start w:val="1"/>
      <w:numFmt w:val="bullet"/>
      <w:lvlText w:val="•"/>
      <w:lvlJc w:val="left"/>
      <w:pPr>
        <w:tabs>
          <w:tab w:val="num" w:pos="3600"/>
        </w:tabs>
        <w:ind w:left="3600" w:hanging="360"/>
      </w:pPr>
      <w:rPr>
        <w:rFonts w:ascii="Arial" w:hAnsi="Arial" w:hint="default"/>
      </w:rPr>
    </w:lvl>
    <w:lvl w:ilvl="5" w:tplc="04160005" w:tentative="1">
      <w:start w:val="1"/>
      <w:numFmt w:val="bullet"/>
      <w:lvlText w:val="•"/>
      <w:lvlJc w:val="left"/>
      <w:pPr>
        <w:tabs>
          <w:tab w:val="num" w:pos="4320"/>
        </w:tabs>
        <w:ind w:left="4320" w:hanging="360"/>
      </w:pPr>
      <w:rPr>
        <w:rFonts w:ascii="Arial" w:hAnsi="Arial" w:hint="default"/>
      </w:rPr>
    </w:lvl>
    <w:lvl w:ilvl="6" w:tplc="04160001" w:tentative="1">
      <w:start w:val="1"/>
      <w:numFmt w:val="bullet"/>
      <w:lvlText w:val="•"/>
      <w:lvlJc w:val="left"/>
      <w:pPr>
        <w:tabs>
          <w:tab w:val="num" w:pos="5040"/>
        </w:tabs>
        <w:ind w:left="5040" w:hanging="360"/>
      </w:pPr>
      <w:rPr>
        <w:rFonts w:ascii="Arial" w:hAnsi="Arial" w:hint="default"/>
      </w:rPr>
    </w:lvl>
    <w:lvl w:ilvl="7" w:tplc="04160003" w:tentative="1">
      <w:start w:val="1"/>
      <w:numFmt w:val="bullet"/>
      <w:lvlText w:val="•"/>
      <w:lvlJc w:val="left"/>
      <w:pPr>
        <w:tabs>
          <w:tab w:val="num" w:pos="5760"/>
        </w:tabs>
        <w:ind w:left="5760" w:hanging="360"/>
      </w:pPr>
      <w:rPr>
        <w:rFonts w:ascii="Arial" w:hAnsi="Arial" w:hint="default"/>
      </w:rPr>
    </w:lvl>
    <w:lvl w:ilvl="8" w:tplc="04160005" w:tentative="1">
      <w:start w:val="1"/>
      <w:numFmt w:val="bullet"/>
      <w:lvlText w:val="•"/>
      <w:lvlJc w:val="left"/>
      <w:pPr>
        <w:tabs>
          <w:tab w:val="num" w:pos="6480"/>
        </w:tabs>
        <w:ind w:left="6480" w:hanging="360"/>
      </w:pPr>
      <w:rPr>
        <w:rFonts w:ascii="Arial" w:hAnsi="Arial" w:hint="default"/>
      </w:rPr>
    </w:lvl>
  </w:abstractNum>
  <w:abstractNum w:abstractNumId="351">
    <w:nsid w:val="547E3199"/>
    <w:multiLevelType w:val="hybridMultilevel"/>
    <w:tmpl w:val="0BDE8FC8"/>
    <w:lvl w:ilvl="0" w:tplc="04160003">
      <w:start w:val="1"/>
      <w:numFmt w:val="bullet"/>
      <w:lvlText w:val=""/>
      <w:lvlJc w:val="left"/>
      <w:pPr>
        <w:ind w:left="1353"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52">
    <w:nsid w:val="54CA1CFB"/>
    <w:multiLevelType w:val="hybridMultilevel"/>
    <w:tmpl w:val="3C529C84"/>
    <w:lvl w:ilvl="0" w:tplc="0416000B">
      <w:start w:val="1"/>
      <w:numFmt w:val="upperRoman"/>
      <w:lvlText w:val="%1)"/>
      <w:lvlJc w:val="left"/>
      <w:pPr>
        <w:ind w:left="1080" w:hanging="720"/>
      </w:pPr>
      <w:rPr>
        <w:rFonts w:hint="default"/>
        <w:b/>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53">
    <w:nsid w:val="54E64C66"/>
    <w:multiLevelType w:val="hybridMultilevel"/>
    <w:tmpl w:val="B3A8E078"/>
    <w:lvl w:ilvl="0" w:tplc="6CE2865E">
      <w:start w:val="1"/>
      <w:numFmt w:val="bullet"/>
      <w:lvlText w:val=""/>
      <w:lvlJc w:val="left"/>
      <w:pPr>
        <w:ind w:left="1080" w:hanging="72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4">
    <w:nsid w:val="55170F39"/>
    <w:multiLevelType w:val="hybridMultilevel"/>
    <w:tmpl w:val="7E340472"/>
    <w:lvl w:ilvl="0" w:tplc="A5DC58D2">
      <w:start w:val="1"/>
      <w:numFmt w:val="bullet"/>
      <w:lvlText w:val=""/>
      <w:lvlJc w:val="left"/>
      <w:pPr>
        <w:ind w:left="1854" w:hanging="360"/>
      </w:pPr>
      <w:rPr>
        <w:rFonts w:ascii="Wingdings" w:hAnsi="Wingdings" w:hint="default"/>
      </w:rPr>
    </w:lvl>
    <w:lvl w:ilvl="1" w:tplc="D1484262" w:tentative="1">
      <w:start w:val="1"/>
      <w:numFmt w:val="bullet"/>
      <w:lvlText w:val="o"/>
      <w:lvlJc w:val="left"/>
      <w:pPr>
        <w:ind w:left="2574" w:hanging="360"/>
      </w:pPr>
      <w:rPr>
        <w:rFonts w:ascii="Courier New" w:hAnsi="Courier New" w:cs="Courier New" w:hint="default"/>
      </w:rPr>
    </w:lvl>
    <w:lvl w:ilvl="2" w:tplc="04CEAC16" w:tentative="1">
      <w:start w:val="1"/>
      <w:numFmt w:val="bullet"/>
      <w:lvlText w:val=""/>
      <w:lvlJc w:val="left"/>
      <w:pPr>
        <w:ind w:left="3294" w:hanging="360"/>
      </w:pPr>
      <w:rPr>
        <w:rFonts w:ascii="Wingdings" w:hAnsi="Wingdings" w:hint="default"/>
      </w:rPr>
    </w:lvl>
    <w:lvl w:ilvl="3" w:tplc="63622612" w:tentative="1">
      <w:start w:val="1"/>
      <w:numFmt w:val="bullet"/>
      <w:lvlText w:val=""/>
      <w:lvlJc w:val="left"/>
      <w:pPr>
        <w:ind w:left="4014" w:hanging="360"/>
      </w:pPr>
      <w:rPr>
        <w:rFonts w:ascii="Symbol" w:hAnsi="Symbol" w:hint="default"/>
      </w:rPr>
    </w:lvl>
    <w:lvl w:ilvl="4" w:tplc="DEC245E8" w:tentative="1">
      <w:start w:val="1"/>
      <w:numFmt w:val="bullet"/>
      <w:lvlText w:val="o"/>
      <w:lvlJc w:val="left"/>
      <w:pPr>
        <w:ind w:left="4734" w:hanging="360"/>
      </w:pPr>
      <w:rPr>
        <w:rFonts w:ascii="Courier New" w:hAnsi="Courier New" w:cs="Courier New" w:hint="default"/>
      </w:rPr>
    </w:lvl>
    <w:lvl w:ilvl="5" w:tplc="349CA1E6" w:tentative="1">
      <w:start w:val="1"/>
      <w:numFmt w:val="bullet"/>
      <w:lvlText w:val=""/>
      <w:lvlJc w:val="left"/>
      <w:pPr>
        <w:ind w:left="5454" w:hanging="360"/>
      </w:pPr>
      <w:rPr>
        <w:rFonts w:ascii="Wingdings" w:hAnsi="Wingdings" w:hint="default"/>
      </w:rPr>
    </w:lvl>
    <w:lvl w:ilvl="6" w:tplc="834A2D96" w:tentative="1">
      <w:start w:val="1"/>
      <w:numFmt w:val="bullet"/>
      <w:lvlText w:val=""/>
      <w:lvlJc w:val="left"/>
      <w:pPr>
        <w:ind w:left="6174" w:hanging="360"/>
      </w:pPr>
      <w:rPr>
        <w:rFonts w:ascii="Symbol" w:hAnsi="Symbol" w:hint="default"/>
      </w:rPr>
    </w:lvl>
    <w:lvl w:ilvl="7" w:tplc="46383080" w:tentative="1">
      <w:start w:val="1"/>
      <w:numFmt w:val="bullet"/>
      <w:lvlText w:val="o"/>
      <w:lvlJc w:val="left"/>
      <w:pPr>
        <w:ind w:left="6894" w:hanging="360"/>
      </w:pPr>
      <w:rPr>
        <w:rFonts w:ascii="Courier New" w:hAnsi="Courier New" w:cs="Courier New" w:hint="default"/>
      </w:rPr>
    </w:lvl>
    <w:lvl w:ilvl="8" w:tplc="20688714" w:tentative="1">
      <w:start w:val="1"/>
      <w:numFmt w:val="bullet"/>
      <w:lvlText w:val=""/>
      <w:lvlJc w:val="left"/>
      <w:pPr>
        <w:ind w:left="7614" w:hanging="360"/>
      </w:pPr>
      <w:rPr>
        <w:rFonts w:ascii="Wingdings" w:hAnsi="Wingdings" w:hint="default"/>
      </w:rPr>
    </w:lvl>
  </w:abstractNum>
  <w:abstractNum w:abstractNumId="355">
    <w:nsid w:val="551B3ABA"/>
    <w:multiLevelType w:val="hybridMultilevel"/>
    <w:tmpl w:val="54BAB592"/>
    <w:lvl w:ilvl="0" w:tplc="0416000D">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6">
    <w:nsid w:val="55753377"/>
    <w:multiLevelType w:val="hybridMultilevel"/>
    <w:tmpl w:val="65FE3158"/>
    <w:lvl w:ilvl="0" w:tplc="04160001">
      <w:start w:val="1"/>
      <w:numFmt w:val="bullet"/>
      <w:lvlText w:val="•"/>
      <w:lvlJc w:val="left"/>
      <w:pPr>
        <w:ind w:left="1080" w:hanging="360"/>
      </w:pPr>
      <w:rPr>
        <w:rFonts w:ascii="Times New Roman" w:hAnsi="Times New Roman"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57">
    <w:nsid w:val="57A653E5"/>
    <w:multiLevelType w:val="hybridMultilevel"/>
    <w:tmpl w:val="818A1A20"/>
    <w:lvl w:ilvl="0" w:tplc="04160001">
      <w:start w:val="1"/>
      <w:numFmt w:val="decimal"/>
      <w:lvlText w:val="%1."/>
      <w:lvlJc w:val="left"/>
      <w:pPr>
        <w:tabs>
          <w:tab w:val="num" w:pos="720"/>
        </w:tabs>
        <w:ind w:left="720" w:hanging="360"/>
      </w:p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358">
    <w:nsid w:val="57EB1BBE"/>
    <w:multiLevelType w:val="hybridMultilevel"/>
    <w:tmpl w:val="DE06467A"/>
    <w:lvl w:ilvl="0" w:tplc="04160001">
      <w:start w:val="1"/>
      <w:numFmt w:val="bullet"/>
      <w:lvlText w:val="●"/>
      <w:lvlJc w:val="left"/>
      <w:pPr>
        <w:tabs>
          <w:tab w:val="num" w:pos="720"/>
        </w:tabs>
        <w:ind w:left="720" w:hanging="360"/>
      </w:pPr>
      <w:rPr>
        <w:rFonts w:ascii="StarSymbol" w:hAnsi="StarSymbol" w:hint="default"/>
      </w:rPr>
    </w:lvl>
    <w:lvl w:ilvl="1" w:tplc="04160019" w:tentative="1">
      <w:start w:val="1"/>
      <w:numFmt w:val="bullet"/>
      <w:lvlText w:val="●"/>
      <w:lvlJc w:val="left"/>
      <w:pPr>
        <w:tabs>
          <w:tab w:val="num" w:pos="1440"/>
        </w:tabs>
        <w:ind w:left="1440" w:hanging="360"/>
      </w:pPr>
      <w:rPr>
        <w:rFonts w:ascii="StarSymbol" w:hAnsi="StarSymbol" w:hint="default"/>
      </w:rPr>
    </w:lvl>
    <w:lvl w:ilvl="2" w:tplc="0416001B" w:tentative="1">
      <w:start w:val="1"/>
      <w:numFmt w:val="bullet"/>
      <w:lvlText w:val="●"/>
      <w:lvlJc w:val="left"/>
      <w:pPr>
        <w:tabs>
          <w:tab w:val="num" w:pos="2160"/>
        </w:tabs>
        <w:ind w:left="2160" w:hanging="360"/>
      </w:pPr>
      <w:rPr>
        <w:rFonts w:ascii="StarSymbol" w:hAnsi="StarSymbol" w:hint="default"/>
      </w:rPr>
    </w:lvl>
    <w:lvl w:ilvl="3" w:tplc="0416000F" w:tentative="1">
      <w:start w:val="1"/>
      <w:numFmt w:val="bullet"/>
      <w:lvlText w:val="●"/>
      <w:lvlJc w:val="left"/>
      <w:pPr>
        <w:tabs>
          <w:tab w:val="num" w:pos="2880"/>
        </w:tabs>
        <w:ind w:left="2880" w:hanging="360"/>
      </w:pPr>
      <w:rPr>
        <w:rFonts w:ascii="StarSymbol" w:hAnsi="StarSymbol" w:hint="default"/>
      </w:rPr>
    </w:lvl>
    <w:lvl w:ilvl="4" w:tplc="04160019" w:tentative="1">
      <w:start w:val="1"/>
      <w:numFmt w:val="bullet"/>
      <w:lvlText w:val="●"/>
      <w:lvlJc w:val="left"/>
      <w:pPr>
        <w:tabs>
          <w:tab w:val="num" w:pos="3600"/>
        </w:tabs>
        <w:ind w:left="3600" w:hanging="360"/>
      </w:pPr>
      <w:rPr>
        <w:rFonts w:ascii="StarSymbol" w:hAnsi="StarSymbol" w:hint="default"/>
      </w:rPr>
    </w:lvl>
    <w:lvl w:ilvl="5" w:tplc="0416001B" w:tentative="1">
      <w:start w:val="1"/>
      <w:numFmt w:val="bullet"/>
      <w:lvlText w:val="●"/>
      <w:lvlJc w:val="left"/>
      <w:pPr>
        <w:tabs>
          <w:tab w:val="num" w:pos="4320"/>
        </w:tabs>
        <w:ind w:left="4320" w:hanging="360"/>
      </w:pPr>
      <w:rPr>
        <w:rFonts w:ascii="StarSymbol" w:hAnsi="StarSymbol" w:hint="default"/>
      </w:rPr>
    </w:lvl>
    <w:lvl w:ilvl="6" w:tplc="0416000F" w:tentative="1">
      <w:start w:val="1"/>
      <w:numFmt w:val="bullet"/>
      <w:lvlText w:val="●"/>
      <w:lvlJc w:val="left"/>
      <w:pPr>
        <w:tabs>
          <w:tab w:val="num" w:pos="5040"/>
        </w:tabs>
        <w:ind w:left="5040" w:hanging="360"/>
      </w:pPr>
      <w:rPr>
        <w:rFonts w:ascii="StarSymbol" w:hAnsi="StarSymbol" w:hint="default"/>
      </w:rPr>
    </w:lvl>
    <w:lvl w:ilvl="7" w:tplc="04160019" w:tentative="1">
      <w:start w:val="1"/>
      <w:numFmt w:val="bullet"/>
      <w:lvlText w:val="●"/>
      <w:lvlJc w:val="left"/>
      <w:pPr>
        <w:tabs>
          <w:tab w:val="num" w:pos="5760"/>
        </w:tabs>
        <w:ind w:left="5760" w:hanging="360"/>
      </w:pPr>
      <w:rPr>
        <w:rFonts w:ascii="StarSymbol" w:hAnsi="StarSymbol" w:hint="default"/>
      </w:rPr>
    </w:lvl>
    <w:lvl w:ilvl="8" w:tplc="0416001B" w:tentative="1">
      <w:start w:val="1"/>
      <w:numFmt w:val="bullet"/>
      <w:lvlText w:val="●"/>
      <w:lvlJc w:val="left"/>
      <w:pPr>
        <w:tabs>
          <w:tab w:val="num" w:pos="6480"/>
        </w:tabs>
        <w:ind w:left="6480" w:hanging="360"/>
      </w:pPr>
      <w:rPr>
        <w:rFonts w:ascii="StarSymbol" w:hAnsi="StarSymbol" w:hint="default"/>
      </w:rPr>
    </w:lvl>
  </w:abstractNum>
  <w:abstractNum w:abstractNumId="359">
    <w:nsid w:val="57FE6A29"/>
    <w:multiLevelType w:val="hybridMultilevel"/>
    <w:tmpl w:val="F6E2E4E2"/>
    <w:lvl w:ilvl="0" w:tplc="3A5ADAA6">
      <w:start w:val="1"/>
      <w:numFmt w:val="bullet"/>
      <w:lvlText w:val=""/>
      <w:lvlJc w:val="left"/>
      <w:pPr>
        <w:tabs>
          <w:tab w:val="num" w:pos="720"/>
        </w:tabs>
        <w:ind w:left="720" w:hanging="360"/>
      </w:pPr>
      <w:rPr>
        <w:rFonts w:ascii="Symbol" w:hAnsi="Symbol" w:hint="default"/>
      </w:rPr>
    </w:lvl>
    <w:lvl w:ilvl="1" w:tplc="94D421AE" w:tentative="1">
      <w:start w:val="1"/>
      <w:numFmt w:val="bullet"/>
      <w:lvlText w:val="o"/>
      <w:lvlJc w:val="left"/>
      <w:pPr>
        <w:tabs>
          <w:tab w:val="num" w:pos="1440"/>
        </w:tabs>
        <w:ind w:left="1440" w:hanging="360"/>
      </w:pPr>
      <w:rPr>
        <w:rFonts w:ascii="Courier New" w:hAnsi="Courier New" w:cs="Courier New" w:hint="default"/>
      </w:rPr>
    </w:lvl>
    <w:lvl w:ilvl="2" w:tplc="6004CC86" w:tentative="1">
      <w:start w:val="1"/>
      <w:numFmt w:val="bullet"/>
      <w:lvlText w:val=""/>
      <w:lvlJc w:val="left"/>
      <w:pPr>
        <w:tabs>
          <w:tab w:val="num" w:pos="2160"/>
        </w:tabs>
        <w:ind w:left="2160" w:hanging="360"/>
      </w:pPr>
      <w:rPr>
        <w:rFonts w:ascii="Wingdings" w:hAnsi="Wingdings" w:hint="default"/>
      </w:rPr>
    </w:lvl>
    <w:lvl w:ilvl="3" w:tplc="DE921778" w:tentative="1">
      <w:start w:val="1"/>
      <w:numFmt w:val="bullet"/>
      <w:lvlText w:val=""/>
      <w:lvlJc w:val="left"/>
      <w:pPr>
        <w:tabs>
          <w:tab w:val="num" w:pos="2880"/>
        </w:tabs>
        <w:ind w:left="2880" w:hanging="360"/>
      </w:pPr>
      <w:rPr>
        <w:rFonts w:ascii="Symbol" w:hAnsi="Symbol" w:hint="default"/>
      </w:rPr>
    </w:lvl>
    <w:lvl w:ilvl="4" w:tplc="C7BC1336" w:tentative="1">
      <w:start w:val="1"/>
      <w:numFmt w:val="bullet"/>
      <w:lvlText w:val="o"/>
      <w:lvlJc w:val="left"/>
      <w:pPr>
        <w:tabs>
          <w:tab w:val="num" w:pos="3600"/>
        </w:tabs>
        <w:ind w:left="3600" w:hanging="360"/>
      </w:pPr>
      <w:rPr>
        <w:rFonts w:ascii="Courier New" w:hAnsi="Courier New" w:cs="Courier New" w:hint="default"/>
      </w:rPr>
    </w:lvl>
    <w:lvl w:ilvl="5" w:tplc="593A755E" w:tentative="1">
      <w:start w:val="1"/>
      <w:numFmt w:val="bullet"/>
      <w:lvlText w:val=""/>
      <w:lvlJc w:val="left"/>
      <w:pPr>
        <w:tabs>
          <w:tab w:val="num" w:pos="4320"/>
        </w:tabs>
        <w:ind w:left="4320" w:hanging="360"/>
      </w:pPr>
      <w:rPr>
        <w:rFonts w:ascii="Wingdings" w:hAnsi="Wingdings" w:hint="default"/>
      </w:rPr>
    </w:lvl>
    <w:lvl w:ilvl="6" w:tplc="19F8AEC0" w:tentative="1">
      <w:start w:val="1"/>
      <w:numFmt w:val="bullet"/>
      <w:lvlText w:val=""/>
      <w:lvlJc w:val="left"/>
      <w:pPr>
        <w:tabs>
          <w:tab w:val="num" w:pos="5040"/>
        </w:tabs>
        <w:ind w:left="5040" w:hanging="360"/>
      </w:pPr>
      <w:rPr>
        <w:rFonts w:ascii="Symbol" w:hAnsi="Symbol" w:hint="default"/>
      </w:rPr>
    </w:lvl>
    <w:lvl w:ilvl="7" w:tplc="81F2A5EC" w:tentative="1">
      <w:start w:val="1"/>
      <w:numFmt w:val="bullet"/>
      <w:lvlText w:val="o"/>
      <w:lvlJc w:val="left"/>
      <w:pPr>
        <w:tabs>
          <w:tab w:val="num" w:pos="5760"/>
        </w:tabs>
        <w:ind w:left="5760" w:hanging="360"/>
      </w:pPr>
      <w:rPr>
        <w:rFonts w:ascii="Courier New" w:hAnsi="Courier New" w:cs="Courier New" w:hint="default"/>
      </w:rPr>
    </w:lvl>
    <w:lvl w:ilvl="8" w:tplc="B94AE244" w:tentative="1">
      <w:start w:val="1"/>
      <w:numFmt w:val="bullet"/>
      <w:lvlText w:val=""/>
      <w:lvlJc w:val="left"/>
      <w:pPr>
        <w:tabs>
          <w:tab w:val="num" w:pos="6480"/>
        </w:tabs>
        <w:ind w:left="6480" w:hanging="360"/>
      </w:pPr>
      <w:rPr>
        <w:rFonts w:ascii="Wingdings" w:hAnsi="Wingdings" w:hint="default"/>
      </w:rPr>
    </w:lvl>
  </w:abstractNum>
  <w:abstractNum w:abstractNumId="360">
    <w:nsid w:val="5840616C"/>
    <w:multiLevelType w:val="hybridMultilevel"/>
    <w:tmpl w:val="8288114E"/>
    <w:lvl w:ilvl="0" w:tplc="0416000F">
      <w:start w:val="1"/>
      <w:numFmt w:val="bullet"/>
      <w:lvlText w:val=""/>
      <w:lvlJc w:val="left"/>
      <w:pPr>
        <w:ind w:left="1854" w:hanging="360"/>
      </w:pPr>
      <w:rPr>
        <w:rFonts w:ascii="Symbol" w:hAnsi="Symbol" w:hint="default"/>
      </w:rPr>
    </w:lvl>
    <w:lvl w:ilvl="1" w:tplc="04160019" w:tentative="1">
      <w:start w:val="1"/>
      <w:numFmt w:val="bullet"/>
      <w:lvlText w:val="o"/>
      <w:lvlJc w:val="left"/>
      <w:pPr>
        <w:ind w:left="2574" w:hanging="360"/>
      </w:pPr>
      <w:rPr>
        <w:rFonts w:ascii="Courier New" w:hAnsi="Courier New" w:cs="Courier New" w:hint="default"/>
      </w:rPr>
    </w:lvl>
    <w:lvl w:ilvl="2" w:tplc="0416001B" w:tentative="1">
      <w:start w:val="1"/>
      <w:numFmt w:val="bullet"/>
      <w:lvlText w:val=""/>
      <w:lvlJc w:val="left"/>
      <w:pPr>
        <w:ind w:left="3294" w:hanging="360"/>
      </w:pPr>
      <w:rPr>
        <w:rFonts w:ascii="Wingdings" w:hAnsi="Wingdings" w:hint="default"/>
      </w:rPr>
    </w:lvl>
    <w:lvl w:ilvl="3" w:tplc="0416000F" w:tentative="1">
      <w:start w:val="1"/>
      <w:numFmt w:val="bullet"/>
      <w:lvlText w:val=""/>
      <w:lvlJc w:val="left"/>
      <w:pPr>
        <w:ind w:left="4014" w:hanging="360"/>
      </w:pPr>
      <w:rPr>
        <w:rFonts w:ascii="Symbol" w:hAnsi="Symbol" w:hint="default"/>
      </w:rPr>
    </w:lvl>
    <w:lvl w:ilvl="4" w:tplc="04160019" w:tentative="1">
      <w:start w:val="1"/>
      <w:numFmt w:val="bullet"/>
      <w:lvlText w:val="o"/>
      <w:lvlJc w:val="left"/>
      <w:pPr>
        <w:ind w:left="4734" w:hanging="360"/>
      </w:pPr>
      <w:rPr>
        <w:rFonts w:ascii="Courier New" w:hAnsi="Courier New" w:cs="Courier New" w:hint="default"/>
      </w:rPr>
    </w:lvl>
    <w:lvl w:ilvl="5" w:tplc="0416001B" w:tentative="1">
      <w:start w:val="1"/>
      <w:numFmt w:val="bullet"/>
      <w:lvlText w:val=""/>
      <w:lvlJc w:val="left"/>
      <w:pPr>
        <w:ind w:left="5454" w:hanging="360"/>
      </w:pPr>
      <w:rPr>
        <w:rFonts w:ascii="Wingdings" w:hAnsi="Wingdings" w:hint="default"/>
      </w:rPr>
    </w:lvl>
    <w:lvl w:ilvl="6" w:tplc="0416000F" w:tentative="1">
      <w:start w:val="1"/>
      <w:numFmt w:val="bullet"/>
      <w:lvlText w:val=""/>
      <w:lvlJc w:val="left"/>
      <w:pPr>
        <w:ind w:left="6174" w:hanging="360"/>
      </w:pPr>
      <w:rPr>
        <w:rFonts w:ascii="Symbol" w:hAnsi="Symbol" w:hint="default"/>
      </w:rPr>
    </w:lvl>
    <w:lvl w:ilvl="7" w:tplc="04160019" w:tentative="1">
      <w:start w:val="1"/>
      <w:numFmt w:val="bullet"/>
      <w:lvlText w:val="o"/>
      <w:lvlJc w:val="left"/>
      <w:pPr>
        <w:ind w:left="6894" w:hanging="360"/>
      </w:pPr>
      <w:rPr>
        <w:rFonts w:ascii="Courier New" w:hAnsi="Courier New" w:cs="Courier New" w:hint="default"/>
      </w:rPr>
    </w:lvl>
    <w:lvl w:ilvl="8" w:tplc="0416001B" w:tentative="1">
      <w:start w:val="1"/>
      <w:numFmt w:val="bullet"/>
      <w:lvlText w:val=""/>
      <w:lvlJc w:val="left"/>
      <w:pPr>
        <w:ind w:left="7614" w:hanging="360"/>
      </w:pPr>
      <w:rPr>
        <w:rFonts w:ascii="Wingdings" w:hAnsi="Wingdings" w:hint="default"/>
      </w:rPr>
    </w:lvl>
  </w:abstractNum>
  <w:abstractNum w:abstractNumId="361">
    <w:nsid w:val="584877B0"/>
    <w:multiLevelType w:val="hybridMultilevel"/>
    <w:tmpl w:val="E1F4E85C"/>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62">
    <w:nsid w:val="584F0C20"/>
    <w:multiLevelType w:val="hybridMultilevel"/>
    <w:tmpl w:val="91DE66D8"/>
    <w:lvl w:ilvl="0" w:tplc="4286605C">
      <w:start w:val="1"/>
      <w:numFmt w:val="bullet"/>
      <w:lvlText w:val=""/>
      <w:lvlJc w:val="left"/>
      <w:pPr>
        <w:ind w:left="1440" w:hanging="360"/>
      </w:pPr>
      <w:rPr>
        <w:rFonts w:ascii="Wingdings" w:hAnsi="Wingdings" w:hint="default"/>
      </w:rPr>
    </w:lvl>
    <w:lvl w:ilvl="1" w:tplc="09927180" w:tentative="1">
      <w:start w:val="1"/>
      <w:numFmt w:val="bullet"/>
      <w:lvlText w:val="o"/>
      <w:lvlJc w:val="left"/>
      <w:pPr>
        <w:ind w:left="2160" w:hanging="360"/>
      </w:pPr>
      <w:rPr>
        <w:rFonts w:ascii="Courier New" w:hAnsi="Courier New" w:cs="Courier New" w:hint="default"/>
      </w:rPr>
    </w:lvl>
    <w:lvl w:ilvl="2" w:tplc="D7489468" w:tentative="1">
      <w:start w:val="1"/>
      <w:numFmt w:val="bullet"/>
      <w:lvlText w:val=""/>
      <w:lvlJc w:val="left"/>
      <w:pPr>
        <w:ind w:left="2880" w:hanging="360"/>
      </w:pPr>
      <w:rPr>
        <w:rFonts w:ascii="Wingdings" w:hAnsi="Wingdings" w:hint="default"/>
      </w:rPr>
    </w:lvl>
    <w:lvl w:ilvl="3" w:tplc="F4421BB4" w:tentative="1">
      <w:start w:val="1"/>
      <w:numFmt w:val="bullet"/>
      <w:lvlText w:val=""/>
      <w:lvlJc w:val="left"/>
      <w:pPr>
        <w:ind w:left="3600" w:hanging="360"/>
      </w:pPr>
      <w:rPr>
        <w:rFonts w:ascii="Symbol" w:hAnsi="Symbol" w:hint="default"/>
      </w:rPr>
    </w:lvl>
    <w:lvl w:ilvl="4" w:tplc="44FCC690" w:tentative="1">
      <w:start w:val="1"/>
      <w:numFmt w:val="bullet"/>
      <w:lvlText w:val="o"/>
      <w:lvlJc w:val="left"/>
      <w:pPr>
        <w:ind w:left="4320" w:hanging="360"/>
      </w:pPr>
      <w:rPr>
        <w:rFonts w:ascii="Courier New" w:hAnsi="Courier New" w:cs="Courier New" w:hint="default"/>
      </w:rPr>
    </w:lvl>
    <w:lvl w:ilvl="5" w:tplc="FD32E952" w:tentative="1">
      <w:start w:val="1"/>
      <w:numFmt w:val="bullet"/>
      <w:lvlText w:val=""/>
      <w:lvlJc w:val="left"/>
      <w:pPr>
        <w:ind w:left="5040" w:hanging="360"/>
      </w:pPr>
      <w:rPr>
        <w:rFonts w:ascii="Wingdings" w:hAnsi="Wingdings" w:hint="default"/>
      </w:rPr>
    </w:lvl>
    <w:lvl w:ilvl="6" w:tplc="97204492" w:tentative="1">
      <w:start w:val="1"/>
      <w:numFmt w:val="bullet"/>
      <w:lvlText w:val=""/>
      <w:lvlJc w:val="left"/>
      <w:pPr>
        <w:ind w:left="5760" w:hanging="360"/>
      </w:pPr>
      <w:rPr>
        <w:rFonts w:ascii="Symbol" w:hAnsi="Symbol" w:hint="default"/>
      </w:rPr>
    </w:lvl>
    <w:lvl w:ilvl="7" w:tplc="067C3A36" w:tentative="1">
      <w:start w:val="1"/>
      <w:numFmt w:val="bullet"/>
      <w:lvlText w:val="o"/>
      <w:lvlJc w:val="left"/>
      <w:pPr>
        <w:ind w:left="6480" w:hanging="360"/>
      </w:pPr>
      <w:rPr>
        <w:rFonts w:ascii="Courier New" w:hAnsi="Courier New" w:cs="Courier New" w:hint="default"/>
      </w:rPr>
    </w:lvl>
    <w:lvl w:ilvl="8" w:tplc="8ECEE1C0" w:tentative="1">
      <w:start w:val="1"/>
      <w:numFmt w:val="bullet"/>
      <w:lvlText w:val=""/>
      <w:lvlJc w:val="left"/>
      <w:pPr>
        <w:ind w:left="7200" w:hanging="360"/>
      </w:pPr>
      <w:rPr>
        <w:rFonts w:ascii="Wingdings" w:hAnsi="Wingdings" w:hint="default"/>
      </w:rPr>
    </w:lvl>
  </w:abstractNum>
  <w:abstractNum w:abstractNumId="363">
    <w:nsid w:val="58E34BDE"/>
    <w:multiLevelType w:val="hybridMultilevel"/>
    <w:tmpl w:val="21947FCA"/>
    <w:lvl w:ilvl="0" w:tplc="0416000D">
      <w:start w:val="1"/>
      <w:numFmt w:val="decimal"/>
      <w:lvlText w:val="(%1)"/>
      <w:lvlJc w:val="left"/>
      <w:pPr>
        <w:ind w:left="720" w:hanging="360"/>
      </w:pPr>
      <w:rPr>
        <w:rFonts w:hint="default"/>
        <w:b/>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64">
    <w:nsid w:val="5940282B"/>
    <w:multiLevelType w:val="hybridMultilevel"/>
    <w:tmpl w:val="78C0EE22"/>
    <w:lvl w:ilvl="0" w:tplc="93EA083C">
      <w:start w:val="1"/>
      <w:numFmt w:val="bullet"/>
      <w:lvlText w:val=""/>
      <w:lvlJc w:val="left"/>
      <w:pPr>
        <w:ind w:left="720" w:hanging="360"/>
      </w:pPr>
      <w:rPr>
        <w:rFonts w:ascii="Wingdings" w:hAnsi="Wingdings"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65">
    <w:nsid w:val="59590506"/>
    <w:multiLevelType w:val="hybridMultilevel"/>
    <w:tmpl w:val="EADEC704"/>
    <w:lvl w:ilvl="0" w:tplc="0416000D">
      <w:start w:val="1"/>
      <w:numFmt w:val="lowerLetter"/>
      <w:lvlText w:val="%1)"/>
      <w:lvlJc w:val="lef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66">
    <w:nsid w:val="59AA260F"/>
    <w:multiLevelType w:val="hybridMultilevel"/>
    <w:tmpl w:val="A190B4A2"/>
    <w:lvl w:ilvl="0" w:tplc="04160017">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67">
    <w:nsid w:val="59EC7D9A"/>
    <w:multiLevelType w:val="hybridMultilevel"/>
    <w:tmpl w:val="9CA03CEA"/>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8">
    <w:nsid w:val="59F968F3"/>
    <w:multiLevelType w:val="hybridMultilevel"/>
    <w:tmpl w:val="F4FE7862"/>
    <w:lvl w:ilvl="0" w:tplc="04160001">
      <w:start w:val="1"/>
      <w:numFmt w:val="bullet"/>
      <w:lvlText w:val=""/>
      <w:lvlJc w:val="left"/>
      <w:pPr>
        <w:tabs>
          <w:tab w:val="num" w:pos="1440"/>
        </w:tabs>
        <w:ind w:left="1440" w:hanging="360"/>
      </w:pPr>
      <w:rPr>
        <w:rFonts w:ascii="Symbol" w:hAnsi="Symbol" w:hint="default"/>
        <w:b/>
        <w:i w:val="0"/>
        <w:color w:val="auto"/>
        <w:sz w:val="24"/>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69">
    <w:nsid w:val="59FD0FFD"/>
    <w:multiLevelType w:val="hybridMultilevel"/>
    <w:tmpl w:val="389E60CE"/>
    <w:lvl w:ilvl="0" w:tplc="4F18BD54">
      <w:start w:val="1"/>
      <w:numFmt w:val="bullet"/>
      <w:lvlText w:val=""/>
      <w:lvlJc w:val="left"/>
      <w:pPr>
        <w:ind w:left="720" w:hanging="360"/>
      </w:pPr>
      <w:rPr>
        <w:rFonts w:ascii="Symbol" w:hAnsi="Symbol" w:hint="default"/>
      </w:rPr>
    </w:lvl>
    <w:lvl w:ilvl="1" w:tplc="04160019">
      <w:start w:val="1"/>
      <w:numFmt w:val="bullet"/>
      <w:lvlText w:val=""/>
      <w:lvlJc w:val="left"/>
      <w:pPr>
        <w:ind w:left="1440" w:hanging="360"/>
      </w:pPr>
      <w:rPr>
        <w:rFonts w:ascii="Symbol" w:hAnsi="Symbol" w:hint="default"/>
      </w:r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370">
    <w:nsid w:val="5A275393"/>
    <w:multiLevelType w:val="hybridMultilevel"/>
    <w:tmpl w:val="D5A0E5A6"/>
    <w:lvl w:ilvl="0" w:tplc="04160001">
      <w:start w:val="1"/>
      <w:numFmt w:val="bullet"/>
      <w:lvlText w:val=""/>
      <w:lvlJc w:val="left"/>
      <w:pPr>
        <w:tabs>
          <w:tab w:val="num" w:pos="720"/>
        </w:tabs>
        <w:ind w:left="720" w:hanging="360"/>
      </w:pPr>
      <w:rPr>
        <w:rFonts w:ascii="Wingdings" w:hAnsi="Wingdings" w:hint="default"/>
        <w:b w:val="0"/>
        <w:i w:val="0"/>
        <w:color w:val="000000"/>
        <w:sz w:val="22"/>
      </w:rPr>
    </w:lvl>
    <w:lvl w:ilvl="1" w:tplc="04160003">
      <w:start w:val="1"/>
      <w:numFmt w:val="bullet"/>
      <w:lvlText w:val="o"/>
      <w:lvlJc w:val="left"/>
      <w:pPr>
        <w:tabs>
          <w:tab w:val="num" w:pos="1800"/>
        </w:tabs>
        <w:ind w:left="1800" w:hanging="360"/>
      </w:pPr>
      <w:rPr>
        <w:rFonts w:ascii="Courier New" w:hAnsi="Courier New" w:hint="default"/>
      </w:rPr>
    </w:lvl>
    <w:lvl w:ilvl="2" w:tplc="04160005">
      <w:start w:val="1"/>
      <w:numFmt w:val="bullet"/>
      <w:lvlText w:val=""/>
      <w:lvlJc w:val="left"/>
      <w:pPr>
        <w:tabs>
          <w:tab w:val="num" w:pos="2520"/>
        </w:tabs>
        <w:ind w:left="2520" w:hanging="360"/>
      </w:pPr>
      <w:rPr>
        <w:rFonts w:ascii="Wingdings" w:hAnsi="Wingdings" w:hint="default"/>
      </w:rPr>
    </w:lvl>
    <w:lvl w:ilvl="3" w:tplc="04160001">
      <w:start w:val="1"/>
      <w:numFmt w:val="bullet"/>
      <w:lvlText w:val=""/>
      <w:lvlJc w:val="left"/>
      <w:pPr>
        <w:tabs>
          <w:tab w:val="num" w:pos="3240"/>
        </w:tabs>
        <w:ind w:left="3240" w:hanging="360"/>
      </w:pPr>
      <w:rPr>
        <w:rFonts w:ascii="Symbol" w:hAnsi="Symbol" w:hint="default"/>
      </w:rPr>
    </w:lvl>
    <w:lvl w:ilvl="4" w:tplc="04160003">
      <w:start w:val="1"/>
      <w:numFmt w:val="bullet"/>
      <w:lvlText w:val="o"/>
      <w:lvlJc w:val="left"/>
      <w:pPr>
        <w:tabs>
          <w:tab w:val="num" w:pos="3960"/>
        </w:tabs>
        <w:ind w:left="3960" w:hanging="360"/>
      </w:pPr>
      <w:rPr>
        <w:rFonts w:ascii="Courier New" w:hAnsi="Courier New" w:hint="default"/>
      </w:rPr>
    </w:lvl>
    <w:lvl w:ilvl="5" w:tplc="04160005">
      <w:start w:val="1"/>
      <w:numFmt w:val="bullet"/>
      <w:lvlText w:val=""/>
      <w:lvlJc w:val="left"/>
      <w:pPr>
        <w:tabs>
          <w:tab w:val="num" w:pos="4680"/>
        </w:tabs>
        <w:ind w:left="4680" w:hanging="360"/>
      </w:pPr>
      <w:rPr>
        <w:rFonts w:ascii="Wingdings" w:hAnsi="Wingdings" w:hint="default"/>
      </w:rPr>
    </w:lvl>
    <w:lvl w:ilvl="6" w:tplc="04160001">
      <w:start w:val="1"/>
      <w:numFmt w:val="bullet"/>
      <w:lvlText w:val=""/>
      <w:lvlJc w:val="left"/>
      <w:pPr>
        <w:tabs>
          <w:tab w:val="num" w:pos="5400"/>
        </w:tabs>
        <w:ind w:left="5400" w:hanging="360"/>
      </w:pPr>
      <w:rPr>
        <w:rFonts w:ascii="Symbol" w:hAnsi="Symbol" w:hint="default"/>
      </w:rPr>
    </w:lvl>
    <w:lvl w:ilvl="7" w:tplc="04160003">
      <w:start w:val="1"/>
      <w:numFmt w:val="bullet"/>
      <w:lvlText w:val="o"/>
      <w:lvlJc w:val="left"/>
      <w:pPr>
        <w:tabs>
          <w:tab w:val="num" w:pos="6120"/>
        </w:tabs>
        <w:ind w:left="6120" w:hanging="360"/>
      </w:pPr>
      <w:rPr>
        <w:rFonts w:ascii="Courier New" w:hAnsi="Courier New" w:hint="default"/>
      </w:rPr>
    </w:lvl>
    <w:lvl w:ilvl="8" w:tplc="04160005">
      <w:start w:val="1"/>
      <w:numFmt w:val="bullet"/>
      <w:lvlText w:val=""/>
      <w:lvlJc w:val="left"/>
      <w:pPr>
        <w:tabs>
          <w:tab w:val="num" w:pos="6840"/>
        </w:tabs>
        <w:ind w:left="6840" w:hanging="360"/>
      </w:pPr>
      <w:rPr>
        <w:rFonts w:ascii="Wingdings" w:hAnsi="Wingdings" w:hint="default"/>
      </w:rPr>
    </w:lvl>
  </w:abstractNum>
  <w:abstractNum w:abstractNumId="371">
    <w:nsid w:val="5A3E4DB1"/>
    <w:multiLevelType w:val="hybridMultilevel"/>
    <w:tmpl w:val="2EECA1BA"/>
    <w:lvl w:ilvl="0" w:tplc="F3E2CE2A">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72">
    <w:nsid w:val="5A792AC3"/>
    <w:multiLevelType w:val="hybridMultilevel"/>
    <w:tmpl w:val="FAB0C5A4"/>
    <w:lvl w:ilvl="0" w:tplc="204A1DBE">
      <w:start w:val="1"/>
      <w:numFmt w:val="bullet"/>
      <w:lvlText w:val=""/>
      <w:lvlJc w:val="left"/>
      <w:pPr>
        <w:ind w:left="1941" w:hanging="360"/>
      </w:pPr>
      <w:rPr>
        <w:rFonts w:ascii="Symbol" w:hAnsi="Symbol" w:hint="default"/>
      </w:rPr>
    </w:lvl>
    <w:lvl w:ilvl="1" w:tplc="04160003">
      <w:start w:val="1"/>
      <w:numFmt w:val="bullet"/>
      <w:lvlText w:val="o"/>
      <w:lvlJc w:val="left"/>
      <w:pPr>
        <w:ind w:left="2661" w:hanging="360"/>
      </w:pPr>
      <w:rPr>
        <w:rFonts w:ascii="Courier New" w:hAnsi="Courier New" w:cs="Courier New" w:hint="default"/>
      </w:rPr>
    </w:lvl>
    <w:lvl w:ilvl="2" w:tplc="04160005" w:tentative="1">
      <w:start w:val="1"/>
      <w:numFmt w:val="bullet"/>
      <w:lvlText w:val=""/>
      <w:lvlJc w:val="left"/>
      <w:pPr>
        <w:ind w:left="3381" w:hanging="360"/>
      </w:pPr>
      <w:rPr>
        <w:rFonts w:ascii="Wingdings" w:hAnsi="Wingdings" w:hint="default"/>
      </w:rPr>
    </w:lvl>
    <w:lvl w:ilvl="3" w:tplc="04160001" w:tentative="1">
      <w:start w:val="1"/>
      <w:numFmt w:val="bullet"/>
      <w:lvlText w:val=""/>
      <w:lvlJc w:val="left"/>
      <w:pPr>
        <w:ind w:left="4101" w:hanging="360"/>
      </w:pPr>
      <w:rPr>
        <w:rFonts w:ascii="Symbol" w:hAnsi="Symbol" w:hint="default"/>
      </w:rPr>
    </w:lvl>
    <w:lvl w:ilvl="4" w:tplc="04160003" w:tentative="1">
      <w:start w:val="1"/>
      <w:numFmt w:val="bullet"/>
      <w:lvlText w:val="o"/>
      <w:lvlJc w:val="left"/>
      <w:pPr>
        <w:ind w:left="4821" w:hanging="360"/>
      </w:pPr>
      <w:rPr>
        <w:rFonts w:ascii="Courier New" w:hAnsi="Courier New" w:cs="Courier New" w:hint="default"/>
      </w:rPr>
    </w:lvl>
    <w:lvl w:ilvl="5" w:tplc="04160005" w:tentative="1">
      <w:start w:val="1"/>
      <w:numFmt w:val="bullet"/>
      <w:lvlText w:val=""/>
      <w:lvlJc w:val="left"/>
      <w:pPr>
        <w:ind w:left="5541" w:hanging="360"/>
      </w:pPr>
      <w:rPr>
        <w:rFonts w:ascii="Wingdings" w:hAnsi="Wingdings" w:hint="default"/>
      </w:rPr>
    </w:lvl>
    <w:lvl w:ilvl="6" w:tplc="04160001" w:tentative="1">
      <w:start w:val="1"/>
      <w:numFmt w:val="bullet"/>
      <w:lvlText w:val=""/>
      <w:lvlJc w:val="left"/>
      <w:pPr>
        <w:ind w:left="6261" w:hanging="360"/>
      </w:pPr>
      <w:rPr>
        <w:rFonts w:ascii="Symbol" w:hAnsi="Symbol" w:hint="default"/>
      </w:rPr>
    </w:lvl>
    <w:lvl w:ilvl="7" w:tplc="04160003" w:tentative="1">
      <w:start w:val="1"/>
      <w:numFmt w:val="bullet"/>
      <w:lvlText w:val="o"/>
      <w:lvlJc w:val="left"/>
      <w:pPr>
        <w:ind w:left="6981" w:hanging="360"/>
      </w:pPr>
      <w:rPr>
        <w:rFonts w:ascii="Courier New" w:hAnsi="Courier New" w:cs="Courier New" w:hint="default"/>
      </w:rPr>
    </w:lvl>
    <w:lvl w:ilvl="8" w:tplc="04160005" w:tentative="1">
      <w:start w:val="1"/>
      <w:numFmt w:val="bullet"/>
      <w:lvlText w:val=""/>
      <w:lvlJc w:val="left"/>
      <w:pPr>
        <w:ind w:left="7701" w:hanging="360"/>
      </w:pPr>
      <w:rPr>
        <w:rFonts w:ascii="Wingdings" w:hAnsi="Wingdings" w:hint="default"/>
      </w:rPr>
    </w:lvl>
  </w:abstractNum>
  <w:abstractNum w:abstractNumId="373">
    <w:nsid w:val="5AB7765A"/>
    <w:multiLevelType w:val="hybridMultilevel"/>
    <w:tmpl w:val="6AFA8E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4">
    <w:nsid w:val="5AC03899"/>
    <w:multiLevelType w:val="hybridMultilevel"/>
    <w:tmpl w:val="02C451E4"/>
    <w:lvl w:ilvl="0" w:tplc="0416000D">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75">
    <w:nsid w:val="5AC62481"/>
    <w:multiLevelType w:val="hybridMultilevel"/>
    <w:tmpl w:val="35DA4B8C"/>
    <w:lvl w:ilvl="0" w:tplc="04160001">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6">
    <w:nsid w:val="5AD9124F"/>
    <w:multiLevelType w:val="multilevel"/>
    <w:tmpl w:val="4F921A7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77">
    <w:nsid w:val="5B2F64E7"/>
    <w:multiLevelType w:val="hybridMultilevel"/>
    <w:tmpl w:val="6D8890A8"/>
    <w:lvl w:ilvl="0" w:tplc="04160001">
      <w:start w:val="1"/>
      <w:numFmt w:val="bullet"/>
      <w:lvlText w:val=""/>
      <w:lvlJc w:val="left"/>
      <w:pPr>
        <w:ind w:left="644" w:hanging="360"/>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378">
    <w:nsid w:val="5B5C2D05"/>
    <w:multiLevelType w:val="hybridMultilevel"/>
    <w:tmpl w:val="C9DEF60E"/>
    <w:lvl w:ilvl="0" w:tplc="04160001">
      <w:start w:val="1"/>
      <w:numFmt w:val="bullet"/>
      <w:lvlText w:val=""/>
      <w:lvlJc w:val="left"/>
      <w:pPr>
        <w:ind w:left="720" w:hanging="360"/>
      </w:pPr>
      <w:rPr>
        <w:rFonts w:ascii="Wingdings" w:hAnsi="Wingdings" w:hint="default"/>
      </w:rPr>
    </w:lvl>
    <w:lvl w:ilvl="1" w:tplc="04160001"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9">
    <w:nsid w:val="5C42213C"/>
    <w:multiLevelType w:val="hybridMultilevel"/>
    <w:tmpl w:val="9A48626E"/>
    <w:lvl w:ilvl="0" w:tplc="0416000D">
      <w:start w:val="1"/>
      <w:numFmt w:val="lowerLetter"/>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80">
    <w:nsid w:val="5CC3742B"/>
    <w:multiLevelType w:val="hybridMultilevel"/>
    <w:tmpl w:val="D6BEDE64"/>
    <w:lvl w:ilvl="0" w:tplc="04160017">
      <w:start w:val="1"/>
      <w:numFmt w:val="bullet"/>
      <w:lvlText w:val=""/>
      <w:lvlJc w:val="left"/>
      <w:pPr>
        <w:ind w:left="2136" w:hanging="360"/>
      </w:pPr>
      <w:rPr>
        <w:rFonts w:ascii="Wingdings" w:hAnsi="Wingdings" w:hint="default"/>
      </w:rPr>
    </w:lvl>
    <w:lvl w:ilvl="1" w:tplc="04160019" w:tentative="1">
      <w:start w:val="1"/>
      <w:numFmt w:val="bullet"/>
      <w:lvlText w:val="o"/>
      <w:lvlJc w:val="left"/>
      <w:pPr>
        <w:ind w:left="2856" w:hanging="360"/>
      </w:pPr>
      <w:rPr>
        <w:rFonts w:ascii="Courier New" w:hAnsi="Courier New" w:cs="Courier New" w:hint="default"/>
      </w:rPr>
    </w:lvl>
    <w:lvl w:ilvl="2" w:tplc="0416001B" w:tentative="1">
      <w:start w:val="1"/>
      <w:numFmt w:val="bullet"/>
      <w:lvlText w:val=""/>
      <w:lvlJc w:val="left"/>
      <w:pPr>
        <w:ind w:left="3576" w:hanging="360"/>
      </w:pPr>
      <w:rPr>
        <w:rFonts w:ascii="Wingdings" w:hAnsi="Wingdings" w:hint="default"/>
      </w:rPr>
    </w:lvl>
    <w:lvl w:ilvl="3" w:tplc="0416000F" w:tentative="1">
      <w:start w:val="1"/>
      <w:numFmt w:val="bullet"/>
      <w:lvlText w:val=""/>
      <w:lvlJc w:val="left"/>
      <w:pPr>
        <w:ind w:left="4296" w:hanging="360"/>
      </w:pPr>
      <w:rPr>
        <w:rFonts w:ascii="Symbol" w:hAnsi="Symbol" w:hint="default"/>
      </w:rPr>
    </w:lvl>
    <w:lvl w:ilvl="4" w:tplc="04160019" w:tentative="1">
      <w:start w:val="1"/>
      <w:numFmt w:val="bullet"/>
      <w:lvlText w:val="o"/>
      <w:lvlJc w:val="left"/>
      <w:pPr>
        <w:ind w:left="5016" w:hanging="360"/>
      </w:pPr>
      <w:rPr>
        <w:rFonts w:ascii="Courier New" w:hAnsi="Courier New" w:cs="Courier New" w:hint="default"/>
      </w:rPr>
    </w:lvl>
    <w:lvl w:ilvl="5" w:tplc="0416001B" w:tentative="1">
      <w:start w:val="1"/>
      <w:numFmt w:val="bullet"/>
      <w:lvlText w:val=""/>
      <w:lvlJc w:val="left"/>
      <w:pPr>
        <w:ind w:left="5736" w:hanging="360"/>
      </w:pPr>
      <w:rPr>
        <w:rFonts w:ascii="Wingdings" w:hAnsi="Wingdings" w:hint="default"/>
      </w:rPr>
    </w:lvl>
    <w:lvl w:ilvl="6" w:tplc="0416000F" w:tentative="1">
      <w:start w:val="1"/>
      <w:numFmt w:val="bullet"/>
      <w:lvlText w:val=""/>
      <w:lvlJc w:val="left"/>
      <w:pPr>
        <w:ind w:left="6456" w:hanging="360"/>
      </w:pPr>
      <w:rPr>
        <w:rFonts w:ascii="Symbol" w:hAnsi="Symbol" w:hint="default"/>
      </w:rPr>
    </w:lvl>
    <w:lvl w:ilvl="7" w:tplc="04160019" w:tentative="1">
      <w:start w:val="1"/>
      <w:numFmt w:val="bullet"/>
      <w:lvlText w:val="o"/>
      <w:lvlJc w:val="left"/>
      <w:pPr>
        <w:ind w:left="7176" w:hanging="360"/>
      </w:pPr>
      <w:rPr>
        <w:rFonts w:ascii="Courier New" w:hAnsi="Courier New" w:cs="Courier New" w:hint="default"/>
      </w:rPr>
    </w:lvl>
    <w:lvl w:ilvl="8" w:tplc="0416001B" w:tentative="1">
      <w:start w:val="1"/>
      <w:numFmt w:val="bullet"/>
      <w:lvlText w:val=""/>
      <w:lvlJc w:val="left"/>
      <w:pPr>
        <w:ind w:left="7896" w:hanging="360"/>
      </w:pPr>
      <w:rPr>
        <w:rFonts w:ascii="Wingdings" w:hAnsi="Wingdings" w:hint="default"/>
      </w:rPr>
    </w:lvl>
  </w:abstractNum>
  <w:abstractNum w:abstractNumId="381">
    <w:nsid w:val="5D263732"/>
    <w:multiLevelType w:val="hybridMultilevel"/>
    <w:tmpl w:val="F6CE086A"/>
    <w:lvl w:ilvl="0" w:tplc="0416000D">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2">
    <w:nsid w:val="5D3D3C53"/>
    <w:multiLevelType w:val="hybridMultilevel"/>
    <w:tmpl w:val="763A2A6E"/>
    <w:lvl w:ilvl="0" w:tplc="9036E5B4">
      <w:start w:val="1"/>
      <w:numFmt w:val="bullet"/>
      <w:lvlText w:val=""/>
      <w:lvlJc w:val="left"/>
      <w:pPr>
        <w:ind w:left="928" w:hanging="360"/>
      </w:pPr>
      <w:rPr>
        <w:rFonts w:ascii="Wingdings" w:hAnsi="Wingdings" w:hint="default"/>
      </w:rPr>
    </w:lvl>
    <w:lvl w:ilvl="1" w:tplc="C3622B5A" w:tentative="1">
      <w:start w:val="1"/>
      <w:numFmt w:val="bullet"/>
      <w:lvlText w:val="o"/>
      <w:lvlJc w:val="left"/>
      <w:pPr>
        <w:ind w:left="1648" w:hanging="360"/>
      </w:pPr>
      <w:rPr>
        <w:rFonts w:ascii="Courier New" w:hAnsi="Courier New" w:cs="Courier New" w:hint="default"/>
      </w:rPr>
    </w:lvl>
    <w:lvl w:ilvl="2" w:tplc="9C9EC1FA" w:tentative="1">
      <w:start w:val="1"/>
      <w:numFmt w:val="bullet"/>
      <w:lvlText w:val=""/>
      <w:lvlJc w:val="left"/>
      <w:pPr>
        <w:ind w:left="2368" w:hanging="360"/>
      </w:pPr>
      <w:rPr>
        <w:rFonts w:ascii="Wingdings" w:hAnsi="Wingdings" w:hint="default"/>
      </w:rPr>
    </w:lvl>
    <w:lvl w:ilvl="3" w:tplc="29725B56" w:tentative="1">
      <w:start w:val="1"/>
      <w:numFmt w:val="bullet"/>
      <w:lvlText w:val=""/>
      <w:lvlJc w:val="left"/>
      <w:pPr>
        <w:ind w:left="3088" w:hanging="360"/>
      </w:pPr>
      <w:rPr>
        <w:rFonts w:ascii="Symbol" w:hAnsi="Symbol" w:hint="default"/>
      </w:rPr>
    </w:lvl>
    <w:lvl w:ilvl="4" w:tplc="8A86A450" w:tentative="1">
      <w:start w:val="1"/>
      <w:numFmt w:val="bullet"/>
      <w:lvlText w:val="o"/>
      <w:lvlJc w:val="left"/>
      <w:pPr>
        <w:ind w:left="3808" w:hanging="360"/>
      </w:pPr>
      <w:rPr>
        <w:rFonts w:ascii="Courier New" w:hAnsi="Courier New" w:cs="Courier New" w:hint="default"/>
      </w:rPr>
    </w:lvl>
    <w:lvl w:ilvl="5" w:tplc="0CA0D33A" w:tentative="1">
      <w:start w:val="1"/>
      <w:numFmt w:val="bullet"/>
      <w:lvlText w:val=""/>
      <w:lvlJc w:val="left"/>
      <w:pPr>
        <w:ind w:left="4528" w:hanging="360"/>
      </w:pPr>
      <w:rPr>
        <w:rFonts w:ascii="Wingdings" w:hAnsi="Wingdings" w:hint="default"/>
      </w:rPr>
    </w:lvl>
    <w:lvl w:ilvl="6" w:tplc="DFF8AA54" w:tentative="1">
      <w:start w:val="1"/>
      <w:numFmt w:val="bullet"/>
      <w:lvlText w:val=""/>
      <w:lvlJc w:val="left"/>
      <w:pPr>
        <w:ind w:left="5248" w:hanging="360"/>
      </w:pPr>
      <w:rPr>
        <w:rFonts w:ascii="Symbol" w:hAnsi="Symbol" w:hint="default"/>
      </w:rPr>
    </w:lvl>
    <w:lvl w:ilvl="7" w:tplc="FF2022E8" w:tentative="1">
      <w:start w:val="1"/>
      <w:numFmt w:val="bullet"/>
      <w:lvlText w:val="o"/>
      <w:lvlJc w:val="left"/>
      <w:pPr>
        <w:ind w:left="5968" w:hanging="360"/>
      </w:pPr>
      <w:rPr>
        <w:rFonts w:ascii="Courier New" w:hAnsi="Courier New" w:cs="Courier New" w:hint="default"/>
      </w:rPr>
    </w:lvl>
    <w:lvl w:ilvl="8" w:tplc="9E78F92E" w:tentative="1">
      <w:start w:val="1"/>
      <w:numFmt w:val="bullet"/>
      <w:lvlText w:val=""/>
      <w:lvlJc w:val="left"/>
      <w:pPr>
        <w:ind w:left="6688" w:hanging="360"/>
      </w:pPr>
      <w:rPr>
        <w:rFonts w:ascii="Wingdings" w:hAnsi="Wingdings" w:hint="default"/>
      </w:rPr>
    </w:lvl>
  </w:abstractNum>
  <w:abstractNum w:abstractNumId="383">
    <w:nsid w:val="5D7943FA"/>
    <w:multiLevelType w:val="hybridMultilevel"/>
    <w:tmpl w:val="C2864610"/>
    <w:lvl w:ilvl="0" w:tplc="0416000D">
      <w:start w:val="1"/>
      <w:numFmt w:val="decimal"/>
      <w:lvlText w:val="%1)"/>
      <w:lvlJc w:val="left"/>
      <w:pPr>
        <w:ind w:left="1494" w:hanging="360"/>
      </w:pPr>
      <w:rPr>
        <w:rFonts w:hint="default"/>
      </w:rPr>
    </w:lvl>
    <w:lvl w:ilvl="1" w:tplc="04160003" w:tentative="1">
      <w:start w:val="1"/>
      <w:numFmt w:val="lowerLetter"/>
      <w:lvlText w:val="%2."/>
      <w:lvlJc w:val="left"/>
      <w:pPr>
        <w:ind w:left="2214" w:hanging="360"/>
      </w:pPr>
    </w:lvl>
    <w:lvl w:ilvl="2" w:tplc="04160005" w:tentative="1">
      <w:start w:val="1"/>
      <w:numFmt w:val="lowerRoman"/>
      <w:lvlText w:val="%3."/>
      <w:lvlJc w:val="right"/>
      <w:pPr>
        <w:ind w:left="2934" w:hanging="180"/>
      </w:pPr>
    </w:lvl>
    <w:lvl w:ilvl="3" w:tplc="04160001" w:tentative="1">
      <w:start w:val="1"/>
      <w:numFmt w:val="decimal"/>
      <w:lvlText w:val="%4."/>
      <w:lvlJc w:val="left"/>
      <w:pPr>
        <w:ind w:left="3654" w:hanging="360"/>
      </w:pPr>
    </w:lvl>
    <w:lvl w:ilvl="4" w:tplc="04160003" w:tentative="1">
      <w:start w:val="1"/>
      <w:numFmt w:val="lowerLetter"/>
      <w:lvlText w:val="%5."/>
      <w:lvlJc w:val="left"/>
      <w:pPr>
        <w:ind w:left="4374" w:hanging="360"/>
      </w:pPr>
    </w:lvl>
    <w:lvl w:ilvl="5" w:tplc="04160005" w:tentative="1">
      <w:start w:val="1"/>
      <w:numFmt w:val="lowerRoman"/>
      <w:lvlText w:val="%6."/>
      <w:lvlJc w:val="right"/>
      <w:pPr>
        <w:ind w:left="5094" w:hanging="180"/>
      </w:pPr>
    </w:lvl>
    <w:lvl w:ilvl="6" w:tplc="04160001" w:tentative="1">
      <w:start w:val="1"/>
      <w:numFmt w:val="decimal"/>
      <w:lvlText w:val="%7."/>
      <w:lvlJc w:val="left"/>
      <w:pPr>
        <w:ind w:left="5814" w:hanging="360"/>
      </w:pPr>
    </w:lvl>
    <w:lvl w:ilvl="7" w:tplc="04160003" w:tentative="1">
      <w:start w:val="1"/>
      <w:numFmt w:val="lowerLetter"/>
      <w:lvlText w:val="%8."/>
      <w:lvlJc w:val="left"/>
      <w:pPr>
        <w:ind w:left="6534" w:hanging="360"/>
      </w:pPr>
    </w:lvl>
    <w:lvl w:ilvl="8" w:tplc="04160005" w:tentative="1">
      <w:start w:val="1"/>
      <w:numFmt w:val="lowerRoman"/>
      <w:lvlText w:val="%9."/>
      <w:lvlJc w:val="right"/>
      <w:pPr>
        <w:ind w:left="7254" w:hanging="180"/>
      </w:pPr>
    </w:lvl>
  </w:abstractNum>
  <w:abstractNum w:abstractNumId="384">
    <w:nsid w:val="5DBA6B80"/>
    <w:multiLevelType w:val="hybridMultilevel"/>
    <w:tmpl w:val="B36809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5">
    <w:nsid w:val="5DFF477E"/>
    <w:multiLevelType w:val="hybridMultilevel"/>
    <w:tmpl w:val="F294A1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6">
    <w:nsid w:val="5E00733D"/>
    <w:multiLevelType w:val="hybridMultilevel"/>
    <w:tmpl w:val="82A22952"/>
    <w:lvl w:ilvl="0" w:tplc="31EC7B46">
      <w:start w:val="1"/>
      <w:numFmt w:val="bullet"/>
      <w:lvlText w:val=""/>
      <w:lvlJc w:val="left"/>
      <w:pPr>
        <w:ind w:left="778" w:hanging="360"/>
      </w:pPr>
      <w:rPr>
        <w:rFonts w:ascii="Symbol" w:hAnsi="Symbol" w:hint="default"/>
      </w:rPr>
    </w:lvl>
    <w:lvl w:ilvl="1" w:tplc="04160019" w:tentative="1">
      <w:start w:val="1"/>
      <w:numFmt w:val="bullet"/>
      <w:lvlText w:val="o"/>
      <w:lvlJc w:val="left"/>
      <w:pPr>
        <w:ind w:left="1498" w:hanging="360"/>
      </w:pPr>
      <w:rPr>
        <w:rFonts w:ascii="Courier New" w:hAnsi="Courier New" w:cs="Courier New" w:hint="default"/>
      </w:rPr>
    </w:lvl>
    <w:lvl w:ilvl="2" w:tplc="0416001B" w:tentative="1">
      <w:start w:val="1"/>
      <w:numFmt w:val="bullet"/>
      <w:lvlText w:val=""/>
      <w:lvlJc w:val="left"/>
      <w:pPr>
        <w:ind w:left="2218" w:hanging="360"/>
      </w:pPr>
      <w:rPr>
        <w:rFonts w:ascii="Wingdings" w:hAnsi="Wingdings" w:hint="default"/>
      </w:rPr>
    </w:lvl>
    <w:lvl w:ilvl="3" w:tplc="0416000F" w:tentative="1">
      <w:start w:val="1"/>
      <w:numFmt w:val="bullet"/>
      <w:lvlText w:val=""/>
      <w:lvlJc w:val="left"/>
      <w:pPr>
        <w:ind w:left="2938" w:hanging="360"/>
      </w:pPr>
      <w:rPr>
        <w:rFonts w:ascii="Symbol" w:hAnsi="Symbol" w:hint="default"/>
      </w:rPr>
    </w:lvl>
    <w:lvl w:ilvl="4" w:tplc="04160019" w:tentative="1">
      <w:start w:val="1"/>
      <w:numFmt w:val="bullet"/>
      <w:lvlText w:val="o"/>
      <w:lvlJc w:val="left"/>
      <w:pPr>
        <w:ind w:left="3658" w:hanging="360"/>
      </w:pPr>
      <w:rPr>
        <w:rFonts w:ascii="Courier New" w:hAnsi="Courier New" w:cs="Courier New" w:hint="default"/>
      </w:rPr>
    </w:lvl>
    <w:lvl w:ilvl="5" w:tplc="0416001B" w:tentative="1">
      <w:start w:val="1"/>
      <w:numFmt w:val="bullet"/>
      <w:lvlText w:val=""/>
      <w:lvlJc w:val="left"/>
      <w:pPr>
        <w:ind w:left="4378" w:hanging="360"/>
      </w:pPr>
      <w:rPr>
        <w:rFonts w:ascii="Wingdings" w:hAnsi="Wingdings" w:hint="default"/>
      </w:rPr>
    </w:lvl>
    <w:lvl w:ilvl="6" w:tplc="0416000F" w:tentative="1">
      <w:start w:val="1"/>
      <w:numFmt w:val="bullet"/>
      <w:lvlText w:val=""/>
      <w:lvlJc w:val="left"/>
      <w:pPr>
        <w:ind w:left="5098" w:hanging="360"/>
      </w:pPr>
      <w:rPr>
        <w:rFonts w:ascii="Symbol" w:hAnsi="Symbol" w:hint="default"/>
      </w:rPr>
    </w:lvl>
    <w:lvl w:ilvl="7" w:tplc="04160019" w:tentative="1">
      <w:start w:val="1"/>
      <w:numFmt w:val="bullet"/>
      <w:lvlText w:val="o"/>
      <w:lvlJc w:val="left"/>
      <w:pPr>
        <w:ind w:left="5818" w:hanging="360"/>
      </w:pPr>
      <w:rPr>
        <w:rFonts w:ascii="Courier New" w:hAnsi="Courier New" w:cs="Courier New" w:hint="default"/>
      </w:rPr>
    </w:lvl>
    <w:lvl w:ilvl="8" w:tplc="0416001B" w:tentative="1">
      <w:start w:val="1"/>
      <w:numFmt w:val="bullet"/>
      <w:lvlText w:val=""/>
      <w:lvlJc w:val="left"/>
      <w:pPr>
        <w:ind w:left="6538" w:hanging="360"/>
      </w:pPr>
      <w:rPr>
        <w:rFonts w:ascii="Wingdings" w:hAnsi="Wingdings" w:hint="default"/>
      </w:rPr>
    </w:lvl>
  </w:abstractNum>
  <w:abstractNum w:abstractNumId="387">
    <w:nsid w:val="5E216DB1"/>
    <w:multiLevelType w:val="hybridMultilevel"/>
    <w:tmpl w:val="109A25E0"/>
    <w:lvl w:ilvl="0" w:tplc="04160003">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88">
    <w:nsid w:val="5E7C116A"/>
    <w:multiLevelType w:val="hybridMultilevel"/>
    <w:tmpl w:val="BC6E5C66"/>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89">
    <w:nsid w:val="5E8D00FE"/>
    <w:multiLevelType w:val="hybridMultilevel"/>
    <w:tmpl w:val="86107590"/>
    <w:lvl w:ilvl="0" w:tplc="C6600DD0">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90">
    <w:nsid w:val="5EAF2A44"/>
    <w:multiLevelType w:val="hybridMultilevel"/>
    <w:tmpl w:val="A6C2E99A"/>
    <w:lvl w:ilvl="0" w:tplc="04160001">
      <w:numFmt w:val="bullet"/>
      <w:lvlText w:val="•"/>
      <w:lvlJc w:val="left"/>
      <w:pPr>
        <w:ind w:left="705" w:hanging="705"/>
      </w:pPr>
      <w:rPr>
        <w:rFonts w:ascii="Times New Roman" w:eastAsia="Calibri" w:hAnsi="Times New Roman" w:cs="Times New Roman" w:hint="default"/>
      </w:rPr>
    </w:lvl>
    <w:lvl w:ilvl="1" w:tplc="04160003" w:tentative="1">
      <w:start w:val="1"/>
      <w:numFmt w:val="bullet"/>
      <w:lvlText w:val="o"/>
      <w:lvlJc w:val="left"/>
      <w:pPr>
        <w:ind w:left="5617" w:hanging="360"/>
      </w:pPr>
      <w:rPr>
        <w:rFonts w:ascii="Courier New" w:hAnsi="Courier New" w:cs="Courier New" w:hint="default"/>
      </w:rPr>
    </w:lvl>
    <w:lvl w:ilvl="2" w:tplc="04160005" w:tentative="1">
      <w:start w:val="1"/>
      <w:numFmt w:val="bullet"/>
      <w:lvlText w:val=""/>
      <w:lvlJc w:val="left"/>
      <w:pPr>
        <w:ind w:left="6337" w:hanging="360"/>
      </w:pPr>
      <w:rPr>
        <w:rFonts w:ascii="Wingdings" w:hAnsi="Wingdings" w:hint="default"/>
      </w:rPr>
    </w:lvl>
    <w:lvl w:ilvl="3" w:tplc="04160001" w:tentative="1">
      <w:start w:val="1"/>
      <w:numFmt w:val="bullet"/>
      <w:lvlText w:val=""/>
      <w:lvlJc w:val="left"/>
      <w:pPr>
        <w:ind w:left="7057" w:hanging="360"/>
      </w:pPr>
      <w:rPr>
        <w:rFonts w:ascii="Symbol" w:hAnsi="Symbol" w:hint="default"/>
      </w:rPr>
    </w:lvl>
    <w:lvl w:ilvl="4" w:tplc="04160003" w:tentative="1">
      <w:start w:val="1"/>
      <w:numFmt w:val="bullet"/>
      <w:lvlText w:val="o"/>
      <w:lvlJc w:val="left"/>
      <w:pPr>
        <w:ind w:left="7777" w:hanging="360"/>
      </w:pPr>
      <w:rPr>
        <w:rFonts w:ascii="Courier New" w:hAnsi="Courier New" w:cs="Courier New" w:hint="default"/>
      </w:rPr>
    </w:lvl>
    <w:lvl w:ilvl="5" w:tplc="04160005" w:tentative="1">
      <w:start w:val="1"/>
      <w:numFmt w:val="bullet"/>
      <w:lvlText w:val=""/>
      <w:lvlJc w:val="left"/>
      <w:pPr>
        <w:ind w:left="8497" w:hanging="360"/>
      </w:pPr>
      <w:rPr>
        <w:rFonts w:ascii="Wingdings" w:hAnsi="Wingdings" w:hint="default"/>
      </w:rPr>
    </w:lvl>
    <w:lvl w:ilvl="6" w:tplc="04160001" w:tentative="1">
      <w:start w:val="1"/>
      <w:numFmt w:val="bullet"/>
      <w:lvlText w:val=""/>
      <w:lvlJc w:val="left"/>
      <w:pPr>
        <w:ind w:left="9217" w:hanging="360"/>
      </w:pPr>
      <w:rPr>
        <w:rFonts w:ascii="Symbol" w:hAnsi="Symbol" w:hint="default"/>
      </w:rPr>
    </w:lvl>
    <w:lvl w:ilvl="7" w:tplc="04160003" w:tentative="1">
      <w:start w:val="1"/>
      <w:numFmt w:val="bullet"/>
      <w:lvlText w:val="o"/>
      <w:lvlJc w:val="left"/>
      <w:pPr>
        <w:ind w:left="9937" w:hanging="360"/>
      </w:pPr>
      <w:rPr>
        <w:rFonts w:ascii="Courier New" w:hAnsi="Courier New" w:cs="Courier New" w:hint="default"/>
      </w:rPr>
    </w:lvl>
    <w:lvl w:ilvl="8" w:tplc="04160005" w:tentative="1">
      <w:start w:val="1"/>
      <w:numFmt w:val="bullet"/>
      <w:lvlText w:val=""/>
      <w:lvlJc w:val="left"/>
      <w:pPr>
        <w:ind w:left="10657" w:hanging="360"/>
      </w:pPr>
      <w:rPr>
        <w:rFonts w:ascii="Wingdings" w:hAnsi="Wingdings" w:hint="default"/>
      </w:rPr>
    </w:lvl>
  </w:abstractNum>
  <w:abstractNum w:abstractNumId="391">
    <w:nsid w:val="5EC452AC"/>
    <w:multiLevelType w:val="hybridMultilevel"/>
    <w:tmpl w:val="1CC63C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2">
    <w:nsid w:val="5EFA65ED"/>
    <w:multiLevelType w:val="singleLevel"/>
    <w:tmpl w:val="095C6BA2"/>
    <w:lvl w:ilvl="0">
      <w:start w:val="1"/>
      <w:numFmt w:val="decimal"/>
      <w:lvlText w:val="%1."/>
      <w:lvlJc w:val="left"/>
      <w:pPr>
        <w:tabs>
          <w:tab w:val="num" w:pos="360"/>
        </w:tabs>
        <w:ind w:left="360" w:hanging="360"/>
      </w:pPr>
    </w:lvl>
  </w:abstractNum>
  <w:abstractNum w:abstractNumId="393">
    <w:nsid w:val="5F157424"/>
    <w:multiLevelType w:val="hybridMultilevel"/>
    <w:tmpl w:val="9F7E1436"/>
    <w:lvl w:ilvl="0" w:tplc="E52C8F02">
      <w:start w:val="1"/>
      <w:numFmt w:val="bullet"/>
      <w:lvlText w:val=""/>
      <w:lvlJc w:val="left"/>
      <w:pPr>
        <w:ind w:left="360" w:hanging="360"/>
      </w:pPr>
      <w:rPr>
        <w:rFonts w:ascii="Symbol" w:hAnsi="Symbol" w:hint="default"/>
      </w:rPr>
    </w:lvl>
    <w:lvl w:ilvl="1" w:tplc="B2C0DC14" w:tentative="1">
      <w:start w:val="1"/>
      <w:numFmt w:val="bullet"/>
      <w:lvlText w:val="o"/>
      <w:lvlJc w:val="left"/>
      <w:pPr>
        <w:ind w:left="1080" w:hanging="360"/>
      </w:pPr>
      <w:rPr>
        <w:rFonts w:ascii="Courier New" w:hAnsi="Courier New" w:cs="Courier New" w:hint="default"/>
      </w:rPr>
    </w:lvl>
    <w:lvl w:ilvl="2" w:tplc="87820D64" w:tentative="1">
      <w:start w:val="1"/>
      <w:numFmt w:val="bullet"/>
      <w:lvlText w:val=""/>
      <w:lvlJc w:val="left"/>
      <w:pPr>
        <w:ind w:left="1800" w:hanging="360"/>
      </w:pPr>
      <w:rPr>
        <w:rFonts w:ascii="Wingdings" w:hAnsi="Wingdings" w:hint="default"/>
      </w:rPr>
    </w:lvl>
    <w:lvl w:ilvl="3" w:tplc="F5287FC8" w:tentative="1">
      <w:start w:val="1"/>
      <w:numFmt w:val="bullet"/>
      <w:lvlText w:val=""/>
      <w:lvlJc w:val="left"/>
      <w:pPr>
        <w:ind w:left="2520" w:hanging="360"/>
      </w:pPr>
      <w:rPr>
        <w:rFonts w:ascii="Symbol" w:hAnsi="Symbol" w:hint="default"/>
      </w:rPr>
    </w:lvl>
    <w:lvl w:ilvl="4" w:tplc="AE3E1F0A" w:tentative="1">
      <w:start w:val="1"/>
      <w:numFmt w:val="bullet"/>
      <w:lvlText w:val="o"/>
      <w:lvlJc w:val="left"/>
      <w:pPr>
        <w:ind w:left="3240" w:hanging="360"/>
      </w:pPr>
      <w:rPr>
        <w:rFonts w:ascii="Courier New" w:hAnsi="Courier New" w:cs="Courier New" w:hint="default"/>
      </w:rPr>
    </w:lvl>
    <w:lvl w:ilvl="5" w:tplc="2D021FAE" w:tentative="1">
      <w:start w:val="1"/>
      <w:numFmt w:val="bullet"/>
      <w:lvlText w:val=""/>
      <w:lvlJc w:val="left"/>
      <w:pPr>
        <w:ind w:left="3960" w:hanging="360"/>
      </w:pPr>
      <w:rPr>
        <w:rFonts w:ascii="Wingdings" w:hAnsi="Wingdings" w:hint="default"/>
      </w:rPr>
    </w:lvl>
    <w:lvl w:ilvl="6" w:tplc="D5526CFA" w:tentative="1">
      <w:start w:val="1"/>
      <w:numFmt w:val="bullet"/>
      <w:lvlText w:val=""/>
      <w:lvlJc w:val="left"/>
      <w:pPr>
        <w:ind w:left="4680" w:hanging="360"/>
      </w:pPr>
      <w:rPr>
        <w:rFonts w:ascii="Symbol" w:hAnsi="Symbol" w:hint="default"/>
      </w:rPr>
    </w:lvl>
    <w:lvl w:ilvl="7" w:tplc="4B86AC20" w:tentative="1">
      <w:start w:val="1"/>
      <w:numFmt w:val="bullet"/>
      <w:lvlText w:val="o"/>
      <w:lvlJc w:val="left"/>
      <w:pPr>
        <w:ind w:left="5400" w:hanging="360"/>
      </w:pPr>
      <w:rPr>
        <w:rFonts w:ascii="Courier New" w:hAnsi="Courier New" w:cs="Courier New" w:hint="default"/>
      </w:rPr>
    </w:lvl>
    <w:lvl w:ilvl="8" w:tplc="CE88B5FA" w:tentative="1">
      <w:start w:val="1"/>
      <w:numFmt w:val="bullet"/>
      <w:lvlText w:val=""/>
      <w:lvlJc w:val="left"/>
      <w:pPr>
        <w:ind w:left="6120" w:hanging="360"/>
      </w:pPr>
      <w:rPr>
        <w:rFonts w:ascii="Wingdings" w:hAnsi="Wingdings" w:hint="default"/>
      </w:rPr>
    </w:lvl>
  </w:abstractNum>
  <w:abstractNum w:abstractNumId="394">
    <w:nsid w:val="5F713C71"/>
    <w:multiLevelType w:val="hybridMultilevel"/>
    <w:tmpl w:val="EF96F768"/>
    <w:lvl w:ilvl="0" w:tplc="04160001">
      <w:start w:val="1"/>
      <w:numFmt w:val="bullet"/>
      <w:lvlText w:val=""/>
      <w:lvlJc w:val="left"/>
      <w:pPr>
        <w:ind w:left="644" w:hanging="360"/>
      </w:pPr>
      <w:rPr>
        <w:rFonts w:ascii="Symbol" w:hAnsi="Symbol" w:hint="default"/>
      </w:rPr>
    </w:lvl>
    <w:lvl w:ilvl="1" w:tplc="04160003" w:tentative="1">
      <w:start w:val="1"/>
      <w:numFmt w:val="bullet"/>
      <w:lvlText w:val="o"/>
      <w:lvlJc w:val="left"/>
      <w:pPr>
        <w:ind w:left="1364" w:hanging="360"/>
      </w:pPr>
      <w:rPr>
        <w:rFonts w:ascii="Courier New" w:hAnsi="Courier New" w:cs="Courier New" w:hint="default"/>
      </w:rPr>
    </w:lvl>
    <w:lvl w:ilvl="2" w:tplc="04160005" w:tentative="1">
      <w:start w:val="1"/>
      <w:numFmt w:val="bullet"/>
      <w:lvlText w:val=""/>
      <w:lvlJc w:val="left"/>
      <w:pPr>
        <w:ind w:left="2084" w:hanging="360"/>
      </w:pPr>
      <w:rPr>
        <w:rFonts w:ascii="Wingdings" w:hAnsi="Wingdings" w:hint="default"/>
      </w:rPr>
    </w:lvl>
    <w:lvl w:ilvl="3" w:tplc="04160001" w:tentative="1">
      <w:start w:val="1"/>
      <w:numFmt w:val="bullet"/>
      <w:lvlText w:val=""/>
      <w:lvlJc w:val="left"/>
      <w:pPr>
        <w:ind w:left="2804" w:hanging="360"/>
      </w:pPr>
      <w:rPr>
        <w:rFonts w:ascii="Symbol" w:hAnsi="Symbol" w:hint="default"/>
      </w:rPr>
    </w:lvl>
    <w:lvl w:ilvl="4" w:tplc="04160003" w:tentative="1">
      <w:start w:val="1"/>
      <w:numFmt w:val="bullet"/>
      <w:lvlText w:val="o"/>
      <w:lvlJc w:val="left"/>
      <w:pPr>
        <w:ind w:left="3524" w:hanging="360"/>
      </w:pPr>
      <w:rPr>
        <w:rFonts w:ascii="Courier New" w:hAnsi="Courier New" w:cs="Courier New" w:hint="default"/>
      </w:rPr>
    </w:lvl>
    <w:lvl w:ilvl="5" w:tplc="04160005" w:tentative="1">
      <w:start w:val="1"/>
      <w:numFmt w:val="bullet"/>
      <w:lvlText w:val=""/>
      <w:lvlJc w:val="left"/>
      <w:pPr>
        <w:ind w:left="4244" w:hanging="360"/>
      </w:pPr>
      <w:rPr>
        <w:rFonts w:ascii="Wingdings" w:hAnsi="Wingdings" w:hint="default"/>
      </w:rPr>
    </w:lvl>
    <w:lvl w:ilvl="6" w:tplc="04160001" w:tentative="1">
      <w:start w:val="1"/>
      <w:numFmt w:val="bullet"/>
      <w:lvlText w:val=""/>
      <w:lvlJc w:val="left"/>
      <w:pPr>
        <w:ind w:left="4964" w:hanging="360"/>
      </w:pPr>
      <w:rPr>
        <w:rFonts w:ascii="Symbol" w:hAnsi="Symbol" w:hint="default"/>
      </w:rPr>
    </w:lvl>
    <w:lvl w:ilvl="7" w:tplc="04160003" w:tentative="1">
      <w:start w:val="1"/>
      <w:numFmt w:val="bullet"/>
      <w:lvlText w:val="o"/>
      <w:lvlJc w:val="left"/>
      <w:pPr>
        <w:ind w:left="5684" w:hanging="360"/>
      </w:pPr>
      <w:rPr>
        <w:rFonts w:ascii="Courier New" w:hAnsi="Courier New" w:cs="Courier New" w:hint="default"/>
      </w:rPr>
    </w:lvl>
    <w:lvl w:ilvl="8" w:tplc="04160005" w:tentative="1">
      <w:start w:val="1"/>
      <w:numFmt w:val="bullet"/>
      <w:lvlText w:val=""/>
      <w:lvlJc w:val="left"/>
      <w:pPr>
        <w:ind w:left="6404" w:hanging="360"/>
      </w:pPr>
      <w:rPr>
        <w:rFonts w:ascii="Wingdings" w:hAnsi="Wingdings" w:hint="default"/>
      </w:rPr>
    </w:lvl>
  </w:abstractNum>
  <w:abstractNum w:abstractNumId="395">
    <w:nsid w:val="5F911544"/>
    <w:multiLevelType w:val="hybridMultilevel"/>
    <w:tmpl w:val="26525A20"/>
    <w:lvl w:ilvl="0" w:tplc="04090001">
      <w:start w:val="1"/>
      <w:numFmt w:val="bullet"/>
      <w:lvlText w:val="•"/>
      <w:lvlJc w:val="left"/>
      <w:pPr>
        <w:ind w:left="319" w:hanging="144"/>
      </w:pPr>
      <w:rPr>
        <w:rFonts w:ascii="Times New Roman" w:eastAsia="Times New Roman" w:hAnsi="Times New Roman" w:hint="default"/>
        <w:color w:val="1A1A1A"/>
        <w:w w:val="126"/>
        <w:sz w:val="23"/>
        <w:szCs w:val="23"/>
      </w:rPr>
    </w:lvl>
    <w:lvl w:ilvl="1" w:tplc="04090003">
      <w:start w:val="1"/>
      <w:numFmt w:val="bullet"/>
      <w:lvlText w:val="•"/>
      <w:lvlJc w:val="left"/>
      <w:pPr>
        <w:ind w:left="2331" w:hanging="346"/>
      </w:pPr>
      <w:rPr>
        <w:rFonts w:ascii="Times New Roman" w:eastAsia="Times New Roman" w:hAnsi="Times New Roman" w:hint="default"/>
        <w:w w:val="151"/>
      </w:rPr>
    </w:lvl>
    <w:lvl w:ilvl="2" w:tplc="04090005">
      <w:start w:val="1"/>
      <w:numFmt w:val="bullet"/>
      <w:lvlText w:val="•"/>
      <w:lvlJc w:val="left"/>
      <w:pPr>
        <w:ind w:left="1530" w:hanging="324"/>
      </w:pPr>
      <w:rPr>
        <w:rFonts w:ascii="Times New Roman" w:eastAsia="Times New Roman" w:hAnsi="Times New Roman" w:hint="default"/>
        <w:color w:val="111111"/>
        <w:w w:val="139"/>
        <w:sz w:val="23"/>
        <w:szCs w:val="23"/>
      </w:rPr>
    </w:lvl>
    <w:lvl w:ilvl="3" w:tplc="04090001">
      <w:start w:val="1"/>
      <w:numFmt w:val="bullet"/>
      <w:lvlText w:val="•"/>
      <w:lvlJc w:val="left"/>
      <w:pPr>
        <w:ind w:left="2682" w:hanging="324"/>
      </w:pPr>
      <w:rPr>
        <w:rFonts w:hint="default"/>
      </w:rPr>
    </w:lvl>
    <w:lvl w:ilvl="4" w:tplc="04090003">
      <w:start w:val="1"/>
      <w:numFmt w:val="bullet"/>
      <w:lvlText w:val="•"/>
      <w:lvlJc w:val="left"/>
      <w:pPr>
        <w:ind w:left="3825" w:hanging="324"/>
      </w:pPr>
      <w:rPr>
        <w:rFonts w:hint="default"/>
      </w:rPr>
    </w:lvl>
    <w:lvl w:ilvl="5" w:tplc="04090005">
      <w:start w:val="1"/>
      <w:numFmt w:val="bullet"/>
      <w:lvlText w:val="•"/>
      <w:lvlJc w:val="left"/>
      <w:pPr>
        <w:ind w:left="4967" w:hanging="324"/>
      </w:pPr>
      <w:rPr>
        <w:rFonts w:hint="default"/>
      </w:rPr>
    </w:lvl>
    <w:lvl w:ilvl="6" w:tplc="04090001">
      <w:start w:val="1"/>
      <w:numFmt w:val="bullet"/>
      <w:lvlText w:val="•"/>
      <w:lvlJc w:val="left"/>
      <w:pPr>
        <w:ind w:left="6110" w:hanging="324"/>
      </w:pPr>
      <w:rPr>
        <w:rFonts w:hint="default"/>
      </w:rPr>
    </w:lvl>
    <w:lvl w:ilvl="7" w:tplc="04090003">
      <w:start w:val="1"/>
      <w:numFmt w:val="bullet"/>
      <w:lvlText w:val="•"/>
      <w:lvlJc w:val="left"/>
      <w:pPr>
        <w:ind w:left="7252" w:hanging="324"/>
      </w:pPr>
      <w:rPr>
        <w:rFonts w:hint="default"/>
      </w:rPr>
    </w:lvl>
    <w:lvl w:ilvl="8" w:tplc="04090005">
      <w:start w:val="1"/>
      <w:numFmt w:val="bullet"/>
      <w:lvlText w:val="•"/>
      <w:lvlJc w:val="left"/>
      <w:pPr>
        <w:ind w:left="8395" w:hanging="324"/>
      </w:pPr>
      <w:rPr>
        <w:rFonts w:hint="default"/>
      </w:rPr>
    </w:lvl>
  </w:abstractNum>
  <w:abstractNum w:abstractNumId="396">
    <w:nsid w:val="5FF3298F"/>
    <w:multiLevelType w:val="hybridMultilevel"/>
    <w:tmpl w:val="B1B4BD7A"/>
    <w:lvl w:ilvl="0" w:tplc="EB78D996">
      <w:start w:val="1"/>
      <w:numFmt w:val="bullet"/>
      <w:lvlText w:val=""/>
      <w:lvlJc w:val="left"/>
      <w:pPr>
        <w:ind w:left="720" w:hanging="360"/>
      </w:pPr>
      <w:rPr>
        <w:rFonts w:ascii="Wingdings" w:hAnsi="Wingdings" w:hint="default"/>
      </w:rPr>
    </w:lvl>
    <w:lvl w:ilvl="1" w:tplc="DBA029FA" w:tentative="1">
      <w:start w:val="1"/>
      <w:numFmt w:val="bullet"/>
      <w:lvlText w:val="o"/>
      <w:lvlJc w:val="left"/>
      <w:pPr>
        <w:ind w:left="1440" w:hanging="360"/>
      </w:pPr>
      <w:rPr>
        <w:rFonts w:ascii="Courier New" w:hAnsi="Courier New" w:cs="Courier New" w:hint="default"/>
      </w:rPr>
    </w:lvl>
    <w:lvl w:ilvl="2" w:tplc="A908350E" w:tentative="1">
      <w:start w:val="1"/>
      <w:numFmt w:val="bullet"/>
      <w:lvlText w:val=""/>
      <w:lvlJc w:val="left"/>
      <w:pPr>
        <w:ind w:left="2160" w:hanging="360"/>
      </w:pPr>
      <w:rPr>
        <w:rFonts w:ascii="Wingdings" w:hAnsi="Wingdings" w:hint="default"/>
      </w:rPr>
    </w:lvl>
    <w:lvl w:ilvl="3" w:tplc="BA6C504A" w:tentative="1">
      <w:start w:val="1"/>
      <w:numFmt w:val="bullet"/>
      <w:lvlText w:val=""/>
      <w:lvlJc w:val="left"/>
      <w:pPr>
        <w:ind w:left="2880" w:hanging="360"/>
      </w:pPr>
      <w:rPr>
        <w:rFonts w:ascii="Symbol" w:hAnsi="Symbol" w:hint="default"/>
      </w:rPr>
    </w:lvl>
    <w:lvl w:ilvl="4" w:tplc="7A38314C" w:tentative="1">
      <w:start w:val="1"/>
      <w:numFmt w:val="bullet"/>
      <w:lvlText w:val="o"/>
      <w:lvlJc w:val="left"/>
      <w:pPr>
        <w:ind w:left="3600" w:hanging="360"/>
      </w:pPr>
      <w:rPr>
        <w:rFonts w:ascii="Courier New" w:hAnsi="Courier New" w:cs="Courier New" w:hint="default"/>
      </w:rPr>
    </w:lvl>
    <w:lvl w:ilvl="5" w:tplc="97C4CB68" w:tentative="1">
      <w:start w:val="1"/>
      <w:numFmt w:val="bullet"/>
      <w:lvlText w:val=""/>
      <w:lvlJc w:val="left"/>
      <w:pPr>
        <w:ind w:left="4320" w:hanging="360"/>
      </w:pPr>
      <w:rPr>
        <w:rFonts w:ascii="Wingdings" w:hAnsi="Wingdings" w:hint="default"/>
      </w:rPr>
    </w:lvl>
    <w:lvl w:ilvl="6" w:tplc="DA92C4F0" w:tentative="1">
      <w:start w:val="1"/>
      <w:numFmt w:val="bullet"/>
      <w:lvlText w:val=""/>
      <w:lvlJc w:val="left"/>
      <w:pPr>
        <w:ind w:left="5040" w:hanging="360"/>
      </w:pPr>
      <w:rPr>
        <w:rFonts w:ascii="Symbol" w:hAnsi="Symbol" w:hint="default"/>
      </w:rPr>
    </w:lvl>
    <w:lvl w:ilvl="7" w:tplc="CEA8A4F8" w:tentative="1">
      <w:start w:val="1"/>
      <w:numFmt w:val="bullet"/>
      <w:lvlText w:val="o"/>
      <w:lvlJc w:val="left"/>
      <w:pPr>
        <w:ind w:left="5760" w:hanging="360"/>
      </w:pPr>
      <w:rPr>
        <w:rFonts w:ascii="Courier New" w:hAnsi="Courier New" w:cs="Courier New" w:hint="default"/>
      </w:rPr>
    </w:lvl>
    <w:lvl w:ilvl="8" w:tplc="659EF626" w:tentative="1">
      <w:start w:val="1"/>
      <w:numFmt w:val="bullet"/>
      <w:lvlText w:val=""/>
      <w:lvlJc w:val="left"/>
      <w:pPr>
        <w:ind w:left="6480" w:hanging="360"/>
      </w:pPr>
      <w:rPr>
        <w:rFonts w:ascii="Wingdings" w:hAnsi="Wingdings" w:hint="default"/>
      </w:rPr>
    </w:lvl>
  </w:abstractNum>
  <w:abstractNum w:abstractNumId="397">
    <w:nsid w:val="60056DBE"/>
    <w:multiLevelType w:val="hybridMultilevel"/>
    <w:tmpl w:val="C706E7D2"/>
    <w:lvl w:ilvl="0" w:tplc="0416000D">
      <w:start w:val="1"/>
      <w:numFmt w:val="bullet"/>
      <w:lvlText w:val=""/>
      <w:lvlJc w:val="left"/>
      <w:pPr>
        <w:tabs>
          <w:tab w:val="num" w:pos="720"/>
        </w:tabs>
        <w:ind w:left="720" w:hanging="360"/>
      </w:pPr>
      <w:rPr>
        <w:rFonts w:ascii="Wingdings" w:hAnsi="Wingdings" w:hint="default"/>
      </w:rPr>
    </w:lvl>
    <w:lvl w:ilvl="1" w:tplc="04160003">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Wingdings" w:hAnsi="Wingdings" w:hint="default"/>
      </w:rPr>
    </w:lvl>
    <w:lvl w:ilvl="4" w:tplc="04160003" w:tentative="1">
      <w:start w:val="1"/>
      <w:numFmt w:val="bullet"/>
      <w:lvlText w:val=""/>
      <w:lvlJc w:val="left"/>
      <w:pPr>
        <w:tabs>
          <w:tab w:val="num" w:pos="3600"/>
        </w:tabs>
        <w:ind w:left="3600" w:hanging="360"/>
      </w:pPr>
      <w:rPr>
        <w:rFonts w:ascii="Wingdings" w:hAnsi="Wingdings"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Wingdings" w:hAnsi="Wingdings" w:hint="default"/>
      </w:rPr>
    </w:lvl>
    <w:lvl w:ilvl="7" w:tplc="04160003" w:tentative="1">
      <w:start w:val="1"/>
      <w:numFmt w:val="bullet"/>
      <w:lvlText w:val=""/>
      <w:lvlJc w:val="left"/>
      <w:pPr>
        <w:tabs>
          <w:tab w:val="num" w:pos="5760"/>
        </w:tabs>
        <w:ind w:left="5760" w:hanging="360"/>
      </w:pPr>
      <w:rPr>
        <w:rFonts w:ascii="Wingdings" w:hAnsi="Wingdings"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98">
    <w:nsid w:val="604A53F1"/>
    <w:multiLevelType w:val="hybridMultilevel"/>
    <w:tmpl w:val="469EA6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9">
    <w:nsid w:val="60851FAF"/>
    <w:multiLevelType w:val="hybridMultilevel"/>
    <w:tmpl w:val="CE46FA30"/>
    <w:lvl w:ilvl="0" w:tplc="04160001">
      <w:start w:val="1"/>
      <w:numFmt w:val="decimal"/>
      <w:lvlText w:val="%1."/>
      <w:lvlJc w:val="left"/>
      <w:pPr>
        <w:ind w:left="1065" w:hanging="360"/>
      </w:pPr>
      <w:rPr>
        <w:rFonts w:hint="default"/>
        <w:b/>
      </w:rPr>
    </w:lvl>
    <w:lvl w:ilvl="1" w:tplc="04160003" w:tentative="1">
      <w:start w:val="1"/>
      <w:numFmt w:val="lowerLetter"/>
      <w:lvlText w:val="%2."/>
      <w:lvlJc w:val="left"/>
      <w:pPr>
        <w:ind w:left="1785" w:hanging="360"/>
      </w:pPr>
    </w:lvl>
    <w:lvl w:ilvl="2" w:tplc="04160005" w:tentative="1">
      <w:start w:val="1"/>
      <w:numFmt w:val="lowerRoman"/>
      <w:lvlText w:val="%3."/>
      <w:lvlJc w:val="right"/>
      <w:pPr>
        <w:ind w:left="2505" w:hanging="180"/>
      </w:pPr>
    </w:lvl>
    <w:lvl w:ilvl="3" w:tplc="04160001" w:tentative="1">
      <w:start w:val="1"/>
      <w:numFmt w:val="decimal"/>
      <w:lvlText w:val="%4."/>
      <w:lvlJc w:val="left"/>
      <w:pPr>
        <w:ind w:left="3225" w:hanging="360"/>
      </w:pPr>
    </w:lvl>
    <w:lvl w:ilvl="4" w:tplc="04160003" w:tentative="1">
      <w:start w:val="1"/>
      <w:numFmt w:val="lowerLetter"/>
      <w:lvlText w:val="%5."/>
      <w:lvlJc w:val="left"/>
      <w:pPr>
        <w:ind w:left="3945" w:hanging="360"/>
      </w:pPr>
    </w:lvl>
    <w:lvl w:ilvl="5" w:tplc="04160005" w:tentative="1">
      <w:start w:val="1"/>
      <w:numFmt w:val="lowerRoman"/>
      <w:lvlText w:val="%6."/>
      <w:lvlJc w:val="right"/>
      <w:pPr>
        <w:ind w:left="4665" w:hanging="180"/>
      </w:pPr>
    </w:lvl>
    <w:lvl w:ilvl="6" w:tplc="04160001" w:tentative="1">
      <w:start w:val="1"/>
      <w:numFmt w:val="decimal"/>
      <w:lvlText w:val="%7."/>
      <w:lvlJc w:val="left"/>
      <w:pPr>
        <w:ind w:left="5385" w:hanging="360"/>
      </w:pPr>
    </w:lvl>
    <w:lvl w:ilvl="7" w:tplc="04160003" w:tentative="1">
      <w:start w:val="1"/>
      <w:numFmt w:val="lowerLetter"/>
      <w:lvlText w:val="%8."/>
      <w:lvlJc w:val="left"/>
      <w:pPr>
        <w:ind w:left="6105" w:hanging="360"/>
      </w:pPr>
    </w:lvl>
    <w:lvl w:ilvl="8" w:tplc="04160005" w:tentative="1">
      <w:start w:val="1"/>
      <w:numFmt w:val="lowerRoman"/>
      <w:lvlText w:val="%9."/>
      <w:lvlJc w:val="right"/>
      <w:pPr>
        <w:ind w:left="6825" w:hanging="180"/>
      </w:pPr>
    </w:lvl>
  </w:abstractNum>
  <w:abstractNum w:abstractNumId="400">
    <w:nsid w:val="61387181"/>
    <w:multiLevelType w:val="hybridMultilevel"/>
    <w:tmpl w:val="510EE3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1">
    <w:nsid w:val="613D1DFC"/>
    <w:multiLevelType w:val="hybridMultilevel"/>
    <w:tmpl w:val="09CE871C"/>
    <w:lvl w:ilvl="0" w:tplc="04160001">
      <w:start w:val="1"/>
      <w:numFmt w:val="decimal"/>
      <w:lvlText w:val="%1."/>
      <w:lvlJc w:val="left"/>
      <w:pPr>
        <w:ind w:left="720" w:hanging="360"/>
      </w:pPr>
    </w:lvl>
    <w:lvl w:ilvl="1" w:tplc="04160003">
      <w:start w:val="1"/>
      <w:numFmt w:val="decimal"/>
      <w:lvlText w:val="%2."/>
      <w:lvlJc w:val="left"/>
      <w:pPr>
        <w:tabs>
          <w:tab w:val="num" w:pos="1440"/>
        </w:tabs>
        <w:ind w:left="1440" w:hanging="360"/>
      </w:pPr>
    </w:lvl>
    <w:lvl w:ilvl="2" w:tplc="5002C1A8">
      <w:start w:val="1"/>
      <w:numFmt w:val="decimal"/>
      <w:lvlText w:val="%3."/>
      <w:lvlJc w:val="left"/>
      <w:pPr>
        <w:tabs>
          <w:tab w:val="num" w:pos="2160"/>
        </w:tabs>
        <w:ind w:left="2160" w:hanging="360"/>
      </w:pPr>
    </w:lvl>
    <w:lvl w:ilvl="3" w:tplc="D2408C4E">
      <w:start w:val="1"/>
      <w:numFmt w:val="decimal"/>
      <w:lvlText w:val="%4."/>
      <w:lvlJc w:val="left"/>
      <w:pPr>
        <w:tabs>
          <w:tab w:val="num" w:pos="2880"/>
        </w:tabs>
        <w:ind w:left="2880" w:hanging="360"/>
      </w:pPr>
    </w:lvl>
    <w:lvl w:ilvl="4" w:tplc="38F8FEE2">
      <w:start w:val="1"/>
      <w:numFmt w:val="decimal"/>
      <w:lvlText w:val="%5."/>
      <w:lvlJc w:val="left"/>
      <w:pPr>
        <w:tabs>
          <w:tab w:val="num" w:pos="3600"/>
        </w:tabs>
        <w:ind w:left="3600" w:hanging="360"/>
      </w:pPr>
    </w:lvl>
    <w:lvl w:ilvl="5" w:tplc="CB1A3232">
      <w:start w:val="1"/>
      <w:numFmt w:val="decimal"/>
      <w:lvlText w:val="%6."/>
      <w:lvlJc w:val="left"/>
      <w:pPr>
        <w:tabs>
          <w:tab w:val="num" w:pos="4320"/>
        </w:tabs>
        <w:ind w:left="4320" w:hanging="360"/>
      </w:pPr>
    </w:lvl>
    <w:lvl w:ilvl="6" w:tplc="F3FA7506">
      <w:start w:val="1"/>
      <w:numFmt w:val="decimal"/>
      <w:lvlText w:val="%7."/>
      <w:lvlJc w:val="left"/>
      <w:pPr>
        <w:tabs>
          <w:tab w:val="num" w:pos="5040"/>
        </w:tabs>
        <w:ind w:left="5040" w:hanging="360"/>
      </w:pPr>
    </w:lvl>
    <w:lvl w:ilvl="7" w:tplc="00727674">
      <w:start w:val="1"/>
      <w:numFmt w:val="decimal"/>
      <w:lvlText w:val="%8."/>
      <w:lvlJc w:val="left"/>
      <w:pPr>
        <w:tabs>
          <w:tab w:val="num" w:pos="5760"/>
        </w:tabs>
        <w:ind w:left="5760" w:hanging="360"/>
      </w:pPr>
    </w:lvl>
    <w:lvl w:ilvl="8" w:tplc="DCE861BE">
      <w:start w:val="1"/>
      <w:numFmt w:val="decimal"/>
      <w:lvlText w:val="%9."/>
      <w:lvlJc w:val="left"/>
      <w:pPr>
        <w:tabs>
          <w:tab w:val="num" w:pos="6480"/>
        </w:tabs>
        <w:ind w:left="6480" w:hanging="360"/>
      </w:pPr>
    </w:lvl>
  </w:abstractNum>
  <w:abstractNum w:abstractNumId="402">
    <w:nsid w:val="61B51719"/>
    <w:multiLevelType w:val="hybridMultilevel"/>
    <w:tmpl w:val="CC347D7E"/>
    <w:lvl w:ilvl="0" w:tplc="B936ED38">
      <w:start w:val="1"/>
      <w:numFmt w:val="bullet"/>
      <w:lvlText w:val=""/>
      <w:lvlJc w:val="left"/>
      <w:pPr>
        <w:ind w:left="1004" w:hanging="360"/>
      </w:pPr>
      <w:rPr>
        <w:rFonts w:ascii="Symbol" w:hAnsi="Symbol" w:hint="default"/>
      </w:rPr>
    </w:lvl>
    <w:lvl w:ilvl="1" w:tplc="04160019" w:tentative="1">
      <w:start w:val="1"/>
      <w:numFmt w:val="bullet"/>
      <w:lvlText w:val="o"/>
      <w:lvlJc w:val="left"/>
      <w:pPr>
        <w:ind w:left="1724" w:hanging="360"/>
      </w:pPr>
      <w:rPr>
        <w:rFonts w:ascii="Courier New" w:hAnsi="Courier New" w:cs="Courier New" w:hint="default"/>
      </w:rPr>
    </w:lvl>
    <w:lvl w:ilvl="2" w:tplc="0416001B" w:tentative="1">
      <w:start w:val="1"/>
      <w:numFmt w:val="bullet"/>
      <w:lvlText w:val=""/>
      <w:lvlJc w:val="left"/>
      <w:pPr>
        <w:ind w:left="2444" w:hanging="360"/>
      </w:pPr>
      <w:rPr>
        <w:rFonts w:ascii="Wingdings" w:hAnsi="Wingdings" w:hint="default"/>
      </w:rPr>
    </w:lvl>
    <w:lvl w:ilvl="3" w:tplc="0416000F" w:tentative="1">
      <w:start w:val="1"/>
      <w:numFmt w:val="bullet"/>
      <w:lvlText w:val=""/>
      <w:lvlJc w:val="left"/>
      <w:pPr>
        <w:ind w:left="3164" w:hanging="360"/>
      </w:pPr>
      <w:rPr>
        <w:rFonts w:ascii="Symbol" w:hAnsi="Symbol" w:hint="default"/>
      </w:rPr>
    </w:lvl>
    <w:lvl w:ilvl="4" w:tplc="04160019" w:tentative="1">
      <w:start w:val="1"/>
      <w:numFmt w:val="bullet"/>
      <w:lvlText w:val="o"/>
      <w:lvlJc w:val="left"/>
      <w:pPr>
        <w:ind w:left="3884" w:hanging="360"/>
      </w:pPr>
      <w:rPr>
        <w:rFonts w:ascii="Courier New" w:hAnsi="Courier New" w:cs="Courier New" w:hint="default"/>
      </w:rPr>
    </w:lvl>
    <w:lvl w:ilvl="5" w:tplc="0416001B" w:tentative="1">
      <w:start w:val="1"/>
      <w:numFmt w:val="bullet"/>
      <w:lvlText w:val=""/>
      <w:lvlJc w:val="left"/>
      <w:pPr>
        <w:ind w:left="4604" w:hanging="360"/>
      </w:pPr>
      <w:rPr>
        <w:rFonts w:ascii="Wingdings" w:hAnsi="Wingdings" w:hint="default"/>
      </w:rPr>
    </w:lvl>
    <w:lvl w:ilvl="6" w:tplc="0416000F" w:tentative="1">
      <w:start w:val="1"/>
      <w:numFmt w:val="bullet"/>
      <w:lvlText w:val=""/>
      <w:lvlJc w:val="left"/>
      <w:pPr>
        <w:ind w:left="5324" w:hanging="360"/>
      </w:pPr>
      <w:rPr>
        <w:rFonts w:ascii="Symbol" w:hAnsi="Symbol" w:hint="default"/>
      </w:rPr>
    </w:lvl>
    <w:lvl w:ilvl="7" w:tplc="04160019" w:tentative="1">
      <w:start w:val="1"/>
      <w:numFmt w:val="bullet"/>
      <w:lvlText w:val="o"/>
      <w:lvlJc w:val="left"/>
      <w:pPr>
        <w:ind w:left="6044" w:hanging="360"/>
      </w:pPr>
      <w:rPr>
        <w:rFonts w:ascii="Courier New" w:hAnsi="Courier New" w:cs="Courier New" w:hint="default"/>
      </w:rPr>
    </w:lvl>
    <w:lvl w:ilvl="8" w:tplc="0416001B" w:tentative="1">
      <w:start w:val="1"/>
      <w:numFmt w:val="bullet"/>
      <w:lvlText w:val=""/>
      <w:lvlJc w:val="left"/>
      <w:pPr>
        <w:ind w:left="6764" w:hanging="360"/>
      </w:pPr>
      <w:rPr>
        <w:rFonts w:ascii="Wingdings" w:hAnsi="Wingdings" w:hint="default"/>
      </w:rPr>
    </w:lvl>
  </w:abstractNum>
  <w:abstractNum w:abstractNumId="403">
    <w:nsid w:val="61D74159"/>
    <w:multiLevelType w:val="hybridMultilevel"/>
    <w:tmpl w:val="497C7842"/>
    <w:lvl w:ilvl="0" w:tplc="C6600DD0">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404">
    <w:nsid w:val="6227483C"/>
    <w:multiLevelType w:val="hybridMultilevel"/>
    <w:tmpl w:val="D30AB876"/>
    <w:lvl w:ilvl="0" w:tplc="04160001">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05">
    <w:nsid w:val="62841AFB"/>
    <w:multiLevelType w:val="hybridMultilevel"/>
    <w:tmpl w:val="7ACAFA90"/>
    <w:lvl w:ilvl="0" w:tplc="04160001">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6">
    <w:nsid w:val="62B34510"/>
    <w:multiLevelType w:val="hybridMultilevel"/>
    <w:tmpl w:val="4FC8257E"/>
    <w:lvl w:ilvl="0" w:tplc="04160003">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7">
    <w:nsid w:val="62DC6290"/>
    <w:multiLevelType w:val="multilevel"/>
    <w:tmpl w:val="A41C3F84"/>
    <w:lvl w:ilvl="0">
      <w:start w:val="1"/>
      <w:numFmt w:val="decimal"/>
      <w:lvlText w:val="%1."/>
      <w:lvlJc w:val="left"/>
      <w:pPr>
        <w:ind w:left="1548" w:hanging="281"/>
      </w:pPr>
      <w:rPr>
        <w:rFonts w:ascii="Times New Roman" w:eastAsia="Times New Roman" w:hAnsi="Times New Roman" w:hint="default"/>
        <w:b/>
        <w:bCs/>
        <w:w w:val="103"/>
      </w:rPr>
    </w:lvl>
    <w:lvl w:ilvl="1">
      <w:start w:val="1"/>
      <w:numFmt w:val="decimal"/>
      <w:lvlText w:val="%1.%2"/>
      <w:lvlJc w:val="left"/>
      <w:pPr>
        <w:ind w:left="1987" w:hanging="360"/>
      </w:pPr>
      <w:rPr>
        <w:rFonts w:ascii="Times New Roman" w:eastAsia="Times New Roman" w:hAnsi="Times New Roman" w:hint="default"/>
        <w:b/>
        <w:bCs/>
        <w:w w:val="101"/>
      </w:rPr>
    </w:lvl>
    <w:lvl w:ilvl="2">
      <w:start w:val="1"/>
      <w:numFmt w:val="decimal"/>
      <w:lvlText w:val="%1.%2.%3"/>
      <w:lvlJc w:val="left"/>
      <w:pPr>
        <w:ind w:left="2675" w:hanging="720"/>
      </w:pPr>
      <w:rPr>
        <w:rFonts w:ascii="Times New Roman" w:eastAsia="Times New Roman" w:hAnsi="Times New Roman" w:hint="default"/>
        <w:b/>
        <w:bCs/>
        <w:color w:val="1F1F1F"/>
        <w:spacing w:val="13"/>
        <w:w w:val="101"/>
        <w:sz w:val="23"/>
        <w:szCs w:val="23"/>
      </w:rPr>
    </w:lvl>
    <w:lvl w:ilvl="3">
      <w:start w:val="1"/>
      <w:numFmt w:val="bullet"/>
      <w:lvlText w:val="•"/>
      <w:lvlJc w:val="left"/>
      <w:pPr>
        <w:ind w:left="1960" w:hanging="720"/>
      </w:pPr>
      <w:rPr>
        <w:rFonts w:hint="default"/>
      </w:rPr>
    </w:lvl>
    <w:lvl w:ilvl="4">
      <w:start w:val="1"/>
      <w:numFmt w:val="bullet"/>
      <w:lvlText w:val="•"/>
      <w:lvlJc w:val="left"/>
      <w:pPr>
        <w:ind w:left="1980" w:hanging="720"/>
      </w:pPr>
      <w:rPr>
        <w:rFonts w:hint="default"/>
      </w:rPr>
    </w:lvl>
    <w:lvl w:ilvl="5">
      <w:start w:val="1"/>
      <w:numFmt w:val="bullet"/>
      <w:lvlText w:val="•"/>
      <w:lvlJc w:val="left"/>
      <w:pPr>
        <w:ind w:left="2680" w:hanging="720"/>
      </w:pPr>
      <w:rPr>
        <w:rFonts w:hint="default"/>
      </w:rPr>
    </w:lvl>
    <w:lvl w:ilvl="6">
      <w:start w:val="1"/>
      <w:numFmt w:val="bullet"/>
      <w:lvlText w:val="•"/>
      <w:lvlJc w:val="left"/>
      <w:pPr>
        <w:ind w:left="4280" w:hanging="720"/>
      </w:pPr>
      <w:rPr>
        <w:rFonts w:hint="default"/>
      </w:rPr>
    </w:lvl>
    <w:lvl w:ilvl="7">
      <w:start w:val="1"/>
      <w:numFmt w:val="bullet"/>
      <w:lvlText w:val="•"/>
      <w:lvlJc w:val="left"/>
      <w:pPr>
        <w:ind w:left="5880" w:hanging="720"/>
      </w:pPr>
      <w:rPr>
        <w:rFonts w:hint="default"/>
      </w:rPr>
    </w:lvl>
    <w:lvl w:ilvl="8">
      <w:start w:val="1"/>
      <w:numFmt w:val="bullet"/>
      <w:lvlText w:val="•"/>
      <w:lvlJc w:val="left"/>
      <w:pPr>
        <w:ind w:left="7480" w:hanging="720"/>
      </w:pPr>
      <w:rPr>
        <w:rFonts w:hint="default"/>
      </w:rPr>
    </w:lvl>
  </w:abstractNum>
  <w:abstractNum w:abstractNumId="408">
    <w:nsid w:val="632F43BD"/>
    <w:multiLevelType w:val="hybridMultilevel"/>
    <w:tmpl w:val="22348216"/>
    <w:lvl w:ilvl="0" w:tplc="B002CBE8">
      <w:start w:val="1"/>
      <w:numFmt w:val="bullet"/>
      <w:lvlText w:val=""/>
      <w:lvlJc w:val="left"/>
      <w:pPr>
        <w:ind w:left="795" w:hanging="360"/>
      </w:pPr>
      <w:rPr>
        <w:rFonts w:ascii="Symbol" w:hAnsi="Symbol" w:hint="default"/>
      </w:rPr>
    </w:lvl>
    <w:lvl w:ilvl="1" w:tplc="38B283AA" w:tentative="1">
      <w:start w:val="1"/>
      <w:numFmt w:val="bullet"/>
      <w:lvlText w:val="o"/>
      <w:lvlJc w:val="left"/>
      <w:pPr>
        <w:ind w:left="1515" w:hanging="360"/>
      </w:pPr>
      <w:rPr>
        <w:rFonts w:ascii="Courier New" w:hAnsi="Courier New" w:cs="Courier New" w:hint="default"/>
      </w:rPr>
    </w:lvl>
    <w:lvl w:ilvl="2" w:tplc="82903E86" w:tentative="1">
      <w:start w:val="1"/>
      <w:numFmt w:val="bullet"/>
      <w:lvlText w:val=""/>
      <w:lvlJc w:val="left"/>
      <w:pPr>
        <w:ind w:left="2235" w:hanging="360"/>
      </w:pPr>
      <w:rPr>
        <w:rFonts w:ascii="Wingdings" w:hAnsi="Wingdings" w:hint="default"/>
      </w:rPr>
    </w:lvl>
    <w:lvl w:ilvl="3" w:tplc="00B09C54" w:tentative="1">
      <w:start w:val="1"/>
      <w:numFmt w:val="bullet"/>
      <w:lvlText w:val=""/>
      <w:lvlJc w:val="left"/>
      <w:pPr>
        <w:ind w:left="2955" w:hanging="360"/>
      </w:pPr>
      <w:rPr>
        <w:rFonts w:ascii="Symbol" w:hAnsi="Symbol" w:hint="default"/>
      </w:rPr>
    </w:lvl>
    <w:lvl w:ilvl="4" w:tplc="B574AB2C" w:tentative="1">
      <w:start w:val="1"/>
      <w:numFmt w:val="bullet"/>
      <w:lvlText w:val="o"/>
      <w:lvlJc w:val="left"/>
      <w:pPr>
        <w:ind w:left="3675" w:hanging="360"/>
      </w:pPr>
      <w:rPr>
        <w:rFonts w:ascii="Courier New" w:hAnsi="Courier New" w:cs="Courier New" w:hint="default"/>
      </w:rPr>
    </w:lvl>
    <w:lvl w:ilvl="5" w:tplc="569ABFC2" w:tentative="1">
      <w:start w:val="1"/>
      <w:numFmt w:val="bullet"/>
      <w:lvlText w:val=""/>
      <w:lvlJc w:val="left"/>
      <w:pPr>
        <w:ind w:left="4395" w:hanging="360"/>
      </w:pPr>
      <w:rPr>
        <w:rFonts w:ascii="Wingdings" w:hAnsi="Wingdings" w:hint="default"/>
      </w:rPr>
    </w:lvl>
    <w:lvl w:ilvl="6" w:tplc="2D5EC1AC" w:tentative="1">
      <w:start w:val="1"/>
      <w:numFmt w:val="bullet"/>
      <w:lvlText w:val=""/>
      <w:lvlJc w:val="left"/>
      <w:pPr>
        <w:ind w:left="5115" w:hanging="360"/>
      </w:pPr>
      <w:rPr>
        <w:rFonts w:ascii="Symbol" w:hAnsi="Symbol" w:hint="default"/>
      </w:rPr>
    </w:lvl>
    <w:lvl w:ilvl="7" w:tplc="84169FFC" w:tentative="1">
      <w:start w:val="1"/>
      <w:numFmt w:val="bullet"/>
      <w:lvlText w:val="o"/>
      <w:lvlJc w:val="left"/>
      <w:pPr>
        <w:ind w:left="5835" w:hanging="360"/>
      </w:pPr>
      <w:rPr>
        <w:rFonts w:ascii="Courier New" w:hAnsi="Courier New" w:cs="Courier New" w:hint="default"/>
      </w:rPr>
    </w:lvl>
    <w:lvl w:ilvl="8" w:tplc="0B76FB36" w:tentative="1">
      <w:start w:val="1"/>
      <w:numFmt w:val="bullet"/>
      <w:lvlText w:val=""/>
      <w:lvlJc w:val="left"/>
      <w:pPr>
        <w:ind w:left="6555" w:hanging="360"/>
      </w:pPr>
      <w:rPr>
        <w:rFonts w:ascii="Wingdings" w:hAnsi="Wingdings" w:hint="default"/>
      </w:rPr>
    </w:lvl>
  </w:abstractNum>
  <w:abstractNum w:abstractNumId="409">
    <w:nsid w:val="63D778C4"/>
    <w:multiLevelType w:val="hybridMultilevel"/>
    <w:tmpl w:val="90D22C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0">
    <w:nsid w:val="641971C6"/>
    <w:multiLevelType w:val="hybridMultilevel"/>
    <w:tmpl w:val="083C2482"/>
    <w:lvl w:ilvl="0" w:tplc="0416000D">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1">
    <w:nsid w:val="65A5435E"/>
    <w:multiLevelType w:val="hybridMultilevel"/>
    <w:tmpl w:val="9C446A0E"/>
    <w:lvl w:ilvl="0" w:tplc="04160001">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412">
    <w:nsid w:val="664836B7"/>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413">
    <w:nsid w:val="66592202"/>
    <w:multiLevelType w:val="hybridMultilevel"/>
    <w:tmpl w:val="D56E59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4">
    <w:nsid w:val="66756808"/>
    <w:multiLevelType w:val="hybridMultilevel"/>
    <w:tmpl w:val="0BA4DA9E"/>
    <w:lvl w:ilvl="0" w:tplc="F724A6CA">
      <w:start w:val="1"/>
      <w:numFmt w:val="decimal"/>
      <w:lvlText w:val="%1)"/>
      <w:lvlJc w:val="left"/>
      <w:pPr>
        <w:ind w:left="1065" w:hanging="360"/>
      </w:pPr>
      <w:rPr>
        <w:rFonts w:hint="default"/>
      </w:rPr>
    </w:lvl>
    <w:lvl w:ilvl="1" w:tplc="2322410A" w:tentative="1">
      <w:start w:val="1"/>
      <w:numFmt w:val="lowerLetter"/>
      <w:lvlText w:val="%2."/>
      <w:lvlJc w:val="left"/>
      <w:pPr>
        <w:ind w:left="1785" w:hanging="360"/>
      </w:pPr>
    </w:lvl>
    <w:lvl w:ilvl="2" w:tplc="9D9E308C" w:tentative="1">
      <w:start w:val="1"/>
      <w:numFmt w:val="lowerRoman"/>
      <w:lvlText w:val="%3."/>
      <w:lvlJc w:val="right"/>
      <w:pPr>
        <w:ind w:left="2505" w:hanging="180"/>
      </w:pPr>
    </w:lvl>
    <w:lvl w:ilvl="3" w:tplc="D4204C20" w:tentative="1">
      <w:start w:val="1"/>
      <w:numFmt w:val="decimal"/>
      <w:lvlText w:val="%4."/>
      <w:lvlJc w:val="left"/>
      <w:pPr>
        <w:ind w:left="3225" w:hanging="360"/>
      </w:pPr>
    </w:lvl>
    <w:lvl w:ilvl="4" w:tplc="C2FE300C" w:tentative="1">
      <w:start w:val="1"/>
      <w:numFmt w:val="lowerLetter"/>
      <w:lvlText w:val="%5."/>
      <w:lvlJc w:val="left"/>
      <w:pPr>
        <w:ind w:left="3945" w:hanging="360"/>
      </w:pPr>
    </w:lvl>
    <w:lvl w:ilvl="5" w:tplc="B3E60C04" w:tentative="1">
      <w:start w:val="1"/>
      <w:numFmt w:val="lowerRoman"/>
      <w:lvlText w:val="%6."/>
      <w:lvlJc w:val="right"/>
      <w:pPr>
        <w:ind w:left="4665" w:hanging="180"/>
      </w:pPr>
    </w:lvl>
    <w:lvl w:ilvl="6" w:tplc="3BBCE7F6" w:tentative="1">
      <w:start w:val="1"/>
      <w:numFmt w:val="decimal"/>
      <w:lvlText w:val="%7."/>
      <w:lvlJc w:val="left"/>
      <w:pPr>
        <w:ind w:left="5385" w:hanging="360"/>
      </w:pPr>
    </w:lvl>
    <w:lvl w:ilvl="7" w:tplc="8A02D88E" w:tentative="1">
      <w:start w:val="1"/>
      <w:numFmt w:val="lowerLetter"/>
      <w:lvlText w:val="%8."/>
      <w:lvlJc w:val="left"/>
      <w:pPr>
        <w:ind w:left="6105" w:hanging="360"/>
      </w:pPr>
    </w:lvl>
    <w:lvl w:ilvl="8" w:tplc="64B4C0E6" w:tentative="1">
      <w:start w:val="1"/>
      <w:numFmt w:val="lowerRoman"/>
      <w:lvlText w:val="%9."/>
      <w:lvlJc w:val="right"/>
      <w:pPr>
        <w:ind w:left="6825" w:hanging="180"/>
      </w:pPr>
    </w:lvl>
  </w:abstractNum>
  <w:abstractNum w:abstractNumId="415">
    <w:nsid w:val="669F2DE3"/>
    <w:multiLevelType w:val="hybridMultilevel"/>
    <w:tmpl w:val="F41A44B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6">
    <w:nsid w:val="66AD556B"/>
    <w:multiLevelType w:val="hybridMultilevel"/>
    <w:tmpl w:val="6DA0F5F8"/>
    <w:lvl w:ilvl="0" w:tplc="04160003">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417">
    <w:nsid w:val="66C968BF"/>
    <w:multiLevelType w:val="hybridMultilevel"/>
    <w:tmpl w:val="60A0348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8">
    <w:nsid w:val="671F52D5"/>
    <w:multiLevelType w:val="hybridMultilevel"/>
    <w:tmpl w:val="17347D0E"/>
    <w:lvl w:ilvl="0" w:tplc="07F6CCB0">
      <w:start w:val="1"/>
      <w:numFmt w:val="bullet"/>
      <w:lvlText w:val="o"/>
      <w:lvlJc w:val="left"/>
      <w:pPr>
        <w:ind w:left="720" w:hanging="360"/>
      </w:pPr>
      <w:rPr>
        <w:rFonts w:ascii="Courier New" w:hAnsi="Courier New" w:cs="Courier New" w:hint="default"/>
      </w:r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419">
    <w:nsid w:val="674D433B"/>
    <w:multiLevelType w:val="hybridMultilevel"/>
    <w:tmpl w:val="CE46FA30"/>
    <w:lvl w:ilvl="0" w:tplc="04160001">
      <w:start w:val="1"/>
      <w:numFmt w:val="decimal"/>
      <w:lvlText w:val="%1."/>
      <w:lvlJc w:val="left"/>
      <w:pPr>
        <w:ind w:left="1065" w:hanging="360"/>
      </w:pPr>
      <w:rPr>
        <w:rFonts w:hint="default"/>
        <w:b/>
      </w:rPr>
    </w:lvl>
    <w:lvl w:ilvl="1" w:tplc="04160003" w:tentative="1">
      <w:start w:val="1"/>
      <w:numFmt w:val="lowerLetter"/>
      <w:lvlText w:val="%2."/>
      <w:lvlJc w:val="left"/>
      <w:pPr>
        <w:ind w:left="1785" w:hanging="360"/>
      </w:pPr>
    </w:lvl>
    <w:lvl w:ilvl="2" w:tplc="04160005" w:tentative="1">
      <w:start w:val="1"/>
      <w:numFmt w:val="lowerRoman"/>
      <w:lvlText w:val="%3."/>
      <w:lvlJc w:val="right"/>
      <w:pPr>
        <w:ind w:left="2505" w:hanging="180"/>
      </w:pPr>
    </w:lvl>
    <w:lvl w:ilvl="3" w:tplc="04160001" w:tentative="1">
      <w:start w:val="1"/>
      <w:numFmt w:val="decimal"/>
      <w:lvlText w:val="%4."/>
      <w:lvlJc w:val="left"/>
      <w:pPr>
        <w:ind w:left="3225" w:hanging="360"/>
      </w:pPr>
    </w:lvl>
    <w:lvl w:ilvl="4" w:tplc="04160003" w:tentative="1">
      <w:start w:val="1"/>
      <w:numFmt w:val="lowerLetter"/>
      <w:lvlText w:val="%5."/>
      <w:lvlJc w:val="left"/>
      <w:pPr>
        <w:ind w:left="3945" w:hanging="360"/>
      </w:pPr>
    </w:lvl>
    <w:lvl w:ilvl="5" w:tplc="04160005" w:tentative="1">
      <w:start w:val="1"/>
      <w:numFmt w:val="lowerRoman"/>
      <w:lvlText w:val="%6."/>
      <w:lvlJc w:val="right"/>
      <w:pPr>
        <w:ind w:left="4665" w:hanging="180"/>
      </w:pPr>
    </w:lvl>
    <w:lvl w:ilvl="6" w:tplc="04160001" w:tentative="1">
      <w:start w:val="1"/>
      <w:numFmt w:val="decimal"/>
      <w:lvlText w:val="%7."/>
      <w:lvlJc w:val="left"/>
      <w:pPr>
        <w:ind w:left="5385" w:hanging="360"/>
      </w:pPr>
    </w:lvl>
    <w:lvl w:ilvl="7" w:tplc="04160003" w:tentative="1">
      <w:start w:val="1"/>
      <w:numFmt w:val="lowerLetter"/>
      <w:lvlText w:val="%8."/>
      <w:lvlJc w:val="left"/>
      <w:pPr>
        <w:ind w:left="6105" w:hanging="360"/>
      </w:pPr>
    </w:lvl>
    <w:lvl w:ilvl="8" w:tplc="04160005" w:tentative="1">
      <w:start w:val="1"/>
      <w:numFmt w:val="lowerRoman"/>
      <w:lvlText w:val="%9."/>
      <w:lvlJc w:val="right"/>
      <w:pPr>
        <w:ind w:left="6825" w:hanging="180"/>
      </w:pPr>
    </w:lvl>
  </w:abstractNum>
  <w:abstractNum w:abstractNumId="420">
    <w:nsid w:val="676E3F6C"/>
    <w:multiLevelType w:val="hybridMultilevel"/>
    <w:tmpl w:val="358A3772"/>
    <w:lvl w:ilvl="0" w:tplc="04160001">
      <w:start w:val="1"/>
      <w:numFmt w:val="decimal"/>
      <w:lvlText w:val="%1)"/>
      <w:lvlJc w:val="left"/>
      <w:pPr>
        <w:ind w:left="36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21">
    <w:nsid w:val="67BA251C"/>
    <w:multiLevelType w:val="hybridMultilevel"/>
    <w:tmpl w:val="D8389496"/>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2">
    <w:nsid w:val="67EF01C0"/>
    <w:multiLevelType w:val="hybridMultilevel"/>
    <w:tmpl w:val="C6C89184"/>
    <w:lvl w:ilvl="0" w:tplc="0416000D">
      <w:start w:val="1"/>
      <w:numFmt w:val="bullet"/>
      <w:lvlText w:val=""/>
      <w:lvlJc w:val="left"/>
      <w:pPr>
        <w:ind w:left="1494" w:hanging="360"/>
      </w:pPr>
      <w:rPr>
        <w:rFonts w:ascii="Symbol" w:hAnsi="Symbol" w:hint="default"/>
        <w:sz w:val="20"/>
      </w:rPr>
    </w:lvl>
    <w:lvl w:ilvl="1" w:tplc="04160003" w:tentative="1">
      <w:start w:val="1"/>
      <w:numFmt w:val="bullet"/>
      <w:lvlText w:val="o"/>
      <w:lvlJc w:val="left"/>
      <w:pPr>
        <w:ind w:left="2214" w:hanging="360"/>
      </w:pPr>
      <w:rPr>
        <w:rFonts w:ascii="Courier New" w:hAnsi="Courier New" w:cs="Courier New" w:hint="default"/>
      </w:rPr>
    </w:lvl>
    <w:lvl w:ilvl="2" w:tplc="04160005" w:tentative="1">
      <w:start w:val="1"/>
      <w:numFmt w:val="bullet"/>
      <w:lvlText w:val=""/>
      <w:lvlJc w:val="left"/>
      <w:pPr>
        <w:ind w:left="2934" w:hanging="360"/>
      </w:pPr>
      <w:rPr>
        <w:rFonts w:ascii="Wingdings" w:hAnsi="Wingdings" w:hint="default"/>
      </w:rPr>
    </w:lvl>
    <w:lvl w:ilvl="3" w:tplc="04160001" w:tentative="1">
      <w:start w:val="1"/>
      <w:numFmt w:val="bullet"/>
      <w:lvlText w:val=""/>
      <w:lvlJc w:val="left"/>
      <w:pPr>
        <w:ind w:left="3654" w:hanging="360"/>
      </w:pPr>
      <w:rPr>
        <w:rFonts w:ascii="Symbol" w:hAnsi="Symbol" w:hint="default"/>
      </w:rPr>
    </w:lvl>
    <w:lvl w:ilvl="4" w:tplc="04160003" w:tentative="1">
      <w:start w:val="1"/>
      <w:numFmt w:val="bullet"/>
      <w:lvlText w:val="o"/>
      <w:lvlJc w:val="left"/>
      <w:pPr>
        <w:ind w:left="4374" w:hanging="360"/>
      </w:pPr>
      <w:rPr>
        <w:rFonts w:ascii="Courier New" w:hAnsi="Courier New" w:cs="Courier New" w:hint="default"/>
      </w:rPr>
    </w:lvl>
    <w:lvl w:ilvl="5" w:tplc="04160005" w:tentative="1">
      <w:start w:val="1"/>
      <w:numFmt w:val="bullet"/>
      <w:lvlText w:val=""/>
      <w:lvlJc w:val="left"/>
      <w:pPr>
        <w:ind w:left="5094" w:hanging="360"/>
      </w:pPr>
      <w:rPr>
        <w:rFonts w:ascii="Wingdings" w:hAnsi="Wingdings" w:hint="default"/>
      </w:rPr>
    </w:lvl>
    <w:lvl w:ilvl="6" w:tplc="04160001" w:tentative="1">
      <w:start w:val="1"/>
      <w:numFmt w:val="bullet"/>
      <w:lvlText w:val=""/>
      <w:lvlJc w:val="left"/>
      <w:pPr>
        <w:ind w:left="5814" w:hanging="360"/>
      </w:pPr>
      <w:rPr>
        <w:rFonts w:ascii="Symbol" w:hAnsi="Symbol" w:hint="default"/>
      </w:rPr>
    </w:lvl>
    <w:lvl w:ilvl="7" w:tplc="04160003" w:tentative="1">
      <w:start w:val="1"/>
      <w:numFmt w:val="bullet"/>
      <w:lvlText w:val="o"/>
      <w:lvlJc w:val="left"/>
      <w:pPr>
        <w:ind w:left="6534" w:hanging="360"/>
      </w:pPr>
      <w:rPr>
        <w:rFonts w:ascii="Courier New" w:hAnsi="Courier New" w:cs="Courier New" w:hint="default"/>
      </w:rPr>
    </w:lvl>
    <w:lvl w:ilvl="8" w:tplc="04160005" w:tentative="1">
      <w:start w:val="1"/>
      <w:numFmt w:val="bullet"/>
      <w:lvlText w:val=""/>
      <w:lvlJc w:val="left"/>
      <w:pPr>
        <w:ind w:left="7254" w:hanging="360"/>
      </w:pPr>
      <w:rPr>
        <w:rFonts w:ascii="Wingdings" w:hAnsi="Wingdings" w:hint="default"/>
      </w:rPr>
    </w:lvl>
  </w:abstractNum>
  <w:abstractNum w:abstractNumId="423">
    <w:nsid w:val="68223E90"/>
    <w:multiLevelType w:val="hybridMultilevel"/>
    <w:tmpl w:val="C47426EA"/>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4">
    <w:nsid w:val="68B52BCD"/>
    <w:multiLevelType w:val="multilevel"/>
    <w:tmpl w:val="3024263C"/>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5">
    <w:nsid w:val="694D0BD3"/>
    <w:multiLevelType w:val="hybridMultilevel"/>
    <w:tmpl w:val="EE083704"/>
    <w:lvl w:ilvl="0" w:tplc="E1B0B868">
      <w:start w:val="1"/>
      <w:numFmt w:val="bullet"/>
      <w:lvlText w:val=""/>
      <w:lvlJc w:val="left"/>
      <w:pPr>
        <w:ind w:left="781" w:hanging="360"/>
      </w:pPr>
      <w:rPr>
        <w:rFonts w:ascii="Symbol" w:hAnsi="Symbol" w:hint="default"/>
      </w:rPr>
    </w:lvl>
    <w:lvl w:ilvl="1" w:tplc="F6FCED94" w:tentative="1">
      <w:start w:val="1"/>
      <w:numFmt w:val="bullet"/>
      <w:lvlText w:val="o"/>
      <w:lvlJc w:val="left"/>
      <w:pPr>
        <w:ind w:left="1501" w:hanging="360"/>
      </w:pPr>
      <w:rPr>
        <w:rFonts w:ascii="Courier New" w:hAnsi="Courier New" w:cs="Courier New" w:hint="default"/>
      </w:rPr>
    </w:lvl>
    <w:lvl w:ilvl="2" w:tplc="E2BABF32" w:tentative="1">
      <w:start w:val="1"/>
      <w:numFmt w:val="bullet"/>
      <w:lvlText w:val=""/>
      <w:lvlJc w:val="left"/>
      <w:pPr>
        <w:ind w:left="2221" w:hanging="360"/>
      </w:pPr>
      <w:rPr>
        <w:rFonts w:ascii="Wingdings" w:hAnsi="Wingdings" w:hint="default"/>
      </w:rPr>
    </w:lvl>
    <w:lvl w:ilvl="3" w:tplc="590EC0D0" w:tentative="1">
      <w:start w:val="1"/>
      <w:numFmt w:val="bullet"/>
      <w:lvlText w:val=""/>
      <w:lvlJc w:val="left"/>
      <w:pPr>
        <w:ind w:left="2941" w:hanging="360"/>
      </w:pPr>
      <w:rPr>
        <w:rFonts w:ascii="Symbol" w:hAnsi="Symbol" w:hint="default"/>
      </w:rPr>
    </w:lvl>
    <w:lvl w:ilvl="4" w:tplc="8A2C3088" w:tentative="1">
      <w:start w:val="1"/>
      <w:numFmt w:val="bullet"/>
      <w:lvlText w:val="o"/>
      <w:lvlJc w:val="left"/>
      <w:pPr>
        <w:ind w:left="3661" w:hanging="360"/>
      </w:pPr>
      <w:rPr>
        <w:rFonts w:ascii="Courier New" w:hAnsi="Courier New" w:cs="Courier New" w:hint="default"/>
      </w:rPr>
    </w:lvl>
    <w:lvl w:ilvl="5" w:tplc="1C82192C" w:tentative="1">
      <w:start w:val="1"/>
      <w:numFmt w:val="bullet"/>
      <w:lvlText w:val=""/>
      <w:lvlJc w:val="left"/>
      <w:pPr>
        <w:ind w:left="4381" w:hanging="360"/>
      </w:pPr>
      <w:rPr>
        <w:rFonts w:ascii="Wingdings" w:hAnsi="Wingdings" w:hint="default"/>
      </w:rPr>
    </w:lvl>
    <w:lvl w:ilvl="6" w:tplc="F96C2F96" w:tentative="1">
      <w:start w:val="1"/>
      <w:numFmt w:val="bullet"/>
      <w:lvlText w:val=""/>
      <w:lvlJc w:val="left"/>
      <w:pPr>
        <w:ind w:left="5101" w:hanging="360"/>
      </w:pPr>
      <w:rPr>
        <w:rFonts w:ascii="Symbol" w:hAnsi="Symbol" w:hint="default"/>
      </w:rPr>
    </w:lvl>
    <w:lvl w:ilvl="7" w:tplc="DC7CF9A8" w:tentative="1">
      <w:start w:val="1"/>
      <w:numFmt w:val="bullet"/>
      <w:lvlText w:val="o"/>
      <w:lvlJc w:val="left"/>
      <w:pPr>
        <w:ind w:left="5821" w:hanging="360"/>
      </w:pPr>
      <w:rPr>
        <w:rFonts w:ascii="Courier New" w:hAnsi="Courier New" w:cs="Courier New" w:hint="default"/>
      </w:rPr>
    </w:lvl>
    <w:lvl w:ilvl="8" w:tplc="2C2E5FA8" w:tentative="1">
      <w:start w:val="1"/>
      <w:numFmt w:val="bullet"/>
      <w:lvlText w:val=""/>
      <w:lvlJc w:val="left"/>
      <w:pPr>
        <w:ind w:left="6541" w:hanging="360"/>
      </w:pPr>
      <w:rPr>
        <w:rFonts w:ascii="Wingdings" w:hAnsi="Wingdings" w:hint="default"/>
      </w:rPr>
    </w:lvl>
  </w:abstractNum>
  <w:abstractNum w:abstractNumId="426">
    <w:nsid w:val="69F111A2"/>
    <w:multiLevelType w:val="hybridMultilevel"/>
    <w:tmpl w:val="7506CE9E"/>
    <w:lvl w:ilvl="0" w:tplc="C6600DD0">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7">
    <w:nsid w:val="6A7838A2"/>
    <w:multiLevelType w:val="hybridMultilevel"/>
    <w:tmpl w:val="9C5C2080"/>
    <w:lvl w:ilvl="0" w:tplc="04160011">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428">
    <w:nsid w:val="6A7D0D63"/>
    <w:multiLevelType w:val="hybridMultilevel"/>
    <w:tmpl w:val="A8960B14"/>
    <w:lvl w:ilvl="0" w:tplc="04160003">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9">
    <w:nsid w:val="6A922263"/>
    <w:multiLevelType w:val="hybridMultilevel"/>
    <w:tmpl w:val="D0B066DA"/>
    <w:lvl w:ilvl="0" w:tplc="0416000F">
      <w:start w:val="1"/>
      <w:numFmt w:val="bullet"/>
      <w:lvlText w:val=""/>
      <w:lvlJc w:val="left"/>
      <w:pPr>
        <w:ind w:left="1854" w:hanging="360"/>
      </w:pPr>
      <w:rPr>
        <w:rFonts w:ascii="Wingdings" w:hAnsi="Wingdings" w:hint="default"/>
      </w:rPr>
    </w:lvl>
    <w:lvl w:ilvl="1" w:tplc="04160019" w:tentative="1">
      <w:start w:val="1"/>
      <w:numFmt w:val="bullet"/>
      <w:lvlText w:val="o"/>
      <w:lvlJc w:val="left"/>
      <w:pPr>
        <w:ind w:left="2574" w:hanging="360"/>
      </w:pPr>
      <w:rPr>
        <w:rFonts w:ascii="Courier New" w:hAnsi="Courier New" w:cs="Courier New" w:hint="default"/>
      </w:rPr>
    </w:lvl>
    <w:lvl w:ilvl="2" w:tplc="0416001B" w:tentative="1">
      <w:start w:val="1"/>
      <w:numFmt w:val="bullet"/>
      <w:lvlText w:val=""/>
      <w:lvlJc w:val="left"/>
      <w:pPr>
        <w:ind w:left="3294" w:hanging="360"/>
      </w:pPr>
      <w:rPr>
        <w:rFonts w:ascii="Wingdings" w:hAnsi="Wingdings" w:hint="default"/>
      </w:rPr>
    </w:lvl>
    <w:lvl w:ilvl="3" w:tplc="0416000F" w:tentative="1">
      <w:start w:val="1"/>
      <w:numFmt w:val="bullet"/>
      <w:lvlText w:val=""/>
      <w:lvlJc w:val="left"/>
      <w:pPr>
        <w:ind w:left="4014" w:hanging="360"/>
      </w:pPr>
      <w:rPr>
        <w:rFonts w:ascii="Symbol" w:hAnsi="Symbol" w:hint="default"/>
      </w:rPr>
    </w:lvl>
    <w:lvl w:ilvl="4" w:tplc="04160019" w:tentative="1">
      <w:start w:val="1"/>
      <w:numFmt w:val="bullet"/>
      <w:lvlText w:val="o"/>
      <w:lvlJc w:val="left"/>
      <w:pPr>
        <w:ind w:left="4734" w:hanging="360"/>
      </w:pPr>
      <w:rPr>
        <w:rFonts w:ascii="Courier New" w:hAnsi="Courier New" w:cs="Courier New" w:hint="default"/>
      </w:rPr>
    </w:lvl>
    <w:lvl w:ilvl="5" w:tplc="0416001B" w:tentative="1">
      <w:start w:val="1"/>
      <w:numFmt w:val="bullet"/>
      <w:lvlText w:val=""/>
      <w:lvlJc w:val="left"/>
      <w:pPr>
        <w:ind w:left="5454" w:hanging="360"/>
      </w:pPr>
      <w:rPr>
        <w:rFonts w:ascii="Wingdings" w:hAnsi="Wingdings" w:hint="default"/>
      </w:rPr>
    </w:lvl>
    <w:lvl w:ilvl="6" w:tplc="0416000F" w:tentative="1">
      <w:start w:val="1"/>
      <w:numFmt w:val="bullet"/>
      <w:lvlText w:val=""/>
      <w:lvlJc w:val="left"/>
      <w:pPr>
        <w:ind w:left="6174" w:hanging="360"/>
      </w:pPr>
      <w:rPr>
        <w:rFonts w:ascii="Symbol" w:hAnsi="Symbol" w:hint="default"/>
      </w:rPr>
    </w:lvl>
    <w:lvl w:ilvl="7" w:tplc="04160019" w:tentative="1">
      <w:start w:val="1"/>
      <w:numFmt w:val="bullet"/>
      <w:lvlText w:val="o"/>
      <w:lvlJc w:val="left"/>
      <w:pPr>
        <w:ind w:left="6894" w:hanging="360"/>
      </w:pPr>
      <w:rPr>
        <w:rFonts w:ascii="Courier New" w:hAnsi="Courier New" w:cs="Courier New" w:hint="default"/>
      </w:rPr>
    </w:lvl>
    <w:lvl w:ilvl="8" w:tplc="0416001B" w:tentative="1">
      <w:start w:val="1"/>
      <w:numFmt w:val="bullet"/>
      <w:lvlText w:val=""/>
      <w:lvlJc w:val="left"/>
      <w:pPr>
        <w:ind w:left="7614" w:hanging="360"/>
      </w:pPr>
      <w:rPr>
        <w:rFonts w:ascii="Wingdings" w:hAnsi="Wingdings" w:hint="default"/>
      </w:rPr>
    </w:lvl>
  </w:abstractNum>
  <w:abstractNum w:abstractNumId="430">
    <w:nsid w:val="6AE47514"/>
    <w:multiLevelType w:val="multilevel"/>
    <w:tmpl w:val="BF1ACBC0"/>
    <w:lvl w:ilvl="0">
      <w:start w:val="1"/>
      <w:numFmt w:val="decimal"/>
      <w:lvlText w:val="%1."/>
      <w:lvlJc w:val="left"/>
      <w:pPr>
        <w:ind w:left="3762" w:hanging="360"/>
      </w:pPr>
      <w:rPr>
        <w:rFonts w:hint="default"/>
      </w:rPr>
    </w:lvl>
    <w:lvl w:ilvl="1">
      <w:start w:val="1"/>
      <w:numFmt w:val="decimal"/>
      <w:isLgl/>
      <w:lvlText w:val="%1.%2"/>
      <w:lvlJc w:val="left"/>
      <w:pPr>
        <w:ind w:left="1854" w:hanging="360"/>
      </w:pPr>
      <w:rPr>
        <w:rFonts w:hint="default"/>
      </w:rPr>
    </w:lvl>
    <w:lvl w:ilvl="2">
      <w:start w:val="1"/>
      <w:numFmt w:val="decimal"/>
      <w:isLgl/>
      <w:lvlText w:val="%1.%2.%3"/>
      <w:lvlJc w:val="left"/>
      <w:pPr>
        <w:ind w:left="2574" w:hanging="720"/>
      </w:pPr>
      <w:rPr>
        <w:rFonts w:hint="default"/>
      </w:rPr>
    </w:lvl>
    <w:lvl w:ilvl="3">
      <w:start w:val="1"/>
      <w:numFmt w:val="decimal"/>
      <w:isLgl/>
      <w:lvlText w:val="%1.%2.%3.%4"/>
      <w:lvlJc w:val="left"/>
      <w:pPr>
        <w:ind w:left="2934" w:hanging="720"/>
      </w:pPr>
      <w:rPr>
        <w:rFonts w:hint="default"/>
      </w:rPr>
    </w:lvl>
    <w:lvl w:ilvl="4">
      <w:start w:val="1"/>
      <w:numFmt w:val="decimal"/>
      <w:isLgl/>
      <w:lvlText w:val="%1.%2.%3.%4.%5"/>
      <w:lvlJc w:val="left"/>
      <w:pPr>
        <w:ind w:left="3654" w:hanging="1080"/>
      </w:pPr>
      <w:rPr>
        <w:rFonts w:hint="default"/>
      </w:rPr>
    </w:lvl>
    <w:lvl w:ilvl="5">
      <w:start w:val="1"/>
      <w:numFmt w:val="decimal"/>
      <w:isLgl/>
      <w:lvlText w:val="%1.%2.%3.%4.%5.%6"/>
      <w:lvlJc w:val="left"/>
      <w:pPr>
        <w:ind w:left="4014" w:hanging="1080"/>
      </w:pPr>
      <w:rPr>
        <w:rFonts w:hint="default"/>
      </w:rPr>
    </w:lvl>
    <w:lvl w:ilvl="6">
      <w:start w:val="1"/>
      <w:numFmt w:val="decimal"/>
      <w:isLgl/>
      <w:lvlText w:val="%1.%2.%3.%4.%5.%6.%7"/>
      <w:lvlJc w:val="left"/>
      <w:pPr>
        <w:ind w:left="4734" w:hanging="1440"/>
      </w:pPr>
      <w:rPr>
        <w:rFonts w:hint="default"/>
      </w:rPr>
    </w:lvl>
    <w:lvl w:ilvl="7">
      <w:start w:val="1"/>
      <w:numFmt w:val="decimal"/>
      <w:isLgl/>
      <w:lvlText w:val="%1.%2.%3.%4.%5.%6.%7.%8"/>
      <w:lvlJc w:val="left"/>
      <w:pPr>
        <w:ind w:left="5094" w:hanging="1440"/>
      </w:pPr>
      <w:rPr>
        <w:rFonts w:hint="default"/>
      </w:rPr>
    </w:lvl>
    <w:lvl w:ilvl="8">
      <w:start w:val="1"/>
      <w:numFmt w:val="decimal"/>
      <w:isLgl/>
      <w:lvlText w:val="%1.%2.%3.%4.%5.%6.%7.%8.%9"/>
      <w:lvlJc w:val="left"/>
      <w:pPr>
        <w:ind w:left="5814" w:hanging="1800"/>
      </w:pPr>
      <w:rPr>
        <w:rFonts w:hint="default"/>
      </w:rPr>
    </w:lvl>
  </w:abstractNum>
  <w:abstractNum w:abstractNumId="431">
    <w:nsid w:val="6B740B4F"/>
    <w:multiLevelType w:val="hybridMultilevel"/>
    <w:tmpl w:val="808A9978"/>
    <w:lvl w:ilvl="0" w:tplc="04160001">
      <w:start w:val="1"/>
      <w:numFmt w:val="bullet"/>
      <w:lvlText w:val=""/>
      <w:lvlJc w:val="left"/>
      <w:pPr>
        <w:ind w:left="751"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2">
    <w:nsid w:val="6BAD1E12"/>
    <w:multiLevelType w:val="hybridMultilevel"/>
    <w:tmpl w:val="A8A416BE"/>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33">
    <w:nsid w:val="6BD34584"/>
    <w:multiLevelType w:val="hybridMultilevel"/>
    <w:tmpl w:val="270689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4">
    <w:nsid w:val="6C1C4D25"/>
    <w:multiLevelType w:val="hybridMultilevel"/>
    <w:tmpl w:val="31BC40E6"/>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435">
    <w:nsid w:val="6CC03EC5"/>
    <w:multiLevelType w:val="hybridMultilevel"/>
    <w:tmpl w:val="2FE494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6">
    <w:nsid w:val="6D215836"/>
    <w:multiLevelType w:val="hybridMultilevel"/>
    <w:tmpl w:val="926E0362"/>
    <w:lvl w:ilvl="0" w:tplc="C6600DD0">
      <w:start w:val="1"/>
      <w:numFmt w:val="decimal"/>
      <w:lvlText w:val="%1."/>
      <w:lvlJc w:val="left"/>
      <w:pPr>
        <w:tabs>
          <w:tab w:val="num" w:pos="720"/>
        </w:tabs>
        <w:ind w:left="720" w:hanging="360"/>
      </w:p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tentative="1">
      <w:start w:val="1"/>
      <w:numFmt w:val="decimal"/>
      <w:lvlText w:val="%4."/>
      <w:lvlJc w:val="left"/>
      <w:pPr>
        <w:tabs>
          <w:tab w:val="num" w:pos="2880"/>
        </w:tabs>
        <w:ind w:left="2880" w:hanging="360"/>
      </w:p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437">
    <w:nsid w:val="6D5514B5"/>
    <w:multiLevelType w:val="hybridMultilevel"/>
    <w:tmpl w:val="5694EC52"/>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8">
    <w:nsid w:val="6D5530A2"/>
    <w:multiLevelType w:val="hybridMultilevel"/>
    <w:tmpl w:val="076C30D2"/>
    <w:lvl w:ilvl="0" w:tplc="CFEE602C">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39">
    <w:nsid w:val="6DAD48F2"/>
    <w:multiLevelType w:val="hybridMultilevel"/>
    <w:tmpl w:val="858CD9B0"/>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440">
    <w:nsid w:val="6E365E7A"/>
    <w:multiLevelType w:val="hybridMultilevel"/>
    <w:tmpl w:val="A37E93A6"/>
    <w:lvl w:ilvl="0" w:tplc="0416000F">
      <w:start w:val="1"/>
      <w:numFmt w:val="lowerLetter"/>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441">
    <w:nsid w:val="6E660AA5"/>
    <w:multiLevelType w:val="hybridMultilevel"/>
    <w:tmpl w:val="3E082FCE"/>
    <w:lvl w:ilvl="0" w:tplc="993C3422">
      <w:start w:val="1"/>
      <w:numFmt w:val="bullet"/>
      <w:lvlText w:val=""/>
      <w:lvlJc w:val="left"/>
      <w:pPr>
        <w:tabs>
          <w:tab w:val="num" w:pos="284"/>
        </w:tabs>
        <w:ind w:left="567" w:hanging="283"/>
      </w:pPr>
      <w:rPr>
        <w:rFonts w:ascii="Wingdings" w:hAnsi="Wingdings" w:hint="default"/>
      </w:rPr>
    </w:lvl>
    <w:lvl w:ilvl="1" w:tplc="4AF4EFB2" w:tentative="1">
      <w:start w:val="1"/>
      <w:numFmt w:val="bullet"/>
      <w:lvlText w:val="o"/>
      <w:lvlJc w:val="left"/>
      <w:pPr>
        <w:tabs>
          <w:tab w:val="num" w:pos="1440"/>
        </w:tabs>
        <w:ind w:left="1440" w:hanging="360"/>
      </w:pPr>
      <w:rPr>
        <w:rFonts w:ascii="Courier New" w:hAnsi="Courier New" w:cs="Courier New" w:hint="default"/>
      </w:rPr>
    </w:lvl>
    <w:lvl w:ilvl="2" w:tplc="1924D784" w:tentative="1">
      <w:start w:val="1"/>
      <w:numFmt w:val="bullet"/>
      <w:lvlText w:val=""/>
      <w:lvlJc w:val="left"/>
      <w:pPr>
        <w:tabs>
          <w:tab w:val="num" w:pos="2160"/>
        </w:tabs>
        <w:ind w:left="2160" w:hanging="360"/>
      </w:pPr>
      <w:rPr>
        <w:rFonts w:ascii="Wingdings" w:hAnsi="Wingdings" w:hint="default"/>
      </w:rPr>
    </w:lvl>
    <w:lvl w:ilvl="3" w:tplc="A4805F5C" w:tentative="1">
      <w:start w:val="1"/>
      <w:numFmt w:val="bullet"/>
      <w:lvlText w:val=""/>
      <w:lvlJc w:val="left"/>
      <w:pPr>
        <w:tabs>
          <w:tab w:val="num" w:pos="2880"/>
        </w:tabs>
        <w:ind w:left="2880" w:hanging="360"/>
      </w:pPr>
      <w:rPr>
        <w:rFonts w:ascii="Symbol" w:hAnsi="Symbol" w:hint="default"/>
      </w:rPr>
    </w:lvl>
    <w:lvl w:ilvl="4" w:tplc="C67ABE54" w:tentative="1">
      <w:start w:val="1"/>
      <w:numFmt w:val="bullet"/>
      <w:lvlText w:val="o"/>
      <w:lvlJc w:val="left"/>
      <w:pPr>
        <w:tabs>
          <w:tab w:val="num" w:pos="3600"/>
        </w:tabs>
        <w:ind w:left="3600" w:hanging="360"/>
      </w:pPr>
      <w:rPr>
        <w:rFonts w:ascii="Courier New" w:hAnsi="Courier New" w:cs="Courier New" w:hint="default"/>
      </w:rPr>
    </w:lvl>
    <w:lvl w:ilvl="5" w:tplc="541C41CE" w:tentative="1">
      <w:start w:val="1"/>
      <w:numFmt w:val="bullet"/>
      <w:lvlText w:val=""/>
      <w:lvlJc w:val="left"/>
      <w:pPr>
        <w:tabs>
          <w:tab w:val="num" w:pos="4320"/>
        </w:tabs>
        <w:ind w:left="4320" w:hanging="360"/>
      </w:pPr>
      <w:rPr>
        <w:rFonts w:ascii="Wingdings" w:hAnsi="Wingdings" w:hint="default"/>
      </w:rPr>
    </w:lvl>
    <w:lvl w:ilvl="6" w:tplc="E6F87262" w:tentative="1">
      <w:start w:val="1"/>
      <w:numFmt w:val="bullet"/>
      <w:lvlText w:val=""/>
      <w:lvlJc w:val="left"/>
      <w:pPr>
        <w:tabs>
          <w:tab w:val="num" w:pos="5040"/>
        </w:tabs>
        <w:ind w:left="5040" w:hanging="360"/>
      </w:pPr>
      <w:rPr>
        <w:rFonts w:ascii="Symbol" w:hAnsi="Symbol" w:hint="default"/>
      </w:rPr>
    </w:lvl>
    <w:lvl w:ilvl="7" w:tplc="8604BAF8" w:tentative="1">
      <w:start w:val="1"/>
      <w:numFmt w:val="bullet"/>
      <w:lvlText w:val="o"/>
      <w:lvlJc w:val="left"/>
      <w:pPr>
        <w:tabs>
          <w:tab w:val="num" w:pos="5760"/>
        </w:tabs>
        <w:ind w:left="5760" w:hanging="360"/>
      </w:pPr>
      <w:rPr>
        <w:rFonts w:ascii="Courier New" w:hAnsi="Courier New" w:cs="Courier New" w:hint="default"/>
      </w:rPr>
    </w:lvl>
    <w:lvl w:ilvl="8" w:tplc="345039CA" w:tentative="1">
      <w:start w:val="1"/>
      <w:numFmt w:val="bullet"/>
      <w:lvlText w:val=""/>
      <w:lvlJc w:val="left"/>
      <w:pPr>
        <w:tabs>
          <w:tab w:val="num" w:pos="6480"/>
        </w:tabs>
        <w:ind w:left="6480" w:hanging="360"/>
      </w:pPr>
      <w:rPr>
        <w:rFonts w:ascii="Wingdings" w:hAnsi="Wingdings" w:hint="default"/>
      </w:rPr>
    </w:lvl>
  </w:abstractNum>
  <w:abstractNum w:abstractNumId="442">
    <w:nsid w:val="6E8F2DCD"/>
    <w:multiLevelType w:val="hybridMultilevel"/>
    <w:tmpl w:val="530078E2"/>
    <w:lvl w:ilvl="0" w:tplc="04160001">
      <w:start w:val="1"/>
      <w:numFmt w:val="lowerLetter"/>
      <w:lvlText w:val="%1)"/>
      <w:lvlJc w:val="left"/>
      <w:pPr>
        <w:ind w:left="720" w:hanging="360"/>
      </w:p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443">
    <w:nsid w:val="6F060839"/>
    <w:multiLevelType w:val="hybridMultilevel"/>
    <w:tmpl w:val="3180447C"/>
    <w:lvl w:ilvl="0" w:tplc="906014CA">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4">
    <w:nsid w:val="6F0B35DF"/>
    <w:multiLevelType w:val="hybridMultilevel"/>
    <w:tmpl w:val="F9FAB51E"/>
    <w:lvl w:ilvl="0" w:tplc="BFBAD2C6">
      <w:start w:val="1"/>
      <w:numFmt w:val="bullet"/>
      <w:lvlText w:val=""/>
      <w:lvlJc w:val="left"/>
      <w:pPr>
        <w:tabs>
          <w:tab w:val="num" w:pos="360"/>
        </w:tabs>
        <w:ind w:left="360" w:hanging="360"/>
      </w:pPr>
      <w:rPr>
        <w:rFonts w:ascii="Symbol" w:hAnsi="Symbol" w:hint="default"/>
      </w:rPr>
    </w:lvl>
    <w:lvl w:ilvl="1" w:tplc="04160019">
      <w:start w:val="1"/>
      <w:numFmt w:val="decimal"/>
      <w:lvlText w:val="%2."/>
      <w:lvlJc w:val="left"/>
      <w:pPr>
        <w:tabs>
          <w:tab w:val="num" w:pos="360"/>
        </w:tabs>
        <w:ind w:left="360" w:hanging="360"/>
      </w:pPr>
    </w:lvl>
    <w:lvl w:ilvl="2" w:tplc="0416001B">
      <w:start w:val="1"/>
      <w:numFmt w:val="bullet"/>
      <w:lvlText w:val=""/>
      <w:lvlJc w:val="left"/>
      <w:pPr>
        <w:tabs>
          <w:tab w:val="num" w:pos="1800"/>
        </w:tabs>
        <w:ind w:left="1800" w:hanging="360"/>
      </w:pPr>
      <w:rPr>
        <w:rFonts w:ascii="Symbol" w:hAnsi="Symbol" w:hint="default"/>
      </w:rPr>
    </w:lvl>
    <w:lvl w:ilvl="3" w:tplc="0416000F" w:tentative="1">
      <w:start w:val="1"/>
      <w:numFmt w:val="bullet"/>
      <w:lvlText w:val=""/>
      <w:lvlJc w:val="left"/>
      <w:pPr>
        <w:tabs>
          <w:tab w:val="num" w:pos="2520"/>
        </w:tabs>
        <w:ind w:left="2520" w:hanging="360"/>
      </w:pPr>
      <w:rPr>
        <w:rFonts w:ascii="Symbol" w:hAnsi="Symbol" w:hint="default"/>
      </w:rPr>
    </w:lvl>
    <w:lvl w:ilvl="4" w:tplc="04160019" w:tentative="1">
      <w:start w:val="1"/>
      <w:numFmt w:val="bullet"/>
      <w:lvlText w:val="o"/>
      <w:lvlJc w:val="left"/>
      <w:pPr>
        <w:tabs>
          <w:tab w:val="num" w:pos="3240"/>
        </w:tabs>
        <w:ind w:left="3240" w:hanging="360"/>
      </w:pPr>
      <w:rPr>
        <w:rFonts w:ascii="Courier New" w:hAnsi="Courier New" w:hint="default"/>
      </w:rPr>
    </w:lvl>
    <w:lvl w:ilvl="5" w:tplc="0416001B" w:tentative="1">
      <w:start w:val="1"/>
      <w:numFmt w:val="bullet"/>
      <w:lvlText w:val=""/>
      <w:lvlJc w:val="left"/>
      <w:pPr>
        <w:tabs>
          <w:tab w:val="num" w:pos="3960"/>
        </w:tabs>
        <w:ind w:left="3960" w:hanging="360"/>
      </w:pPr>
      <w:rPr>
        <w:rFonts w:ascii="Wingdings" w:hAnsi="Wingdings" w:hint="default"/>
      </w:rPr>
    </w:lvl>
    <w:lvl w:ilvl="6" w:tplc="0416000F" w:tentative="1">
      <w:start w:val="1"/>
      <w:numFmt w:val="bullet"/>
      <w:lvlText w:val=""/>
      <w:lvlJc w:val="left"/>
      <w:pPr>
        <w:tabs>
          <w:tab w:val="num" w:pos="4680"/>
        </w:tabs>
        <w:ind w:left="4680" w:hanging="360"/>
      </w:pPr>
      <w:rPr>
        <w:rFonts w:ascii="Symbol" w:hAnsi="Symbol" w:hint="default"/>
      </w:rPr>
    </w:lvl>
    <w:lvl w:ilvl="7" w:tplc="04160019" w:tentative="1">
      <w:start w:val="1"/>
      <w:numFmt w:val="bullet"/>
      <w:lvlText w:val="o"/>
      <w:lvlJc w:val="left"/>
      <w:pPr>
        <w:tabs>
          <w:tab w:val="num" w:pos="5400"/>
        </w:tabs>
        <w:ind w:left="5400" w:hanging="360"/>
      </w:pPr>
      <w:rPr>
        <w:rFonts w:ascii="Courier New" w:hAnsi="Courier New" w:hint="default"/>
      </w:rPr>
    </w:lvl>
    <w:lvl w:ilvl="8" w:tplc="0416001B" w:tentative="1">
      <w:start w:val="1"/>
      <w:numFmt w:val="bullet"/>
      <w:lvlText w:val=""/>
      <w:lvlJc w:val="left"/>
      <w:pPr>
        <w:tabs>
          <w:tab w:val="num" w:pos="6120"/>
        </w:tabs>
        <w:ind w:left="6120" w:hanging="360"/>
      </w:pPr>
      <w:rPr>
        <w:rFonts w:ascii="Wingdings" w:hAnsi="Wingdings" w:hint="default"/>
      </w:rPr>
    </w:lvl>
  </w:abstractNum>
  <w:abstractNum w:abstractNumId="445">
    <w:nsid w:val="6F281BE4"/>
    <w:multiLevelType w:val="hybridMultilevel"/>
    <w:tmpl w:val="05C0ED38"/>
    <w:lvl w:ilvl="0" w:tplc="04160001">
      <w:start w:val="1"/>
      <w:numFmt w:val="bullet"/>
      <w:lvlText w:val=""/>
      <w:lvlJc w:val="left"/>
      <w:pPr>
        <w:ind w:left="720" w:hanging="360"/>
      </w:pPr>
      <w:rPr>
        <w:rFonts w:ascii="Symbol" w:hAnsi="Symbol" w:hint="default"/>
      </w:rPr>
    </w:lvl>
    <w:lvl w:ilvl="1" w:tplc="0416000F" w:tentative="1">
      <w:start w:val="1"/>
      <w:numFmt w:val="bullet"/>
      <w:lvlText w:val="o"/>
      <w:lvlJc w:val="left"/>
      <w:pPr>
        <w:ind w:left="1440" w:hanging="360"/>
      </w:pPr>
      <w:rPr>
        <w:rFonts w:ascii="Courier New" w:hAnsi="Courier New" w:hint="default"/>
      </w:rPr>
    </w:lvl>
    <w:lvl w:ilvl="2" w:tplc="04160001"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6">
    <w:nsid w:val="6F916302"/>
    <w:multiLevelType w:val="hybridMultilevel"/>
    <w:tmpl w:val="0082C508"/>
    <w:lvl w:ilvl="0" w:tplc="0416000D">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447">
    <w:nsid w:val="6FA0261D"/>
    <w:multiLevelType w:val="hybridMultilevel"/>
    <w:tmpl w:val="9EDE229A"/>
    <w:lvl w:ilvl="0" w:tplc="04160001">
      <w:start w:val="1"/>
      <w:numFmt w:val="bullet"/>
      <w:lvlText w:val=""/>
      <w:lvlJc w:val="left"/>
      <w:pPr>
        <w:ind w:left="1080" w:hanging="360"/>
      </w:pPr>
      <w:rPr>
        <w:rFonts w:ascii="Symbol" w:hAnsi="Symbol" w:hint="default"/>
      </w:rPr>
    </w:lvl>
    <w:lvl w:ilvl="1" w:tplc="04160003">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448">
    <w:nsid w:val="6FFD04C6"/>
    <w:multiLevelType w:val="hybridMultilevel"/>
    <w:tmpl w:val="BB8EDA54"/>
    <w:lvl w:ilvl="0" w:tplc="04160017">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449">
    <w:nsid w:val="709F4D5F"/>
    <w:multiLevelType w:val="hybridMultilevel"/>
    <w:tmpl w:val="2D9ACAC2"/>
    <w:lvl w:ilvl="0" w:tplc="0416000B">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50">
    <w:nsid w:val="70AF4A12"/>
    <w:multiLevelType w:val="hybridMultilevel"/>
    <w:tmpl w:val="B3F67762"/>
    <w:lvl w:ilvl="0" w:tplc="04160001">
      <w:start w:val="1"/>
      <w:numFmt w:val="bullet"/>
      <w:lvlText w:val=""/>
      <w:lvlJc w:val="left"/>
      <w:pPr>
        <w:tabs>
          <w:tab w:val="num" w:pos="1854"/>
        </w:tabs>
        <w:ind w:left="1854" w:hanging="360"/>
      </w:pPr>
      <w:rPr>
        <w:rFonts w:ascii="Wingdings 3" w:hAnsi="Wingdings 3" w:hint="default"/>
      </w:rPr>
    </w:lvl>
    <w:lvl w:ilvl="1" w:tplc="04160003" w:tentative="1">
      <w:start w:val="1"/>
      <w:numFmt w:val="bullet"/>
      <w:lvlText w:val="o"/>
      <w:lvlJc w:val="left"/>
      <w:pPr>
        <w:tabs>
          <w:tab w:val="num" w:pos="2574"/>
        </w:tabs>
        <w:ind w:left="2574" w:hanging="360"/>
      </w:pPr>
      <w:rPr>
        <w:rFonts w:ascii="Courier New" w:hAnsi="Courier New" w:cs="Courier New" w:hint="default"/>
      </w:rPr>
    </w:lvl>
    <w:lvl w:ilvl="2" w:tplc="04160005" w:tentative="1">
      <w:start w:val="1"/>
      <w:numFmt w:val="bullet"/>
      <w:lvlText w:val=""/>
      <w:lvlJc w:val="left"/>
      <w:pPr>
        <w:tabs>
          <w:tab w:val="num" w:pos="3294"/>
        </w:tabs>
        <w:ind w:left="3294" w:hanging="360"/>
      </w:pPr>
      <w:rPr>
        <w:rFonts w:ascii="Wingdings" w:hAnsi="Wingdings" w:hint="default"/>
      </w:rPr>
    </w:lvl>
    <w:lvl w:ilvl="3" w:tplc="04160001" w:tentative="1">
      <w:start w:val="1"/>
      <w:numFmt w:val="bullet"/>
      <w:lvlText w:val=""/>
      <w:lvlJc w:val="left"/>
      <w:pPr>
        <w:tabs>
          <w:tab w:val="num" w:pos="4014"/>
        </w:tabs>
        <w:ind w:left="4014" w:hanging="360"/>
      </w:pPr>
      <w:rPr>
        <w:rFonts w:ascii="Symbol" w:hAnsi="Symbol" w:hint="default"/>
      </w:rPr>
    </w:lvl>
    <w:lvl w:ilvl="4" w:tplc="04160003" w:tentative="1">
      <w:start w:val="1"/>
      <w:numFmt w:val="bullet"/>
      <w:lvlText w:val="o"/>
      <w:lvlJc w:val="left"/>
      <w:pPr>
        <w:tabs>
          <w:tab w:val="num" w:pos="4734"/>
        </w:tabs>
        <w:ind w:left="4734" w:hanging="360"/>
      </w:pPr>
      <w:rPr>
        <w:rFonts w:ascii="Courier New" w:hAnsi="Courier New" w:cs="Courier New" w:hint="default"/>
      </w:rPr>
    </w:lvl>
    <w:lvl w:ilvl="5" w:tplc="04160005" w:tentative="1">
      <w:start w:val="1"/>
      <w:numFmt w:val="bullet"/>
      <w:lvlText w:val=""/>
      <w:lvlJc w:val="left"/>
      <w:pPr>
        <w:tabs>
          <w:tab w:val="num" w:pos="5454"/>
        </w:tabs>
        <w:ind w:left="5454" w:hanging="360"/>
      </w:pPr>
      <w:rPr>
        <w:rFonts w:ascii="Wingdings" w:hAnsi="Wingdings" w:hint="default"/>
      </w:rPr>
    </w:lvl>
    <w:lvl w:ilvl="6" w:tplc="04160001" w:tentative="1">
      <w:start w:val="1"/>
      <w:numFmt w:val="bullet"/>
      <w:lvlText w:val=""/>
      <w:lvlJc w:val="left"/>
      <w:pPr>
        <w:tabs>
          <w:tab w:val="num" w:pos="6174"/>
        </w:tabs>
        <w:ind w:left="6174" w:hanging="360"/>
      </w:pPr>
      <w:rPr>
        <w:rFonts w:ascii="Symbol" w:hAnsi="Symbol" w:hint="default"/>
      </w:rPr>
    </w:lvl>
    <w:lvl w:ilvl="7" w:tplc="04160003" w:tentative="1">
      <w:start w:val="1"/>
      <w:numFmt w:val="bullet"/>
      <w:lvlText w:val="o"/>
      <w:lvlJc w:val="left"/>
      <w:pPr>
        <w:tabs>
          <w:tab w:val="num" w:pos="6894"/>
        </w:tabs>
        <w:ind w:left="6894" w:hanging="360"/>
      </w:pPr>
      <w:rPr>
        <w:rFonts w:ascii="Courier New" w:hAnsi="Courier New" w:cs="Courier New" w:hint="default"/>
      </w:rPr>
    </w:lvl>
    <w:lvl w:ilvl="8" w:tplc="04160005" w:tentative="1">
      <w:start w:val="1"/>
      <w:numFmt w:val="bullet"/>
      <w:lvlText w:val=""/>
      <w:lvlJc w:val="left"/>
      <w:pPr>
        <w:tabs>
          <w:tab w:val="num" w:pos="7614"/>
        </w:tabs>
        <w:ind w:left="7614" w:hanging="360"/>
      </w:pPr>
      <w:rPr>
        <w:rFonts w:ascii="Wingdings" w:hAnsi="Wingdings" w:hint="default"/>
      </w:rPr>
    </w:lvl>
  </w:abstractNum>
  <w:abstractNum w:abstractNumId="451">
    <w:nsid w:val="710C33AE"/>
    <w:multiLevelType w:val="multilevel"/>
    <w:tmpl w:val="BB3EB1E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2">
    <w:nsid w:val="71D12F8D"/>
    <w:multiLevelType w:val="hybridMultilevel"/>
    <w:tmpl w:val="4AA27E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53">
    <w:nsid w:val="720B5015"/>
    <w:multiLevelType w:val="hybridMultilevel"/>
    <w:tmpl w:val="F5AC4E82"/>
    <w:lvl w:ilvl="0" w:tplc="04160001">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454">
    <w:nsid w:val="7273636F"/>
    <w:multiLevelType w:val="hybridMultilevel"/>
    <w:tmpl w:val="C7DE1EE2"/>
    <w:lvl w:ilvl="0" w:tplc="18A86404">
      <w:start w:val="1"/>
      <w:numFmt w:val="bullet"/>
      <w:lvlText w:val="o"/>
      <w:lvlJc w:val="left"/>
      <w:pPr>
        <w:ind w:left="720" w:hanging="360"/>
      </w:pPr>
      <w:rPr>
        <w:rFonts w:ascii="Courier New" w:hAnsi="Courier New" w:cs="Courier New"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55">
    <w:nsid w:val="72864B21"/>
    <w:multiLevelType w:val="hybridMultilevel"/>
    <w:tmpl w:val="FF36757A"/>
    <w:lvl w:ilvl="0" w:tplc="04160001">
      <w:start w:val="1"/>
      <w:numFmt w:val="bullet"/>
      <w:lvlText w:val=""/>
      <w:lvlJc w:val="left"/>
      <w:pPr>
        <w:ind w:left="1778" w:hanging="360"/>
      </w:pPr>
      <w:rPr>
        <w:rFonts w:ascii="Symbol" w:hAnsi="Symbol" w:hint="default"/>
      </w:rPr>
    </w:lvl>
    <w:lvl w:ilvl="1" w:tplc="04160003" w:tentative="1">
      <w:start w:val="1"/>
      <w:numFmt w:val="bullet"/>
      <w:lvlText w:val="o"/>
      <w:lvlJc w:val="left"/>
      <w:pPr>
        <w:ind w:left="2498" w:hanging="360"/>
      </w:pPr>
      <w:rPr>
        <w:rFonts w:ascii="Courier New" w:hAnsi="Courier New" w:cs="Courier New" w:hint="default"/>
      </w:rPr>
    </w:lvl>
    <w:lvl w:ilvl="2" w:tplc="04160005" w:tentative="1">
      <w:start w:val="1"/>
      <w:numFmt w:val="bullet"/>
      <w:lvlText w:val=""/>
      <w:lvlJc w:val="left"/>
      <w:pPr>
        <w:ind w:left="3218" w:hanging="360"/>
      </w:pPr>
      <w:rPr>
        <w:rFonts w:ascii="Wingdings" w:hAnsi="Wingdings" w:hint="default"/>
      </w:rPr>
    </w:lvl>
    <w:lvl w:ilvl="3" w:tplc="04160001" w:tentative="1">
      <w:start w:val="1"/>
      <w:numFmt w:val="bullet"/>
      <w:lvlText w:val=""/>
      <w:lvlJc w:val="left"/>
      <w:pPr>
        <w:ind w:left="3938" w:hanging="360"/>
      </w:pPr>
      <w:rPr>
        <w:rFonts w:ascii="Symbol" w:hAnsi="Symbol" w:hint="default"/>
      </w:rPr>
    </w:lvl>
    <w:lvl w:ilvl="4" w:tplc="04160003" w:tentative="1">
      <w:start w:val="1"/>
      <w:numFmt w:val="bullet"/>
      <w:lvlText w:val="o"/>
      <w:lvlJc w:val="left"/>
      <w:pPr>
        <w:ind w:left="4658" w:hanging="360"/>
      </w:pPr>
      <w:rPr>
        <w:rFonts w:ascii="Courier New" w:hAnsi="Courier New" w:cs="Courier New" w:hint="default"/>
      </w:rPr>
    </w:lvl>
    <w:lvl w:ilvl="5" w:tplc="04160005" w:tentative="1">
      <w:start w:val="1"/>
      <w:numFmt w:val="bullet"/>
      <w:lvlText w:val=""/>
      <w:lvlJc w:val="left"/>
      <w:pPr>
        <w:ind w:left="5378" w:hanging="360"/>
      </w:pPr>
      <w:rPr>
        <w:rFonts w:ascii="Wingdings" w:hAnsi="Wingdings" w:hint="default"/>
      </w:rPr>
    </w:lvl>
    <w:lvl w:ilvl="6" w:tplc="04160001" w:tentative="1">
      <w:start w:val="1"/>
      <w:numFmt w:val="bullet"/>
      <w:lvlText w:val=""/>
      <w:lvlJc w:val="left"/>
      <w:pPr>
        <w:ind w:left="6098" w:hanging="360"/>
      </w:pPr>
      <w:rPr>
        <w:rFonts w:ascii="Symbol" w:hAnsi="Symbol" w:hint="default"/>
      </w:rPr>
    </w:lvl>
    <w:lvl w:ilvl="7" w:tplc="04160003" w:tentative="1">
      <w:start w:val="1"/>
      <w:numFmt w:val="bullet"/>
      <w:lvlText w:val="o"/>
      <w:lvlJc w:val="left"/>
      <w:pPr>
        <w:ind w:left="6818" w:hanging="360"/>
      </w:pPr>
      <w:rPr>
        <w:rFonts w:ascii="Courier New" w:hAnsi="Courier New" w:cs="Courier New" w:hint="default"/>
      </w:rPr>
    </w:lvl>
    <w:lvl w:ilvl="8" w:tplc="04160005" w:tentative="1">
      <w:start w:val="1"/>
      <w:numFmt w:val="bullet"/>
      <w:lvlText w:val=""/>
      <w:lvlJc w:val="left"/>
      <w:pPr>
        <w:ind w:left="7538" w:hanging="360"/>
      </w:pPr>
      <w:rPr>
        <w:rFonts w:ascii="Wingdings" w:hAnsi="Wingdings" w:hint="default"/>
      </w:rPr>
    </w:lvl>
  </w:abstractNum>
  <w:abstractNum w:abstractNumId="456">
    <w:nsid w:val="72916326"/>
    <w:multiLevelType w:val="hybridMultilevel"/>
    <w:tmpl w:val="D76AAFE0"/>
    <w:lvl w:ilvl="0" w:tplc="C6600DD0">
      <w:start w:val="1"/>
      <w:numFmt w:val="bullet"/>
      <w:lvlText w:val=""/>
      <w:lvlJc w:val="left"/>
      <w:pPr>
        <w:ind w:left="1776" w:hanging="360"/>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457">
    <w:nsid w:val="72CD6351"/>
    <w:multiLevelType w:val="hybridMultilevel"/>
    <w:tmpl w:val="EB9A362E"/>
    <w:lvl w:ilvl="0" w:tplc="628E3BE2">
      <w:start w:val="1"/>
      <w:numFmt w:val="bullet"/>
      <w:lvlText w:val=""/>
      <w:lvlJc w:val="left"/>
      <w:pPr>
        <w:ind w:left="720" w:hanging="360"/>
      </w:pPr>
      <w:rPr>
        <w:rFonts w:ascii="Wingdings" w:hAnsi="Wingdings" w:hint="default"/>
      </w:rPr>
    </w:lvl>
    <w:lvl w:ilvl="1" w:tplc="BC8AB480" w:tentative="1">
      <w:start w:val="1"/>
      <w:numFmt w:val="bullet"/>
      <w:lvlText w:val="o"/>
      <w:lvlJc w:val="left"/>
      <w:pPr>
        <w:ind w:left="1440" w:hanging="360"/>
      </w:pPr>
      <w:rPr>
        <w:rFonts w:ascii="Courier New" w:hAnsi="Courier New" w:cs="Courier New" w:hint="default"/>
      </w:rPr>
    </w:lvl>
    <w:lvl w:ilvl="2" w:tplc="31BAFC56" w:tentative="1">
      <w:start w:val="1"/>
      <w:numFmt w:val="bullet"/>
      <w:lvlText w:val=""/>
      <w:lvlJc w:val="left"/>
      <w:pPr>
        <w:ind w:left="2160" w:hanging="360"/>
      </w:pPr>
      <w:rPr>
        <w:rFonts w:ascii="Wingdings" w:hAnsi="Wingdings" w:hint="default"/>
      </w:rPr>
    </w:lvl>
    <w:lvl w:ilvl="3" w:tplc="2544051C" w:tentative="1">
      <w:start w:val="1"/>
      <w:numFmt w:val="bullet"/>
      <w:lvlText w:val=""/>
      <w:lvlJc w:val="left"/>
      <w:pPr>
        <w:ind w:left="2880" w:hanging="360"/>
      </w:pPr>
      <w:rPr>
        <w:rFonts w:ascii="Symbol" w:hAnsi="Symbol" w:hint="default"/>
      </w:rPr>
    </w:lvl>
    <w:lvl w:ilvl="4" w:tplc="6144FD46" w:tentative="1">
      <w:start w:val="1"/>
      <w:numFmt w:val="bullet"/>
      <w:lvlText w:val="o"/>
      <w:lvlJc w:val="left"/>
      <w:pPr>
        <w:ind w:left="3600" w:hanging="360"/>
      </w:pPr>
      <w:rPr>
        <w:rFonts w:ascii="Courier New" w:hAnsi="Courier New" w:cs="Courier New" w:hint="default"/>
      </w:rPr>
    </w:lvl>
    <w:lvl w:ilvl="5" w:tplc="047EB36E" w:tentative="1">
      <w:start w:val="1"/>
      <w:numFmt w:val="bullet"/>
      <w:lvlText w:val=""/>
      <w:lvlJc w:val="left"/>
      <w:pPr>
        <w:ind w:left="4320" w:hanging="360"/>
      </w:pPr>
      <w:rPr>
        <w:rFonts w:ascii="Wingdings" w:hAnsi="Wingdings" w:hint="default"/>
      </w:rPr>
    </w:lvl>
    <w:lvl w:ilvl="6" w:tplc="24BEE7A8" w:tentative="1">
      <w:start w:val="1"/>
      <w:numFmt w:val="bullet"/>
      <w:lvlText w:val=""/>
      <w:lvlJc w:val="left"/>
      <w:pPr>
        <w:ind w:left="5040" w:hanging="360"/>
      </w:pPr>
      <w:rPr>
        <w:rFonts w:ascii="Symbol" w:hAnsi="Symbol" w:hint="default"/>
      </w:rPr>
    </w:lvl>
    <w:lvl w:ilvl="7" w:tplc="A378CD7E" w:tentative="1">
      <w:start w:val="1"/>
      <w:numFmt w:val="bullet"/>
      <w:lvlText w:val="o"/>
      <w:lvlJc w:val="left"/>
      <w:pPr>
        <w:ind w:left="5760" w:hanging="360"/>
      </w:pPr>
      <w:rPr>
        <w:rFonts w:ascii="Courier New" w:hAnsi="Courier New" w:cs="Courier New" w:hint="default"/>
      </w:rPr>
    </w:lvl>
    <w:lvl w:ilvl="8" w:tplc="1ADE23C2" w:tentative="1">
      <w:start w:val="1"/>
      <w:numFmt w:val="bullet"/>
      <w:lvlText w:val=""/>
      <w:lvlJc w:val="left"/>
      <w:pPr>
        <w:ind w:left="6480" w:hanging="360"/>
      </w:pPr>
      <w:rPr>
        <w:rFonts w:ascii="Wingdings" w:hAnsi="Wingdings" w:hint="default"/>
      </w:rPr>
    </w:lvl>
  </w:abstractNum>
  <w:abstractNum w:abstractNumId="458">
    <w:nsid w:val="737517FA"/>
    <w:multiLevelType w:val="hybridMultilevel"/>
    <w:tmpl w:val="859E8DA0"/>
    <w:lvl w:ilvl="0" w:tplc="0416000D">
      <w:start w:val="1"/>
      <w:numFmt w:val="bullet"/>
      <w:lvlText w:val=""/>
      <w:lvlJc w:val="left"/>
      <w:pPr>
        <w:ind w:left="765" w:hanging="360"/>
      </w:pPr>
      <w:rPr>
        <w:rFonts w:ascii="Symbol" w:hAnsi="Symbol" w:hint="default"/>
      </w:rPr>
    </w:lvl>
    <w:lvl w:ilvl="1" w:tplc="04160003" w:tentative="1">
      <w:start w:val="1"/>
      <w:numFmt w:val="bullet"/>
      <w:lvlText w:val="o"/>
      <w:lvlJc w:val="left"/>
      <w:pPr>
        <w:ind w:left="1485" w:hanging="360"/>
      </w:pPr>
      <w:rPr>
        <w:rFonts w:ascii="Courier New" w:hAnsi="Courier New" w:cs="Courier New" w:hint="default"/>
      </w:rPr>
    </w:lvl>
    <w:lvl w:ilvl="2" w:tplc="04160005" w:tentative="1">
      <w:start w:val="1"/>
      <w:numFmt w:val="bullet"/>
      <w:lvlText w:val=""/>
      <w:lvlJc w:val="left"/>
      <w:pPr>
        <w:ind w:left="2205" w:hanging="360"/>
      </w:pPr>
      <w:rPr>
        <w:rFonts w:ascii="Wingdings" w:hAnsi="Wingdings" w:hint="default"/>
      </w:rPr>
    </w:lvl>
    <w:lvl w:ilvl="3" w:tplc="04160001" w:tentative="1">
      <w:start w:val="1"/>
      <w:numFmt w:val="bullet"/>
      <w:lvlText w:val=""/>
      <w:lvlJc w:val="left"/>
      <w:pPr>
        <w:ind w:left="2925" w:hanging="360"/>
      </w:pPr>
      <w:rPr>
        <w:rFonts w:ascii="Symbol" w:hAnsi="Symbol" w:hint="default"/>
      </w:rPr>
    </w:lvl>
    <w:lvl w:ilvl="4" w:tplc="04160003" w:tentative="1">
      <w:start w:val="1"/>
      <w:numFmt w:val="bullet"/>
      <w:lvlText w:val="o"/>
      <w:lvlJc w:val="left"/>
      <w:pPr>
        <w:ind w:left="3645" w:hanging="360"/>
      </w:pPr>
      <w:rPr>
        <w:rFonts w:ascii="Courier New" w:hAnsi="Courier New" w:cs="Courier New" w:hint="default"/>
      </w:rPr>
    </w:lvl>
    <w:lvl w:ilvl="5" w:tplc="04160005" w:tentative="1">
      <w:start w:val="1"/>
      <w:numFmt w:val="bullet"/>
      <w:lvlText w:val=""/>
      <w:lvlJc w:val="left"/>
      <w:pPr>
        <w:ind w:left="4365" w:hanging="360"/>
      </w:pPr>
      <w:rPr>
        <w:rFonts w:ascii="Wingdings" w:hAnsi="Wingdings" w:hint="default"/>
      </w:rPr>
    </w:lvl>
    <w:lvl w:ilvl="6" w:tplc="04160001" w:tentative="1">
      <w:start w:val="1"/>
      <w:numFmt w:val="bullet"/>
      <w:lvlText w:val=""/>
      <w:lvlJc w:val="left"/>
      <w:pPr>
        <w:ind w:left="5085" w:hanging="360"/>
      </w:pPr>
      <w:rPr>
        <w:rFonts w:ascii="Symbol" w:hAnsi="Symbol" w:hint="default"/>
      </w:rPr>
    </w:lvl>
    <w:lvl w:ilvl="7" w:tplc="04160003" w:tentative="1">
      <w:start w:val="1"/>
      <w:numFmt w:val="bullet"/>
      <w:lvlText w:val="o"/>
      <w:lvlJc w:val="left"/>
      <w:pPr>
        <w:ind w:left="5805" w:hanging="360"/>
      </w:pPr>
      <w:rPr>
        <w:rFonts w:ascii="Courier New" w:hAnsi="Courier New" w:cs="Courier New" w:hint="default"/>
      </w:rPr>
    </w:lvl>
    <w:lvl w:ilvl="8" w:tplc="04160005" w:tentative="1">
      <w:start w:val="1"/>
      <w:numFmt w:val="bullet"/>
      <w:lvlText w:val=""/>
      <w:lvlJc w:val="left"/>
      <w:pPr>
        <w:ind w:left="6525" w:hanging="360"/>
      </w:pPr>
      <w:rPr>
        <w:rFonts w:ascii="Wingdings" w:hAnsi="Wingdings" w:hint="default"/>
      </w:rPr>
    </w:lvl>
  </w:abstractNum>
  <w:abstractNum w:abstractNumId="459">
    <w:nsid w:val="73CF1AC7"/>
    <w:multiLevelType w:val="hybridMultilevel"/>
    <w:tmpl w:val="20C2023A"/>
    <w:lvl w:ilvl="0" w:tplc="04160001">
      <w:start w:val="1"/>
      <w:numFmt w:val="bullet"/>
      <w:pStyle w:val="Textorecuo"/>
      <w:lvlText w:val=""/>
      <w:lvlJc w:val="left"/>
      <w:pPr>
        <w:ind w:left="5889" w:hanging="360"/>
      </w:pPr>
      <w:rPr>
        <w:rFonts w:ascii="Symbol" w:hAnsi="Symbol" w:hint="default"/>
        <w:caps w:val="0"/>
        <w:strike w:val="0"/>
        <w:dstrike w:val="0"/>
        <w:outline w:val="0"/>
        <w:shadow w:val="0"/>
        <w:emboss w:val="0"/>
        <w:imprint w:val="0"/>
        <w:vanish w:val="0"/>
        <w:color w:val="auto"/>
        <w:sz w:val="18"/>
        <w:vertAlign w:val="baseline"/>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0">
    <w:nsid w:val="740C4F6B"/>
    <w:multiLevelType w:val="multilevel"/>
    <w:tmpl w:val="F684DA9E"/>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461">
    <w:nsid w:val="74622929"/>
    <w:multiLevelType w:val="hybridMultilevel"/>
    <w:tmpl w:val="84A05A98"/>
    <w:lvl w:ilvl="0" w:tplc="8AC4F10E">
      <w:start w:val="1"/>
      <w:numFmt w:val="upperRoman"/>
      <w:lvlText w:val="%1."/>
      <w:lvlJc w:val="right"/>
      <w:pPr>
        <w:ind w:left="720" w:hanging="360"/>
      </w:pPr>
    </w:lvl>
    <w:lvl w:ilvl="1" w:tplc="2F3448C4">
      <w:start w:val="1"/>
      <w:numFmt w:val="lowerLetter"/>
      <w:lvlText w:val="%2."/>
      <w:lvlJc w:val="left"/>
      <w:pPr>
        <w:ind w:left="1440" w:hanging="360"/>
      </w:pPr>
    </w:lvl>
    <w:lvl w:ilvl="2" w:tplc="139CA9BA" w:tentative="1">
      <w:start w:val="1"/>
      <w:numFmt w:val="lowerRoman"/>
      <w:lvlText w:val="%3."/>
      <w:lvlJc w:val="right"/>
      <w:pPr>
        <w:ind w:left="2160" w:hanging="180"/>
      </w:pPr>
    </w:lvl>
    <w:lvl w:ilvl="3" w:tplc="D51ABFF8" w:tentative="1">
      <w:start w:val="1"/>
      <w:numFmt w:val="decimal"/>
      <w:lvlText w:val="%4."/>
      <w:lvlJc w:val="left"/>
      <w:pPr>
        <w:ind w:left="2880" w:hanging="360"/>
      </w:pPr>
    </w:lvl>
    <w:lvl w:ilvl="4" w:tplc="15B07D6C" w:tentative="1">
      <w:start w:val="1"/>
      <w:numFmt w:val="lowerLetter"/>
      <w:lvlText w:val="%5."/>
      <w:lvlJc w:val="left"/>
      <w:pPr>
        <w:ind w:left="3600" w:hanging="360"/>
      </w:pPr>
    </w:lvl>
    <w:lvl w:ilvl="5" w:tplc="376EFA4C" w:tentative="1">
      <w:start w:val="1"/>
      <w:numFmt w:val="lowerRoman"/>
      <w:lvlText w:val="%6."/>
      <w:lvlJc w:val="right"/>
      <w:pPr>
        <w:ind w:left="4320" w:hanging="180"/>
      </w:pPr>
    </w:lvl>
    <w:lvl w:ilvl="6" w:tplc="EB280B04" w:tentative="1">
      <w:start w:val="1"/>
      <w:numFmt w:val="decimal"/>
      <w:lvlText w:val="%7."/>
      <w:lvlJc w:val="left"/>
      <w:pPr>
        <w:ind w:left="5040" w:hanging="360"/>
      </w:pPr>
    </w:lvl>
    <w:lvl w:ilvl="7" w:tplc="EC90F9C2" w:tentative="1">
      <w:start w:val="1"/>
      <w:numFmt w:val="lowerLetter"/>
      <w:lvlText w:val="%8."/>
      <w:lvlJc w:val="left"/>
      <w:pPr>
        <w:ind w:left="5760" w:hanging="360"/>
      </w:pPr>
    </w:lvl>
    <w:lvl w:ilvl="8" w:tplc="2E5ABDB0" w:tentative="1">
      <w:start w:val="1"/>
      <w:numFmt w:val="lowerRoman"/>
      <w:lvlText w:val="%9."/>
      <w:lvlJc w:val="right"/>
      <w:pPr>
        <w:ind w:left="6480" w:hanging="180"/>
      </w:pPr>
    </w:lvl>
  </w:abstractNum>
  <w:abstractNum w:abstractNumId="462">
    <w:nsid w:val="746E66EE"/>
    <w:multiLevelType w:val="hybridMultilevel"/>
    <w:tmpl w:val="F79006C2"/>
    <w:lvl w:ilvl="0" w:tplc="04160013">
      <w:start w:val="1"/>
      <w:numFmt w:val="bullet"/>
      <w:lvlText w:val="o"/>
      <w:lvlJc w:val="left"/>
      <w:pPr>
        <w:ind w:left="720" w:hanging="360"/>
      </w:pPr>
      <w:rPr>
        <w:rFonts w:ascii="Courier New" w:hAnsi="Courier New" w:cs="Courier New" w:hint="default"/>
        <w:sz w:val="20"/>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463">
    <w:nsid w:val="74EF3894"/>
    <w:multiLevelType w:val="hybridMultilevel"/>
    <w:tmpl w:val="6FCC6DEA"/>
    <w:lvl w:ilvl="0" w:tplc="D136B4A8">
      <w:start w:val="1"/>
      <w:numFmt w:val="bullet"/>
      <w:lvlText w:val=""/>
      <w:lvlJc w:val="left"/>
      <w:pPr>
        <w:ind w:left="6739"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4">
    <w:nsid w:val="751E4109"/>
    <w:multiLevelType w:val="hybridMultilevel"/>
    <w:tmpl w:val="4A8670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5">
    <w:nsid w:val="75C84BB4"/>
    <w:multiLevelType w:val="hybridMultilevel"/>
    <w:tmpl w:val="F7123516"/>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6">
    <w:nsid w:val="75CE3178"/>
    <w:multiLevelType w:val="hybridMultilevel"/>
    <w:tmpl w:val="2AFEC4CC"/>
    <w:lvl w:ilvl="0" w:tplc="04160001">
      <w:start w:val="1"/>
      <w:numFmt w:val="lowerLetter"/>
      <w:lvlText w:val="%1)"/>
      <w:lvlJc w:val="lef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67">
    <w:nsid w:val="76113986"/>
    <w:multiLevelType w:val="hybridMultilevel"/>
    <w:tmpl w:val="65BA2542"/>
    <w:lvl w:ilvl="0" w:tplc="04160017">
      <w:start w:val="1"/>
      <w:numFmt w:val="bullet"/>
      <w:lvlText w:val=""/>
      <w:lvlJc w:val="left"/>
      <w:pPr>
        <w:ind w:left="360" w:hanging="360"/>
      </w:pPr>
      <w:rPr>
        <w:rFonts w:ascii="Symbol" w:hAnsi="Symbol" w:hint="default"/>
      </w:rPr>
    </w:lvl>
    <w:lvl w:ilvl="1" w:tplc="04160019" w:tentative="1">
      <w:start w:val="1"/>
      <w:numFmt w:val="bullet"/>
      <w:lvlText w:val="o"/>
      <w:lvlJc w:val="left"/>
      <w:pPr>
        <w:ind w:left="1156" w:hanging="360"/>
      </w:pPr>
      <w:rPr>
        <w:rFonts w:ascii="Courier New" w:hAnsi="Courier New" w:cs="Courier New" w:hint="default"/>
      </w:rPr>
    </w:lvl>
    <w:lvl w:ilvl="2" w:tplc="0416001B" w:tentative="1">
      <w:start w:val="1"/>
      <w:numFmt w:val="bullet"/>
      <w:lvlText w:val=""/>
      <w:lvlJc w:val="left"/>
      <w:pPr>
        <w:ind w:left="1876" w:hanging="360"/>
      </w:pPr>
      <w:rPr>
        <w:rFonts w:ascii="Wingdings" w:hAnsi="Wingdings" w:hint="default"/>
      </w:rPr>
    </w:lvl>
    <w:lvl w:ilvl="3" w:tplc="0416000F" w:tentative="1">
      <w:start w:val="1"/>
      <w:numFmt w:val="bullet"/>
      <w:lvlText w:val=""/>
      <w:lvlJc w:val="left"/>
      <w:pPr>
        <w:ind w:left="2596" w:hanging="360"/>
      </w:pPr>
      <w:rPr>
        <w:rFonts w:ascii="Symbol" w:hAnsi="Symbol" w:hint="default"/>
      </w:rPr>
    </w:lvl>
    <w:lvl w:ilvl="4" w:tplc="04160019" w:tentative="1">
      <w:start w:val="1"/>
      <w:numFmt w:val="bullet"/>
      <w:lvlText w:val="o"/>
      <w:lvlJc w:val="left"/>
      <w:pPr>
        <w:ind w:left="3316" w:hanging="360"/>
      </w:pPr>
      <w:rPr>
        <w:rFonts w:ascii="Courier New" w:hAnsi="Courier New" w:cs="Courier New" w:hint="default"/>
      </w:rPr>
    </w:lvl>
    <w:lvl w:ilvl="5" w:tplc="0416001B" w:tentative="1">
      <w:start w:val="1"/>
      <w:numFmt w:val="bullet"/>
      <w:lvlText w:val=""/>
      <w:lvlJc w:val="left"/>
      <w:pPr>
        <w:ind w:left="4036" w:hanging="360"/>
      </w:pPr>
      <w:rPr>
        <w:rFonts w:ascii="Wingdings" w:hAnsi="Wingdings" w:hint="default"/>
      </w:rPr>
    </w:lvl>
    <w:lvl w:ilvl="6" w:tplc="0416000F" w:tentative="1">
      <w:start w:val="1"/>
      <w:numFmt w:val="bullet"/>
      <w:lvlText w:val=""/>
      <w:lvlJc w:val="left"/>
      <w:pPr>
        <w:ind w:left="4756" w:hanging="360"/>
      </w:pPr>
      <w:rPr>
        <w:rFonts w:ascii="Symbol" w:hAnsi="Symbol" w:hint="default"/>
      </w:rPr>
    </w:lvl>
    <w:lvl w:ilvl="7" w:tplc="04160019" w:tentative="1">
      <w:start w:val="1"/>
      <w:numFmt w:val="bullet"/>
      <w:lvlText w:val="o"/>
      <w:lvlJc w:val="left"/>
      <w:pPr>
        <w:ind w:left="5476" w:hanging="360"/>
      </w:pPr>
      <w:rPr>
        <w:rFonts w:ascii="Courier New" w:hAnsi="Courier New" w:cs="Courier New" w:hint="default"/>
      </w:rPr>
    </w:lvl>
    <w:lvl w:ilvl="8" w:tplc="0416001B" w:tentative="1">
      <w:start w:val="1"/>
      <w:numFmt w:val="bullet"/>
      <w:lvlText w:val=""/>
      <w:lvlJc w:val="left"/>
      <w:pPr>
        <w:ind w:left="6196" w:hanging="360"/>
      </w:pPr>
      <w:rPr>
        <w:rFonts w:ascii="Wingdings" w:hAnsi="Wingdings" w:hint="default"/>
      </w:rPr>
    </w:lvl>
  </w:abstractNum>
  <w:abstractNum w:abstractNumId="468">
    <w:nsid w:val="76197750"/>
    <w:multiLevelType w:val="hybridMultilevel"/>
    <w:tmpl w:val="1172AE70"/>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9">
    <w:nsid w:val="763069FC"/>
    <w:multiLevelType w:val="hybridMultilevel"/>
    <w:tmpl w:val="7B3C1EFC"/>
    <w:lvl w:ilvl="0" w:tplc="C1AEB3D2">
      <w:start w:val="1"/>
      <w:numFmt w:val="lowerLetter"/>
      <w:lvlText w:val="%1)"/>
      <w:lvlJc w:val="left"/>
      <w:pPr>
        <w:ind w:left="1002" w:hanging="435"/>
      </w:pPr>
      <w:rPr>
        <w:rFonts w:hint="default"/>
      </w:rPr>
    </w:lvl>
    <w:lvl w:ilvl="1" w:tplc="04160003" w:tentative="1">
      <w:start w:val="1"/>
      <w:numFmt w:val="lowerLetter"/>
      <w:lvlText w:val="%2."/>
      <w:lvlJc w:val="left"/>
      <w:pPr>
        <w:ind w:left="1647" w:hanging="360"/>
      </w:pPr>
    </w:lvl>
    <w:lvl w:ilvl="2" w:tplc="04160005" w:tentative="1">
      <w:start w:val="1"/>
      <w:numFmt w:val="lowerRoman"/>
      <w:lvlText w:val="%3."/>
      <w:lvlJc w:val="right"/>
      <w:pPr>
        <w:ind w:left="2367" w:hanging="180"/>
      </w:pPr>
    </w:lvl>
    <w:lvl w:ilvl="3" w:tplc="04160001" w:tentative="1">
      <w:start w:val="1"/>
      <w:numFmt w:val="decimal"/>
      <w:lvlText w:val="%4."/>
      <w:lvlJc w:val="left"/>
      <w:pPr>
        <w:ind w:left="3087" w:hanging="360"/>
      </w:pPr>
    </w:lvl>
    <w:lvl w:ilvl="4" w:tplc="04160003" w:tentative="1">
      <w:start w:val="1"/>
      <w:numFmt w:val="lowerLetter"/>
      <w:lvlText w:val="%5."/>
      <w:lvlJc w:val="left"/>
      <w:pPr>
        <w:ind w:left="3807" w:hanging="360"/>
      </w:pPr>
    </w:lvl>
    <w:lvl w:ilvl="5" w:tplc="04160005" w:tentative="1">
      <w:start w:val="1"/>
      <w:numFmt w:val="lowerRoman"/>
      <w:lvlText w:val="%6."/>
      <w:lvlJc w:val="right"/>
      <w:pPr>
        <w:ind w:left="4527" w:hanging="180"/>
      </w:pPr>
    </w:lvl>
    <w:lvl w:ilvl="6" w:tplc="04160001" w:tentative="1">
      <w:start w:val="1"/>
      <w:numFmt w:val="decimal"/>
      <w:lvlText w:val="%7."/>
      <w:lvlJc w:val="left"/>
      <w:pPr>
        <w:ind w:left="5247" w:hanging="360"/>
      </w:pPr>
    </w:lvl>
    <w:lvl w:ilvl="7" w:tplc="04160003" w:tentative="1">
      <w:start w:val="1"/>
      <w:numFmt w:val="lowerLetter"/>
      <w:lvlText w:val="%8."/>
      <w:lvlJc w:val="left"/>
      <w:pPr>
        <w:ind w:left="5967" w:hanging="360"/>
      </w:pPr>
    </w:lvl>
    <w:lvl w:ilvl="8" w:tplc="04160005" w:tentative="1">
      <w:start w:val="1"/>
      <w:numFmt w:val="lowerRoman"/>
      <w:lvlText w:val="%9."/>
      <w:lvlJc w:val="right"/>
      <w:pPr>
        <w:ind w:left="6687" w:hanging="180"/>
      </w:pPr>
    </w:lvl>
  </w:abstractNum>
  <w:abstractNum w:abstractNumId="470">
    <w:nsid w:val="76A01ABF"/>
    <w:multiLevelType w:val="hybridMultilevel"/>
    <w:tmpl w:val="8AA201A6"/>
    <w:lvl w:ilvl="0" w:tplc="B5981A76">
      <w:start w:val="1"/>
      <w:numFmt w:val="bullet"/>
      <w:lvlText w:val=""/>
      <w:lvlJc w:val="left"/>
      <w:pPr>
        <w:ind w:left="1854" w:hanging="360"/>
      </w:pPr>
      <w:rPr>
        <w:rFonts w:ascii="Symbol" w:hAnsi="Symbol" w:hint="default"/>
      </w:rPr>
    </w:lvl>
    <w:lvl w:ilvl="1" w:tplc="04160019" w:tentative="1">
      <w:start w:val="1"/>
      <w:numFmt w:val="bullet"/>
      <w:lvlText w:val="o"/>
      <w:lvlJc w:val="left"/>
      <w:pPr>
        <w:ind w:left="2574" w:hanging="360"/>
      </w:pPr>
      <w:rPr>
        <w:rFonts w:ascii="Courier New" w:hAnsi="Courier New" w:cs="Courier New" w:hint="default"/>
      </w:rPr>
    </w:lvl>
    <w:lvl w:ilvl="2" w:tplc="0416001B" w:tentative="1">
      <w:start w:val="1"/>
      <w:numFmt w:val="bullet"/>
      <w:lvlText w:val=""/>
      <w:lvlJc w:val="left"/>
      <w:pPr>
        <w:ind w:left="3294" w:hanging="360"/>
      </w:pPr>
      <w:rPr>
        <w:rFonts w:ascii="Wingdings" w:hAnsi="Wingdings" w:hint="default"/>
      </w:rPr>
    </w:lvl>
    <w:lvl w:ilvl="3" w:tplc="0416000F" w:tentative="1">
      <w:start w:val="1"/>
      <w:numFmt w:val="bullet"/>
      <w:lvlText w:val=""/>
      <w:lvlJc w:val="left"/>
      <w:pPr>
        <w:ind w:left="4014" w:hanging="360"/>
      </w:pPr>
      <w:rPr>
        <w:rFonts w:ascii="Symbol" w:hAnsi="Symbol" w:hint="default"/>
      </w:rPr>
    </w:lvl>
    <w:lvl w:ilvl="4" w:tplc="04160019" w:tentative="1">
      <w:start w:val="1"/>
      <w:numFmt w:val="bullet"/>
      <w:lvlText w:val="o"/>
      <w:lvlJc w:val="left"/>
      <w:pPr>
        <w:ind w:left="4734" w:hanging="360"/>
      </w:pPr>
      <w:rPr>
        <w:rFonts w:ascii="Courier New" w:hAnsi="Courier New" w:cs="Courier New" w:hint="default"/>
      </w:rPr>
    </w:lvl>
    <w:lvl w:ilvl="5" w:tplc="0416001B" w:tentative="1">
      <w:start w:val="1"/>
      <w:numFmt w:val="bullet"/>
      <w:lvlText w:val=""/>
      <w:lvlJc w:val="left"/>
      <w:pPr>
        <w:ind w:left="5454" w:hanging="360"/>
      </w:pPr>
      <w:rPr>
        <w:rFonts w:ascii="Wingdings" w:hAnsi="Wingdings" w:hint="default"/>
      </w:rPr>
    </w:lvl>
    <w:lvl w:ilvl="6" w:tplc="0416000F" w:tentative="1">
      <w:start w:val="1"/>
      <w:numFmt w:val="bullet"/>
      <w:lvlText w:val=""/>
      <w:lvlJc w:val="left"/>
      <w:pPr>
        <w:ind w:left="6174" w:hanging="360"/>
      </w:pPr>
      <w:rPr>
        <w:rFonts w:ascii="Symbol" w:hAnsi="Symbol" w:hint="default"/>
      </w:rPr>
    </w:lvl>
    <w:lvl w:ilvl="7" w:tplc="04160019" w:tentative="1">
      <w:start w:val="1"/>
      <w:numFmt w:val="bullet"/>
      <w:lvlText w:val="o"/>
      <w:lvlJc w:val="left"/>
      <w:pPr>
        <w:ind w:left="6894" w:hanging="360"/>
      </w:pPr>
      <w:rPr>
        <w:rFonts w:ascii="Courier New" w:hAnsi="Courier New" w:cs="Courier New" w:hint="default"/>
      </w:rPr>
    </w:lvl>
    <w:lvl w:ilvl="8" w:tplc="0416001B" w:tentative="1">
      <w:start w:val="1"/>
      <w:numFmt w:val="bullet"/>
      <w:lvlText w:val=""/>
      <w:lvlJc w:val="left"/>
      <w:pPr>
        <w:ind w:left="7614" w:hanging="360"/>
      </w:pPr>
      <w:rPr>
        <w:rFonts w:ascii="Wingdings" w:hAnsi="Wingdings" w:hint="default"/>
      </w:rPr>
    </w:lvl>
  </w:abstractNum>
  <w:abstractNum w:abstractNumId="471">
    <w:nsid w:val="76BC500A"/>
    <w:multiLevelType w:val="hybridMultilevel"/>
    <w:tmpl w:val="B298F858"/>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2">
    <w:nsid w:val="771813CA"/>
    <w:multiLevelType w:val="hybridMultilevel"/>
    <w:tmpl w:val="A3E29888"/>
    <w:lvl w:ilvl="0" w:tplc="0416000D">
      <w:start w:val="1"/>
      <w:numFmt w:val="bullet"/>
      <w:lvlText w:val=""/>
      <w:lvlJc w:val="left"/>
      <w:pPr>
        <w:tabs>
          <w:tab w:val="num" w:pos="1070"/>
        </w:tabs>
        <w:ind w:left="1070" w:hanging="360"/>
      </w:pPr>
      <w:rPr>
        <w:rFonts w:ascii="Wingdings" w:hAnsi="Wingdings" w:hint="default"/>
      </w:rPr>
    </w:lvl>
    <w:lvl w:ilvl="1" w:tplc="04160003" w:tentative="1">
      <w:start w:val="1"/>
      <w:numFmt w:val="bullet"/>
      <w:lvlText w:val="o"/>
      <w:lvlJc w:val="left"/>
      <w:pPr>
        <w:tabs>
          <w:tab w:val="num" w:pos="1790"/>
        </w:tabs>
        <w:ind w:left="1790" w:hanging="360"/>
      </w:pPr>
      <w:rPr>
        <w:rFonts w:ascii="Courier New" w:hAnsi="Courier New" w:cs="Courier New" w:hint="default"/>
      </w:rPr>
    </w:lvl>
    <w:lvl w:ilvl="2" w:tplc="04160005" w:tentative="1">
      <w:start w:val="1"/>
      <w:numFmt w:val="bullet"/>
      <w:lvlText w:val=""/>
      <w:lvlJc w:val="left"/>
      <w:pPr>
        <w:tabs>
          <w:tab w:val="num" w:pos="2510"/>
        </w:tabs>
        <w:ind w:left="2510" w:hanging="360"/>
      </w:pPr>
      <w:rPr>
        <w:rFonts w:ascii="Wingdings" w:hAnsi="Wingdings" w:hint="default"/>
      </w:rPr>
    </w:lvl>
    <w:lvl w:ilvl="3" w:tplc="04160001" w:tentative="1">
      <w:start w:val="1"/>
      <w:numFmt w:val="bullet"/>
      <w:lvlText w:val=""/>
      <w:lvlJc w:val="left"/>
      <w:pPr>
        <w:tabs>
          <w:tab w:val="num" w:pos="3230"/>
        </w:tabs>
        <w:ind w:left="3230" w:hanging="360"/>
      </w:pPr>
      <w:rPr>
        <w:rFonts w:ascii="Symbol" w:hAnsi="Symbol" w:hint="default"/>
      </w:rPr>
    </w:lvl>
    <w:lvl w:ilvl="4" w:tplc="04160003" w:tentative="1">
      <w:start w:val="1"/>
      <w:numFmt w:val="bullet"/>
      <w:lvlText w:val="o"/>
      <w:lvlJc w:val="left"/>
      <w:pPr>
        <w:tabs>
          <w:tab w:val="num" w:pos="3950"/>
        </w:tabs>
        <w:ind w:left="3950" w:hanging="360"/>
      </w:pPr>
      <w:rPr>
        <w:rFonts w:ascii="Courier New" w:hAnsi="Courier New" w:cs="Courier New" w:hint="default"/>
      </w:rPr>
    </w:lvl>
    <w:lvl w:ilvl="5" w:tplc="04160005" w:tentative="1">
      <w:start w:val="1"/>
      <w:numFmt w:val="bullet"/>
      <w:lvlText w:val=""/>
      <w:lvlJc w:val="left"/>
      <w:pPr>
        <w:tabs>
          <w:tab w:val="num" w:pos="4670"/>
        </w:tabs>
        <w:ind w:left="4670" w:hanging="360"/>
      </w:pPr>
      <w:rPr>
        <w:rFonts w:ascii="Wingdings" w:hAnsi="Wingdings" w:hint="default"/>
      </w:rPr>
    </w:lvl>
    <w:lvl w:ilvl="6" w:tplc="04160001" w:tentative="1">
      <w:start w:val="1"/>
      <w:numFmt w:val="bullet"/>
      <w:lvlText w:val=""/>
      <w:lvlJc w:val="left"/>
      <w:pPr>
        <w:tabs>
          <w:tab w:val="num" w:pos="5390"/>
        </w:tabs>
        <w:ind w:left="5390" w:hanging="360"/>
      </w:pPr>
      <w:rPr>
        <w:rFonts w:ascii="Symbol" w:hAnsi="Symbol" w:hint="default"/>
      </w:rPr>
    </w:lvl>
    <w:lvl w:ilvl="7" w:tplc="04160003" w:tentative="1">
      <w:start w:val="1"/>
      <w:numFmt w:val="bullet"/>
      <w:lvlText w:val="o"/>
      <w:lvlJc w:val="left"/>
      <w:pPr>
        <w:tabs>
          <w:tab w:val="num" w:pos="6110"/>
        </w:tabs>
        <w:ind w:left="6110" w:hanging="360"/>
      </w:pPr>
      <w:rPr>
        <w:rFonts w:ascii="Courier New" w:hAnsi="Courier New" w:cs="Courier New" w:hint="default"/>
      </w:rPr>
    </w:lvl>
    <w:lvl w:ilvl="8" w:tplc="04160005" w:tentative="1">
      <w:start w:val="1"/>
      <w:numFmt w:val="bullet"/>
      <w:lvlText w:val=""/>
      <w:lvlJc w:val="left"/>
      <w:pPr>
        <w:tabs>
          <w:tab w:val="num" w:pos="6830"/>
        </w:tabs>
        <w:ind w:left="6830" w:hanging="360"/>
      </w:pPr>
      <w:rPr>
        <w:rFonts w:ascii="Wingdings" w:hAnsi="Wingdings" w:hint="default"/>
      </w:rPr>
    </w:lvl>
  </w:abstractNum>
  <w:abstractNum w:abstractNumId="473">
    <w:nsid w:val="779F6B94"/>
    <w:multiLevelType w:val="hybridMultilevel"/>
    <w:tmpl w:val="A0AE9DB0"/>
    <w:lvl w:ilvl="0" w:tplc="04160009">
      <w:start w:val="1"/>
      <w:numFmt w:val="bullet"/>
      <w:lvlText w:val=""/>
      <w:lvlJc w:val="left"/>
      <w:pPr>
        <w:tabs>
          <w:tab w:val="num" w:pos="284"/>
        </w:tabs>
        <w:ind w:left="567" w:hanging="283"/>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474">
    <w:nsid w:val="77CD3DEC"/>
    <w:multiLevelType w:val="hybridMultilevel"/>
    <w:tmpl w:val="A9629E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5">
    <w:nsid w:val="77D16D1A"/>
    <w:multiLevelType w:val="hybridMultilevel"/>
    <w:tmpl w:val="4086E256"/>
    <w:lvl w:ilvl="0" w:tplc="5CE64F78">
      <w:start w:val="5"/>
      <w:numFmt w:val="lowerRoman"/>
      <w:lvlText w:val="%1."/>
      <w:lvlJc w:val="left"/>
      <w:pPr>
        <w:ind w:left="862" w:hanging="720"/>
      </w:pPr>
      <w:rPr>
        <w:rFonts w:hint="default"/>
        <w:b/>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476">
    <w:nsid w:val="77FD0378"/>
    <w:multiLevelType w:val="hybridMultilevel"/>
    <w:tmpl w:val="815051E2"/>
    <w:lvl w:ilvl="0" w:tplc="906014CA">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7">
    <w:nsid w:val="787D1C1B"/>
    <w:multiLevelType w:val="hybridMultilevel"/>
    <w:tmpl w:val="CAC6C292"/>
    <w:lvl w:ilvl="0" w:tplc="04160001">
      <w:start w:val="1"/>
      <w:numFmt w:val="lowerLetter"/>
      <w:lvlText w:val="%1)"/>
      <w:lvlJc w:val="left"/>
      <w:pPr>
        <w:ind w:left="1854" w:hanging="360"/>
      </w:pPr>
    </w:lvl>
    <w:lvl w:ilvl="1" w:tplc="04160003" w:tentative="1">
      <w:start w:val="1"/>
      <w:numFmt w:val="lowerLetter"/>
      <w:lvlText w:val="%2."/>
      <w:lvlJc w:val="left"/>
      <w:pPr>
        <w:ind w:left="2574" w:hanging="360"/>
      </w:pPr>
    </w:lvl>
    <w:lvl w:ilvl="2" w:tplc="04160005" w:tentative="1">
      <w:start w:val="1"/>
      <w:numFmt w:val="lowerRoman"/>
      <w:lvlText w:val="%3."/>
      <w:lvlJc w:val="right"/>
      <w:pPr>
        <w:ind w:left="3294" w:hanging="180"/>
      </w:pPr>
    </w:lvl>
    <w:lvl w:ilvl="3" w:tplc="04160001" w:tentative="1">
      <w:start w:val="1"/>
      <w:numFmt w:val="decimal"/>
      <w:lvlText w:val="%4."/>
      <w:lvlJc w:val="left"/>
      <w:pPr>
        <w:ind w:left="4014" w:hanging="360"/>
      </w:pPr>
    </w:lvl>
    <w:lvl w:ilvl="4" w:tplc="04160003" w:tentative="1">
      <w:start w:val="1"/>
      <w:numFmt w:val="lowerLetter"/>
      <w:lvlText w:val="%5."/>
      <w:lvlJc w:val="left"/>
      <w:pPr>
        <w:ind w:left="4734" w:hanging="360"/>
      </w:pPr>
    </w:lvl>
    <w:lvl w:ilvl="5" w:tplc="04160005" w:tentative="1">
      <w:start w:val="1"/>
      <w:numFmt w:val="lowerRoman"/>
      <w:lvlText w:val="%6."/>
      <w:lvlJc w:val="right"/>
      <w:pPr>
        <w:ind w:left="5454" w:hanging="180"/>
      </w:pPr>
    </w:lvl>
    <w:lvl w:ilvl="6" w:tplc="04160001" w:tentative="1">
      <w:start w:val="1"/>
      <w:numFmt w:val="decimal"/>
      <w:lvlText w:val="%7."/>
      <w:lvlJc w:val="left"/>
      <w:pPr>
        <w:ind w:left="6174" w:hanging="360"/>
      </w:pPr>
    </w:lvl>
    <w:lvl w:ilvl="7" w:tplc="04160003" w:tentative="1">
      <w:start w:val="1"/>
      <w:numFmt w:val="lowerLetter"/>
      <w:lvlText w:val="%8."/>
      <w:lvlJc w:val="left"/>
      <w:pPr>
        <w:ind w:left="6894" w:hanging="360"/>
      </w:pPr>
    </w:lvl>
    <w:lvl w:ilvl="8" w:tplc="04160005" w:tentative="1">
      <w:start w:val="1"/>
      <w:numFmt w:val="lowerRoman"/>
      <w:lvlText w:val="%9."/>
      <w:lvlJc w:val="right"/>
      <w:pPr>
        <w:ind w:left="7614" w:hanging="180"/>
      </w:pPr>
    </w:lvl>
  </w:abstractNum>
  <w:abstractNum w:abstractNumId="478">
    <w:nsid w:val="788F5491"/>
    <w:multiLevelType w:val="multilevel"/>
    <w:tmpl w:val="3FF85B60"/>
    <w:lvl w:ilvl="0">
      <w:start w:val="1"/>
      <w:numFmt w:val="decimal"/>
      <w:lvlText w:val="%1."/>
      <w:lvlJc w:val="left"/>
      <w:pPr>
        <w:ind w:left="3479" w:hanging="360"/>
      </w:pPr>
    </w:lvl>
    <w:lvl w:ilvl="1">
      <w:start w:val="7"/>
      <w:numFmt w:val="decimal"/>
      <w:isLgl/>
      <w:lvlText w:val="%1.%2"/>
      <w:lvlJc w:val="left"/>
      <w:pPr>
        <w:ind w:left="3681" w:hanging="540"/>
      </w:pPr>
      <w:rPr>
        <w:rFonts w:ascii="Times New Roman" w:hAnsi="Times New Roman" w:cs="Times New Roman" w:hint="default"/>
      </w:rPr>
    </w:lvl>
    <w:lvl w:ilvl="2">
      <w:start w:val="2"/>
      <w:numFmt w:val="decimal"/>
      <w:isLgl/>
      <w:lvlText w:val="%1.%2.%3"/>
      <w:lvlJc w:val="left"/>
      <w:pPr>
        <w:ind w:left="3883" w:hanging="720"/>
      </w:pPr>
      <w:rPr>
        <w:rFonts w:ascii="Times New Roman" w:hAnsi="Times New Roman" w:cs="Times New Roman" w:hint="default"/>
      </w:rPr>
    </w:lvl>
    <w:lvl w:ilvl="3">
      <w:start w:val="1"/>
      <w:numFmt w:val="decimal"/>
      <w:isLgl/>
      <w:lvlText w:val="%1.%2.%3.%4"/>
      <w:lvlJc w:val="left"/>
      <w:pPr>
        <w:ind w:left="4265" w:hanging="1080"/>
      </w:pPr>
      <w:rPr>
        <w:rFonts w:ascii="Times New Roman" w:hAnsi="Times New Roman" w:cs="Times New Roman" w:hint="default"/>
      </w:rPr>
    </w:lvl>
    <w:lvl w:ilvl="4">
      <w:start w:val="1"/>
      <w:numFmt w:val="decimal"/>
      <w:isLgl/>
      <w:lvlText w:val="%1.%2.%3.%4.%5"/>
      <w:lvlJc w:val="left"/>
      <w:pPr>
        <w:ind w:left="4287" w:hanging="1080"/>
      </w:pPr>
      <w:rPr>
        <w:rFonts w:ascii="Times New Roman" w:hAnsi="Times New Roman" w:cs="Times New Roman" w:hint="default"/>
      </w:rPr>
    </w:lvl>
    <w:lvl w:ilvl="5">
      <w:start w:val="1"/>
      <w:numFmt w:val="decimal"/>
      <w:isLgl/>
      <w:lvlText w:val="%1.%2.%3.%4.%5.%6"/>
      <w:lvlJc w:val="left"/>
      <w:pPr>
        <w:ind w:left="4669" w:hanging="1440"/>
      </w:pPr>
      <w:rPr>
        <w:rFonts w:ascii="Times New Roman" w:hAnsi="Times New Roman" w:cs="Times New Roman" w:hint="default"/>
      </w:rPr>
    </w:lvl>
    <w:lvl w:ilvl="6">
      <w:start w:val="1"/>
      <w:numFmt w:val="decimal"/>
      <w:isLgl/>
      <w:lvlText w:val="%1.%2.%3.%4.%5.%6.%7"/>
      <w:lvlJc w:val="left"/>
      <w:pPr>
        <w:ind w:left="4691" w:hanging="1440"/>
      </w:pPr>
      <w:rPr>
        <w:rFonts w:ascii="Times New Roman" w:hAnsi="Times New Roman" w:cs="Times New Roman" w:hint="default"/>
      </w:rPr>
    </w:lvl>
    <w:lvl w:ilvl="7">
      <w:start w:val="1"/>
      <w:numFmt w:val="decimal"/>
      <w:isLgl/>
      <w:lvlText w:val="%1.%2.%3.%4.%5.%6.%7.%8"/>
      <w:lvlJc w:val="left"/>
      <w:pPr>
        <w:ind w:left="5073" w:hanging="1800"/>
      </w:pPr>
      <w:rPr>
        <w:rFonts w:ascii="Times New Roman" w:hAnsi="Times New Roman" w:cs="Times New Roman" w:hint="default"/>
      </w:rPr>
    </w:lvl>
    <w:lvl w:ilvl="8">
      <w:start w:val="1"/>
      <w:numFmt w:val="decimal"/>
      <w:isLgl/>
      <w:lvlText w:val="%1.%2.%3.%4.%5.%6.%7.%8.%9"/>
      <w:lvlJc w:val="left"/>
      <w:pPr>
        <w:ind w:left="5095" w:hanging="1800"/>
      </w:pPr>
      <w:rPr>
        <w:rFonts w:ascii="Times New Roman" w:hAnsi="Times New Roman" w:cs="Times New Roman" w:hint="default"/>
      </w:rPr>
    </w:lvl>
  </w:abstractNum>
  <w:abstractNum w:abstractNumId="479">
    <w:nsid w:val="78C20DED"/>
    <w:multiLevelType w:val="hybridMultilevel"/>
    <w:tmpl w:val="C70241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0">
    <w:nsid w:val="78CF6B02"/>
    <w:multiLevelType w:val="hybridMultilevel"/>
    <w:tmpl w:val="C3923DC0"/>
    <w:lvl w:ilvl="0" w:tplc="04160003">
      <w:numFmt w:val="bullet"/>
      <w:lvlText w:val="•"/>
      <w:lvlJc w:val="left"/>
      <w:pPr>
        <w:ind w:left="720" w:hanging="360"/>
      </w:pPr>
      <w:rPr>
        <w:rFonts w:ascii="Times New Roman" w:eastAsia="Calibri"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1">
    <w:nsid w:val="78E54582"/>
    <w:multiLevelType w:val="hybridMultilevel"/>
    <w:tmpl w:val="0F6C0B5E"/>
    <w:lvl w:ilvl="0" w:tplc="0416000D">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2">
    <w:nsid w:val="792A2390"/>
    <w:multiLevelType w:val="hybridMultilevel"/>
    <w:tmpl w:val="8CAC2A8A"/>
    <w:lvl w:ilvl="0" w:tplc="61AA52F8">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3">
    <w:nsid w:val="792B31B1"/>
    <w:multiLevelType w:val="hybridMultilevel"/>
    <w:tmpl w:val="3034C3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4">
    <w:nsid w:val="79632966"/>
    <w:multiLevelType w:val="hybridMultilevel"/>
    <w:tmpl w:val="B8E47820"/>
    <w:lvl w:ilvl="0" w:tplc="04160001">
      <w:start w:val="1"/>
      <w:numFmt w:val="bullet"/>
      <w:lvlText w:val=""/>
      <w:lvlJc w:val="left"/>
      <w:pPr>
        <w:ind w:left="720" w:hanging="360"/>
      </w:pPr>
      <w:rPr>
        <w:rFonts w:ascii="Symbol" w:hAnsi="Symbol" w:hint="default"/>
        <w:b/>
        <w:i w:val="0"/>
        <w:color w:val="auto"/>
        <w:sz w:val="24"/>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5">
    <w:nsid w:val="7A9163CA"/>
    <w:multiLevelType w:val="hybridMultilevel"/>
    <w:tmpl w:val="2D7E9626"/>
    <w:lvl w:ilvl="0" w:tplc="4F18BD5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6">
    <w:nsid w:val="7B110D27"/>
    <w:multiLevelType w:val="hybridMultilevel"/>
    <w:tmpl w:val="F05210CE"/>
    <w:lvl w:ilvl="0" w:tplc="04160001">
      <w:start w:val="1"/>
      <w:numFmt w:val="decimal"/>
      <w:lvlText w:val="%1)"/>
      <w:lvlJc w:val="left"/>
      <w:pPr>
        <w:ind w:left="927" w:hanging="360"/>
      </w:pPr>
      <w:rPr>
        <w:rFonts w:hint="default"/>
      </w:rPr>
    </w:lvl>
    <w:lvl w:ilvl="1" w:tplc="04160003" w:tentative="1">
      <w:start w:val="1"/>
      <w:numFmt w:val="lowerLetter"/>
      <w:lvlText w:val="%2."/>
      <w:lvlJc w:val="left"/>
      <w:pPr>
        <w:ind w:left="1647" w:hanging="360"/>
      </w:pPr>
    </w:lvl>
    <w:lvl w:ilvl="2" w:tplc="04160005" w:tentative="1">
      <w:start w:val="1"/>
      <w:numFmt w:val="lowerRoman"/>
      <w:lvlText w:val="%3."/>
      <w:lvlJc w:val="right"/>
      <w:pPr>
        <w:ind w:left="2367" w:hanging="180"/>
      </w:pPr>
    </w:lvl>
    <w:lvl w:ilvl="3" w:tplc="04160001" w:tentative="1">
      <w:start w:val="1"/>
      <w:numFmt w:val="decimal"/>
      <w:lvlText w:val="%4."/>
      <w:lvlJc w:val="left"/>
      <w:pPr>
        <w:ind w:left="3087" w:hanging="360"/>
      </w:pPr>
    </w:lvl>
    <w:lvl w:ilvl="4" w:tplc="04160003" w:tentative="1">
      <w:start w:val="1"/>
      <w:numFmt w:val="lowerLetter"/>
      <w:lvlText w:val="%5."/>
      <w:lvlJc w:val="left"/>
      <w:pPr>
        <w:ind w:left="3807" w:hanging="360"/>
      </w:pPr>
    </w:lvl>
    <w:lvl w:ilvl="5" w:tplc="04160005" w:tentative="1">
      <w:start w:val="1"/>
      <w:numFmt w:val="lowerRoman"/>
      <w:lvlText w:val="%6."/>
      <w:lvlJc w:val="right"/>
      <w:pPr>
        <w:ind w:left="4527" w:hanging="180"/>
      </w:pPr>
    </w:lvl>
    <w:lvl w:ilvl="6" w:tplc="04160001" w:tentative="1">
      <w:start w:val="1"/>
      <w:numFmt w:val="decimal"/>
      <w:lvlText w:val="%7."/>
      <w:lvlJc w:val="left"/>
      <w:pPr>
        <w:ind w:left="5247" w:hanging="360"/>
      </w:pPr>
    </w:lvl>
    <w:lvl w:ilvl="7" w:tplc="04160003" w:tentative="1">
      <w:start w:val="1"/>
      <w:numFmt w:val="lowerLetter"/>
      <w:lvlText w:val="%8."/>
      <w:lvlJc w:val="left"/>
      <w:pPr>
        <w:ind w:left="5967" w:hanging="360"/>
      </w:pPr>
    </w:lvl>
    <w:lvl w:ilvl="8" w:tplc="04160005" w:tentative="1">
      <w:start w:val="1"/>
      <w:numFmt w:val="lowerRoman"/>
      <w:lvlText w:val="%9."/>
      <w:lvlJc w:val="right"/>
      <w:pPr>
        <w:ind w:left="6687" w:hanging="180"/>
      </w:pPr>
    </w:lvl>
  </w:abstractNum>
  <w:abstractNum w:abstractNumId="487">
    <w:nsid w:val="7B1822CC"/>
    <w:multiLevelType w:val="hybridMultilevel"/>
    <w:tmpl w:val="561E32FC"/>
    <w:lvl w:ilvl="0" w:tplc="3BFC85A8">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488">
    <w:nsid w:val="7B780D42"/>
    <w:multiLevelType w:val="hybridMultilevel"/>
    <w:tmpl w:val="C8E8F2D8"/>
    <w:lvl w:ilvl="0" w:tplc="04160001">
      <w:start w:val="1"/>
      <w:numFmt w:val="lowerLetter"/>
      <w:lvlText w:val="%1."/>
      <w:lvlJc w:val="left"/>
      <w:pPr>
        <w:ind w:left="720" w:hanging="360"/>
      </w:pPr>
      <w:rPr>
        <w:rFonts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89">
    <w:nsid w:val="7B925C4C"/>
    <w:multiLevelType w:val="hybridMultilevel"/>
    <w:tmpl w:val="154C6F4E"/>
    <w:lvl w:ilvl="0" w:tplc="04160019">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490">
    <w:nsid w:val="7B9310A3"/>
    <w:multiLevelType w:val="hybridMultilevel"/>
    <w:tmpl w:val="CFC8CFE8"/>
    <w:lvl w:ilvl="0" w:tplc="04160001">
      <w:start w:val="1"/>
      <w:numFmt w:val="bullet"/>
      <w:lvlText w:val=""/>
      <w:lvlJc w:val="left"/>
      <w:pPr>
        <w:ind w:left="720" w:hanging="360"/>
      </w:pPr>
      <w:rPr>
        <w:rFonts w:ascii="Symbol" w:hAnsi="Symbol" w:hint="default"/>
        <w:b/>
        <w:i w:val="0"/>
        <w:color w:val="auto"/>
        <w:sz w:val="24"/>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1">
    <w:nsid w:val="7BA7184A"/>
    <w:multiLevelType w:val="hybridMultilevel"/>
    <w:tmpl w:val="E4644DC4"/>
    <w:lvl w:ilvl="0" w:tplc="4F18BD54">
      <w:start w:val="1"/>
      <w:numFmt w:val="decimal"/>
      <w:lvlText w:val="%1."/>
      <w:lvlJc w:val="lef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92">
    <w:nsid w:val="7BB47390"/>
    <w:multiLevelType w:val="hybridMultilevel"/>
    <w:tmpl w:val="80F85056"/>
    <w:lvl w:ilvl="0" w:tplc="04160001">
      <w:start w:val="1"/>
      <w:numFmt w:val="bullet"/>
      <w:lvlText w:val=""/>
      <w:lvlJc w:val="left"/>
      <w:pPr>
        <w:ind w:left="1080" w:hanging="720"/>
      </w:pPr>
      <w:rPr>
        <w:rFonts w:ascii="Symbol" w:hAnsi="Symbol" w:hint="default"/>
      </w:r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93">
    <w:nsid w:val="7BEE19B2"/>
    <w:multiLevelType w:val="hybridMultilevel"/>
    <w:tmpl w:val="99A2678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4">
    <w:nsid w:val="7C8664C8"/>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495">
    <w:nsid w:val="7CBF7DB3"/>
    <w:multiLevelType w:val="hybridMultilevel"/>
    <w:tmpl w:val="1136C9F2"/>
    <w:lvl w:ilvl="0" w:tplc="2BB067CA">
      <w:start w:val="1"/>
      <w:numFmt w:val="bullet"/>
      <w:lvlText w:val=""/>
      <w:lvlJc w:val="left"/>
      <w:pPr>
        <w:ind w:left="1004" w:hanging="360"/>
      </w:pPr>
      <w:rPr>
        <w:rFonts w:ascii="Symbol" w:hAnsi="Symbol" w:hint="default"/>
      </w:rPr>
    </w:lvl>
    <w:lvl w:ilvl="1" w:tplc="27729048" w:tentative="1">
      <w:start w:val="1"/>
      <w:numFmt w:val="bullet"/>
      <w:lvlText w:val="o"/>
      <w:lvlJc w:val="left"/>
      <w:pPr>
        <w:ind w:left="1724" w:hanging="360"/>
      </w:pPr>
      <w:rPr>
        <w:rFonts w:ascii="Courier New" w:hAnsi="Courier New" w:cs="Courier New" w:hint="default"/>
      </w:rPr>
    </w:lvl>
    <w:lvl w:ilvl="2" w:tplc="B0B227FC" w:tentative="1">
      <w:start w:val="1"/>
      <w:numFmt w:val="bullet"/>
      <w:lvlText w:val=""/>
      <w:lvlJc w:val="left"/>
      <w:pPr>
        <w:ind w:left="2444" w:hanging="360"/>
      </w:pPr>
      <w:rPr>
        <w:rFonts w:ascii="Wingdings" w:hAnsi="Wingdings" w:hint="default"/>
      </w:rPr>
    </w:lvl>
    <w:lvl w:ilvl="3" w:tplc="555402D6" w:tentative="1">
      <w:start w:val="1"/>
      <w:numFmt w:val="bullet"/>
      <w:lvlText w:val=""/>
      <w:lvlJc w:val="left"/>
      <w:pPr>
        <w:ind w:left="3164" w:hanging="360"/>
      </w:pPr>
      <w:rPr>
        <w:rFonts w:ascii="Symbol" w:hAnsi="Symbol" w:hint="default"/>
      </w:rPr>
    </w:lvl>
    <w:lvl w:ilvl="4" w:tplc="20129DCE" w:tentative="1">
      <w:start w:val="1"/>
      <w:numFmt w:val="bullet"/>
      <w:lvlText w:val="o"/>
      <w:lvlJc w:val="left"/>
      <w:pPr>
        <w:ind w:left="3884" w:hanging="360"/>
      </w:pPr>
      <w:rPr>
        <w:rFonts w:ascii="Courier New" w:hAnsi="Courier New" w:cs="Courier New" w:hint="default"/>
      </w:rPr>
    </w:lvl>
    <w:lvl w:ilvl="5" w:tplc="88407254" w:tentative="1">
      <w:start w:val="1"/>
      <w:numFmt w:val="bullet"/>
      <w:lvlText w:val=""/>
      <w:lvlJc w:val="left"/>
      <w:pPr>
        <w:ind w:left="4604" w:hanging="360"/>
      </w:pPr>
      <w:rPr>
        <w:rFonts w:ascii="Wingdings" w:hAnsi="Wingdings" w:hint="default"/>
      </w:rPr>
    </w:lvl>
    <w:lvl w:ilvl="6" w:tplc="89CA8B28" w:tentative="1">
      <w:start w:val="1"/>
      <w:numFmt w:val="bullet"/>
      <w:lvlText w:val=""/>
      <w:lvlJc w:val="left"/>
      <w:pPr>
        <w:ind w:left="5324" w:hanging="360"/>
      </w:pPr>
      <w:rPr>
        <w:rFonts w:ascii="Symbol" w:hAnsi="Symbol" w:hint="default"/>
      </w:rPr>
    </w:lvl>
    <w:lvl w:ilvl="7" w:tplc="EC286F72" w:tentative="1">
      <w:start w:val="1"/>
      <w:numFmt w:val="bullet"/>
      <w:lvlText w:val="o"/>
      <w:lvlJc w:val="left"/>
      <w:pPr>
        <w:ind w:left="6044" w:hanging="360"/>
      </w:pPr>
      <w:rPr>
        <w:rFonts w:ascii="Courier New" w:hAnsi="Courier New" w:cs="Courier New" w:hint="default"/>
      </w:rPr>
    </w:lvl>
    <w:lvl w:ilvl="8" w:tplc="D2FC9FDE" w:tentative="1">
      <w:start w:val="1"/>
      <w:numFmt w:val="bullet"/>
      <w:lvlText w:val=""/>
      <w:lvlJc w:val="left"/>
      <w:pPr>
        <w:ind w:left="6764" w:hanging="360"/>
      </w:pPr>
      <w:rPr>
        <w:rFonts w:ascii="Wingdings" w:hAnsi="Wingdings" w:hint="default"/>
      </w:rPr>
    </w:lvl>
  </w:abstractNum>
  <w:abstractNum w:abstractNumId="496">
    <w:nsid w:val="7CC0277D"/>
    <w:multiLevelType w:val="hybridMultilevel"/>
    <w:tmpl w:val="EA54374A"/>
    <w:lvl w:ilvl="0" w:tplc="C6600DD0">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7">
    <w:nsid w:val="7CE35B85"/>
    <w:multiLevelType w:val="hybridMultilevel"/>
    <w:tmpl w:val="9E5A4EFC"/>
    <w:lvl w:ilvl="0" w:tplc="04160001">
      <w:start w:val="1"/>
      <w:numFmt w:val="upperLetter"/>
      <w:lvlText w:val="%1)"/>
      <w:lvlJc w:val="left"/>
      <w:pPr>
        <w:ind w:left="1636" w:hanging="360"/>
      </w:pPr>
      <w:rPr>
        <w:rFonts w:hint="default"/>
      </w:rPr>
    </w:lvl>
    <w:lvl w:ilvl="1" w:tplc="04160003" w:tentative="1">
      <w:start w:val="1"/>
      <w:numFmt w:val="lowerLetter"/>
      <w:lvlText w:val="%2."/>
      <w:lvlJc w:val="left"/>
      <w:pPr>
        <w:ind w:left="2356" w:hanging="360"/>
      </w:pPr>
    </w:lvl>
    <w:lvl w:ilvl="2" w:tplc="04160005" w:tentative="1">
      <w:start w:val="1"/>
      <w:numFmt w:val="lowerRoman"/>
      <w:lvlText w:val="%3."/>
      <w:lvlJc w:val="right"/>
      <w:pPr>
        <w:ind w:left="3076" w:hanging="180"/>
      </w:pPr>
    </w:lvl>
    <w:lvl w:ilvl="3" w:tplc="04160001" w:tentative="1">
      <w:start w:val="1"/>
      <w:numFmt w:val="decimal"/>
      <w:lvlText w:val="%4."/>
      <w:lvlJc w:val="left"/>
      <w:pPr>
        <w:ind w:left="3796" w:hanging="360"/>
      </w:pPr>
    </w:lvl>
    <w:lvl w:ilvl="4" w:tplc="04160003" w:tentative="1">
      <w:start w:val="1"/>
      <w:numFmt w:val="lowerLetter"/>
      <w:lvlText w:val="%5."/>
      <w:lvlJc w:val="left"/>
      <w:pPr>
        <w:ind w:left="4516" w:hanging="360"/>
      </w:pPr>
    </w:lvl>
    <w:lvl w:ilvl="5" w:tplc="04160005" w:tentative="1">
      <w:start w:val="1"/>
      <w:numFmt w:val="lowerRoman"/>
      <w:lvlText w:val="%6."/>
      <w:lvlJc w:val="right"/>
      <w:pPr>
        <w:ind w:left="5236" w:hanging="180"/>
      </w:pPr>
    </w:lvl>
    <w:lvl w:ilvl="6" w:tplc="04160001" w:tentative="1">
      <w:start w:val="1"/>
      <w:numFmt w:val="decimal"/>
      <w:lvlText w:val="%7."/>
      <w:lvlJc w:val="left"/>
      <w:pPr>
        <w:ind w:left="5956" w:hanging="360"/>
      </w:pPr>
    </w:lvl>
    <w:lvl w:ilvl="7" w:tplc="04160003" w:tentative="1">
      <w:start w:val="1"/>
      <w:numFmt w:val="lowerLetter"/>
      <w:lvlText w:val="%8."/>
      <w:lvlJc w:val="left"/>
      <w:pPr>
        <w:ind w:left="6676" w:hanging="360"/>
      </w:pPr>
    </w:lvl>
    <w:lvl w:ilvl="8" w:tplc="04160005" w:tentative="1">
      <w:start w:val="1"/>
      <w:numFmt w:val="lowerRoman"/>
      <w:lvlText w:val="%9."/>
      <w:lvlJc w:val="right"/>
      <w:pPr>
        <w:ind w:left="7396" w:hanging="180"/>
      </w:pPr>
    </w:lvl>
  </w:abstractNum>
  <w:abstractNum w:abstractNumId="498">
    <w:nsid w:val="7D7C4373"/>
    <w:multiLevelType w:val="hybridMultilevel"/>
    <w:tmpl w:val="8D50DF9A"/>
    <w:lvl w:ilvl="0" w:tplc="F9B2CB44">
      <w:start w:val="1"/>
      <w:numFmt w:val="bullet"/>
      <w:lvlText w:val=""/>
      <w:lvlJc w:val="left"/>
      <w:pPr>
        <w:tabs>
          <w:tab w:val="num" w:pos="284"/>
        </w:tabs>
        <w:ind w:left="567" w:hanging="283"/>
      </w:pPr>
      <w:rPr>
        <w:rFonts w:ascii="Wingdings" w:hAnsi="Wingdings" w:hint="default"/>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499">
    <w:nsid w:val="7D877B9F"/>
    <w:multiLevelType w:val="singleLevel"/>
    <w:tmpl w:val="C152F66A"/>
    <w:lvl w:ilvl="0">
      <w:start w:val="5"/>
      <w:numFmt w:val="decimal"/>
      <w:lvlText w:val="%1."/>
      <w:lvlJc w:val="left"/>
      <w:pPr>
        <w:tabs>
          <w:tab w:val="num" w:pos="360"/>
        </w:tabs>
        <w:ind w:left="360" w:hanging="360"/>
      </w:pPr>
    </w:lvl>
  </w:abstractNum>
  <w:abstractNum w:abstractNumId="500">
    <w:nsid w:val="7DEF1AE9"/>
    <w:multiLevelType w:val="hybridMultilevel"/>
    <w:tmpl w:val="1C483E26"/>
    <w:lvl w:ilvl="0" w:tplc="B71E94BC">
      <w:start w:val="1"/>
      <w:numFmt w:val="bullet"/>
      <w:lvlText w:val=""/>
      <w:lvlJc w:val="left"/>
      <w:pPr>
        <w:ind w:left="1440" w:hanging="360"/>
      </w:pPr>
      <w:rPr>
        <w:rFonts w:ascii="Symbol" w:hAnsi="Symbol" w:hint="default"/>
      </w:rPr>
    </w:lvl>
    <w:lvl w:ilvl="1" w:tplc="53C6414C" w:tentative="1">
      <w:start w:val="1"/>
      <w:numFmt w:val="bullet"/>
      <w:lvlText w:val="o"/>
      <w:lvlJc w:val="left"/>
      <w:pPr>
        <w:ind w:left="2160" w:hanging="360"/>
      </w:pPr>
      <w:rPr>
        <w:rFonts w:ascii="Courier New" w:hAnsi="Courier New" w:cs="Courier New" w:hint="default"/>
      </w:rPr>
    </w:lvl>
    <w:lvl w:ilvl="2" w:tplc="84AC462E" w:tentative="1">
      <w:start w:val="1"/>
      <w:numFmt w:val="bullet"/>
      <w:lvlText w:val=""/>
      <w:lvlJc w:val="left"/>
      <w:pPr>
        <w:ind w:left="2880" w:hanging="360"/>
      </w:pPr>
      <w:rPr>
        <w:rFonts w:ascii="Wingdings" w:hAnsi="Wingdings" w:hint="default"/>
      </w:rPr>
    </w:lvl>
    <w:lvl w:ilvl="3" w:tplc="D3FE63AA" w:tentative="1">
      <w:start w:val="1"/>
      <w:numFmt w:val="bullet"/>
      <w:lvlText w:val=""/>
      <w:lvlJc w:val="left"/>
      <w:pPr>
        <w:ind w:left="3600" w:hanging="360"/>
      </w:pPr>
      <w:rPr>
        <w:rFonts w:ascii="Symbol" w:hAnsi="Symbol" w:hint="default"/>
      </w:rPr>
    </w:lvl>
    <w:lvl w:ilvl="4" w:tplc="C94CE522" w:tentative="1">
      <w:start w:val="1"/>
      <w:numFmt w:val="bullet"/>
      <w:lvlText w:val="o"/>
      <w:lvlJc w:val="left"/>
      <w:pPr>
        <w:ind w:left="4320" w:hanging="360"/>
      </w:pPr>
      <w:rPr>
        <w:rFonts w:ascii="Courier New" w:hAnsi="Courier New" w:cs="Courier New" w:hint="default"/>
      </w:rPr>
    </w:lvl>
    <w:lvl w:ilvl="5" w:tplc="E65857E8" w:tentative="1">
      <w:start w:val="1"/>
      <w:numFmt w:val="bullet"/>
      <w:lvlText w:val=""/>
      <w:lvlJc w:val="left"/>
      <w:pPr>
        <w:ind w:left="5040" w:hanging="360"/>
      </w:pPr>
      <w:rPr>
        <w:rFonts w:ascii="Wingdings" w:hAnsi="Wingdings" w:hint="default"/>
      </w:rPr>
    </w:lvl>
    <w:lvl w:ilvl="6" w:tplc="F5F449E4" w:tentative="1">
      <w:start w:val="1"/>
      <w:numFmt w:val="bullet"/>
      <w:lvlText w:val=""/>
      <w:lvlJc w:val="left"/>
      <w:pPr>
        <w:ind w:left="5760" w:hanging="360"/>
      </w:pPr>
      <w:rPr>
        <w:rFonts w:ascii="Symbol" w:hAnsi="Symbol" w:hint="default"/>
      </w:rPr>
    </w:lvl>
    <w:lvl w:ilvl="7" w:tplc="2B827BCC" w:tentative="1">
      <w:start w:val="1"/>
      <w:numFmt w:val="bullet"/>
      <w:lvlText w:val="o"/>
      <w:lvlJc w:val="left"/>
      <w:pPr>
        <w:ind w:left="6480" w:hanging="360"/>
      </w:pPr>
      <w:rPr>
        <w:rFonts w:ascii="Courier New" w:hAnsi="Courier New" w:cs="Courier New" w:hint="default"/>
      </w:rPr>
    </w:lvl>
    <w:lvl w:ilvl="8" w:tplc="BDD64DC0" w:tentative="1">
      <w:start w:val="1"/>
      <w:numFmt w:val="bullet"/>
      <w:lvlText w:val=""/>
      <w:lvlJc w:val="left"/>
      <w:pPr>
        <w:ind w:left="7200" w:hanging="360"/>
      </w:pPr>
      <w:rPr>
        <w:rFonts w:ascii="Wingdings" w:hAnsi="Wingdings" w:hint="default"/>
      </w:rPr>
    </w:lvl>
  </w:abstractNum>
  <w:abstractNum w:abstractNumId="501">
    <w:nsid w:val="7E100AA7"/>
    <w:multiLevelType w:val="hybridMultilevel"/>
    <w:tmpl w:val="B2BC435C"/>
    <w:lvl w:ilvl="0" w:tplc="906014CA">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2">
    <w:nsid w:val="7E380896"/>
    <w:multiLevelType w:val="hybridMultilevel"/>
    <w:tmpl w:val="E98658AA"/>
    <w:lvl w:ilvl="0" w:tplc="0416000D">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503">
    <w:nsid w:val="7E5E22FB"/>
    <w:multiLevelType w:val="hybridMultilevel"/>
    <w:tmpl w:val="5DE805C8"/>
    <w:lvl w:ilvl="0" w:tplc="04160001">
      <w:start w:val="1"/>
      <w:numFmt w:val="bullet"/>
      <w:lvlText w:val="o"/>
      <w:lvlJc w:val="left"/>
      <w:pPr>
        <w:ind w:left="1854" w:hanging="360"/>
      </w:pPr>
      <w:rPr>
        <w:rFonts w:ascii="Courier New" w:hAnsi="Courier New" w:cs="Courier New"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04">
    <w:nsid w:val="7EB66FA9"/>
    <w:multiLevelType w:val="hybridMultilevel"/>
    <w:tmpl w:val="CE621B74"/>
    <w:lvl w:ilvl="0" w:tplc="04160001">
      <w:start w:val="1"/>
      <w:numFmt w:val="decimal"/>
      <w:lvlText w:val="%1."/>
      <w:lvlJc w:val="left"/>
      <w:pPr>
        <w:ind w:left="360" w:hanging="360"/>
      </w:pPr>
      <w:rPr>
        <w:rFonts w:hint="default"/>
      </w:rPr>
    </w:lvl>
    <w:lvl w:ilvl="1" w:tplc="04160019">
      <w:start w:val="1"/>
      <w:numFmt w:val="bullet"/>
      <w:lvlText w:val="o"/>
      <w:lvlJc w:val="left"/>
      <w:pPr>
        <w:ind w:left="1080" w:hanging="360"/>
      </w:pPr>
      <w:rPr>
        <w:rFonts w:ascii="Courier New" w:hAnsi="Courier New" w:cs="Courier New" w:hint="default"/>
      </w:rPr>
    </w:lvl>
    <w:lvl w:ilvl="2" w:tplc="0416001B" w:tentative="1">
      <w:start w:val="1"/>
      <w:numFmt w:val="bullet"/>
      <w:lvlText w:val=""/>
      <w:lvlJc w:val="left"/>
      <w:pPr>
        <w:ind w:left="1800" w:hanging="360"/>
      </w:pPr>
      <w:rPr>
        <w:rFonts w:ascii="Wingdings" w:hAnsi="Wingdings" w:hint="default"/>
      </w:rPr>
    </w:lvl>
    <w:lvl w:ilvl="3" w:tplc="0416000F" w:tentative="1">
      <w:start w:val="1"/>
      <w:numFmt w:val="bullet"/>
      <w:lvlText w:val=""/>
      <w:lvlJc w:val="left"/>
      <w:pPr>
        <w:ind w:left="2520" w:hanging="360"/>
      </w:pPr>
      <w:rPr>
        <w:rFonts w:ascii="Symbol" w:hAnsi="Symbol" w:hint="default"/>
      </w:rPr>
    </w:lvl>
    <w:lvl w:ilvl="4" w:tplc="04160019" w:tentative="1">
      <w:start w:val="1"/>
      <w:numFmt w:val="bullet"/>
      <w:lvlText w:val="o"/>
      <w:lvlJc w:val="left"/>
      <w:pPr>
        <w:ind w:left="3240" w:hanging="360"/>
      </w:pPr>
      <w:rPr>
        <w:rFonts w:ascii="Courier New" w:hAnsi="Courier New" w:cs="Courier New" w:hint="default"/>
      </w:rPr>
    </w:lvl>
    <w:lvl w:ilvl="5" w:tplc="0416001B" w:tentative="1">
      <w:start w:val="1"/>
      <w:numFmt w:val="bullet"/>
      <w:lvlText w:val=""/>
      <w:lvlJc w:val="left"/>
      <w:pPr>
        <w:ind w:left="3960" w:hanging="360"/>
      </w:pPr>
      <w:rPr>
        <w:rFonts w:ascii="Wingdings" w:hAnsi="Wingdings" w:hint="default"/>
      </w:rPr>
    </w:lvl>
    <w:lvl w:ilvl="6" w:tplc="0416000F" w:tentative="1">
      <w:start w:val="1"/>
      <w:numFmt w:val="bullet"/>
      <w:lvlText w:val=""/>
      <w:lvlJc w:val="left"/>
      <w:pPr>
        <w:ind w:left="4680" w:hanging="360"/>
      </w:pPr>
      <w:rPr>
        <w:rFonts w:ascii="Symbol" w:hAnsi="Symbol" w:hint="default"/>
      </w:rPr>
    </w:lvl>
    <w:lvl w:ilvl="7" w:tplc="04160019" w:tentative="1">
      <w:start w:val="1"/>
      <w:numFmt w:val="bullet"/>
      <w:lvlText w:val="o"/>
      <w:lvlJc w:val="left"/>
      <w:pPr>
        <w:ind w:left="5400" w:hanging="360"/>
      </w:pPr>
      <w:rPr>
        <w:rFonts w:ascii="Courier New" w:hAnsi="Courier New" w:cs="Courier New" w:hint="default"/>
      </w:rPr>
    </w:lvl>
    <w:lvl w:ilvl="8" w:tplc="0416001B" w:tentative="1">
      <w:start w:val="1"/>
      <w:numFmt w:val="bullet"/>
      <w:lvlText w:val=""/>
      <w:lvlJc w:val="left"/>
      <w:pPr>
        <w:ind w:left="6120" w:hanging="360"/>
      </w:pPr>
      <w:rPr>
        <w:rFonts w:ascii="Wingdings" w:hAnsi="Wingdings" w:hint="default"/>
      </w:rPr>
    </w:lvl>
  </w:abstractNum>
  <w:abstractNum w:abstractNumId="505">
    <w:nsid w:val="7EC06EEF"/>
    <w:multiLevelType w:val="hybridMultilevel"/>
    <w:tmpl w:val="B596C6A2"/>
    <w:lvl w:ilvl="0" w:tplc="04160001">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6">
    <w:nsid w:val="7F2215EB"/>
    <w:multiLevelType w:val="hybridMultilevel"/>
    <w:tmpl w:val="C94E57F6"/>
    <w:lvl w:ilvl="0" w:tplc="0416000D">
      <w:start w:val="1"/>
      <w:numFmt w:val="lowerLetter"/>
      <w:lvlText w:val="%1)"/>
      <w:lvlJc w:val="left"/>
      <w:pPr>
        <w:ind w:left="1494" w:hanging="360"/>
      </w:pPr>
      <w:rPr>
        <w:rFonts w:hint="default"/>
      </w:rPr>
    </w:lvl>
    <w:lvl w:ilvl="1" w:tplc="04160003" w:tentative="1">
      <w:start w:val="1"/>
      <w:numFmt w:val="lowerLetter"/>
      <w:lvlText w:val="%2."/>
      <w:lvlJc w:val="left"/>
      <w:pPr>
        <w:ind w:left="2214" w:hanging="360"/>
      </w:pPr>
    </w:lvl>
    <w:lvl w:ilvl="2" w:tplc="04160005" w:tentative="1">
      <w:start w:val="1"/>
      <w:numFmt w:val="lowerRoman"/>
      <w:lvlText w:val="%3."/>
      <w:lvlJc w:val="right"/>
      <w:pPr>
        <w:ind w:left="2934" w:hanging="180"/>
      </w:pPr>
    </w:lvl>
    <w:lvl w:ilvl="3" w:tplc="04160001" w:tentative="1">
      <w:start w:val="1"/>
      <w:numFmt w:val="decimal"/>
      <w:lvlText w:val="%4."/>
      <w:lvlJc w:val="left"/>
      <w:pPr>
        <w:ind w:left="3654" w:hanging="360"/>
      </w:pPr>
    </w:lvl>
    <w:lvl w:ilvl="4" w:tplc="04160003" w:tentative="1">
      <w:start w:val="1"/>
      <w:numFmt w:val="lowerLetter"/>
      <w:lvlText w:val="%5."/>
      <w:lvlJc w:val="left"/>
      <w:pPr>
        <w:ind w:left="4374" w:hanging="360"/>
      </w:pPr>
    </w:lvl>
    <w:lvl w:ilvl="5" w:tplc="04160005" w:tentative="1">
      <w:start w:val="1"/>
      <w:numFmt w:val="lowerRoman"/>
      <w:lvlText w:val="%6."/>
      <w:lvlJc w:val="right"/>
      <w:pPr>
        <w:ind w:left="5094" w:hanging="180"/>
      </w:pPr>
    </w:lvl>
    <w:lvl w:ilvl="6" w:tplc="04160001" w:tentative="1">
      <w:start w:val="1"/>
      <w:numFmt w:val="decimal"/>
      <w:lvlText w:val="%7."/>
      <w:lvlJc w:val="left"/>
      <w:pPr>
        <w:ind w:left="5814" w:hanging="360"/>
      </w:pPr>
    </w:lvl>
    <w:lvl w:ilvl="7" w:tplc="04160003" w:tentative="1">
      <w:start w:val="1"/>
      <w:numFmt w:val="lowerLetter"/>
      <w:lvlText w:val="%8."/>
      <w:lvlJc w:val="left"/>
      <w:pPr>
        <w:ind w:left="6534" w:hanging="360"/>
      </w:pPr>
    </w:lvl>
    <w:lvl w:ilvl="8" w:tplc="04160005" w:tentative="1">
      <w:start w:val="1"/>
      <w:numFmt w:val="lowerRoman"/>
      <w:lvlText w:val="%9."/>
      <w:lvlJc w:val="right"/>
      <w:pPr>
        <w:ind w:left="7254" w:hanging="180"/>
      </w:pPr>
    </w:lvl>
  </w:abstractNum>
  <w:abstractNum w:abstractNumId="507">
    <w:nsid w:val="7FBE6B69"/>
    <w:multiLevelType w:val="hybridMultilevel"/>
    <w:tmpl w:val="D5D2776C"/>
    <w:lvl w:ilvl="0" w:tplc="8AC88CB0">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508">
    <w:nsid w:val="7FD73F59"/>
    <w:multiLevelType w:val="hybridMultilevel"/>
    <w:tmpl w:val="F84C1942"/>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num w:numId="1">
    <w:abstractNumId w:val="246"/>
  </w:num>
  <w:num w:numId="2">
    <w:abstractNumId w:val="327"/>
  </w:num>
  <w:num w:numId="3">
    <w:abstractNumId w:val="210"/>
  </w:num>
  <w:num w:numId="4">
    <w:abstractNumId w:val="244"/>
  </w:num>
  <w:num w:numId="5">
    <w:abstractNumId w:val="131"/>
  </w:num>
  <w:num w:numId="6">
    <w:abstractNumId w:val="0"/>
  </w:num>
  <w:num w:numId="7">
    <w:abstractNumId w:val="242"/>
  </w:num>
  <w:num w:numId="8">
    <w:abstractNumId w:val="348"/>
  </w:num>
  <w:num w:numId="9">
    <w:abstractNumId w:val="32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78"/>
    <w:lvlOverride w:ilvl="0">
      <w:startOverride w:val="1"/>
    </w:lvlOverride>
    <w:lvlOverride w:ilvl="1">
      <w:startOverride w:val="7"/>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6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0"/>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6"/>
    <w:lvlOverride w:ilvl="0">
      <w:startOverride w:val="4"/>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8"/>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9"/>
  </w:num>
  <w:num w:numId="27">
    <w:abstractNumId w:val="225"/>
  </w:num>
  <w:num w:numId="28">
    <w:abstractNumId w:val="445"/>
  </w:num>
  <w:num w:numId="29">
    <w:abstractNumId w:val="144"/>
  </w:num>
  <w:num w:numId="30">
    <w:abstractNumId w:val="45"/>
  </w:num>
  <w:num w:numId="31">
    <w:abstractNumId w:val="110"/>
  </w:num>
  <w:num w:numId="32">
    <w:abstractNumId w:val="322"/>
  </w:num>
  <w:num w:numId="33">
    <w:abstractNumId w:val="217"/>
  </w:num>
  <w:num w:numId="34">
    <w:abstractNumId w:val="248"/>
  </w:num>
  <w:num w:numId="35">
    <w:abstractNumId w:val="211"/>
  </w:num>
  <w:num w:numId="36">
    <w:abstractNumId w:val="430"/>
  </w:num>
  <w:num w:numId="37">
    <w:abstractNumId w:val="151"/>
  </w:num>
  <w:num w:numId="38">
    <w:abstractNumId w:val="394"/>
  </w:num>
  <w:num w:numId="39">
    <w:abstractNumId w:val="80"/>
  </w:num>
  <w:num w:numId="40">
    <w:abstractNumId w:val="198"/>
  </w:num>
  <w:num w:numId="41">
    <w:abstractNumId w:val="36"/>
  </w:num>
  <w:num w:numId="42">
    <w:abstractNumId w:val="300"/>
  </w:num>
  <w:num w:numId="43">
    <w:abstractNumId w:val="103"/>
  </w:num>
  <w:num w:numId="44">
    <w:abstractNumId w:val="258"/>
  </w:num>
  <w:num w:numId="45">
    <w:abstractNumId w:val="500"/>
  </w:num>
  <w:num w:numId="46">
    <w:abstractNumId w:val="264"/>
  </w:num>
  <w:num w:numId="47">
    <w:abstractNumId w:val="356"/>
  </w:num>
  <w:num w:numId="48">
    <w:abstractNumId w:val="304"/>
  </w:num>
  <w:num w:numId="49">
    <w:abstractNumId w:val="218"/>
  </w:num>
  <w:num w:numId="50">
    <w:abstractNumId w:val="124"/>
  </w:num>
  <w:num w:numId="51">
    <w:abstractNumId w:val="208"/>
  </w:num>
  <w:num w:numId="52">
    <w:abstractNumId w:val="4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54"/>
  </w:num>
  <w:num w:numId="54">
    <w:abstractNumId w:val="133"/>
  </w:num>
  <w:num w:numId="55">
    <w:abstractNumId w:val="387"/>
  </w:num>
  <w:num w:numId="56">
    <w:abstractNumId w:val="404"/>
  </w:num>
  <w:num w:numId="57">
    <w:abstractNumId w:val="367"/>
  </w:num>
  <w:num w:numId="58">
    <w:abstractNumId w:val="438"/>
  </w:num>
  <w:num w:numId="59">
    <w:abstractNumId w:val="386"/>
  </w:num>
  <w:num w:numId="60">
    <w:abstractNumId w:val="194"/>
  </w:num>
  <w:num w:numId="61">
    <w:abstractNumId w:val="476"/>
  </w:num>
  <w:num w:numId="62">
    <w:abstractNumId w:val="189"/>
  </w:num>
  <w:num w:numId="63">
    <w:abstractNumId w:val="260"/>
  </w:num>
  <w:num w:numId="64">
    <w:abstractNumId w:val="137"/>
  </w:num>
  <w:num w:numId="65">
    <w:abstractNumId w:val="448"/>
  </w:num>
  <w:num w:numId="66">
    <w:abstractNumId w:val="340"/>
  </w:num>
  <w:num w:numId="67">
    <w:abstractNumId w:val="411"/>
  </w:num>
  <w:num w:numId="68">
    <w:abstractNumId w:val="422"/>
  </w:num>
  <w:num w:numId="69">
    <w:abstractNumId w:val="116"/>
  </w:num>
  <w:num w:numId="70">
    <w:abstractNumId w:val="398"/>
  </w:num>
  <w:num w:numId="71">
    <w:abstractNumId w:val="295"/>
  </w:num>
  <w:num w:numId="72">
    <w:abstractNumId w:val="489"/>
  </w:num>
  <w:num w:numId="73">
    <w:abstractNumId w:val="344"/>
  </w:num>
  <w:num w:numId="74">
    <w:abstractNumId w:val="397"/>
  </w:num>
  <w:num w:numId="75">
    <w:abstractNumId w:val="174"/>
  </w:num>
  <w:num w:numId="76">
    <w:abstractNumId w:val="107"/>
  </w:num>
  <w:num w:numId="77">
    <w:abstractNumId w:val="67"/>
  </w:num>
  <w:num w:numId="78">
    <w:abstractNumId w:val="375"/>
  </w:num>
  <w:num w:numId="79">
    <w:abstractNumId w:val="418"/>
  </w:num>
  <w:num w:numId="80">
    <w:abstractNumId w:val="462"/>
  </w:num>
  <w:num w:numId="81">
    <w:abstractNumId w:val="503"/>
  </w:num>
  <w:num w:numId="82">
    <w:abstractNumId w:val="155"/>
  </w:num>
  <w:num w:numId="83">
    <w:abstractNumId w:val="405"/>
  </w:num>
  <w:num w:numId="84">
    <w:abstractNumId w:val="37"/>
  </w:num>
  <w:num w:numId="85">
    <w:abstractNumId w:val="53"/>
  </w:num>
  <w:num w:numId="86">
    <w:abstractNumId w:val="454"/>
  </w:num>
  <w:num w:numId="87">
    <w:abstractNumId w:val="146"/>
  </w:num>
  <w:num w:numId="88">
    <w:abstractNumId w:val="216"/>
  </w:num>
  <w:num w:numId="8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65"/>
  </w:num>
  <w:num w:numId="91">
    <w:abstractNumId w:val="296"/>
  </w:num>
  <w:num w:numId="92">
    <w:abstractNumId w:val="150"/>
  </w:num>
  <w:num w:numId="93">
    <w:abstractNumId w:val="19"/>
  </w:num>
  <w:num w:numId="94">
    <w:abstractNumId w:val="92"/>
  </w:num>
  <w:num w:numId="95">
    <w:abstractNumId w:val="191"/>
  </w:num>
  <w:num w:numId="96">
    <w:abstractNumId w:val="351"/>
  </w:num>
  <w:num w:numId="97">
    <w:abstractNumId w:val="450"/>
  </w:num>
  <w:num w:numId="98">
    <w:abstractNumId w:val="140"/>
  </w:num>
  <w:num w:numId="99">
    <w:abstractNumId w:val="436"/>
  </w:num>
  <w:num w:numId="100">
    <w:abstractNumId w:val="42"/>
  </w:num>
  <w:num w:numId="101">
    <w:abstractNumId w:val="351"/>
  </w:num>
  <w:num w:numId="102">
    <w:abstractNumId w:val="24"/>
  </w:num>
  <w:num w:numId="103">
    <w:abstractNumId w:val="117"/>
  </w:num>
  <w:num w:numId="104">
    <w:abstractNumId w:val="17"/>
  </w:num>
  <w:num w:numId="105">
    <w:abstractNumId w:val="17"/>
  </w:num>
  <w:num w:numId="106">
    <w:abstractNumId w:val="108"/>
  </w:num>
  <w:num w:numId="107">
    <w:abstractNumId w:val="358"/>
  </w:num>
  <w:num w:numId="108">
    <w:abstractNumId w:val="51"/>
  </w:num>
  <w:num w:numId="109">
    <w:abstractNumId w:val="222"/>
  </w:num>
  <w:num w:numId="110">
    <w:abstractNumId w:val="32"/>
  </w:num>
  <w:num w:numId="111">
    <w:abstractNumId w:val="276"/>
  </w:num>
  <w:num w:numId="112">
    <w:abstractNumId w:val="482"/>
  </w:num>
  <w:num w:numId="113">
    <w:abstractNumId w:val="48"/>
  </w:num>
  <w:num w:numId="114">
    <w:abstractNumId w:val="376"/>
  </w:num>
  <w:num w:numId="115">
    <w:abstractNumId w:val="451"/>
  </w:num>
  <w:num w:numId="116">
    <w:abstractNumId w:val="399"/>
  </w:num>
  <w:num w:numId="117">
    <w:abstractNumId w:val="419"/>
  </w:num>
  <w:num w:numId="118">
    <w:abstractNumId w:val="28"/>
  </w:num>
  <w:num w:numId="119">
    <w:abstractNumId w:val="55"/>
  </w:num>
  <w:num w:numId="120">
    <w:abstractNumId w:val="290"/>
  </w:num>
  <w:num w:numId="121">
    <w:abstractNumId w:val="446"/>
  </w:num>
  <w:num w:numId="122">
    <w:abstractNumId w:val="228"/>
  </w:num>
  <w:num w:numId="123">
    <w:abstractNumId w:val="200"/>
  </w:num>
  <w:num w:numId="124">
    <w:abstractNumId w:val="349"/>
  </w:num>
  <w:num w:numId="125">
    <w:abstractNumId w:val="409"/>
  </w:num>
  <w:num w:numId="126">
    <w:abstractNumId w:val="440"/>
  </w:num>
  <w:num w:numId="127">
    <w:abstractNumId w:val="125"/>
  </w:num>
  <w:num w:numId="128">
    <w:abstractNumId w:val="350"/>
  </w:num>
  <w:num w:numId="129">
    <w:abstractNumId w:val="201"/>
  </w:num>
  <w:num w:numId="130">
    <w:abstractNumId w:val="163"/>
  </w:num>
  <w:num w:numId="131">
    <w:abstractNumId w:val="391"/>
  </w:num>
  <w:num w:numId="132">
    <w:abstractNumId w:val="49"/>
  </w:num>
  <w:num w:numId="133">
    <w:abstractNumId w:val="309"/>
  </w:num>
  <w:num w:numId="134">
    <w:abstractNumId w:val="279"/>
  </w:num>
  <w:num w:numId="135">
    <w:abstractNumId w:val="293"/>
  </w:num>
  <w:num w:numId="136">
    <w:abstractNumId w:val="474"/>
  </w:num>
  <w:num w:numId="137">
    <w:abstractNumId w:val="373"/>
  </w:num>
  <w:num w:numId="138">
    <w:abstractNumId w:val="94"/>
  </w:num>
  <w:num w:numId="139">
    <w:abstractNumId w:val="62"/>
  </w:num>
  <w:num w:numId="140">
    <w:abstractNumId w:val="259"/>
  </w:num>
  <w:num w:numId="141">
    <w:abstractNumId w:val="491"/>
  </w:num>
  <w:num w:numId="142">
    <w:abstractNumId w:val="414"/>
  </w:num>
  <w:num w:numId="143">
    <w:abstractNumId w:val="139"/>
  </w:num>
  <w:num w:numId="144">
    <w:abstractNumId w:val="400"/>
  </w:num>
  <w:num w:numId="145">
    <w:abstractNumId w:val="298"/>
  </w:num>
  <w:num w:numId="146">
    <w:abstractNumId w:val="381"/>
  </w:num>
  <w:num w:numId="147">
    <w:abstractNumId w:val="275"/>
  </w:num>
  <w:num w:numId="148">
    <w:abstractNumId w:val="481"/>
  </w:num>
  <w:num w:numId="149">
    <w:abstractNumId w:val="177"/>
  </w:num>
  <w:num w:numId="150">
    <w:abstractNumId w:val="313"/>
  </w:num>
  <w:num w:numId="151">
    <w:abstractNumId w:val="393"/>
  </w:num>
  <w:num w:numId="152">
    <w:abstractNumId w:val="135"/>
  </w:num>
  <w:num w:numId="153">
    <w:abstractNumId w:val="301"/>
  </w:num>
  <w:num w:numId="154">
    <w:abstractNumId w:val="93"/>
  </w:num>
  <w:num w:numId="155">
    <w:abstractNumId w:val="420"/>
  </w:num>
  <w:num w:numId="156">
    <w:abstractNumId w:val="339"/>
  </w:num>
  <w:num w:numId="157">
    <w:abstractNumId w:val="15"/>
  </w:num>
  <w:num w:numId="158">
    <w:abstractNumId w:val="428"/>
  </w:num>
  <w:num w:numId="159">
    <w:abstractNumId w:val="415"/>
  </w:num>
  <w:num w:numId="160">
    <w:abstractNumId w:val="470"/>
  </w:num>
  <w:num w:numId="161">
    <w:abstractNumId w:val="360"/>
  </w:num>
  <w:num w:numId="162">
    <w:abstractNumId w:val="132"/>
  </w:num>
  <w:num w:numId="163">
    <w:abstractNumId w:val="192"/>
  </w:num>
  <w:num w:numId="164">
    <w:abstractNumId w:val="361"/>
  </w:num>
  <w:num w:numId="165">
    <w:abstractNumId w:val="426"/>
  </w:num>
  <w:num w:numId="166">
    <w:abstractNumId w:val="203"/>
  </w:num>
  <w:num w:numId="167">
    <w:abstractNumId w:val="443"/>
  </w:num>
  <w:num w:numId="168">
    <w:abstractNumId w:val="215"/>
  </w:num>
  <w:num w:numId="169">
    <w:abstractNumId w:val="122"/>
  </w:num>
  <w:num w:numId="170">
    <w:abstractNumId w:val="72"/>
  </w:num>
  <w:num w:numId="171">
    <w:abstractNumId w:val="138"/>
  </w:num>
  <w:num w:numId="172">
    <w:abstractNumId w:val="168"/>
  </w:num>
  <w:num w:numId="173">
    <w:abstractNumId w:val="250"/>
  </w:num>
  <w:num w:numId="174">
    <w:abstractNumId w:val="158"/>
  </w:num>
  <w:num w:numId="175">
    <w:abstractNumId w:val="30"/>
  </w:num>
  <w:num w:numId="176">
    <w:abstractNumId w:val="2"/>
  </w:num>
  <w:num w:numId="177">
    <w:abstractNumId w:val="3"/>
  </w:num>
  <w:num w:numId="178">
    <w:abstractNumId w:val="4"/>
  </w:num>
  <w:num w:numId="179">
    <w:abstractNumId w:val="5"/>
  </w:num>
  <w:num w:numId="180">
    <w:abstractNumId w:val="6"/>
  </w:num>
  <w:num w:numId="181">
    <w:abstractNumId w:val="7"/>
  </w:num>
  <w:num w:numId="182">
    <w:abstractNumId w:val="8"/>
  </w:num>
  <w:num w:numId="183">
    <w:abstractNumId w:val="141"/>
  </w:num>
  <w:num w:numId="184">
    <w:abstractNumId w:val="442"/>
  </w:num>
  <w:num w:numId="185">
    <w:abstractNumId w:val="204"/>
  </w:num>
  <w:num w:numId="186">
    <w:abstractNumId w:val="257"/>
  </w:num>
  <w:num w:numId="187">
    <w:abstractNumId w:val="253"/>
  </w:num>
  <w:num w:numId="188">
    <w:abstractNumId w:val="417"/>
  </w:num>
  <w:num w:numId="189">
    <w:abstractNumId w:val="305"/>
  </w:num>
  <w:num w:numId="190">
    <w:abstractNumId w:val="104"/>
  </w:num>
  <w:num w:numId="191">
    <w:abstractNumId w:val="81"/>
  </w:num>
  <w:num w:numId="192">
    <w:abstractNumId w:val="317"/>
  </w:num>
  <w:num w:numId="193">
    <w:abstractNumId w:val="183"/>
  </w:num>
  <w:num w:numId="194">
    <w:abstractNumId w:val="153"/>
  </w:num>
  <w:num w:numId="195">
    <w:abstractNumId w:val="232"/>
  </w:num>
  <w:num w:numId="196">
    <w:abstractNumId w:val="162"/>
  </w:num>
  <w:num w:numId="197">
    <w:abstractNumId w:val="223"/>
  </w:num>
  <w:num w:numId="198">
    <w:abstractNumId w:val="206"/>
  </w:num>
  <w:num w:numId="199">
    <w:abstractNumId w:val="439"/>
  </w:num>
  <w:num w:numId="200">
    <w:abstractNumId w:val="243"/>
  </w:num>
  <w:num w:numId="201">
    <w:abstractNumId w:val="115"/>
  </w:num>
  <w:num w:numId="202">
    <w:abstractNumId w:val="458"/>
  </w:num>
  <w:num w:numId="203">
    <w:abstractNumId w:val="75"/>
  </w:num>
  <w:num w:numId="204">
    <w:abstractNumId w:val="261"/>
  </w:num>
  <w:num w:numId="205">
    <w:abstractNumId w:val="105"/>
  </w:num>
  <w:num w:numId="206">
    <w:abstractNumId w:val="21"/>
  </w:num>
  <w:num w:numId="207">
    <w:abstractNumId w:val="196"/>
  </w:num>
  <w:num w:numId="208">
    <w:abstractNumId w:val="83"/>
  </w:num>
  <w:num w:numId="209">
    <w:abstractNumId w:val="406"/>
  </w:num>
  <w:num w:numId="210">
    <w:abstractNumId w:val="280"/>
  </w:num>
  <w:num w:numId="211">
    <w:abstractNumId w:val="175"/>
  </w:num>
  <w:num w:numId="212">
    <w:abstractNumId w:val="447"/>
  </w:num>
  <w:num w:numId="213">
    <w:abstractNumId w:val="54"/>
  </w:num>
  <w:num w:numId="214">
    <w:abstractNumId w:val="492"/>
  </w:num>
  <w:num w:numId="215">
    <w:abstractNumId w:val="50"/>
  </w:num>
  <w:num w:numId="216">
    <w:abstractNumId w:val="16"/>
  </w:num>
  <w:num w:numId="217">
    <w:abstractNumId w:val="297"/>
  </w:num>
  <w:num w:numId="218">
    <w:abstractNumId w:val="272"/>
  </w:num>
  <w:num w:numId="219">
    <w:abstractNumId w:val="234"/>
  </w:num>
  <w:num w:numId="220">
    <w:abstractNumId w:val="85"/>
  </w:num>
  <w:num w:numId="221">
    <w:abstractNumId w:val="308"/>
  </w:num>
  <w:num w:numId="222">
    <w:abstractNumId w:val="226"/>
  </w:num>
  <w:num w:numId="223">
    <w:abstractNumId w:val="214"/>
  </w:num>
  <w:num w:numId="224">
    <w:abstractNumId w:val="212"/>
  </w:num>
  <w:num w:numId="225">
    <w:abstractNumId w:val="306"/>
  </w:num>
  <w:num w:numId="226">
    <w:abstractNumId w:val="120"/>
  </w:num>
  <w:num w:numId="227">
    <w:abstractNumId w:val="325"/>
  </w:num>
  <w:num w:numId="228">
    <w:abstractNumId w:val="78"/>
  </w:num>
  <w:num w:numId="229">
    <w:abstractNumId w:val="31"/>
  </w:num>
  <w:num w:numId="230">
    <w:abstractNumId w:val="432"/>
  </w:num>
  <w:num w:numId="231">
    <w:abstractNumId w:val="323"/>
  </w:num>
  <w:num w:numId="232">
    <w:abstractNumId w:val="79"/>
  </w:num>
  <w:num w:numId="233">
    <w:abstractNumId w:val="449"/>
  </w:num>
  <w:num w:numId="234">
    <w:abstractNumId w:val="371"/>
  </w:num>
  <w:num w:numId="235">
    <w:abstractNumId w:val="288"/>
  </w:num>
  <w:num w:numId="236">
    <w:abstractNumId w:val="157"/>
  </w:num>
  <w:num w:numId="237">
    <w:abstractNumId w:val="353"/>
  </w:num>
  <w:num w:numId="238">
    <w:abstractNumId w:val="265"/>
  </w:num>
  <w:num w:numId="239">
    <w:abstractNumId w:val="338"/>
  </w:num>
  <w:num w:numId="240">
    <w:abstractNumId w:val="25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357"/>
  </w:num>
  <w:num w:numId="242">
    <w:abstractNumId w:val="285"/>
  </w:num>
  <w:num w:numId="243">
    <w:abstractNumId w:val="479"/>
  </w:num>
  <w:num w:numId="244">
    <w:abstractNumId w:val="236"/>
  </w:num>
  <w:num w:numId="245">
    <w:abstractNumId w:val="40"/>
  </w:num>
  <w:num w:numId="246">
    <w:abstractNumId w:val="57"/>
  </w:num>
  <w:num w:numId="247">
    <w:abstractNumId w:val="27"/>
  </w:num>
  <w:num w:numId="248">
    <w:abstractNumId w:val="453"/>
  </w:num>
  <w:num w:numId="249">
    <w:abstractNumId w:val="292"/>
  </w:num>
  <w:num w:numId="250">
    <w:abstractNumId w:val="334"/>
  </w:num>
  <w:num w:numId="251">
    <w:abstractNumId w:val="282"/>
  </w:num>
  <w:num w:numId="252">
    <w:abstractNumId w:val="231"/>
  </w:num>
  <w:num w:numId="253">
    <w:abstractNumId w:val="284"/>
  </w:num>
  <w:num w:numId="254">
    <w:abstractNumId w:val="187"/>
  </w:num>
  <w:num w:numId="255">
    <w:abstractNumId w:val="199"/>
  </w:num>
  <w:num w:numId="256">
    <w:abstractNumId w:val="130"/>
  </w:num>
  <w:num w:numId="257">
    <w:abstractNumId w:val="504"/>
  </w:num>
  <w:num w:numId="258">
    <w:abstractNumId w:val="247"/>
  </w:num>
  <w:num w:numId="259">
    <w:abstractNumId w:val="185"/>
  </w:num>
  <w:num w:numId="260">
    <w:abstractNumId w:val="98"/>
  </w:num>
  <w:num w:numId="261">
    <w:abstractNumId w:val="283"/>
  </w:num>
  <w:num w:numId="262">
    <w:abstractNumId w:val="251"/>
  </w:num>
  <w:num w:numId="263">
    <w:abstractNumId w:val="359"/>
  </w:num>
  <w:num w:numId="264">
    <w:abstractNumId w:val="106"/>
  </w:num>
  <w:num w:numId="265">
    <w:abstractNumId w:val="95"/>
  </w:num>
  <w:num w:numId="266">
    <w:abstractNumId w:val="23"/>
  </w:num>
  <w:num w:numId="267">
    <w:abstractNumId w:val="26"/>
  </w:num>
  <w:num w:numId="268">
    <w:abstractNumId w:val="441"/>
  </w:num>
  <w:num w:numId="269">
    <w:abstractNumId w:val="331"/>
  </w:num>
  <w:num w:numId="270">
    <w:abstractNumId w:val="473"/>
  </w:num>
  <w:num w:numId="271">
    <w:abstractNumId w:val="459"/>
  </w:num>
  <w:num w:numId="272">
    <w:abstractNumId w:val="294"/>
  </w:num>
  <w:num w:numId="273">
    <w:abstractNumId w:val="320"/>
  </w:num>
  <w:num w:numId="274">
    <w:abstractNumId w:val="241"/>
  </w:num>
  <w:num w:numId="275">
    <w:abstractNumId w:val="287"/>
  </w:num>
  <w:num w:numId="276">
    <w:abstractNumId w:val="184"/>
  </w:num>
  <w:num w:numId="277">
    <w:abstractNumId w:val="335"/>
  </w:num>
  <w:num w:numId="278">
    <w:abstractNumId w:val="202"/>
  </w:num>
  <w:num w:numId="279">
    <w:abstractNumId w:val="370"/>
  </w:num>
  <w:num w:numId="280">
    <w:abstractNumId w:val="188"/>
  </w:num>
  <w:num w:numId="281">
    <w:abstractNumId w:val="427"/>
  </w:num>
  <w:num w:numId="282">
    <w:abstractNumId w:val="390"/>
  </w:num>
  <w:num w:numId="283">
    <w:abstractNumId w:val="102"/>
  </w:num>
  <w:num w:numId="284">
    <w:abstractNumId w:val="480"/>
  </w:num>
  <w:num w:numId="285">
    <w:abstractNumId w:val="69"/>
  </w:num>
  <w:num w:numId="286">
    <w:abstractNumId w:val="1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498"/>
  </w:num>
  <w:num w:numId="288">
    <w:abstractNumId w:val="64"/>
  </w:num>
  <w:num w:numId="289">
    <w:abstractNumId w:val="318"/>
  </w:num>
  <w:num w:numId="290">
    <w:abstractNumId w:val="213"/>
  </w:num>
  <w:num w:numId="291">
    <w:abstractNumId w:val="341"/>
  </w:num>
  <w:num w:numId="292">
    <w:abstractNumId w:val="326"/>
  </w:num>
  <w:num w:numId="293">
    <w:abstractNumId w:val="121"/>
  </w:num>
  <w:num w:numId="294">
    <w:abstractNumId w:val="461"/>
  </w:num>
  <w:num w:numId="295">
    <w:abstractNumId w:val="368"/>
  </w:num>
  <w:num w:numId="296">
    <w:abstractNumId w:val="484"/>
  </w:num>
  <w:num w:numId="297">
    <w:abstractNumId w:val="490"/>
  </w:num>
  <w:num w:numId="298">
    <w:abstractNumId w:val="256"/>
  </w:num>
  <w:num w:numId="299">
    <w:abstractNumId w:val="113"/>
  </w:num>
  <w:num w:numId="300">
    <w:abstractNumId w:val="472"/>
  </w:num>
  <w:num w:numId="301">
    <w:abstractNumId w:val="332"/>
  </w:num>
  <w:num w:numId="302">
    <w:abstractNumId w:val="14"/>
  </w:num>
  <w:num w:numId="303">
    <w:abstractNumId w:val="219"/>
  </w:num>
  <w:num w:numId="304">
    <w:abstractNumId w:val="71"/>
  </w:num>
  <w:num w:numId="305">
    <w:abstractNumId w:val="497"/>
  </w:num>
  <w:num w:numId="306">
    <w:abstractNumId w:val="148"/>
  </w:num>
  <w:num w:numId="307">
    <w:abstractNumId w:val="464"/>
  </w:num>
  <w:num w:numId="308">
    <w:abstractNumId w:val="366"/>
  </w:num>
  <w:num w:numId="309">
    <w:abstractNumId w:val="88"/>
  </w:num>
  <w:num w:numId="310">
    <w:abstractNumId w:val="87"/>
  </w:num>
  <w:num w:numId="311">
    <w:abstractNumId w:val="154"/>
  </w:num>
  <w:num w:numId="312">
    <w:abstractNumId w:val="41"/>
  </w:num>
  <w:num w:numId="313">
    <w:abstractNumId w:val="126"/>
  </w:num>
  <w:num w:numId="314">
    <w:abstractNumId w:val="252"/>
  </w:num>
  <w:num w:numId="315">
    <w:abstractNumId w:val="145"/>
  </w:num>
  <w:num w:numId="316">
    <w:abstractNumId w:val="58"/>
  </w:num>
  <w:num w:numId="317">
    <w:abstractNumId w:val="469"/>
  </w:num>
  <w:num w:numId="318">
    <w:abstractNumId w:val="416"/>
  </w:num>
  <w:num w:numId="319">
    <w:abstractNumId w:val="486"/>
  </w:num>
  <w:num w:numId="320">
    <w:abstractNumId w:val="291"/>
  </w:num>
  <w:num w:numId="321">
    <w:abstractNumId w:val="136"/>
  </w:num>
  <w:num w:numId="322">
    <w:abstractNumId w:val="207"/>
  </w:num>
  <w:num w:numId="323">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68"/>
  </w:num>
  <w:num w:numId="328">
    <w:abstractNumId w:val="374"/>
  </w:num>
  <w:num w:numId="329">
    <w:abstractNumId w:val="56"/>
  </w:num>
  <w:num w:numId="330">
    <w:abstractNumId w:val="379"/>
  </w:num>
  <w:num w:numId="331">
    <w:abstractNumId w:val="156"/>
  </w:num>
  <w:num w:numId="332">
    <w:abstractNumId w:val="365"/>
  </w:num>
  <w:num w:numId="333">
    <w:abstractNumId w:val="466"/>
  </w:num>
  <w:num w:numId="334">
    <w:abstractNumId w:val="352"/>
  </w:num>
  <w:num w:numId="335">
    <w:abstractNumId w:val="60"/>
  </w:num>
  <w:num w:numId="336">
    <w:abstractNumId w:val="60"/>
    <w:lvlOverride w:ilvl="0"/>
    <w:lvlOverride w:ilvl="1">
      <w:startOverride w:val="4"/>
    </w:lvlOverride>
  </w:num>
  <w:num w:numId="337">
    <w:abstractNumId w:val="60"/>
    <w:lvlOverride w:ilvl="0"/>
    <w:lvlOverride w:ilvl="1">
      <w:startOverride w:val="5"/>
    </w:lvlOverride>
  </w:num>
  <w:num w:numId="338">
    <w:abstractNumId w:val="60"/>
    <w:lvlOverride w:ilvl="0"/>
    <w:lvlOverride w:ilvl="1">
      <w:startOverride w:val="6"/>
    </w:lvlOverride>
  </w:num>
  <w:num w:numId="339">
    <w:abstractNumId w:val="314"/>
  </w:num>
  <w:num w:numId="340">
    <w:abstractNumId w:val="239"/>
  </w:num>
  <w:num w:numId="341">
    <w:abstractNumId w:val="123"/>
  </w:num>
  <w:num w:numId="342">
    <w:abstractNumId w:val="167"/>
  </w:num>
  <w:num w:numId="343">
    <w:abstractNumId w:val="333"/>
  </w:num>
  <w:num w:numId="344">
    <w:abstractNumId w:val="166"/>
  </w:num>
  <w:num w:numId="345">
    <w:abstractNumId w:val="424"/>
  </w:num>
  <w:num w:numId="346">
    <w:abstractNumId w:val="197"/>
  </w:num>
  <w:num w:numId="347">
    <w:abstractNumId w:val="61"/>
  </w:num>
  <w:num w:numId="348">
    <w:abstractNumId w:val="237"/>
  </w:num>
  <w:num w:numId="349">
    <w:abstractNumId w:val="347"/>
    <w:lvlOverride w:ilvl="0">
      <w:startOverride w:val="1"/>
    </w:lvlOverride>
    <w:lvlOverride w:ilvl="1"/>
    <w:lvlOverride w:ilvl="2"/>
    <w:lvlOverride w:ilvl="3"/>
    <w:lvlOverride w:ilvl="4"/>
    <w:lvlOverride w:ilvl="5"/>
    <w:lvlOverride w:ilvl="6"/>
    <w:lvlOverride w:ilvl="7"/>
    <w:lvlOverride w:ilvl="8"/>
  </w:num>
  <w:num w:numId="350">
    <w:abstractNumId w:val="33"/>
  </w:num>
  <w:num w:numId="351">
    <w:abstractNumId w:val="468"/>
  </w:num>
  <w:num w:numId="352">
    <w:abstractNumId w:val="383"/>
  </w:num>
  <w:num w:numId="353">
    <w:abstractNumId w:val="354"/>
  </w:num>
  <w:num w:numId="354">
    <w:abstractNumId w:val="186"/>
  </w:num>
  <w:num w:numId="355">
    <w:abstractNumId w:val="34"/>
  </w:num>
  <w:num w:numId="356">
    <w:abstractNumId w:val="345"/>
  </w:num>
  <w:num w:numId="357">
    <w:abstractNumId w:val="501"/>
  </w:num>
  <w:num w:numId="358">
    <w:abstractNumId w:val="506"/>
  </w:num>
  <w:num w:numId="359">
    <w:abstractNumId w:val="112"/>
  </w:num>
  <w:num w:numId="360">
    <w:abstractNumId w:val="321"/>
  </w:num>
  <w:num w:numId="361">
    <w:abstractNumId w:val="421"/>
  </w:num>
  <w:num w:numId="362">
    <w:abstractNumId w:val="44"/>
  </w:num>
  <w:num w:numId="363">
    <w:abstractNumId w:val="233"/>
  </w:num>
  <w:num w:numId="364">
    <w:abstractNumId w:val="477"/>
  </w:num>
  <w:num w:numId="365">
    <w:abstractNumId w:val="114"/>
  </w:num>
  <w:num w:numId="366">
    <w:abstractNumId w:val="362"/>
  </w:num>
  <w:num w:numId="367">
    <w:abstractNumId w:val="329"/>
  </w:num>
  <w:num w:numId="368">
    <w:abstractNumId w:val="179"/>
  </w:num>
  <w:num w:numId="369">
    <w:abstractNumId w:val="389"/>
  </w:num>
  <w:num w:numId="370">
    <w:abstractNumId w:val="380"/>
  </w:num>
  <w:num w:numId="371">
    <w:abstractNumId w:val="328"/>
  </w:num>
  <w:num w:numId="372">
    <w:abstractNumId w:val="403"/>
  </w:num>
  <w:num w:numId="373">
    <w:abstractNumId w:val="303"/>
  </w:num>
  <w:num w:numId="374">
    <w:abstractNumId w:val="395"/>
  </w:num>
  <w:num w:numId="375">
    <w:abstractNumId w:val="407"/>
  </w:num>
  <w:num w:numId="376">
    <w:abstractNumId w:val="372"/>
  </w:num>
  <w:num w:numId="377">
    <w:abstractNumId w:val="270"/>
  </w:num>
  <w:num w:numId="378">
    <w:abstractNumId w:val="355"/>
  </w:num>
  <w:num w:numId="379">
    <w:abstractNumId w:val="29"/>
  </w:num>
  <w:num w:numId="380">
    <w:abstractNumId w:val="205"/>
  </w:num>
  <w:num w:numId="381">
    <w:abstractNumId w:val="70"/>
  </w:num>
  <w:num w:numId="382">
    <w:abstractNumId w:val="505"/>
  </w:num>
  <w:num w:numId="383">
    <w:abstractNumId w:val="467"/>
  </w:num>
  <w:num w:numId="384">
    <w:abstractNumId w:val="396"/>
  </w:num>
  <w:num w:numId="385">
    <w:abstractNumId w:val="378"/>
  </w:num>
  <w:num w:numId="386">
    <w:abstractNumId w:val="220"/>
  </w:num>
  <w:num w:numId="387">
    <w:abstractNumId w:val="382"/>
  </w:num>
  <w:num w:numId="388">
    <w:abstractNumId w:val="457"/>
  </w:num>
  <w:num w:numId="389">
    <w:abstractNumId w:val="111"/>
  </w:num>
  <w:num w:numId="390">
    <w:abstractNumId w:val="471"/>
  </w:num>
  <w:num w:numId="391">
    <w:abstractNumId w:val="364"/>
  </w:num>
  <w:num w:numId="392">
    <w:abstractNumId w:val="39"/>
  </w:num>
  <w:num w:numId="393">
    <w:abstractNumId w:val="46"/>
  </w:num>
  <w:num w:numId="394">
    <w:abstractNumId w:val="312"/>
  </w:num>
  <w:num w:numId="395">
    <w:abstractNumId w:val="496"/>
  </w:num>
  <w:num w:numId="396">
    <w:abstractNumId w:val="97"/>
  </w:num>
  <w:num w:numId="397">
    <w:abstractNumId w:val="134"/>
  </w:num>
  <w:num w:numId="398">
    <w:abstractNumId w:val="463"/>
  </w:num>
  <w:num w:numId="399">
    <w:abstractNumId w:val="172"/>
  </w:num>
  <w:num w:numId="400">
    <w:abstractNumId w:val="507"/>
  </w:num>
  <w:num w:numId="401">
    <w:abstractNumId w:val="274"/>
  </w:num>
  <w:num w:numId="402">
    <w:abstractNumId w:val="343"/>
  </w:num>
  <w:num w:numId="403">
    <w:abstractNumId w:val="245"/>
  </w:num>
  <w:num w:numId="404">
    <w:abstractNumId w:val="164"/>
  </w:num>
  <w:num w:numId="405">
    <w:abstractNumId w:val="431"/>
  </w:num>
  <w:num w:numId="406">
    <w:abstractNumId w:val="271"/>
  </w:num>
  <w:num w:numId="407">
    <w:abstractNumId w:val="408"/>
  </w:num>
  <w:num w:numId="408">
    <w:abstractNumId w:val="230"/>
  </w:num>
  <w:num w:numId="409">
    <w:abstractNumId w:val="240"/>
  </w:num>
  <w:num w:numId="410">
    <w:abstractNumId w:val="433"/>
  </w:num>
  <w:num w:numId="411">
    <w:abstractNumId w:val="229"/>
  </w:num>
  <w:num w:numId="412">
    <w:abstractNumId w:val="84"/>
  </w:num>
  <w:num w:numId="413">
    <w:abstractNumId w:val="59"/>
  </w:num>
  <w:num w:numId="414">
    <w:abstractNumId w:val="487"/>
  </w:num>
  <w:num w:numId="415">
    <w:abstractNumId w:val="502"/>
  </w:num>
  <w:num w:numId="416">
    <w:abstractNumId w:val="147"/>
  </w:num>
  <w:num w:numId="417">
    <w:abstractNumId w:val="467"/>
  </w:num>
  <w:num w:numId="418">
    <w:abstractNumId w:val="444"/>
  </w:num>
  <w:num w:numId="419">
    <w:abstractNumId w:val="1"/>
    <w:lvlOverride w:ilvl="0">
      <w:lvl w:ilvl="0">
        <w:numFmt w:val="bullet"/>
        <w:lvlText w:val=""/>
        <w:legacy w:legacy="1" w:legacySpace="0" w:legacyIndent="0"/>
        <w:lvlJc w:val="left"/>
        <w:rPr>
          <w:rFonts w:ascii="Symbol" w:hAnsi="Symbol" w:hint="default"/>
          <w:sz w:val="22"/>
        </w:rPr>
      </w:lvl>
    </w:lvlOverride>
  </w:num>
  <w:num w:numId="420">
    <w:abstractNumId w:val="100"/>
  </w:num>
  <w:num w:numId="421">
    <w:abstractNumId w:val="178"/>
  </w:num>
  <w:num w:numId="422">
    <w:abstractNumId w:val="488"/>
  </w:num>
  <w:num w:numId="423">
    <w:abstractNumId w:val="181"/>
  </w:num>
  <w:num w:numId="424">
    <w:abstractNumId w:val="281"/>
  </w:num>
  <w:num w:numId="425">
    <w:abstractNumId w:val="35"/>
  </w:num>
  <w:num w:numId="426">
    <w:abstractNumId w:val="128"/>
  </w:num>
  <w:num w:numId="427">
    <w:abstractNumId w:val="43"/>
  </w:num>
  <w:num w:numId="428">
    <w:abstractNumId w:val="63"/>
  </w:num>
  <w:num w:numId="429">
    <w:abstractNumId w:val="170"/>
  </w:num>
  <w:num w:numId="430">
    <w:abstractNumId w:val="410"/>
  </w:num>
  <w:num w:numId="431">
    <w:abstractNumId w:val="347"/>
  </w:num>
  <w:num w:numId="432">
    <w:abstractNumId w:val="460"/>
  </w:num>
  <w:num w:numId="433">
    <w:abstractNumId w:val="455"/>
  </w:num>
  <w:num w:numId="434">
    <w:abstractNumId w:val="273"/>
  </w:num>
  <w:num w:numId="435">
    <w:abstractNumId w:val="161"/>
  </w:num>
  <w:num w:numId="436">
    <w:abstractNumId w:val="402"/>
  </w:num>
  <w:num w:numId="437">
    <w:abstractNumId w:val="118"/>
  </w:num>
  <w:num w:numId="438">
    <w:abstractNumId w:val="346"/>
  </w:num>
  <w:num w:numId="439">
    <w:abstractNumId w:val="169"/>
  </w:num>
  <w:num w:numId="440">
    <w:abstractNumId w:val="342"/>
  </w:num>
  <w:num w:numId="441">
    <w:abstractNumId w:val="434"/>
  </w:num>
  <w:num w:numId="442">
    <w:abstractNumId w:val="495"/>
  </w:num>
  <w:num w:numId="443">
    <w:abstractNumId w:val="268"/>
  </w:num>
  <w:num w:numId="444">
    <w:abstractNumId w:val="96"/>
  </w:num>
  <w:num w:numId="445">
    <w:abstractNumId w:val="77"/>
  </w:num>
  <w:num w:numId="446">
    <w:abstractNumId w:val="425"/>
  </w:num>
  <w:num w:numId="447">
    <w:abstractNumId w:val="388"/>
  </w:num>
  <w:num w:numId="448">
    <w:abstractNumId w:val="209"/>
  </w:num>
  <w:num w:numId="449">
    <w:abstractNumId w:val="221"/>
  </w:num>
  <w:num w:numId="450">
    <w:abstractNumId w:val="336"/>
  </w:num>
  <w:num w:numId="451">
    <w:abstractNumId w:val="262"/>
  </w:num>
  <w:num w:numId="452">
    <w:abstractNumId w:val="299"/>
  </w:num>
  <w:num w:numId="453">
    <w:abstractNumId w:val="429"/>
  </w:num>
  <w:num w:numId="454">
    <w:abstractNumId w:val="311"/>
  </w:num>
  <w:num w:numId="455">
    <w:abstractNumId w:val="82"/>
  </w:num>
  <w:num w:numId="456">
    <w:abstractNumId w:val="412"/>
  </w:num>
  <w:num w:numId="457">
    <w:abstractNumId w:val="47"/>
  </w:num>
  <w:num w:numId="458">
    <w:abstractNumId w:val="173"/>
  </w:num>
  <w:num w:numId="459">
    <w:abstractNumId w:val="307"/>
  </w:num>
  <w:num w:numId="460">
    <w:abstractNumId w:val="494"/>
  </w:num>
  <w:num w:numId="461">
    <w:abstractNumId w:val="193"/>
  </w:num>
  <w:num w:numId="462">
    <w:abstractNumId w:val="392"/>
  </w:num>
  <w:num w:numId="463">
    <w:abstractNumId w:val="499"/>
  </w:num>
  <w:num w:numId="464">
    <w:abstractNumId w:val="319"/>
  </w:num>
  <w:num w:numId="465">
    <w:abstractNumId w:val="180"/>
  </w:num>
  <w:num w:numId="466">
    <w:abstractNumId w:val="302"/>
  </w:num>
  <w:num w:numId="467">
    <w:abstractNumId w:val="224"/>
  </w:num>
  <w:num w:numId="468">
    <w:abstractNumId w:val="255"/>
  </w:num>
  <w:num w:numId="469">
    <w:abstractNumId w:val="508"/>
  </w:num>
  <w:num w:numId="470">
    <w:abstractNumId w:val="190"/>
  </w:num>
  <w:num w:numId="471">
    <w:abstractNumId w:val="91"/>
  </w:num>
  <w:num w:numId="472">
    <w:abstractNumId w:val="337"/>
  </w:num>
  <w:num w:numId="473">
    <w:abstractNumId w:val="52"/>
  </w:num>
  <w:num w:numId="474">
    <w:abstractNumId w:val="152"/>
  </w:num>
  <w:num w:numId="475">
    <w:abstractNumId w:val="73"/>
  </w:num>
  <w:num w:numId="476">
    <w:abstractNumId w:val="267"/>
  </w:num>
  <w:num w:numId="477">
    <w:abstractNumId w:val="38"/>
  </w:num>
  <w:num w:numId="478">
    <w:abstractNumId w:val="90"/>
  </w:num>
  <w:num w:numId="479">
    <w:abstractNumId w:val="485"/>
  </w:num>
  <w:num w:numId="480">
    <w:abstractNumId w:val="278"/>
  </w:num>
  <w:num w:numId="481">
    <w:abstractNumId w:val="277"/>
  </w:num>
  <w:num w:numId="482">
    <w:abstractNumId w:val="289"/>
  </w:num>
  <w:num w:numId="483">
    <w:abstractNumId w:val="66"/>
  </w:num>
  <w:num w:numId="484">
    <w:abstractNumId w:val="363"/>
  </w:num>
  <w:num w:numId="485">
    <w:abstractNumId w:val="249"/>
  </w:num>
  <w:num w:numId="486">
    <w:abstractNumId w:val="25"/>
  </w:num>
  <w:num w:numId="487">
    <w:abstractNumId w:val="315"/>
  </w:num>
  <w:num w:numId="488">
    <w:abstractNumId w:val="310"/>
  </w:num>
  <w:num w:numId="489">
    <w:abstractNumId w:val="127"/>
  </w:num>
  <w:num w:numId="490">
    <w:abstractNumId w:val="227"/>
  </w:num>
  <w:num w:numId="491">
    <w:abstractNumId w:val="452"/>
  </w:num>
  <w:num w:numId="492">
    <w:abstractNumId w:val="76"/>
  </w:num>
  <w:num w:numId="493">
    <w:abstractNumId w:val="465"/>
  </w:num>
  <w:num w:numId="494">
    <w:abstractNumId w:val="316"/>
  </w:num>
  <w:num w:numId="495">
    <w:abstractNumId w:val="437"/>
  </w:num>
  <w:num w:numId="496">
    <w:abstractNumId w:val="99"/>
  </w:num>
  <w:num w:numId="497">
    <w:abstractNumId w:val="266"/>
  </w:num>
  <w:num w:numId="498">
    <w:abstractNumId w:val="385"/>
  </w:num>
  <w:num w:numId="499">
    <w:abstractNumId w:val="384"/>
  </w:num>
  <w:num w:numId="500">
    <w:abstractNumId w:val="159"/>
  </w:num>
  <w:num w:numId="501">
    <w:abstractNumId w:val="119"/>
  </w:num>
  <w:num w:numId="502">
    <w:abstractNumId w:val="235"/>
  </w:num>
  <w:num w:numId="503">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4">
    <w:abstractNumId w:val="86"/>
  </w:num>
  <w:num w:numId="505">
    <w:abstractNumId w:val="101"/>
  </w:num>
  <w:num w:numId="506">
    <w:abstractNumId w:val="475"/>
  </w:num>
  <w:num w:numId="507">
    <w:abstractNumId w:val="435"/>
  </w:num>
  <w:num w:numId="508">
    <w:abstractNumId w:val="413"/>
  </w:num>
  <w:num w:numId="509">
    <w:abstractNumId w:val="142"/>
  </w:num>
  <w:num w:numId="510">
    <w:abstractNumId w:val="129"/>
  </w:num>
  <w:num w:numId="511">
    <w:abstractNumId w:val="483"/>
  </w:num>
  <w:num w:numId="512">
    <w:abstractNumId w:val="74"/>
  </w:num>
  <w:num w:numId="513">
    <w:abstractNumId w:val="493"/>
  </w:num>
  <w:num w:numId="514">
    <w:abstractNumId w:val="423"/>
  </w:num>
  <w:num w:numId="515">
    <w:abstractNumId w:val="195"/>
  </w:num>
  <w:num w:numId="516">
    <w:abstractNumId w:val="143"/>
  </w:num>
  <w:num w:numId="517">
    <w:abstractNumId w:val="171"/>
  </w:num>
  <w:num w:numId="518">
    <w:abstractNumId w:val="286"/>
  </w:num>
  <w:numIdMacAtCleanup w:val="5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hideSpellingErrors/>
  <w:hideGrammaticalErrors/>
  <w:activeWritingStyle w:appName="MSWord" w:lang="en-US"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s-CO" w:vendorID="64" w:dllVersion="131078" w:nlCheck="1" w:checkStyle="1"/>
  <w:activeWritingStyle w:appName="MSWord" w:lang="pt-BR" w:vendorID="64" w:dllVersion="131078" w:nlCheck="1" w:checkStyle="0"/>
  <w:activeWritingStyle w:appName="MSWord" w:lang="pt-BR" w:vendorID="1" w:dllVersion="513" w:checkStyle="1"/>
  <w:activeWritingStyle w:appName="MSWord" w:lang="pt-PT" w:vendorID="75" w:dllVersion="513" w:checkStyle="1"/>
  <w:stylePaneFormatFilter w:val="3F01"/>
  <w:revisionView w:markup="0" w:comments="0" w:insDel="0" w:formatting="0" w:inkAnnotations="0"/>
  <w:defaultTabStop w:val="708"/>
  <w:hyphenationZone w:val="425"/>
  <w:drawingGridHorizontalSpacing w:val="120"/>
  <w:displayHorizontalDrawingGridEvery w:val="2"/>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rsids>
    <w:rsidRoot w:val="00706BA5"/>
    <w:rsid w:val="00003750"/>
    <w:rsid w:val="000044B0"/>
    <w:rsid w:val="00013231"/>
    <w:rsid w:val="000174D0"/>
    <w:rsid w:val="00025586"/>
    <w:rsid w:val="00026A3D"/>
    <w:rsid w:val="00027693"/>
    <w:rsid w:val="0003027C"/>
    <w:rsid w:val="0003759F"/>
    <w:rsid w:val="00042AFC"/>
    <w:rsid w:val="00054ADD"/>
    <w:rsid w:val="0005789F"/>
    <w:rsid w:val="0006161A"/>
    <w:rsid w:val="00076E8C"/>
    <w:rsid w:val="00093F9C"/>
    <w:rsid w:val="00096232"/>
    <w:rsid w:val="000B0275"/>
    <w:rsid w:val="000B028A"/>
    <w:rsid w:val="000B76A4"/>
    <w:rsid w:val="000B7E39"/>
    <w:rsid w:val="000C13AC"/>
    <w:rsid w:val="000C3615"/>
    <w:rsid w:val="000C4323"/>
    <w:rsid w:val="000C6A98"/>
    <w:rsid w:val="000D1A1B"/>
    <w:rsid w:val="000D2F90"/>
    <w:rsid w:val="000E5A17"/>
    <w:rsid w:val="000E7043"/>
    <w:rsid w:val="001079FA"/>
    <w:rsid w:val="001112C9"/>
    <w:rsid w:val="00123C69"/>
    <w:rsid w:val="00123F7B"/>
    <w:rsid w:val="00127B47"/>
    <w:rsid w:val="001415DB"/>
    <w:rsid w:val="001432CB"/>
    <w:rsid w:val="0016096F"/>
    <w:rsid w:val="00161D23"/>
    <w:rsid w:val="00163A80"/>
    <w:rsid w:val="00167206"/>
    <w:rsid w:val="00171996"/>
    <w:rsid w:val="00181F69"/>
    <w:rsid w:val="00184DCE"/>
    <w:rsid w:val="00187973"/>
    <w:rsid w:val="00190520"/>
    <w:rsid w:val="001A62DD"/>
    <w:rsid w:val="001B3165"/>
    <w:rsid w:val="001B3F5A"/>
    <w:rsid w:val="001C7F65"/>
    <w:rsid w:val="001D4469"/>
    <w:rsid w:val="001D6786"/>
    <w:rsid w:val="001D6A26"/>
    <w:rsid w:val="001E4AA3"/>
    <w:rsid w:val="001E5FE5"/>
    <w:rsid w:val="001F7AB6"/>
    <w:rsid w:val="001F7D5C"/>
    <w:rsid w:val="00200E09"/>
    <w:rsid w:val="00201AE7"/>
    <w:rsid w:val="00215A9C"/>
    <w:rsid w:val="00220601"/>
    <w:rsid w:val="002244A6"/>
    <w:rsid w:val="00236C8C"/>
    <w:rsid w:val="002479D8"/>
    <w:rsid w:val="00247BD2"/>
    <w:rsid w:val="0025204D"/>
    <w:rsid w:val="00262157"/>
    <w:rsid w:val="00272B99"/>
    <w:rsid w:val="002749CB"/>
    <w:rsid w:val="002806E1"/>
    <w:rsid w:val="002A500A"/>
    <w:rsid w:val="002B3156"/>
    <w:rsid w:val="002C38A8"/>
    <w:rsid w:val="002C70E2"/>
    <w:rsid w:val="002D23B6"/>
    <w:rsid w:val="002E3DB9"/>
    <w:rsid w:val="002E59FA"/>
    <w:rsid w:val="002E69F9"/>
    <w:rsid w:val="00300468"/>
    <w:rsid w:val="003023A3"/>
    <w:rsid w:val="00303C71"/>
    <w:rsid w:val="00307D91"/>
    <w:rsid w:val="003126E8"/>
    <w:rsid w:val="003165F3"/>
    <w:rsid w:val="003174FF"/>
    <w:rsid w:val="0033685F"/>
    <w:rsid w:val="003425B2"/>
    <w:rsid w:val="00344DE8"/>
    <w:rsid w:val="00351168"/>
    <w:rsid w:val="00352A9F"/>
    <w:rsid w:val="00357015"/>
    <w:rsid w:val="0036645F"/>
    <w:rsid w:val="0036763F"/>
    <w:rsid w:val="00373B00"/>
    <w:rsid w:val="0037781E"/>
    <w:rsid w:val="00380006"/>
    <w:rsid w:val="0038593F"/>
    <w:rsid w:val="00396B69"/>
    <w:rsid w:val="00396F6B"/>
    <w:rsid w:val="003A032D"/>
    <w:rsid w:val="003A43FE"/>
    <w:rsid w:val="003A58A6"/>
    <w:rsid w:val="003B0B6E"/>
    <w:rsid w:val="003B411C"/>
    <w:rsid w:val="003B67EB"/>
    <w:rsid w:val="003C1094"/>
    <w:rsid w:val="003C177E"/>
    <w:rsid w:val="003C4CFC"/>
    <w:rsid w:val="003E0D18"/>
    <w:rsid w:val="003E4C4B"/>
    <w:rsid w:val="003E6588"/>
    <w:rsid w:val="00400261"/>
    <w:rsid w:val="00401F75"/>
    <w:rsid w:val="00410EE0"/>
    <w:rsid w:val="00411442"/>
    <w:rsid w:val="00424182"/>
    <w:rsid w:val="00434C94"/>
    <w:rsid w:val="00440F87"/>
    <w:rsid w:val="00445FA7"/>
    <w:rsid w:val="00450249"/>
    <w:rsid w:val="00452C16"/>
    <w:rsid w:val="00456370"/>
    <w:rsid w:val="00470342"/>
    <w:rsid w:val="00470FDC"/>
    <w:rsid w:val="00473487"/>
    <w:rsid w:val="00477A08"/>
    <w:rsid w:val="00482C14"/>
    <w:rsid w:val="0048328F"/>
    <w:rsid w:val="00487E60"/>
    <w:rsid w:val="0049159F"/>
    <w:rsid w:val="004965BF"/>
    <w:rsid w:val="004C7102"/>
    <w:rsid w:val="004C7C34"/>
    <w:rsid w:val="004D6CF6"/>
    <w:rsid w:val="004F2FEA"/>
    <w:rsid w:val="004F4038"/>
    <w:rsid w:val="004F4E1D"/>
    <w:rsid w:val="00512523"/>
    <w:rsid w:val="00542638"/>
    <w:rsid w:val="00564A3B"/>
    <w:rsid w:val="00566F68"/>
    <w:rsid w:val="00570F07"/>
    <w:rsid w:val="00574F2C"/>
    <w:rsid w:val="00590266"/>
    <w:rsid w:val="00594ED5"/>
    <w:rsid w:val="005966EE"/>
    <w:rsid w:val="00597EF7"/>
    <w:rsid w:val="005B30F0"/>
    <w:rsid w:val="005B5CF7"/>
    <w:rsid w:val="005D4788"/>
    <w:rsid w:val="005D7369"/>
    <w:rsid w:val="005D7B96"/>
    <w:rsid w:val="005E330A"/>
    <w:rsid w:val="005E44BD"/>
    <w:rsid w:val="005F153A"/>
    <w:rsid w:val="005F1E44"/>
    <w:rsid w:val="005F30C6"/>
    <w:rsid w:val="006077C4"/>
    <w:rsid w:val="006165A4"/>
    <w:rsid w:val="006227DB"/>
    <w:rsid w:val="00624737"/>
    <w:rsid w:val="00631025"/>
    <w:rsid w:val="00635F11"/>
    <w:rsid w:val="00640201"/>
    <w:rsid w:val="00642F9B"/>
    <w:rsid w:val="0064535D"/>
    <w:rsid w:val="00651691"/>
    <w:rsid w:val="00657ECA"/>
    <w:rsid w:val="00657F97"/>
    <w:rsid w:val="0069158E"/>
    <w:rsid w:val="006A3011"/>
    <w:rsid w:val="006A574D"/>
    <w:rsid w:val="006B0C3E"/>
    <w:rsid w:val="006B6298"/>
    <w:rsid w:val="006C3EAA"/>
    <w:rsid w:val="006C4823"/>
    <w:rsid w:val="006D387F"/>
    <w:rsid w:val="006D40CC"/>
    <w:rsid w:val="0070180E"/>
    <w:rsid w:val="00706BA5"/>
    <w:rsid w:val="00707F4E"/>
    <w:rsid w:val="00716AF0"/>
    <w:rsid w:val="00723018"/>
    <w:rsid w:val="007323E6"/>
    <w:rsid w:val="007335E5"/>
    <w:rsid w:val="00733B6F"/>
    <w:rsid w:val="0076046C"/>
    <w:rsid w:val="00780F1D"/>
    <w:rsid w:val="00783C9F"/>
    <w:rsid w:val="0078786B"/>
    <w:rsid w:val="00797970"/>
    <w:rsid w:val="00797AE2"/>
    <w:rsid w:val="00797C42"/>
    <w:rsid w:val="007B09E6"/>
    <w:rsid w:val="007B485B"/>
    <w:rsid w:val="007B6398"/>
    <w:rsid w:val="007C47BA"/>
    <w:rsid w:val="007D1A1B"/>
    <w:rsid w:val="007D7094"/>
    <w:rsid w:val="007E3691"/>
    <w:rsid w:val="007E3B93"/>
    <w:rsid w:val="007E47B5"/>
    <w:rsid w:val="007E6934"/>
    <w:rsid w:val="00803960"/>
    <w:rsid w:val="008124C5"/>
    <w:rsid w:val="008145C4"/>
    <w:rsid w:val="00817BB0"/>
    <w:rsid w:val="00836A03"/>
    <w:rsid w:val="00855777"/>
    <w:rsid w:val="00865721"/>
    <w:rsid w:val="00867481"/>
    <w:rsid w:val="00867FCF"/>
    <w:rsid w:val="00872C71"/>
    <w:rsid w:val="00875463"/>
    <w:rsid w:val="008854F8"/>
    <w:rsid w:val="00894264"/>
    <w:rsid w:val="008A4595"/>
    <w:rsid w:val="008A7A96"/>
    <w:rsid w:val="008C06E0"/>
    <w:rsid w:val="008C06F5"/>
    <w:rsid w:val="008C49E7"/>
    <w:rsid w:val="008C4E35"/>
    <w:rsid w:val="008C5767"/>
    <w:rsid w:val="008D16A4"/>
    <w:rsid w:val="008D374C"/>
    <w:rsid w:val="008D6799"/>
    <w:rsid w:val="008D77A3"/>
    <w:rsid w:val="008E2401"/>
    <w:rsid w:val="008E54AF"/>
    <w:rsid w:val="008F3652"/>
    <w:rsid w:val="008F3AB9"/>
    <w:rsid w:val="009124E9"/>
    <w:rsid w:val="00913F79"/>
    <w:rsid w:val="0091634A"/>
    <w:rsid w:val="00920D14"/>
    <w:rsid w:val="00923E52"/>
    <w:rsid w:val="009241F2"/>
    <w:rsid w:val="00930E71"/>
    <w:rsid w:val="009506AA"/>
    <w:rsid w:val="00956EBD"/>
    <w:rsid w:val="00957E14"/>
    <w:rsid w:val="00975B46"/>
    <w:rsid w:val="00975EFD"/>
    <w:rsid w:val="00977E29"/>
    <w:rsid w:val="009836FF"/>
    <w:rsid w:val="00990539"/>
    <w:rsid w:val="00997A34"/>
    <w:rsid w:val="009A2929"/>
    <w:rsid w:val="009C4005"/>
    <w:rsid w:val="009C76A4"/>
    <w:rsid w:val="009D2196"/>
    <w:rsid w:val="009D5F96"/>
    <w:rsid w:val="009D7F1F"/>
    <w:rsid w:val="009E1003"/>
    <w:rsid w:val="009E4C8F"/>
    <w:rsid w:val="009E5061"/>
    <w:rsid w:val="009E5CC2"/>
    <w:rsid w:val="009E6A80"/>
    <w:rsid w:val="009E7AD9"/>
    <w:rsid w:val="009F53F1"/>
    <w:rsid w:val="009F62AA"/>
    <w:rsid w:val="00A051E2"/>
    <w:rsid w:val="00A2529C"/>
    <w:rsid w:val="00A30FF4"/>
    <w:rsid w:val="00A47117"/>
    <w:rsid w:val="00A522F4"/>
    <w:rsid w:val="00A52378"/>
    <w:rsid w:val="00A52D3C"/>
    <w:rsid w:val="00A54FD4"/>
    <w:rsid w:val="00A5773D"/>
    <w:rsid w:val="00A655AF"/>
    <w:rsid w:val="00A66846"/>
    <w:rsid w:val="00A72ECC"/>
    <w:rsid w:val="00A81FDC"/>
    <w:rsid w:val="00A82D5F"/>
    <w:rsid w:val="00A945F8"/>
    <w:rsid w:val="00AA59F9"/>
    <w:rsid w:val="00AB35FE"/>
    <w:rsid w:val="00AC3233"/>
    <w:rsid w:val="00AC4EEF"/>
    <w:rsid w:val="00AD3B0F"/>
    <w:rsid w:val="00AD528E"/>
    <w:rsid w:val="00AD630D"/>
    <w:rsid w:val="00AD667B"/>
    <w:rsid w:val="00AE169C"/>
    <w:rsid w:val="00AF161A"/>
    <w:rsid w:val="00B03D69"/>
    <w:rsid w:val="00B05472"/>
    <w:rsid w:val="00B1210E"/>
    <w:rsid w:val="00B128EC"/>
    <w:rsid w:val="00B161DB"/>
    <w:rsid w:val="00B1699B"/>
    <w:rsid w:val="00B215C1"/>
    <w:rsid w:val="00B3009A"/>
    <w:rsid w:val="00B33757"/>
    <w:rsid w:val="00B44B06"/>
    <w:rsid w:val="00B50B47"/>
    <w:rsid w:val="00B5278B"/>
    <w:rsid w:val="00B54E6F"/>
    <w:rsid w:val="00B564A5"/>
    <w:rsid w:val="00B56BAE"/>
    <w:rsid w:val="00B65DEE"/>
    <w:rsid w:val="00B65F9A"/>
    <w:rsid w:val="00B67313"/>
    <w:rsid w:val="00B6742C"/>
    <w:rsid w:val="00B86C0D"/>
    <w:rsid w:val="00B91759"/>
    <w:rsid w:val="00B917A4"/>
    <w:rsid w:val="00B94C9A"/>
    <w:rsid w:val="00BA1847"/>
    <w:rsid w:val="00BA4E9C"/>
    <w:rsid w:val="00BC205F"/>
    <w:rsid w:val="00BE0AE9"/>
    <w:rsid w:val="00BE4A3F"/>
    <w:rsid w:val="00BF312A"/>
    <w:rsid w:val="00BF3D9B"/>
    <w:rsid w:val="00C05AF3"/>
    <w:rsid w:val="00C13F4D"/>
    <w:rsid w:val="00C17D30"/>
    <w:rsid w:val="00C373A0"/>
    <w:rsid w:val="00C40279"/>
    <w:rsid w:val="00C42082"/>
    <w:rsid w:val="00C43F8A"/>
    <w:rsid w:val="00C44828"/>
    <w:rsid w:val="00C532DB"/>
    <w:rsid w:val="00C57083"/>
    <w:rsid w:val="00C62BC7"/>
    <w:rsid w:val="00C66ED7"/>
    <w:rsid w:val="00C70469"/>
    <w:rsid w:val="00C70C5C"/>
    <w:rsid w:val="00C71695"/>
    <w:rsid w:val="00C77A60"/>
    <w:rsid w:val="00CA1772"/>
    <w:rsid w:val="00CA6D07"/>
    <w:rsid w:val="00CB0DF8"/>
    <w:rsid w:val="00CB499F"/>
    <w:rsid w:val="00CC79EA"/>
    <w:rsid w:val="00CE0664"/>
    <w:rsid w:val="00CE22BC"/>
    <w:rsid w:val="00CE2F32"/>
    <w:rsid w:val="00CE42F3"/>
    <w:rsid w:val="00CE4D72"/>
    <w:rsid w:val="00CF2CCA"/>
    <w:rsid w:val="00CF64D0"/>
    <w:rsid w:val="00D02591"/>
    <w:rsid w:val="00D02F08"/>
    <w:rsid w:val="00D07EC4"/>
    <w:rsid w:val="00D121EC"/>
    <w:rsid w:val="00D21053"/>
    <w:rsid w:val="00D24AD8"/>
    <w:rsid w:val="00D26148"/>
    <w:rsid w:val="00D33706"/>
    <w:rsid w:val="00D42CAE"/>
    <w:rsid w:val="00D53E66"/>
    <w:rsid w:val="00D549F9"/>
    <w:rsid w:val="00D5505F"/>
    <w:rsid w:val="00D779A4"/>
    <w:rsid w:val="00D85D4B"/>
    <w:rsid w:val="00D96802"/>
    <w:rsid w:val="00DA09E3"/>
    <w:rsid w:val="00DA12B4"/>
    <w:rsid w:val="00DA3F99"/>
    <w:rsid w:val="00DA5935"/>
    <w:rsid w:val="00DB2448"/>
    <w:rsid w:val="00DB4F0A"/>
    <w:rsid w:val="00DB7403"/>
    <w:rsid w:val="00DC366D"/>
    <w:rsid w:val="00DC3FA0"/>
    <w:rsid w:val="00DC4312"/>
    <w:rsid w:val="00DC62E6"/>
    <w:rsid w:val="00DC7ACB"/>
    <w:rsid w:val="00DD397B"/>
    <w:rsid w:val="00E0465D"/>
    <w:rsid w:val="00E1072E"/>
    <w:rsid w:val="00E2476F"/>
    <w:rsid w:val="00E32C49"/>
    <w:rsid w:val="00E4115F"/>
    <w:rsid w:val="00E42696"/>
    <w:rsid w:val="00E43261"/>
    <w:rsid w:val="00E44982"/>
    <w:rsid w:val="00E45E1E"/>
    <w:rsid w:val="00E54467"/>
    <w:rsid w:val="00E573E5"/>
    <w:rsid w:val="00E6021C"/>
    <w:rsid w:val="00E64E79"/>
    <w:rsid w:val="00E7056E"/>
    <w:rsid w:val="00E84F31"/>
    <w:rsid w:val="00E87CBE"/>
    <w:rsid w:val="00E92D0F"/>
    <w:rsid w:val="00EB2E32"/>
    <w:rsid w:val="00EC1A85"/>
    <w:rsid w:val="00EC2B3F"/>
    <w:rsid w:val="00ED0B3F"/>
    <w:rsid w:val="00ED17C6"/>
    <w:rsid w:val="00ED24A1"/>
    <w:rsid w:val="00ED344A"/>
    <w:rsid w:val="00EE3D7B"/>
    <w:rsid w:val="00EE6818"/>
    <w:rsid w:val="00EF5E6B"/>
    <w:rsid w:val="00F0485F"/>
    <w:rsid w:val="00F11A45"/>
    <w:rsid w:val="00F12107"/>
    <w:rsid w:val="00F1663A"/>
    <w:rsid w:val="00F21D3F"/>
    <w:rsid w:val="00F2617A"/>
    <w:rsid w:val="00F31091"/>
    <w:rsid w:val="00F408C4"/>
    <w:rsid w:val="00F40CFB"/>
    <w:rsid w:val="00F47541"/>
    <w:rsid w:val="00F53A5F"/>
    <w:rsid w:val="00F56889"/>
    <w:rsid w:val="00F57A62"/>
    <w:rsid w:val="00F57B8C"/>
    <w:rsid w:val="00F70BC3"/>
    <w:rsid w:val="00F72A33"/>
    <w:rsid w:val="00F72D17"/>
    <w:rsid w:val="00F74CD7"/>
    <w:rsid w:val="00F74CEB"/>
    <w:rsid w:val="00F832DC"/>
    <w:rsid w:val="00F83380"/>
    <w:rsid w:val="00F85EBC"/>
    <w:rsid w:val="00FA5079"/>
    <w:rsid w:val="00FB2CCB"/>
    <w:rsid w:val="00FB3C39"/>
    <w:rsid w:val="00FC233C"/>
    <w:rsid w:val="00FD5D16"/>
    <w:rsid w:val="00FD6D30"/>
    <w:rsid w:val="00FE1530"/>
    <w:rsid w:val="00FE61FD"/>
    <w:rsid w:val="00FE655E"/>
    <w:rsid w:val="00FF3EAF"/>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annotation text" w:uiPriority="99"/>
    <w:lsdException w:name="header" w:uiPriority="99"/>
    <w:lsdException w:name="footer" w:uiPriority="99"/>
    <w:lsdException w:name="caption" w:semiHidden="1" w:unhideWhenUsed="1" w:qFormat="1"/>
    <w:lsdException w:name="endnote reference" w:uiPriority="99"/>
    <w:lsdException w:name="endnote text" w:uiPriority="99"/>
    <w:lsdException w:name="Title" w:qFormat="1"/>
    <w:lsdException w:name="Subtitle" w:uiPriority="11" w:qFormat="1"/>
    <w:lsdException w:name="Body Text Indent 3" w:uiPriority="99"/>
    <w:lsdException w:name="Hyperlink" w:uiPriority="99"/>
    <w:lsdException w:name="Strong" w:qFormat="1"/>
    <w:lsdException w:name="Emphasis" w:uiPriority="20" w:qFormat="1"/>
    <w:lsdException w:name="Plain Text" w:uiPriority="99"/>
    <w:lsdException w:name="HTML Top of Form" w:uiPriority="99"/>
    <w:lsdException w:name="HTML Bottom of Form" w:uiPriority="99"/>
    <w:lsdException w:name="Normal (Web)" w:uiPriority="99"/>
    <w:lsdException w:name="HTML Address"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E42F3"/>
    <w:pPr>
      <w:jc w:val="center"/>
    </w:pPr>
    <w:rPr>
      <w:sz w:val="24"/>
      <w:szCs w:val="24"/>
    </w:rPr>
  </w:style>
  <w:style w:type="paragraph" w:styleId="Ttulo1">
    <w:name w:val="heading 1"/>
    <w:basedOn w:val="Normal"/>
    <w:next w:val="Normal"/>
    <w:link w:val="Ttulo1Char"/>
    <w:qFormat/>
    <w:rsid w:val="00CE42F3"/>
    <w:pPr>
      <w:keepNext/>
      <w:spacing w:before="240" w:after="60"/>
      <w:outlineLvl w:val="0"/>
    </w:pPr>
    <w:rPr>
      <w:rFonts w:ascii="Times" w:hAnsi="Times"/>
      <w:b/>
      <w:bCs/>
      <w:kern w:val="32"/>
      <w:sz w:val="32"/>
      <w:szCs w:val="32"/>
      <w:lang w:val="en-US" w:eastAsia="en-US"/>
    </w:rPr>
  </w:style>
  <w:style w:type="paragraph" w:styleId="Ttulo20">
    <w:name w:val="heading 2"/>
    <w:basedOn w:val="Normal"/>
    <w:next w:val="Normal"/>
    <w:link w:val="Ttulo2Char"/>
    <w:qFormat/>
    <w:rsid w:val="00CE42F3"/>
    <w:pPr>
      <w:keepNext/>
      <w:spacing w:before="240" w:after="60"/>
      <w:outlineLvl w:val="1"/>
    </w:pPr>
    <w:rPr>
      <w:rFonts w:ascii="Times" w:hAnsi="Times"/>
      <w:b/>
      <w:bCs/>
      <w:i/>
      <w:iCs/>
      <w:sz w:val="28"/>
      <w:szCs w:val="28"/>
      <w:lang w:val="en-US" w:eastAsia="en-US"/>
    </w:rPr>
  </w:style>
  <w:style w:type="paragraph" w:styleId="Ttulo3">
    <w:name w:val="heading 3"/>
    <w:basedOn w:val="Normal"/>
    <w:next w:val="Normal"/>
    <w:link w:val="Ttulo3Char"/>
    <w:qFormat/>
    <w:rsid w:val="00CE42F3"/>
    <w:pPr>
      <w:keepNext/>
      <w:spacing w:before="240" w:after="60"/>
      <w:outlineLvl w:val="2"/>
    </w:pPr>
    <w:rPr>
      <w:rFonts w:ascii="Times" w:hAnsi="Times"/>
      <w:b/>
      <w:bCs/>
      <w:sz w:val="26"/>
      <w:szCs w:val="26"/>
      <w:lang w:val="en-US" w:eastAsia="en-US"/>
    </w:rPr>
  </w:style>
  <w:style w:type="paragraph" w:styleId="Ttulo4">
    <w:name w:val="heading 4"/>
    <w:basedOn w:val="Normal"/>
    <w:next w:val="Normal"/>
    <w:link w:val="Ttulo4Char"/>
    <w:qFormat/>
    <w:rsid w:val="00CE42F3"/>
    <w:pPr>
      <w:keepNext/>
      <w:spacing w:before="240" w:after="60"/>
      <w:outlineLvl w:val="3"/>
    </w:pPr>
    <w:rPr>
      <w:b/>
      <w:bCs/>
      <w:sz w:val="28"/>
      <w:szCs w:val="28"/>
      <w:lang w:val="en-US" w:eastAsia="en-US"/>
    </w:rPr>
  </w:style>
  <w:style w:type="paragraph" w:styleId="Ttulo5">
    <w:name w:val="heading 5"/>
    <w:basedOn w:val="Normal"/>
    <w:next w:val="Normal"/>
    <w:link w:val="Ttulo5Char"/>
    <w:qFormat/>
    <w:rsid w:val="00CE42F3"/>
    <w:pPr>
      <w:spacing w:before="240" w:after="60"/>
      <w:outlineLvl w:val="4"/>
    </w:pPr>
    <w:rPr>
      <w:rFonts w:ascii="Times" w:hAnsi="Times"/>
      <w:b/>
      <w:bCs/>
      <w:i/>
      <w:iCs/>
      <w:sz w:val="26"/>
      <w:szCs w:val="26"/>
      <w:lang w:val="en-US" w:eastAsia="en-US"/>
    </w:rPr>
  </w:style>
  <w:style w:type="paragraph" w:styleId="Ttulo6">
    <w:name w:val="heading 6"/>
    <w:aliases w:val="Edital"/>
    <w:basedOn w:val="Normal"/>
    <w:next w:val="Normal"/>
    <w:link w:val="Ttulo6Char"/>
    <w:qFormat/>
    <w:rsid w:val="00CE42F3"/>
    <w:pPr>
      <w:spacing w:before="240" w:after="60"/>
      <w:outlineLvl w:val="5"/>
    </w:pPr>
    <w:rPr>
      <w:b/>
      <w:bCs/>
      <w:sz w:val="22"/>
      <w:szCs w:val="22"/>
      <w:lang w:val="en-US" w:eastAsia="en-US"/>
    </w:rPr>
  </w:style>
  <w:style w:type="paragraph" w:styleId="Ttulo7">
    <w:name w:val="heading 7"/>
    <w:basedOn w:val="Normal"/>
    <w:next w:val="Normal"/>
    <w:link w:val="Ttulo7Char"/>
    <w:qFormat/>
    <w:rsid w:val="00CE42F3"/>
    <w:pPr>
      <w:spacing w:before="240" w:after="60"/>
      <w:outlineLvl w:val="6"/>
    </w:pPr>
    <w:rPr>
      <w:lang w:val="en-US" w:eastAsia="en-US"/>
    </w:rPr>
  </w:style>
  <w:style w:type="paragraph" w:styleId="Ttulo8">
    <w:name w:val="heading 8"/>
    <w:basedOn w:val="Normal"/>
    <w:next w:val="Normal"/>
    <w:link w:val="Ttulo8Char"/>
    <w:qFormat/>
    <w:rsid w:val="00CE42F3"/>
    <w:pPr>
      <w:spacing w:before="240" w:after="60"/>
      <w:outlineLvl w:val="7"/>
    </w:pPr>
    <w:rPr>
      <w:i/>
      <w:iCs/>
      <w:lang w:val="en-US" w:eastAsia="en-US"/>
    </w:rPr>
  </w:style>
  <w:style w:type="paragraph" w:styleId="Ttulo9">
    <w:name w:val="heading 9"/>
    <w:basedOn w:val="Normal"/>
    <w:next w:val="Normal"/>
    <w:link w:val="Ttulo9Char"/>
    <w:qFormat/>
    <w:rsid w:val="00CE42F3"/>
    <w:pPr>
      <w:spacing w:before="240" w:after="60"/>
      <w:outlineLvl w:val="8"/>
    </w:pPr>
    <w:rPr>
      <w:rFonts w:ascii="Times" w:hAnsi="Times"/>
      <w:sz w:val="22"/>
      <w:szCs w:val="22"/>
      <w:lang w:val="en-US"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CE42F3"/>
    <w:rPr>
      <w:rFonts w:ascii="Times" w:hAnsi="Times"/>
      <w:b/>
      <w:bCs/>
      <w:kern w:val="32"/>
      <w:sz w:val="32"/>
      <w:szCs w:val="32"/>
      <w:lang w:val="en-US" w:eastAsia="en-US"/>
    </w:rPr>
  </w:style>
  <w:style w:type="character" w:customStyle="1" w:styleId="Ttulo2Char">
    <w:name w:val="Título 2 Char"/>
    <w:link w:val="Ttulo20"/>
    <w:rsid w:val="00CE42F3"/>
    <w:rPr>
      <w:rFonts w:ascii="Times" w:hAnsi="Times"/>
      <w:b/>
      <w:bCs/>
      <w:i/>
      <w:iCs/>
      <w:sz w:val="28"/>
      <w:szCs w:val="28"/>
      <w:lang w:val="en-US" w:eastAsia="en-US"/>
    </w:rPr>
  </w:style>
  <w:style w:type="character" w:customStyle="1" w:styleId="Ttulo3Char">
    <w:name w:val="Título 3 Char"/>
    <w:link w:val="Ttulo3"/>
    <w:rsid w:val="00CE42F3"/>
    <w:rPr>
      <w:rFonts w:ascii="Times" w:hAnsi="Times"/>
      <w:b/>
      <w:bCs/>
      <w:sz w:val="26"/>
      <w:szCs w:val="26"/>
      <w:lang w:val="en-US" w:eastAsia="en-US"/>
    </w:rPr>
  </w:style>
  <w:style w:type="character" w:customStyle="1" w:styleId="Ttulo4Char">
    <w:name w:val="Título 4 Char"/>
    <w:link w:val="Ttulo4"/>
    <w:rsid w:val="00CE42F3"/>
    <w:rPr>
      <w:b/>
      <w:bCs/>
      <w:sz w:val="28"/>
      <w:szCs w:val="28"/>
      <w:lang w:val="en-US" w:eastAsia="en-US"/>
    </w:rPr>
  </w:style>
  <w:style w:type="character" w:customStyle="1" w:styleId="Ttulo5Char">
    <w:name w:val="Título 5 Char"/>
    <w:link w:val="Ttulo5"/>
    <w:rsid w:val="00CE42F3"/>
    <w:rPr>
      <w:rFonts w:ascii="Times" w:hAnsi="Times"/>
      <w:b/>
      <w:bCs/>
      <w:i/>
      <w:iCs/>
      <w:sz w:val="26"/>
      <w:szCs w:val="26"/>
      <w:lang w:val="en-US" w:eastAsia="en-US"/>
    </w:rPr>
  </w:style>
  <w:style w:type="character" w:customStyle="1" w:styleId="Ttulo6Char">
    <w:name w:val="Título 6 Char"/>
    <w:aliases w:val="Edital Char"/>
    <w:link w:val="Ttulo6"/>
    <w:rsid w:val="00CE42F3"/>
    <w:rPr>
      <w:b/>
      <w:bCs/>
      <w:sz w:val="22"/>
      <w:szCs w:val="22"/>
      <w:lang w:val="en-US" w:eastAsia="en-US"/>
    </w:rPr>
  </w:style>
  <w:style w:type="character" w:customStyle="1" w:styleId="Ttulo7Char">
    <w:name w:val="Título 7 Char"/>
    <w:link w:val="Ttulo7"/>
    <w:rsid w:val="00CE42F3"/>
    <w:rPr>
      <w:sz w:val="24"/>
      <w:szCs w:val="24"/>
      <w:lang w:val="en-US" w:eastAsia="en-US"/>
    </w:rPr>
  </w:style>
  <w:style w:type="character" w:customStyle="1" w:styleId="Ttulo8Char">
    <w:name w:val="Título 8 Char"/>
    <w:link w:val="Ttulo8"/>
    <w:rsid w:val="00CE42F3"/>
    <w:rPr>
      <w:i/>
      <w:iCs/>
      <w:sz w:val="24"/>
      <w:szCs w:val="24"/>
      <w:lang w:val="en-US" w:eastAsia="en-US"/>
    </w:rPr>
  </w:style>
  <w:style w:type="character" w:customStyle="1" w:styleId="Ttulo9Char">
    <w:name w:val="Título 9 Char"/>
    <w:link w:val="Ttulo9"/>
    <w:rsid w:val="00CE42F3"/>
    <w:rPr>
      <w:rFonts w:ascii="Times" w:hAnsi="Times"/>
      <w:sz w:val="22"/>
      <w:szCs w:val="22"/>
      <w:lang w:val="en-US" w:eastAsia="en-US"/>
    </w:rPr>
  </w:style>
  <w:style w:type="paragraph" w:styleId="Cabealho">
    <w:name w:val="header"/>
    <w:basedOn w:val="Normal"/>
    <w:link w:val="CabealhoChar"/>
    <w:uiPriority w:val="99"/>
    <w:rsid w:val="00CE42F3"/>
    <w:pPr>
      <w:tabs>
        <w:tab w:val="center" w:pos="4419"/>
        <w:tab w:val="right" w:pos="8838"/>
      </w:tabs>
    </w:pPr>
  </w:style>
  <w:style w:type="character" w:customStyle="1" w:styleId="CabealhoChar">
    <w:name w:val="Cabeçalho Char"/>
    <w:link w:val="Cabealho"/>
    <w:uiPriority w:val="99"/>
    <w:rsid w:val="00CE42F3"/>
    <w:rPr>
      <w:sz w:val="24"/>
      <w:szCs w:val="24"/>
      <w:lang w:val="pt-BR" w:eastAsia="pt-BR" w:bidi="ar-SA"/>
    </w:rPr>
  </w:style>
  <w:style w:type="paragraph" w:styleId="Rodap">
    <w:name w:val="footer"/>
    <w:basedOn w:val="Normal"/>
    <w:link w:val="RodapChar"/>
    <w:uiPriority w:val="99"/>
    <w:rsid w:val="00CE42F3"/>
    <w:pPr>
      <w:tabs>
        <w:tab w:val="center" w:pos="4419"/>
        <w:tab w:val="right" w:pos="8838"/>
      </w:tabs>
    </w:pPr>
  </w:style>
  <w:style w:type="character" w:customStyle="1" w:styleId="RodapChar">
    <w:name w:val="Rodapé Char"/>
    <w:link w:val="Rodap"/>
    <w:uiPriority w:val="99"/>
    <w:rsid w:val="00CE42F3"/>
    <w:rPr>
      <w:sz w:val="24"/>
      <w:szCs w:val="24"/>
    </w:rPr>
  </w:style>
  <w:style w:type="paragraph" w:styleId="Ttulo">
    <w:name w:val="Title"/>
    <w:basedOn w:val="Normal"/>
    <w:link w:val="TtuloChar"/>
    <w:qFormat/>
    <w:rsid w:val="00CE42F3"/>
    <w:rPr>
      <w:b/>
      <w:bCs/>
    </w:rPr>
  </w:style>
  <w:style w:type="character" w:customStyle="1" w:styleId="TtuloChar">
    <w:name w:val="Título Char"/>
    <w:link w:val="Ttulo"/>
    <w:rsid w:val="00CE42F3"/>
    <w:rPr>
      <w:b/>
      <w:bCs/>
      <w:sz w:val="24"/>
      <w:szCs w:val="24"/>
    </w:rPr>
  </w:style>
  <w:style w:type="paragraph" w:customStyle="1" w:styleId="MMTitle">
    <w:name w:val="MM Title"/>
    <w:basedOn w:val="Ttulo"/>
    <w:rsid w:val="00CE42F3"/>
    <w:pPr>
      <w:spacing w:before="240" w:after="60"/>
      <w:outlineLvl w:val="0"/>
    </w:pPr>
    <w:rPr>
      <w:rFonts w:ascii="Times" w:hAnsi="Times"/>
      <w:kern w:val="28"/>
      <w:sz w:val="32"/>
      <w:szCs w:val="32"/>
      <w:lang w:val="en-US" w:eastAsia="en-US"/>
    </w:rPr>
  </w:style>
  <w:style w:type="paragraph" w:customStyle="1" w:styleId="MMTopic1">
    <w:name w:val="MM Topic 1"/>
    <w:basedOn w:val="Ttulo1"/>
    <w:rsid w:val="00CE42F3"/>
    <w:pPr>
      <w:numPr>
        <w:numId w:val="1"/>
      </w:numPr>
      <w:tabs>
        <w:tab w:val="clear" w:pos="360"/>
      </w:tabs>
    </w:pPr>
  </w:style>
  <w:style w:type="paragraph" w:customStyle="1" w:styleId="MMTopic2">
    <w:name w:val="MM Topic 2"/>
    <w:basedOn w:val="Ttulo20"/>
    <w:rsid w:val="00CE42F3"/>
    <w:pPr>
      <w:numPr>
        <w:ilvl w:val="1"/>
        <w:numId w:val="1"/>
      </w:numPr>
      <w:tabs>
        <w:tab w:val="clear" w:pos="720"/>
      </w:tabs>
    </w:pPr>
  </w:style>
  <w:style w:type="paragraph" w:customStyle="1" w:styleId="MMTopic3">
    <w:name w:val="MM Topic 3"/>
    <w:basedOn w:val="Ttulo3"/>
    <w:rsid w:val="00CE42F3"/>
    <w:pPr>
      <w:numPr>
        <w:ilvl w:val="2"/>
        <w:numId w:val="1"/>
      </w:numPr>
      <w:tabs>
        <w:tab w:val="clear" w:pos="1080"/>
      </w:tabs>
    </w:pPr>
  </w:style>
  <w:style w:type="paragraph" w:customStyle="1" w:styleId="MMTopic4">
    <w:name w:val="MM Topic 4"/>
    <w:basedOn w:val="Ttulo4"/>
    <w:rsid w:val="00CE42F3"/>
    <w:pPr>
      <w:numPr>
        <w:ilvl w:val="3"/>
        <w:numId w:val="1"/>
      </w:numPr>
      <w:tabs>
        <w:tab w:val="clear" w:pos="1440"/>
      </w:tabs>
    </w:pPr>
  </w:style>
  <w:style w:type="paragraph" w:customStyle="1" w:styleId="MMTopic5">
    <w:name w:val="MM Topic 5"/>
    <w:basedOn w:val="Ttulo5"/>
    <w:rsid w:val="00CE42F3"/>
    <w:pPr>
      <w:numPr>
        <w:ilvl w:val="4"/>
        <w:numId w:val="1"/>
      </w:numPr>
      <w:tabs>
        <w:tab w:val="clear" w:pos="1800"/>
      </w:tabs>
    </w:pPr>
  </w:style>
  <w:style w:type="paragraph" w:customStyle="1" w:styleId="MMTopic6">
    <w:name w:val="MM Topic 6"/>
    <w:basedOn w:val="Ttulo6"/>
    <w:rsid w:val="00CE42F3"/>
    <w:pPr>
      <w:numPr>
        <w:ilvl w:val="5"/>
        <w:numId w:val="1"/>
      </w:numPr>
      <w:tabs>
        <w:tab w:val="clear" w:pos="2160"/>
      </w:tabs>
    </w:pPr>
  </w:style>
  <w:style w:type="paragraph" w:customStyle="1" w:styleId="MMTopic7">
    <w:name w:val="MM Topic 7"/>
    <w:basedOn w:val="Ttulo7"/>
    <w:rsid w:val="00CE42F3"/>
    <w:pPr>
      <w:numPr>
        <w:ilvl w:val="6"/>
        <w:numId w:val="1"/>
      </w:numPr>
      <w:tabs>
        <w:tab w:val="clear" w:pos="2520"/>
      </w:tabs>
    </w:pPr>
  </w:style>
  <w:style w:type="paragraph" w:customStyle="1" w:styleId="MMTopic8">
    <w:name w:val="MM Topic 8"/>
    <w:basedOn w:val="Ttulo8"/>
    <w:rsid w:val="00CE42F3"/>
    <w:pPr>
      <w:numPr>
        <w:ilvl w:val="7"/>
        <w:numId w:val="1"/>
      </w:numPr>
      <w:tabs>
        <w:tab w:val="clear" w:pos="2880"/>
      </w:tabs>
    </w:pPr>
  </w:style>
  <w:style w:type="paragraph" w:customStyle="1" w:styleId="MMTopic9">
    <w:name w:val="MM Topic 9"/>
    <w:basedOn w:val="Ttulo9"/>
    <w:rsid w:val="00CE42F3"/>
    <w:pPr>
      <w:numPr>
        <w:ilvl w:val="8"/>
        <w:numId w:val="1"/>
      </w:numPr>
      <w:tabs>
        <w:tab w:val="clear" w:pos="3240"/>
      </w:tabs>
    </w:pPr>
  </w:style>
  <w:style w:type="paragraph" w:styleId="Corpodetexto">
    <w:name w:val="Body Text"/>
    <w:aliases w:val="Body Text Char Char,Body Text Char Char Char Char Char Char Char Char,Body Text Char Char Char Char,Body Text Char Char Char Char Char Char Char Char Char Char"/>
    <w:basedOn w:val="Normal"/>
    <w:link w:val="CorpodetextoChar"/>
    <w:rsid w:val="00CE42F3"/>
    <w:rPr>
      <w:b/>
      <w:bCs/>
      <w:szCs w:val="20"/>
      <w:lang w:eastAsia="en-US"/>
    </w:rPr>
  </w:style>
  <w:style w:type="character" w:customStyle="1" w:styleId="CorpodetextoChar">
    <w:name w:val="Corpo de texto Char"/>
    <w:aliases w:val="Body Text Char Char Char,Body Text Char Char Char Char Char Char Char Char Char,Body Text Char Char Char Char Char,Body Text Char Char Char Char Char Char Char Char Char Char Char1"/>
    <w:link w:val="Corpodetexto"/>
    <w:rsid w:val="00CE42F3"/>
    <w:rPr>
      <w:b/>
      <w:bCs/>
      <w:sz w:val="24"/>
      <w:lang w:eastAsia="en-US"/>
    </w:rPr>
  </w:style>
  <w:style w:type="character" w:styleId="Nmerodepgina">
    <w:name w:val="page number"/>
    <w:basedOn w:val="Fontepargpadro"/>
    <w:rsid w:val="00CE42F3"/>
  </w:style>
  <w:style w:type="paragraph" w:customStyle="1" w:styleId="style1">
    <w:name w:val="style1"/>
    <w:basedOn w:val="Normal"/>
    <w:rsid w:val="00CE42F3"/>
    <w:pPr>
      <w:spacing w:before="100" w:beforeAutospacing="1" w:after="100" w:afterAutospacing="1"/>
    </w:pPr>
  </w:style>
  <w:style w:type="paragraph" w:customStyle="1" w:styleId="style1style3">
    <w:name w:val="style1 style3"/>
    <w:basedOn w:val="Normal"/>
    <w:rsid w:val="00CE42F3"/>
    <w:pPr>
      <w:spacing w:before="100" w:beforeAutospacing="1" w:after="100" w:afterAutospacing="1"/>
    </w:pPr>
  </w:style>
  <w:style w:type="character" w:styleId="Forte">
    <w:name w:val="Strong"/>
    <w:qFormat/>
    <w:rsid w:val="00CE42F3"/>
    <w:rPr>
      <w:b/>
      <w:bCs/>
    </w:rPr>
  </w:style>
  <w:style w:type="character" w:styleId="Hyperlink">
    <w:name w:val="Hyperlink"/>
    <w:uiPriority w:val="99"/>
    <w:rsid w:val="00CE42F3"/>
    <w:rPr>
      <w:color w:val="0000FF"/>
      <w:u w:val="single"/>
    </w:rPr>
  </w:style>
  <w:style w:type="character" w:styleId="HiperlinkVisitado">
    <w:name w:val="FollowedHyperlink"/>
    <w:rsid w:val="00CE42F3"/>
    <w:rPr>
      <w:color w:val="800080"/>
      <w:u w:val="single"/>
    </w:rPr>
  </w:style>
  <w:style w:type="paragraph" w:styleId="Corpodetexto3">
    <w:name w:val="Body Text 3"/>
    <w:basedOn w:val="Normal"/>
    <w:link w:val="Corpodetexto3Char"/>
    <w:rsid w:val="00CE42F3"/>
    <w:pPr>
      <w:spacing w:line="360" w:lineRule="auto"/>
      <w:jc w:val="both"/>
    </w:pPr>
    <w:rPr>
      <w:rFonts w:ascii="Arial" w:hAnsi="Arial"/>
      <w:sz w:val="20"/>
      <w:szCs w:val="20"/>
    </w:rPr>
  </w:style>
  <w:style w:type="paragraph" w:styleId="Recuodecorpodetexto">
    <w:name w:val="Body Text Indent"/>
    <w:basedOn w:val="Normal"/>
    <w:link w:val="RecuodecorpodetextoChar"/>
    <w:rsid w:val="00CE42F3"/>
    <w:pPr>
      <w:ind w:left="357"/>
      <w:jc w:val="both"/>
    </w:pPr>
    <w:rPr>
      <w:rFonts w:ascii="Times" w:hAnsi="Times"/>
      <w:szCs w:val="20"/>
      <w:lang w:val="en-US" w:eastAsia="en-US"/>
    </w:rPr>
  </w:style>
  <w:style w:type="character" w:customStyle="1" w:styleId="RecuodecorpodetextoChar">
    <w:name w:val="Recuo de corpo de texto Char"/>
    <w:link w:val="Recuodecorpodetexto"/>
    <w:rsid w:val="00CE42F3"/>
    <w:rPr>
      <w:rFonts w:ascii="Times" w:hAnsi="Times"/>
      <w:sz w:val="24"/>
      <w:lang w:val="en-US" w:eastAsia="en-US"/>
    </w:rPr>
  </w:style>
  <w:style w:type="paragraph" w:styleId="Corpodetexto2">
    <w:name w:val="Body Text 2"/>
    <w:basedOn w:val="Normal"/>
    <w:link w:val="Corpodetexto2Char"/>
    <w:rsid w:val="00CE42F3"/>
    <w:rPr>
      <w:sz w:val="20"/>
      <w:szCs w:val="20"/>
      <w:lang w:eastAsia="en-US"/>
    </w:rPr>
  </w:style>
  <w:style w:type="character" w:customStyle="1" w:styleId="Corpodetexto2Char">
    <w:name w:val="Corpo de texto 2 Char"/>
    <w:link w:val="Corpodetexto2"/>
    <w:rsid w:val="00CE42F3"/>
    <w:rPr>
      <w:lang w:eastAsia="en-US"/>
    </w:rPr>
  </w:style>
  <w:style w:type="paragraph" w:styleId="Recuodecorpodetexto2">
    <w:name w:val="Body Text Indent 2"/>
    <w:basedOn w:val="Normal"/>
    <w:link w:val="Recuodecorpodetexto2Char"/>
    <w:rsid w:val="00CE42F3"/>
    <w:pPr>
      <w:ind w:left="720"/>
      <w:jc w:val="both"/>
    </w:pPr>
    <w:rPr>
      <w:rFonts w:ascii="Times" w:hAnsi="Times"/>
      <w:szCs w:val="20"/>
      <w:lang w:val="en-US" w:eastAsia="en-US"/>
    </w:rPr>
  </w:style>
  <w:style w:type="paragraph" w:styleId="Recuodecorpodetexto3">
    <w:name w:val="Body Text Indent 3"/>
    <w:basedOn w:val="Normal"/>
    <w:link w:val="Recuodecorpodetexto3Char"/>
    <w:uiPriority w:val="99"/>
    <w:rsid w:val="00CE42F3"/>
    <w:pPr>
      <w:ind w:left="540"/>
      <w:jc w:val="both"/>
    </w:pPr>
    <w:rPr>
      <w:rFonts w:ascii="Times" w:hAnsi="Times"/>
      <w:szCs w:val="20"/>
      <w:lang w:val="en-US" w:eastAsia="en-US"/>
    </w:rPr>
  </w:style>
  <w:style w:type="character" w:customStyle="1" w:styleId="Recuodecorpodetexto3Char">
    <w:name w:val="Recuo de corpo de texto 3 Char"/>
    <w:link w:val="Recuodecorpodetexto3"/>
    <w:uiPriority w:val="99"/>
    <w:rsid w:val="00CE42F3"/>
    <w:rPr>
      <w:rFonts w:ascii="Times" w:hAnsi="Times"/>
      <w:sz w:val="24"/>
      <w:lang w:val="en-US" w:eastAsia="en-US"/>
    </w:rPr>
  </w:style>
  <w:style w:type="paragraph" w:styleId="NormalWeb">
    <w:name w:val="Normal (Web)"/>
    <w:basedOn w:val="Normal"/>
    <w:link w:val="NormalWebChar"/>
    <w:rsid w:val="00CE42F3"/>
    <w:pPr>
      <w:spacing w:before="100" w:beforeAutospacing="1" w:after="100" w:afterAutospacing="1"/>
    </w:pPr>
  </w:style>
  <w:style w:type="character" w:customStyle="1" w:styleId="NormalWebChar">
    <w:name w:val="Normal (Web) Char"/>
    <w:link w:val="NormalWeb"/>
    <w:rsid w:val="00CE42F3"/>
    <w:rPr>
      <w:sz w:val="24"/>
      <w:szCs w:val="24"/>
      <w:lang w:val="pt-BR" w:eastAsia="pt-BR" w:bidi="ar-SA"/>
    </w:rPr>
  </w:style>
  <w:style w:type="paragraph" w:customStyle="1" w:styleId="Estilo1">
    <w:name w:val="Estilo1"/>
    <w:basedOn w:val="Normal"/>
    <w:rsid w:val="00CE42F3"/>
    <w:pPr>
      <w:spacing w:line="360" w:lineRule="auto"/>
      <w:ind w:firstLine="2160"/>
      <w:jc w:val="both"/>
    </w:pPr>
    <w:rPr>
      <w:rFonts w:ascii="Arial" w:hAnsi="Arial"/>
      <w:szCs w:val="20"/>
    </w:rPr>
  </w:style>
  <w:style w:type="paragraph" w:customStyle="1" w:styleId="Capadosubttulo">
    <w:name w:val="Capa do subtítulo"/>
    <w:basedOn w:val="Normal"/>
    <w:next w:val="Corpodetexto"/>
    <w:rsid w:val="00CE42F3"/>
    <w:pPr>
      <w:keepNext/>
      <w:keepLines/>
      <w:spacing w:line="440" w:lineRule="atLeast"/>
    </w:pPr>
    <w:rPr>
      <w:rFonts w:ascii="Garamond" w:hAnsi="Garamond"/>
      <w:smallCaps/>
      <w:spacing w:val="30"/>
      <w:kern w:val="20"/>
      <w:sz w:val="44"/>
      <w:szCs w:val="20"/>
    </w:rPr>
  </w:style>
  <w:style w:type="paragraph" w:customStyle="1" w:styleId="Corpodetexto21">
    <w:name w:val="Corpo de texto 21"/>
    <w:basedOn w:val="Normal"/>
    <w:rsid w:val="00CE42F3"/>
    <w:pPr>
      <w:tabs>
        <w:tab w:val="left" w:pos="360"/>
      </w:tabs>
      <w:ind w:left="426"/>
      <w:jc w:val="both"/>
    </w:pPr>
    <w:rPr>
      <w:szCs w:val="20"/>
    </w:rPr>
  </w:style>
  <w:style w:type="paragraph" w:customStyle="1" w:styleId="Recuodecorpodetexto21">
    <w:name w:val="Recuo de corpo de texto 21"/>
    <w:basedOn w:val="Normal"/>
    <w:rsid w:val="00CE42F3"/>
    <w:pPr>
      <w:tabs>
        <w:tab w:val="left" w:pos="851"/>
      </w:tabs>
      <w:ind w:left="851"/>
      <w:jc w:val="both"/>
    </w:pPr>
    <w:rPr>
      <w:szCs w:val="20"/>
    </w:rPr>
  </w:style>
  <w:style w:type="paragraph" w:customStyle="1" w:styleId="Prop-Texto">
    <w:name w:val="Prop-Texto"/>
    <w:basedOn w:val="Normal"/>
    <w:rsid w:val="00CE42F3"/>
    <w:pPr>
      <w:spacing w:after="120" w:line="360" w:lineRule="exact"/>
      <w:ind w:firstLine="720"/>
      <w:jc w:val="both"/>
    </w:pPr>
    <w:rPr>
      <w:rFonts w:ascii="MyriaMM_215 LT 600 NO" w:hAnsi="MyriaMM_215 LT 600 NO"/>
      <w:sz w:val="23"/>
      <w:szCs w:val="20"/>
    </w:rPr>
  </w:style>
  <w:style w:type="paragraph" w:customStyle="1" w:styleId="Prop-T2">
    <w:name w:val="Prop-T2"/>
    <w:basedOn w:val="Normal"/>
    <w:rsid w:val="00CE42F3"/>
    <w:pPr>
      <w:keepNext/>
      <w:spacing w:before="120" w:after="120" w:line="360" w:lineRule="exact"/>
    </w:pPr>
    <w:rPr>
      <w:rFonts w:ascii="Verdana" w:hAnsi="Verdana"/>
      <w:b/>
      <w:sz w:val="28"/>
      <w:szCs w:val="20"/>
    </w:rPr>
  </w:style>
  <w:style w:type="paragraph" w:customStyle="1" w:styleId="T2">
    <w:name w:val="T2"/>
    <w:basedOn w:val="Normal"/>
    <w:rsid w:val="00CE42F3"/>
    <w:pPr>
      <w:keepNext/>
      <w:widowControl w:val="0"/>
      <w:spacing w:before="360" w:after="240" w:line="300" w:lineRule="exact"/>
    </w:pPr>
    <w:rPr>
      <w:rFonts w:ascii="Arial" w:hAnsi="Arial"/>
      <w:b/>
      <w:szCs w:val="20"/>
    </w:rPr>
  </w:style>
  <w:style w:type="paragraph" w:customStyle="1" w:styleId="tit2">
    <w:name w:val="tit2"/>
    <w:basedOn w:val="Normal"/>
    <w:rsid w:val="00CE42F3"/>
    <w:pPr>
      <w:spacing w:before="100" w:after="100" w:line="240" w:lineRule="atLeast"/>
    </w:pPr>
    <w:rPr>
      <w:rFonts w:ascii="Verdana" w:eastAsia="Arial Unicode MS" w:hAnsi="Verdana"/>
      <w:b/>
      <w:color w:val="000000"/>
      <w:sz w:val="19"/>
      <w:szCs w:val="20"/>
    </w:rPr>
  </w:style>
  <w:style w:type="paragraph" w:customStyle="1" w:styleId="Pro-Trao">
    <w:name w:val="Pro-Traço"/>
    <w:basedOn w:val="Prop-Texto"/>
    <w:rsid w:val="00CE42F3"/>
    <w:pPr>
      <w:ind w:left="284" w:hanging="284"/>
    </w:pPr>
  </w:style>
  <w:style w:type="paragraph" w:customStyle="1" w:styleId="Relat-Trao">
    <w:name w:val="Relat-Traço"/>
    <w:basedOn w:val="Normal"/>
    <w:rsid w:val="00CE42F3"/>
    <w:pPr>
      <w:spacing w:after="120" w:line="360" w:lineRule="exact"/>
      <w:ind w:left="357" w:hanging="357"/>
      <w:jc w:val="both"/>
    </w:pPr>
    <w:rPr>
      <w:rFonts w:ascii="Arial" w:hAnsi="Arial"/>
      <w:szCs w:val="20"/>
    </w:rPr>
  </w:style>
  <w:style w:type="paragraph" w:customStyle="1" w:styleId="ttulodomeio">
    <w:name w:val="título do meio"/>
    <w:basedOn w:val="Normal"/>
    <w:rsid w:val="00CE42F3"/>
    <w:pPr>
      <w:widowControl w:val="0"/>
      <w:spacing w:after="240" w:line="340" w:lineRule="exact"/>
      <w:jc w:val="both"/>
    </w:pPr>
    <w:rPr>
      <w:rFonts w:ascii="Arial" w:hAnsi="Arial"/>
      <w:szCs w:val="20"/>
    </w:rPr>
  </w:style>
  <w:style w:type="paragraph" w:customStyle="1" w:styleId="RelTexto">
    <w:name w:val="Rel Texto"/>
    <w:basedOn w:val="Normal"/>
    <w:rsid w:val="00CE42F3"/>
    <w:pPr>
      <w:spacing w:after="120" w:line="360" w:lineRule="exact"/>
      <w:ind w:firstLine="720"/>
      <w:jc w:val="both"/>
    </w:pPr>
    <w:rPr>
      <w:rFonts w:ascii="Arial" w:hAnsi="Arial"/>
      <w:szCs w:val="20"/>
    </w:rPr>
  </w:style>
  <w:style w:type="paragraph" w:customStyle="1" w:styleId="RelTextoBlocado">
    <w:name w:val="Rel Texto Blocado"/>
    <w:rsid w:val="00CE42F3"/>
    <w:pPr>
      <w:spacing w:before="120" w:after="120" w:line="360" w:lineRule="exact"/>
      <w:jc w:val="both"/>
    </w:pPr>
    <w:rPr>
      <w:rFonts w:ascii="Arial" w:hAnsi="Arial"/>
      <w:sz w:val="24"/>
      <w:lang w:eastAsia="en-US"/>
    </w:rPr>
  </w:style>
  <w:style w:type="paragraph" w:customStyle="1" w:styleId="texto">
    <w:name w:val="texto"/>
    <w:basedOn w:val="Normal"/>
    <w:next w:val="Normal"/>
    <w:rsid w:val="00CE42F3"/>
    <w:pPr>
      <w:spacing w:line="260" w:lineRule="exact"/>
    </w:pPr>
    <w:rPr>
      <w:rFonts w:ascii="New York" w:hAnsi="New York"/>
      <w:sz w:val="20"/>
      <w:szCs w:val="20"/>
    </w:rPr>
  </w:style>
  <w:style w:type="paragraph" w:customStyle="1" w:styleId="Item1">
    <w:name w:val="Item 1"/>
    <w:basedOn w:val="Normal"/>
    <w:next w:val="Normal"/>
    <w:rsid w:val="00CE42F3"/>
    <w:pPr>
      <w:pBdr>
        <w:bottom w:val="single" w:sz="12" w:space="0" w:color="auto"/>
      </w:pBdr>
      <w:spacing w:after="227"/>
    </w:pPr>
    <w:rPr>
      <w:rFonts w:ascii="New York" w:hAnsi="New York"/>
      <w:color w:val="0000FF"/>
      <w:szCs w:val="20"/>
    </w:rPr>
  </w:style>
  <w:style w:type="paragraph" w:customStyle="1" w:styleId="xl24">
    <w:name w:val="xl24"/>
    <w:basedOn w:val="Normal"/>
    <w:rsid w:val="00CE42F3"/>
    <w:pPr>
      <w:spacing w:before="100" w:beforeAutospacing="1" w:after="100" w:afterAutospacing="1"/>
      <w:textAlignment w:val="center"/>
    </w:pPr>
    <w:rPr>
      <w:rFonts w:ascii="Arial" w:eastAsia="Arial Unicode MS" w:hAnsi="Arial" w:cs="Arial"/>
      <w:sz w:val="28"/>
      <w:szCs w:val="28"/>
    </w:rPr>
  </w:style>
  <w:style w:type="paragraph" w:customStyle="1" w:styleId="txt">
    <w:name w:val="txt"/>
    <w:basedOn w:val="Normal"/>
    <w:next w:val="Normal"/>
    <w:rsid w:val="00CE42F3"/>
    <w:pPr>
      <w:tabs>
        <w:tab w:val="right" w:pos="5640"/>
        <w:tab w:val="center" w:pos="10220"/>
      </w:tabs>
    </w:pPr>
    <w:rPr>
      <w:rFonts w:ascii="Fonte14770" w:hAnsi="Fonte14770"/>
      <w:sz w:val="22"/>
      <w:szCs w:val="20"/>
    </w:rPr>
  </w:style>
  <w:style w:type="paragraph" w:customStyle="1" w:styleId="TtuloGrfico">
    <w:name w:val="Título Gráfico"/>
    <w:basedOn w:val="Normal"/>
    <w:next w:val="Normal"/>
    <w:rsid w:val="00CE42F3"/>
    <w:rPr>
      <w:rFonts w:ascii="New York" w:hAnsi="New York"/>
      <w:color w:val="0000FF"/>
      <w:sz w:val="22"/>
      <w:szCs w:val="20"/>
    </w:rPr>
  </w:style>
  <w:style w:type="paragraph" w:customStyle="1" w:styleId="Item2">
    <w:name w:val="Item 2"/>
    <w:basedOn w:val="Normal"/>
    <w:next w:val="texto"/>
    <w:rsid w:val="00CE42F3"/>
    <w:rPr>
      <w:rFonts w:ascii="New York" w:hAnsi="New York"/>
      <w:color w:val="0000FF"/>
      <w:szCs w:val="20"/>
    </w:rPr>
  </w:style>
  <w:style w:type="paragraph" w:customStyle="1" w:styleId="item10">
    <w:name w:val="item1"/>
    <w:basedOn w:val="Normal"/>
    <w:rsid w:val="00CE42F3"/>
    <w:pPr>
      <w:pBdr>
        <w:bottom w:val="single" w:sz="12" w:space="0" w:color="auto"/>
      </w:pBdr>
      <w:spacing w:after="113"/>
    </w:pPr>
    <w:rPr>
      <w:rFonts w:ascii="New York" w:hAnsi="New York"/>
      <w:color w:val="0000FF"/>
      <w:sz w:val="26"/>
      <w:szCs w:val="20"/>
    </w:rPr>
  </w:style>
  <w:style w:type="paragraph" w:customStyle="1" w:styleId="TextoFio">
    <w:name w:val="Texto Fio"/>
    <w:basedOn w:val="Normal"/>
    <w:next w:val="Normal"/>
    <w:rsid w:val="00CE42F3"/>
    <w:pPr>
      <w:pBdr>
        <w:bottom w:val="single" w:sz="2" w:space="0" w:color="auto"/>
      </w:pBdr>
      <w:tabs>
        <w:tab w:val="right" w:pos="9721"/>
        <w:tab w:val="right" w:pos="10236"/>
        <w:tab w:val="right" w:pos="10800"/>
      </w:tabs>
      <w:spacing w:line="260" w:lineRule="exact"/>
    </w:pPr>
    <w:rPr>
      <w:rFonts w:ascii="New York" w:hAnsi="New York"/>
      <w:sz w:val="20"/>
      <w:szCs w:val="20"/>
    </w:rPr>
  </w:style>
  <w:style w:type="paragraph" w:customStyle="1" w:styleId="font5">
    <w:name w:val="font5"/>
    <w:basedOn w:val="Normal"/>
    <w:rsid w:val="00CE42F3"/>
    <w:pPr>
      <w:spacing w:before="100" w:beforeAutospacing="1" w:after="100" w:afterAutospacing="1"/>
    </w:pPr>
    <w:rPr>
      <w:rFonts w:ascii="Arial" w:eastAsia="Arial Unicode MS" w:hAnsi="Arial" w:cs="Arial"/>
      <w:sz w:val="16"/>
      <w:szCs w:val="16"/>
    </w:rPr>
  </w:style>
  <w:style w:type="paragraph" w:customStyle="1" w:styleId="titulorel">
    <w:name w:val="titulorel"/>
    <w:basedOn w:val="Normal"/>
    <w:rsid w:val="00CE42F3"/>
    <w:pPr>
      <w:spacing w:before="100" w:beforeAutospacing="1" w:after="100" w:afterAutospacing="1"/>
    </w:pPr>
    <w:rPr>
      <w:rFonts w:ascii="Arial Unicode MS" w:eastAsia="Arial Unicode MS" w:hAnsi="Arial Unicode MS" w:cs="Arial Unicode MS"/>
      <w:b/>
      <w:bCs/>
      <w:color w:val="000000"/>
    </w:rPr>
  </w:style>
  <w:style w:type="paragraph" w:customStyle="1" w:styleId="rodape">
    <w:name w:val="rodape"/>
    <w:basedOn w:val="Normal"/>
    <w:rsid w:val="00CE42F3"/>
    <w:pPr>
      <w:spacing w:before="100" w:beforeAutospacing="1" w:after="100" w:afterAutospacing="1"/>
    </w:pPr>
    <w:rPr>
      <w:rFonts w:ascii="Arial Unicode MS" w:eastAsia="Arial Unicode MS" w:hAnsi="Arial Unicode MS" w:cs="Arial Unicode MS"/>
      <w:color w:val="FFFFFF"/>
    </w:rPr>
  </w:style>
  <w:style w:type="paragraph" w:customStyle="1" w:styleId="texto1">
    <w:name w:val="texto1"/>
    <w:basedOn w:val="Normal"/>
    <w:rsid w:val="00CE42F3"/>
    <w:pPr>
      <w:spacing w:before="100" w:beforeAutospacing="1" w:after="100" w:afterAutospacing="1" w:line="281" w:lineRule="atLeast"/>
    </w:pPr>
    <w:rPr>
      <w:rFonts w:ascii="Verdana" w:eastAsia="Arial Unicode MS" w:hAnsi="Verdana" w:cs="Arial Unicode MS"/>
      <w:color w:val="666666"/>
      <w:sz w:val="19"/>
      <w:szCs w:val="19"/>
    </w:rPr>
  </w:style>
  <w:style w:type="paragraph" w:styleId="Subttulo">
    <w:name w:val="Subtitle"/>
    <w:basedOn w:val="Normal"/>
    <w:link w:val="SubttuloChar"/>
    <w:uiPriority w:val="11"/>
    <w:qFormat/>
    <w:rsid w:val="00CE42F3"/>
    <w:pPr>
      <w:jc w:val="both"/>
    </w:pPr>
    <w:rPr>
      <w:rFonts w:ascii="Aeolus" w:hAnsi="Aeolus"/>
      <w:b/>
      <w:sz w:val="32"/>
      <w:szCs w:val="20"/>
    </w:rPr>
  </w:style>
  <w:style w:type="character" w:customStyle="1" w:styleId="SubttuloChar">
    <w:name w:val="Subtítulo Char"/>
    <w:link w:val="Subttulo"/>
    <w:uiPriority w:val="11"/>
    <w:rsid w:val="00CE42F3"/>
    <w:rPr>
      <w:rFonts w:ascii="Aeolus" w:hAnsi="Aeolus"/>
      <w:b/>
      <w:sz w:val="32"/>
    </w:rPr>
  </w:style>
  <w:style w:type="paragraph" w:styleId="Textoembloco">
    <w:name w:val="Block Text"/>
    <w:basedOn w:val="Normal"/>
    <w:rsid w:val="00CE42F3"/>
    <w:pPr>
      <w:tabs>
        <w:tab w:val="left" w:pos="8788"/>
      </w:tabs>
      <w:autoSpaceDE w:val="0"/>
      <w:autoSpaceDN w:val="0"/>
      <w:adjustRightInd w:val="0"/>
      <w:spacing w:line="240" w:lineRule="atLeast"/>
      <w:ind w:left="1418" w:right="-1"/>
      <w:jc w:val="both"/>
    </w:pPr>
    <w:rPr>
      <w:sz w:val="22"/>
    </w:rPr>
  </w:style>
  <w:style w:type="paragraph" w:styleId="Commarcadores">
    <w:name w:val="List Bullet"/>
    <w:basedOn w:val="Normal"/>
    <w:autoRedefine/>
    <w:rsid w:val="00CE42F3"/>
    <w:pPr>
      <w:widowControl w:val="0"/>
      <w:ind w:firstLine="1134"/>
      <w:jc w:val="both"/>
    </w:pPr>
    <w:rPr>
      <w:snapToGrid w:val="0"/>
      <w:szCs w:val="20"/>
    </w:rPr>
  </w:style>
  <w:style w:type="character" w:customStyle="1" w:styleId="Hiperlink">
    <w:name w:val="Hiperlink"/>
    <w:rsid w:val="00CE42F3"/>
    <w:rPr>
      <w:color w:val="0000FF"/>
      <w:u w:val="single"/>
    </w:rPr>
  </w:style>
  <w:style w:type="character" w:customStyle="1" w:styleId="texto-cinza10-031">
    <w:name w:val="texto-cinza10-031"/>
    <w:rsid w:val="00CE42F3"/>
    <w:rPr>
      <w:rFonts w:ascii="Verdana" w:hAnsi="Verdana" w:hint="default"/>
      <w:color w:val="666666"/>
      <w:sz w:val="15"/>
      <w:szCs w:val="15"/>
    </w:rPr>
  </w:style>
  <w:style w:type="character" w:customStyle="1" w:styleId="texto-titulo1">
    <w:name w:val="texto-titulo1"/>
    <w:rsid w:val="00CE42F3"/>
    <w:rPr>
      <w:rFonts w:ascii="Verdana" w:hAnsi="Verdana" w:hint="default"/>
      <w:b/>
      <w:bCs/>
      <w:color w:val="666666"/>
      <w:sz w:val="14"/>
      <w:szCs w:val="14"/>
    </w:rPr>
  </w:style>
  <w:style w:type="paragraph" w:customStyle="1" w:styleId="j-quadradotexto">
    <w:name w:val="j-quadrado texto"/>
    <w:basedOn w:val="Normal"/>
    <w:rsid w:val="00CE42F3"/>
    <w:pPr>
      <w:numPr>
        <w:numId w:val="3"/>
      </w:numPr>
    </w:pPr>
  </w:style>
  <w:style w:type="paragraph" w:customStyle="1" w:styleId="RelTextoprojeto">
    <w:name w:val="Rel Texto projeto"/>
    <w:basedOn w:val="Corpodetexto"/>
    <w:rsid w:val="00CE42F3"/>
    <w:pPr>
      <w:spacing w:line="320" w:lineRule="exact"/>
    </w:pPr>
    <w:rPr>
      <w:rFonts w:ascii="Arial" w:hAnsi="Arial"/>
      <w:b w:val="0"/>
      <w:bCs w:val="0"/>
      <w:sz w:val="22"/>
      <w:lang w:eastAsia="pt-BR"/>
    </w:rPr>
  </w:style>
  <w:style w:type="paragraph" w:customStyle="1" w:styleId="R-Ttulodecaptulo">
    <w:name w:val="R-Título de capítulo"/>
    <w:basedOn w:val="Ttulo7"/>
    <w:rsid w:val="00CE42F3"/>
    <w:pPr>
      <w:keepNext/>
      <w:pBdr>
        <w:bottom w:val="single" w:sz="8" w:space="1" w:color="008080"/>
      </w:pBdr>
      <w:spacing w:before="0" w:after="0"/>
    </w:pPr>
    <w:rPr>
      <w:rFonts w:ascii="Arial" w:hAnsi="Arial"/>
      <w:b/>
      <w:color w:val="008080"/>
      <w:sz w:val="28"/>
      <w:szCs w:val="20"/>
      <w:lang w:val="pt-BR" w:eastAsia="pt-BR"/>
    </w:rPr>
  </w:style>
  <w:style w:type="paragraph" w:customStyle="1" w:styleId="R-Aes">
    <w:name w:val="R-Ações"/>
    <w:basedOn w:val="Ttulo6"/>
    <w:rsid w:val="00CE42F3"/>
    <w:pPr>
      <w:keepNext/>
      <w:pBdr>
        <w:bottom w:val="single" w:sz="8" w:space="1" w:color="000080"/>
      </w:pBdr>
      <w:spacing w:before="0" w:after="0"/>
    </w:pPr>
    <w:rPr>
      <w:rFonts w:ascii="Arial" w:hAnsi="Arial"/>
      <w:bCs w:val="0"/>
      <w:color w:val="000080"/>
      <w:sz w:val="26"/>
      <w:szCs w:val="20"/>
      <w:lang w:val="pt-BR" w:eastAsia="pt-BR"/>
    </w:rPr>
  </w:style>
  <w:style w:type="paragraph" w:customStyle="1" w:styleId="RelTtuloprojetoChar">
    <w:name w:val="Rel Título projeto Char"/>
    <w:basedOn w:val="Normal"/>
    <w:rsid w:val="00CE42F3"/>
    <w:rPr>
      <w:rFonts w:ascii="Arial" w:hAnsi="Arial"/>
      <w:b/>
      <w:sz w:val="22"/>
      <w:szCs w:val="20"/>
    </w:rPr>
  </w:style>
  <w:style w:type="paragraph" w:customStyle="1" w:styleId="RelTtuloprojeto">
    <w:name w:val="Rel Título projeto"/>
    <w:basedOn w:val="Normal"/>
    <w:rsid w:val="00CE42F3"/>
    <w:rPr>
      <w:rFonts w:ascii="Arial" w:hAnsi="Arial"/>
      <w:b/>
      <w:sz w:val="22"/>
      <w:szCs w:val="20"/>
    </w:rPr>
  </w:style>
  <w:style w:type="paragraph" w:customStyle="1" w:styleId="Tab-1">
    <w:name w:val="Tab-1"/>
    <w:basedOn w:val="Ttulo20"/>
    <w:rsid w:val="00CE42F3"/>
    <w:pPr>
      <w:spacing w:before="0" w:after="0"/>
    </w:pPr>
    <w:rPr>
      <w:rFonts w:ascii="Arial" w:hAnsi="Arial"/>
      <w:bCs w:val="0"/>
      <w:i w:val="0"/>
      <w:iCs w:val="0"/>
      <w:sz w:val="20"/>
      <w:szCs w:val="20"/>
      <w:lang w:val="pt-BR" w:eastAsia="pt-BR"/>
    </w:rPr>
  </w:style>
  <w:style w:type="character" w:customStyle="1" w:styleId="CaracteresdeNotadeRodap">
    <w:name w:val="Caracteres de Nota de Rodapé"/>
    <w:rsid w:val="00CE42F3"/>
  </w:style>
  <w:style w:type="paragraph" w:customStyle="1" w:styleId="Ttulodatabela">
    <w:name w:val="Título da tabela"/>
    <w:basedOn w:val="Normal"/>
    <w:rsid w:val="00CE42F3"/>
    <w:pPr>
      <w:suppressLineNumbers/>
      <w:suppressAutoHyphens/>
    </w:pPr>
    <w:rPr>
      <w:b/>
      <w:bCs/>
      <w:lang w:eastAsia="ar-SA"/>
    </w:rPr>
  </w:style>
  <w:style w:type="paragraph" w:customStyle="1" w:styleId="tem">
    <w:name w:val="Ítem"/>
    <w:basedOn w:val="Normal"/>
    <w:rsid w:val="00CE42F3"/>
    <w:pPr>
      <w:tabs>
        <w:tab w:val="left" w:pos="284"/>
        <w:tab w:val="num" w:pos="360"/>
      </w:tabs>
      <w:spacing w:after="240" w:line="320" w:lineRule="exact"/>
      <w:ind w:left="360" w:hanging="360"/>
    </w:pPr>
    <w:rPr>
      <w:rFonts w:ascii="Verdana" w:eastAsia="Times" w:hAnsi="Verdana"/>
      <w:sz w:val="22"/>
      <w:szCs w:val="20"/>
    </w:rPr>
  </w:style>
  <w:style w:type="paragraph" w:customStyle="1" w:styleId="Textodetabela">
    <w:name w:val="Texto de tabela"/>
    <w:basedOn w:val="Normal"/>
    <w:rsid w:val="00CE42F3"/>
    <w:rPr>
      <w:rFonts w:ascii="Verdana" w:hAnsi="Verdana"/>
      <w:sz w:val="16"/>
      <w:szCs w:val="20"/>
    </w:rPr>
  </w:style>
  <w:style w:type="paragraph" w:customStyle="1" w:styleId="CM19">
    <w:name w:val="CM19"/>
    <w:basedOn w:val="Normal"/>
    <w:next w:val="Normal"/>
    <w:rsid w:val="00CE42F3"/>
    <w:pPr>
      <w:autoSpaceDE w:val="0"/>
      <w:autoSpaceDN w:val="0"/>
      <w:adjustRightInd w:val="0"/>
      <w:spacing w:after="343"/>
    </w:pPr>
  </w:style>
  <w:style w:type="paragraph" w:customStyle="1" w:styleId="incisoepargrafo">
    <w:name w:val="inciso e parágrafo"/>
    <w:basedOn w:val="Normal"/>
    <w:rsid w:val="00CE42F3"/>
    <w:pPr>
      <w:spacing w:after="120" w:line="300" w:lineRule="exact"/>
      <w:ind w:firstLine="1418"/>
      <w:jc w:val="both"/>
    </w:pPr>
    <w:rPr>
      <w:rFonts w:ascii="Arial" w:hAnsi="Arial"/>
      <w:szCs w:val="20"/>
    </w:rPr>
  </w:style>
  <w:style w:type="character" w:customStyle="1" w:styleId="bodyouter">
    <w:name w:val="body_outer"/>
    <w:basedOn w:val="Fontepargpadro"/>
    <w:rsid w:val="00CE42F3"/>
  </w:style>
  <w:style w:type="paragraph" w:customStyle="1" w:styleId="ttulo2">
    <w:name w:val="título 2"/>
    <w:basedOn w:val="Normal"/>
    <w:rsid w:val="00CE42F3"/>
    <w:pPr>
      <w:numPr>
        <w:numId w:val="4"/>
      </w:numPr>
    </w:pPr>
  </w:style>
  <w:style w:type="paragraph" w:customStyle="1" w:styleId="Titulo3">
    <w:name w:val="Titulo 3"/>
    <w:basedOn w:val="Ttulo20"/>
    <w:rsid w:val="00CE42F3"/>
    <w:pPr>
      <w:spacing w:before="0" w:after="120"/>
      <w:jc w:val="both"/>
    </w:pPr>
    <w:rPr>
      <w:rFonts w:ascii="Arial" w:hAnsi="Arial" w:cs="Arial"/>
      <w:b w:val="0"/>
      <w:bCs w:val="0"/>
      <w:i w:val="0"/>
      <w:iCs w:val="0"/>
      <w:sz w:val="24"/>
      <w:szCs w:val="20"/>
      <w:u w:val="single"/>
      <w:lang w:val="pt-BR" w:eastAsia="pt-BR"/>
    </w:rPr>
  </w:style>
  <w:style w:type="paragraph" w:customStyle="1" w:styleId="item">
    <w:name w:val="item"/>
    <w:basedOn w:val="Subttulo"/>
    <w:rsid w:val="00CE42F3"/>
    <w:pPr>
      <w:numPr>
        <w:numId w:val="5"/>
      </w:numPr>
      <w:spacing w:after="60"/>
      <w:ind w:left="1826" w:hanging="357"/>
    </w:pPr>
    <w:rPr>
      <w:rFonts w:ascii="Arial" w:hAnsi="Arial" w:cs="Arial"/>
      <w:b w:val="0"/>
      <w:sz w:val="24"/>
      <w:szCs w:val="24"/>
    </w:rPr>
  </w:style>
  <w:style w:type="paragraph" w:customStyle="1" w:styleId="Norma">
    <w:name w:val="Norma"/>
    <w:rsid w:val="00CE42F3"/>
    <w:pPr>
      <w:widowControl w:val="0"/>
      <w:autoSpaceDE w:val="0"/>
      <w:autoSpaceDN w:val="0"/>
      <w:adjustRightInd w:val="0"/>
      <w:spacing w:before="360"/>
      <w:jc w:val="center"/>
    </w:pPr>
    <w:rPr>
      <w:rFonts w:ascii="Arial" w:hAnsi="Arial"/>
      <w:b/>
      <w:bCs/>
      <w:sz w:val="24"/>
      <w:szCs w:val="24"/>
    </w:rPr>
  </w:style>
  <w:style w:type="paragraph" w:styleId="TextosemFormatao">
    <w:name w:val="Plain Text"/>
    <w:basedOn w:val="Normal"/>
    <w:link w:val="TextosemFormataoChar"/>
    <w:uiPriority w:val="99"/>
    <w:rsid w:val="00CE42F3"/>
    <w:rPr>
      <w:rFonts w:ascii="Courier New" w:hAnsi="Courier New"/>
      <w:sz w:val="20"/>
      <w:szCs w:val="20"/>
    </w:rPr>
  </w:style>
  <w:style w:type="character" w:customStyle="1" w:styleId="TextosemFormataoChar">
    <w:name w:val="Texto sem Formatação Char"/>
    <w:link w:val="TextosemFormatao"/>
    <w:uiPriority w:val="99"/>
    <w:rsid w:val="00CE42F3"/>
    <w:rPr>
      <w:rFonts w:ascii="Courier New" w:hAnsi="Courier New" w:cs="Courier New"/>
    </w:rPr>
  </w:style>
  <w:style w:type="paragraph" w:customStyle="1" w:styleId="western">
    <w:name w:val="western"/>
    <w:basedOn w:val="Normal"/>
    <w:rsid w:val="00CE42F3"/>
    <w:pPr>
      <w:spacing w:before="100" w:beforeAutospacing="1" w:after="119"/>
    </w:pPr>
    <w:rPr>
      <w:rFonts w:ascii="Arial Unicode MS" w:eastAsia="Arial Unicode MS" w:hAnsi="Arial Unicode MS" w:cs="Arial Unicode MS"/>
    </w:rPr>
  </w:style>
  <w:style w:type="character" w:styleId="MquinadeescreverHTML">
    <w:name w:val="HTML Typewriter"/>
    <w:rsid w:val="00CE42F3"/>
    <w:rPr>
      <w:rFonts w:ascii="Courier New" w:eastAsia="Times New Roman" w:hAnsi="Courier New" w:cs="Courier New"/>
      <w:sz w:val="20"/>
      <w:szCs w:val="20"/>
    </w:rPr>
  </w:style>
  <w:style w:type="paragraph" w:customStyle="1" w:styleId="artigo">
    <w:name w:val="artigo"/>
    <w:rsid w:val="00CE42F3"/>
    <w:pPr>
      <w:widowControl w:val="0"/>
      <w:autoSpaceDE w:val="0"/>
      <w:autoSpaceDN w:val="0"/>
      <w:adjustRightInd w:val="0"/>
      <w:spacing w:before="72"/>
      <w:jc w:val="center"/>
    </w:pPr>
    <w:rPr>
      <w:rFonts w:ascii="Arial" w:hAnsi="Arial"/>
      <w:szCs w:val="24"/>
    </w:rPr>
  </w:style>
  <w:style w:type="paragraph" w:customStyle="1" w:styleId="PargrafodaLista1">
    <w:name w:val="Parágrafo da Lista1"/>
    <w:basedOn w:val="Normal"/>
    <w:qFormat/>
    <w:rsid w:val="00CE42F3"/>
    <w:pPr>
      <w:ind w:left="720"/>
    </w:pPr>
  </w:style>
  <w:style w:type="character" w:customStyle="1" w:styleId="longtext1">
    <w:name w:val="long_text1"/>
    <w:rsid w:val="00CE42F3"/>
    <w:rPr>
      <w:sz w:val="20"/>
      <w:szCs w:val="20"/>
    </w:rPr>
  </w:style>
  <w:style w:type="character" w:customStyle="1" w:styleId="CharChar">
    <w:name w:val="Char Char"/>
    <w:rsid w:val="00CE42F3"/>
    <w:rPr>
      <w:rFonts w:ascii="Arial" w:hAnsi="Arial"/>
      <w:sz w:val="28"/>
      <w:szCs w:val="24"/>
      <w:lang w:val="pt-BR" w:eastAsia="pt-BR" w:bidi="ar-SA"/>
    </w:rPr>
  </w:style>
  <w:style w:type="character" w:styleId="Refdenotaderodap">
    <w:name w:val="footnote reference"/>
    <w:rsid w:val="00CE42F3"/>
    <w:rPr>
      <w:vertAlign w:val="superscript"/>
    </w:rPr>
  </w:style>
  <w:style w:type="paragraph" w:customStyle="1" w:styleId="titulo">
    <w:name w:val="titulo"/>
    <w:basedOn w:val="Normal"/>
    <w:rsid w:val="00CE42F3"/>
    <w:pPr>
      <w:spacing w:before="100" w:beforeAutospacing="1" w:after="100" w:afterAutospacing="1"/>
    </w:pPr>
    <w:rPr>
      <w:rFonts w:ascii="Arial Unicode MS" w:eastAsia="Arial Unicode MS" w:hAnsi="Arial Unicode MS" w:cs="Arial Unicode MS"/>
    </w:rPr>
  </w:style>
  <w:style w:type="paragraph" w:styleId="Textodenotaderodap">
    <w:name w:val="footnote text"/>
    <w:basedOn w:val="Normal"/>
    <w:link w:val="TextodenotaderodapChar"/>
    <w:rsid w:val="00CE42F3"/>
    <w:rPr>
      <w:sz w:val="20"/>
      <w:szCs w:val="20"/>
    </w:rPr>
  </w:style>
  <w:style w:type="character" w:styleId="nfase">
    <w:name w:val="Emphasis"/>
    <w:uiPriority w:val="20"/>
    <w:qFormat/>
    <w:rsid w:val="00CE42F3"/>
    <w:rPr>
      <w:i/>
      <w:iCs/>
    </w:rPr>
  </w:style>
  <w:style w:type="paragraph" w:styleId="Pr-formataoHTML">
    <w:name w:val="HTML Preformatted"/>
    <w:basedOn w:val="Normal"/>
    <w:link w:val="Pr-formataoHTMLChar"/>
    <w:rsid w:val="00CE4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olor w:val="000000"/>
      <w:sz w:val="20"/>
      <w:szCs w:val="20"/>
    </w:rPr>
  </w:style>
  <w:style w:type="paragraph" w:customStyle="1" w:styleId="xl28">
    <w:name w:val="xl28"/>
    <w:basedOn w:val="Normal"/>
    <w:rsid w:val="00CE42F3"/>
    <w:pPr>
      <w:spacing w:before="100" w:beforeAutospacing="1" w:after="100" w:afterAutospacing="1"/>
    </w:pPr>
    <w:rPr>
      <w:rFonts w:ascii="Arial" w:eastAsia="Arial Unicode MS" w:hAnsi="Arial" w:cs="Arial"/>
    </w:rPr>
  </w:style>
  <w:style w:type="character" w:customStyle="1" w:styleId="f1">
    <w:name w:val="f1"/>
    <w:rsid w:val="00CE42F3"/>
    <w:rPr>
      <w:rFonts w:ascii="Verdana" w:hAnsi="Verdana" w:hint="default"/>
      <w:i/>
      <w:iCs/>
      <w:strike w:val="0"/>
      <w:dstrike w:val="0"/>
      <w:color w:val="8E8E8E"/>
      <w:sz w:val="16"/>
      <w:szCs w:val="16"/>
      <w:u w:val="none"/>
      <w:effect w:val="none"/>
    </w:rPr>
  </w:style>
  <w:style w:type="paragraph" w:styleId="Lista2">
    <w:name w:val="List 2"/>
    <w:basedOn w:val="Normal"/>
    <w:rsid w:val="00CE42F3"/>
    <w:pPr>
      <w:ind w:left="566" w:hanging="283"/>
    </w:pPr>
  </w:style>
  <w:style w:type="paragraph" w:customStyle="1" w:styleId="EstiloRecuodecorpodetexto2ArialPrimeiralinha125cm">
    <w:name w:val="Estilo Recuo de corpo de texto 2 + Arial Primeira linha:  125 cm ..."/>
    <w:basedOn w:val="Recuodecorpodetexto2"/>
    <w:autoRedefine/>
    <w:rsid w:val="00CE42F3"/>
    <w:pPr>
      <w:tabs>
        <w:tab w:val="left" w:pos="284"/>
      </w:tabs>
      <w:spacing w:before="120" w:after="120" w:line="360" w:lineRule="auto"/>
      <w:ind w:left="0" w:firstLine="426"/>
    </w:pPr>
    <w:rPr>
      <w:rFonts w:ascii="Arial" w:hAnsi="Arial"/>
      <w:lang w:val="pt-BR" w:eastAsia="pt-BR"/>
    </w:rPr>
  </w:style>
  <w:style w:type="character" w:customStyle="1" w:styleId="texto-p1">
    <w:name w:val="texto-p1"/>
    <w:rsid w:val="00CE42F3"/>
    <w:rPr>
      <w:rFonts w:ascii="Verdana" w:hAnsi="Verdana" w:cs="Verdana"/>
      <w:color w:val="000000"/>
      <w:sz w:val="22"/>
      <w:szCs w:val="22"/>
      <w:u w:val="none"/>
      <w:effect w:val="none"/>
    </w:rPr>
  </w:style>
  <w:style w:type="paragraph" w:styleId="SemEspaamento">
    <w:name w:val="No Spacing"/>
    <w:link w:val="SemEspaamentoChar"/>
    <w:uiPriority w:val="1"/>
    <w:qFormat/>
    <w:rsid w:val="00CE42F3"/>
    <w:pPr>
      <w:jc w:val="center"/>
    </w:pPr>
    <w:rPr>
      <w:rFonts w:ascii="Calibri" w:eastAsia="Calibri" w:hAnsi="Calibri"/>
      <w:sz w:val="22"/>
      <w:szCs w:val="22"/>
      <w:lang w:eastAsia="en-US"/>
    </w:rPr>
  </w:style>
  <w:style w:type="character" w:customStyle="1" w:styleId="SemEspaamentoChar">
    <w:name w:val="Sem Espaçamento Char"/>
    <w:link w:val="SemEspaamento"/>
    <w:uiPriority w:val="1"/>
    <w:locked/>
    <w:rsid w:val="00CE42F3"/>
    <w:rPr>
      <w:rFonts w:ascii="Calibri" w:eastAsia="Calibri" w:hAnsi="Calibri"/>
      <w:sz w:val="22"/>
      <w:szCs w:val="22"/>
      <w:lang w:val="pt-BR" w:eastAsia="en-US" w:bidi="ar-SA"/>
    </w:rPr>
  </w:style>
  <w:style w:type="character" w:customStyle="1" w:styleId="manchete1">
    <w:name w:val="manchete1"/>
    <w:rsid w:val="00CE42F3"/>
    <w:rPr>
      <w:rFonts w:ascii="Trebuchet MS" w:hAnsi="Trebuchet MS" w:hint="default"/>
      <w:b/>
      <w:bCs/>
      <w:color w:val="2A328A"/>
      <w:sz w:val="33"/>
      <w:szCs w:val="33"/>
    </w:rPr>
  </w:style>
  <w:style w:type="character" w:customStyle="1" w:styleId="espaco">
    <w:name w:val="espaco"/>
    <w:basedOn w:val="Fontepargpadro"/>
    <w:rsid w:val="00CE42F3"/>
  </w:style>
  <w:style w:type="character" w:customStyle="1" w:styleId="titulodestaqueinterna">
    <w:name w:val="titulodestaqueinterna"/>
    <w:basedOn w:val="Fontepargpadro"/>
    <w:rsid w:val="00CE42F3"/>
  </w:style>
  <w:style w:type="paragraph" w:customStyle="1" w:styleId="Default">
    <w:name w:val="Default"/>
    <w:rsid w:val="00CE42F3"/>
    <w:pPr>
      <w:widowControl w:val="0"/>
      <w:autoSpaceDE w:val="0"/>
      <w:autoSpaceDN w:val="0"/>
      <w:adjustRightInd w:val="0"/>
      <w:jc w:val="center"/>
    </w:pPr>
    <w:rPr>
      <w:rFonts w:ascii="Nimbus Roman No9 L" w:hAnsi="Nimbus Roman No9 L"/>
      <w:sz w:val="24"/>
      <w:szCs w:val="24"/>
    </w:rPr>
  </w:style>
  <w:style w:type="paragraph" w:customStyle="1" w:styleId="Heading2">
    <w:name w:val="Heading 2"/>
    <w:basedOn w:val="Default"/>
    <w:next w:val="Default"/>
    <w:rsid w:val="00CE42F3"/>
    <w:pPr>
      <w:widowControl/>
    </w:pPr>
    <w:rPr>
      <w:rFonts w:ascii="Times New Roman" w:hAnsi="Times New Roman"/>
    </w:rPr>
  </w:style>
  <w:style w:type="character" w:customStyle="1" w:styleId="capitular1">
    <w:name w:val="capitular1"/>
    <w:rsid w:val="00CE42F3"/>
    <w:rPr>
      <w:rFonts w:ascii="Verdana" w:hAnsi="Verdana" w:hint="default"/>
      <w:b/>
      <w:bCs/>
      <w:color w:val="003399"/>
      <w:sz w:val="23"/>
      <w:szCs w:val="23"/>
    </w:rPr>
  </w:style>
  <w:style w:type="character" w:customStyle="1" w:styleId="linklaranja1">
    <w:name w:val="linklaranja1"/>
    <w:rsid w:val="00CE42F3"/>
    <w:rPr>
      <w:rFonts w:ascii="Verdana" w:hAnsi="Verdana" w:hint="default"/>
      <w:b/>
      <w:bCs/>
      <w:color w:val="FF6600"/>
      <w:sz w:val="15"/>
      <w:szCs w:val="15"/>
    </w:rPr>
  </w:style>
  <w:style w:type="character" w:customStyle="1" w:styleId="texto21">
    <w:name w:val="texto21"/>
    <w:rsid w:val="00CE42F3"/>
    <w:rPr>
      <w:rFonts w:ascii="Verdana" w:hAnsi="Verdana" w:hint="default"/>
      <w:color w:val="333333"/>
      <w:sz w:val="18"/>
      <w:szCs w:val="18"/>
    </w:rPr>
  </w:style>
  <w:style w:type="character" w:customStyle="1" w:styleId="tabela-titulo1">
    <w:name w:val="tabela-titulo1"/>
    <w:rsid w:val="00CE42F3"/>
    <w:rPr>
      <w:rFonts w:ascii="Verdana" w:hAnsi="Verdana" w:hint="default"/>
      <w:b/>
      <w:bCs/>
      <w:color w:val="333333"/>
      <w:sz w:val="17"/>
      <w:szCs w:val="17"/>
      <w:bdr w:val="none" w:sz="0" w:space="0" w:color="auto" w:frame="1"/>
      <w:shd w:val="clear" w:color="auto" w:fill="E2EBEE"/>
    </w:rPr>
  </w:style>
  <w:style w:type="character" w:customStyle="1" w:styleId="titulodestaqueinterna1">
    <w:name w:val="titulodestaqueinterna1"/>
    <w:rsid w:val="00CE42F3"/>
    <w:rPr>
      <w:rFonts w:ascii="Verdana" w:hAnsi="Verdana" w:hint="default"/>
      <w:b/>
      <w:bCs/>
      <w:color w:val="333333"/>
      <w:sz w:val="20"/>
      <w:szCs w:val="20"/>
    </w:rPr>
  </w:style>
  <w:style w:type="character" w:customStyle="1" w:styleId="subtitulo11">
    <w:name w:val="subtitulo11"/>
    <w:rsid w:val="00CE42F3"/>
    <w:rPr>
      <w:rFonts w:ascii="Verdana" w:hAnsi="Verdana" w:hint="default"/>
      <w:color w:val="333333"/>
      <w:sz w:val="18"/>
      <w:szCs w:val="18"/>
    </w:rPr>
  </w:style>
  <w:style w:type="paragraph" w:customStyle="1" w:styleId="assinatura">
    <w:name w:val="assinatura"/>
    <w:basedOn w:val="Normal"/>
    <w:rsid w:val="00CE42F3"/>
    <w:pPr>
      <w:spacing w:before="100" w:beforeAutospacing="1" w:after="100" w:afterAutospacing="1"/>
    </w:pPr>
    <w:rPr>
      <w:rFonts w:ascii="Verdana" w:hAnsi="Verdana"/>
      <w:b/>
      <w:bCs/>
      <w:i/>
      <w:iCs/>
      <w:color w:val="333333"/>
      <w:sz w:val="18"/>
      <w:szCs w:val="18"/>
    </w:rPr>
  </w:style>
  <w:style w:type="paragraph" w:customStyle="1" w:styleId="ttpag">
    <w:name w:val="ttpag"/>
    <w:basedOn w:val="Normal"/>
    <w:rsid w:val="00CE42F3"/>
    <w:pPr>
      <w:shd w:val="clear" w:color="auto" w:fill="FFFFFF"/>
      <w:spacing w:line="240" w:lineRule="atLeast"/>
    </w:pPr>
    <w:rPr>
      <w:rFonts w:ascii="Arial" w:hAnsi="Arial" w:cs="Arial"/>
      <w:b/>
      <w:bCs/>
      <w:color w:val="C86D74"/>
      <w:sz w:val="27"/>
      <w:szCs w:val="27"/>
    </w:rPr>
  </w:style>
  <w:style w:type="paragraph" w:customStyle="1" w:styleId="NormalWeb4">
    <w:name w:val="Normal (Web)4"/>
    <w:basedOn w:val="Normal"/>
    <w:rsid w:val="00CE42F3"/>
  </w:style>
  <w:style w:type="character" w:customStyle="1" w:styleId="Forte1">
    <w:name w:val="Forte1"/>
    <w:rsid w:val="00CE42F3"/>
    <w:rPr>
      <w:b/>
      <w:bCs/>
      <w:color w:val="000000"/>
    </w:rPr>
  </w:style>
  <w:style w:type="character" w:customStyle="1" w:styleId="normal2">
    <w:name w:val="normal2"/>
    <w:rsid w:val="00CE42F3"/>
    <w:rPr>
      <w:rFonts w:ascii="Trebuchet MS" w:hAnsi="Trebuchet MS" w:cs="Tahoma" w:hint="default"/>
      <w:b w:val="0"/>
      <w:bCs w:val="0"/>
      <w:sz w:val="18"/>
      <w:szCs w:val="18"/>
    </w:rPr>
  </w:style>
  <w:style w:type="paragraph" w:customStyle="1" w:styleId="TGC10C">
    <w:name w:val="TG C10 C"/>
    <w:basedOn w:val="Cabealho"/>
    <w:rsid w:val="00CE42F3"/>
    <w:pPr>
      <w:tabs>
        <w:tab w:val="clear" w:pos="4419"/>
        <w:tab w:val="clear" w:pos="8838"/>
      </w:tabs>
      <w:spacing w:before="40" w:after="40" w:line="360" w:lineRule="auto"/>
    </w:pPr>
    <w:rPr>
      <w:rFonts w:ascii="Gatineau" w:hAnsi="Gatineau"/>
      <w:sz w:val="20"/>
      <w:szCs w:val="20"/>
    </w:rPr>
  </w:style>
  <w:style w:type="paragraph" w:customStyle="1" w:styleId="TC09L">
    <w:name w:val="TC 09 L"/>
    <w:basedOn w:val="Normal"/>
    <w:rsid w:val="00CE42F3"/>
    <w:pPr>
      <w:spacing w:before="20" w:after="40" w:line="360" w:lineRule="auto"/>
    </w:pPr>
    <w:rPr>
      <w:rFonts w:ascii="Gatineau" w:hAnsi="Gatineau"/>
      <w:sz w:val="18"/>
      <w:szCs w:val="20"/>
    </w:rPr>
  </w:style>
  <w:style w:type="paragraph" w:customStyle="1" w:styleId="TC09C">
    <w:name w:val="TC 09 C"/>
    <w:basedOn w:val="Normal"/>
    <w:rsid w:val="00CE42F3"/>
    <w:pPr>
      <w:spacing w:before="20" w:after="20" w:line="360" w:lineRule="auto"/>
    </w:pPr>
    <w:rPr>
      <w:rFonts w:ascii="Gatineau" w:hAnsi="Gatineau"/>
      <w:sz w:val="18"/>
      <w:szCs w:val="20"/>
    </w:rPr>
  </w:style>
  <w:style w:type="paragraph" w:customStyle="1" w:styleId="SUB3">
    <w:name w:val="SUB3"/>
    <w:basedOn w:val="Normal"/>
    <w:rsid w:val="00CE42F3"/>
    <w:pPr>
      <w:spacing w:before="300" w:after="160" w:line="360" w:lineRule="auto"/>
    </w:pPr>
    <w:rPr>
      <w:rFonts w:ascii="Futura Md BT" w:hAnsi="Futura Md BT"/>
      <w:sz w:val="22"/>
      <w:szCs w:val="20"/>
    </w:rPr>
  </w:style>
  <w:style w:type="paragraph" w:styleId="PargrafodaLista">
    <w:name w:val="List Paragraph"/>
    <w:basedOn w:val="Normal"/>
    <w:link w:val="PargrafodaListaChar"/>
    <w:uiPriority w:val="34"/>
    <w:qFormat/>
    <w:rsid w:val="00CE42F3"/>
    <w:pPr>
      <w:ind w:left="720"/>
      <w:contextualSpacing/>
      <w:jc w:val="both"/>
    </w:pPr>
    <w:rPr>
      <w:rFonts w:ascii="Calibri" w:eastAsia="Calibri" w:hAnsi="Calibri"/>
      <w:sz w:val="22"/>
      <w:szCs w:val="22"/>
      <w:lang w:eastAsia="en-US"/>
    </w:rPr>
  </w:style>
  <w:style w:type="paragraph" w:customStyle="1" w:styleId="H4">
    <w:name w:val="H4"/>
    <w:basedOn w:val="Normal"/>
    <w:next w:val="Normal"/>
    <w:rsid w:val="00CE42F3"/>
    <w:pPr>
      <w:keepNext/>
      <w:spacing w:before="100" w:after="100"/>
      <w:ind w:firstLine="709"/>
      <w:jc w:val="both"/>
      <w:outlineLvl w:val="4"/>
    </w:pPr>
    <w:rPr>
      <w:b/>
      <w:snapToGrid w:val="0"/>
      <w:szCs w:val="20"/>
    </w:rPr>
  </w:style>
  <w:style w:type="paragraph" w:customStyle="1" w:styleId="Corpodetexto210">
    <w:name w:val="Corpo de texto 21"/>
    <w:basedOn w:val="Normal"/>
    <w:rsid w:val="00CE42F3"/>
    <w:pPr>
      <w:suppressAutoHyphens/>
      <w:autoSpaceDE w:val="0"/>
      <w:spacing w:line="360" w:lineRule="auto"/>
      <w:jc w:val="both"/>
    </w:pPr>
    <w:rPr>
      <w:rFonts w:ascii="Arial" w:hAnsi="Arial" w:cs="Arial"/>
      <w:color w:val="333333"/>
      <w:szCs w:val="18"/>
      <w:lang w:eastAsia="ar-SA"/>
    </w:rPr>
  </w:style>
  <w:style w:type="paragraph" w:customStyle="1" w:styleId="Recuodecorpodetexto31">
    <w:name w:val="Recuo de corpo de texto 31"/>
    <w:basedOn w:val="Normal"/>
    <w:rsid w:val="00CE42F3"/>
    <w:pPr>
      <w:suppressAutoHyphens/>
      <w:autoSpaceDE w:val="0"/>
      <w:spacing w:line="360" w:lineRule="auto"/>
      <w:ind w:firstLine="993"/>
      <w:jc w:val="both"/>
    </w:pPr>
    <w:rPr>
      <w:rFonts w:ascii="Arial" w:hAnsi="Arial" w:cs="Arial"/>
      <w:color w:val="000000"/>
      <w:szCs w:val="20"/>
      <w:lang w:eastAsia="ar-SA"/>
    </w:rPr>
  </w:style>
  <w:style w:type="character" w:customStyle="1" w:styleId="apple-style-span">
    <w:name w:val="apple-style-span"/>
    <w:basedOn w:val="Fontepargpadro"/>
    <w:rsid w:val="00CE42F3"/>
  </w:style>
  <w:style w:type="paragraph" w:styleId="Numerada">
    <w:name w:val="List Number"/>
    <w:aliases w:val="Esquerda:  0,63 cm,Deslocamento:  0"/>
    <w:basedOn w:val="Normal"/>
    <w:rsid w:val="00CE42F3"/>
    <w:pPr>
      <w:numPr>
        <w:numId w:val="6"/>
      </w:numPr>
    </w:pPr>
    <w:rPr>
      <w:rFonts w:ascii="Trebuchet MS" w:hAnsi="Trebuchet MS"/>
      <w:sz w:val="22"/>
      <w:szCs w:val="22"/>
    </w:rPr>
  </w:style>
  <w:style w:type="paragraph" w:customStyle="1" w:styleId="PARGRAFO">
    <w:name w:val="PARÁGRAFO"/>
    <w:basedOn w:val="Normal"/>
    <w:autoRedefine/>
    <w:rsid w:val="00CE42F3"/>
    <w:pPr>
      <w:ind w:firstLine="1134"/>
      <w:jc w:val="both"/>
    </w:pPr>
    <w:rPr>
      <w:lang w:val="pt-PT"/>
    </w:rPr>
  </w:style>
  <w:style w:type="paragraph" w:customStyle="1" w:styleId="Dil1">
    <w:name w:val="Dil1"/>
    <w:basedOn w:val="Ttulo3"/>
    <w:rsid w:val="00CE42F3"/>
    <w:pPr>
      <w:numPr>
        <w:ilvl w:val="2"/>
        <w:numId w:val="7"/>
      </w:numPr>
      <w:spacing w:after="240"/>
    </w:pPr>
    <w:rPr>
      <w:rFonts w:ascii="Verdana" w:hAnsi="Verdana" w:cs="Arial"/>
      <w:sz w:val="28"/>
      <w:szCs w:val="28"/>
      <w:lang w:val="pt-BR" w:eastAsia="pt-BR"/>
    </w:rPr>
  </w:style>
  <w:style w:type="paragraph" w:customStyle="1" w:styleId="Manchete">
    <w:name w:val="Manchete"/>
    <w:basedOn w:val="Normal"/>
    <w:autoRedefine/>
    <w:rsid w:val="00CE42F3"/>
    <w:pPr>
      <w:tabs>
        <w:tab w:val="left" w:pos="0"/>
        <w:tab w:val="left" w:pos="3588"/>
      </w:tabs>
      <w:ind w:firstLine="1080"/>
      <w:jc w:val="both"/>
    </w:pPr>
    <w:rPr>
      <w:b/>
      <w:bCs/>
    </w:rPr>
  </w:style>
  <w:style w:type="character" w:customStyle="1" w:styleId="MMTopic3Char">
    <w:name w:val="MM Topic 3 Char"/>
    <w:rsid w:val="00CE42F3"/>
    <w:rPr>
      <w:rFonts w:ascii="Times" w:hAnsi="Times"/>
      <w:b/>
      <w:bCs/>
      <w:sz w:val="26"/>
      <w:szCs w:val="26"/>
      <w:lang w:val="en-US" w:eastAsia="en-US" w:bidi="ar-SA"/>
    </w:rPr>
  </w:style>
  <w:style w:type="character" w:customStyle="1" w:styleId="MMTopic4Char">
    <w:name w:val="MM Topic 4 Char"/>
    <w:rsid w:val="00CE42F3"/>
    <w:rPr>
      <w:b/>
      <w:bCs/>
      <w:sz w:val="28"/>
      <w:szCs w:val="28"/>
      <w:lang w:val="en-US" w:eastAsia="en-US" w:bidi="ar-SA"/>
    </w:rPr>
  </w:style>
  <w:style w:type="character" w:customStyle="1" w:styleId="MMTopic5Char">
    <w:name w:val="MM Topic 5 Char"/>
    <w:rsid w:val="00CE42F3"/>
    <w:rPr>
      <w:rFonts w:ascii="Times" w:hAnsi="Times"/>
      <w:b/>
      <w:bCs/>
      <w:i/>
      <w:iCs/>
      <w:sz w:val="26"/>
      <w:szCs w:val="26"/>
      <w:lang w:val="en-US" w:eastAsia="en-US" w:bidi="ar-SA"/>
    </w:rPr>
  </w:style>
  <w:style w:type="character" w:customStyle="1" w:styleId="MMTopic6Char">
    <w:name w:val="MM Topic 6 Char"/>
    <w:rsid w:val="00CE42F3"/>
    <w:rPr>
      <w:rFonts w:ascii="Cambria" w:hAnsi="Cambria"/>
      <w:i/>
      <w:iCs/>
      <w:color w:val="243F60"/>
      <w:sz w:val="22"/>
      <w:szCs w:val="22"/>
      <w:lang w:val="pt-BR" w:eastAsia="en-US" w:bidi="ar-SA"/>
    </w:rPr>
  </w:style>
  <w:style w:type="paragraph" w:customStyle="1" w:styleId="ecxmsonormal">
    <w:name w:val="ecxmsonormal"/>
    <w:basedOn w:val="Normal"/>
    <w:rsid w:val="00CE42F3"/>
    <w:pPr>
      <w:spacing w:after="324"/>
    </w:pPr>
  </w:style>
  <w:style w:type="paragraph" w:customStyle="1" w:styleId="Paragrafo">
    <w:name w:val="Paragrafo"/>
    <w:basedOn w:val="Normal"/>
    <w:rsid w:val="00CE42F3"/>
    <w:pPr>
      <w:spacing w:after="360" w:line="360" w:lineRule="auto"/>
      <w:ind w:firstLine="709"/>
      <w:jc w:val="both"/>
    </w:pPr>
    <w:rPr>
      <w:rFonts w:ascii="Arial" w:hAnsi="Arial"/>
      <w:szCs w:val="20"/>
    </w:rPr>
  </w:style>
  <w:style w:type="character" w:customStyle="1" w:styleId="ParagrafoChar">
    <w:name w:val="Paragrafo Char"/>
    <w:locked/>
    <w:rsid w:val="00CE42F3"/>
    <w:rPr>
      <w:rFonts w:ascii="Arial" w:hAnsi="Arial"/>
      <w:sz w:val="24"/>
      <w:lang w:val="pt-BR" w:eastAsia="pt-BR" w:bidi="ar-SA"/>
    </w:rPr>
  </w:style>
  <w:style w:type="paragraph" w:customStyle="1" w:styleId="Quadro">
    <w:name w:val="Quadro"/>
    <w:basedOn w:val="Normal"/>
    <w:rsid w:val="00CE42F3"/>
    <w:pPr>
      <w:numPr>
        <w:numId w:val="8"/>
      </w:numPr>
      <w:spacing w:line="360" w:lineRule="auto"/>
    </w:pPr>
    <w:rPr>
      <w:rFonts w:ascii="Arial" w:hAnsi="Arial"/>
      <w:szCs w:val="20"/>
    </w:rPr>
  </w:style>
  <w:style w:type="paragraph" w:styleId="Legenda">
    <w:name w:val="caption"/>
    <w:basedOn w:val="Normal"/>
    <w:next w:val="Normal"/>
    <w:qFormat/>
    <w:rsid w:val="00CE42F3"/>
    <w:rPr>
      <w:rFonts w:ascii="Garamond" w:hAnsi="Garamond"/>
      <w:b/>
      <w:spacing w:val="5"/>
      <w:sz w:val="22"/>
      <w:szCs w:val="20"/>
    </w:rPr>
  </w:style>
  <w:style w:type="paragraph" w:customStyle="1" w:styleId="p11">
    <w:name w:val="p11"/>
    <w:basedOn w:val="Normal"/>
    <w:rsid w:val="00CE42F3"/>
    <w:pPr>
      <w:widowControl w:val="0"/>
      <w:tabs>
        <w:tab w:val="left" w:pos="440"/>
      </w:tabs>
      <w:spacing w:line="320" w:lineRule="atLeast"/>
      <w:jc w:val="both"/>
    </w:pPr>
    <w:rPr>
      <w:snapToGrid w:val="0"/>
      <w:szCs w:val="20"/>
    </w:rPr>
  </w:style>
  <w:style w:type="paragraph" w:customStyle="1" w:styleId="t-Titulo1">
    <w:name w:val="t-Titulo 1"/>
    <w:rsid w:val="00CE42F3"/>
    <w:pPr>
      <w:spacing w:before="360" w:after="120"/>
      <w:jc w:val="center"/>
    </w:pPr>
    <w:rPr>
      <w:rFonts w:ascii="Arial" w:hAnsi="Arial"/>
      <w:b/>
      <w:noProof/>
      <w:sz w:val="24"/>
    </w:rPr>
  </w:style>
  <w:style w:type="paragraph" w:styleId="Listadecontinuao">
    <w:name w:val="List Continue"/>
    <w:basedOn w:val="Normal"/>
    <w:rsid w:val="00CE42F3"/>
    <w:pPr>
      <w:spacing w:after="120"/>
      <w:ind w:left="283"/>
    </w:pPr>
    <w:rPr>
      <w:sz w:val="20"/>
      <w:szCs w:val="20"/>
    </w:rPr>
  </w:style>
  <w:style w:type="paragraph" w:styleId="MapadoDocumento">
    <w:name w:val="Document Map"/>
    <w:basedOn w:val="Normal"/>
    <w:link w:val="MapadoDocumentoChar"/>
    <w:rsid w:val="00CE42F3"/>
    <w:pPr>
      <w:shd w:val="clear" w:color="auto" w:fill="000080"/>
    </w:pPr>
    <w:rPr>
      <w:rFonts w:ascii="Tahoma" w:hAnsi="Tahoma"/>
      <w:szCs w:val="20"/>
    </w:rPr>
  </w:style>
  <w:style w:type="character" w:customStyle="1" w:styleId="MapadoDocumentoChar">
    <w:name w:val="Mapa do Documento Char"/>
    <w:link w:val="MapadoDocumento"/>
    <w:rsid w:val="00CE42F3"/>
    <w:rPr>
      <w:rFonts w:ascii="Tahoma" w:hAnsi="Tahoma"/>
      <w:sz w:val="24"/>
      <w:shd w:val="clear" w:color="auto" w:fill="000080"/>
    </w:rPr>
  </w:style>
  <w:style w:type="paragraph" w:styleId="Textodebalo">
    <w:name w:val="Balloon Text"/>
    <w:basedOn w:val="Normal"/>
    <w:link w:val="TextodebaloChar"/>
    <w:uiPriority w:val="99"/>
    <w:rsid w:val="00CE42F3"/>
    <w:rPr>
      <w:rFonts w:ascii="Tahoma" w:hAnsi="Tahoma"/>
      <w:sz w:val="16"/>
      <w:szCs w:val="16"/>
    </w:rPr>
  </w:style>
  <w:style w:type="character" w:customStyle="1" w:styleId="TextodebaloChar">
    <w:name w:val="Texto de balão Char"/>
    <w:link w:val="Textodebalo"/>
    <w:uiPriority w:val="99"/>
    <w:rsid w:val="00CE42F3"/>
    <w:rPr>
      <w:rFonts w:ascii="Tahoma" w:hAnsi="Tahoma" w:cs="Tahoma"/>
      <w:sz w:val="16"/>
      <w:szCs w:val="16"/>
    </w:rPr>
  </w:style>
  <w:style w:type="paragraph" w:customStyle="1" w:styleId="titulo1">
    <w:name w:val="titulo1"/>
    <w:basedOn w:val="Normal"/>
    <w:rsid w:val="00CE42F3"/>
    <w:pPr>
      <w:spacing w:before="100" w:beforeAutospacing="1" w:after="100" w:afterAutospacing="1"/>
    </w:pPr>
    <w:rPr>
      <w:rFonts w:ascii="Arial" w:eastAsia="Arial Unicode MS" w:hAnsi="Arial" w:cs="Arial"/>
      <w:b/>
      <w:bCs/>
      <w:color w:val="000000"/>
      <w:sz w:val="20"/>
      <w:szCs w:val="20"/>
    </w:rPr>
  </w:style>
  <w:style w:type="paragraph" w:customStyle="1" w:styleId="style6">
    <w:name w:val="style6"/>
    <w:basedOn w:val="Normal"/>
    <w:rsid w:val="00CE42F3"/>
    <w:pPr>
      <w:spacing w:before="100" w:beforeAutospacing="1" w:after="100" w:afterAutospacing="1"/>
    </w:pPr>
    <w:rPr>
      <w:rFonts w:ascii="Arial" w:hAnsi="Arial" w:cs="Arial"/>
      <w:sz w:val="18"/>
      <w:szCs w:val="18"/>
    </w:rPr>
  </w:style>
  <w:style w:type="character" w:customStyle="1" w:styleId="highlightedsearchterm">
    <w:name w:val="highlightedsearchterm"/>
    <w:basedOn w:val="Fontepargpadro"/>
    <w:rsid w:val="00CE42F3"/>
  </w:style>
  <w:style w:type="character" w:customStyle="1" w:styleId="spelle">
    <w:name w:val="spelle"/>
    <w:basedOn w:val="Fontepargpadro"/>
    <w:rsid w:val="00CE42F3"/>
  </w:style>
  <w:style w:type="character" w:customStyle="1" w:styleId="ff2fc0fs10">
    <w:name w:val="ff2 fc0 fs10"/>
    <w:basedOn w:val="Fontepargpadro"/>
    <w:rsid w:val="00CE42F3"/>
  </w:style>
  <w:style w:type="character" w:customStyle="1" w:styleId="ff2fc0fs10fb">
    <w:name w:val="ff2 fc0 fs10 fb"/>
    <w:basedOn w:val="Fontepargpadro"/>
    <w:rsid w:val="00CE42F3"/>
  </w:style>
  <w:style w:type="paragraph" w:customStyle="1" w:styleId="Recuodecorpodetexto210">
    <w:name w:val="Recuo de corpo de texto 21"/>
    <w:basedOn w:val="Normal"/>
    <w:rsid w:val="00CE42F3"/>
    <w:pPr>
      <w:suppressAutoHyphens/>
      <w:ind w:firstLine="708"/>
      <w:jc w:val="both"/>
    </w:pPr>
    <w:rPr>
      <w:rFonts w:ascii="Arial" w:hAnsi="Arial"/>
      <w:sz w:val="28"/>
      <w:szCs w:val="20"/>
      <w:lang w:eastAsia="ar-SA"/>
    </w:rPr>
  </w:style>
  <w:style w:type="paragraph" w:customStyle="1" w:styleId="imalignjustify">
    <w:name w:val="imalign_justify"/>
    <w:basedOn w:val="Normal"/>
    <w:rsid w:val="00CE42F3"/>
    <w:pPr>
      <w:suppressAutoHyphens/>
      <w:jc w:val="both"/>
    </w:pPr>
    <w:rPr>
      <w:lang w:eastAsia="ar-SA"/>
    </w:rPr>
  </w:style>
  <w:style w:type="paragraph" w:customStyle="1" w:styleId="texto2">
    <w:name w:val="texto2"/>
    <w:basedOn w:val="Normal"/>
    <w:rsid w:val="00CE42F3"/>
    <w:pPr>
      <w:suppressAutoHyphens/>
      <w:spacing w:before="100" w:after="100"/>
    </w:pPr>
    <w:rPr>
      <w:rFonts w:ascii="Arial" w:hAnsi="Arial" w:cs="Arial"/>
      <w:color w:val="000000"/>
      <w:sz w:val="17"/>
      <w:szCs w:val="17"/>
      <w:lang w:eastAsia="ar-SA"/>
    </w:rPr>
  </w:style>
  <w:style w:type="paragraph" w:customStyle="1" w:styleId="Corpodetexto31">
    <w:name w:val="Corpo de texto 31"/>
    <w:basedOn w:val="Normal"/>
    <w:rsid w:val="00CE42F3"/>
    <w:pPr>
      <w:suppressAutoHyphens/>
      <w:jc w:val="both"/>
    </w:pPr>
    <w:rPr>
      <w:rFonts w:ascii="Arial" w:hAnsi="Arial"/>
      <w:sz w:val="22"/>
      <w:szCs w:val="20"/>
      <w:lang w:eastAsia="ar-SA"/>
    </w:rPr>
  </w:style>
  <w:style w:type="character" w:customStyle="1" w:styleId="A3">
    <w:name w:val="A3"/>
    <w:rsid w:val="00CE42F3"/>
    <w:rPr>
      <w:color w:val="000000"/>
      <w:sz w:val="22"/>
      <w:szCs w:val="22"/>
    </w:rPr>
  </w:style>
  <w:style w:type="paragraph" w:customStyle="1" w:styleId="Pa12">
    <w:name w:val="Pa12"/>
    <w:basedOn w:val="Normal"/>
    <w:next w:val="Normal"/>
    <w:rsid w:val="00CE42F3"/>
    <w:pPr>
      <w:autoSpaceDE w:val="0"/>
      <w:autoSpaceDN w:val="0"/>
      <w:adjustRightInd w:val="0"/>
      <w:spacing w:line="201" w:lineRule="atLeast"/>
    </w:pPr>
  </w:style>
  <w:style w:type="character" w:customStyle="1" w:styleId="ind1e">
    <w:name w:val="ind1e"/>
    <w:basedOn w:val="Fontepargpadro"/>
    <w:rsid w:val="00CE42F3"/>
  </w:style>
  <w:style w:type="character" w:customStyle="1" w:styleId="titbox1">
    <w:name w:val="titbox1"/>
    <w:basedOn w:val="Fontepargpadro"/>
    <w:rsid w:val="00CE42F3"/>
  </w:style>
  <w:style w:type="character" w:customStyle="1" w:styleId="apple-converted-space">
    <w:name w:val="apple-converted-space"/>
    <w:basedOn w:val="Fontepargpadro"/>
    <w:rsid w:val="00CE42F3"/>
  </w:style>
  <w:style w:type="character" w:customStyle="1" w:styleId="CitaoChar">
    <w:name w:val="Citação Char"/>
    <w:link w:val="Citao"/>
    <w:uiPriority w:val="29"/>
    <w:rsid w:val="00CE42F3"/>
    <w:rPr>
      <w:rFonts w:ascii="Cambria" w:hAnsi="Cambria"/>
      <w:i/>
      <w:iCs/>
      <w:color w:val="5A5A5A"/>
      <w:sz w:val="22"/>
      <w:szCs w:val="22"/>
      <w:lang w:val="en-US" w:eastAsia="en-US" w:bidi="en-US"/>
    </w:rPr>
  </w:style>
  <w:style w:type="paragraph" w:styleId="Citao">
    <w:name w:val="Quote"/>
    <w:basedOn w:val="Normal"/>
    <w:next w:val="Normal"/>
    <w:link w:val="CitaoChar"/>
    <w:uiPriority w:val="29"/>
    <w:qFormat/>
    <w:rsid w:val="00CE42F3"/>
    <w:pPr>
      <w:ind w:firstLine="357"/>
    </w:pPr>
    <w:rPr>
      <w:rFonts w:ascii="Cambria" w:hAnsi="Cambria"/>
      <w:i/>
      <w:iCs/>
      <w:color w:val="5A5A5A"/>
      <w:sz w:val="22"/>
      <w:szCs w:val="22"/>
      <w:lang w:val="en-US" w:eastAsia="en-US" w:bidi="en-US"/>
    </w:rPr>
  </w:style>
  <w:style w:type="character" w:customStyle="1" w:styleId="CitaoIntensaChar">
    <w:name w:val="Citação Intensa Char"/>
    <w:link w:val="CitaoIntensa"/>
    <w:uiPriority w:val="30"/>
    <w:rsid w:val="00CE42F3"/>
    <w:rPr>
      <w:rFonts w:ascii="Cambria" w:hAnsi="Cambria"/>
      <w:i/>
      <w:iCs/>
      <w:color w:val="FFFFFF"/>
      <w:sz w:val="24"/>
      <w:szCs w:val="24"/>
      <w:shd w:val="clear" w:color="auto" w:fill="4F81BD"/>
      <w:lang w:val="en-US" w:eastAsia="en-US" w:bidi="en-US"/>
    </w:rPr>
  </w:style>
  <w:style w:type="paragraph" w:styleId="CitaoIntensa">
    <w:name w:val="Intense Quote"/>
    <w:basedOn w:val="Normal"/>
    <w:next w:val="Normal"/>
    <w:link w:val="CitaoIntensaChar"/>
    <w:uiPriority w:val="30"/>
    <w:qFormat/>
    <w:rsid w:val="00CE42F3"/>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357"/>
    </w:pPr>
    <w:rPr>
      <w:rFonts w:ascii="Cambria" w:hAnsi="Cambria"/>
      <w:i/>
      <w:iCs/>
      <w:color w:val="FFFFFF"/>
      <w:lang w:val="en-US" w:eastAsia="en-US" w:bidi="en-US"/>
    </w:rPr>
  </w:style>
  <w:style w:type="paragraph" w:customStyle="1" w:styleId="Relatrio2010">
    <w:name w:val="Relatório 2010"/>
    <w:qFormat/>
    <w:rsid w:val="00CE42F3"/>
    <w:pPr>
      <w:spacing w:after="100" w:afterAutospacing="1"/>
      <w:jc w:val="both"/>
    </w:pPr>
    <w:rPr>
      <w:sz w:val="24"/>
      <w:szCs w:val="22"/>
      <w:lang w:eastAsia="en-US" w:bidi="en-US"/>
    </w:rPr>
  </w:style>
  <w:style w:type="character" w:customStyle="1" w:styleId="hotwordstxt">
    <w:name w:val="hotwordstxt"/>
    <w:basedOn w:val="Fontepargpadro"/>
    <w:rsid w:val="00CE42F3"/>
  </w:style>
  <w:style w:type="character" w:customStyle="1" w:styleId="texto4">
    <w:name w:val="texto4"/>
    <w:rsid w:val="00CE42F3"/>
    <w:rPr>
      <w:rFonts w:ascii="Arial" w:hAnsi="Arial" w:cs="Arial" w:hint="default"/>
      <w:b w:val="0"/>
      <w:bCs w:val="0"/>
      <w:strike w:val="0"/>
      <w:dstrike w:val="0"/>
      <w:color w:val="000000"/>
      <w:sz w:val="18"/>
      <w:szCs w:val="18"/>
      <w:u w:val="none"/>
      <w:effect w:val="none"/>
    </w:rPr>
  </w:style>
  <w:style w:type="character" w:customStyle="1" w:styleId="TextodenotaderodapChar">
    <w:name w:val="Texto de nota de rodapé Char"/>
    <w:basedOn w:val="Fontepargpadro"/>
    <w:link w:val="Textodenotaderodap"/>
    <w:rsid w:val="00CE42F3"/>
  </w:style>
  <w:style w:type="numbering" w:customStyle="1" w:styleId="Semlista1">
    <w:name w:val="Sem lista1"/>
    <w:next w:val="Semlista"/>
    <w:uiPriority w:val="99"/>
    <w:semiHidden/>
    <w:unhideWhenUsed/>
    <w:rsid w:val="00CE42F3"/>
  </w:style>
  <w:style w:type="paragraph" w:customStyle="1" w:styleId="PTAtexto">
    <w:name w:val="PTAtexto"/>
    <w:basedOn w:val="Normal"/>
    <w:autoRedefine/>
    <w:qFormat/>
    <w:rsid w:val="00CE42F3"/>
    <w:pPr>
      <w:keepNext/>
      <w:ind w:firstLine="851"/>
      <w:jc w:val="both"/>
    </w:pPr>
    <w:rPr>
      <w:rFonts w:cs="Arial"/>
      <w:sz w:val="16"/>
      <w:szCs w:val="16"/>
    </w:rPr>
  </w:style>
  <w:style w:type="table" w:styleId="Tabelacomgrade">
    <w:name w:val="Table Grid"/>
    <w:basedOn w:val="Tabelanormal"/>
    <w:uiPriority w:val="59"/>
    <w:rsid w:val="00CE42F3"/>
    <w:rPr>
      <w:rFonts w:ascii="Arial" w:eastAsia="Calibri" w:hAnsi="Arial"/>
      <w:smallCap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normal0">
    <w:name w:val="normal"/>
    <w:basedOn w:val="Normal"/>
    <w:uiPriority w:val="99"/>
    <w:semiHidden/>
    <w:rsid w:val="00CE42F3"/>
    <w:rPr>
      <w:rFonts w:eastAsia="Calibri"/>
    </w:rPr>
  </w:style>
  <w:style w:type="paragraph" w:customStyle="1" w:styleId="corpo0020de0020texto00202">
    <w:name w:val="corpo0020de0020texto00202"/>
    <w:basedOn w:val="Normal"/>
    <w:uiPriority w:val="99"/>
    <w:semiHidden/>
    <w:rsid w:val="00CE42F3"/>
    <w:rPr>
      <w:rFonts w:eastAsia="Calibri"/>
    </w:rPr>
  </w:style>
  <w:style w:type="character" w:customStyle="1" w:styleId="normalchar1">
    <w:name w:val="normalchar1"/>
    <w:basedOn w:val="Fontepargpadro"/>
    <w:rsid w:val="00CE42F3"/>
  </w:style>
  <w:style w:type="character" w:customStyle="1" w:styleId="corpo0020de0020texto00202char1">
    <w:name w:val="corpo0020de0020texto00202char1"/>
    <w:basedOn w:val="Fontepargpadro"/>
    <w:rsid w:val="00CE42F3"/>
  </w:style>
  <w:style w:type="paragraph" w:customStyle="1" w:styleId="p2">
    <w:name w:val="p2"/>
    <w:basedOn w:val="Normal"/>
    <w:rsid w:val="00CE42F3"/>
    <w:pPr>
      <w:spacing w:before="100" w:beforeAutospacing="1" w:after="100" w:afterAutospacing="1"/>
    </w:pPr>
    <w:rPr>
      <w:rFonts w:ascii="Arial" w:hAnsi="Arial" w:cs="Arial"/>
      <w:sz w:val="18"/>
      <w:szCs w:val="18"/>
    </w:rPr>
  </w:style>
  <w:style w:type="paragraph" w:customStyle="1" w:styleId="p3">
    <w:name w:val="p3"/>
    <w:basedOn w:val="Normal"/>
    <w:rsid w:val="00CE42F3"/>
    <w:pPr>
      <w:spacing w:before="100" w:beforeAutospacing="1" w:after="100" w:afterAutospacing="1"/>
    </w:pPr>
    <w:rPr>
      <w:rFonts w:ascii="Arial" w:hAnsi="Arial" w:cs="Arial"/>
      <w:b/>
      <w:bCs/>
      <w:sz w:val="21"/>
      <w:szCs w:val="21"/>
    </w:rPr>
  </w:style>
  <w:style w:type="character" w:customStyle="1" w:styleId="style71">
    <w:name w:val="style71"/>
    <w:rsid w:val="00CE42F3"/>
    <w:rPr>
      <w:sz w:val="20"/>
      <w:szCs w:val="20"/>
    </w:rPr>
  </w:style>
  <w:style w:type="character" w:customStyle="1" w:styleId="p21">
    <w:name w:val="p21"/>
    <w:rsid w:val="00CE42F3"/>
    <w:rPr>
      <w:rFonts w:ascii="Arial" w:hAnsi="Arial" w:cs="Arial" w:hint="default"/>
      <w:sz w:val="18"/>
      <w:szCs w:val="18"/>
    </w:rPr>
  </w:style>
  <w:style w:type="paragraph" w:customStyle="1" w:styleId="TEXTO0">
    <w:name w:val="TEXTO"/>
    <w:basedOn w:val="Normal"/>
    <w:rsid w:val="00CE42F3"/>
    <w:pPr>
      <w:tabs>
        <w:tab w:val="left" w:pos="283"/>
      </w:tabs>
      <w:autoSpaceDE w:val="0"/>
      <w:autoSpaceDN w:val="0"/>
      <w:adjustRightInd w:val="0"/>
      <w:spacing w:line="320" w:lineRule="atLeast"/>
      <w:jc w:val="both"/>
      <w:textAlignment w:val="baseline"/>
    </w:pPr>
    <w:rPr>
      <w:rFonts w:ascii="Times" w:hAnsi="Times"/>
      <w:color w:val="000000"/>
    </w:rPr>
  </w:style>
  <w:style w:type="paragraph" w:customStyle="1" w:styleId="PargrafodaLista10">
    <w:name w:val="Parágrafo da Lista1"/>
    <w:basedOn w:val="Normal"/>
    <w:uiPriority w:val="99"/>
    <w:qFormat/>
    <w:rsid w:val="00CE42F3"/>
    <w:pPr>
      <w:spacing w:after="200" w:line="276" w:lineRule="auto"/>
      <w:ind w:left="720"/>
    </w:pPr>
    <w:rPr>
      <w:rFonts w:ascii="Calibri" w:hAnsi="Calibri"/>
      <w:sz w:val="22"/>
      <w:szCs w:val="22"/>
      <w:lang w:eastAsia="en-US"/>
    </w:rPr>
  </w:style>
  <w:style w:type="paragraph" w:customStyle="1" w:styleId="SemEspaamento1">
    <w:name w:val="Sem Espaçamento1"/>
    <w:rsid w:val="00CE42F3"/>
    <w:pPr>
      <w:jc w:val="center"/>
    </w:pPr>
    <w:rPr>
      <w:rFonts w:ascii="Calibri" w:hAnsi="Calibri"/>
      <w:sz w:val="22"/>
      <w:szCs w:val="22"/>
      <w:lang w:eastAsia="en-US"/>
    </w:rPr>
  </w:style>
  <w:style w:type="character" w:customStyle="1" w:styleId="Corpodetexto3Char">
    <w:name w:val="Corpo de texto 3 Char"/>
    <w:link w:val="Corpodetexto3"/>
    <w:rsid w:val="00CE42F3"/>
    <w:rPr>
      <w:rFonts w:ascii="Arial" w:hAnsi="Arial"/>
    </w:rPr>
  </w:style>
  <w:style w:type="paragraph" w:customStyle="1" w:styleId="Luiz1">
    <w:name w:val="Luiz1"/>
    <w:basedOn w:val="Normal"/>
    <w:rsid w:val="00CE42F3"/>
    <w:rPr>
      <w:rFonts w:ascii="Arial" w:hAnsi="Arial"/>
      <w:sz w:val="22"/>
      <w:szCs w:val="20"/>
    </w:rPr>
  </w:style>
  <w:style w:type="paragraph" w:customStyle="1" w:styleId="Corpodotexto">
    <w:name w:val="Corpo do texto"/>
    <w:basedOn w:val="Normal"/>
    <w:rsid w:val="00CE42F3"/>
    <w:pPr>
      <w:suppressAutoHyphens/>
      <w:overflowPunct w:val="0"/>
      <w:autoSpaceDE w:val="0"/>
      <w:autoSpaceDN w:val="0"/>
      <w:adjustRightInd w:val="0"/>
      <w:jc w:val="both"/>
    </w:pPr>
    <w:rPr>
      <w:rFonts w:ascii="Arial" w:hAnsi="Arial"/>
      <w:noProof/>
      <w:szCs w:val="20"/>
    </w:rPr>
  </w:style>
  <w:style w:type="paragraph" w:customStyle="1" w:styleId="txt0">
    <w:name w:val="..txt"/>
    <w:rsid w:val="00CE42F3"/>
    <w:pPr>
      <w:spacing w:line="360" w:lineRule="auto"/>
      <w:jc w:val="both"/>
    </w:pPr>
    <w:rPr>
      <w:rFonts w:ascii="Arial" w:hAnsi="Arial"/>
      <w:sz w:val="22"/>
    </w:rPr>
  </w:style>
  <w:style w:type="paragraph" w:styleId="EndereoHTML">
    <w:name w:val="HTML Address"/>
    <w:basedOn w:val="Normal"/>
    <w:link w:val="EndereoHTMLChar"/>
    <w:uiPriority w:val="99"/>
    <w:rsid w:val="00CE42F3"/>
    <w:rPr>
      <w:i/>
      <w:iCs/>
    </w:rPr>
  </w:style>
  <w:style w:type="character" w:customStyle="1" w:styleId="EndereoHTMLChar">
    <w:name w:val="Endereço HTML Char"/>
    <w:link w:val="EndereoHTML"/>
    <w:uiPriority w:val="99"/>
    <w:rsid w:val="00CE42F3"/>
    <w:rPr>
      <w:i/>
      <w:iCs/>
      <w:sz w:val="24"/>
      <w:szCs w:val="24"/>
    </w:rPr>
  </w:style>
  <w:style w:type="paragraph" w:styleId="Remissivo1">
    <w:name w:val="index 1"/>
    <w:basedOn w:val="Normal"/>
    <w:next w:val="Normal"/>
    <w:autoRedefine/>
    <w:uiPriority w:val="99"/>
    <w:unhideWhenUsed/>
    <w:rsid w:val="00CE42F3"/>
    <w:pPr>
      <w:tabs>
        <w:tab w:val="right" w:leader="dot" w:pos="9639"/>
      </w:tabs>
      <w:ind w:left="280" w:hanging="280"/>
    </w:pPr>
    <w:rPr>
      <w:sz w:val="28"/>
      <w:szCs w:val="20"/>
    </w:rPr>
  </w:style>
  <w:style w:type="character" w:customStyle="1" w:styleId="Recuodecorpodetexto2Char">
    <w:name w:val="Recuo de corpo de texto 2 Char"/>
    <w:link w:val="Recuodecorpodetexto2"/>
    <w:rsid w:val="00CE42F3"/>
    <w:rPr>
      <w:rFonts w:ascii="Times" w:hAnsi="Times"/>
      <w:sz w:val="24"/>
      <w:lang w:val="en-US" w:eastAsia="en-US"/>
    </w:rPr>
  </w:style>
  <w:style w:type="character" w:customStyle="1" w:styleId="Heading1Char">
    <w:name w:val="Heading 1 Char"/>
    <w:rsid w:val="00CE42F3"/>
    <w:rPr>
      <w:rFonts w:ascii="Arial" w:hAnsi="Arial" w:cs="Arial"/>
      <w:b/>
      <w:bCs/>
      <w:kern w:val="32"/>
      <w:sz w:val="32"/>
      <w:szCs w:val="32"/>
      <w:lang w:eastAsia="pt-BR"/>
    </w:rPr>
  </w:style>
  <w:style w:type="character" w:customStyle="1" w:styleId="Heading2Char">
    <w:name w:val="Heading 2 Char"/>
    <w:rsid w:val="00CE42F3"/>
    <w:rPr>
      <w:rFonts w:ascii="Times New Roman" w:hAnsi="Times New Roman" w:cs="Times New Roman"/>
      <w:b/>
      <w:bCs/>
      <w:sz w:val="24"/>
      <w:szCs w:val="24"/>
      <w:lang w:eastAsia="pt-BR"/>
    </w:rPr>
  </w:style>
  <w:style w:type="character" w:customStyle="1" w:styleId="Heading3Char">
    <w:name w:val="Heading 3 Char"/>
    <w:rsid w:val="00CE42F3"/>
    <w:rPr>
      <w:rFonts w:ascii="Arial" w:hAnsi="Arial" w:cs="Arial"/>
      <w:b/>
      <w:bCs/>
      <w:sz w:val="26"/>
      <w:szCs w:val="26"/>
      <w:lang w:eastAsia="pt-BR"/>
    </w:rPr>
  </w:style>
  <w:style w:type="character" w:customStyle="1" w:styleId="Heading4Char">
    <w:name w:val="Heading 4 Char"/>
    <w:rsid w:val="00CE42F3"/>
    <w:rPr>
      <w:rFonts w:ascii="Times New Roman" w:hAnsi="Times New Roman" w:cs="Times New Roman"/>
      <w:b/>
      <w:sz w:val="24"/>
      <w:szCs w:val="24"/>
      <w:lang w:eastAsia="pt-BR"/>
    </w:rPr>
  </w:style>
  <w:style w:type="character" w:customStyle="1" w:styleId="Heading5Char">
    <w:name w:val="Heading 5 Char"/>
    <w:rsid w:val="00CE42F3"/>
    <w:rPr>
      <w:rFonts w:ascii="Times New Roman" w:hAnsi="Times New Roman" w:cs="Times New Roman"/>
      <w:b/>
      <w:bCs/>
      <w:sz w:val="24"/>
      <w:szCs w:val="24"/>
      <w:lang w:eastAsia="pt-BR"/>
    </w:rPr>
  </w:style>
  <w:style w:type="character" w:customStyle="1" w:styleId="Heading6Char">
    <w:name w:val="Heading 6 Char"/>
    <w:rsid w:val="00CE42F3"/>
    <w:rPr>
      <w:rFonts w:ascii="Times New Roman" w:hAnsi="Times New Roman" w:cs="Times New Roman"/>
      <w:b/>
      <w:bCs/>
      <w:sz w:val="24"/>
      <w:szCs w:val="24"/>
      <w:lang w:eastAsia="pt-BR"/>
    </w:rPr>
  </w:style>
  <w:style w:type="character" w:customStyle="1" w:styleId="Heading7Char">
    <w:name w:val="Heading 7 Char"/>
    <w:rsid w:val="00CE42F3"/>
    <w:rPr>
      <w:rFonts w:ascii="Times New Roman" w:hAnsi="Times New Roman" w:cs="Times New Roman"/>
      <w:b/>
      <w:bCs/>
      <w:sz w:val="24"/>
      <w:szCs w:val="24"/>
      <w:lang w:eastAsia="pt-BR"/>
    </w:rPr>
  </w:style>
  <w:style w:type="character" w:customStyle="1" w:styleId="Heading8Char">
    <w:name w:val="Heading 8 Char"/>
    <w:rsid w:val="00CE42F3"/>
    <w:rPr>
      <w:rFonts w:ascii="Times New Roman" w:hAnsi="Times New Roman" w:cs="Times New Roman"/>
      <w:i/>
      <w:iCs/>
      <w:sz w:val="24"/>
      <w:szCs w:val="24"/>
      <w:lang w:eastAsia="pt-BR"/>
    </w:rPr>
  </w:style>
  <w:style w:type="character" w:customStyle="1" w:styleId="Heading9Char">
    <w:name w:val="Heading 9 Char"/>
    <w:rsid w:val="00CE42F3"/>
    <w:rPr>
      <w:rFonts w:ascii="Times New Roman" w:hAnsi="Times New Roman" w:cs="Times New Roman"/>
      <w:b/>
      <w:bCs/>
      <w:color w:val="000000"/>
      <w:sz w:val="24"/>
      <w:szCs w:val="24"/>
      <w:lang w:eastAsia="pt-BR"/>
    </w:rPr>
  </w:style>
  <w:style w:type="character" w:customStyle="1" w:styleId="BodyTextChar">
    <w:name w:val="Body Text Char"/>
    <w:aliases w:val="Body Text Char Char Char1,Body Text Char Char Char Char Char Char Char Char Char1,Body Text Char Char Char Char Char1,Body Text Char Char Char Char Char Char Char Char Char Char Char"/>
    <w:rsid w:val="00CE42F3"/>
    <w:rPr>
      <w:rFonts w:ascii="Times New Roman" w:hAnsi="Times New Roman" w:cs="Times New Roman"/>
      <w:sz w:val="24"/>
      <w:szCs w:val="24"/>
      <w:lang w:eastAsia="pt-BR"/>
    </w:rPr>
  </w:style>
  <w:style w:type="character" w:customStyle="1" w:styleId="BodyText2Char">
    <w:name w:val="Body Text 2 Char"/>
    <w:rsid w:val="00CE42F3"/>
    <w:rPr>
      <w:rFonts w:ascii="Times New Roman" w:hAnsi="Times New Roman" w:cs="Times New Roman"/>
      <w:color w:val="000000"/>
      <w:sz w:val="24"/>
      <w:szCs w:val="24"/>
      <w:lang w:eastAsia="pt-BR"/>
    </w:rPr>
  </w:style>
  <w:style w:type="character" w:customStyle="1" w:styleId="TitleChar">
    <w:name w:val="Title Char"/>
    <w:uiPriority w:val="10"/>
    <w:rsid w:val="00CE42F3"/>
    <w:rPr>
      <w:rFonts w:ascii="Arial" w:hAnsi="Arial" w:cs="Arial"/>
      <w:b/>
      <w:position w:val="10"/>
      <w:sz w:val="24"/>
      <w:szCs w:val="24"/>
      <w:lang w:eastAsia="pt-BR"/>
    </w:rPr>
  </w:style>
  <w:style w:type="paragraph" w:styleId="Sumrio2">
    <w:name w:val="toc 2"/>
    <w:basedOn w:val="Normal"/>
    <w:next w:val="Normal"/>
    <w:autoRedefine/>
    <w:uiPriority w:val="39"/>
    <w:qFormat/>
    <w:rsid w:val="00CE42F3"/>
    <w:pPr>
      <w:spacing w:after="120"/>
    </w:pPr>
    <w:rPr>
      <w:rFonts w:ascii="Arial" w:hAnsi="Arial" w:cs="Arial"/>
      <w:b/>
      <w:sz w:val="16"/>
      <w:szCs w:val="20"/>
      <w:lang w:eastAsia="ja-JP"/>
    </w:rPr>
  </w:style>
  <w:style w:type="character" w:customStyle="1" w:styleId="BodyTextIndent2Char">
    <w:name w:val="Body Text Indent 2 Char"/>
    <w:rsid w:val="00CE42F3"/>
    <w:rPr>
      <w:rFonts w:ascii="Arial" w:hAnsi="Arial" w:cs="Arial"/>
      <w:b/>
      <w:color w:val="0000FF"/>
      <w:sz w:val="16"/>
      <w:szCs w:val="16"/>
      <w:lang w:eastAsia="pt-BR"/>
    </w:rPr>
  </w:style>
  <w:style w:type="paragraph" w:customStyle="1" w:styleId="Recuodecorpodetexto1">
    <w:name w:val="Recuo de corpo de texto1"/>
    <w:basedOn w:val="Normal"/>
    <w:rsid w:val="00CE42F3"/>
    <w:pPr>
      <w:autoSpaceDE w:val="0"/>
      <w:autoSpaceDN w:val="0"/>
      <w:adjustRightInd w:val="0"/>
      <w:spacing w:after="120"/>
      <w:ind w:left="360"/>
      <w:jc w:val="both"/>
    </w:pPr>
  </w:style>
  <w:style w:type="character" w:customStyle="1" w:styleId="BodyTextIndentChar">
    <w:name w:val="Body Text Indent Char"/>
    <w:rsid w:val="00CE42F3"/>
    <w:rPr>
      <w:rFonts w:ascii="Times New Roman" w:hAnsi="Times New Roman" w:cs="Times New Roman"/>
      <w:sz w:val="24"/>
      <w:szCs w:val="24"/>
      <w:lang w:eastAsia="pt-BR"/>
    </w:rPr>
  </w:style>
  <w:style w:type="character" w:customStyle="1" w:styleId="BodyTextIndent3Char">
    <w:name w:val="Body Text Indent 3 Char"/>
    <w:rsid w:val="00CE42F3"/>
    <w:rPr>
      <w:rFonts w:ascii="Times New Roman" w:hAnsi="Times New Roman" w:cs="Times New Roman"/>
      <w:sz w:val="24"/>
      <w:szCs w:val="24"/>
      <w:lang w:eastAsia="pt-BR"/>
    </w:rPr>
  </w:style>
  <w:style w:type="character" w:customStyle="1" w:styleId="BodyText3Char">
    <w:name w:val="Body Text 3 Char"/>
    <w:rsid w:val="00CE42F3"/>
    <w:rPr>
      <w:rFonts w:ascii="Times New Roman" w:hAnsi="Times New Roman" w:cs="Times New Roman"/>
      <w:sz w:val="24"/>
      <w:szCs w:val="24"/>
      <w:lang w:eastAsia="pt-BR"/>
    </w:rPr>
  </w:style>
  <w:style w:type="paragraph" w:customStyle="1" w:styleId="fonte">
    <w:name w:val="fonte"/>
    <w:basedOn w:val="Normal"/>
    <w:next w:val="Normal"/>
    <w:rsid w:val="00CE42F3"/>
    <w:pPr>
      <w:spacing w:after="240"/>
    </w:pPr>
    <w:rPr>
      <w:sz w:val="20"/>
      <w:szCs w:val="20"/>
    </w:rPr>
  </w:style>
  <w:style w:type="character" w:customStyle="1" w:styleId="FootnoteTextChar">
    <w:name w:val="Footnote Text Char"/>
    <w:rsid w:val="00CE42F3"/>
    <w:rPr>
      <w:rFonts w:ascii="Times New Roman" w:hAnsi="Times New Roman" w:cs="Times New Roman"/>
      <w:sz w:val="20"/>
      <w:szCs w:val="20"/>
      <w:lang w:eastAsia="pt-BR"/>
    </w:rPr>
  </w:style>
  <w:style w:type="character" w:customStyle="1" w:styleId="FooterChar">
    <w:name w:val="Footer Char"/>
    <w:rsid w:val="00CE42F3"/>
    <w:rPr>
      <w:rFonts w:ascii="Times New Roman" w:hAnsi="Times New Roman" w:cs="Times New Roman"/>
      <w:sz w:val="24"/>
      <w:szCs w:val="24"/>
      <w:lang w:eastAsia="pt-BR"/>
    </w:rPr>
  </w:style>
  <w:style w:type="paragraph" w:customStyle="1" w:styleId="Textodebalo1">
    <w:name w:val="Texto de balão1"/>
    <w:basedOn w:val="Normal"/>
    <w:rsid w:val="00CE42F3"/>
    <w:rPr>
      <w:rFonts w:ascii="Tahoma" w:hAnsi="Tahoma" w:cs="Tahoma"/>
      <w:sz w:val="16"/>
      <w:szCs w:val="16"/>
    </w:rPr>
  </w:style>
  <w:style w:type="character" w:customStyle="1" w:styleId="BalloonTextChar">
    <w:name w:val="Balloon Text Char"/>
    <w:rsid w:val="00CE42F3"/>
    <w:rPr>
      <w:rFonts w:ascii="Tahoma" w:hAnsi="Tahoma" w:cs="Tahoma"/>
      <w:sz w:val="16"/>
      <w:szCs w:val="16"/>
      <w:lang w:eastAsia="pt-BR"/>
    </w:rPr>
  </w:style>
  <w:style w:type="character" w:customStyle="1" w:styleId="CharChar1">
    <w:name w:val="Char Char1"/>
    <w:rsid w:val="00CE42F3"/>
    <w:rPr>
      <w:rFonts w:ascii="Times New Roman" w:hAnsi="Times New Roman" w:cs="Times New Roman"/>
      <w:b/>
      <w:bCs/>
      <w:sz w:val="24"/>
      <w:szCs w:val="24"/>
      <w:lang w:val="pt-BR" w:eastAsia="pt-BR" w:bidi="ar-SA"/>
    </w:rPr>
  </w:style>
  <w:style w:type="character" w:customStyle="1" w:styleId="CharChar0">
    <w:name w:val="Char Char"/>
    <w:rsid w:val="00CE42F3"/>
    <w:rPr>
      <w:rFonts w:ascii="Arial" w:hAnsi="Arial" w:cs="Arial"/>
      <w:b/>
      <w:position w:val="10"/>
      <w:sz w:val="24"/>
      <w:szCs w:val="24"/>
      <w:lang w:val="pt-BR" w:eastAsia="pt-BR" w:bidi="ar-SA"/>
    </w:rPr>
  </w:style>
  <w:style w:type="paragraph" w:customStyle="1" w:styleId="Imprensa">
    <w:name w:val="Imprensa"/>
    <w:basedOn w:val="Ttulo"/>
    <w:rsid w:val="00CE42F3"/>
    <w:pPr>
      <w:spacing w:before="120" w:line="480" w:lineRule="auto"/>
      <w:jc w:val="both"/>
    </w:pPr>
    <w:rPr>
      <w:rFonts w:ascii="Arial" w:hAnsi="Arial" w:cs="Arial"/>
      <w:b w:val="0"/>
      <w:bCs w:val="0"/>
      <w:spacing w:val="10"/>
      <w:szCs w:val="20"/>
    </w:rPr>
  </w:style>
  <w:style w:type="paragraph" w:styleId="Textodenotadefim">
    <w:name w:val="endnote text"/>
    <w:basedOn w:val="Normal"/>
    <w:link w:val="TextodenotadefimChar"/>
    <w:uiPriority w:val="99"/>
    <w:rsid w:val="00CE42F3"/>
    <w:rPr>
      <w:sz w:val="20"/>
      <w:szCs w:val="20"/>
    </w:rPr>
  </w:style>
  <w:style w:type="character" w:customStyle="1" w:styleId="TextodenotadefimChar">
    <w:name w:val="Texto de nota de fim Char"/>
    <w:basedOn w:val="Fontepargpadro"/>
    <w:link w:val="Textodenotadefim"/>
    <w:uiPriority w:val="99"/>
    <w:rsid w:val="00CE42F3"/>
  </w:style>
  <w:style w:type="character" w:customStyle="1" w:styleId="EndnoteTextChar">
    <w:name w:val="Endnote Text Char"/>
    <w:rsid w:val="00CE42F3"/>
    <w:rPr>
      <w:rFonts w:ascii="Times New Roman" w:hAnsi="Times New Roman" w:cs="Times New Roman"/>
      <w:sz w:val="20"/>
      <w:szCs w:val="20"/>
      <w:lang w:eastAsia="pt-BR"/>
    </w:rPr>
  </w:style>
  <w:style w:type="character" w:styleId="Refdenotadefim">
    <w:name w:val="endnote reference"/>
    <w:uiPriority w:val="99"/>
    <w:rsid w:val="00CE42F3"/>
    <w:rPr>
      <w:rFonts w:ascii="Times New Roman" w:hAnsi="Times New Roman" w:cs="Times New Roman"/>
      <w:vertAlign w:val="superscript"/>
    </w:rPr>
  </w:style>
  <w:style w:type="character" w:customStyle="1" w:styleId="HeaderChar">
    <w:name w:val="Header Char"/>
    <w:rsid w:val="00CE42F3"/>
    <w:rPr>
      <w:rFonts w:ascii="Times New Roman" w:hAnsi="Times New Roman" w:cs="Times New Roman"/>
      <w:sz w:val="24"/>
      <w:szCs w:val="24"/>
      <w:lang w:eastAsia="pt-BR"/>
    </w:rPr>
  </w:style>
  <w:style w:type="paragraph" w:customStyle="1" w:styleId="CharCharChar">
    <w:name w:val="Char Char Char"/>
    <w:basedOn w:val="Normal"/>
    <w:rsid w:val="00CE42F3"/>
    <w:pPr>
      <w:spacing w:after="160" w:line="240" w:lineRule="exact"/>
    </w:pPr>
    <w:rPr>
      <w:rFonts w:ascii="Verdana" w:hAnsi="Verdana"/>
      <w:sz w:val="20"/>
      <w:szCs w:val="20"/>
      <w:lang w:val="en-US" w:eastAsia="en-US"/>
    </w:rPr>
  </w:style>
  <w:style w:type="paragraph" w:customStyle="1" w:styleId="Recuodecorpodetexto10">
    <w:name w:val="Recuo de corpo de texto1"/>
    <w:basedOn w:val="Normal"/>
    <w:rsid w:val="00CE42F3"/>
    <w:pPr>
      <w:autoSpaceDE w:val="0"/>
      <w:autoSpaceDN w:val="0"/>
      <w:adjustRightInd w:val="0"/>
      <w:spacing w:after="120"/>
      <w:ind w:left="360"/>
      <w:jc w:val="both"/>
    </w:pPr>
  </w:style>
  <w:style w:type="paragraph" w:customStyle="1" w:styleId="txtAF">
    <w:name w:val="txt_AF"/>
    <w:basedOn w:val="Normal"/>
    <w:rsid w:val="00CE42F3"/>
    <w:pPr>
      <w:suppressAutoHyphens/>
      <w:autoSpaceDE w:val="0"/>
      <w:autoSpaceDN w:val="0"/>
      <w:adjustRightInd w:val="0"/>
      <w:spacing w:line="320" w:lineRule="atLeast"/>
      <w:ind w:left="170" w:right="170"/>
      <w:textAlignment w:val="center"/>
    </w:pPr>
    <w:rPr>
      <w:rFonts w:ascii="Univers LT Std 47 Cn Lt" w:hAnsi="Univers LT Std 47 Cn Lt" w:cs="Univers LT Std 47 Cn Lt"/>
      <w:i/>
      <w:iCs/>
      <w:color w:val="000000"/>
      <w:spacing w:val="2"/>
      <w:sz w:val="19"/>
      <w:szCs w:val="19"/>
      <w:lang w:val="en-US"/>
    </w:rPr>
  </w:style>
  <w:style w:type="paragraph" w:customStyle="1" w:styleId="BasicParagraph">
    <w:name w:val="[Basic Paragraph]"/>
    <w:basedOn w:val="Normal"/>
    <w:rsid w:val="00CE42F3"/>
    <w:pPr>
      <w:autoSpaceDE w:val="0"/>
      <w:autoSpaceDN w:val="0"/>
      <w:adjustRightInd w:val="0"/>
      <w:spacing w:line="288" w:lineRule="auto"/>
      <w:textAlignment w:val="center"/>
    </w:pPr>
    <w:rPr>
      <w:rFonts w:eastAsia="Calibri"/>
      <w:color w:val="000000"/>
      <w:lang w:val="en-US" w:eastAsia="en-US"/>
    </w:rPr>
  </w:style>
  <w:style w:type="character" w:customStyle="1" w:styleId="org1">
    <w:name w:val="org1"/>
    <w:rsid w:val="00CE42F3"/>
    <w:rPr>
      <w:color w:val="FDA91B"/>
    </w:rPr>
  </w:style>
  <w:style w:type="paragraph" w:customStyle="1" w:styleId="CM1">
    <w:name w:val="CM1"/>
    <w:basedOn w:val="Default"/>
    <w:next w:val="Default"/>
    <w:rsid w:val="00CE42F3"/>
    <w:rPr>
      <w:rFonts w:ascii="Arial MT" w:hAnsi="Arial MT"/>
    </w:rPr>
  </w:style>
  <w:style w:type="paragraph" w:customStyle="1" w:styleId="CM4">
    <w:name w:val="CM4"/>
    <w:basedOn w:val="Default"/>
    <w:next w:val="Default"/>
    <w:rsid w:val="00CE42F3"/>
    <w:rPr>
      <w:rFonts w:ascii="Arial MT" w:hAnsi="Arial MT"/>
    </w:rPr>
  </w:style>
  <w:style w:type="paragraph" w:customStyle="1" w:styleId="CM3">
    <w:name w:val="CM3"/>
    <w:basedOn w:val="Default"/>
    <w:next w:val="Default"/>
    <w:rsid w:val="00CE42F3"/>
    <w:pPr>
      <w:spacing w:line="268" w:lineRule="atLeast"/>
    </w:pPr>
    <w:rPr>
      <w:rFonts w:ascii="Arial MT" w:hAnsi="Arial MT"/>
    </w:rPr>
  </w:style>
  <w:style w:type="character" w:customStyle="1" w:styleId="style16">
    <w:name w:val="style16"/>
    <w:basedOn w:val="Fontepargpadro"/>
    <w:rsid w:val="00CE42F3"/>
  </w:style>
  <w:style w:type="character" w:customStyle="1" w:styleId="CharChar5">
    <w:name w:val="Char Char5"/>
    <w:rsid w:val="00CE42F3"/>
    <w:rPr>
      <w:rFonts w:ascii="Times New (W1)" w:hAnsi="Times New (W1)"/>
      <w:b/>
      <w:bCs/>
      <w:color w:val="FF0000"/>
      <w:sz w:val="28"/>
      <w:szCs w:val="28"/>
      <w:lang w:val="pt-BR" w:eastAsia="pt-BR" w:bidi="ar-SA"/>
    </w:rPr>
  </w:style>
  <w:style w:type="character" w:customStyle="1" w:styleId="CharChar4">
    <w:name w:val="Char Char4"/>
    <w:rsid w:val="00CE42F3"/>
    <w:rPr>
      <w:rFonts w:ascii="Times New (W1)" w:hAnsi="Times New (W1)"/>
      <w:b/>
      <w:bCs/>
      <w:color w:val="FF0000"/>
      <w:sz w:val="28"/>
      <w:szCs w:val="28"/>
      <w:lang w:val="pt-BR" w:eastAsia="pt-BR" w:bidi="ar-SA"/>
    </w:rPr>
  </w:style>
  <w:style w:type="character" w:customStyle="1" w:styleId="CharChar10">
    <w:name w:val="Char Char1"/>
    <w:rsid w:val="00CE42F3"/>
    <w:rPr>
      <w:sz w:val="24"/>
      <w:szCs w:val="24"/>
      <w:lang w:val="en-US" w:eastAsia="en-US" w:bidi="ar-SA"/>
    </w:rPr>
  </w:style>
  <w:style w:type="paragraph" w:styleId="Sumrio1">
    <w:name w:val="toc 1"/>
    <w:basedOn w:val="Normal"/>
    <w:next w:val="Normal"/>
    <w:autoRedefine/>
    <w:uiPriority w:val="39"/>
    <w:unhideWhenUsed/>
    <w:qFormat/>
    <w:rsid w:val="00CE42F3"/>
    <w:pPr>
      <w:tabs>
        <w:tab w:val="right" w:leader="dot" w:pos="8494"/>
      </w:tabs>
      <w:spacing w:after="100" w:line="276" w:lineRule="auto"/>
    </w:pPr>
    <w:rPr>
      <w:rFonts w:ascii="Calibri" w:eastAsia="Calibri" w:hAnsi="Calibri"/>
      <w:sz w:val="22"/>
      <w:szCs w:val="22"/>
      <w:lang w:eastAsia="en-US"/>
    </w:rPr>
  </w:style>
  <w:style w:type="paragraph" w:styleId="Sumrio3">
    <w:name w:val="toc 3"/>
    <w:basedOn w:val="Normal"/>
    <w:next w:val="Normal"/>
    <w:autoRedefine/>
    <w:uiPriority w:val="39"/>
    <w:unhideWhenUsed/>
    <w:qFormat/>
    <w:rsid w:val="00CE42F3"/>
    <w:pPr>
      <w:spacing w:after="200" w:line="276" w:lineRule="auto"/>
      <w:ind w:left="440"/>
    </w:pPr>
    <w:rPr>
      <w:rFonts w:ascii="Calibri" w:eastAsia="Calibri" w:hAnsi="Calibri"/>
      <w:sz w:val="22"/>
      <w:szCs w:val="22"/>
      <w:lang w:eastAsia="en-US"/>
    </w:rPr>
  </w:style>
  <w:style w:type="paragraph" w:customStyle="1" w:styleId="Subtitulo">
    <w:name w:val="Subtitulo"/>
    <w:basedOn w:val="Recuodecorpodetexto2"/>
    <w:autoRedefine/>
    <w:rsid w:val="00CE42F3"/>
    <w:pPr>
      <w:ind w:left="0"/>
      <w:jc w:val="center"/>
    </w:pPr>
    <w:rPr>
      <w:rFonts w:ascii="Times New Roman" w:hAnsi="Times New Roman"/>
      <w:b/>
      <w:lang w:val="pt-BR" w:eastAsia="pt-BR"/>
    </w:rPr>
  </w:style>
  <w:style w:type="paragraph" w:customStyle="1" w:styleId="TabelaCabea">
    <w:name w:val="Tabela Cabeça"/>
    <w:basedOn w:val="Normal"/>
    <w:next w:val="TextoFio"/>
    <w:rsid w:val="00CE42F3"/>
    <w:pPr>
      <w:pBdr>
        <w:bottom w:val="single" w:sz="6" w:space="0" w:color="auto"/>
      </w:pBdr>
      <w:tabs>
        <w:tab w:val="center" w:pos="5586"/>
        <w:tab w:val="center" w:pos="8901"/>
        <w:tab w:val="right" w:pos="9700"/>
        <w:tab w:val="right" w:pos="10205"/>
      </w:tabs>
      <w:spacing w:line="300" w:lineRule="exact"/>
    </w:pPr>
    <w:rPr>
      <w:rFonts w:ascii="Fonte14767" w:hAnsi="Fonte14767"/>
      <w:color w:val="0000FF"/>
      <w:sz w:val="22"/>
      <w:szCs w:val="20"/>
    </w:rPr>
  </w:style>
  <w:style w:type="paragraph" w:customStyle="1" w:styleId="Total">
    <w:name w:val="Total"/>
    <w:basedOn w:val="Normal"/>
    <w:next w:val="Normal"/>
    <w:rsid w:val="00CE42F3"/>
    <w:pPr>
      <w:pBdr>
        <w:bottom w:val="single" w:sz="6" w:space="0" w:color="auto"/>
      </w:pBdr>
      <w:tabs>
        <w:tab w:val="right" w:pos="6803"/>
        <w:tab w:val="right" w:pos="9593"/>
        <w:tab w:val="right" w:pos="10205"/>
      </w:tabs>
      <w:spacing w:line="360" w:lineRule="exact"/>
    </w:pPr>
    <w:rPr>
      <w:rFonts w:ascii="New York" w:hAnsi="New York"/>
      <w:color w:val="0000FF"/>
      <w:sz w:val="22"/>
      <w:szCs w:val="20"/>
    </w:rPr>
  </w:style>
  <w:style w:type="paragraph" w:customStyle="1" w:styleId="titulos">
    <w:name w:val="titulos"/>
    <w:basedOn w:val="Normal"/>
    <w:rsid w:val="00CE42F3"/>
    <w:pPr>
      <w:pBdr>
        <w:top w:val="single" w:sz="12" w:space="0" w:color="auto"/>
      </w:pBdr>
    </w:pPr>
    <w:rPr>
      <w:rFonts w:ascii="Fonte5777" w:hAnsi="Fonte5777"/>
      <w:color w:val="FFFFFF"/>
      <w:sz w:val="48"/>
      <w:szCs w:val="20"/>
    </w:rPr>
  </w:style>
  <w:style w:type="paragraph" w:customStyle="1" w:styleId="TEXT1">
    <w:name w:val="TEXT 1"/>
    <w:basedOn w:val="Normal"/>
    <w:rsid w:val="00CE42F3"/>
    <w:pPr>
      <w:spacing w:before="120"/>
      <w:jc w:val="both"/>
    </w:pPr>
    <w:rPr>
      <w:rFonts w:ascii="Arial" w:hAnsi="Arial"/>
      <w:snapToGrid w:val="0"/>
      <w:color w:val="000000"/>
      <w:szCs w:val="20"/>
    </w:rPr>
  </w:style>
  <w:style w:type="paragraph" w:customStyle="1" w:styleId="bolinha-par">
    <w:name w:val="bolinha - par"/>
    <w:basedOn w:val="Normal"/>
    <w:next w:val="Ttulo8"/>
    <w:rsid w:val="00CE42F3"/>
    <w:pPr>
      <w:spacing w:before="57" w:line="240" w:lineRule="exact"/>
    </w:pPr>
    <w:rPr>
      <w:rFonts w:ascii="New York" w:hAnsi="New York"/>
      <w:sz w:val="20"/>
      <w:szCs w:val="20"/>
    </w:rPr>
  </w:style>
  <w:style w:type="paragraph" w:customStyle="1" w:styleId="Preformatted">
    <w:name w:val="Preformatted"/>
    <w:basedOn w:val="Normal"/>
    <w:rsid w:val="00CE42F3"/>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character" w:customStyle="1" w:styleId="Pr-formataoHTMLChar">
    <w:name w:val="Pré-formatação HTML Char"/>
    <w:link w:val="Pr-formataoHTML"/>
    <w:rsid w:val="00CE42F3"/>
    <w:rPr>
      <w:rFonts w:ascii="Courier New" w:hAnsi="Courier New" w:cs="Courier New"/>
      <w:color w:val="000000"/>
    </w:rPr>
  </w:style>
  <w:style w:type="paragraph" w:customStyle="1" w:styleId="xl41">
    <w:name w:val="xl41"/>
    <w:basedOn w:val="Normal"/>
    <w:rsid w:val="00CE42F3"/>
    <w:pPr>
      <w:pBdr>
        <w:top w:val="single" w:sz="4" w:space="0" w:color="auto"/>
        <w:left w:val="single" w:sz="4" w:space="0" w:color="C0C0C0"/>
        <w:bottom w:val="single" w:sz="4" w:space="0" w:color="C0C0C0"/>
        <w:right w:val="single" w:sz="4" w:space="0" w:color="C0C0C0"/>
      </w:pBdr>
      <w:spacing w:before="100" w:beforeAutospacing="1" w:after="100" w:afterAutospacing="1"/>
      <w:textAlignment w:val="center"/>
    </w:pPr>
  </w:style>
  <w:style w:type="paragraph" w:customStyle="1" w:styleId="EstiloArialJustificadoEspaamentoentrelinhasPelomenos16">
    <w:name w:val="Estilo Arial Justificado Espaçamento entre linhas:  Pelo menos 16 ..."/>
    <w:basedOn w:val="Normal"/>
    <w:rsid w:val="00CE42F3"/>
    <w:pPr>
      <w:spacing w:before="120" w:after="120" w:line="360" w:lineRule="auto"/>
      <w:ind w:firstLine="709"/>
      <w:jc w:val="both"/>
    </w:pPr>
    <w:rPr>
      <w:rFonts w:ascii="Arial" w:hAnsi="Arial"/>
      <w:sz w:val="20"/>
      <w:szCs w:val="20"/>
    </w:rPr>
  </w:style>
  <w:style w:type="paragraph" w:customStyle="1" w:styleId="H3">
    <w:name w:val="H3"/>
    <w:basedOn w:val="Normal"/>
    <w:next w:val="Normal"/>
    <w:rsid w:val="00CE42F3"/>
    <w:pPr>
      <w:keepNext/>
      <w:spacing w:before="100" w:after="100"/>
      <w:outlineLvl w:val="3"/>
    </w:pPr>
    <w:rPr>
      <w:b/>
      <w:snapToGrid w:val="0"/>
      <w:sz w:val="28"/>
      <w:szCs w:val="20"/>
    </w:rPr>
  </w:style>
  <w:style w:type="character" w:customStyle="1" w:styleId="WW8Num22z0">
    <w:name w:val="WW8Num22z0"/>
    <w:rsid w:val="00CE42F3"/>
    <w:rPr>
      <w:rFonts w:ascii="Symbol" w:hAnsi="Symbol"/>
    </w:rPr>
  </w:style>
  <w:style w:type="paragraph" w:customStyle="1" w:styleId="IPARAGR">
    <w:name w:val="I  PARAGR"/>
    <w:basedOn w:val="Normal"/>
    <w:rsid w:val="00CE42F3"/>
    <w:pPr>
      <w:spacing w:before="240" w:after="240"/>
      <w:jc w:val="both"/>
    </w:pPr>
    <w:rPr>
      <w:rFonts w:ascii="Arial" w:hAnsi="Arial"/>
      <w:b/>
      <w:szCs w:val="20"/>
    </w:rPr>
  </w:style>
  <w:style w:type="table" w:styleId="Tabelacomtema">
    <w:name w:val="Table Theme"/>
    <w:basedOn w:val="Tabelanormal"/>
    <w:rsid w:val="00CE42F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LegendaCentralizado">
    <w:name w:val="Estilo Legenda + Centralizado"/>
    <w:basedOn w:val="Legenda"/>
    <w:link w:val="EstiloLegendaCentralizadoChar"/>
    <w:autoRedefine/>
    <w:rsid w:val="00CE42F3"/>
    <w:rPr>
      <w:rFonts w:ascii="Times New Roman" w:hAnsi="Times New Roman"/>
      <w:bCs/>
      <w:spacing w:val="0"/>
      <w:sz w:val="20"/>
    </w:rPr>
  </w:style>
  <w:style w:type="character" w:customStyle="1" w:styleId="EstiloLegendaCentralizadoChar">
    <w:name w:val="Estilo Legenda + Centralizado Char"/>
    <w:link w:val="EstiloLegendaCentralizado"/>
    <w:rsid w:val="00CE42F3"/>
    <w:rPr>
      <w:b/>
      <w:bCs/>
    </w:rPr>
  </w:style>
  <w:style w:type="paragraph" w:customStyle="1" w:styleId="ListParagraph1">
    <w:name w:val="List Paragraph1"/>
    <w:basedOn w:val="Normal"/>
    <w:rsid w:val="00CE42F3"/>
    <w:pPr>
      <w:spacing w:after="200" w:line="276" w:lineRule="auto"/>
      <w:ind w:left="720"/>
    </w:pPr>
    <w:rPr>
      <w:rFonts w:ascii="Calibri" w:eastAsia="MS Mincho" w:hAnsi="Calibri"/>
      <w:sz w:val="22"/>
      <w:szCs w:val="22"/>
      <w:lang w:eastAsia="en-US"/>
    </w:rPr>
  </w:style>
  <w:style w:type="character" w:customStyle="1" w:styleId="font011">
    <w:name w:val="font011"/>
    <w:rsid w:val="00CE42F3"/>
    <w:rPr>
      <w:rFonts w:ascii="Verdana" w:hAnsi="Verdana"/>
      <w:b/>
      <w:i/>
      <w:sz w:val="15"/>
    </w:rPr>
  </w:style>
  <w:style w:type="paragraph" w:customStyle="1" w:styleId="newstitulo">
    <w:name w:val="newstitulo"/>
    <w:basedOn w:val="Normal"/>
    <w:rsid w:val="00CE42F3"/>
    <w:pPr>
      <w:spacing w:before="100" w:beforeAutospacing="1" w:after="100" w:afterAutospacing="1"/>
      <w:ind w:firstLine="1134"/>
      <w:jc w:val="both"/>
    </w:pPr>
  </w:style>
  <w:style w:type="character" w:customStyle="1" w:styleId="A10">
    <w:name w:val="A10"/>
    <w:rsid w:val="00CE42F3"/>
    <w:rPr>
      <w:rFonts w:ascii="Tw Cen MT" w:hAnsi="Tw Cen MT" w:cs="Tw Cen MT"/>
      <w:color w:val="000000"/>
      <w:sz w:val="44"/>
      <w:szCs w:val="44"/>
    </w:rPr>
  </w:style>
  <w:style w:type="paragraph" w:customStyle="1" w:styleId="Pa3">
    <w:name w:val="Pa3"/>
    <w:basedOn w:val="Default"/>
    <w:next w:val="Default"/>
    <w:rsid w:val="00CE42F3"/>
    <w:pPr>
      <w:widowControl/>
      <w:spacing w:line="241" w:lineRule="atLeast"/>
      <w:ind w:firstLine="1134"/>
      <w:jc w:val="both"/>
    </w:pPr>
    <w:rPr>
      <w:rFonts w:ascii="Calibri" w:hAnsi="Calibri"/>
    </w:rPr>
  </w:style>
  <w:style w:type="character" w:customStyle="1" w:styleId="st1">
    <w:name w:val="st1"/>
    <w:basedOn w:val="Fontepargpadro"/>
    <w:rsid w:val="00CE42F3"/>
  </w:style>
  <w:style w:type="paragraph" w:customStyle="1" w:styleId="Contedodatabela">
    <w:name w:val="Conteúdo da tabela"/>
    <w:basedOn w:val="Normal"/>
    <w:rsid w:val="00CE42F3"/>
    <w:pPr>
      <w:suppressLineNumbers/>
      <w:suppressAutoHyphens/>
    </w:pPr>
    <w:rPr>
      <w:lang w:eastAsia="ar-SA"/>
    </w:rPr>
  </w:style>
  <w:style w:type="character" w:customStyle="1" w:styleId="tituloespecializacao1">
    <w:name w:val="titulo_especializacao1"/>
    <w:rsid w:val="00CE42F3"/>
    <w:rPr>
      <w:color w:val="000000"/>
    </w:rPr>
  </w:style>
  <w:style w:type="paragraph" w:customStyle="1" w:styleId="Legenda1">
    <w:name w:val="Legenda1"/>
    <w:next w:val="Normal"/>
    <w:rsid w:val="00CE42F3"/>
    <w:pPr>
      <w:spacing w:before="200" w:after="440" w:line="336" w:lineRule="auto"/>
      <w:jc w:val="center"/>
    </w:pPr>
    <w:rPr>
      <w:rFonts w:ascii="Futura" w:eastAsia="ヒラギノ角ゴ Pro W3" w:hAnsi="Futura"/>
      <w:i/>
      <w:color w:val="000000"/>
      <w:lang w:val="pt-PT"/>
    </w:rPr>
  </w:style>
  <w:style w:type="character" w:customStyle="1" w:styleId="titre4">
    <w:name w:val="titre4"/>
    <w:rsid w:val="00CE42F3"/>
    <w:rPr>
      <w:b/>
      <w:bCs/>
      <w:strike w:val="0"/>
      <w:dstrike w:val="0"/>
      <w:vanish w:val="0"/>
      <w:webHidden w:val="0"/>
      <w:color w:val="000000"/>
      <w:u w:val="none"/>
      <w:effect w:val="none"/>
      <w:specVanish w:val="0"/>
    </w:rPr>
  </w:style>
  <w:style w:type="paragraph" w:styleId="Textodecomentrio">
    <w:name w:val="annotation text"/>
    <w:basedOn w:val="Normal"/>
    <w:link w:val="TextodecomentrioChar"/>
    <w:uiPriority w:val="99"/>
    <w:unhideWhenUsed/>
    <w:rsid w:val="00CE42F3"/>
    <w:pPr>
      <w:spacing w:after="200"/>
    </w:pPr>
    <w:rPr>
      <w:rFonts w:ascii="Calibri" w:eastAsia="Calibri" w:hAnsi="Calibri"/>
      <w:sz w:val="20"/>
      <w:szCs w:val="20"/>
      <w:lang w:eastAsia="en-US"/>
    </w:rPr>
  </w:style>
  <w:style w:type="character" w:customStyle="1" w:styleId="TextodecomentrioChar">
    <w:name w:val="Texto de comentário Char"/>
    <w:link w:val="Textodecomentrio"/>
    <w:uiPriority w:val="99"/>
    <w:rsid w:val="00CE42F3"/>
    <w:rPr>
      <w:rFonts w:ascii="Calibri" w:eastAsia="Calibri" w:hAnsi="Calibri"/>
      <w:lang w:eastAsia="en-US"/>
    </w:rPr>
  </w:style>
  <w:style w:type="character" w:customStyle="1" w:styleId="example1">
    <w:name w:val="example1"/>
    <w:basedOn w:val="Fontepargpadro"/>
    <w:rsid w:val="00CE42F3"/>
  </w:style>
  <w:style w:type="paragraph" w:customStyle="1" w:styleId="ListaColorida-nfase11">
    <w:name w:val="Lista Colorida - Ênfase 11"/>
    <w:basedOn w:val="Normal"/>
    <w:uiPriority w:val="34"/>
    <w:qFormat/>
    <w:rsid w:val="00CE42F3"/>
    <w:pPr>
      <w:ind w:left="720"/>
      <w:contextualSpacing/>
    </w:pPr>
  </w:style>
  <w:style w:type="character" w:customStyle="1" w:styleId="grame">
    <w:name w:val="grame"/>
    <w:basedOn w:val="Fontepargpadro"/>
    <w:rsid w:val="00CE42F3"/>
  </w:style>
  <w:style w:type="paragraph" w:customStyle="1" w:styleId="Pargrafobsico">
    <w:name w:val="[Parágrafo básico]"/>
    <w:basedOn w:val="Normal"/>
    <w:uiPriority w:val="99"/>
    <w:rsid w:val="00CE42F3"/>
    <w:pPr>
      <w:autoSpaceDE w:val="0"/>
      <w:autoSpaceDN w:val="0"/>
      <w:adjustRightInd w:val="0"/>
      <w:spacing w:line="288" w:lineRule="auto"/>
      <w:textAlignment w:val="center"/>
    </w:pPr>
    <w:rPr>
      <w:rFonts w:eastAsia="Calibri"/>
      <w:color w:val="000000"/>
      <w:lang w:eastAsia="en-US"/>
    </w:rPr>
  </w:style>
  <w:style w:type="paragraph" w:customStyle="1" w:styleId="style11">
    <w:name w:val="style11"/>
    <w:basedOn w:val="Normal"/>
    <w:rsid w:val="00CE42F3"/>
    <w:pPr>
      <w:spacing w:before="100" w:beforeAutospacing="1" w:after="100" w:afterAutospacing="1"/>
    </w:pPr>
  </w:style>
  <w:style w:type="paragraph" w:customStyle="1" w:styleId="Padro">
    <w:name w:val="Padrão"/>
    <w:rsid w:val="00CE42F3"/>
    <w:pPr>
      <w:tabs>
        <w:tab w:val="left" w:pos="708"/>
      </w:tabs>
      <w:suppressAutoHyphens/>
      <w:spacing w:after="200" w:line="276" w:lineRule="auto"/>
      <w:jc w:val="center"/>
    </w:pPr>
    <w:rPr>
      <w:rFonts w:ascii="Calibri" w:eastAsia="Calibri" w:hAnsi="Calibri"/>
      <w:color w:val="00000A"/>
      <w:sz w:val="22"/>
      <w:szCs w:val="22"/>
      <w:lang w:eastAsia="en-US"/>
    </w:rPr>
  </w:style>
  <w:style w:type="character" w:customStyle="1" w:styleId="PargrafodaListaChar">
    <w:name w:val="Parágrafo da Lista Char"/>
    <w:link w:val="PargrafodaLista"/>
    <w:uiPriority w:val="34"/>
    <w:locked/>
    <w:rsid w:val="00CE42F3"/>
    <w:rPr>
      <w:rFonts w:ascii="Calibri" w:eastAsia="Calibri" w:hAnsi="Calibri"/>
      <w:sz w:val="22"/>
      <w:szCs w:val="22"/>
      <w:lang w:eastAsia="en-US"/>
    </w:rPr>
  </w:style>
  <w:style w:type="paragraph" w:customStyle="1" w:styleId="novo">
    <w:name w:val="novo"/>
    <w:basedOn w:val="Normal"/>
    <w:rsid w:val="00CE42F3"/>
    <w:pPr>
      <w:keepNext/>
      <w:spacing w:before="600"/>
      <w:jc w:val="both"/>
    </w:pPr>
    <w:rPr>
      <w:b/>
      <w:bCs/>
    </w:rPr>
  </w:style>
  <w:style w:type="paragraph" w:customStyle="1" w:styleId="ndice">
    <w:name w:val="Índice"/>
    <w:basedOn w:val="Normal"/>
    <w:uiPriority w:val="99"/>
    <w:rsid w:val="00CE42F3"/>
    <w:pPr>
      <w:suppressLineNumbers/>
      <w:suppressAutoHyphens/>
    </w:pPr>
    <w:rPr>
      <w:lang w:eastAsia="ar-SA"/>
    </w:rPr>
  </w:style>
  <w:style w:type="paragraph" w:customStyle="1" w:styleId="--maparodasp">
    <w:name w:val="--&gt;maparodasp"/>
    <w:basedOn w:val="Normal"/>
    <w:rsid w:val="00CE42F3"/>
    <w:pPr>
      <w:spacing w:before="100" w:beforeAutospacing="1" w:after="204" w:line="245" w:lineRule="atLeast"/>
    </w:pPr>
  </w:style>
  <w:style w:type="character" w:customStyle="1" w:styleId="texto14px">
    <w:name w:val="texto14px"/>
    <w:uiPriority w:val="99"/>
    <w:rsid w:val="00CE42F3"/>
    <w:rPr>
      <w:rFonts w:cs="Times New Roman"/>
    </w:rPr>
  </w:style>
  <w:style w:type="paragraph" w:styleId="Lista">
    <w:name w:val="List"/>
    <w:basedOn w:val="Corpodetexto"/>
    <w:unhideWhenUsed/>
    <w:rsid w:val="00CE42F3"/>
    <w:pPr>
      <w:widowControl w:val="0"/>
      <w:suppressAutoHyphens/>
      <w:spacing w:after="120"/>
    </w:pPr>
    <w:rPr>
      <w:rFonts w:eastAsia="Lucida Sans Unicode" w:cs="Tahoma"/>
      <w:b w:val="0"/>
      <w:bCs w:val="0"/>
      <w:kern w:val="2"/>
      <w:szCs w:val="24"/>
      <w:lang w:eastAsia="pt-BR"/>
    </w:rPr>
  </w:style>
  <w:style w:type="paragraph" w:customStyle="1" w:styleId="Captulo">
    <w:name w:val="Capítulo"/>
    <w:basedOn w:val="Normal"/>
    <w:next w:val="Corpodetexto"/>
    <w:rsid w:val="00CE42F3"/>
    <w:pPr>
      <w:keepNext/>
      <w:widowControl w:val="0"/>
      <w:suppressAutoHyphens/>
      <w:spacing w:before="240" w:after="120"/>
    </w:pPr>
    <w:rPr>
      <w:rFonts w:ascii="Arial" w:eastAsia="MS Mincho" w:hAnsi="Arial" w:cs="Tahoma"/>
      <w:kern w:val="2"/>
      <w:sz w:val="28"/>
      <w:szCs w:val="28"/>
    </w:rPr>
  </w:style>
  <w:style w:type="paragraph" w:customStyle="1" w:styleId="Contedodetabela">
    <w:name w:val="Conteúdo de tabela"/>
    <w:basedOn w:val="Normal"/>
    <w:rsid w:val="00CE42F3"/>
    <w:pPr>
      <w:widowControl w:val="0"/>
      <w:suppressLineNumbers/>
      <w:suppressAutoHyphens/>
    </w:pPr>
    <w:rPr>
      <w:rFonts w:eastAsia="Lucida Sans Unicode"/>
      <w:kern w:val="2"/>
    </w:rPr>
  </w:style>
  <w:style w:type="paragraph" w:customStyle="1" w:styleId="Contedodoquadro">
    <w:name w:val="Conteúdo do quadro"/>
    <w:basedOn w:val="Corpodetexto"/>
    <w:rsid w:val="00CE42F3"/>
    <w:pPr>
      <w:widowControl w:val="0"/>
      <w:suppressAutoHyphens/>
      <w:spacing w:after="120"/>
    </w:pPr>
    <w:rPr>
      <w:rFonts w:eastAsia="Lucida Sans Unicode"/>
      <w:b w:val="0"/>
      <w:bCs w:val="0"/>
      <w:kern w:val="2"/>
      <w:szCs w:val="24"/>
      <w:lang w:eastAsia="pt-BR"/>
    </w:rPr>
  </w:style>
  <w:style w:type="character" w:customStyle="1" w:styleId="WW8Num1z0">
    <w:name w:val="WW8Num1z0"/>
    <w:rsid w:val="00CE42F3"/>
    <w:rPr>
      <w:rFonts w:ascii="Symbol" w:hAnsi="Symbol" w:cs="StarSymbol" w:hint="default"/>
      <w:sz w:val="18"/>
      <w:szCs w:val="18"/>
    </w:rPr>
  </w:style>
  <w:style w:type="character" w:customStyle="1" w:styleId="WW8Num3z0">
    <w:name w:val="WW8Num3z0"/>
    <w:rsid w:val="00CE42F3"/>
    <w:rPr>
      <w:rFonts w:ascii="Symbol" w:hAnsi="Symbol" w:hint="default"/>
    </w:rPr>
  </w:style>
  <w:style w:type="character" w:customStyle="1" w:styleId="WW8Num3z1">
    <w:name w:val="WW8Num3z1"/>
    <w:rsid w:val="00CE42F3"/>
    <w:rPr>
      <w:rFonts w:ascii="Courier New" w:hAnsi="Courier New" w:cs="Courier New" w:hint="default"/>
    </w:rPr>
  </w:style>
  <w:style w:type="character" w:customStyle="1" w:styleId="WW8Num3z2">
    <w:name w:val="WW8Num3z2"/>
    <w:rsid w:val="00CE42F3"/>
    <w:rPr>
      <w:rFonts w:ascii="Wingdings" w:hAnsi="Wingdings" w:hint="default"/>
    </w:rPr>
  </w:style>
  <w:style w:type="character" w:customStyle="1" w:styleId="WW8Num4z0">
    <w:name w:val="WW8Num4z0"/>
    <w:rsid w:val="00CE42F3"/>
    <w:rPr>
      <w:rFonts w:ascii="Symbol" w:hAnsi="Symbol" w:hint="default"/>
    </w:rPr>
  </w:style>
  <w:style w:type="character" w:customStyle="1" w:styleId="WW8Num4z1">
    <w:name w:val="WW8Num4z1"/>
    <w:rsid w:val="00CE42F3"/>
    <w:rPr>
      <w:rFonts w:ascii="Courier New" w:hAnsi="Courier New" w:cs="Courier New" w:hint="default"/>
    </w:rPr>
  </w:style>
  <w:style w:type="character" w:customStyle="1" w:styleId="WW8Num4z2">
    <w:name w:val="WW8Num4z2"/>
    <w:rsid w:val="00CE42F3"/>
    <w:rPr>
      <w:rFonts w:ascii="Wingdings" w:hAnsi="Wingdings" w:hint="default"/>
    </w:rPr>
  </w:style>
  <w:style w:type="character" w:customStyle="1" w:styleId="WW8Num5z0">
    <w:name w:val="WW8Num5z0"/>
    <w:rsid w:val="00CE42F3"/>
    <w:rPr>
      <w:rFonts w:ascii="Symbol" w:hAnsi="Symbol" w:hint="default"/>
    </w:rPr>
  </w:style>
  <w:style w:type="character" w:customStyle="1" w:styleId="WW8Num6z0">
    <w:name w:val="WW8Num6z0"/>
    <w:rsid w:val="00CE42F3"/>
    <w:rPr>
      <w:rFonts w:ascii="Symbol" w:hAnsi="Symbol" w:hint="default"/>
    </w:rPr>
  </w:style>
  <w:style w:type="character" w:customStyle="1" w:styleId="Absatz-Standardschriftart">
    <w:name w:val="Absatz-Standardschriftart"/>
    <w:rsid w:val="00CE42F3"/>
  </w:style>
  <w:style w:type="character" w:customStyle="1" w:styleId="WW-Absatz-Standardschriftart">
    <w:name w:val="WW-Absatz-Standardschriftart"/>
    <w:rsid w:val="00CE42F3"/>
  </w:style>
  <w:style w:type="character" w:customStyle="1" w:styleId="WW-Absatz-Standardschriftart1">
    <w:name w:val="WW-Absatz-Standardschriftart1"/>
    <w:rsid w:val="00CE42F3"/>
  </w:style>
  <w:style w:type="character" w:customStyle="1" w:styleId="WW-Absatz-Standardschriftart11">
    <w:name w:val="WW-Absatz-Standardschriftart11"/>
    <w:rsid w:val="00CE42F3"/>
  </w:style>
  <w:style w:type="character" w:customStyle="1" w:styleId="WW8Num5z1">
    <w:name w:val="WW8Num5z1"/>
    <w:rsid w:val="00CE42F3"/>
    <w:rPr>
      <w:rFonts w:ascii="Courier New" w:hAnsi="Courier New" w:cs="Courier New" w:hint="default"/>
    </w:rPr>
  </w:style>
  <w:style w:type="character" w:customStyle="1" w:styleId="WW8Num5z2">
    <w:name w:val="WW8Num5z2"/>
    <w:rsid w:val="00CE42F3"/>
    <w:rPr>
      <w:rFonts w:ascii="Wingdings" w:hAnsi="Wingdings" w:hint="default"/>
    </w:rPr>
  </w:style>
  <w:style w:type="character" w:customStyle="1" w:styleId="WW8Num9z0">
    <w:name w:val="WW8Num9z0"/>
    <w:rsid w:val="00CE42F3"/>
    <w:rPr>
      <w:rFonts w:ascii="Symbol" w:hAnsi="Symbol" w:hint="default"/>
    </w:rPr>
  </w:style>
  <w:style w:type="character" w:customStyle="1" w:styleId="WW8Num9z1">
    <w:name w:val="WW8Num9z1"/>
    <w:rsid w:val="00CE42F3"/>
    <w:rPr>
      <w:rFonts w:ascii="Courier New" w:hAnsi="Courier New" w:cs="Courier New" w:hint="default"/>
    </w:rPr>
  </w:style>
  <w:style w:type="character" w:customStyle="1" w:styleId="WW8Num9z2">
    <w:name w:val="WW8Num9z2"/>
    <w:rsid w:val="00CE42F3"/>
    <w:rPr>
      <w:rFonts w:ascii="Wingdings" w:hAnsi="Wingdings" w:hint="default"/>
    </w:rPr>
  </w:style>
  <w:style w:type="character" w:customStyle="1" w:styleId="WW8Num12z0">
    <w:name w:val="WW8Num12z0"/>
    <w:rsid w:val="00CE42F3"/>
    <w:rPr>
      <w:rFonts w:ascii="Symbol" w:hAnsi="Symbol" w:hint="default"/>
    </w:rPr>
  </w:style>
  <w:style w:type="character" w:customStyle="1" w:styleId="WW8Num12z1">
    <w:name w:val="WW8Num12z1"/>
    <w:rsid w:val="00CE42F3"/>
    <w:rPr>
      <w:rFonts w:ascii="Courier New" w:hAnsi="Courier New" w:cs="Courier New" w:hint="default"/>
    </w:rPr>
  </w:style>
  <w:style w:type="character" w:customStyle="1" w:styleId="WW8Num12z2">
    <w:name w:val="WW8Num12z2"/>
    <w:rsid w:val="00CE42F3"/>
    <w:rPr>
      <w:rFonts w:ascii="Wingdings" w:hAnsi="Wingdings" w:hint="default"/>
    </w:rPr>
  </w:style>
  <w:style w:type="character" w:customStyle="1" w:styleId="WW8Num10z0">
    <w:name w:val="WW8Num10z0"/>
    <w:rsid w:val="00CE42F3"/>
    <w:rPr>
      <w:rFonts w:ascii="Symbol" w:hAnsi="Symbol" w:hint="default"/>
    </w:rPr>
  </w:style>
  <w:style w:type="character" w:customStyle="1" w:styleId="WW8Num10z1">
    <w:name w:val="WW8Num10z1"/>
    <w:rsid w:val="00CE42F3"/>
    <w:rPr>
      <w:rFonts w:ascii="Courier New" w:hAnsi="Courier New" w:cs="Courier New" w:hint="default"/>
    </w:rPr>
  </w:style>
  <w:style w:type="character" w:customStyle="1" w:styleId="WW8Num10z2">
    <w:name w:val="WW8Num10z2"/>
    <w:rsid w:val="00CE42F3"/>
    <w:rPr>
      <w:rFonts w:ascii="Wingdings" w:hAnsi="Wingdings" w:hint="default"/>
    </w:rPr>
  </w:style>
  <w:style w:type="paragraph" w:styleId="Sumrio4">
    <w:name w:val="toc 4"/>
    <w:basedOn w:val="Corpodetexto"/>
    <w:next w:val="Corpodetexto"/>
    <w:autoRedefine/>
    <w:rsid w:val="00CE42F3"/>
    <w:pPr>
      <w:tabs>
        <w:tab w:val="left" w:pos="1418"/>
        <w:tab w:val="right" w:leader="dot" w:pos="9062"/>
      </w:tabs>
      <w:spacing w:line="360" w:lineRule="auto"/>
      <w:ind w:left="720" w:hanging="294"/>
    </w:pPr>
    <w:rPr>
      <w:rFonts w:ascii="Arial" w:hAnsi="Arial" w:cs="Arial"/>
      <w:b w:val="0"/>
      <w:bCs w:val="0"/>
      <w:noProof/>
      <w:sz w:val="26"/>
      <w:szCs w:val="26"/>
      <w:lang w:eastAsia="pt-BR"/>
    </w:rPr>
  </w:style>
  <w:style w:type="table" w:customStyle="1" w:styleId="SombreadoClaro">
    <w:name w:val="Sombreado Claro"/>
    <w:basedOn w:val="Tabelanormal"/>
    <w:uiPriority w:val="60"/>
    <w:rsid w:val="00CE42F3"/>
    <w:rPr>
      <w:rFonts w:ascii="Calibri" w:eastAsia="Calibri" w:hAnsi="Calibri"/>
      <w:color w:val="00000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Refdecomentrio">
    <w:name w:val="annotation reference"/>
    <w:rsid w:val="00CE42F3"/>
    <w:rPr>
      <w:sz w:val="16"/>
      <w:szCs w:val="16"/>
    </w:rPr>
  </w:style>
  <w:style w:type="paragraph" w:styleId="Assuntodocomentrio">
    <w:name w:val="annotation subject"/>
    <w:basedOn w:val="Textodecomentrio"/>
    <w:next w:val="Textodecomentrio"/>
    <w:link w:val="AssuntodocomentrioChar"/>
    <w:rsid w:val="00CE42F3"/>
    <w:pPr>
      <w:spacing w:after="0"/>
    </w:pPr>
    <w:rPr>
      <w:b/>
      <w:bCs/>
    </w:rPr>
  </w:style>
  <w:style w:type="character" w:customStyle="1" w:styleId="AssuntodocomentrioChar">
    <w:name w:val="Assunto do comentário Char"/>
    <w:link w:val="Assuntodocomentrio"/>
    <w:rsid w:val="00CE42F3"/>
    <w:rPr>
      <w:rFonts w:ascii="Calibri" w:eastAsia="Calibri" w:hAnsi="Calibri"/>
      <w:b/>
      <w:bCs/>
    </w:rPr>
  </w:style>
  <w:style w:type="paragraph" w:styleId="Reviso">
    <w:name w:val="Revision"/>
    <w:hidden/>
    <w:uiPriority w:val="99"/>
    <w:semiHidden/>
    <w:rsid w:val="00CE42F3"/>
    <w:pPr>
      <w:jc w:val="center"/>
    </w:pPr>
    <w:rPr>
      <w:sz w:val="24"/>
      <w:szCs w:val="24"/>
    </w:rPr>
  </w:style>
  <w:style w:type="paragraph" w:customStyle="1" w:styleId="Style10">
    <w:name w:val="Style 1"/>
    <w:basedOn w:val="Normal"/>
    <w:uiPriority w:val="99"/>
    <w:rsid w:val="00CE42F3"/>
    <w:pPr>
      <w:widowControl w:val="0"/>
      <w:autoSpaceDE w:val="0"/>
      <w:autoSpaceDN w:val="0"/>
      <w:adjustRightInd w:val="0"/>
    </w:pPr>
    <w:rPr>
      <w:sz w:val="20"/>
      <w:szCs w:val="20"/>
      <w:lang w:val="en-US"/>
    </w:rPr>
  </w:style>
  <w:style w:type="character" w:customStyle="1" w:styleId="CitaoChar1">
    <w:name w:val="Citação Char1"/>
    <w:uiPriority w:val="29"/>
    <w:rsid w:val="00CE42F3"/>
    <w:rPr>
      <w:i/>
      <w:iCs/>
      <w:color w:val="000000"/>
      <w:sz w:val="24"/>
      <w:szCs w:val="24"/>
    </w:rPr>
  </w:style>
  <w:style w:type="character" w:customStyle="1" w:styleId="CitaoIntensaChar1">
    <w:name w:val="Citação Intensa Char1"/>
    <w:uiPriority w:val="30"/>
    <w:rsid w:val="00CE42F3"/>
    <w:rPr>
      <w:b/>
      <w:bCs/>
      <w:i/>
      <w:iCs/>
      <w:color w:val="4F81BD"/>
      <w:sz w:val="24"/>
      <w:szCs w:val="24"/>
    </w:rPr>
  </w:style>
  <w:style w:type="character" w:customStyle="1" w:styleId="textossubtitles1">
    <w:name w:val="textossubtitles1"/>
    <w:rsid w:val="00CE42F3"/>
    <w:rPr>
      <w:rFonts w:ascii="Trebuchet MS" w:hAnsi="Trebuchet MS" w:hint="default"/>
      <w:b/>
      <w:bCs/>
      <w:color w:val="FDB913"/>
      <w:sz w:val="20"/>
      <w:szCs w:val="20"/>
    </w:rPr>
  </w:style>
  <w:style w:type="character" w:customStyle="1" w:styleId="st">
    <w:name w:val="st"/>
    <w:rsid w:val="00CE42F3"/>
    <w:rPr>
      <w:rFonts w:cs="Times New Roman"/>
    </w:rPr>
  </w:style>
  <w:style w:type="character" w:styleId="CitaoHTML">
    <w:name w:val="HTML Cite"/>
    <w:rsid w:val="00CE42F3"/>
    <w:rPr>
      <w:i/>
      <w:iCs/>
    </w:rPr>
  </w:style>
  <w:style w:type="paragraph" w:customStyle="1" w:styleId="Textoembloco1">
    <w:name w:val="Texto em bloco1"/>
    <w:basedOn w:val="Normal"/>
    <w:rsid w:val="00CE42F3"/>
    <w:pPr>
      <w:pBdr>
        <w:top w:val="single" w:sz="4" w:space="1" w:color="000000"/>
        <w:left w:val="single" w:sz="4" w:space="1" w:color="000000"/>
        <w:bottom w:val="single" w:sz="4" w:space="1" w:color="000000"/>
        <w:right w:val="single" w:sz="4" w:space="1" w:color="000000"/>
      </w:pBdr>
      <w:shd w:val="clear" w:color="auto" w:fill="DFDFDF"/>
      <w:suppressAutoHyphens/>
      <w:ind w:left="1418" w:right="934"/>
    </w:pPr>
    <w:rPr>
      <w:rFonts w:ascii="Arial" w:hAnsi="Arial"/>
      <w:sz w:val="32"/>
      <w:szCs w:val="20"/>
      <w:lang w:eastAsia="ar-SA"/>
    </w:rPr>
  </w:style>
  <w:style w:type="paragraph" w:customStyle="1" w:styleId="ManualTit1">
    <w:name w:val="ManualTit1"/>
    <w:basedOn w:val="Normal"/>
    <w:next w:val="Normal"/>
    <w:autoRedefine/>
    <w:qFormat/>
    <w:rsid w:val="00CE42F3"/>
    <w:pPr>
      <w:numPr>
        <w:numId w:val="247"/>
      </w:numPr>
      <w:spacing w:before="480" w:line="276" w:lineRule="auto"/>
      <w:ind w:left="284" w:hanging="284"/>
      <w:contextualSpacing/>
      <w:outlineLvl w:val="0"/>
    </w:pPr>
    <w:rPr>
      <w:rFonts w:ascii="Calibri" w:hAnsi="Calibri" w:cs="Arial"/>
      <w:b/>
      <w:sz w:val="32"/>
      <w:szCs w:val="32"/>
      <w:lang w:eastAsia="en-US" w:bidi="en-US"/>
    </w:rPr>
  </w:style>
  <w:style w:type="paragraph" w:customStyle="1" w:styleId="Titulo2">
    <w:name w:val="Titulo 2"/>
    <w:basedOn w:val="Normal"/>
    <w:next w:val="Estilo1"/>
    <w:autoRedefine/>
    <w:rsid w:val="00CE42F3"/>
    <w:pPr>
      <w:numPr>
        <w:ilvl w:val="1"/>
        <w:numId w:val="247"/>
      </w:numPr>
      <w:spacing w:before="120" w:after="120" w:line="276" w:lineRule="auto"/>
      <w:ind w:hanging="825"/>
      <w:contextualSpacing/>
      <w:outlineLvl w:val="0"/>
    </w:pPr>
    <w:rPr>
      <w:rFonts w:ascii="Calibri" w:eastAsia="Arial" w:hAnsi="Calibri" w:cs="Arial"/>
      <w:b/>
      <w:sz w:val="32"/>
      <w:lang w:eastAsia="en-US" w:bidi="en-US"/>
    </w:rPr>
  </w:style>
  <w:style w:type="paragraph" w:customStyle="1" w:styleId="subtitulo0">
    <w:name w:val="subtitulo"/>
    <w:basedOn w:val="Titulo2"/>
    <w:link w:val="subtituloChar"/>
    <w:qFormat/>
    <w:rsid w:val="00CE42F3"/>
  </w:style>
  <w:style w:type="character" w:customStyle="1" w:styleId="subtituloChar">
    <w:name w:val="subtitulo Char"/>
    <w:link w:val="subtitulo0"/>
    <w:rsid w:val="00CE42F3"/>
    <w:rPr>
      <w:rFonts w:ascii="Calibri" w:eastAsia="Arial" w:hAnsi="Calibri" w:cs="Arial"/>
      <w:b/>
      <w:sz w:val="32"/>
      <w:szCs w:val="24"/>
      <w:lang w:eastAsia="en-US" w:bidi="en-US"/>
    </w:rPr>
  </w:style>
  <w:style w:type="table" w:styleId="TabeladaWeb1">
    <w:name w:val="Table Web 1"/>
    <w:basedOn w:val="Tabelanormal"/>
    <w:rsid w:val="00CE42F3"/>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CabealhodoSumrio">
    <w:name w:val="TOC Heading"/>
    <w:basedOn w:val="Ttulo1"/>
    <w:next w:val="Normal"/>
    <w:uiPriority w:val="39"/>
    <w:qFormat/>
    <w:rsid w:val="00CE42F3"/>
    <w:pPr>
      <w:keepLines/>
      <w:spacing w:before="480" w:after="0" w:line="276" w:lineRule="auto"/>
      <w:outlineLvl w:val="9"/>
    </w:pPr>
    <w:rPr>
      <w:rFonts w:ascii="Cambria" w:hAnsi="Cambria"/>
      <w:color w:val="365F91"/>
      <w:kern w:val="0"/>
      <w:sz w:val="28"/>
      <w:szCs w:val="28"/>
      <w:lang w:val="pt-BR"/>
    </w:rPr>
  </w:style>
  <w:style w:type="table" w:styleId="Tabelaemcolunas5">
    <w:name w:val="Table Columns 5"/>
    <w:basedOn w:val="Tabelanormal"/>
    <w:rsid w:val="00CE42F3"/>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aWeb2">
    <w:name w:val="Table Web 2"/>
    <w:basedOn w:val="Tabelanormal"/>
    <w:rsid w:val="00CE42F3"/>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colorida2">
    <w:name w:val="Table Colorful 2"/>
    <w:basedOn w:val="Tabelanormal"/>
    <w:rsid w:val="00CE42F3"/>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ListaClara-nfase11">
    <w:name w:val="Lista Clara - Ênfase 11"/>
    <w:basedOn w:val="Tabelanormal"/>
    <w:uiPriority w:val="61"/>
    <w:rsid w:val="00CE42F3"/>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Partesuperior-zdoformulrio">
    <w:name w:val="HTML Top of Form"/>
    <w:basedOn w:val="Normal"/>
    <w:next w:val="Normal"/>
    <w:link w:val="Partesuperior-zdoformulrioChar"/>
    <w:hidden/>
    <w:uiPriority w:val="99"/>
    <w:unhideWhenUsed/>
    <w:rsid w:val="00CE42F3"/>
    <w:pPr>
      <w:pBdr>
        <w:bottom w:val="single" w:sz="6" w:space="1" w:color="auto"/>
      </w:pBdr>
    </w:pPr>
    <w:rPr>
      <w:rFonts w:ascii="Arial" w:hAnsi="Arial"/>
      <w:vanish/>
      <w:sz w:val="16"/>
      <w:szCs w:val="16"/>
    </w:rPr>
  </w:style>
  <w:style w:type="character" w:customStyle="1" w:styleId="Partesuperior-zdoformulrioChar">
    <w:name w:val="Parte superior-z do formulário Char"/>
    <w:link w:val="Partesuperior-zdoformulrio"/>
    <w:uiPriority w:val="99"/>
    <w:rsid w:val="00CE42F3"/>
    <w:rPr>
      <w:rFonts w:ascii="Arial" w:hAnsi="Arial"/>
      <w:vanish/>
      <w:sz w:val="16"/>
      <w:szCs w:val="16"/>
    </w:rPr>
  </w:style>
  <w:style w:type="paragraph" w:styleId="Parteinferiordoformulrio">
    <w:name w:val="HTML Bottom of Form"/>
    <w:basedOn w:val="Normal"/>
    <w:next w:val="Normal"/>
    <w:link w:val="ParteinferiordoformulrioChar"/>
    <w:hidden/>
    <w:uiPriority w:val="99"/>
    <w:unhideWhenUsed/>
    <w:rsid w:val="00CE42F3"/>
    <w:pPr>
      <w:pBdr>
        <w:top w:val="single" w:sz="6" w:space="1" w:color="auto"/>
      </w:pBdr>
    </w:pPr>
    <w:rPr>
      <w:rFonts w:ascii="Arial" w:hAnsi="Arial"/>
      <w:vanish/>
      <w:sz w:val="16"/>
      <w:szCs w:val="16"/>
    </w:rPr>
  </w:style>
  <w:style w:type="character" w:customStyle="1" w:styleId="ParteinferiordoformulrioChar">
    <w:name w:val="Parte inferior do formulário Char"/>
    <w:link w:val="Parteinferiordoformulrio"/>
    <w:uiPriority w:val="99"/>
    <w:rsid w:val="00CE42F3"/>
    <w:rPr>
      <w:rFonts w:ascii="Arial" w:hAnsi="Arial"/>
      <w:vanish/>
      <w:sz w:val="16"/>
      <w:szCs w:val="16"/>
    </w:rPr>
  </w:style>
  <w:style w:type="table" w:customStyle="1" w:styleId="SombreamentoClaro-nfase11">
    <w:name w:val="Sombreamento Claro - Ênfase 11"/>
    <w:basedOn w:val="Tabelanormal"/>
    <w:uiPriority w:val="60"/>
    <w:rsid w:val="00CE42F3"/>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elaclssica1">
    <w:name w:val="Table Classic 1"/>
    <w:basedOn w:val="Tabelanormal"/>
    <w:rsid w:val="00CE42F3"/>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GradeClara-nfase11">
    <w:name w:val="Grade Clara - Ênfase 11"/>
    <w:basedOn w:val="Tabelanormal"/>
    <w:uiPriority w:val="62"/>
    <w:rsid w:val="00CE42F3"/>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SombreamentoClaro1">
    <w:name w:val="Sombreamento Claro1"/>
    <w:basedOn w:val="Tabelanormal"/>
    <w:uiPriority w:val="60"/>
    <w:rsid w:val="00CE42F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staMdia1-nfase11">
    <w:name w:val="Lista Média 1 - Ênfase 11"/>
    <w:basedOn w:val="Tabelanormal"/>
    <w:uiPriority w:val="65"/>
    <w:rsid w:val="00CE42F3"/>
    <w:rPr>
      <w:rFonts w:ascii="Calibri" w:eastAsia="Calibri" w:hAnsi="Calibri"/>
      <w:color w:val="000000"/>
      <w:lang w:eastAsia="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Tabelaclssica3">
    <w:name w:val="Table Classic 3"/>
    <w:basedOn w:val="Tabelanormal"/>
    <w:rsid w:val="00CE42F3"/>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clssica4">
    <w:name w:val="Table Classic 4"/>
    <w:basedOn w:val="Tabelanormal"/>
    <w:rsid w:val="00CE42F3"/>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elegante">
    <w:name w:val="Table Elegant"/>
    <w:basedOn w:val="Tabelanormal"/>
    <w:rsid w:val="00CE42F3"/>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xl65">
    <w:name w:val="xl65"/>
    <w:basedOn w:val="Normal"/>
    <w:rsid w:val="00CE42F3"/>
    <w:pPr>
      <w:spacing w:before="100" w:beforeAutospacing="1" w:after="100" w:afterAutospacing="1"/>
      <w:textAlignment w:val="center"/>
    </w:pPr>
  </w:style>
  <w:style w:type="paragraph" w:customStyle="1" w:styleId="xl66">
    <w:name w:val="xl66"/>
    <w:basedOn w:val="Normal"/>
    <w:rsid w:val="00CE42F3"/>
    <w:pPr>
      <w:pBdr>
        <w:top w:val="single" w:sz="4" w:space="0" w:color="auto"/>
        <w:left w:val="single" w:sz="4" w:space="0" w:color="auto"/>
        <w:bottom w:val="single" w:sz="4" w:space="0" w:color="auto"/>
        <w:right w:val="single" w:sz="4" w:space="0" w:color="auto"/>
      </w:pBdr>
      <w:shd w:val="clear" w:color="000000" w:fill="CCCCCC"/>
      <w:spacing w:before="100" w:beforeAutospacing="1" w:after="100" w:afterAutospacing="1"/>
      <w:textAlignment w:val="center"/>
    </w:pPr>
    <w:rPr>
      <w:b/>
      <w:bCs/>
      <w:color w:val="000000"/>
      <w:sz w:val="16"/>
      <w:szCs w:val="16"/>
    </w:rPr>
  </w:style>
  <w:style w:type="paragraph" w:customStyle="1" w:styleId="xl67">
    <w:name w:val="xl67"/>
    <w:basedOn w:val="Normal"/>
    <w:rsid w:val="00CE42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sz w:val="16"/>
      <w:szCs w:val="16"/>
    </w:rPr>
  </w:style>
  <w:style w:type="paragraph" w:customStyle="1" w:styleId="xl68">
    <w:name w:val="xl68"/>
    <w:basedOn w:val="Normal"/>
    <w:rsid w:val="00CE42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color w:val="000000"/>
      <w:sz w:val="16"/>
      <w:szCs w:val="16"/>
    </w:rPr>
  </w:style>
  <w:style w:type="paragraph" w:customStyle="1" w:styleId="xl69">
    <w:name w:val="xl69"/>
    <w:basedOn w:val="Normal"/>
    <w:rsid w:val="00CE42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color w:val="000000"/>
      <w:sz w:val="16"/>
      <w:szCs w:val="16"/>
    </w:rPr>
  </w:style>
  <w:style w:type="paragraph" w:customStyle="1" w:styleId="xl70">
    <w:name w:val="xl70"/>
    <w:basedOn w:val="Normal"/>
    <w:rsid w:val="00CE42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color w:val="000000"/>
      <w:sz w:val="16"/>
      <w:szCs w:val="16"/>
    </w:rPr>
  </w:style>
  <w:style w:type="paragraph" w:customStyle="1" w:styleId="xl71">
    <w:name w:val="xl71"/>
    <w:basedOn w:val="Normal"/>
    <w:rsid w:val="00CE42F3"/>
    <w:pPr>
      <w:pBdr>
        <w:top w:val="single" w:sz="4" w:space="0" w:color="auto"/>
        <w:left w:val="single" w:sz="4" w:space="0" w:color="auto"/>
        <w:bottom w:val="single" w:sz="4" w:space="0" w:color="auto"/>
        <w:right w:val="single" w:sz="4" w:space="0" w:color="auto"/>
      </w:pBdr>
      <w:shd w:val="clear" w:color="000000" w:fill="CCCCCC"/>
      <w:spacing w:before="100" w:beforeAutospacing="1" w:after="100" w:afterAutospacing="1"/>
      <w:jc w:val="right"/>
    </w:pPr>
    <w:rPr>
      <w:b/>
      <w:bCs/>
      <w:color w:val="000000"/>
      <w:sz w:val="16"/>
      <w:szCs w:val="16"/>
    </w:rPr>
  </w:style>
  <w:style w:type="paragraph" w:customStyle="1" w:styleId="xl72">
    <w:name w:val="xl72"/>
    <w:basedOn w:val="Normal"/>
    <w:rsid w:val="00CE42F3"/>
    <w:pPr>
      <w:pBdr>
        <w:top w:val="single" w:sz="4" w:space="0" w:color="auto"/>
        <w:left w:val="single" w:sz="4" w:space="0" w:color="auto"/>
        <w:bottom w:val="single" w:sz="4" w:space="0" w:color="auto"/>
        <w:right w:val="single" w:sz="4" w:space="0" w:color="auto"/>
      </w:pBdr>
      <w:shd w:val="clear" w:color="000000" w:fill="CCCCCC"/>
      <w:spacing w:before="100" w:beforeAutospacing="1" w:after="100" w:afterAutospacing="1"/>
      <w:jc w:val="right"/>
    </w:pPr>
    <w:rPr>
      <w:b/>
      <w:bCs/>
      <w:color w:val="000000"/>
      <w:sz w:val="16"/>
      <w:szCs w:val="16"/>
    </w:rPr>
  </w:style>
  <w:style w:type="paragraph" w:customStyle="1" w:styleId="xl73">
    <w:name w:val="xl73"/>
    <w:basedOn w:val="Normal"/>
    <w:rsid w:val="00CE42F3"/>
    <w:pPr>
      <w:pBdr>
        <w:top w:val="single" w:sz="4" w:space="0" w:color="auto"/>
        <w:left w:val="single" w:sz="4" w:space="0" w:color="auto"/>
        <w:bottom w:val="single" w:sz="4" w:space="0" w:color="auto"/>
        <w:right w:val="single" w:sz="4" w:space="0" w:color="auto"/>
      </w:pBdr>
      <w:shd w:val="clear" w:color="000000" w:fill="CCCCCC"/>
      <w:spacing w:before="100" w:beforeAutospacing="1" w:after="100" w:afterAutospacing="1"/>
    </w:pPr>
    <w:rPr>
      <w:b/>
      <w:bCs/>
      <w:color w:val="000000"/>
      <w:sz w:val="16"/>
      <w:szCs w:val="16"/>
    </w:rPr>
  </w:style>
  <w:style w:type="paragraph" w:customStyle="1" w:styleId="xl74">
    <w:name w:val="xl74"/>
    <w:basedOn w:val="Normal"/>
    <w:rsid w:val="00CE42F3"/>
    <w:pPr>
      <w:pBdr>
        <w:top w:val="single" w:sz="4" w:space="0" w:color="auto"/>
        <w:left w:val="single" w:sz="4" w:space="0" w:color="auto"/>
        <w:bottom w:val="single" w:sz="4" w:space="0" w:color="auto"/>
        <w:right w:val="single" w:sz="4" w:space="0" w:color="auto"/>
      </w:pBdr>
      <w:shd w:val="clear" w:color="000000" w:fill="CCCCCC"/>
      <w:spacing w:before="100" w:beforeAutospacing="1" w:after="100" w:afterAutospacing="1"/>
      <w:jc w:val="right"/>
    </w:pPr>
    <w:rPr>
      <w:b/>
      <w:bCs/>
      <w:color w:val="000000"/>
      <w:sz w:val="16"/>
      <w:szCs w:val="16"/>
    </w:rPr>
  </w:style>
  <w:style w:type="character" w:customStyle="1" w:styleId="fontetitulosnegrito1">
    <w:name w:val="fonte_titulos_negrito1"/>
    <w:rsid w:val="00CE42F3"/>
    <w:rPr>
      <w:rFonts w:ascii="Verdana" w:hAnsi="Verdana" w:hint="default"/>
      <w:b/>
      <w:bCs/>
      <w:color w:val="004922"/>
      <w:sz w:val="19"/>
      <w:szCs w:val="19"/>
    </w:rPr>
  </w:style>
  <w:style w:type="character" w:customStyle="1" w:styleId="fontetitulos1">
    <w:name w:val="fonte_titulos1"/>
    <w:rsid w:val="00CE42F3"/>
    <w:rPr>
      <w:rFonts w:ascii="Verdana" w:hAnsi="Verdana" w:hint="default"/>
      <w:color w:val="004922"/>
      <w:sz w:val="15"/>
      <w:szCs w:val="15"/>
    </w:rPr>
  </w:style>
  <w:style w:type="character" w:customStyle="1" w:styleId="Caption1">
    <w:name w:val="Caption1"/>
    <w:basedOn w:val="Fontepargpadro"/>
    <w:rsid w:val="00CE42F3"/>
  </w:style>
  <w:style w:type="paragraph" w:customStyle="1" w:styleId="xl38">
    <w:name w:val="xl38"/>
    <w:basedOn w:val="Normal"/>
    <w:rsid w:val="00CE42F3"/>
    <w:pPr>
      <w:spacing w:before="100" w:beforeAutospacing="1" w:after="100" w:afterAutospacing="1"/>
    </w:pPr>
    <w:rPr>
      <w:rFonts w:ascii="Arial" w:hAnsi="Arial" w:cs="Arial"/>
      <w:sz w:val="14"/>
      <w:szCs w:val="14"/>
    </w:rPr>
  </w:style>
  <w:style w:type="paragraph" w:customStyle="1" w:styleId="xl39">
    <w:name w:val="xl39"/>
    <w:basedOn w:val="Normal"/>
    <w:rsid w:val="00CE42F3"/>
    <w:pPr>
      <w:spacing w:before="100" w:beforeAutospacing="1" w:after="100" w:afterAutospacing="1"/>
    </w:pPr>
    <w:rPr>
      <w:rFonts w:ascii="Arial" w:hAnsi="Arial" w:cs="Arial"/>
      <w:sz w:val="14"/>
      <w:szCs w:val="14"/>
    </w:rPr>
  </w:style>
  <w:style w:type="paragraph" w:customStyle="1" w:styleId="xl40">
    <w:name w:val="xl40"/>
    <w:basedOn w:val="Normal"/>
    <w:rsid w:val="00CE42F3"/>
    <w:pPr>
      <w:spacing w:before="100" w:beforeAutospacing="1" w:after="100" w:afterAutospacing="1"/>
    </w:pPr>
    <w:rPr>
      <w:rFonts w:ascii="Arial" w:hAnsi="Arial" w:cs="Arial"/>
      <w:b/>
      <w:bCs/>
      <w:sz w:val="14"/>
      <w:szCs w:val="14"/>
    </w:rPr>
  </w:style>
  <w:style w:type="paragraph" w:customStyle="1" w:styleId="xl42">
    <w:name w:val="xl42"/>
    <w:basedOn w:val="Normal"/>
    <w:rsid w:val="00CE42F3"/>
    <w:pPr>
      <w:pBdr>
        <w:top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43">
    <w:name w:val="xl43"/>
    <w:basedOn w:val="Normal"/>
    <w:rsid w:val="00CE42F3"/>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44">
    <w:name w:val="xl44"/>
    <w:basedOn w:val="Normal"/>
    <w:rsid w:val="00CE42F3"/>
    <w:pPr>
      <w:pBdr>
        <w:top w:val="single" w:sz="4" w:space="0" w:color="auto"/>
        <w:left w:val="single" w:sz="4" w:space="0" w:color="auto"/>
      </w:pBdr>
      <w:spacing w:before="100" w:beforeAutospacing="1" w:after="100" w:afterAutospacing="1"/>
      <w:textAlignment w:val="center"/>
    </w:pPr>
    <w:rPr>
      <w:rFonts w:ascii="Arial" w:hAnsi="Arial" w:cs="Arial"/>
      <w:b/>
      <w:bCs/>
      <w:sz w:val="14"/>
      <w:szCs w:val="14"/>
    </w:rPr>
  </w:style>
  <w:style w:type="paragraph" w:customStyle="1" w:styleId="xl45">
    <w:name w:val="xl45"/>
    <w:basedOn w:val="Normal"/>
    <w:rsid w:val="00CE42F3"/>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b/>
      <w:bCs/>
      <w:sz w:val="14"/>
      <w:szCs w:val="14"/>
    </w:rPr>
  </w:style>
  <w:style w:type="paragraph" w:customStyle="1" w:styleId="xl46">
    <w:name w:val="xl46"/>
    <w:basedOn w:val="Normal"/>
    <w:rsid w:val="00CE42F3"/>
    <w:pPr>
      <w:pBdr>
        <w:top w:val="single" w:sz="4" w:space="0" w:color="auto"/>
        <w:bottom w:val="single" w:sz="4" w:space="0" w:color="auto"/>
      </w:pBdr>
      <w:spacing w:before="100" w:beforeAutospacing="1" w:after="100" w:afterAutospacing="1"/>
      <w:textAlignment w:val="center"/>
    </w:pPr>
    <w:rPr>
      <w:rFonts w:ascii="Arial" w:hAnsi="Arial" w:cs="Arial"/>
      <w:b/>
      <w:bCs/>
      <w:sz w:val="14"/>
      <w:szCs w:val="14"/>
    </w:rPr>
  </w:style>
  <w:style w:type="paragraph" w:customStyle="1" w:styleId="xl47">
    <w:name w:val="xl47"/>
    <w:basedOn w:val="Normal"/>
    <w:rsid w:val="00CE42F3"/>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48">
    <w:name w:val="xl48"/>
    <w:basedOn w:val="Normal"/>
    <w:rsid w:val="00CE42F3"/>
    <w:pPr>
      <w:pBdr>
        <w:top w:val="single" w:sz="4" w:space="0" w:color="auto"/>
      </w:pBdr>
      <w:spacing w:before="100" w:beforeAutospacing="1" w:after="100" w:afterAutospacing="1"/>
      <w:textAlignment w:val="center"/>
    </w:pPr>
    <w:rPr>
      <w:rFonts w:ascii="Arial" w:hAnsi="Arial" w:cs="Arial"/>
      <w:b/>
      <w:bCs/>
      <w:sz w:val="14"/>
      <w:szCs w:val="14"/>
    </w:rPr>
  </w:style>
  <w:style w:type="paragraph" w:customStyle="1" w:styleId="xl49">
    <w:name w:val="xl49"/>
    <w:basedOn w:val="Normal"/>
    <w:rsid w:val="00CE42F3"/>
    <w:pPr>
      <w:pBdr>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50">
    <w:name w:val="xl50"/>
    <w:basedOn w:val="Normal"/>
    <w:rsid w:val="00CE42F3"/>
    <w:pPr>
      <w:pBdr>
        <w:left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51">
    <w:name w:val="xl51"/>
    <w:basedOn w:val="Normal"/>
    <w:rsid w:val="00CE42F3"/>
    <w:pPr>
      <w:pBdr>
        <w:left w:val="single" w:sz="4" w:space="0" w:color="auto"/>
      </w:pBdr>
      <w:spacing w:before="100" w:beforeAutospacing="1" w:after="100" w:afterAutospacing="1"/>
      <w:textAlignment w:val="center"/>
    </w:pPr>
    <w:rPr>
      <w:rFonts w:ascii="Arial" w:hAnsi="Arial" w:cs="Arial"/>
      <w:b/>
      <w:bCs/>
      <w:sz w:val="14"/>
      <w:szCs w:val="14"/>
    </w:rPr>
  </w:style>
  <w:style w:type="paragraph" w:customStyle="1" w:styleId="xl52">
    <w:name w:val="xl52"/>
    <w:basedOn w:val="Normal"/>
    <w:rsid w:val="00CE42F3"/>
    <w:pPr>
      <w:pBdr>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53">
    <w:name w:val="xl53"/>
    <w:basedOn w:val="Normal"/>
    <w:rsid w:val="00CE42F3"/>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54">
    <w:name w:val="xl54"/>
    <w:basedOn w:val="Normal"/>
    <w:rsid w:val="00CE42F3"/>
    <w:pPr>
      <w:pBdr>
        <w:left w:val="single" w:sz="4" w:space="0" w:color="auto"/>
        <w:bottom w:val="single" w:sz="4" w:space="0" w:color="auto"/>
      </w:pBdr>
      <w:spacing w:before="100" w:beforeAutospacing="1" w:after="100" w:afterAutospacing="1"/>
      <w:textAlignment w:val="center"/>
    </w:pPr>
    <w:rPr>
      <w:rFonts w:ascii="Arial" w:hAnsi="Arial" w:cs="Arial"/>
      <w:b/>
      <w:bCs/>
      <w:sz w:val="14"/>
      <w:szCs w:val="14"/>
    </w:rPr>
  </w:style>
  <w:style w:type="paragraph" w:customStyle="1" w:styleId="xl55">
    <w:name w:val="xl55"/>
    <w:basedOn w:val="Normal"/>
    <w:rsid w:val="00CE42F3"/>
    <w:pPr>
      <w:pBdr>
        <w:right w:val="single" w:sz="4" w:space="0" w:color="auto"/>
      </w:pBdr>
      <w:spacing w:before="100" w:beforeAutospacing="1" w:after="100" w:afterAutospacing="1"/>
    </w:pPr>
    <w:rPr>
      <w:rFonts w:ascii="Arial" w:hAnsi="Arial" w:cs="Arial"/>
      <w:b/>
      <w:bCs/>
      <w:sz w:val="14"/>
      <w:szCs w:val="14"/>
    </w:rPr>
  </w:style>
  <w:style w:type="paragraph" w:customStyle="1" w:styleId="xl56">
    <w:name w:val="xl56"/>
    <w:basedOn w:val="Normal"/>
    <w:rsid w:val="00CE42F3"/>
    <w:pPr>
      <w:pBdr>
        <w:left w:val="single" w:sz="4" w:space="0" w:color="auto"/>
        <w:right w:val="single" w:sz="4" w:space="0" w:color="auto"/>
      </w:pBdr>
      <w:spacing w:before="100" w:beforeAutospacing="1" w:after="100" w:afterAutospacing="1"/>
      <w:jc w:val="right"/>
      <w:textAlignment w:val="center"/>
    </w:pPr>
    <w:rPr>
      <w:rFonts w:ascii="Arial" w:hAnsi="Arial" w:cs="Arial"/>
      <w:b/>
      <w:bCs/>
      <w:sz w:val="14"/>
      <w:szCs w:val="14"/>
    </w:rPr>
  </w:style>
  <w:style w:type="paragraph" w:customStyle="1" w:styleId="xl57">
    <w:name w:val="xl57"/>
    <w:basedOn w:val="Normal"/>
    <w:rsid w:val="00CE42F3"/>
    <w:pPr>
      <w:pBdr>
        <w:left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58">
    <w:name w:val="xl58"/>
    <w:basedOn w:val="Normal"/>
    <w:rsid w:val="00CE42F3"/>
    <w:pPr>
      <w:pBdr>
        <w:left w:val="single" w:sz="4" w:space="0" w:color="auto"/>
      </w:pBdr>
      <w:spacing w:before="100" w:beforeAutospacing="1" w:after="100" w:afterAutospacing="1"/>
      <w:jc w:val="right"/>
      <w:textAlignment w:val="center"/>
    </w:pPr>
    <w:rPr>
      <w:rFonts w:ascii="Arial" w:hAnsi="Arial" w:cs="Arial"/>
      <w:b/>
      <w:bCs/>
      <w:sz w:val="14"/>
      <w:szCs w:val="14"/>
    </w:rPr>
  </w:style>
  <w:style w:type="paragraph" w:customStyle="1" w:styleId="xl59">
    <w:name w:val="xl59"/>
    <w:basedOn w:val="Normal"/>
    <w:rsid w:val="00CE42F3"/>
    <w:pPr>
      <w:pBdr>
        <w:left w:val="single" w:sz="4" w:space="0" w:color="auto"/>
      </w:pBdr>
      <w:spacing w:before="100" w:beforeAutospacing="1" w:after="100" w:afterAutospacing="1"/>
      <w:jc w:val="right"/>
      <w:textAlignment w:val="center"/>
    </w:pPr>
    <w:rPr>
      <w:rFonts w:ascii="Arial" w:hAnsi="Arial" w:cs="Arial"/>
      <w:b/>
      <w:bCs/>
      <w:sz w:val="14"/>
      <w:szCs w:val="14"/>
    </w:rPr>
  </w:style>
  <w:style w:type="paragraph" w:customStyle="1" w:styleId="xl60">
    <w:name w:val="xl60"/>
    <w:basedOn w:val="Normal"/>
    <w:rsid w:val="00CE42F3"/>
    <w:pPr>
      <w:pBdr>
        <w:right w:val="single" w:sz="4" w:space="0" w:color="auto"/>
      </w:pBdr>
      <w:spacing w:before="100" w:beforeAutospacing="1" w:after="100" w:afterAutospacing="1"/>
    </w:pPr>
    <w:rPr>
      <w:rFonts w:ascii="Arial" w:hAnsi="Arial" w:cs="Arial"/>
      <w:sz w:val="14"/>
      <w:szCs w:val="14"/>
    </w:rPr>
  </w:style>
  <w:style w:type="paragraph" w:customStyle="1" w:styleId="xl61">
    <w:name w:val="xl61"/>
    <w:basedOn w:val="Normal"/>
    <w:rsid w:val="00CE42F3"/>
    <w:pPr>
      <w:pBdr>
        <w:left w:val="single" w:sz="4" w:space="0" w:color="auto"/>
        <w:right w:val="single" w:sz="4" w:space="0" w:color="auto"/>
      </w:pBdr>
      <w:spacing w:before="100" w:beforeAutospacing="1" w:after="100" w:afterAutospacing="1"/>
      <w:jc w:val="right"/>
      <w:textAlignment w:val="center"/>
    </w:pPr>
    <w:rPr>
      <w:rFonts w:ascii="Arial" w:hAnsi="Arial" w:cs="Arial"/>
      <w:sz w:val="14"/>
      <w:szCs w:val="14"/>
    </w:rPr>
  </w:style>
  <w:style w:type="paragraph" w:customStyle="1" w:styleId="xl62">
    <w:name w:val="xl62"/>
    <w:basedOn w:val="Normal"/>
    <w:rsid w:val="00CE42F3"/>
    <w:pPr>
      <w:pBdr>
        <w:left w:val="single" w:sz="4" w:space="0" w:color="auto"/>
      </w:pBdr>
      <w:spacing w:before="100" w:beforeAutospacing="1" w:after="100" w:afterAutospacing="1"/>
      <w:jc w:val="right"/>
      <w:textAlignment w:val="center"/>
    </w:pPr>
    <w:rPr>
      <w:rFonts w:ascii="Arial" w:hAnsi="Arial" w:cs="Arial"/>
      <w:sz w:val="14"/>
      <w:szCs w:val="14"/>
    </w:rPr>
  </w:style>
  <w:style w:type="paragraph" w:customStyle="1" w:styleId="xl63">
    <w:name w:val="xl63"/>
    <w:basedOn w:val="Normal"/>
    <w:rsid w:val="00CE42F3"/>
    <w:pPr>
      <w:pBdr>
        <w:left w:val="single" w:sz="4" w:space="0" w:color="auto"/>
        <w:right w:val="single" w:sz="4" w:space="0" w:color="auto"/>
      </w:pBdr>
      <w:spacing w:before="100" w:beforeAutospacing="1" w:after="100" w:afterAutospacing="1"/>
      <w:textAlignment w:val="center"/>
    </w:pPr>
    <w:rPr>
      <w:rFonts w:ascii="Arial" w:hAnsi="Arial" w:cs="Arial"/>
      <w:sz w:val="14"/>
      <w:szCs w:val="14"/>
    </w:rPr>
  </w:style>
  <w:style w:type="paragraph" w:customStyle="1" w:styleId="xl64">
    <w:name w:val="xl64"/>
    <w:basedOn w:val="Normal"/>
    <w:rsid w:val="00CE42F3"/>
    <w:pPr>
      <w:pBdr>
        <w:left w:val="single" w:sz="4" w:space="0" w:color="auto"/>
      </w:pBdr>
      <w:spacing w:before="100" w:beforeAutospacing="1" w:after="100" w:afterAutospacing="1"/>
      <w:jc w:val="right"/>
      <w:textAlignment w:val="center"/>
    </w:pPr>
    <w:rPr>
      <w:rFonts w:ascii="Arial" w:hAnsi="Arial" w:cs="Arial"/>
      <w:sz w:val="14"/>
      <w:szCs w:val="14"/>
    </w:rPr>
  </w:style>
  <w:style w:type="paragraph" w:customStyle="1" w:styleId="xl75">
    <w:name w:val="xl75"/>
    <w:basedOn w:val="Normal"/>
    <w:rsid w:val="00CE42F3"/>
    <w:pPr>
      <w:pBdr>
        <w:top w:val="single" w:sz="4" w:space="0" w:color="auto"/>
        <w:left w:val="single" w:sz="4" w:space="0" w:color="auto"/>
      </w:pBdr>
      <w:spacing w:before="100" w:beforeAutospacing="1" w:after="100" w:afterAutospacing="1"/>
      <w:jc w:val="right"/>
      <w:textAlignment w:val="center"/>
    </w:pPr>
    <w:rPr>
      <w:rFonts w:ascii="Arial" w:hAnsi="Arial" w:cs="Arial"/>
      <w:sz w:val="14"/>
      <w:szCs w:val="14"/>
    </w:rPr>
  </w:style>
  <w:style w:type="paragraph" w:customStyle="1" w:styleId="xl76">
    <w:name w:val="xl76"/>
    <w:basedOn w:val="Normal"/>
    <w:rsid w:val="00CE42F3"/>
    <w:pPr>
      <w:pBdr>
        <w:left w:val="single" w:sz="4" w:space="0" w:color="auto"/>
      </w:pBdr>
      <w:spacing w:before="100" w:beforeAutospacing="1" w:after="100" w:afterAutospacing="1"/>
      <w:textAlignment w:val="center"/>
    </w:pPr>
    <w:rPr>
      <w:rFonts w:ascii="Arial" w:hAnsi="Arial" w:cs="Arial"/>
      <w:sz w:val="14"/>
      <w:szCs w:val="14"/>
    </w:rPr>
  </w:style>
  <w:style w:type="paragraph" w:customStyle="1" w:styleId="xl77">
    <w:name w:val="xl77"/>
    <w:basedOn w:val="Normal"/>
    <w:rsid w:val="00CE42F3"/>
    <w:pPr>
      <w:pBdr>
        <w:left w:val="single" w:sz="4" w:space="0" w:color="auto"/>
        <w:bottom w:val="single" w:sz="4" w:space="0" w:color="auto"/>
      </w:pBdr>
      <w:spacing w:before="100" w:beforeAutospacing="1" w:after="100" w:afterAutospacing="1"/>
      <w:jc w:val="right"/>
      <w:textAlignment w:val="center"/>
    </w:pPr>
    <w:rPr>
      <w:rFonts w:ascii="Arial" w:hAnsi="Arial" w:cs="Arial"/>
      <w:sz w:val="14"/>
      <w:szCs w:val="14"/>
    </w:rPr>
  </w:style>
  <w:style w:type="paragraph" w:customStyle="1" w:styleId="xl78">
    <w:name w:val="xl78"/>
    <w:basedOn w:val="Normal"/>
    <w:rsid w:val="00CE42F3"/>
    <w:pPr>
      <w:pBdr>
        <w:left w:val="single" w:sz="4" w:space="0" w:color="auto"/>
        <w:bottom w:val="single" w:sz="4" w:space="0" w:color="auto"/>
      </w:pBdr>
      <w:spacing w:before="100" w:beforeAutospacing="1" w:after="100" w:afterAutospacing="1"/>
      <w:textAlignment w:val="center"/>
    </w:pPr>
    <w:rPr>
      <w:rFonts w:ascii="Arial" w:hAnsi="Arial" w:cs="Arial"/>
      <w:sz w:val="14"/>
      <w:szCs w:val="14"/>
    </w:rPr>
  </w:style>
  <w:style w:type="paragraph" w:customStyle="1" w:styleId="xl79">
    <w:name w:val="xl79"/>
    <w:basedOn w:val="Normal"/>
    <w:rsid w:val="00CE42F3"/>
    <w:pPr>
      <w:pBdr>
        <w:left w:val="single" w:sz="4" w:space="0" w:color="auto"/>
        <w:bottom w:val="single" w:sz="4" w:space="0" w:color="auto"/>
      </w:pBdr>
      <w:spacing w:before="100" w:beforeAutospacing="1" w:after="100" w:afterAutospacing="1"/>
      <w:jc w:val="right"/>
      <w:textAlignment w:val="center"/>
    </w:pPr>
    <w:rPr>
      <w:rFonts w:ascii="Arial" w:hAnsi="Arial" w:cs="Arial"/>
      <w:sz w:val="14"/>
      <w:szCs w:val="14"/>
    </w:rPr>
  </w:style>
  <w:style w:type="paragraph" w:customStyle="1" w:styleId="xl80">
    <w:name w:val="xl80"/>
    <w:basedOn w:val="Normal"/>
    <w:rsid w:val="00CE42F3"/>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4"/>
      <w:szCs w:val="14"/>
    </w:rPr>
  </w:style>
  <w:style w:type="paragraph" w:customStyle="1" w:styleId="xl81">
    <w:name w:val="xl81"/>
    <w:basedOn w:val="Normal"/>
    <w:rsid w:val="00CE42F3"/>
    <w:pPr>
      <w:pBdr>
        <w:left w:val="single" w:sz="4" w:space="0" w:color="auto"/>
      </w:pBdr>
      <w:spacing w:before="100" w:beforeAutospacing="1" w:after="100" w:afterAutospacing="1"/>
      <w:textAlignment w:val="center"/>
    </w:pPr>
    <w:rPr>
      <w:rFonts w:ascii="Arial" w:hAnsi="Arial" w:cs="Arial"/>
      <w:b/>
      <w:bCs/>
      <w:sz w:val="14"/>
      <w:szCs w:val="14"/>
    </w:rPr>
  </w:style>
  <w:style w:type="paragraph" w:customStyle="1" w:styleId="xl82">
    <w:name w:val="xl82"/>
    <w:basedOn w:val="Normal"/>
    <w:rsid w:val="00CE42F3"/>
    <w:pPr>
      <w:pBdr>
        <w:top w:val="single" w:sz="4" w:space="0" w:color="auto"/>
        <w:bottom w:val="single" w:sz="4" w:space="0" w:color="auto"/>
      </w:pBdr>
      <w:spacing w:before="100" w:beforeAutospacing="1" w:after="100" w:afterAutospacing="1"/>
    </w:pPr>
    <w:rPr>
      <w:rFonts w:ascii="Arial" w:hAnsi="Arial" w:cs="Arial"/>
      <w:b/>
      <w:bCs/>
      <w:sz w:val="14"/>
      <w:szCs w:val="14"/>
    </w:rPr>
  </w:style>
  <w:style w:type="paragraph" w:customStyle="1" w:styleId="xl83">
    <w:name w:val="xl83"/>
    <w:basedOn w:val="Normal"/>
    <w:rsid w:val="00CE42F3"/>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84">
    <w:name w:val="xl84"/>
    <w:basedOn w:val="Normal"/>
    <w:rsid w:val="00CE42F3"/>
    <w:pPr>
      <w:pBdr>
        <w:top w:val="single" w:sz="4" w:space="0" w:color="auto"/>
        <w:left w:val="single" w:sz="4" w:space="0" w:color="auto"/>
      </w:pBdr>
      <w:spacing w:before="100" w:beforeAutospacing="1" w:after="100" w:afterAutospacing="1"/>
      <w:jc w:val="right"/>
      <w:textAlignment w:val="center"/>
    </w:pPr>
    <w:rPr>
      <w:rFonts w:ascii="Arial" w:hAnsi="Arial" w:cs="Arial"/>
      <w:b/>
      <w:bCs/>
      <w:sz w:val="14"/>
      <w:szCs w:val="14"/>
    </w:rPr>
  </w:style>
  <w:style w:type="paragraph" w:customStyle="1" w:styleId="xl85">
    <w:name w:val="xl85"/>
    <w:basedOn w:val="Normal"/>
    <w:rsid w:val="00CE42F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86">
    <w:name w:val="xl86"/>
    <w:basedOn w:val="Normal"/>
    <w:rsid w:val="00CE42F3"/>
    <w:pPr>
      <w:pBdr>
        <w:top w:val="single" w:sz="4" w:space="0" w:color="auto"/>
      </w:pBdr>
      <w:spacing w:before="100" w:beforeAutospacing="1" w:after="100" w:afterAutospacing="1"/>
    </w:pPr>
    <w:rPr>
      <w:rFonts w:ascii="Arial" w:hAnsi="Arial" w:cs="Arial"/>
      <w:b/>
      <w:bCs/>
      <w:sz w:val="14"/>
      <w:szCs w:val="14"/>
    </w:rPr>
  </w:style>
  <w:style w:type="paragraph" w:customStyle="1" w:styleId="xl87">
    <w:name w:val="xl87"/>
    <w:basedOn w:val="Normal"/>
    <w:rsid w:val="00CE42F3"/>
    <w:pPr>
      <w:pBdr>
        <w:bottom w:val="single" w:sz="4" w:space="0" w:color="auto"/>
      </w:pBdr>
      <w:spacing w:before="100" w:beforeAutospacing="1" w:after="100" w:afterAutospacing="1"/>
    </w:pPr>
    <w:rPr>
      <w:rFonts w:ascii="Arial" w:hAnsi="Arial" w:cs="Arial"/>
      <w:b/>
      <w:bCs/>
      <w:sz w:val="14"/>
      <w:szCs w:val="14"/>
    </w:rPr>
  </w:style>
  <w:style w:type="paragraph" w:customStyle="1" w:styleId="xl88">
    <w:name w:val="xl88"/>
    <w:basedOn w:val="Normal"/>
    <w:rsid w:val="00CE42F3"/>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89">
    <w:name w:val="xl89"/>
    <w:basedOn w:val="Normal"/>
    <w:rsid w:val="00CE42F3"/>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90">
    <w:name w:val="xl90"/>
    <w:basedOn w:val="Normal"/>
    <w:rsid w:val="00CE42F3"/>
    <w:pPr>
      <w:pBdr>
        <w:left w:val="single" w:sz="4" w:space="0" w:color="auto"/>
        <w:bottom w:val="single" w:sz="4" w:space="0" w:color="auto"/>
      </w:pBdr>
      <w:spacing w:before="100" w:beforeAutospacing="1" w:after="100" w:afterAutospacing="1"/>
      <w:textAlignment w:val="center"/>
    </w:pPr>
    <w:rPr>
      <w:rFonts w:ascii="Arial" w:hAnsi="Arial" w:cs="Arial"/>
      <w:b/>
      <w:bCs/>
      <w:sz w:val="14"/>
      <w:szCs w:val="14"/>
    </w:rPr>
  </w:style>
  <w:style w:type="paragraph" w:customStyle="1" w:styleId="xl91">
    <w:name w:val="xl91"/>
    <w:basedOn w:val="Normal"/>
    <w:rsid w:val="00CE42F3"/>
    <w:pPr>
      <w:spacing w:before="100" w:beforeAutospacing="1" w:after="100" w:afterAutospacing="1"/>
    </w:pPr>
    <w:rPr>
      <w:rFonts w:ascii="Arial" w:hAnsi="Arial" w:cs="Arial"/>
      <w:sz w:val="14"/>
      <w:szCs w:val="14"/>
    </w:rPr>
  </w:style>
  <w:style w:type="paragraph" w:customStyle="1" w:styleId="xl92">
    <w:name w:val="xl92"/>
    <w:basedOn w:val="Normal"/>
    <w:rsid w:val="00CE42F3"/>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93">
    <w:name w:val="xl93"/>
    <w:basedOn w:val="Normal"/>
    <w:rsid w:val="00CE42F3"/>
    <w:pPr>
      <w:pBdr>
        <w:top w:val="single" w:sz="4" w:space="0" w:color="auto"/>
        <w:left w:val="single" w:sz="4" w:space="0" w:color="auto"/>
      </w:pBdr>
      <w:spacing w:before="100" w:beforeAutospacing="1" w:after="100" w:afterAutospacing="1"/>
      <w:textAlignment w:val="center"/>
    </w:pPr>
    <w:rPr>
      <w:rFonts w:ascii="Arial" w:hAnsi="Arial" w:cs="Arial"/>
      <w:b/>
      <w:bCs/>
      <w:sz w:val="14"/>
      <w:szCs w:val="14"/>
    </w:rPr>
  </w:style>
  <w:style w:type="paragraph" w:customStyle="1" w:styleId="xl94">
    <w:name w:val="xl94"/>
    <w:basedOn w:val="Normal"/>
    <w:rsid w:val="00CE42F3"/>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b/>
      <w:bCs/>
      <w:sz w:val="14"/>
      <w:szCs w:val="14"/>
    </w:rPr>
  </w:style>
  <w:style w:type="paragraph" w:customStyle="1" w:styleId="xl95">
    <w:name w:val="xl95"/>
    <w:basedOn w:val="Normal"/>
    <w:rsid w:val="00CE42F3"/>
    <w:pPr>
      <w:pBdr>
        <w:top w:val="single" w:sz="4" w:space="0" w:color="auto"/>
        <w:bottom w:val="single" w:sz="4" w:space="0" w:color="auto"/>
      </w:pBdr>
      <w:spacing w:before="100" w:beforeAutospacing="1" w:after="100" w:afterAutospacing="1"/>
      <w:textAlignment w:val="center"/>
    </w:pPr>
    <w:rPr>
      <w:rFonts w:ascii="Arial" w:hAnsi="Arial" w:cs="Arial"/>
      <w:b/>
      <w:bCs/>
      <w:sz w:val="14"/>
      <w:szCs w:val="14"/>
    </w:rPr>
  </w:style>
  <w:style w:type="paragraph" w:customStyle="1" w:styleId="xl96">
    <w:name w:val="xl96"/>
    <w:basedOn w:val="Normal"/>
    <w:rsid w:val="00CE42F3"/>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97">
    <w:name w:val="xl97"/>
    <w:basedOn w:val="Normal"/>
    <w:rsid w:val="00CE42F3"/>
    <w:pPr>
      <w:pBdr>
        <w:top w:val="single" w:sz="4" w:space="0" w:color="auto"/>
      </w:pBdr>
      <w:spacing w:before="100" w:beforeAutospacing="1" w:after="100" w:afterAutospacing="1"/>
      <w:textAlignment w:val="center"/>
    </w:pPr>
    <w:rPr>
      <w:rFonts w:ascii="Arial" w:hAnsi="Arial" w:cs="Arial"/>
      <w:b/>
      <w:bCs/>
      <w:sz w:val="14"/>
      <w:szCs w:val="14"/>
    </w:rPr>
  </w:style>
  <w:style w:type="paragraph" w:customStyle="1" w:styleId="xl98">
    <w:name w:val="xl98"/>
    <w:basedOn w:val="Normal"/>
    <w:rsid w:val="00CE42F3"/>
    <w:pPr>
      <w:pBdr>
        <w:left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99">
    <w:name w:val="xl99"/>
    <w:basedOn w:val="Normal"/>
    <w:rsid w:val="00CE42F3"/>
    <w:pPr>
      <w:pBdr>
        <w:left w:val="single" w:sz="4" w:space="0" w:color="auto"/>
      </w:pBdr>
      <w:spacing w:before="100" w:beforeAutospacing="1" w:after="100" w:afterAutospacing="1"/>
      <w:textAlignment w:val="center"/>
    </w:pPr>
    <w:rPr>
      <w:rFonts w:ascii="Arial" w:hAnsi="Arial" w:cs="Arial"/>
      <w:b/>
      <w:bCs/>
      <w:sz w:val="14"/>
      <w:szCs w:val="14"/>
    </w:rPr>
  </w:style>
  <w:style w:type="paragraph" w:customStyle="1" w:styleId="xl100">
    <w:name w:val="xl100"/>
    <w:basedOn w:val="Normal"/>
    <w:rsid w:val="00CE42F3"/>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101">
    <w:name w:val="xl101"/>
    <w:basedOn w:val="Normal"/>
    <w:rsid w:val="00CE42F3"/>
    <w:pPr>
      <w:pBdr>
        <w:left w:val="single" w:sz="4" w:space="0" w:color="auto"/>
        <w:bottom w:val="single" w:sz="4" w:space="0" w:color="auto"/>
      </w:pBdr>
      <w:spacing w:before="100" w:beforeAutospacing="1" w:after="100" w:afterAutospacing="1"/>
      <w:textAlignment w:val="center"/>
    </w:pPr>
    <w:rPr>
      <w:rFonts w:ascii="Arial" w:hAnsi="Arial" w:cs="Arial"/>
      <w:b/>
      <w:bCs/>
      <w:sz w:val="14"/>
      <w:szCs w:val="14"/>
    </w:rPr>
  </w:style>
  <w:style w:type="paragraph" w:customStyle="1" w:styleId="xl102">
    <w:name w:val="xl102"/>
    <w:basedOn w:val="Normal"/>
    <w:rsid w:val="00CE42F3"/>
    <w:pPr>
      <w:pBdr>
        <w:right w:val="single" w:sz="4" w:space="0" w:color="auto"/>
      </w:pBdr>
      <w:spacing w:before="100" w:beforeAutospacing="1" w:after="100" w:afterAutospacing="1"/>
      <w:textAlignment w:val="center"/>
    </w:pPr>
    <w:rPr>
      <w:rFonts w:ascii="Arial" w:hAnsi="Arial" w:cs="Arial"/>
      <w:b/>
      <w:bCs/>
      <w:sz w:val="14"/>
      <w:szCs w:val="14"/>
    </w:rPr>
  </w:style>
  <w:style w:type="paragraph" w:customStyle="1" w:styleId="xl103">
    <w:name w:val="xl103"/>
    <w:basedOn w:val="Normal"/>
    <w:rsid w:val="00CE42F3"/>
    <w:pPr>
      <w:pBdr>
        <w:right w:val="single" w:sz="4" w:space="0" w:color="auto"/>
      </w:pBdr>
      <w:spacing w:before="100" w:beforeAutospacing="1" w:after="100" w:afterAutospacing="1"/>
      <w:textAlignment w:val="center"/>
    </w:pPr>
    <w:rPr>
      <w:rFonts w:ascii="Arial" w:hAnsi="Arial" w:cs="Arial"/>
      <w:sz w:val="14"/>
      <w:szCs w:val="14"/>
    </w:rPr>
  </w:style>
  <w:style w:type="paragraph" w:customStyle="1" w:styleId="xl104">
    <w:name w:val="xl104"/>
    <w:basedOn w:val="Normal"/>
    <w:rsid w:val="00CE42F3"/>
    <w:pPr>
      <w:pBdr>
        <w:right w:val="single" w:sz="4" w:space="0" w:color="auto"/>
      </w:pBdr>
      <w:spacing w:before="100" w:beforeAutospacing="1" w:after="100" w:afterAutospacing="1"/>
      <w:textAlignment w:val="center"/>
    </w:pPr>
    <w:rPr>
      <w:rFonts w:ascii="Arial" w:hAnsi="Arial" w:cs="Arial"/>
      <w:sz w:val="14"/>
      <w:szCs w:val="14"/>
    </w:rPr>
  </w:style>
  <w:style w:type="paragraph" w:customStyle="1" w:styleId="xl105">
    <w:name w:val="xl105"/>
    <w:basedOn w:val="Normal"/>
    <w:rsid w:val="00CE42F3"/>
    <w:pPr>
      <w:spacing w:before="100" w:beforeAutospacing="1" w:after="100" w:afterAutospacing="1"/>
    </w:pPr>
    <w:rPr>
      <w:rFonts w:ascii="Arial" w:hAnsi="Arial" w:cs="Arial"/>
      <w:b/>
      <w:bCs/>
      <w:sz w:val="14"/>
      <w:szCs w:val="14"/>
    </w:rPr>
  </w:style>
  <w:style w:type="paragraph" w:customStyle="1" w:styleId="xl106">
    <w:name w:val="xl106"/>
    <w:basedOn w:val="Normal"/>
    <w:rsid w:val="00CE42F3"/>
    <w:pPr>
      <w:pBdr>
        <w:top w:val="single" w:sz="4" w:space="0" w:color="auto"/>
        <w:bottom w:val="single" w:sz="4" w:space="0" w:color="auto"/>
        <w:right w:val="single" w:sz="4" w:space="0" w:color="auto"/>
      </w:pBdr>
      <w:spacing w:before="100" w:beforeAutospacing="1" w:after="100" w:afterAutospacing="1"/>
    </w:pPr>
    <w:rPr>
      <w:rFonts w:ascii="Arial" w:hAnsi="Arial" w:cs="Arial"/>
      <w:b/>
      <w:bCs/>
      <w:sz w:val="14"/>
      <w:szCs w:val="14"/>
    </w:rPr>
  </w:style>
  <w:style w:type="paragraph" w:customStyle="1" w:styleId="xl107">
    <w:name w:val="xl107"/>
    <w:basedOn w:val="Normal"/>
    <w:rsid w:val="00CE42F3"/>
    <w:pPr>
      <w:pBdr>
        <w:top w:val="single" w:sz="4" w:space="0" w:color="auto"/>
      </w:pBdr>
      <w:spacing w:before="100" w:beforeAutospacing="1" w:after="100" w:afterAutospacing="1"/>
    </w:pPr>
    <w:rPr>
      <w:rFonts w:ascii="Arial" w:hAnsi="Arial" w:cs="Arial"/>
      <w:sz w:val="14"/>
      <w:szCs w:val="14"/>
    </w:rPr>
  </w:style>
  <w:style w:type="paragraph" w:customStyle="1" w:styleId="xl108">
    <w:name w:val="xl108"/>
    <w:basedOn w:val="Normal"/>
    <w:rsid w:val="00CE42F3"/>
    <w:pPr>
      <w:pBdr>
        <w:bottom w:val="single" w:sz="4" w:space="0" w:color="auto"/>
      </w:pBdr>
      <w:spacing w:before="100" w:beforeAutospacing="1" w:after="100" w:afterAutospacing="1"/>
    </w:pPr>
    <w:rPr>
      <w:rFonts w:ascii="Arial" w:hAnsi="Arial" w:cs="Arial"/>
      <w:sz w:val="14"/>
      <w:szCs w:val="14"/>
    </w:rPr>
  </w:style>
  <w:style w:type="paragraph" w:customStyle="1" w:styleId="xl109">
    <w:name w:val="xl109"/>
    <w:basedOn w:val="Normal"/>
    <w:rsid w:val="00CE42F3"/>
    <w:pPr>
      <w:pBdr>
        <w:top w:val="single" w:sz="4" w:space="0" w:color="auto"/>
      </w:pBdr>
      <w:spacing w:before="100" w:beforeAutospacing="1" w:after="100" w:afterAutospacing="1"/>
    </w:pPr>
    <w:rPr>
      <w:rFonts w:ascii="Arial" w:hAnsi="Arial" w:cs="Arial"/>
      <w:b/>
      <w:bCs/>
      <w:sz w:val="14"/>
      <w:szCs w:val="14"/>
    </w:rPr>
  </w:style>
  <w:style w:type="paragraph" w:customStyle="1" w:styleId="pargrafo0">
    <w:name w:val="pargrafo"/>
    <w:basedOn w:val="Normal"/>
    <w:rsid w:val="00CE42F3"/>
    <w:pPr>
      <w:spacing w:before="100" w:beforeAutospacing="1" w:after="100" w:afterAutospacing="1"/>
      <w:jc w:val="both"/>
    </w:pPr>
    <w:rPr>
      <w:rFonts w:eastAsia="Calibri"/>
    </w:rPr>
  </w:style>
  <w:style w:type="paragraph" w:customStyle="1" w:styleId="titlegis">
    <w:name w:val="titlegis"/>
    <w:basedOn w:val="Normal"/>
    <w:rsid w:val="00CE42F3"/>
    <w:rPr>
      <w:rFonts w:eastAsia="Calibri"/>
    </w:rPr>
  </w:style>
  <w:style w:type="paragraph" w:customStyle="1" w:styleId="WW-Recuodecorpodetexto3">
    <w:name w:val="WW-Recuo de corpo de texto 3"/>
    <w:basedOn w:val="Normal"/>
    <w:rsid w:val="00CE42F3"/>
    <w:pPr>
      <w:widowControl w:val="0"/>
      <w:suppressAutoHyphens/>
      <w:spacing w:line="360" w:lineRule="auto"/>
      <w:ind w:firstLine="2250"/>
      <w:jc w:val="both"/>
    </w:pPr>
    <w:rPr>
      <w:rFonts w:ascii="Arial" w:hAnsi="Arial"/>
      <w:sz w:val="22"/>
    </w:rPr>
  </w:style>
  <w:style w:type="table" w:customStyle="1" w:styleId="SombreamentoMdio1-nfase11">
    <w:name w:val="Sombreamento Médio 1 - Ênfase 11"/>
    <w:basedOn w:val="Tabelanormal"/>
    <w:uiPriority w:val="63"/>
    <w:rsid w:val="00CE42F3"/>
    <w:rPr>
      <w:rFonts w:ascii="Calibri" w:eastAsia="Calibri" w:hAnsi="Calibri"/>
      <w:lang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customStyle="1" w:styleId="style0">
    <w:name w:val="style0"/>
    <w:basedOn w:val="Normal"/>
    <w:rsid w:val="00CE42F3"/>
    <w:pPr>
      <w:spacing w:line="225" w:lineRule="atLeast"/>
      <w:jc w:val="both"/>
    </w:pPr>
  </w:style>
  <w:style w:type="character" w:customStyle="1" w:styleId="ccabecalhopagina1">
    <w:name w:val="ccabecalhopagina1"/>
    <w:uiPriority w:val="99"/>
    <w:rsid w:val="00CE42F3"/>
    <w:rPr>
      <w:rFonts w:ascii="Arial" w:hAnsi="Arial" w:cs="Arial"/>
      <w:b/>
      <w:bCs/>
      <w:color w:val="FFFFFF"/>
      <w:sz w:val="23"/>
      <w:szCs w:val="23"/>
    </w:rPr>
  </w:style>
  <w:style w:type="paragraph" w:customStyle="1" w:styleId="Texto3">
    <w:name w:val="Texto"/>
    <w:uiPriority w:val="99"/>
    <w:qFormat/>
    <w:rsid w:val="00CE42F3"/>
    <w:pPr>
      <w:autoSpaceDE w:val="0"/>
      <w:autoSpaceDN w:val="0"/>
      <w:adjustRightInd w:val="0"/>
      <w:spacing w:after="120" w:line="360" w:lineRule="auto"/>
      <w:ind w:left="851" w:firstLine="851"/>
      <w:jc w:val="both"/>
    </w:pPr>
    <w:rPr>
      <w:rFonts w:ascii="Garamond" w:hAnsi="Garamond" w:cs="Garamond"/>
      <w:sz w:val="28"/>
      <w:szCs w:val="28"/>
    </w:rPr>
  </w:style>
  <w:style w:type="paragraph" w:customStyle="1" w:styleId="STF-Padro">
    <w:name w:val="STF-Padrão"/>
    <w:basedOn w:val="Normal"/>
    <w:uiPriority w:val="99"/>
    <w:rsid w:val="00CE42F3"/>
    <w:pPr>
      <w:widowControl w:val="0"/>
      <w:tabs>
        <w:tab w:val="left" w:pos="1701"/>
      </w:tabs>
      <w:autoSpaceDE w:val="0"/>
      <w:autoSpaceDN w:val="0"/>
      <w:adjustRightInd w:val="0"/>
      <w:spacing w:line="264" w:lineRule="auto"/>
      <w:ind w:firstLine="567"/>
      <w:jc w:val="both"/>
    </w:pPr>
    <w:rPr>
      <w:rFonts w:ascii="Palatino Linotype" w:cs="Palatino Linotype"/>
      <w:sz w:val="26"/>
      <w:szCs w:val="26"/>
    </w:rPr>
  </w:style>
  <w:style w:type="table" w:customStyle="1" w:styleId="SombreamentoClaro2">
    <w:name w:val="Sombreamento Claro2"/>
    <w:basedOn w:val="Tabelanormal"/>
    <w:uiPriority w:val="60"/>
    <w:rsid w:val="00CE42F3"/>
    <w:rPr>
      <w:rFonts w:ascii="Calibri" w:eastAsia="Calibri" w:hAnsi="Calibri"/>
      <w:color w:val="00000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Style2">
    <w:name w:val="Style 2"/>
    <w:basedOn w:val="Normal"/>
    <w:uiPriority w:val="99"/>
    <w:rsid w:val="00CE42F3"/>
    <w:pPr>
      <w:widowControl w:val="0"/>
      <w:autoSpaceDE w:val="0"/>
      <w:autoSpaceDN w:val="0"/>
      <w:ind w:left="72"/>
    </w:pPr>
    <w:rPr>
      <w:lang w:val="en-US"/>
    </w:rPr>
  </w:style>
  <w:style w:type="paragraph" w:customStyle="1" w:styleId="Style3">
    <w:name w:val="Style 3"/>
    <w:basedOn w:val="Normal"/>
    <w:uiPriority w:val="99"/>
    <w:rsid w:val="00CE42F3"/>
    <w:pPr>
      <w:widowControl w:val="0"/>
      <w:autoSpaceDE w:val="0"/>
      <w:autoSpaceDN w:val="0"/>
      <w:ind w:left="576" w:right="144" w:hanging="360"/>
    </w:pPr>
    <w:rPr>
      <w:lang w:val="en-US"/>
    </w:rPr>
  </w:style>
  <w:style w:type="character" w:customStyle="1" w:styleId="CharacterStyle2">
    <w:name w:val="Character Style 2"/>
    <w:uiPriority w:val="99"/>
    <w:rsid w:val="00CE42F3"/>
    <w:rPr>
      <w:sz w:val="20"/>
      <w:szCs w:val="20"/>
    </w:rPr>
  </w:style>
  <w:style w:type="character" w:customStyle="1" w:styleId="CharacterStyle1">
    <w:name w:val="Character Style 1"/>
    <w:uiPriority w:val="99"/>
    <w:rsid w:val="00CE42F3"/>
    <w:rPr>
      <w:sz w:val="24"/>
      <w:szCs w:val="24"/>
    </w:rPr>
  </w:style>
  <w:style w:type="character" w:customStyle="1" w:styleId="CorpodetextoChar1">
    <w:name w:val="Corpo de texto Char1"/>
    <w:locked/>
    <w:rsid w:val="00CE42F3"/>
    <w:rPr>
      <w:rFonts w:ascii="Verdana" w:hAnsi="Verdana"/>
      <w:szCs w:val="24"/>
    </w:rPr>
  </w:style>
  <w:style w:type="paragraph" w:customStyle="1" w:styleId="SemEspaamento2">
    <w:name w:val="Sem Espaçamento2"/>
    <w:rsid w:val="00CE42F3"/>
    <w:pPr>
      <w:jc w:val="center"/>
    </w:pPr>
    <w:rPr>
      <w:rFonts w:ascii="Calibri" w:hAnsi="Calibri"/>
      <w:sz w:val="22"/>
      <w:szCs w:val="22"/>
      <w:lang w:val="en-US" w:eastAsia="en-US"/>
    </w:rPr>
  </w:style>
  <w:style w:type="paragraph" w:customStyle="1" w:styleId="NoSpacing1">
    <w:name w:val="No Spacing1"/>
    <w:rsid w:val="00CE42F3"/>
    <w:pPr>
      <w:jc w:val="center"/>
    </w:pPr>
    <w:rPr>
      <w:rFonts w:ascii="Calibri" w:hAnsi="Calibri"/>
      <w:sz w:val="22"/>
      <w:szCs w:val="22"/>
      <w:lang w:val="en-US" w:eastAsia="en-US"/>
    </w:rPr>
  </w:style>
  <w:style w:type="character" w:customStyle="1" w:styleId="A4">
    <w:name w:val="A4"/>
    <w:rsid w:val="00CE42F3"/>
    <w:rPr>
      <w:color w:val="000000"/>
      <w:sz w:val="22"/>
    </w:rPr>
  </w:style>
  <w:style w:type="character" w:customStyle="1" w:styleId="A7">
    <w:name w:val="A7"/>
    <w:rsid w:val="00CE42F3"/>
    <w:rPr>
      <w:b/>
      <w:color w:val="221E1F"/>
      <w:sz w:val="23"/>
    </w:rPr>
  </w:style>
  <w:style w:type="paragraph" w:customStyle="1" w:styleId="Pa2">
    <w:name w:val="Pa2"/>
    <w:basedOn w:val="Default"/>
    <w:next w:val="Default"/>
    <w:rsid w:val="00CE42F3"/>
    <w:pPr>
      <w:widowControl/>
      <w:spacing w:line="241" w:lineRule="atLeast"/>
    </w:pPr>
    <w:rPr>
      <w:rFonts w:ascii="Verdana" w:hAnsi="Verdana"/>
    </w:rPr>
  </w:style>
  <w:style w:type="character" w:customStyle="1" w:styleId="CharChar2">
    <w:name w:val="Char Char2"/>
    <w:locked/>
    <w:rsid w:val="00CE42F3"/>
    <w:rPr>
      <w:rFonts w:ascii="Times New Roman" w:hAnsi="Times New Roman" w:cs="Times New Roman"/>
      <w:sz w:val="20"/>
      <w:szCs w:val="20"/>
      <w:lang w:eastAsia="ar-SA" w:bidi="ar-SA"/>
    </w:rPr>
  </w:style>
  <w:style w:type="character" w:customStyle="1" w:styleId="Fontepargpadro1">
    <w:name w:val="Fonte parág. padrão1"/>
    <w:rsid w:val="00CE42F3"/>
  </w:style>
  <w:style w:type="table" w:customStyle="1" w:styleId="Tabelacomgrade1">
    <w:name w:val="Tabela com grade1"/>
    <w:basedOn w:val="Tabelanormal"/>
    <w:next w:val="Tabelacomgrade"/>
    <w:uiPriority w:val="59"/>
    <w:locked/>
    <w:rsid w:val="00CE42F3"/>
    <w:rPr>
      <w:rFonts w:ascii="Calibri" w:eastAsia="Calibri"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GradeMdia2-nfase1">
    <w:name w:val="Medium Grid 2 Accent 1"/>
    <w:basedOn w:val="Tabelanormal"/>
    <w:uiPriority w:val="68"/>
    <w:rsid w:val="00CE42F3"/>
    <w:pPr>
      <w:spacing w:afterAutospacing="1"/>
    </w:pPr>
    <w:rPr>
      <w:rFonts w:ascii="Cambria" w:hAnsi="Cambria"/>
      <w:color w:val="000000"/>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numbering" w:customStyle="1" w:styleId="Semlista2">
    <w:name w:val="Sem lista2"/>
    <w:next w:val="Semlista"/>
    <w:semiHidden/>
    <w:rsid w:val="00CE42F3"/>
  </w:style>
  <w:style w:type="character" w:customStyle="1" w:styleId="Ivete">
    <w:name w:val="Ivete"/>
    <w:semiHidden/>
    <w:rsid w:val="00CE42F3"/>
    <w:rPr>
      <w:rFonts w:ascii="Verdana" w:hAnsi="Verdana"/>
      <w:b w:val="0"/>
      <w:bCs w:val="0"/>
      <w:i w:val="0"/>
      <w:iCs w:val="0"/>
      <w:strike w:val="0"/>
      <w:color w:val="auto"/>
      <w:sz w:val="20"/>
      <w:szCs w:val="20"/>
      <w:u w:val="none"/>
    </w:rPr>
  </w:style>
  <w:style w:type="paragraph" w:customStyle="1" w:styleId="msolistparagraph0">
    <w:name w:val="msolistparagraph"/>
    <w:basedOn w:val="Normal"/>
    <w:rsid w:val="00CE42F3"/>
    <w:pPr>
      <w:ind w:left="720"/>
    </w:pPr>
    <w:rPr>
      <w:rFonts w:ascii="Tahoma" w:hAnsi="Tahoma" w:cs="Tahoma"/>
      <w:color w:val="0F243E"/>
    </w:rPr>
  </w:style>
  <w:style w:type="table" w:customStyle="1" w:styleId="Tabelacomgrelha1">
    <w:name w:val="Tabela com grelha1"/>
    <w:basedOn w:val="Tabelanormal"/>
    <w:next w:val="Tabelacomgrade"/>
    <w:rsid w:val="00CE42F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s">
    <w:name w:val="Textos"/>
    <w:rsid w:val="00CE42F3"/>
    <w:rPr>
      <w:rFonts w:ascii="Tunga" w:hAnsi="Tunga" w:cs="Tunga"/>
      <w:sz w:val="20"/>
      <w:szCs w:val="20"/>
    </w:rPr>
  </w:style>
  <w:style w:type="character" w:customStyle="1" w:styleId="ttulos">
    <w:name w:val="ttulos"/>
    <w:rsid w:val="00CE42F3"/>
    <w:rPr>
      <w:rFonts w:ascii="Tunga" w:hAnsi="Tunga" w:cs="Tunga" w:hint="default"/>
      <w:b/>
      <w:bCs/>
    </w:rPr>
  </w:style>
  <w:style w:type="paragraph" w:customStyle="1" w:styleId="Textorecuo">
    <w:name w:val="Texto recuo"/>
    <w:basedOn w:val="Normal"/>
    <w:qFormat/>
    <w:rsid w:val="00CE42F3"/>
    <w:pPr>
      <w:numPr>
        <w:numId w:val="271"/>
      </w:numPr>
      <w:spacing w:after="80" w:line="320" w:lineRule="exact"/>
      <w:jc w:val="both"/>
    </w:pPr>
    <w:rPr>
      <w:rFonts w:ascii="Arial" w:eastAsia="Calibri" w:hAnsi="Arial" w:cs="Arial"/>
      <w:szCs w:val="23"/>
      <w:shd w:val="clear" w:color="auto" w:fill="FFFFFF"/>
    </w:rPr>
  </w:style>
  <w:style w:type="paragraph" w:customStyle="1" w:styleId="Textonegrito">
    <w:name w:val="Texto negrito"/>
    <w:basedOn w:val="Normal"/>
    <w:qFormat/>
    <w:rsid w:val="00CE42F3"/>
    <w:pPr>
      <w:spacing w:before="120" w:after="120" w:line="320" w:lineRule="exact"/>
      <w:jc w:val="both"/>
    </w:pPr>
    <w:rPr>
      <w:rFonts w:ascii="Arial" w:eastAsia="Calibri" w:hAnsi="Arial" w:cs="Arial"/>
      <w:b/>
      <w:szCs w:val="23"/>
      <w:lang w:eastAsia="en-US"/>
    </w:rPr>
  </w:style>
  <w:style w:type="character" w:customStyle="1" w:styleId="ff2">
    <w:name w:val="ff2"/>
    <w:rsid w:val="00CE42F3"/>
    <w:rPr>
      <w:rFonts w:cs="Times New Roman"/>
    </w:rPr>
  </w:style>
  <w:style w:type="character" w:customStyle="1" w:styleId="yiv9081193742">
    <w:name w:val="yiv9081193742"/>
    <w:rsid w:val="00CE42F3"/>
  </w:style>
  <w:style w:type="paragraph" w:customStyle="1" w:styleId="Normal1">
    <w:name w:val="Normal1"/>
    <w:rsid w:val="00CE42F3"/>
    <w:pPr>
      <w:widowControl w:val="0"/>
      <w:spacing w:after="200" w:line="276" w:lineRule="auto"/>
      <w:jc w:val="center"/>
    </w:pPr>
    <w:rPr>
      <w:rFonts w:ascii="Calibri" w:eastAsia="Calibri" w:hAnsi="Calibri" w:cs="Calibri"/>
      <w:color w:val="000000"/>
      <w:sz w:val="22"/>
      <w:szCs w:val="22"/>
    </w:rPr>
  </w:style>
  <w:style w:type="character" w:customStyle="1" w:styleId="style321">
    <w:name w:val="style321"/>
    <w:rsid w:val="00CE42F3"/>
    <w:rPr>
      <w:b/>
      <w:bCs/>
      <w:color w:val="E77919"/>
    </w:rPr>
  </w:style>
  <w:style w:type="paragraph" w:customStyle="1" w:styleId="Pa0">
    <w:name w:val="Pa0"/>
    <w:basedOn w:val="Normal"/>
    <w:next w:val="Normal"/>
    <w:rsid w:val="00CE42F3"/>
    <w:pPr>
      <w:autoSpaceDE w:val="0"/>
      <w:autoSpaceDN w:val="0"/>
      <w:adjustRightInd w:val="0"/>
      <w:spacing w:line="161" w:lineRule="atLeast"/>
      <w:ind w:firstLine="1134"/>
    </w:pPr>
    <w:rPr>
      <w:rFonts w:ascii="Mistral" w:eastAsia="Calibri" w:hAnsi="Mistral"/>
      <w:lang w:eastAsia="en-US"/>
    </w:rPr>
  </w:style>
  <w:style w:type="character" w:customStyle="1" w:styleId="A0">
    <w:name w:val="A0"/>
    <w:rsid w:val="00CE42F3"/>
    <w:rPr>
      <w:rFonts w:ascii="Frutiger 47LightCn" w:hAnsi="Frutiger 47LightCn" w:cs="Frutiger 47LightCn"/>
      <w:color w:val="000000"/>
      <w:sz w:val="30"/>
      <w:szCs w:val="30"/>
    </w:rPr>
  </w:style>
  <w:style w:type="paragraph" w:customStyle="1" w:styleId="Pa11">
    <w:name w:val="Pa11"/>
    <w:basedOn w:val="Normal"/>
    <w:next w:val="Normal"/>
    <w:rsid w:val="00CE42F3"/>
    <w:pPr>
      <w:autoSpaceDE w:val="0"/>
      <w:autoSpaceDN w:val="0"/>
      <w:adjustRightInd w:val="0"/>
      <w:spacing w:line="161" w:lineRule="atLeast"/>
      <w:ind w:firstLine="1134"/>
    </w:pPr>
    <w:rPr>
      <w:rFonts w:ascii="Mistral" w:eastAsia="Calibri" w:hAnsi="Mistral"/>
      <w:lang w:eastAsia="en-US"/>
    </w:rPr>
  </w:style>
  <w:style w:type="character" w:customStyle="1" w:styleId="textexposedshow">
    <w:name w:val="text_exposed_show"/>
    <w:rsid w:val="00CE42F3"/>
  </w:style>
  <w:style w:type="paragraph" w:customStyle="1" w:styleId="TNR12">
    <w:name w:val="TNR12"/>
    <w:rsid w:val="00CE42F3"/>
    <w:pPr>
      <w:spacing w:before="120" w:after="120"/>
      <w:jc w:val="both"/>
    </w:pPr>
    <w:rPr>
      <w:sz w:val="24"/>
      <w:szCs w:val="24"/>
      <w:lang w:eastAsia="en-US"/>
    </w:rPr>
  </w:style>
  <w:style w:type="paragraph" w:customStyle="1" w:styleId="xmsonormal">
    <w:name w:val="x_msonormal"/>
    <w:basedOn w:val="Normal"/>
    <w:rsid w:val="00CE42F3"/>
    <w:pPr>
      <w:spacing w:before="100" w:beforeAutospacing="1" w:after="100" w:afterAutospacing="1"/>
    </w:pPr>
  </w:style>
  <w:style w:type="table" w:customStyle="1" w:styleId="SombreadoClaro-Cor1">
    <w:name w:val="Sombreado Claro - Cor 1"/>
    <w:basedOn w:val="Tabelanormal"/>
    <w:uiPriority w:val="60"/>
    <w:rsid w:val="00CE42F3"/>
    <w:rPr>
      <w:rFonts w:ascii="Calibri" w:eastAsia="Calibri" w:hAnsi="Calibri" w:cs="Calibri"/>
      <w:color w:val="365F91"/>
      <w:sz w:val="22"/>
      <w:szCs w:val="22"/>
      <w:lang w:eastAsia="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Recuodecorpodetexto3Char1">
    <w:name w:val="Recuo de corpo de texto 3 Char1"/>
    <w:uiPriority w:val="99"/>
    <w:semiHidden/>
    <w:rsid w:val="00CE42F3"/>
    <w:rPr>
      <w:rFonts w:ascii="Arial" w:hAnsi="Arial" w:cs="Times New Roman"/>
      <w:sz w:val="16"/>
      <w:szCs w:val="16"/>
    </w:rPr>
  </w:style>
  <w:style w:type="paragraph" w:customStyle="1" w:styleId="texto20">
    <w:name w:val="texto_2"/>
    <w:basedOn w:val="Normal"/>
    <w:uiPriority w:val="99"/>
    <w:rsid w:val="00CE42F3"/>
    <w:pPr>
      <w:spacing w:after="200" w:line="276" w:lineRule="auto"/>
      <w:jc w:val="both"/>
    </w:pPr>
    <w:rPr>
      <w:rFonts w:ascii="Myriad Pro" w:hAnsi="Myriad Pro"/>
      <w:sz w:val="22"/>
      <w:szCs w:val="22"/>
      <w:lang w:eastAsia="en-US"/>
    </w:rPr>
  </w:style>
  <w:style w:type="paragraph" w:customStyle="1" w:styleId="BNDES">
    <w:name w:val="BNDES"/>
    <w:basedOn w:val="Normal"/>
    <w:rsid w:val="00CE42F3"/>
    <w:pPr>
      <w:jc w:val="both"/>
    </w:pPr>
    <w:rPr>
      <w:rFonts w:ascii="Optimum" w:hAnsi="Optimum"/>
    </w:rPr>
  </w:style>
  <w:style w:type="table" w:customStyle="1" w:styleId="TableNormal">
    <w:name w:val="Table Normal"/>
    <w:uiPriority w:val="2"/>
    <w:semiHidden/>
    <w:unhideWhenUsed/>
    <w:qFormat/>
    <w:rsid w:val="00CE42F3"/>
    <w:pPr>
      <w:widowControl w:val="0"/>
      <w:jc w:val="center"/>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CE42F3"/>
    <w:pPr>
      <w:widowControl w:val="0"/>
    </w:pPr>
    <w:rPr>
      <w:rFonts w:ascii="Calibri" w:eastAsia="Calibri" w:hAnsi="Calibri"/>
      <w:sz w:val="22"/>
      <w:szCs w:val="22"/>
      <w:lang w:val="en-US" w:eastAsia="en-US"/>
    </w:rPr>
  </w:style>
  <w:style w:type="character" w:styleId="nfaseSutil">
    <w:name w:val="Subtle Emphasis"/>
    <w:uiPriority w:val="19"/>
    <w:qFormat/>
    <w:rsid w:val="00CE42F3"/>
    <w:rPr>
      <w:i/>
      <w:iCs/>
      <w:color w:val="5A5A5A"/>
    </w:rPr>
  </w:style>
  <w:style w:type="character" w:styleId="nfaseIntensa">
    <w:name w:val="Intense Emphasis"/>
    <w:uiPriority w:val="21"/>
    <w:qFormat/>
    <w:rsid w:val="00CE42F3"/>
    <w:rPr>
      <w:b/>
      <w:bCs/>
      <w:i/>
      <w:iCs/>
      <w:color w:val="4F81BD"/>
      <w:sz w:val="22"/>
      <w:szCs w:val="22"/>
    </w:rPr>
  </w:style>
  <w:style w:type="character" w:styleId="RefernciaSutil">
    <w:name w:val="Subtle Reference"/>
    <w:uiPriority w:val="31"/>
    <w:qFormat/>
    <w:rsid w:val="00CE42F3"/>
    <w:rPr>
      <w:color w:val="auto"/>
      <w:u w:val="single" w:color="9BBB59"/>
    </w:rPr>
  </w:style>
  <w:style w:type="character" w:styleId="RefernciaIntensa">
    <w:name w:val="Intense Reference"/>
    <w:uiPriority w:val="32"/>
    <w:qFormat/>
    <w:rsid w:val="00CE42F3"/>
    <w:rPr>
      <w:b/>
      <w:bCs/>
      <w:color w:val="76923C"/>
      <w:u w:val="single" w:color="9BBB59"/>
    </w:rPr>
  </w:style>
  <w:style w:type="character" w:styleId="TtulodoLivro">
    <w:name w:val="Book Title"/>
    <w:uiPriority w:val="33"/>
    <w:qFormat/>
    <w:rsid w:val="00CE42F3"/>
    <w:rPr>
      <w:rFonts w:ascii="Cambria" w:eastAsia="Times New Roman" w:hAnsi="Cambria" w:cs="Times New Roman"/>
      <w:b/>
      <w:bCs/>
      <w:i/>
      <w:iCs/>
      <w:color w:val="auto"/>
    </w:rPr>
  </w:style>
  <w:style w:type="character" w:customStyle="1" w:styleId="fonteescura1">
    <w:name w:val="fonteescura1"/>
    <w:rsid w:val="00CE42F3"/>
    <w:rPr>
      <w:color w:val="4C524C"/>
    </w:rPr>
  </w:style>
  <w:style w:type="paragraph" w:customStyle="1" w:styleId="notitemtitle">
    <w:name w:val="not_item_title"/>
    <w:basedOn w:val="Normal"/>
    <w:rsid w:val="00CE42F3"/>
    <w:pPr>
      <w:spacing w:before="120" w:after="120"/>
      <w:ind w:left="120" w:right="120"/>
      <w:jc w:val="both"/>
    </w:pPr>
    <w:rPr>
      <w:rFonts w:ascii="Verdana" w:hAnsi="Verdana"/>
    </w:rPr>
  </w:style>
  <w:style w:type="paragraph" w:customStyle="1" w:styleId="notm1">
    <w:name w:val="not_m1"/>
    <w:basedOn w:val="Normal"/>
    <w:rsid w:val="00CE42F3"/>
    <w:pPr>
      <w:spacing w:after="225"/>
      <w:ind w:left="-75"/>
    </w:pPr>
  </w:style>
  <w:style w:type="table" w:styleId="Tabelaemlista4">
    <w:name w:val="Table List 4"/>
    <w:basedOn w:val="Tabelanormal"/>
    <w:rsid w:val="00CE42F3"/>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s>
</file>

<file path=word/webSettings.xml><?xml version="1.0" encoding="utf-8"?>
<w:webSettings xmlns:r="http://schemas.openxmlformats.org/officeDocument/2006/relationships" xmlns:w="http://schemas.openxmlformats.org/wordprocessingml/2006/main">
  <w:divs>
    <w:div w:id="248200743">
      <w:bodyDiv w:val="1"/>
      <w:marLeft w:val="0"/>
      <w:marRight w:val="0"/>
      <w:marTop w:val="0"/>
      <w:marBottom w:val="0"/>
      <w:divBdr>
        <w:top w:val="none" w:sz="0" w:space="0" w:color="auto"/>
        <w:left w:val="none" w:sz="0" w:space="0" w:color="auto"/>
        <w:bottom w:val="none" w:sz="0" w:space="0" w:color="auto"/>
        <w:right w:val="none" w:sz="0" w:space="0" w:color="auto"/>
      </w:divBdr>
    </w:div>
    <w:div w:id="537930386">
      <w:bodyDiv w:val="1"/>
      <w:marLeft w:val="0"/>
      <w:marRight w:val="0"/>
      <w:marTop w:val="0"/>
      <w:marBottom w:val="0"/>
      <w:divBdr>
        <w:top w:val="none" w:sz="0" w:space="0" w:color="auto"/>
        <w:left w:val="none" w:sz="0" w:space="0" w:color="auto"/>
        <w:bottom w:val="none" w:sz="0" w:space="0" w:color="auto"/>
        <w:right w:val="none" w:sz="0" w:space="0" w:color="auto"/>
      </w:divBdr>
    </w:div>
    <w:div w:id="726688311">
      <w:bodyDiv w:val="1"/>
      <w:marLeft w:val="0"/>
      <w:marRight w:val="0"/>
      <w:marTop w:val="0"/>
      <w:marBottom w:val="0"/>
      <w:divBdr>
        <w:top w:val="none" w:sz="0" w:space="0" w:color="auto"/>
        <w:left w:val="none" w:sz="0" w:space="0" w:color="auto"/>
        <w:bottom w:val="none" w:sz="0" w:space="0" w:color="auto"/>
        <w:right w:val="none" w:sz="0" w:space="0" w:color="auto"/>
      </w:divBdr>
    </w:div>
    <w:div w:id="1158303829">
      <w:bodyDiv w:val="1"/>
      <w:marLeft w:val="0"/>
      <w:marRight w:val="0"/>
      <w:marTop w:val="0"/>
      <w:marBottom w:val="0"/>
      <w:divBdr>
        <w:top w:val="none" w:sz="0" w:space="0" w:color="auto"/>
        <w:left w:val="none" w:sz="0" w:space="0" w:color="auto"/>
        <w:bottom w:val="none" w:sz="0" w:space="0" w:color="auto"/>
        <w:right w:val="none" w:sz="0" w:space="0" w:color="auto"/>
      </w:divBdr>
    </w:div>
    <w:div w:id="1273325002">
      <w:bodyDiv w:val="1"/>
      <w:marLeft w:val="0"/>
      <w:marRight w:val="0"/>
      <w:marTop w:val="0"/>
      <w:marBottom w:val="0"/>
      <w:divBdr>
        <w:top w:val="none" w:sz="0" w:space="0" w:color="auto"/>
        <w:left w:val="none" w:sz="0" w:space="0" w:color="auto"/>
        <w:bottom w:val="none" w:sz="0" w:space="0" w:color="auto"/>
        <w:right w:val="none" w:sz="0" w:space="0" w:color="auto"/>
      </w:divBdr>
    </w:div>
    <w:div w:id="1462265815">
      <w:bodyDiv w:val="1"/>
      <w:marLeft w:val="0"/>
      <w:marRight w:val="0"/>
      <w:marTop w:val="0"/>
      <w:marBottom w:val="0"/>
      <w:divBdr>
        <w:top w:val="none" w:sz="0" w:space="0" w:color="auto"/>
        <w:left w:val="none" w:sz="0" w:space="0" w:color="auto"/>
        <w:bottom w:val="none" w:sz="0" w:space="0" w:color="auto"/>
        <w:right w:val="none" w:sz="0" w:space="0" w:color="auto"/>
      </w:divBdr>
    </w:div>
    <w:div w:id="1480879218">
      <w:bodyDiv w:val="1"/>
      <w:marLeft w:val="0"/>
      <w:marRight w:val="0"/>
      <w:marTop w:val="0"/>
      <w:marBottom w:val="0"/>
      <w:divBdr>
        <w:top w:val="none" w:sz="0" w:space="0" w:color="auto"/>
        <w:left w:val="none" w:sz="0" w:space="0" w:color="auto"/>
        <w:bottom w:val="none" w:sz="0" w:space="0" w:color="auto"/>
        <w:right w:val="none" w:sz="0" w:space="0" w:color="auto"/>
      </w:divBdr>
    </w:div>
    <w:div w:id="1576016331">
      <w:bodyDiv w:val="1"/>
      <w:marLeft w:val="0"/>
      <w:marRight w:val="0"/>
      <w:marTop w:val="0"/>
      <w:marBottom w:val="0"/>
      <w:divBdr>
        <w:top w:val="none" w:sz="0" w:space="0" w:color="auto"/>
        <w:left w:val="none" w:sz="0" w:space="0" w:color="auto"/>
        <w:bottom w:val="none" w:sz="0" w:space="0" w:color="auto"/>
        <w:right w:val="none" w:sz="0" w:space="0" w:color="auto"/>
      </w:divBdr>
    </w:div>
    <w:div w:id="2061439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Planilha_do_Microsoft_Office_Excel_97-20032.xls"/><Relationship Id="rId18" Type="http://schemas.openxmlformats.org/officeDocument/2006/relationships/hyperlink" Target="http://www.casacivil.sp.gov.br/biblioteca-ccivil/home.asp" TargetMode="External"/><Relationship Id="rId26" Type="http://schemas.openxmlformats.org/officeDocument/2006/relationships/hyperlink" Target="http://www.mapeiasp.sp.gov.br" TargetMode="External"/><Relationship Id="rId39" Type="http://schemas.openxmlformats.org/officeDocument/2006/relationships/chart" Target="charts/chart2.xml"/><Relationship Id="rId21" Type="http://schemas.openxmlformats.org/officeDocument/2006/relationships/hyperlink" Target="http://www.sigageo.sp.gov.br" TargetMode="External"/><Relationship Id="rId34" Type="http://schemas.openxmlformats.org/officeDocument/2006/relationships/image" Target="media/image11.emf"/><Relationship Id="rId42" Type="http://schemas.openxmlformats.org/officeDocument/2006/relationships/image" Target="media/image13.emf"/><Relationship Id="rId47" Type="http://schemas.openxmlformats.org/officeDocument/2006/relationships/chart" Target="charts/chart4.xml"/><Relationship Id="rId50" Type="http://schemas.openxmlformats.org/officeDocument/2006/relationships/hyperlink" Target="http://www.al.sp.gov.br/norma?id=169266" TargetMode="External"/><Relationship Id="rId55" Type="http://schemas.openxmlformats.org/officeDocument/2006/relationships/hyperlink" Target="http://www.gcti.sp.gov.br" TargetMode="External"/><Relationship Id="rId63" Type="http://schemas.openxmlformats.org/officeDocument/2006/relationships/image" Target="media/image20.emf"/><Relationship Id="rId68" Type="http://schemas.openxmlformats.org/officeDocument/2006/relationships/image" Target="media/image22.emf"/><Relationship Id="rId76" Type="http://schemas.openxmlformats.org/officeDocument/2006/relationships/hyperlink" Target="http://www.pepdoicms.sp.gov.br" TargetMode="External"/><Relationship Id="rId7" Type="http://schemas.openxmlformats.org/officeDocument/2006/relationships/endnotes" Target="endnotes.xml"/><Relationship Id="rId71"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hyperlink" Target="http://www.arquivoestado.sp.gov.br/site/assets/material_apoio/Secretaria_de_Logistica_e_Transporte.pdf" TargetMode="External"/><Relationship Id="rId29" Type="http://schemas.openxmlformats.org/officeDocument/2006/relationships/hyperlink" Target="http://www.sigam.ambiente.sp.gov.br/sigam2/%20default.aspx?idPagina=13076" TargetMode="External"/><Relationship Id="rId11" Type="http://schemas.openxmlformats.org/officeDocument/2006/relationships/oleObject" Target="embeddings/Planilha_do_Microsoft_Office_Excel_97-20031.xls"/><Relationship Id="rId24" Type="http://schemas.openxmlformats.org/officeDocument/2006/relationships/hyperlink" Target="http://www.scm.emplasageo.sp.gov.br" TargetMode="External"/><Relationship Id="rId32" Type="http://schemas.openxmlformats.org/officeDocument/2006/relationships/image" Target="media/image9.emf"/><Relationship Id="rId37" Type="http://schemas.openxmlformats.org/officeDocument/2006/relationships/hyperlink" Target="https://webmail.fundap.sp.gov.br/exchweb/bin/redir.asp?URL=http://www.viarapida.sp.gov.br/" TargetMode="External"/><Relationship Id="rId40" Type="http://schemas.openxmlformats.org/officeDocument/2006/relationships/chart" Target="charts/chart3.xml"/><Relationship Id="rId45" Type="http://schemas.openxmlformats.org/officeDocument/2006/relationships/image" Target="media/image15.png"/><Relationship Id="rId53" Type="http://schemas.openxmlformats.org/officeDocument/2006/relationships/hyperlink" Target="HTTP://www.recursoshumanos.sp.gov.br/vcclipping" TargetMode="External"/><Relationship Id="rId58" Type="http://schemas.openxmlformats.org/officeDocument/2006/relationships/hyperlink" Target="http://www.unicef.org/brazil/pt/br_indiceha10.pdf" TargetMode="External"/><Relationship Id="rId66" Type="http://schemas.openxmlformats.org/officeDocument/2006/relationships/hyperlink" Target="http://datageo.ambiente.sp.gov.br/" TargetMode="External"/><Relationship Id="rId74" Type="http://schemas.openxmlformats.org/officeDocument/2006/relationships/hyperlink" Target="http://www.rotasdesaopaulo.com.br" TargetMode="External"/><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18.jpeg"/><Relationship Id="rId10" Type="http://schemas.openxmlformats.org/officeDocument/2006/relationships/image" Target="media/image2.emf"/><Relationship Id="rId19" Type="http://schemas.openxmlformats.org/officeDocument/2006/relationships/hyperlink" Target="http://empresaspublicas.imprensaoficial.com.br/" TargetMode="External"/><Relationship Id="rId31" Type="http://schemas.openxmlformats.org/officeDocument/2006/relationships/image" Target="media/image8.emf"/><Relationship Id="rId44" Type="http://schemas.openxmlformats.org/officeDocument/2006/relationships/hyperlink" Target="http://www.saopauloconsig.org.br" TargetMode="External"/><Relationship Id="rId52" Type="http://schemas.openxmlformats.org/officeDocument/2006/relationships/hyperlink" Target="http://www.al.sp.gov.br/norma?id=169266" TargetMode="External"/><Relationship Id="rId60" Type="http://schemas.openxmlformats.org/officeDocument/2006/relationships/image" Target="media/image17.jpeg"/><Relationship Id="rId65" Type="http://schemas.openxmlformats.org/officeDocument/2006/relationships/image" Target="media/image21.png"/><Relationship Id="rId73" Type="http://schemas.openxmlformats.org/officeDocument/2006/relationships/hyperlink" Target="http://www.turismoemsaopaulo.com" TargetMode="External"/><Relationship Id="rId78" Type="http://schemas.openxmlformats.org/officeDocument/2006/relationships/footer" Target="footer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asacivil.sp.gov.br/painel-info/login.htm" TargetMode="External"/><Relationship Id="rId14" Type="http://schemas.openxmlformats.org/officeDocument/2006/relationships/image" Target="media/image4.emf"/><Relationship Id="rId22" Type="http://schemas.openxmlformats.org/officeDocument/2006/relationships/hyperlink" Target="http://www.uitgeo.sp.gov.br" TargetMode="External"/><Relationship Id="rId27" Type="http://schemas.openxmlformats.org/officeDocument/2006/relationships/hyperlink" Target="http://www.sihab.emplasageo.sp.gov.br" TargetMode="External"/><Relationship Id="rId30" Type="http://schemas.openxmlformats.org/officeDocument/2006/relationships/image" Target="media/image7.emf"/><Relationship Id="rId35" Type="http://schemas.openxmlformats.org/officeDocument/2006/relationships/hyperlink" Target="mailto:defesacivil@sp.gov.br" TargetMode="External"/><Relationship Id="rId43" Type="http://schemas.openxmlformats.org/officeDocument/2006/relationships/image" Target="media/image14.wmf"/><Relationship Id="rId48" Type="http://schemas.openxmlformats.org/officeDocument/2006/relationships/hyperlink" Target="http://www.al.sp.gov.br/norma?id=169266" TargetMode="External"/><Relationship Id="rId56" Type="http://schemas.openxmlformats.org/officeDocument/2006/relationships/image" Target="media/image16.wmf"/><Relationship Id="rId64" Type="http://schemas.openxmlformats.org/officeDocument/2006/relationships/hyperlink" Target="http://www.der.sp.gov.br" TargetMode="External"/><Relationship Id="rId69" Type="http://schemas.openxmlformats.org/officeDocument/2006/relationships/comments" Target="comments.xml"/><Relationship Id="rId77" Type="http://schemas.openxmlformats.org/officeDocument/2006/relationships/header" Target="header1.xml"/><Relationship Id="rId8" Type="http://schemas.openxmlformats.org/officeDocument/2006/relationships/hyperlink" Target="http://www.cqgp.sp.gov.br" TargetMode="External"/><Relationship Id="rId51" Type="http://schemas.openxmlformats.org/officeDocument/2006/relationships/hyperlink" Target="http://www.al.sp.gov.br/norma?id=169266" TargetMode="External"/><Relationship Id="rId72" Type="http://schemas.openxmlformats.org/officeDocument/2006/relationships/hyperlink" Target="mailto:rodasp@turismoemsaopaulo.com" TargetMode="Externa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hyperlink" Target="http://www.casacivil.sp.gov.br/" TargetMode="External"/><Relationship Id="rId25" Type="http://schemas.openxmlformats.org/officeDocument/2006/relationships/hyperlink" Target="http://www.rodoanel.emplasageo.sp.gov.br" TargetMode="External"/><Relationship Id="rId33" Type="http://schemas.openxmlformats.org/officeDocument/2006/relationships/image" Target="media/image10.emf"/><Relationship Id="rId38" Type="http://schemas.openxmlformats.org/officeDocument/2006/relationships/chart" Target="charts/chart1.xml"/><Relationship Id="rId46" Type="http://schemas.openxmlformats.org/officeDocument/2006/relationships/image" Target="cid:image001.png@01D01DDA.44F5CD60" TargetMode="External"/><Relationship Id="rId59" Type="http://schemas.openxmlformats.org/officeDocument/2006/relationships/chart" Target="charts/chart5.xml"/><Relationship Id="rId67" Type="http://schemas.openxmlformats.org/officeDocument/2006/relationships/hyperlink" Target="http://www.igovsp.net" TargetMode="External"/><Relationship Id="rId20" Type="http://schemas.openxmlformats.org/officeDocument/2006/relationships/image" Target="media/image6.png"/><Relationship Id="rId41" Type="http://schemas.openxmlformats.org/officeDocument/2006/relationships/image" Target="media/image12.emf"/><Relationship Id="rId54" Type="http://schemas.openxmlformats.org/officeDocument/2006/relationships/hyperlink" Target="http://www.recursoshumanos.sp.gov.br" TargetMode="External"/><Relationship Id="rId62" Type="http://schemas.openxmlformats.org/officeDocument/2006/relationships/image" Target="media/image19.jpeg"/><Relationship Id="rId70" Type="http://schemas.openxmlformats.org/officeDocument/2006/relationships/image" Target="media/image23.png"/><Relationship Id="rId75" Type="http://schemas.openxmlformats.org/officeDocument/2006/relationships/hyperlink" Target="http://www.tursp.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hyperlink" Target="http://www.emplasageo.sp.gov.br" TargetMode="External"/><Relationship Id="rId28" Type="http://schemas.openxmlformats.org/officeDocument/2006/relationships/hyperlink" Target="http://10.7.64.91/classesigemplasa/" TargetMode="External"/><Relationship Id="rId36" Type="http://schemas.openxmlformats.org/officeDocument/2006/relationships/hyperlink" Target="http://www.defesacivil.sp.gov.br" TargetMode="External"/><Relationship Id="rId49" Type="http://schemas.openxmlformats.org/officeDocument/2006/relationships/hyperlink" Target="http://www.al.sp.gov.br/norma?id=169111" TargetMode="External"/><Relationship Id="rId57" Type="http://schemas.openxmlformats.org/officeDocument/2006/relationships/hyperlink" Target="http://lua.planejamento.sp.gov.br/owa/epa/login_epa$.startup?p_origem=SIMPA"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Planilha_do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st01\Users_Setor\Setor\GestaoProjetos\Relat&#243;rios%20Jason\Relat&#243;rio%20de%20Atividades%202014\Ouvidoria.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st01\Users_Setor\Setor\GestaoProjetos\Relat&#243;rios%20Jason\Relat&#243;rio%20de%20Atividades%202014\Ouvidoria.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E:\CAT\Estrategia\Conteudo\Graficos\Originais\Arrecada&#231;&#227;o.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Planilha_do_Microsoft_Office_Excel2.xlsx"/><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pt-BR"/>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BR">
                <a:latin typeface="Times New Roman" panose="02020603050405020304" pitchFamily="18" charset="0"/>
                <a:cs typeface="Times New Roman" panose="02020603050405020304" pitchFamily="18" charset="0"/>
              </a:rPr>
              <a:t>Projeto por</a:t>
            </a:r>
            <a:r>
              <a:rPr lang="pt-BR" baseline="0">
                <a:latin typeface="Times New Roman" panose="02020603050405020304" pitchFamily="18" charset="0"/>
                <a:cs typeface="Times New Roman" panose="02020603050405020304" pitchFamily="18" charset="0"/>
              </a:rPr>
              <a:t> Segmento</a:t>
            </a:r>
            <a:endParaRPr lang="pt-BR">
              <a:latin typeface="Times New Roman" panose="02020603050405020304" pitchFamily="18" charset="0"/>
              <a:cs typeface="Times New Roman" panose="02020603050405020304" pitchFamily="18" charset="0"/>
            </a:endParaRPr>
          </a:p>
        </c:rich>
      </c:tx>
      <c:spPr>
        <a:noFill/>
        <a:ln w="25400">
          <a:noFill/>
        </a:ln>
      </c:spPr>
    </c:title>
    <c:plotArea>
      <c:layout/>
      <c:pieChart>
        <c:varyColors val="1"/>
        <c:ser>
          <c:idx val="0"/>
          <c:order val="0"/>
          <c:dPt>
            <c:idx val="0"/>
            <c:spPr>
              <a:solidFill>
                <a:schemeClr val="accent1"/>
              </a:solidFill>
              <a:ln w="19050">
                <a:solidFill>
                  <a:schemeClr val="lt1"/>
                </a:solidFill>
              </a:ln>
              <a:effectLst/>
            </c:spPr>
          </c:dPt>
          <c:dPt>
            <c:idx val="1"/>
            <c:spPr>
              <a:solidFill>
                <a:schemeClr val="accent2"/>
              </a:solidFill>
              <a:ln w="19050">
                <a:solidFill>
                  <a:schemeClr val="lt1"/>
                </a:solidFill>
              </a:ln>
              <a:effectLst/>
            </c:spPr>
          </c:dPt>
          <c:dPt>
            <c:idx val="2"/>
            <c:spPr>
              <a:solidFill>
                <a:schemeClr val="accent1">
                  <a:lumMod val="20000"/>
                  <a:lumOff val="80000"/>
                </a:schemeClr>
              </a:solidFill>
              <a:ln w="19050">
                <a:solidFill>
                  <a:schemeClr val="lt1"/>
                </a:solidFill>
              </a:ln>
              <a:effectLst/>
            </c:spPr>
          </c:dPt>
          <c:dPt>
            <c:idx val="3"/>
            <c:spPr>
              <a:solidFill>
                <a:schemeClr val="accent4"/>
              </a:solidFill>
              <a:ln w="19050">
                <a:solidFill>
                  <a:schemeClr val="lt1"/>
                </a:solidFill>
              </a:ln>
              <a:effectLst/>
            </c:spPr>
          </c:dPt>
          <c:dPt>
            <c:idx val="4"/>
            <c:spPr>
              <a:solidFill>
                <a:schemeClr val="accent6"/>
              </a:solidFill>
              <a:ln w="19050">
                <a:solidFill>
                  <a:schemeClr val="lt1"/>
                </a:solidFill>
              </a:ln>
              <a:effectLst/>
            </c:spPr>
          </c:dPt>
          <c:dPt>
            <c:idx val="5"/>
            <c:spPr>
              <a:solidFill>
                <a:srgbClr val="FF0000"/>
              </a:solidFill>
              <a:ln w="19050">
                <a:solidFill>
                  <a:schemeClr val="lt1"/>
                </a:solidFill>
              </a:ln>
              <a:effectLst/>
            </c:spPr>
          </c:dPt>
          <c:dPt>
            <c:idx val="6"/>
            <c:spPr>
              <a:solidFill>
                <a:srgbClr val="CC99FF"/>
              </a:solidFill>
              <a:ln w="19050">
                <a:solidFill>
                  <a:schemeClr val="lt1"/>
                </a:solidFill>
              </a:ln>
              <a:effectLst/>
            </c:spPr>
          </c:dPt>
          <c:dPt>
            <c:idx val="7"/>
            <c:spPr>
              <a:solidFill>
                <a:schemeClr val="bg1">
                  <a:lumMod val="65000"/>
                </a:schemeClr>
              </a:solidFill>
              <a:ln w="19050">
                <a:solidFill>
                  <a:schemeClr val="lt1"/>
                </a:solidFill>
              </a:ln>
              <a:effectLst/>
            </c:spPr>
          </c:dPt>
          <c:dLbls>
            <c:spPr>
              <a:noFill/>
              <a:ln w="25400">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t-BR"/>
              </a:p>
            </c:txPr>
            <c:showVal val="1"/>
            <c:showLeaderLines val="1"/>
            <c:leaderLines>
              <c:spPr>
                <a:ln w="9525" cap="flat" cmpd="sng" algn="ctr">
                  <a:solidFill>
                    <a:schemeClr val="tx1">
                      <a:lumMod val="35000"/>
                      <a:lumOff val="65000"/>
                    </a:schemeClr>
                  </a:solidFill>
                  <a:round/>
                </a:ln>
                <a:effectLst/>
              </c:spPr>
            </c:leaderLines>
          </c:dLbls>
          <c:cat>
            <c:strRef>
              <c:f>Plan1!$E$25:$E$32</c:f>
              <c:strCache>
                <c:ptCount val="8"/>
                <c:pt idx="0">
                  <c:v>Esporte</c:v>
                </c:pt>
                <c:pt idx="1">
                  <c:v>Lazer</c:v>
                </c:pt>
                <c:pt idx="2">
                  <c:v>Estratégico da Secretaria</c:v>
                </c:pt>
                <c:pt idx="3">
                  <c:v>Cultura</c:v>
                </c:pt>
                <c:pt idx="4">
                  <c:v>Tecnologia</c:v>
                </c:pt>
                <c:pt idx="5">
                  <c:v>Trabalho</c:v>
                </c:pt>
                <c:pt idx="6">
                  <c:v>Educação</c:v>
                </c:pt>
                <c:pt idx="7">
                  <c:v>Saúde</c:v>
                </c:pt>
              </c:strCache>
            </c:strRef>
          </c:cat>
          <c:val>
            <c:numRef>
              <c:f>Plan1!$F$25:$F$32</c:f>
              <c:numCache>
                <c:formatCode>General</c:formatCode>
                <c:ptCount val="8"/>
                <c:pt idx="0">
                  <c:v>5</c:v>
                </c:pt>
                <c:pt idx="1">
                  <c:v>2</c:v>
                </c:pt>
                <c:pt idx="2">
                  <c:v>9</c:v>
                </c:pt>
                <c:pt idx="3">
                  <c:v>7</c:v>
                </c:pt>
                <c:pt idx="4">
                  <c:v>5</c:v>
                </c:pt>
                <c:pt idx="5">
                  <c:v>6</c:v>
                </c:pt>
                <c:pt idx="6">
                  <c:v>2</c:v>
                </c:pt>
                <c:pt idx="7">
                  <c:v>1</c:v>
                </c:pt>
              </c:numCache>
            </c:numRef>
          </c:val>
        </c:ser>
        <c:firstSliceAng val="0"/>
      </c:pieChart>
      <c:spPr>
        <a:noFill/>
        <a:ln w="25400">
          <a:noFill/>
        </a:ln>
      </c:spPr>
    </c:plotArea>
    <c:legend>
      <c:legendPos val="r"/>
      <c:layout>
        <c:manualLayout>
          <c:xMode val="edge"/>
          <c:yMode val="edge"/>
          <c:x val="0.6851063829787235"/>
          <c:y val="0.24820143884892115"/>
          <c:w val="0.29574468085106381"/>
          <c:h val="0.6079136690647482"/>
        </c:manualLayout>
      </c:layout>
      <c:spPr>
        <a:noFill/>
        <a:ln w="2540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pt-BR"/>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pt-BR"/>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BR"/>
              <a:t>Meios de Comunicação</a:t>
            </a:r>
          </a:p>
        </c:rich>
      </c:tx>
      <c:spPr>
        <a:noFill/>
        <a:ln>
          <a:noFill/>
        </a:ln>
        <a:effectLst/>
      </c:spPr>
    </c:title>
    <c:view3D>
      <c:depthPercent val="100"/>
      <c:rAngAx val="1"/>
    </c:view3D>
    <c:floor>
      <c:spPr>
        <a:noFill/>
        <a:ln>
          <a:noFill/>
        </a:ln>
        <a:effectLst/>
        <a:sp3d/>
      </c:spPr>
    </c:floor>
    <c:sideWall>
      <c:spPr>
        <a:noFill/>
        <a:ln>
          <a:noFill/>
        </a:ln>
        <a:effectLst/>
        <a:sp3d/>
      </c:spPr>
    </c:sideWall>
    <c:backWall>
      <c:spPr>
        <a:noFill/>
        <a:ln>
          <a:noFill/>
        </a:ln>
        <a:effectLst/>
        <a:sp3d/>
      </c:spPr>
    </c:backWall>
    <c:plotArea>
      <c:layout/>
      <c:bar3DChart>
        <c:barDir val="col"/>
        <c:grouping val="clustered"/>
        <c:ser>
          <c:idx val="0"/>
          <c:order val="0"/>
          <c:spPr>
            <a:solidFill>
              <a:schemeClr val="accent1"/>
            </a:solidFill>
            <a:ln>
              <a:noFill/>
            </a:ln>
            <a:effectLst/>
            <a:sp3d/>
          </c:spP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t-BR"/>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Plan1!$A$2:$A$5</c:f>
              <c:strCache>
                <c:ptCount val="4"/>
                <c:pt idx="0">
                  <c:v>Formulário Eletrônico </c:v>
                </c:pt>
                <c:pt idx="1">
                  <c:v>Atendimento Presencial</c:v>
                </c:pt>
                <c:pt idx="2">
                  <c:v>Atendimento por e-mail</c:v>
                </c:pt>
                <c:pt idx="3">
                  <c:v>Atendimento telefônico</c:v>
                </c:pt>
              </c:strCache>
            </c:strRef>
          </c:cat>
          <c:val>
            <c:numRef>
              <c:f>Plan1!$N$2:$N$5</c:f>
              <c:numCache>
                <c:formatCode>General</c:formatCode>
                <c:ptCount val="4"/>
                <c:pt idx="0">
                  <c:v>104</c:v>
                </c:pt>
                <c:pt idx="1">
                  <c:v>88</c:v>
                </c:pt>
                <c:pt idx="2">
                  <c:v>162</c:v>
                </c:pt>
                <c:pt idx="3">
                  <c:v>568</c:v>
                </c:pt>
              </c:numCache>
            </c:numRef>
          </c:val>
        </c:ser>
        <c:shape val="box"/>
        <c:axId val="95636480"/>
        <c:axId val="95859456"/>
        <c:axId val="0"/>
      </c:bar3DChart>
      <c:catAx>
        <c:axId val="95636480"/>
        <c:scaling>
          <c:orientation val="minMax"/>
        </c:scaling>
        <c:axPos val="b"/>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95859456"/>
        <c:crosses val="autoZero"/>
        <c:auto val="1"/>
        <c:lblAlgn val="ctr"/>
        <c:lblOffset val="100"/>
      </c:catAx>
      <c:valAx>
        <c:axId val="95859456"/>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95636480"/>
        <c:crosses val="autoZero"/>
        <c:crossBetween val="between"/>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lang val="pt-BR"/>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BR"/>
              <a:t>Tipo de Manifestação por Tema</a:t>
            </a:r>
          </a:p>
        </c:rich>
      </c:tx>
      <c:spPr>
        <a:noFill/>
        <a:ln>
          <a:noFill/>
        </a:ln>
        <a:effectLst/>
      </c:spPr>
    </c:title>
    <c:view3D>
      <c:rotX val="75"/>
      <c:perspective val="30"/>
    </c:view3D>
    <c:floor>
      <c:spPr>
        <a:noFill/>
        <a:ln>
          <a:noFill/>
        </a:ln>
        <a:effectLst/>
        <a:sp3d/>
      </c:spPr>
    </c:floor>
    <c:sideWall>
      <c:spPr>
        <a:noFill/>
        <a:ln>
          <a:noFill/>
        </a:ln>
        <a:effectLst/>
        <a:sp3d/>
      </c:spPr>
    </c:sideWall>
    <c:backWall>
      <c:spPr>
        <a:noFill/>
        <a:ln>
          <a:noFill/>
        </a:ln>
        <a:effectLst/>
        <a:sp3d/>
      </c:spPr>
    </c:backWall>
    <c:plotArea>
      <c:layout/>
      <c:pie3DChart>
        <c:varyColors val="1"/>
        <c:ser>
          <c:idx val="0"/>
          <c:order val="0"/>
          <c:dPt>
            <c:idx val="0"/>
            <c:spPr>
              <a:solidFill>
                <a:schemeClr val="accent1"/>
              </a:solidFill>
              <a:ln w="25400">
                <a:solidFill>
                  <a:schemeClr val="lt1"/>
                </a:solidFill>
              </a:ln>
              <a:effectLst/>
              <a:sp3d contourW="25400">
                <a:contourClr>
                  <a:schemeClr val="lt1"/>
                </a:contourClr>
              </a:sp3d>
            </c:spPr>
          </c:dPt>
          <c:dPt>
            <c:idx val="1"/>
            <c:spPr>
              <a:solidFill>
                <a:schemeClr val="accent2"/>
              </a:solidFill>
              <a:ln w="25400">
                <a:solidFill>
                  <a:schemeClr val="lt1"/>
                </a:solidFill>
              </a:ln>
              <a:effectLst/>
              <a:sp3d contourW="25400">
                <a:contourClr>
                  <a:schemeClr val="lt1"/>
                </a:contourClr>
              </a:sp3d>
            </c:spPr>
          </c:dPt>
          <c:dPt>
            <c:idx val="2"/>
            <c:spPr>
              <a:solidFill>
                <a:schemeClr val="accent3"/>
              </a:solidFill>
              <a:ln w="25400">
                <a:solidFill>
                  <a:schemeClr val="lt1"/>
                </a:solidFill>
              </a:ln>
              <a:effectLst/>
              <a:sp3d contourW="25400">
                <a:contourClr>
                  <a:schemeClr val="lt1"/>
                </a:contourClr>
              </a:sp3d>
            </c:spPr>
          </c:dPt>
          <c:dPt>
            <c:idx val="3"/>
            <c:spPr>
              <a:solidFill>
                <a:schemeClr val="tx1"/>
              </a:solidFill>
              <a:ln w="25400">
                <a:solidFill>
                  <a:schemeClr val="lt1"/>
                </a:solidFill>
              </a:ln>
              <a:effectLst/>
              <a:sp3d contourW="25400">
                <a:contourClr>
                  <a:schemeClr val="lt1"/>
                </a:contourClr>
              </a:sp3d>
            </c:spPr>
          </c:dPt>
          <c:dPt>
            <c:idx val="4"/>
            <c:spPr>
              <a:solidFill>
                <a:schemeClr val="accent5"/>
              </a:solidFill>
              <a:ln w="25400">
                <a:solidFill>
                  <a:schemeClr val="lt1"/>
                </a:solidFill>
              </a:ln>
              <a:effectLst/>
              <a:sp3d contourW="25400">
                <a:contourClr>
                  <a:schemeClr val="lt1"/>
                </a:contourClr>
              </a:sp3d>
            </c:spPr>
          </c:dPt>
          <c:dPt>
            <c:idx val="5"/>
            <c:spPr>
              <a:solidFill>
                <a:schemeClr val="accent6"/>
              </a:solidFill>
              <a:ln w="25400">
                <a:solidFill>
                  <a:schemeClr val="lt1"/>
                </a:solidFill>
              </a:ln>
              <a:effectLst/>
              <a:sp3d contourW="25400">
                <a:contourClr>
                  <a:schemeClr val="lt1"/>
                </a:contourClr>
              </a:sp3d>
            </c:spPr>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pt-BR"/>
              </a:p>
            </c:txPr>
            <c:showVal val="1"/>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Plan1!$A$7:$A$12</c:f>
              <c:strCache>
                <c:ptCount val="6"/>
                <c:pt idx="0">
                  <c:v>Reclamação</c:v>
                </c:pt>
                <c:pt idx="1">
                  <c:v>Solicitação de Informação </c:v>
                </c:pt>
                <c:pt idx="2">
                  <c:v>Elogio</c:v>
                </c:pt>
                <c:pt idx="3">
                  <c:v>Sugestão</c:v>
                </c:pt>
                <c:pt idx="4">
                  <c:v>Denúncia</c:v>
                </c:pt>
                <c:pt idx="5">
                  <c:v>outros</c:v>
                </c:pt>
              </c:strCache>
            </c:strRef>
          </c:cat>
          <c:val>
            <c:numRef>
              <c:f>Plan1!$N$7:$N$12</c:f>
              <c:numCache>
                <c:formatCode>General</c:formatCode>
                <c:ptCount val="6"/>
                <c:pt idx="0">
                  <c:v>80</c:v>
                </c:pt>
                <c:pt idx="1">
                  <c:v>792</c:v>
                </c:pt>
                <c:pt idx="2">
                  <c:v>3</c:v>
                </c:pt>
                <c:pt idx="3">
                  <c:v>3</c:v>
                </c:pt>
                <c:pt idx="4">
                  <c:v>27</c:v>
                </c:pt>
                <c:pt idx="5">
                  <c:v>17</c:v>
                </c:pt>
              </c:numCache>
            </c:numRef>
          </c:val>
        </c:ser>
      </c:pie3DChart>
      <c:spPr>
        <a:noFill/>
        <a:ln>
          <a:noFill/>
        </a:ln>
        <a:effectLst/>
      </c:spPr>
    </c:plotArea>
    <c:legend>
      <c:legendPos val="r"/>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pt-BR"/>
  <c:clrMapOvr bg1="lt1" tx1="dk1" bg2="lt2" tx2="dk2" accent1="accent1" accent2="accent2" accent3="accent3" accent4="accent4" accent5="accent5" accent6="accent6" hlink="hlink" folHlink="folHlink"/>
  <c:chart>
    <c:title>
      <c:tx>
        <c:rich>
          <a:bodyPr/>
          <a:lstStyle/>
          <a:p>
            <a:pPr>
              <a:defRPr sz="1200">
                <a:latin typeface="Times New Roman" panose="02020603050405020304" pitchFamily="18" charset="0"/>
                <a:cs typeface="Times New Roman" panose="02020603050405020304" pitchFamily="18" charset="0"/>
              </a:defRPr>
            </a:pPr>
            <a:r>
              <a:rPr lang="pt-BR" sz="1200">
                <a:latin typeface="Times New Roman" panose="02020603050405020304" pitchFamily="18" charset="0"/>
                <a:cs typeface="Times New Roman" panose="02020603050405020304" pitchFamily="18" charset="0"/>
              </a:rPr>
              <a:t>Arrecadação em bilhões</a:t>
            </a:r>
            <a:r>
              <a:rPr lang="pt-BR" sz="1200" baseline="0">
                <a:latin typeface="Times New Roman" panose="02020603050405020304" pitchFamily="18" charset="0"/>
                <a:cs typeface="Times New Roman" panose="02020603050405020304" pitchFamily="18" charset="0"/>
              </a:rPr>
              <a:t> de R$</a:t>
            </a:r>
            <a:endParaRPr lang="pt-BR" sz="1200">
              <a:latin typeface="Times New Roman" panose="02020603050405020304" pitchFamily="18" charset="0"/>
              <a:cs typeface="Times New Roman" panose="02020603050405020304" pitchFamily="18" charset="0"/>
            </a:endParaRPr>
          </a:p>
        </c:rich>
      </c:tx>
      <c:layout>
        <c:manualLayout>
          <c:xMode val="edge"/>
          <c:yMode val="edge"/>
          <c:x val="0.33689965424468116"/>
          <c:y val="1.8766127140511391E-2"/>
        </c:manualLayout>
      </c:layout>
      <c:overlay val="1"/>
    </c:title>
    <c:plotArea>
      <c:layout/>
      <c:barChart>
        <c:barDir val="col"/>
        <c:grouping val="clustered"/>
        <c:ser>
          <c:idx val="0"/>
          <c:order val="0"/>
          <c:spPr>
            <a:solidFill>
              <a:schemeClr val="tx2">
                <a:lumMod val="75000"/>
              </a:schemeClr>
            </a:solidFill>
          </c:spPr>
          <c:dLbls>
            <c:txPr>
              <a:bodyPr/>
              <a:lstStyle/>
              <a:p>
                <a:pPr>
                  <a:defRPr sz="800" b="1">
                    <a:latin typeface="Times New Roman" panose="02020603050405020304" pitchFamily="18" charset="0"/>
                    <a:cs typeface="Times New Roman" panose="02020603050405020304" pitchFamily="18" charset="0"/>
                  </a:defRPr>
                </a:pPr>
                <a:endParaRPr lang="pt-BR"/>
              </a:p>
            </c:txPr>
            <c:showVal val="1"/>
          </c:dLbls>
          <c:cat>
            <c:strRef>
              <c:f>Plan3!$B$2:$B$7</c:f>
              <c:strCache>
                <c:ptCount val="6"/>
                <c:pt idx="0">
                  <c:v>ICMS</c:v>
                </c:pt>
                <c:pt idx="1">
                  <c:v>IPVA</c:v>
                </c:pt>
                <c:pt idx="2">
                  <c:v>ITCMD</c:v>
                </c:pt>
                <c:pt idx="3">
                  <c:v>PEP/PPI</c:v>
                </c:pt>
                <c:pt idx="4">
                  <c:v>PPD</c:v>
                </c:pt>
                <c:pt idx="5">
                  <c:v>Taxas</c:v>
                </c:pt>
              </c:strCache>
            </c:strRef>
          </c:cat>
          <c:val>
            <c:numRef>
              <c:f>Plan3!$C$2:$C$7</c:f>
              <c:numCache>
                <c:formatCode>#,##0.00_ ;\-#,##0.00\ </c:formatCode>
                <c:ptCount val="6"/>
                <c:pt idx="0">
                  <c:v>118.35</c:v>
                </c:pt>
                <c:pt idx="1">
                  <c:v>13.370000000000006</c:v>
                </c:pt>
                <c:pt idx="2">
                  <c:v>1.75</c:v>
                </c:pt>
                <c:pt idx="3">
                  <c:v>3.04</c:v>
                </c:pt>
                <c:pt idx="4">
                  <c:v>0.44</c:v>
                </c:pt>
                <c:pt idx="5">
                  <c:v>4.6099999999999985</c:v>
                </c:pt>
              </c:numCache>
            </c:numRef>
          </c:val>
        </c:ser>
        <c:dLbls>
          <c:showVal val="1"/>
        </c:dLbls>
        <c:gapWidth val="75"/>
        <c:axId val="96216192"/>
        <c:axId val="96217728"/>
      </c:barChart>
      <c:catAx>
        <c:axId val="96216192"/>
        <c:scaling>
          <c:orientation val="minMax"/>
        </c:scaling>
        <c:axPos val="b"/>
        <c:majorTickMark val="none"/>
        <c:tickLblPos val="nextTo"/>
        <c:txPr>
          <a:bodyPr/>
          <a:lstStyle/>
          <a:p>
            <a:pPr>
              <a:defRPr b="1">
                <a:latin typeface="Times New Roman" panose="02020603050405020304" pitchFamily="18" charset="0"/>
                <a:cs typeface="Times New Roman" panose="02020603050405020304" pitchFamily="18" charset="0"/>
              </a:defRPr>
            </a:pPr>
            <a:endParaRPr lang="pt-BR"/>
          </a:p>
        </c:txPr>
        <c:crossAx val="96217728"/>
        <c:crosses val="autoZero"/>
        <c:auto val="1"/>
        <c:lblAlgn val="ctr"/>
        <c:lblOffset val="100"/>
      </c:catAx>
      <c:valAx>
        <c:axId val="96217728"/>
        <c:scaling>
          <c:orientation val="minMax"/>
          <c:max val="120"/>
        </c:scaling>
        <c:axPos val="l"/>
        <c:numFmt formatCode="#,##0.00_ ;\-#,##0.00\ " sourceLinked="1"/>
        <c:majorTickMark val="none"/>
        <c:tickLblPos val="nextTo"/>
        <c:txPr>
          <a:bodyPr/>
          <a:lstStyle/>
          <a:p>
            <a:pPr>
              <a:defRPr b="1">
                <a:latin typeface="Times New Roman" panose="02020603050405020304" pitchFamily="18" charset="0"/>
                <a:cs typeface="Times New Roman" panose="02020603050405020304" pitchFamily="18" charset="0"/>
              </a:defRPr>
            </a:pPr>
            <a:endParaRPr lang="pt-BR"/>
          </a:p>
        </c:txPr>
        <c:crossAx val="96216192"/>
        <c:crosses val="autoZero"/>
        <c:crossBetween val="between"/>
      </c:valAx>
    </c:plotArea>
    <c:plotVisOnly val="1"/>
    <c:dispBlanksAs val="gap"/>
  </c:chart>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pt-BR"/>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pt-BR" sz="1000" b="1">
                <a:effectLst/>
              </a:rPr>
              <a:t>NIVEL EDUCACIONAL MÃO-DE-OBRA IPEM-SP </a:t>
            </a:r>
          </a:p>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pt-BR" sz="1000" b="1">
                <a:effectLst/>
              </a:rPr>
              <a:t>DEZ/2014</a:t>
            </a:r>
          </a:p>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pt-BR"/>
              <a:t> </a:t>
            </a:r>
          </a:p>
        </c:rich>
      </c:tx>
      <c:layout>
        <c:manualLayout>
          <c:xMode val="edge"/>
          <c:yMode val="edge"/>
          <c:x val="0.17080543674842963"/>
          <c:y val="3.2599819950042484E-2"/>
        </c:manualLayout>
      </c:layout>
      <c:spPr>
        <a:noFill/>
        <a:ln w="25399">
          <a:noFill/>
        </a:ln>
      </c:spPr>
    </c:title>
    <c:plotArea>
      <c:layout/>
      <c:pieChart>
        <c:varyColors val="1"/>
        <c:ser>
          <c:idx val="0"/>
          <c:order val="0"/>
          <c:spPr>
            <a:ln w="3175">
              <a:noFill/>
            </a:ln>
          </c:spPr>
          <c:dPt>
            <c:idx val="0"/>
            <c:spPr>
              <a:solidFill>
                <a:srgbClr val="4F81BD"/>
              </a:solidFill>
              <a:ln w="25399">
                <a:noFill/>
              </a:ln>
            </c:spPr>
          </c:dPt>
          <c:dPt>
            <c:idx val="1"/>
            <c:spPr>
              <a:solidFill>
                <a:srgbClr val="C0504D"/>
              </a:solidFill>
              <a:ln w="25399">
                <a:noFill/>
              </a:ln>
            </c:spPr>
          </c:dPt>
          <c:dPt>
            <c:idx val="2"/>
            <c:spPr>
              <a:solidFill>
                <a:srgbClr val="9BBB59"/>
              </a:solidFill>
              <a:ln w="25399">
                <a:noFill/>
              </a:ln>
            </c:spPr>
          </c:dPt>
          <c:dPt>
            <c:idx val="3"/>
            <c:spPr>
              <a:solidFill>
                <a:srgbClr val="8064A2"/>
              </a:solidFill>
              <a:ln w="25399">
                <a:noFill/>
              </a:ln>
            </c:spPr>
          </c:dPt>
          <c:dPt>
            <c:idx val="4"/>
            <c:spPr>
              <a:solidFill>
                <a:srgbClr val="7030A0"/>
              </a:solidFill>
              <a:ln w="25399">
                <a:noFill/>
              </a:ln>
            </c:spPr>
          </c:dPt>
          <c:dPt>
            <c:idx val="5"/>
            <c:spPr>
              <a:solidFill>
                <a:schemeClr val="accent6">
                  <a:lumMod val="60000"/>
                  <a:lumOff val="40000"/>
                </a:schemeClr>
              </a:solidFill>
              <a:ln w="12700">
                <a:solidFill>
                  <a:srgbClr val="92D050"/>
                </a:solidFill>
              </a:ln>
              <a:effectLst/>
            </c:spPr>
          </c:dPt>
          <c:dLbls>
            <c:spPr>
              <a:noFill/>
              <a:ln w="25399">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t-BR"/>
              </a:p>
            </c:txPr>
            <c:showVal val="1"/>
            <c:showLeaderLines val="1"/>
            <c:leaderLines>
              <c:spPr>
                <a:ln w="9525" cap="flat" cmpd="sng" algn="ctr">
                  <a:solidFill>
                    <a:schemeClr val="tx1">
                      <a:lumMod val="35000"/>
                      <a:lumOff val="65000"/>
                    </a:schemeClr>
                  </a:solidFill>
                  <a:round/>
                </a:ln>
                <a:effectLst/>
              </c:spPr>
            </c:leaderLines>
          </c:dLbls>
          <c:cat>
            <c:strRef>
              <c:f>Plan1!$B$1:$B$6</c:f>
              <c:strCache>
                <c:ptCount val="6"/>
                <c:pt idx="0">
                  <c:v>ensino fundamental</c:v>
                </c:pt>
                <c:pt idx="1">
                  <c:v>ensino médio</c:v>
                </c:pt>
                <c:pt idx="2">
                  <c:v>ensino superior</c:v>
                </c:pt>
                <c:pt idx="3">
                  <c:v>pós graduação</c:v>
                </c:pt>
                <c:pt idx="4">
                  <c:v>mestrado</c:v>
                </c:pt>
                <c:pt idx="5">
                  <c:v>doutorado</c:v>
                </c:pt>
              </c:strCache>
            </c:strRef>
          </c:cat>
          <c:val>
            <c:numRef>
              <c:f>Plan1!$A$1:$A$6</c:f>
              <c:numCache>
                <c:formatCode>General</c:formatCode>
                <c:ptCount val="6"/>
                <c:pt idx="0">
                  <c:v>62</c:v>
                </c:pt>
                <c:pt idx="1">
                  <c:v>237</c:v>
                </c:pt>
                <c:pt idx="2">
                  <c:v>374</c:v>
                </c:pt>
                <c:pt idx="3">
                  <c:v>38</c:v>
                </c:pt>
                <c:pt idx="4">
                  <c:v>13</c:v>
                </c:pt>
                <c:pt idx="5">
                  <c:v>1</c:v>
                </c:pt>
              </c:numCache>
            </c:numRef>
          </c:val>
        </c:ser>
        <c:firstSliceAng val="0"/>
      </c:pieChart>
      <c:spPr>
        <a:noFill/>
        <a:ln w="25399">
          <a:noFill/>
        </a:ln>
      </c:spPr>
    </c:plotArea>
    <c:legend>
      <c:legendPos val="r"/>
      <c:layout>
        <c:manualLayout>
          <c:xMode val="edge"/>
          <c:yMode val="edge"/>
          <c:x val="0.67464114832535926"/>
          <c:y val="0.1017964071856288"/>
          <c:w val="0.30382775119617245"/>
          <c:h val="0.77245508982035882"/>
        </c:manualLayout>
      </c:layout>
      <c:spPr>
        <a:noFill/>
        <a:ln w="25399">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2"/>
</c:chartSpace>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4E0423B1-A023-4454-8FF9-854E03E540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632</Pages>
  <Words>228798</Words>
  <Characters>1314916</Characters>
  <Application>Microsoft Office Word</Application>
  <DocSecurity>0</DocSecurity>
  <Lines>10957</Lines>
  <Paragraphs>3081</Paragraphs>
  <ScaleCrop>false</ScaleCrop>
  <HeadingPairs>
    <vt:vector size="2" baseType="variant">
      <vt:variant>
        <vt:lpstr>Título</vt:lpstr>
      </vt:variant>
      <vt:variant>
        <vt:i4>1</vt:i4>
      </vt:variant>
    </vt:vector>
  </HeadingPairs>
  <TitlesOfParts>
    <vt:vector size="1" baseType="lpstr">
      <vt:lpstr>CASA CIVIL</vt:lpstr>
    </vt:vector>
  </TitlesOfParts>
  <Company/>
  <LinksUpToDate>false</LinksUpToDate>
  <CharactersWithSpaces>1540633</CharactersWithSpaces>
  <SharedDoc>false</SharedDoc>
  <HLinks>
    <vt:vector size="228" baseType="variant">
      <vt:variant>
        <vt:i4>3801208</vt:i4>
      </vt:variant>
      <vt:variant>
        <vt:i4>126</vt:i4>
      </vt:variant>
      <vt:variant>
        <vt:i4>0</vt:i4>
      </vt:variant>
      <vt:variant>
        <vt:i4>5</vt:i4>
      </vt:variant>
      <vt:variant>
        <vt:lpwstr>http://www.pepdoicms.sp.gov.br/</vt:lpwstr>
      </vt:variant>
      <vt:variant>
        <vt:lpwstr/>
      </vt:variant>
      <vt:variant>
        <vt:i4>5439511</vt:i4>
      </vt:variant>
      <vt:variant>
        <vt:i4>123</vt:i4>
      </vt:variant>
      <vt:variant>
        <vt:i4>0</vt:i4>
      </vt:variant>
      <vt:variant>
        <vt:i4>5</vt:i4>
      </vt:variant>
      <vt:variant>
        <vt:lpwstr>http://www.tursp.com/</vt:lpwstr>
      </vt:variant>
      <vt:variant>
        <vt:lpwstr/>
      </vt:variant>
      <vt:variant>
        <vt:i4>7536694</vt:i4>
      </vt:variant>
      <vt:variant>
        <vt:i4>120</vt:i4>
      </vt:variant>
      <vt:variant>
        <vt:i4>0</vt:i4>
      </vt:variant>
      <vt:variant>
        <vt:i4>5</vt:i4>
      </vt:variant>
      <vt:variant>
        <vt:lpwstr>http://www.rotasdesaopaulo.com.br/</vt:lpwstr>
      </vt:variant>
      <vt:variant>
        <vt:lpwstr/>
      </vt:variant>
      <vt:variant>
        <vt:i4>5832724</vt:i4>
      </vt:variant>
      <vt:variant>
        <vt:i4>117</vt:i4>
      </vt:variant>
      <vt:variant>
        <vt:i4>0</vt:i4>
      </vt:variant>
      <vt:variant>
        <vt:i4>5</vt:i4>
      </vt:variant>
      <vt:variant>
        <vt:lpwstr>http://www.turismoemsaopaulo.com/</vt:lpwstr>
      </vt:variant>
      <vt:variant>
        <vt:lpwstr/>
      </vt:variant>
      <vt:variant>
        <vt:i4>196651</vt:i4>
      </vt:variant>
      <vt:variant>
        <vt:i4>114</vt:i4>
      </vt:variant>
      <vt:variant>
        <vt:i4>0</vt:i4>
      </vt:variant>
      <vt:variant>
        <vt:i4>5</vt:i4>
      </vt:variant>
      <vt:variant>
        <vt:lpwstr>mailto:rodasp@turismoemsaopaulo.com</vt:lpwstr>
      </vt:variant>
      <vt:variant>
        <vt:lpwstr/>
      </vt:variant>
      <vt:variant>
        <vt:i4>3801131</vt:i4>
      </vt:variant>
      <vt:variant>
        <vt:i4>108</vt:i4>
      </vt:variant>
      <vt:variant>
        <vt:i4>0</vt:i4>
      </vt:variant>
      <vt:variant>
        <vt:i4>5</vt:i4>
      </vt:variant>
      <vt:variant>
        <vt:lpwstr>http://www.igovsp.net/</vt:lpwstr>
      </vt:variant>
      <vt:variant>
        <vt:lpwstr/>
      </vt:variant>
      <vt:variant>
        <vt:i4>2293795</vt:i4>
      </vt:variant>
      <vt:variant>
        <vt:i4>105</vt:i4>
      </vt:variant>
      <vt:variant>
        <vt:i4>0</vt:i4>
      </vt:variant>
      <vt:variant>
        <vt:i4>5</vt:i4>
      </vt:variant>
      <vt:variant>
        <vt:lpwstr>http://datageo.ambiente.sp.gov.br/</vt:lpwstr>
      </vt:variant>
      <vt:variant>
        <vt:lpwstr/>
      </vt:variant>
      <vt:variant>
        <vt:i4>5439512</vt:i4>
      </vt:variant>
      <vt:variant>
        <vt:i4>102</vt:i4>
      </vt:variant>
      <vt:variant>
        <vt:i4>0</vt:i4>
      </vt:variant>
      <vt:variant>
        <vt:i4>5</vt:i4>
      </vt:variant>
      <vt:variant>
        <vt:lpwstr>http://www.der.sp.gov.br/</vt:lpwstr>
      </vt:variant>
      <vt:variant>
        <vt:lpwstr/>
      </vt:variant>
      <vt:variant>
        <vt:i4>1376380</vt:i4>
      </vt:variant>
      <vt:variant>
        <vt:i4>96</vt:i4>
      </vt:variant>
      <vt:variant>
        <vt:i4>0</vt:i4>
      </vt:variant>
      <vt:variant>
        <vt:i4>5</vt:i4>
      </vt:variant>
      <vt:variant>
        <vt:lpwstr>http://www.unicef.org/brazil/pt/br_indiceha10.pdf</vt:lpwstr>
      </vt:variant>
      <vt:variant>
        <vt:lpwstr/>
      </vt:variant>
      <vt:variant>
        <vt:i4>720904</vt:i4>
      </vt:variant>
      <vt:variant>
        <vt:i4>93</vt:i4>
      </vt:variant>
      <vt:variant>
        <vt:i4>0</vt:i4>
      </vt:variant>
      <vt:variant>
        <vt:i4>5</vt:i4>
      </vt:variant>
      <vt:variant>
        <vt:lpwstr>http://lua.planejamento.sp.gov.br/owa/epa/login_epa$.startup?p_origem=SIMPA</vt:lpwstr>
      </vt:variant>
      <vt:variant>
        <vt:lpwstr/>
      </vt:variant>
      <vt:variant>
        <vt:i4>3801140</vt:i4>
      </vt:variant>
      <vt:variant>
        <vt:i4>90</vt:i4>
      </vt:variant>
      <vt:variant>
        <vt:i4>0</vt:i4>
      </vt:variant>
      <vt:variant>
        <vt:i4>5</vt:i4>
      </vt:variant>
      <vt:variant>
        <vt:lpwstr>http://www.gcti.sp.gov.br/</vt:lpwstr>
      </vt:variant>
      <vt:variant>
        <vt:lpwstr/>
      </vt:variant>
      <vt:variant>
        <vt:i4>5308438</vt:i4>
      </vt:variant>
      <vt:variant>
        <vt:i4>87</vt:i4>
      </vt:variant>
      <vt:variant>
        <vt:i4>0</vt:i4>
      </vt:variant>
      <vt:variant>
        <vt:i4>5</vt:i4>
      </vt:variant>
      <vt:variant>
        <vt:lpwstr>http://www.recursoshumanos.sp.gov.br/</vt:lpwstr>
      </vt:variant>
      <vt:variant>
        <vt:lpwstr/>
      </vt:variant>
      <vt:variant>
        <vt:i4>3342383</vt:i4>
      </vt:variant>
      <vt:variant>
        <vt:i4>84</vt:i4>
      </vt:variant>
      <vt:variant>
        <vt:i4>0</vt:i4>
      </vt:variant>
      <vt:variant>
        <vt:i4>5</vt:i4>
      </vt:variant>
      <vt:variant>
        <vt:lpwstr>http://www.recursoshumanos.sp.gov.br/vcclipping</vt:lpwstr>
      </vt:variant>
      <vt:variant>
        <vt:lpwstr/>
      </vt:variant>
      <vt:variant>
        <vt:i4>3080319</vt:i4>
      </vt:variant>
      <vt:variant>
        <vt:i4>81</vt:i4>
      </vt:variant>
      <vt:variant>
        <vt:i4>0</vt:i4>
      </vt:variant>
      <vt:variant>
        <vt:i4>5</vt:i4>
      </vt:variant>
      <vt:variant>
        <vt:lpwstr>http://www.al.sp.gov.br/norma?id=169266</vt:lpwstr>
      </vt:variant>
      <vt:variant>
        <vt:lpwstr/>
      </vt:variant>
      <vt:variant>
        <vt:i4>3080319</vt:i4>
      </vt:variant>
      <vt:variant>
        <vt:i4>78</vt:i4>
      </vt:variant>
      <vt:variant>
        <vt:i4>0</vt:i4>
      </vt:variant>
      <vt:variant>
        <vt:i4>5</vt:i4>
      </vt:variant>
      <vt:variant>
        <vt:lpwstr>http://www.al.sp.gov.br/norma?id=169266</vt:lpwstr>
      </vt:variant>
      <vt:variant>
        <vt:lpwstr/>
      </vt:variant>
      <vt:variant>
        <vt:i4>3080319</vt:i4>
      </vt:variant>
      <vt:variant>
        <vt:i4>75</vt:i4>
      </vt:variant>
      <vt:variant>
        <vt:i4>0</vt:i4>
      </vt:variant>
      <vt:variant>
        <vt:i4>5</vt:i4>
      </vt:variant>
      <vt:variant>
        <vt:lpwstr>http://www.al.sp.gov.br/norma?id=169266</vt:lpwstr>
      </vt:variant>
      <vt:variant>
        <vt:lpwstr/>
      </vt:variant>
      <vt:variant>
        <vt:i4>2621564</vt:i4>
      </vt:variant>
      <vt:variant>
        <vt:i4>72</vt:i4>
      </vt:variant>
      <vt:variant>
        <vt:i4>0</vt:i4>
      </vt:variant>
      <vt:variant>
        <vt:i4>5</vt:i4>
      </vt:variant>
      <vt:variant>
        <vt:lpwstr>http://www.al.sp.gov.br/norma?id=169111</vt:lpwstr>
      </vt:variant>
      <vt:variant>
        <vt:lpwstr/>
      </vt:variant>
      <vt:variant>
        <vt:i4>3080319</vt:i4>
      </vt:variant>
      <vt:variant>
        <vt:i4>69</vt:i4>
      </vt:variant>
      <vt:variant>
        <vt:i4>0</vt:i4>
      </vt:variant>
      <vt:variant>
        <vt:i4>5</vt:i4>
      </vt:variant>
      <vt:variant>
        <vt:lpwstr>http://www.al.sp.gov.br/norma?id=169266</vt:lpwstr>
      </vt:variant>
      <vt:variant>
        <vt:lpwstr/>
      </vt:variant>
      <vt:variant>
        <vt:i4>6160458</vt:i4>
      </vt:variant>
      <vt:variant>
        <vt:i4>63</vt:i4>
      </vt:variant>
      <vt:variant>
        <vt:i4>0</vt:i4>
      </vt:variant>
      <vt:variant>
        <vt:i4>5</vt:i4>
      </vt:variant>
      <vt:variant>
        <vt:lpwstr>http://www.saopauloconsig.org.br/</vt:lpwstr>
      </vt:variant>
      <vt:variant>
        <vt:lpwstr/>
      </vt:variant>
      <vt:variant>
        <vt:i4>8323125</vt:i4>
      </vt:variant>
      <vt:variant>
        <vt:i4>57</vt:i4>
      </vt:variant>
      <vt:variant>
        <vt:i4>0</vt:i4>
      </vt:variant>
      <vt:variant>
        <vt:i4>5</vt:i4>
      </vt:variant>
      <vt:variant>
        <vt:lpwstr>https://webmail.fundap.sp.gov.br/exchweb/bin/redir.asp?URL=http://www.viarapida.sp.gov.br/</vt:lpwstr>
      </vt:variant>
      <vt:variant>
        <vt:lpwstr/>
      </vt:variant>
      <vt:variant>
        <vt:i4>5046300</vt:i4>
      </vt:variant>
      <vt:variant>
        <vt:i4>54</vt:i4>
      </vt:variant>
      <vt:variant>
        <vt:i4>0</vt:i4>
      </vt:variant>
      <vt:variant>
        <vt:i4>5</vt:i4>
      </vt:variant>
      <vt:variant>
        <vt:lpwstr>http://www.defesacivil.sp.gov.br/</vt:lpwstr>
      </vt:variant>
      <vt:variant>
        <vt:lpwstr/>
      </vt:variant>
      <vt:variant>
        <vt:i4>262248</vt:i4>
      </vt:variant>
      <vt:variant>
        <vt:i4>51</vt:i4>
      </vt:variant>
      <vt:variant>
        <vt:i4>0</vt:i4>
      </vt:variant>
      <vt:variant>
        <vt:i4>5</vt:i4>
      </vt:variant>
      <vt:variant>
        <vt:lpwstr>mailto:defesacivil@sp.gov.br</vt:lpwstr>
      </vt:variant>
      <vt:variant>
        <vt:lpwstr/>
      </vt:variant>
      <vt:variant>
        <vt:i4>3932256</vt:i4>
      </vt:variant>
      <vt:variant>
        <vt:i4>48</vt:i4>
      </vt:variant>
      <vt:variant>
        <vt:i4>0</vt:i4>
      </vt:variant>
      <vt:variant>
        <vt:i4>5</vt:i4>
      </vt:variant>
      <vt:variant>
        <vt:lpwstr>http://www.sigam.ambiente.sp.gov.br/sigam2/ default.aspx?idPagina=13076</vt:lpwstr>
      </vt:variant>
      <vt:variant>
        <vt:lpwstr/>
      </vt:variant>
      <vt:variant>
        <vt:i4>4063280</vt:i4>
      </vt:variant>
      <vt:variant>
        <vt:i4>45</vt:i4>
      </vt:variant>
      <vt:variant>
        <vt:i4>0</vt:i4>
      </vt:variant>
      <vt:variant>
        <vt:i4>5</vt:i4>
      </vt:variant>
      <vt:variant>
        <vt:lpwstr>http://10.7.64.91/classesigemplasa/</vt:lpwstr>
      </vt:variant>
      <vt:variant>
        <vt:lpwstr/>
      </vt:variant>
      <vt:variant>
        <vt:i4>2097250</vt:i4>
      </vt:variant>
      <vt:variant>
        <vt:i4>42</vt:i4>
      </vt:variant>
      <vt:variant>
        <vt:i4>0</vt:i4>
      </vt:variant>
      <vt:variant>
        <vt:i4>5</vt:i4>
      </vt:variant>
      <vt:variant>
        <vt:lpwstr>http://www.sihab.emplasageo.sp.gov.br/</vt:lpwstr>
      </vt:variant>
      <vt:variant>
        <vt:lpwstr/>
      </vt:variant>
      <vt:variant>
        <vt:i4>3014699</vt:i4>
      </vt:variant>
      <vt:variant>
        <vt:i4>39</vt:i4>
      </vt:variant>
      <vt:variant>
        <vt:i4>0</vt:i4>
      </vt:variant>
      <vt:variant>
        <vt:i4>5</vt:i4>
      </vt:variant>
      <vt:variant>
        <vt:lpwstr>http://www.mapeiasp.sp.gov.br/</vt:lpwstr>
      </vt:variant>
      <vt:variant>
        <vt:lpwstr/>
      </vt:variant>
      <vt:variant>
        <vt:i4>196623</vt:i4>
      </vt:variant>
      <vt:variant>
        <vt:i4>36</vt:i4>
      </vt:variant>
      <vt:variant>
        <vt:i4>0</vt:i4>
      </vt:variant>
      <vt:variant>
        <vt:i4>5</vt:i4>
      </vt:variant>
      <vt:variant>
        <vt:lpwstr>http://www.rodoanel.emplasageo.sp.gov.br/</vt:lpwstr>
      </vt:variant>
      <vt:variant>
        <vt:lpwstr/>
      </vt:variant>
      <vt:variant>
        <vt:i4>4653065</vt:i4>
      </vt:variant>
      <vt:variant>
        <vt:i4>33</vt:i4>
      </vt:variant>
      <vt:variant>
        <vt:i4>0</vt:i4>
      </vt:variant>
      <vt:variant>
        <vt:i4>5</vt:i4>
      </vt:variant>
      <vt:variant>
        <vt:lpwstr>http://www.scm.emplasageo.sp.gov.br/</vt:lpwstr>
      </vt:variant>
      <vt:variant>
        <vt:lpwstr/>
      </vt:variant>
      <vt:variant>
        <vt:i4>5832772</vt:i4>
      </vt:variant>
      <vt:variant>
        <vt:i4>30</vt:i4>
      </vt:variant>
      <vt:variant>
        <vt:i4>0</vt:i4>
      </vt:variant>
      <vt:variant>
        <vt:i4>5</vt:i4>
      </vt:variant>
      <vt:variant>
        <vt:lpwstr>http://www.emplasageo.sp.gov.br/</vt:lpwstr>
      </vt:variant>
      <vt:variant>
        <vt:lpwstr/>
      </vt:variant>
      <vt:variant>
        <vt:i4>5046367</vt:i4>
      </vt:variant>
      <vt:variant>
        <vt:i4>27</vt:i4>
      </vt:variant>
      <vt:variant>
        <vt:i4>0</vt:i4>
      </vt:variant>
      <vt:variant>
        <vt:i4>5</vt:i4>
      </vt:variant>
      <vt:variant>
        <vt:lpwstr>http://www.uitgeo.sp.gov.br/</vt:lpwstr>
      </vt:variant>
      <vt:variant>
        <vt:lpwstr/>
      </vt:variant>
      <vt:variant>
        <vt:i4>5832720</vt:i4>
      </vt:variant>
      <vt:variant>
        <vt:i4>24</vt:i4>
      </vt:variant>
      <vt:variant>
        <vt:i4>0</vt:i4>
      </vt:variant>
      <vt:variant>
        <vt:i4>5</vt:i4>
      </vt:variant>
      <vt:variant>
        <vt:lpwstr>http://www.sigageo.sp.gov.br/</vt:lpwstr>
      </vt:variant>
      <vt:variant>
        <vt:lpwstr/>
      </vt:variant>
      <vt:variant>
        <vt:i4>6750335</vt:i4>
      </vt:variant>
      <vt:variant>
        <vt:i4>21</vt:i4>
      </vt:variant>
      <vt:variant>
        <vt:i4>0</vt:i4>
      </vt:variant>
      <vt:variant>
        <vt:i4>5</vt:i4>
      </vt:variant>
      <vt:variant>
        <vt:lpwstr>http://empresaspublicas.imprensaoficial.com.br/</vt:lpwstr>
      </vt:variant>
      <vt:variant>
        <vt:lpwstr/>
      </vt:variant>
      <vt:variant>
        <vt:i4>6160411</vt:i4>
      </vt:variant>
      <vt:variant>
        <vt:i4>15</vt:i4>
      </vt:variant>
      <vt:variant>
        <vt:i4>0</vt:i4>
      </vt:variant>
      <vt:variant>
        <vt:i4>5</vt:i4>
      </vt:variant>
      <vt:variant>
        <vt:lpwstr>http://www.casacivil.sp.gov.br/biblioteca-ccivil/home.asp</vt:lpwstr>
      </vt:variant>
      <vt:variant>
        <vt:lpwstr/>
      </vt:variant>
      <vt:variant>
        <vt:i4>2883709</vt:i4>
      </vt:variant>
      <vt:variant>
        <vt:i4>12</vt:i4>
      </vt:variant>
      <vt:variant>
        <vt:i4>0</vt:i4>
      </vt:variant>
      <vt:variant>
        <vt:i4>5</vt:i4>
      </vt:variant>
      <vt:variant>
        <vt:lpwstr>http://www.casacivil.sp.gov.br/</vt:lpwstr>
      </vt:variant>
      <vt:variant>
        <vt:lpwstr/>
      </vt:variant>
      <vt:variant>
        <vt:i4>3604502</vt:i4>
      </vt:variant>
      <vt:variant>
        <vt:i4>9</vt:i4>
      </vt:variant>
      <vt:variant>
        <vt:i4>0</vt:i4>
      </vt:variant>
      <vt:variant>
        <vt:i4>5</vt:i4>
      </vt:variant>
      <vt:variant>
        <vt:lpwstr>http://www.arquivoestado.sp.gov.br/site/assets/material_apoio/Secretaria_de_Logistica_e_Transporte.pdf</vt:lpwstr>
      </vt:variant>
      <vt:variant>
        <vt:lpwstr/>
      </vt:variant>
      <vt:variant>
        <vt:i4>1835085</vt:i4>
      </vt:variant>
      <vt:variant>
        <vt:i4>3</vt:i4>
      </vt:variant>
      <vt:variant>
        <vt:i4>0</vt:i4>
      </vt:variant>
      <vt:variant>
        <vt:i4>5</vt:i4>
      </vt:variant>
      <vt:variant>
        <vt:lpwstr>http://www.casacivil.sp.gov.br/painel-info/login.htm</vt:lpwstr>
      </vt:variant>
      <vt:variant>
        <vt:lpwstr/>
      </vt:variant>
      <vt:variant>
        <vt:i4>2949183</vt:i4>
      </vt:variant>
      <vt:variant>
        <vt:i4>0</vt:i4>
      </vt:variant>
      <vt:variant>
        <vt:i4>0</vt:i4>
      </vt:variant>
      <vt:variant>
        <vt:i4>5</vt:i4>
      </vt:variant>
      <vt:variant>
        <vt:lpwstr>http://www.cqgp.sp.gov.br/</vt:lpwstr>
      </vt:variant>
      <vt:variant>
        <vt:lpwstr/>
      </vt:variant>
      <vt:variant>
        <vt:i4>3473497</vt:i4>
      </vt:variant>
      <vt:variant>
        <vt:i4>762518</vt:i4>
      </vt:variant>
      <vt:variant>
        <vt:i4>1040</vt:i4>
      </vt:variant>
      <vt:variant>
        <vt:i4>1</vt:i4>
      </vt:variant>
      <vt:variant>
        <vt:lpwstr>cid:image001.png@01D01DDA.44F5CD60</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CASA CIVIL</dc:title>
  <dc:creator>atl-rloureiro</dc:creator>
  <cp:lastModifiedBy>Lenovo</cp:lastModifiedBy>
  <cp:revision>5</cp:revision>
  <cp:lastPrinted>2015-03-02T10:33:00Z</cp:lastPrinted>
  <dcterms:created xsi:type="dcterms:W3CDTF">2015-03-16T21:19:00Z</dcterms:created>
  <dcterms:modified xsi:type="dcterms:W3CDTF">2015-03-23T18:45:00Z</dcterms:modified>
</cp:coreProperties>
</file>