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9" w:rsidRDefault="000E4549" w:rsidP="000E4549">
      <w:pPr>
        <w:pStyle w:val="Orador"/>
        <w:jc w:val="center"/>
        <w:rPr>
          <w:b/>
          <w:bCs/>
          <w:color w:val="800000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Questão de Ordem nº 32</w:t>
      </w:r>
      <w:r w:rsidR="00E35BAA">
        <w:rPr>
          <w:b/>
          <w:bCs/>
          <w:color w:val="800000"/>
          <w:w w:val="200"/>
          <w:sz w:val="18"/>
          <w:szCs w:val="18"/>
        </w:rPr>
        <w:t>7</w:t>
      </w:r>
    </w:p>
    <w:p w:rsidR="000E4549" w:rsidRDefault="000E4549" w:rsidP="000E4549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Autor:</w:t>
      </w:r>
      <w:proofErr w:type="gramStart"/>
      <w:r>
        <w:rPr>
          <w:b/>
          <w:bCs/>
          <w:color w:val="0000FF"/>
          <w:w w:val="200"/>
          <w:sz w:val="18"/>
          <w:szCs w:val="18"/>
        </w:rPr>
        <w:t xml:space="preserve">  </w:t>
      </w:r>
      <w:proofErr w:type="gramEnd"/>
      <w:r>
        <w:rPr>
          <w:b/>
          <w:bCs/>
          <w:color w:val="0000FF"/>
          <w:w w:val="200"/>
          <w:sz w:val="18"/>
          <w:szCs w:val="18"/>
        </w:rPr>
        <w:t>ALENCAR SANTANA BRAGA e MARCIA LIA</w:t>
      </w:r>
    </w:p>
    <w:p w:rsidR="009C22E9" w:rsidRDefault="000E4549">
      <w:pPr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          </w:t>
      </w:r>
      <w:r>
        <w:rPr>
          <w:b/>
          <w:bCs/>
          <w:color w:val="993300"/>
          <w:w w:val="200"/>
          <w:sz w:val="18"/>
          <w:szCs w:val="18"/>
        </w:rPr>
        <w:t>60ª Sessão Ordinária –</w:t>
      </w:r>
      <w:r>
        <w:rPr>
          <w:b/>
          <w:bCs/>
          <w:color w:val="800000"/>
          <w:w w:val="200"/>
          <w:sz w:val="18"/>
          <w:szCs w:val="18"/>
        </w:rPr>
        <w:t xml:space="preserve"> </w:t>
      </w:r>
      <w:r>
        <w:rPr>
          <w:b/>
          <w:bCs/>
          <w:color w:val="0000FF"/>
          <w:w w:val="200"/>
          <w:sz w:val="18"/>
          <w:szCs w:val="18"/>
        </w:rPr>
        <w:t>09/05/2017</w:t>
      </w:r>
    </w:p>
    <w:p w:rsidR="004F1937" w:rsidRDefault="004F1937" w:rsidP="004F1937">
      <w:pPr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rFonts w:ascii="Times New Roman" w:hAnsi="Times New Roman"/>
        </w:rPr>
        <w:t>Publicada em 17/05/2017</w:t>
      </w:r>
      <w:r w:rsidR="009A2B29">
        <w:rPr>
          <w:rFonts w:ascii="Times New Roman" w:hAnsi="Times New Roman"/>
        </w:rPr>
        <w:t>, pág.24, col.1</w:t>
      </w:r>
    </w:p>
    <w:p w:rsidR="003A0577" w:rsidRDefault="003A0577">
      <w:pPr>
        <w:rPr>
          <w:b/>
          <w:bCs/>
          <w:color w:val="0000FF"/>
          <w:w w:val="200"/>
          <w:sz w:val="18"/>
          <w:szCs w:val="18"/>
        </w:rPr>
      </w:pPr>
    </w:p>
    <w:p w:rsidR="004F1937" w:rsidRDefault="004F1937">
      <w:pPr>
        <w:rPr>
          <w:b/>
          <w:bCs/>
          <w:color w:val="0000FF"/>
          <w:w w:val="200"/>
          <w:sz w:val="18"/>
          <w:szCs w:val="18"/>
        </w:rPr>
      </w:pPr>
    </w:p>
    <w:p w:rsidR="003A0577" w:rsidRPr="00A3036C" w:rsidRDefault="003A0577" w:rsidP="003A057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A3036C">
        <w:rPr>
          <w:rFonts w:ascii="Times New Roman" w:hAnsi="Times New Roman"/>
          <w:b/>
          <w:u w:val="single"/>
        </w:rPr>
        <w:t>QUESTÃO DE ORDEM</w:t>
      </w:r>
    </w:p>
    <w:p w:rsidR="003A0577" w:rsidRPr="0057584C" w:rsidRDefault="003A0577" w:rsidP="003A0577">
      <w:pPr>
        <w:spacing w:after="0" w:line="360" w:lineRule="auto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 w:rsidRPr="0057584C">
        <w:rPr>
          <w:rFonts w:ascii="Times New Roman" w:hAnsi="Times New Roman"/>
        </w:rPr>
        <w:t>Senhor Presidente, venho, nos termos regimentais, apresentar questão de ordem, buscando obter dessa Presidência a interpretação dos artigos 10, 14 e 266 do Regimento Interno consolidado, que dispõem:</w:t>
      </w:r>
    </w:p>
    <w:p w:rsidR="003A0577" w:rsidRPr="0057584C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Artigo 10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A Mesa compõe-se do Presidente e dos 1º e 2º Secretários.</w:t>
      </w: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i/>
          <w:sz w:val="20"/>
          <w:szCs w:val="20"/>
        </w:rPr>
        <w:t>...</w:t>
      </w:r>
    </w:p>
    <w:p w:rsidR="003A0577" w:rsidRDefault="003A0577" w:rsidP="003A0577">
      <w:pPr>
        <w:spacing w:after="0"/>
        <w:ind w:left="2835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Artigo 14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À Mesa, composta pelo Presidente e pelos 1º e 2º Secretários, na qualidade de Comissão Diretora, </w:t>
      </w:r>
      <w:proofErr w:type="gramStart"/>
      <w:r w:rsidRPr="00A3036C">
        <w:rPr>
          <w:rFonts w:ascii="Times New Roman" w:hAnsi="Times New Roman"/>
          <w:i/>
          <w:sz w:val="20"/>
          <w:szCs w:val="20"/>
        </w:rPr>
        <w:t>compete,</w:t>
      </w:r>
      <w:proofErr w:type="gramEnd"/>
      <w:r w:rsidRPr="00A3036C">
        <w:rPr>
          <w:rFonts w:ascii="Times New Roman" w:hAnsi="Times New Roman"/>
          <w:i/>
          <w:sz w:val="20"/>
          <w:szCs w:val="20"/>
        </w:rPr>
        <w:t xml:space="preserve"> além das atribuições consignadas neste Regimento Interno, ou dele implicitamente resultantes, a direção dos trabalhos legislativos e dos serviços administrativos da Assembleia Legislativa, e especialmente:</w:t>
      </w: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I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na parte legislativa:</w:t>
      </w: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a)</w:t>
      </w:r>
      <w:r w:rsidRPr="00A3036C">
        <w:rPr>
          <w:rFonts w:ascii="Times New Roman" w:hAnsi="Times New Roman"/>
          <w:i/>
          <w:sz w:val="20"/>
          <w:szCs w:val="20"/>
        </w:rPr>
        <w:t xml:space="preserve"> apresentar, privativamente, proposições sobre organização de sua Secretaria e de seus serviços administrativos, criação e extinção de seus cargos ou funções, bem como a fixação ou aumento da respectiva remuneração e concessão de vantagens pecuniárias;</w:t>
      </w: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b)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 w:rsidRPr="00A3036C">
        <w:rPr>
          <w:rFonts w:ascii="Times New Roman" w:hAnsi="Times New Roman"/>
          <w:b/>
          <w:i/>
          <w:sz w:val="20"/>
          <w:szCs w:val="20"/>
          <w:u w:val="single"/>
        </w:rPr>
        <w:t>dar parecer sobre proposições que visem a modificar o Regimento Interno</w:t>
      </w:r>
      <w:r w:rsidRPr="00A3036C">
        <w:rPr>
          <w:rFonts w:ascii="Times New Roman" w:hAnsi="Times New Roman"/>
          <w:i/>
          <w:sz w:val="20"/>
          <w:szCs w:val="20"/>
        </w:rPr>
        <w:t>, e sobre as emendas oferecidas em projeto</w:t>
      </w:r>
      <w:r>
        <w:rPr>
          <w:rFonts w:ascii="Times New Roman" w:hAnsi="Times New Roman"/>
          <w:i/>
          <w:sz w:val="20"/>
          <w:szCs w:val="20"/>
        </w:rPr>
        <w:t>s</w:t>
      </w:r>
      <w:r w:rsidRPr="00A3036C">
        <w:rPr>
          <w:rFonts w:ascii="Times New Roman" w:hAnsi="Times New Roman"/>
          <w:i/>
          <w:sz w:val="20"/>
          <w:szCs w:val="20"/>
        </w:rPr>
        <w:t xml:space="preserve"> acerca dos serviços administrativos da Assembleia Legislativa ou as condições de seu pessoal;</w:t>
      </w:r>
    </w:p>
    <w:p w:rsidR="003A0577" w:rsidRDefault="003A0577" w:rsidP="003A0577">
      <w:pPr>
        <w:spacing w:after="0"/>
        <w:ind w:left="2835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Artigo 16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A Mesa, reunida em Comissão, deliberará, mensalmente, por maioria de votos, sobre os assuntos de administração da Assembleia Legislativa, fazendo publicar ata resumida dos trabalhos.</w:t>
      </w: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i/>
          <w:sz w:val="20"/>
          <w:szCs w:val="20"/>
        </w:rPr>
        <w:t xml:space="preserve">Parágrafo único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 w:rsidRPr="00A3036C">
        <w:rPr>
          <w:rFonts w:ascii="Times New Roman" w:hAnsi="Times New Roman"/>
          <w:b/>
          <w:i/>
          <w:sz w:val="20"/>
          <w:szCs w:val="20"/>
          <w:u w:val="single"/>
        </w:rPr>
        <w:t>O Secretário que discordar de determinada medida a ser consubstanciada em Ato, Decisão ou parecer apresentará seu voto em separado, assinando-o</w:t>
      </w:r>
      <w:r w:rsidRPr="00A3036C">
        <w:rPr>
          <w:rFonts w:ascii="Times New Roman" w:hAnsi="Times New Roman"/>
          <w:i/>
          <w:sz w:val="20"/>
          <w:szCs w:val="20"/>
        </w:rPr>
        <w:t>.</w:t>
      </w:r>
    </w:p>
    <w:p w:rsidR="003A0577" w:rsidRDefault="003A0577" w:rsidP="003A0577">
      <w:pPr>
        <w:spacing w:after="0"/>
        <w:ind w:left="2835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Artigo 18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São atribuições do Presidente, além de outras expressas neste Regimento, ou que decorram da natureza de suas funções ou prerrogativas:</w:t>
      </w: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i/>
          <w:sz w:val="20"/>
          <w:szCs w:val="20"/>
        </w:rPr>
        <w:t xml:space="preserve">§ 2º - </w:t>
      </w:r>
      <w:r w:rsidRPr="00A3036C">
        <w:rPr>
          <w:rFonts w:ascii="Times New Roman" w:hAnsi="Times New Roman"/>
          <w:b/>
          <w:i/>
          <w:sz w:val="20"/>
          <w:szCs w:val="20"/>
          <w:u w:val="single"/>
        </w:rPr>
        <w:t>O Presidente não poderá, senão na qualidade de membro da Mesa, oferecer qualquer proposição</w:t>
      </w:r>
      <w:r w:rsidRPr="00A3036C">
        <w:rPr>
          <w:rFonts w:ascii="Times New Roman" w:hAnsi="Times New Roman"/>
          <w:i/>
          <w:sz w:val="20"/>
          <w:szCs w:val="20"/>
        </w:rPr>
        <w:t>, nem votar, exceto nos casos de empate e de votação nominal, contando-se a sua presença, na votação ostensiva, para efeito de quorum.</w:t>
      </w:r>
    </w:p>
    <w:p w:rsidR="003A0577" w:rsidRDefault="003A0577" w:rsidP="003A0577">
      <w:pPr>
        <w:spacing w:after="0"/>
        <w:ind w:left="2835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lastRenderedPageBreak/>
        <w:t>Artigo 41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O autor de proposição em discussão ou votação não poderá, nesta oportunidade, presidir a Comissão.</w:t>
      </w: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Parágrafo único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Também é vedado ao autor da proposição ser dela Relator, salvo nos projetos destinados à consolidação de leis, previstos no Capítulo VII do Título VII deste Regimento Interno.</w:t>
      </w:r>
    </w:p>
    <w:p w:rsidR="003A0577" w:rsidRDefault="003A0577" w:rsidP="003A0577">
      <w:pPr>
        <w:spacing w:after="0"/>
        <w:ind w:left="2835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0577" w:rsidRPr="00A3036C" w:rsidRDefault="003A0577" w:rsidP="003A0577">
      <w:pPr>
        <w:spacing w:after="0"/>
        <w:ind w:left="2835"/>
        <w:jc w:val="both"/>
        <w:rPr>
          <w:rFonts w:ascii="Times New Roman" w:hAnsi="Times New Roman"/>
          <w:i/>
          <w:sz w:val="20"/>
          <w:szCs w:val="20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Artigo 266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O projeto de resolução destinado a alterar, reformar ou substituir o Regimento sofrerá duas discussões, obedecendo ao rito a que estão sujeitos os projetos de lei em regime de tramitação ordinária.</w:t>
      </w:r>
    </w:p>
    <w:p w:rsidR="003A0577" w:rsidRDefault="003A0577" w:rsidP="003A0577">
      <w:pPr>
        <w:spacing w:after="0"/>
        <w:ind w:left="2835"/>
        <w:jc w:val="both"/>
        <w:rPr>
          <w:rFonts w:ascii="Times New Roman" w:hAnsi="Times New Roman"/>
        </w:rPr>
      </w:pPr>
      <w:r w:rsidRPr="00A3036C">
        <w:rPr>
          <w:rFonts w:ascii="Times New Roman" w:hAnsi="Times New Roman"/>
          <w:b/>
          <w:i/>
          <w:sz w:val="20"/>
          <w:szCs w:val="20"/>
        </w:rPr>
        <w:t>Parágrafo único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-</w:t>
      </w:r>
      <w:r w:rsidRPr="00A3036C">
        <w:rPr>
          <w:rFonts w:ascii="Times New Roman" w:hAnsi="Times New Roman"/>
          <w:i/>
          <w:sz w:val="20"/>
          <w:szCs w:val="20"/>
        </w:rPr>
        <w:t xml:space="preserve"> </w:t>
      </w:r>
      <w:r w:rsidRPr="00A3036C">
        <w:rPr>
          <w:rFonts w:ascii="Times New Roman" w:hAnsi="Times New Roman"/>
          <w:b/>
          <w:i/>
          <w:sz w:val="20"/>
          <w:szCs w:val="20"/>
          <w:u w:val="single"/>
        </w:rPr>
        <w:t>Compete à Mesa, com exclusividade, dar parecer em todos os aspectos, inclusive no de redação final, sobre os projetos de resolução que visem a alterar, reformar ou substituir o Regimento Interno</w:t>
      </w:r>
      <w:r w:rsidRPr="00A3036C">
        <w:rPr>
          <w:rFonts w:ascii="Times New Roman" w:hAnsi="Times New Roman"/>
          <w:i/>
          <w:sz w:val="20"/>
          <w:szCs w:val="20"/>
        </w:rPr>
        <w:t>.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apertada síntese, os dispositivos supracitados do Regimento Interno estabelecem: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Que a Mesa é composta pelo Presidente, 1º e 2º Secretários (art. 10);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Que a Mesa, na qualidade de Comissão Diretora, tem competências relativas à direção dos trabalhos legislativos e serviços administrativos da Assembleia Legislativa (artigo 14);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Que as medidas da Mesa passíveis de voto discordante do Secretário são os Atos, Decisões ou pareceres (artigo 16, parágrafo único);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Que o Projeto de resolução de alteração, reforma ou substituição do Regimento Interno sofrerá duas discussões, com rito de tramitação ordinário cabendo à Mesa, com exclusividade, a emissão de parecer em todos os aspectos aos projetos de resolução com esse teor (art. 266).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dia 05 de maio de 2017 foi publicado, no </w:t>
      </w:r>
      <w:r w:rsidRPr="002B7617">
        <w:rPr>
          <w:rFonts w:ascii="Times New Roman" w:hAnsi="Times New Roman"/>
          <w:i/>
        </w:rPr>
        <w:t>Diário da Assembleia</w:t>
      </w:r>
      <w:r>
        <w:rPr>
          <w:rFonts w:ascii="Times New Roman" w:hAnsi="Times New Roman"/>
        </w:rPr>
        <w:t>, o Projeto de Resolução nº 07, de 2017, que dispõe sobre a alteração da Resolução nº 576, de 1970, com modificações posteriores – Regimento Interno da Assembleia Legislativa, de autoria da Mesa, constando apenas a assinatura do Presidente e do 2º Secretário.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Ademais, o projeto de resolução padece de vício insanável posto que: i. </w:t>
      </w:r>
      <w:proofErr w:type="gramStart"/>
      <w:r>
        <w:rPr>
          <w:rFonts w:ascii="Times New Roman" w:hAnsi="Times New Roman"/>
        </w:rPr>
        <w:t>não</w:t>
      </w:r>
      <w:proofErr w:type="gramEnd"/>
      <w:r>
        <w:rPr>
          <w:rFonts w:ascii="Times New Roman" w:hAnsi="Times New Roman"/>
        </w:rPr>
        <w:t xml:space="preserve"> consta, dentre as atribuições da Mesa, a de apresentar proposição relativa à alteração do Regimento Interno, somente sendo permitido a ela, emitir parecer nas proposições relativas ao tema; ii. </w:t>
      </w:r>
      <w:proofErr w:type="gramStart"/>
      <w:r>
        <w:rPr>
          <w:rFonts w:ascii="Times New Roman" w:hAnsi="Times New Roman"/>
        </w:rPr>
        <w:t>por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se tratar de órgão colegiado, a Mesa, na qualidade de Comissão Diretora, não pode encaminhar projetos de resolução sem a assinatura da totalidade de seus integrantes.</w:t>
      </w: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Indago, pois, a Vossa Excelência:</w:t>
      </w:r>
    </w:p>
    <w:p w:rsidR="003A0577" w:rsidRDefault="003A0577" w:rsidP="003A0577">
      <w:pPr>
        <w:tabs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</w:rPr>
      </w:pPr>
    </w:p>
    <w:p w:rsidR="003A0577" w:rsidRDefault="003A0577" w:rsidP="003A0577">
      <w:pPr>
        <w:tabs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À luz do que dispõe o “caput” do artigo 14, que confere à Mesa a atribuição da direção dos trabalhos legislativos e dos serviços administrativos, está abarcada a possibilidade </w:t>
      </w:r>
      <w:proofErr w:type="gramStart"/>
      <w:r>
        <w:rPr>
          <w:rFonts w:ascii="Times New Roman" w:hAnsi="Times New Roman"/>
        </w:rPr>
        <w:t>da Mesa apresentar</w:t>
      </w:r>
      <w:proofErr w:type="gramEnd"/>
      <w:r>
        <w:rPr>
          <w:rFonts w:ascii="Times New Roman" w:hAnsi="Times New Roman"/>
        </w:rPr>
        <w:t xml:space="preserve"> Projeto de Resolução de Alteração do Regimento Interno?</w:t>
      </w:r>
    </w:p>
    <w:p w:rsidR="003A0577" w:rsidRDefault="003A0577" w:rsidP="003A0577">
      <w:pPr>
        <w:tabs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</w:rPr>
      </w:pPr>
    </w:p>
    <w:p w:rsidR="003A0577" w:rsidRDefault="003A0577" w:rsidP="003A0577">
      <w:pPr>
        <w:tabs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 artigo 14 combinado com o artigo 16</w:t>
      </w:r>
      <w:proofErr w:type="gramStart"/>
      <w:r>
        <w:rPr>
          <w:rFonts w:ascii="Times New Roman" w:hAnsi="Times New Roman"/>
        </w:rPr>
        <w:t>, permite</w:t>
      </w:r>
      <w:proofErr w:type="gramEnd"/>
      <w:r>
        <w:rPr>
          <w:rFonts w:ascii="Times New Roman" w:hAnsi="Times New Roman"/>
        </w:rPr>
        <w:t xml:space="preserve"> que um Projeto de Resolução seja encaminhado como proposição da Mesa, sem a assinatura do Primeiro Secretário?</w:t>
      </w:r>
    </w:p>
    <w:p w:rsidR="003A0577" w:rsidRDefault="003A0577" w:rsidP="003A0577">
      <w:pPr>
        <w:tabs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</w:rPr>
      </w:pPr>
    </w:p>
    <w:p w:rsidR="003A0577" w:rsidRDefault="003A0577" w:rsidP="003A0577">
      <w:pPr>
        <w:tabs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Por analogia ao que dispõe o artigo 41 em relação à vedação do autor da proposição, ser dela relator nas Comissões Permanentes, com exceção dos projetos de consolidação de leis, sendo atribuição privativa </w:t>
      </w:r>
      <w:proofErr w:type="gramStart"/>
      <w:r>
        <w:rPr>
          <w:rFonts w:ascii="Times New Roman" w:hAnsi="Times New Roman"/>
        </w:rPr>
        <w:t>da Mesa emitir</w:t>
      </w:r>
      <w:proofErr w:type="gramEnd"/>
      <w:r>
        <w:rPr>
          <w:rFonts w:ascii="Times New Roman" w:hAnsi="Times New Roman"/>
        </w:rPr>
        <w:t xml:space="preserve"> parecer nas proposições de modificação do Regimento Interno </w:t>
      </w:r>
      <w:r w:rsidRPr="00585CF3">
        <w:rPr>
          <w:rFonts w:ascii="Times New Roman" w:hAnsi="Times New Roman"/>
        </w:rPr>
        <w:t>da Mesa</w:t>
      </w:r>
      <w:r>
        <w:rPr>
          <w:rFonts w:ascii="Times New Roman" w:hAnsi="Times New Roman"/>
        </w:rPr>
        <w:t>, estaria a mesma vedada a apresentar proposição relativa a essa matéria?</w:t>
      </w:r>
    </w:p>
    <w:p w:rsidR="003A0577" w:rsidRDefault="003A0577" w:rsidP="003A0577">
      <w:pPr>
        <w:spacing w:after="0" w:line="360" w:lineRule="auto"/>
        <w:jc w:val="both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ind w:firstLine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Isto posto</w:t>
      </w:r>
      <w:proofErr w:type="gramEnd"/>
      <w:r>
        <w:rPr>
          <w:rFonts w:ascii="Times New Roman" w:hAnsi="Times New Roman"/>
        </w:rPr>
        <w:t>, solicito a retirada do Projeto de Resolução 07, de 2017.</w:t>
      </w:r>
    </w:p>
    <w:p w:rsidR="003A0577" w:rsidRDefault="003A0577" w:rsidP="003A0577">
      <w:pPr>
        <w:spacing w:after="0" w:line="360" w:lineRule="auto"/>
        <w:jc w:val="center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jc w:val="center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jc w:val="center"/>
        <w:rPr>
          <w:rFonts w:ascii="Times New Roman" w:hAnsi="Times New Roman"/>
        </w:rPr>
      </w:pPr>
    </w:p>
    <w:p w:rsidR="003A0577" w:rsidRPr="00A3036C" w:rsidRDefault="003A0577" w:rsidP="003A0577">
      <w:pPr>
        <w:spacing w:after="0" w:line="360" w:lineRule="auto"/>
        <w:jc w:val="center"/>
        <w:rPr>
          <w:rFonts w:ascii="Times New Roman" w:hAnsi="Times New Roman"/>
          <w:b/>
        </w:rPr>
      </w:pPr>
      <w:r w:rsidRPr="00A3036C">
        <w:rPr>
          <w:rFonts w:ascii="Times New Roman" w:hAnsi="Times New Roman"/>
          <w:b/>
        </w:rPr>
        <w:t>ALENCAR SANTANA BRAGA</w:t>
      </w:r>
    </w:p>
    <w:p w:rsidR="003A0577" w:rsidRPr="002B7617" w:rsidRDefault="003A0577" w:rsidP="003A0577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B7617">
        <w:rPr>
          <w:rFonts w:ascii="Times New Roman" w:hAnsi="Times New Roman"/>
          <w:sz w:val="20"/>
          <w:szCs w:val="20"/>
        </w:rPr>
        <w:t>LÍDER DA BANCADA DO PARTIDO DOS TRABALHADORES</w:t>
      </w:r>
    </w:p>
    <w:p w:rsidR="003A0577" w:rsidRDefault="003A0577" w:rsidP="003A0577">
      <w:pPr>
        <w:spacing w:after="0" w:line="360" w:lineRule="auto"/>
        <w:jc w:val="center"/>
        <w:rPr>
          <w:rFonts w:ascii="Times New Roman" w:hAnsi="Times New Roman"/>
        </w:rPr>
      </w:pPr>
    </w:p>
    <w:p w:rsidR="003A0577" w:rsidRDefault="003A0577" w:rsidP="003A0577">
      <w:pPr>
        <w:spacing w:after="0" w:line="360" w:lineRule="auto"/>
        <w:jc w:val="center"/>
        <w:rPr>
          <w:rFonts w:ascii="Times New Roman" w:hAnsi="Times New Roman"/>
        </w:rPr>
      </w:pPr>
    </w:p>
    <w:p w:rsidR="003A0577" w:rsidRPr="00A3036C" w:rsidRDefault="003A0577" w:rsidP="003A0577">
      <w:pPr>
        <w:spacing w:after="0" w:line="360" w:lineRule="auto"/>
        <w:jc w:val="center"/>
        <w:rPr>
          <w:rFonts w:ascii="Times New Roman" w:hAnsi="Times New Roman"/>
          <w:b/>
        </w:rPr>
      </w:pPr>
      <w:r w:rsidRPr="00A3036C">
        <w:rPr>
          <w:rFonts w:ascii="Times New Roman" w:hAnsi="Times New Roman"/>
          <w:b/>
        </w:rPr>
        <w:t>MARCIA LIA</w:t>
      </w:r>
    </w:p>
    <w:p w:rsidR="003A0577" w:rsidRPr="002B7617" w:rsidRDefault="003A0577" w:rsidP="003A0577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B7617">
        <w:rPr>
          <w:rFonts w:ascii="Times New Roman" w:hAnsi="Times New Roman"/>
          <w:sz w:val="20"/>
          <w:szCs w:val="20"/>
        </w:rPr>
        <w:t>LÍDER DA MINORIA</w:t>
      </w:r>
    </w:p>
    <w:p w:rsidR="003A0577" w:rsidRPr="0057584C" w:rsidRDefault="003A0577" w:rsidP="003A0577">
      <w:pPr>
        <w:spacing w:after="0"/>
        <w:jc w:val="both"/>
        <w:rPr>
          <w:rFonts w:ascii="Times New Roman" w:hAnsi="Times New Roman"/>
        </w:rPr>
      </w:pPr>
    </w:p>
    <w:p w:rsidR="003A0577" w:rsidRPr="000E4549" w:rsidRDefault="003A0577">
      <w:pPr>
        <w:rPr>
          <w:b/>
          <w:bCs/>
          <w:color w:val="0000FF"/>
          <w:w w:val="200"/>
          <w:sz w:val="18"/>
          <w:szCs w:val="18"/>
        </w:rPr>
      </w:pPr>
    </w:p>
    <w:sectPr w:rsidR="003A0577" w:rsidRPr="000E4549" w:rsidSect="009C2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549"/>
    <w:rsid w:val="000E4549"/>
    <w:rsid w:val="001D2FE4"/>
    <w:rsid w:val="003A0577"/>
    <w:rsid w:val="004F1937"/>
    <w:rsid w:val="006C5ACE"/>
    <w:rsid w:val="009A2B29"/>
    <w:rsid w:val="009C22E9"/>
    <w:rsid w:val="00E3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ador">
    <w:name w:val="Orador"/>
    <w:rsid w:val="000E4549"/>
    <w:pPr>
      <w:widowControl w:val="0"/>
      <w:autoSpaceDE w:val="0"/>
      <w:autoSpaceDN w:val="0"/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821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2017-12-08T20:20:00Z</dcterms:created>
  <dcterms:modified xsi:type="dcterms:W3CDTF">2017-12-12T23:52:00Z</dcterms:modified>
</cp:coreProperties>
</file>